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EE" w:rsidRPr="007E7580" w:rsidRDefault="004708EC" w:rsidP="000070DF">
      <w:pPr>
        <w:pStyle w:val="Heading3"/>
        <w:keepNext w:val="0"/>
        <w:spacing w:before="240" w:after="240"/>
        <w:sectPr w:rsidR="00B51BEE" w:rsidRPr="007E7580" w:rsidSect="00B51BEE">
          <w:headerReference w:type="even" r:id="rId10"/>
          <w:headerReference w:type="default" r:id="rId11"/>
          <w:footerReference w:type="even" r:id="rId12"/>
          <w:footerReference w:type="default" r:id="rId13"/>
          <w:headerReference w:type="first" r:id="rId14"/>
          <w:footerReference w:type="first" r:id="rId15"/>
          <w:pgSz w:w="11907" w:h="16840" w:code="9"/>
          <w:pgMar w:top="1588" w:right="1418" w:bottom="425" w:left="1418" w:header="720" w:footer="851" w:gutter="0"/>
          <w:cols w:space="720"/>
          <w:titlePg/>
          <w:docGrid w:linePitch="360"/>
        </w:sectPr>
      </w:pPr>
      <w:bookmarkStart w:id="0" w:name="_Toc457054035"/>
      <w:r w:rsidRPr="004708EC">
        <w:rPr>
          <w:noProof/>
          <w:lang w:val="en-US" w:eastAsia="zh-TW"/>
        </w:rPr>
        <w:pict>
          <v:shapetype id="_x0000_t202" coordsize="21600,21600" o:spt="202" path="m,l,21600r21600,l21600,xe">
            <v:stroke joinstyle="miter"/>
            <v:path gradientshapeok="t" o:connecttype="rect"/>
          </v:shapetype>
          <v:shape id="_x0000_s1026" type="#_x0000_t202" style="position:absolute;margin-left:-12.05pt;margin-top:649.55pt;width:481.15pt;height:39.95pt;z-index:251660288;mso-width-relative:margin;mso-height-relative:margin" filled="f" stroked="f">
            <v:textbox style="mso-next-textbox:#_x0000_s1026">
              <w:txbxContent>
                <w:p w:rsidR="00C92D31" w:rsidRPr="005B6CA0" w:rsidRDefault="00C92D31" w:rsidP="00194E0D">
                  <w:pPr>
                    <w:pStyle w:val="Reportcoverfooter"/>
                  </w:pPr>
                  <w:r>
                    <w:t>August 2016</w:t>
                  </w:r>
                </w:p>
              </w:txbxContent>
            </v:textbox>
          </v:shape>
        </w:pict>
      </w:r>
      <w:r>
        <w:rPr>
          <w:noProof/>
          <w:lang w:eastAsia="en-AU"/>
        </w:rPr>
        <w:pict>
          <v:shape id="_x0000_s1028" type="#_x0000_t202" style="position:absolute;margin-left:-11.15pt;margin-top:447.45pt;width:481.15pt;height:190.5pt;z-index:251662336;mso-width-relative:margin;mso-height-relative:margin" filled="f" stroked="f">
            <v:textbox style="mso-next-textbox:#_x0000_s1028">
              <w:txbxContent>
                <w:p w:rsidR="00C92D31" w:rsidRDefault="00C92D31" w:rsidP="005B6CA0">
                  <w:pPr>
                    <w:pStyle w:val="ReportTitle"/>
                  </w:pPr>
                  <w:r>
                    <w:t>Inquiry into provisions of the Legislative Assembly (Office of the Legislative Assembly) Act 2012</w:t>
                  </w:r>
                </w:p>
                <w:p w:rsidR="00C92D31" w:rsidRPr="00FB24C7" w:rsidRDefault="00C92D31" w:rsidP="00FB24C7">
                  <w:pPr>
                    <w:pStyle w:val="ReportTitle"/>
                    <w:spacing w:after="0"/>
                    <w:rPr>
                      <w:sz w:val="48"/>
                      <w:szCs w:val="48"/>
                    </w:rPr>
                  </w:pPr>
                  <w:r w:rsidRPr="00FB24C7">
                    <w:rPr>
                      <w:sz w:val="48"/>
                      <w:szCs w:val="48"/>
                    </w:rPr>
                    <w:t xml:space="preserve">Report No </w:t>
                  </w:r>
                  <w:r>
                    <w:rPr>
                      <w:sz w:val="48"/>
                      <w:szCs w:val="48"/>
                    </w:rPr>
                    <w:t xml:space="preserve">10 </w:t>
                  </w:r>
                </w:p>
              </w:txbxContent>
            </v:textbox>
          </v:shape>
        </w:pict>
      </w:r>
      <w:r>
        <w:rPr>
          <w:noProof/>
          <w:lang w:eastAsia="en-AU"/>
        </w:rPr>
        <w:pict>
          <v:shape id="_x0000_s1027" type="#_x0000_t202" style="position:absolute;margin-left:-12.05pt;margin-top:392.1pt;width:481.15pt;height:50.05pt;z-index:251661312;mso-width-relative:margin;mso-height-relative:margin" filled="f" stroked="f">
            <v:textbox style="mso-next-textbox:#_x0000_s1027">
              <w:txbxContent>
                <w:p w:rsidR="00C92D31" w:rsidRPr="005B6CA0" w:rsidRDefault="00C92D31" w:rsidP="005B6CA0">
                  <w:pPr>
                    <w:pStyle w:val="CommitteeName"/>
                  </w:pPr>
                  <w:r>
                    <w:t>Standing Committee on Administration and Procedure</w:t>
                  </w:r>
                </w:p>
                <w:p w:rsidR="00C92D31" w:rsidRPr="005B6CA0" w:rsidRDefault="00C92D31" w:rsidP="005B6CA0">
                  <w:pPr>
                    <w:pStyle w:val="CommitteeName"/>
                  </w:pPr>
                </w:p>
              </w:txbxContent>
            </v:textbox>
          </v:shape>
        </w:pict>
      </w:r>
      <w:bookmarkEnd w:id="0"/>
    </w:p>
    <w:p w:rsidR="00EF3870" w:rsidRDefault="00EF3870" w:rsidP="000070DF">
      <w:pPr>
        <w:pStyle w:val="Prelimminorheading"/>
        <w:keepNext w:val="0"/>
      </w:pPr>
      <w:bookmarkStart w:id="1" w:name="_Toc170711045"/>
      <w:bookmarkStart w:id="2" w:name="_Toc341433411"/>
      <w:bookmarkStart w:id="3" w:name="_Toc341687854"/>
      <w:bookmarkStart w:id="4" w:name="_Toc388626229"/>
      <w:bookmarkStart w:id="5" w:name="_Toc389119996"/>
    </w:p>
    <w:p w:rsidR="00EF3870" w:rsidRDefault="00EF3870" w:rsidP="000070DF">
      <w:pPr>
        <w:pStyle w:val="Prelimminorheading"/>
        <w:keepNext w:val="0"/>
      </w:pPr>
    </w:p>
    <w:p w:rsidR="00BD6A97" w:rsidRPr="00366678" w:rsidRDefault="00BD6A97" w:rsidP="000070DF">
      <w:pPr>
        <w:pStyle w:val="Heading2"/>
        <w:keepNext w:val="0"/>
        <w:spacing w:before="360" w:after="240"/>
      </w:pPr>
      <w:bookmarkStart w:id="6" w:name="_Toc457901172"/>
      <w:r w:rsidRPr="00366678">
        <w:t>Committee membership</w:t>
      </w:r>
      <w:bookmarkEnd w:id="1"/>
      <w:bookmarkEnd w:id="2"/>
      <w:bookmarkEnd w:id="3"/>
      <w:bookmarkEnd w:id="4"/>
      <w:bookmarkEnd w:id="5"/>
      <w:bookmarkEnd w:id="6"/>
    </w:p>
    <w:p w:rsidR="00BD6A97" w:rsidRDefault="00BD6A97" w:rsidP="000070DF">
      <w:pPr>
        <w:pStyle w:val="Bodytextnonumbering"/>
        <w:keepNext w:val="0"/>
      </w:pPr>
      <w:r>
        <w:t xml:space="preserve">Vicki Dunne MLA </w:t>
      </w:r>
      <w:r w:rsidR="00252251">
        <w:tab/>
      </w:r>
      <w:r>
        <w:t>(Chair</w:t>
      </w:r>
      <w:r w:rsidR="00D70B76">
        <w:t xml:space="preserve"> from November 2012</w:t>
      </w:r>
      <w:r>
        <w:t>)</w:t>
      </w:r>
    </w:p>
    <w:p w:rsidR="00BD6A97" w:rsidRDefault="00BD6A97" w:rsidP="000070DF">
      <w:pPr>
        <w:pStyle w:val="Bodytextnonumbering"/>
        <w:keepNext w:val="0"/>
      </w:pPr>
      <w:r>
        <w:t>Chris Bourke MLA</w:t>
      </w:r>
      <w:r w:rsidR="00340AB3">
        <w:t xml:space="preserve"> </w:t>
      </w:r>
      <w:r w:rsidR="00252251">
        <w:tab/>
      </w:r>
      <w:r w:rsidR="00340AB3">
        <w:t>(</w:t>
      </w:r>
      <w:r w:rsidR="002634F2">
        <w:t xml:space="preserve">from November 2012 </w:t>
      </w:r>
      <w:r w:rsidR="00340AB3">
        <w:t>to February 2016)</w:t>
      </w:r>
    </w:p>
    <w:p w:rsidR="00340AB3" w:rsidRDefault="00340AB3" w:rsidP="000070DF">
      <w:pPr>
        <w:pStyle w:val="Bodytextnonumbering"/>
        <w:keepNext w:val="0"/>
      </w:pPr>
      <w:r>
        <w:t xml:space="preserve">Joy Burch MLA </w:t>
      </w:r>
      <w:r w:rsidR="00252251">
        <w:tab/>
      </w:r>
      <w:r w:rsidR="00252251">
        <w:tab/>
      </w:r>
      <w:r>
        <w:t>(from February 2016)</w:t>
      </w:r>
    </w:p>
    <w:p w:rsidR="00BD6A97" w:rsidRDefault="00BD6A97" w:rsidP="000070DF">
      <w:pPr>
        <w:pStyle w:val="Bodytextnonumbering"/>
        <w:keepNext w:val="0"/>
      </w:pPr>
      <w:r>
        <w:t>Shane Rattenbury MLA</w:t>
      </w:r>
      <w:r w:rsidR="00C74D3B">
        <w:t xml:space="preserve"> </w:t>
      </w:r>
      <w:r w:rsidR="00D70B76">
        <w:tab/>
        <w:t>(from November 2012)</w:t>
      </w:r>
    </w:p>
    <w:p w:rsidR="00BD6A97" w:rsidRDefault="00BD6A97" w:rsidP="000070DF">
      <w:pPr>
        <w:pStyle w:val="Bodytextnonumbering"/>
        <w:keepNext w:val="0"/>
      </w:pPr>
      <w:r>
        <w:t>Brendan Smyth MLA</w:t>
      </w:r>
      <w:r w:rsidR="00F573F3">
        <w:t xml:space="preserve"> </w:t>
      </w:r>
      <w:r w:rsidR="00252251">
        <w:tab/>
      </w:r>
      <w:r w:rsidR="00F573F3">
        <w:t>(from November 2012 to July 2016)</w:t>
      </w:r>
    </w:p>
    <w:p w:rsidR="00F573F3" w:rsidRDefault="00C74D3B" w:rsidP="000070DF">
      <w:pPr>
        <w:pStyle w:val="Bodytextnonumbering"/>
        <w:keepNext w:val="0"/>
      </w:pPr>
      <w:r>
        <w:t xml:space="preserve">Andrew Wall </w:t>
      </w:r>
      <w:r w:rsidR="00252251">
        <w:tab/>
      </w:r>
      <w:r w:rsidR="00252251">
        <w:tab/>
        <w:t>(from July 201</w:t>
      </w:r>
      <w:r w:rsidR="00D70B76">
        <w:t>6</w:t>
      </w:r>
      <w:r w:rsidR="00252251">
        <w:t>)</w:t>
      </w:r>
    </w:p>
    <w:p w:rsidR="00BD6A97" w:rsidRPr="00F14364" w:rsidRDefault="00BD6A97" w:rsidP="000070DF">
      <w:pPr>
        <w:pStyle w:val="Heading2"/>
        <w:keepNext w:val="0"/>
        <w:spacing w:before="360" w:after="240"/>
      </w:pPr>
      <w:bookmarkStart w:id="7" w:name="_Toc170711046"/>
      <w:bookmarkStart w:id="8" w:name="_Toc341433413"/>
      <w:bookmarkStart w:id="9" w:name="_Toc341687856"/>
      <w:bookmarkStart w:id="10" w:name="_Toc388626230"/>
      <w:bookmarkStart w:id="11" w:name="_Toc389119997"/>
      <w:bookmarkStart w:id="12" w:name="_Toc433791879"/>
      <w:bookmarkStart w:id="13" w:name="_Toc457901173"/>
      <w:r w:rsidRPr="00F74C60">
        <w:t>Secretariat</w:t>
      </w:r>
      <w:bookmarkEnd w:id="7"/>
      <w:bookmarkEnd w:id="8"/>
      <w:bookmarkEnd w:id="9"/>
      <w:bookmarkEnd w:id="10"/>
      <w:bookmarkEnd w:id="11"/>
      <w:bookmarkEnd w:id="12"/>
      <w:bookmarkEnd w:id="13"/>
    </w:p>
    <w:p w:rsidR="00BD6A97" w:rsidRDefault="00BD6A97" w:rsidP="000070DF">
      <w:pPr>
        <w:pStyle w:val="Bodytextnonumbering"/>
        <w:keepNext w:val="0"/>
      </w:pPr>
      <w:r>
        <w:t xml:space="preserve">Tom Duncan </w:t>
      </w:r>
      <w:r w:rsidR="00252251">
        <w:tab/>
      </w:r>
      <w:r>
        <w:t>(Secretary)</w:t>
      </w:r>
    </w:p>
    <w:p w:rsidR="00BD6A97" w:rsidRDefault="00BD6A97" w:rsidP="000070DF">
      <w:pPr>
        <w:pStyle w:val="Bodytextnonumbering"/>
        <w:keepNext w:val="0"/>
      </w:pPr>
      <w:r>
        <w:t xml:space="preserve">Janice Rafferty </w:t>
      </w:r>
      <w:r w:rsidR="00252251">
        <w:tab/>
      </w:r>
      <w:r>
        <w:t>(Assistant Secretary)</w:t>
      </w:r>
    </w:p>
    <w:p w:rsidR="00264DAB" w:rsidRDefault="00264DAB" w:rsidP="000070DF">
      <w:pPr>
        <w:pStyle w:val="Bodytextnonumbering"/>
        <w:keepNext w:val="0"/>
      </w:pPr>
      <w:r>
        <w:t xml:space="preserve">David Skinner </w:t>
      </w:r>
      <w:r>
        <w:tab/>
        <w:t>(Inquiry Secretary)</w:t>
      </w:r>
    </w:p>
    <w:p w:rsidR="00BD6A97" w:rsidRPr="00EC5178" w:rsidRDefault="00BD6A97" w:rsidP="000070DF">
      <w:pPr>
        <w:pStyle w:val="Heading2"/>
        <w:keepNext w:val="0"/>
        <w:spacing w:before="360" w:after="240"/>
      </w:pPr>
      <w:bookmarkStart w:id="14" w:name="_Toc162949737"/>
      <w:bookmarkStart w:id="15" w:name="_Toc170711047"/>
      <w:bookmarkStart w:id="16" w:name="_Toc341433415"/>
      <w:bookmarkStart w:id="17" w:name="_Toc341687858"/>
      <w:bookmarkStart w:id="18" w:name="_Toc388626231"/>
      <w:bookmarkStart w:id="19" w:name="_Toc389119998"/>
      <w:bookmarkStart w:id="20" w:name="_Toc433791880"/>
      <w:bookmarkStart w:id="21" w:name="_Toc457901174"/>
      <w:r w:rsidRPr="00026EDC">
        <w:t>Contact information</w:t>
      </w:r>
      <w:bookmarkEnd w:id="14"/>
      <w:bookmarkEnd w:id="15"/>
      <w:bookmarkEnd w:id="16"/>
      <w:bookmarkEnd w:id="17"/>
      <w:bookmarkEnd w:id="18"/>
      <w:bookmarkEnd w:id="19"/>
      <w:bookmarkEnd w:id="20"/>
      <w:bookmarkEnd w:id="21"/>
    </w:p>
    <w:p w:rsidR="00BD6A97" w:rsidRDefault="00BD6A97" w:rsidP="000070DF">
      <w:pPr>
        <w:pStyle w:val="StyleBodytextnonumberingBefore0ptAfter0ptLinesp"/>
        <w:keepNext w:val="0"/>
        <w:spacing w:before="160" w:after="80" w:line="288" w:lineRule="auto"/>
      </w:pPr>
      <w:bookmarkStart w:id="22" w:name="_Toc341433416"/>
      <w:bookmarkStart w:id="23" w:name="_Toc341687859"/>
      <w:r>
        <w:t>Telephone</w:t>
      </w:r>
      <w:r>
        <w:tab/>
        <w:t>02 6205 0173</w:t>
      </w:r>
      <w:bookmarkEnd w:id="22"/>
      <w:bookmarkEnd w:id="23"/>
    </w:p>
    <w:p w:rsidR="00BD6A97" w:rsidRDefault="00BD6A97" w:rsidP="000070DF">
      <w:pPr>
        <w:pStyle w:val="StyleBodytextnonumberingBefore0ptAfter0ptLinesp"/>
        <w:keepNext w:val="0"/>
        <w:spacing w:before="160" w:after="80" w:line="288" w:lineRule="auto"/>
      </w:pPr>
      <w:bookmarkStart w:id="24" w:name="_Toc341433417"/>
      <w:bookmarkStart w:id="25" w:name="_Toc341687860"/>
      <w:r>
        <w:t>Facsimile</w:t>
      </w:r>
      <w:r>
        <w:tab/>
        <w:t xml:space="preserve">02 6205 </w:t>
      </w:r>
      <w:bookmarkEnd w:id="24"/>
      <w:bookmarkEnd w:id="25"/>
      <w:r>
        <w:t>3109</w:t>
      </w:r>
    </w:p>
    <w:p w:rsidR="00BD6A97" w:rsidRDefault="00BD6A97" w:rsidP="000070DF">
      <w:pPr>
        <w:pStyle w:val="StyleBodytextnonumberingBefore0ptAfter0ptLinesp"/>
        <w:keepNext w:val="0"/>
        <w:spacing w:before="160" w:after="80" w:line="288" w:lineRule="auto"/>
      </w:pPr>
      <w:bookmarkStart w:id="26" w:name="_Toc341433418"/>
      <w:bookmarkStart w:id="27" w:name="_Toc341687861"/>
      <w:r>
        <w:t>Post</w:t>
      </w:r>
      <w:r>
        <w:tab/>
      </w:r>
      <w:r>
        <w:tab/>
        <w:t>GPO Box 1020, CANBERRA ACT 2601</w:t>
      </w:r>
      <w:bookmarkEnd w:id="26"/>
      <w:bookmarkEnd w:id="27"/>
    </w:p>
    <w:p w:rsidR="00BD6A97" w:rsidRPr="005B60C2" w:rsidRDefault="00BD6A97" w:rsidP="000070DF">
      <w:pPr>
        <w:pStyle w:val="StyleBodytextnonumberingBefore0ptAfter0ptLinesp"/>
        <w:keepNext w:val="0"/>
        <w:spacing w:before="160" w:after="80" w:line="288" w:lineRule="auto"/>
      </w:pPr>
      <w:bookmarkStart w:id="28" w:name="_Toc341433419"/>
      <w:bookmarkStart w:id="29" w:name="_Toc341687862"/>
      <w:r>
        <w:t>Email</w:t>
      </w:r>
      <w:r>
        <w:tab/>
      </w:r>
      <w:r>
        <w:tab/>
      </w:r>
      <w:bookmarkEnd w:id="28"/>
      <w:bookmarkEnd w:id="29"/>
      <w:r>
        <w:t>tom.duncan@parliament.act.gov.au</w:t>
      </w:r>
    </w:p>
    <w:p w:rsidR="00BD6A97" w:rsidRPr="005B60C2" w:rsidRDefault="00BD6A97" w:rsidP="000070DF">
      <w:pPr>
        <w:pStyle w:val="StyleBodytextnonumberingBefore0ptAfter0ptLinesp"/>
        <w:keepNext w:val="0"/>
        <w:spacing w:before="160" w:after="80" w:line="288" w:lineRule="auto"/>
      </w:pPr>
      <w:bookmarkStart w:id="30" w:name="_Toc341433420"/>
      <w:bookmarkStart w:id="31" w:name="_Toc341687863"/>
      <w:r w:rsidRPr="005B60C2">
        <w:t>Website</w:t>
      </w:r>
      <w:r w:rsidRPr="005B60C2">
        <w:tab/>
      </w:r>
      <w:hyperlink r:id="rId16" w:history="1">
        <w:r w:rsidRPr="005B60C2">
          <w:rPr>
            <w:rStyle w:val="Hyperlink"/>
          </w:rPr>
          <w:t>www.parliament.act.gov.au</w:t>
        </w:r>
        <w:bookmarkEnd w:id="30"/>
        <w:bookmarkEnd w:id="31"/>
      </w:hyperlink>
      <w:r w:rsidRPr="005B60C2">
        <w:t xml:space="preserve"> </w:t>
      </w:r>
    </w:p>
    <w:p w:rsidR="00B51BEE" w:rsidRPr="007E7580" w:rsidRDefault="00B51BEE" w:rsidP="000070DF">
      <w:pPr>
        <w:pStyle w:val="Heading2"/>
        <w:keepNext w:val="0"/>
        <w:spacing w:before="360" w:after="240"/>
      </w:pPr>
      <w:bookmarkStart w:id="32" w:name="_Toc162949738"/>
      <w:bookmarkStart w:id="33" w:name="_Toc170711048"/>
      <w:bookmarkStart w:id="34" w:name="_Toc254701018"/>
      <w:bookmarkStart w:id="35" w:name="_Toc328573472"/>
      <w:bookmarkStart w:id="36" w:name="_Toc328574161"/>
      <w:bookmarkStart w:id="37" w:name="_Toc457901175"/>
      <w:r w:rsidRPr="007E7580">
        <w:t xml:space="preserve">Resolution of </w:t>
      </w:r>
      <w:r w:rsidRPr="00BA598B">
        <w:t>appointment</w:t>
      </w:r>
      <w:bookmarkEnd w:id="32"/>
      <w:bookmarkEnd w:id="33"/>
      <w:bookmarkEnd w:id="34"/>
      <w:bookmarkEnd w:id="35"/>
      <w:bookmarkEnd w:id="36"/>
      <w:bookmarkEnd w:id="37"/>
    </w:p>
    <w:p w:rsidR="00377077" w:rsidRPr="0003237E" w:rsidRDefault="00377077" w:rsidP="000070DF">
      <w:pPr>
        <w:pStyle w:val="Bodytextnonumbering"/>
        <w:keepNext w:val="0"/>
        <w:rPr>
          <w:rFonts w:asciiTheme="minorHAnsi" w:hAnsiTheme="minorHAnsi"/>
        </w:rPr>
      </w:pPr>
      <w:bookmarkStart w:id="38" w:name="_Toc204593036"/>
      <w:bookmarkStart w:id="39"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8"/>
      <w:bookmarkEnd w:id="39"/>
    </w:p>
    <w:p w:rsidR="00377077" w:rsidRPr="0003237E" w:rsidRDefault="00377077" w:rsidP="000070DF">
      <w:pPr>
        <w:pStyle w:val="Bodytextnonumbering"/>
        <w:keepNext w:val="0"/>
        <w:rPr>
          <w:rFonts w:asciiTheme="minorHAnsi" w:hAnsiTheme="minorHAnsi"/>
        </w:rPr>
      </w:pPr>
      <w:bookmarkStart w:id="40" w:name="_Toc204593037"/>
      <w:bookmarkStart w:id="41" w:name="_Toc205614614"/>
      <w:r w:rsidRPr="0003237E">
        <w:rPr>
          <w:rFonts w:asciiTheme="minorHAnsi" w:hAnsiTheme="minorHAnsi"/>
        </w:rPr>
        <w:t>Standing Order 16 authorises the Committee to inquire into and report on, among other things, the practices and procedure of the Assembly.</w:t>
      </w:r>
      <w:bookmarkEnd w:id="40"/>
      <w:bookmarkEnd w:id="41"/>
      <w:r w:rsidRPr="0003237E">
        <w:rPr>
          <w:rFonts w:asciiTheme="minorHAnsi" w:hAnsiTheme="minorHAnsi"/>
        </w:rPr>
        <w:t xml:space="preserve"> </w:t>
      </w:r>
    </w:p>
    <w:p w:rsidR="008E58F7" w:rsidRDefault="008E58F7" w:rsidP="000070DF">
      <w:pPr>
        <w:rPr>
          <w:rFonts w:eastAsia="Calibri" w:cstheme="majorHAnsi"/>
          <w:smallCaps/>
          <w:sz w:val="30"/>
          <w:szCs w:val="30"/>
        </w:rPr>
      </w:pPr>
      <w:bookmarkStart w:id="42" w:name="_Toc162949739"/>
      <w:bookmarkStart w:id="43" w:name="_Toc170711049"/>
      <w:bookmarkStart w:id="44" w:name="_Toc254701019"/>
      <w:bookmarkStart w:id="45" w:name="_Toc328573473"/>
      <w:r>
        <w:br w:type="page"/>
      </w:r>
    </w:p>
    <w:p w:rsidR="00377077" w:rsidRPr="00A23BC4" w:rsidRDefault="00377077" w:rsidP="000070DF">
      <w:pPr>
        <w:pStyle w:val="Heading2"/>
        <w:keepNext w:val="0"/>
        <w:spacing w:before="360" w:after="240"/>
      </w:pPr>
      <w:bookmarkStart w:id="46" w:name="_Toc457901176"/>
      <w:r>
        <w:lastRenderedPageBreak/>
        <w:t xml:space="preserve">Terms of </w:t>
      </w:r>
      <w:r w:rsidR="00FB7FF0">
        <w:t>r</w:t>
      </w:r>
      <w:r w:rsidRPr="00A23BC4">
        <w:t>eference</w:t>
      </w:r>
      <w:bookmarkEnd w:id="42"/>
      <w:bookmarkEnd w:id="43"/>
      <w:bookmarkEnd w:id="44"/>
      <w:bookmarkEnd w:id="45"/>
      <w:bookmarkEnd w:id="46"/>
    </w:p>
    <w:p w:rsidR="00914AB3" w:rsidRPr="00914AB3" w:rsidRDefault="00914AB3" w:rsidP="000070DF">
      <w:pPr>
        <w:kinsoku w:val="0"/>
        <w:overflowPunct w:val="0"/>
        <w:autoSpaceDE w:val="0"/>
        <w:autoSpaceDN w:val="0"/>
        <w:adjustRightInd w:val="0"/>
        <w:spacing w:before="115"/>
        <w:rPr>
          <w:rFonts w:ascii="Calibri" w:eastAsia="Calibri" w:hAnsi="Calibri"/>
          <w:szCs w:val="22"/>
          <w:lang w:eastAsia="en-AU"/>
        </w:rPr>
      </w:pPr>
      <w:r w:rsidRPr="00914AB3">
        <w:rPr>
          <w:rFonts w:ascii="Calibri" w:eastAsia="Calibri" w:hAnsi="Calibri"/>
          <w:spacing w:val="-1"/>
          <w:szCs w:val="22"/>
          <w:lang w:eastAsia="en-AU"/>
        </w:rPr>
        <w:t xml:space="preserve">On 9 June 2016, the Assembly resolved that </w:t>
      </w:r>
      <w:r w:rsidRPr="00914AB3">
        <w:rPr>
          <w:rFonts w:ascii="Calibri" w:eastAsia="Calibri" w:hAnsi="Calibri"/>
          <w:szCs w:val="22"/>
          <w:lang w:eastAsia="en-AU"/>
        </w:rPr>
        <w:t>the</w:t>
      </w:r>
      <w:r w:rsidRPr="00914AB3">
        <w:rPr>
          <w:rFonts w:ascii="Calibri" w:eastAsia="Calibri" w:hAnsi="Calibri"/>
          <w:spacing w:val="-1"/>
          <w:szCs w:val="22"/>
          <w:lang w:eastAsia="en-AU"/>
        </w:rPr>
        <w:t xml:space="preserve"> Standing</w:t>
      </w:r>
      <w:r w:rsidRPr="00914AB3">
        <w:rPr>
          <w:rFonts w:ascii="Calibri" w:eastAsia="Calibri" w:hAnsi="Calibri"/>
          <w:spacing w:val="-3"/>
          <w:szCs w:val="22"/>
          <w:lang w:eastAsia="en-AU"/>
        </w:rPr>
        <w:t xml:space="preserve"> </w:t>
      </w:r>
      <w:r w:rsidRPr="00914AB3">
        <w:rPr>
          <w:rFonts w:ascii="Calibri" w:eastAsia="Calibri" w:hAnsi="Calibri"/>
          <w:spacing w:val="-1"/>
          <w:szCs w:val="22"/>
          <w:lang w:eastAsia="en-AU"/>
        </w:rPr>
        <w:t xml:space="preserve">Committee </w:t>
      </w:r>
      <w:r w:rsidRPr="00914AB3">
        <w:rPr>
          <w:rFonts w:ascii="Calibri" w:eastAsia="Calibri" w:hAnsi="Calibri"/>
          <w:szCs w:val="22"/>
          <w:lang w:eastAsia="en-AU"/>
        </w:rPr>
        <w:t xml:space="preserve">on </w:t>
      </w:r>
      <w:r w:rsidRPr="00914AB3">
        <w:rPr>
          <w:rFonts w:ascii="Calibri" w:eastAsia="Calibri" w:hAnsi="Calibri"/>
          <w:spacing w:val="-1"/>
          <w:szCs w:val="22"/>
          <w:lang w:eastAsia="en-AU"/>
        </w:rPr>
        <w:t>Administration</w:t>
      </w:r>
      <w:r w:rsidRPr="00914AB3">
        <w:rPr>
          <w:rFonts w:ascii="Calibri" w:eastAsia="Calibri" w:hAnsi="Calibri"/>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zCs w:val="22"/>
          <w:lang w:eastAsia="en-AU"/>
        </w:rPr>
        <w:t xml:space="preserve"> </w:t>
      </w:r>
      <w:r w:rsidRPr="00914AB3">
        <w:rPr>
          <w:rFonts w:ascii="Calibri" w:eastAsia="Calibri" w:hAnsi="Calibri"/>
          <w:spacing w:val="-1"/>
          <w:szCs w:val="22"/>
          <w:lang w:eastAsia="en-AU"/>
        </w:rPr>
        <w:t>Procedure would inquire into and report on the issues raised in Mr Pearson’s report</w:t>
      </w:r>
      <w:r w:rsidRPr="00914AB3">
        <w:rPr>
          <w:rFonts w:ascii="Calibri" w:eastAsia="Calibri" w:hAnsi="Calibri"/>
          <w:spacing w:val="-1"/>
          <w:vertAlign w:val="superscript"/>
          <w:lang w:eastAsia="en-AU"/>
        </w:rPr>
        <w:footnoteReference w:id="1"/>
      </w:r>
      <w:r w:rsidRPr="00914AB3">
        <w:rPr>
          <w:rFonts w:ascii="Calibri" w:eastAsia="Calibri" w:hAnsi="Calibri"/>
          <w:spacing w:val="-1"/>
          <w:szCs w:val="22"/>
          <w:lang w:eastAsia="en-AU"/>
        </w:rPr>
        <w:t xml:space="preserve">. </w:t>
      </w:r>
      <w:r w:rsidR="00C83DB3">
        <w:rPr>
          <w:rFonts w:ascii="Calibri" w:eastAsia="Calibri" w:hAnsi="Calibri"/>
          <w:spacing w:val="-1"/>
          <w:szCs w:val="22"/>
          <w:lang w:eastAsia="en-AU"/>
        </w:rPr>
        <w:br/>
      </w:r>
      <w:r w:rsidR="00C83DB3">
        <w:rPr>
          <w:rFonts w:ascii="Calibri" w:eastAsia="Calibri" w:hAnsi="Calibri"/>
          <w:spacing w:val="-1"/>
          <w:szCs w:val="22"/>
          <w:lang w:eastAsia="en-AU"/>
        </w:rPr>
        <w:br/>
      </w:r>
      <w:r w:rsidRPr="00914AB3">
        <w:rPr>
          <w:rFonts w:ascii="Calibri" w:eastAsia="Calibri" w:hAnsi="Calibri"/>
          <w:spacing w:val="-1"/>
          <w:szCs w:val="22"/>
          <w:lang w:eastAsia="en-AU"/>
        </w:rPr>
        <w:t>Specifically</w:t>
      </w:r>
      <w:r w:rsidR="00C83DB3">
        <w:rPr>
          <w:rFonts w:ascii="Calibri" w:eastAsia="Calibri" w:hAnsi="Calibri"/>
          <w:spacing w:val="-1"/>
          <w:szCs w:val="22"/>
          <w:lang w:eastAsia="en-AU"/>
        </w:rPr>
        <w:t xml:space="preserve">, the Assembly resolved that the </w:t>
      </w:r>
      <w:r w:rsidRPr="00914AB3">
        <w:rPr>
          <w:rFonts w:ascii="Calibri" w:eastAsia="Calibri" w:hAnsi="Calibri"/>
          <w:spacing w:val="-1"/>
          <w:szCs w:val="22"/>
          <w:lang w:eastAsia="en-AU"/>
        </w:rPr>
        <w:t>committee w</w:t>
      </w:r>
      <w:r w:rsidR="00C83DB3">
        <w:rPr>
          <w:rFonts w:ascii="Calibri" w:eastAsia="Calibri" w:hAnsi="Calibri"/>
          <w:spacing w:val="-1"/>
          <w:szCs w:val="22"/>
          <w:lang w:eastAsia="en-AU"/>
        </w:rPr>
        <w:t>ould</w:t>
      </w:r>
      <w:r w:rsidRPr="00914AB3">
        <w:rPr>
          <w:rFonts w:ascii="Calibri" w:eastAsia="Calibri" w:hAnsi="Calibri"/>
          <w:szCs w:val="22"/>
          <w:lang w:eastAsia="en-AU"/>
        </w:rPr>
        <w:t>:</w:t>
      </w:r>
    </w:p>
    <w:p w:rsidR="00914AB3" w:rsidRPr="00914AB3" w:rsidRDefault="00914AB3" w:rsidP="000070DF">
      <w:pPr>
        <w:numPr>
          <w:ilvl w:val="2"/>
          <w:numId w:val="13"/>
        </w:numPr>
        <w:tabs>
          <w:tab w:val="left" w:pos="1276"/>
        </w:tabs>
        <w:kinsoku w:val="0"/>
        <w:overflowPunct w:val="0"/>
        <w:autoSpaceDE w:val="0"/>
        <w:autoSpaceDN w:val="0"/>
        <w:adjustRightInd w:val="0"/>
        <w:spacing w:before="120" w:after="200" w:line="276" w:lineRule="auto"/>
        <w:ind w:left="1276" w:right="113" w:hanging="709"/>
        <w:jc w:val="both"/>
        <w:rPr>
          <w:rFonts w:ascii="Calibri" w:eastAsia="Calibri" w:hAnsi="Calibri"/>
          <w:szCs w:val="22"/>
          <w:lang w:eastAsia="en-AU"/>
        </w:rPr>
      </w:pPr>
      <w:r w:rsidRPr="00914AB3">
        <w:rPr>
          <w:rFonts w:ascii="Calibri" w:eastAsia="Calibri" w:hAnsi="Calibri"/>
          <w:spacing w:val="-1"/>
          <w:szCs w:val="22"/>
          <w:lang w:eastAsia="en-AU"/>
        </w:rPr>
        <w:t>consider</w:t>
      </w:r>
      <w:r w:rsidRPr="00914AB3">
        <w:rPr>
          <w:rFonts w:ascii="Calibri" w:eastAsia="Calibri" w:hAnsi="Calibri"/>
          <w:spacing w:val="4"/>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make</w:t>
      </w:r>
      <w:r w:rsidRPr="00914AB3">
        <w:rPr>
          <w:rFonts w:ascii="Calibri" w:eastAsia="Calibri" w:hAnsi="Calibri"/>
          <w:spacing w:val="3"/>
          <w:szCs w:val="22"/>
          <w:lang w:eastAsia="en-AU"/>
        </w:rPr>
        <w:t xml:space="preserve"> </w:t>
      </w:r>
      <w:r w:rsidRPr="00914AB3">
        <w:rPr>
          <w:rFonts w:ascii="Calibri" w:eastAsia="Calibri" w:hAnsi="Calibri"/>
          <w:spacing w:val="-1"/>
          <w:szCs w:val="22"/>
          <w:lang w:eastAsia="en-AU"/>
        </w:rPr>
        <w:t>recommendations</w:t>
      </w:r>
      <w:r w:rsidRPr="00914AB3">
        <w:rPr>
          <w:rFonts w:ascii="Calibri" w:eastAsia="Calibri" w:hAnsi="Calibri"/>
          <w:spacing w:val="5"/>
          <w:szCs w:val="22"/>
          <w:lang w:eastAsia="en-AU"/>
        </w:rPr>
        <w:t xml:space="preserve"> </w:t>
      </w:r>
      <w:r w:rsidRPr="00914AB3">
        <w:rPr>
          <w:rFonts w:ascii="Calibri" w:eastAsia="Calibri" w:hAnsi="Calibri"/>
          <w:spacing w:val="-1"/>
          <w:szCs w:val="22"/>
          <w:lang w:eastAsia="en-AU"/>
        </w:rPr>
        <w:t>as</w:t>
      </w:r>
      <w:r w:rsidRPr="00914AB3">
        <w:rPr>
          <w:rFonts w:ascii="Calibri" w:eastAsia="Calibri" w:hAnsi="Calibri"/>
          <w:spacing w:val="5"/>
          <w:szCs w:val="22"/>
          <w:lang w:eastAsia="en-AU"/>
        </w:rPr>
        <w:t xml:space="preserve"> </w:t>
      </w:r>
      <w:r w:rsidRPr="00914AB3">
        <w:rPr>
          <w:rFonts w:ascii="Calibri" w:eastAsia="Calibri" w:hAnsi="Calibri"/>
          <w:szCs w:val="22"/>
          <w:lang w:eastAsia="en-AU"/>
        </w:rPr>
        <w:t>to</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
          <w:szCs w:val="22"/>
          <w:lang w:eastAsia="en-AU"/>
        </w:rPr>
        <w:t xml:space="preserve"> </w:t>
      </w:r>
      <w:r w:rsidRPr="00914AB3">
        <w:rPr>
          <w:rFonts w:ascii="Calibri" w:eastAsia="Calibri" w:hAnsi="Calibri"/>
          <w:spacing w:val="-1"/>
          <w:szCs w:val="22"/>
          <w:lang w:eastAsia="en-AU"/>
        </w:rPr>
        <w:t>continued</w:t>
      </w:r>
      <w:r w:rsidRPr="00914AB3">
        <w:rPr>
          <w:rFonts w:ascii="Calibri" w:eastAsia="Calibri" w:hAnsi="Calibri"/>
          <w:spacing w:val="4"/>
          <w:szCs w:val="22"/>
          <w:lang w:eastAsia="en-AU"/>
        </w:rPr>
        <w:t xml:space="preserve"> </w:t>
      </w:r>
      <w:r w:rsidRPr="00914AB3">
        <w:rPr>
          <w:rFonts w:ascii="Calibri" w:eastAsia="Calibri" w:hAnsi="Calibri"/>
          <w:spacing w:val="-1"/>
          <w:szCs w:val="22"/>
          <w:lang w:eastAsia="en-AU"/>
        </w:rPr>
        <w:t>relevance</w:t>
      </w:r>
      <w:r w:rsidRPr="00914AB3">
        <w:rPr>
          <w:rFonts w:ascii="Calibri" w:eastAsia="Calibri" w:hAnsi="Calibri"/>
          <w:spacing w:val="75"/>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adequacy of</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
          <w:szCs w:val="22"/>
          <w:lang w:eastAsia="en-AU"/>
        </w:rPr>
        <w:t xml:space="preserve"> </w:t>
      </w:r>
      <w:r w:rsidRPr="00914AB3">
        <w:rPr>
          <w:rFonts w:ascii="Calibri" w:eastAsia="Calibri" w:hAnsi="Calibri"/>
          <w:szCs w:val="22"/>
          <w:lang w:eastAsia="en-AU"/>
        </w:rPr>
        <w:t>provisions</w:t>
      </w:r>
      <w:r w:rsidRPr="00914AB3">
        <w:rPr>
          <w:rFonts w:ascii="Calibri" w:eastAsia="Calibri" w:hAnsi="Calibri"/>
          <w:spacing w:val="5"/>
          <w:szCs w:val="22"/>
          <w:lang w:eastAsia="en-AU"/>
        </w:rPr>
        <w:t xml:space="preserve"> </w:t>
      </w:r>
      <w:r w:rsidRPr="00914AB3">
        <w:rPr>
          <w:rFonts w:ascii="Calibri" w:eastAsia="Calibri" w:hAnsi="Calibri"/>
          <w:szCs w:val="22"/>
          <w:lang w:eastAsia="en-AU"/>
        </w:rPr>
        <w:t>of</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
          <w:szCs w:val="22"/>
          <w:lang w:eastAsia="en-AU"/>
        </w:rPr>
        <w:t xml:space="preserve"> </w:t>
      </w:r>
      <w:r w:rsidRPr="00914AB3">
        <w:rPr>
          <w:rFonts w:ascii="Calibri" w:eastAsia="Calibri" w:hAnsi="Calibri"/>
          <w:i/>
          <w:iCs/>
          <w:spacing w:val="-1"/>
          <w:szCs w:val="22"/>
          <w:lang w:eastAsia="en-AU"/>
        </w:rPr>
        <w:t>Legislative</w:t>
      </w:r>
      <w:r w:rsidRPr="00914AB3">
        <w:rPr>
          <w:rFonts w:ascii="Calibri" w:eastAsia="Calibri" w:hAnsi="Calibri"/>
          <w:i/>
          <w:iCs/>
          <w:spacing w:val="3"/>
          <w:szCs w:val="22"/>
          <w:lang w:eastAsia="en-AU"/>
        </w:rPr>
        <w:t xml:space="preserve"> </w:t>
      </w:r>
      <w:r w:rsidRPr="00914AB3">
        <w:rPr>
          <w:rFonts w:ascii="Calibri" w:eastAsia="Calibri" w:hAnsi="Calibri"/>
          <w:i/>
          <w:iCs/>
          <w:spacing w:val="-1"/>
          <w:szCs w:val="22"/>
          <w:lang w:eastAsia="en-AU"/>
        </w:rPr>
        <w:t>Assembly</w:t>
      </w:r>
      <w:r w:rsidRPr="00914AB3">
        <w:rPr>
          <w:rFonts w:ascii="Calibri" w:eastAsia="Calibri" w:hAnsi="Calibri"/>
          <w:i/>
          <w:iCs/>
          <w:spacing w:val="6"/>
          <w:szCs w:val="22"/>
          <w:lang w:eastAsia="en-AU"/>
        </w:rPr>
        <w:t xml:space="preserve"> </w:t>
      </w:r>
      <w:r w:rsidRPr="00914AB3">
        <w:rPr>
          <w:rFonts w:ascii="Calibri" w:eastAsia="Calibri" w:hAnsi="Calibri"/>
          <w:i/>
          <w:iCs/>
          <w:spacing w:val="-1"/>
          <w:szCs w:val="22"/>
          <w:lang w:eastAsia="en-AU"/>
        </w:rPr>
        <w:t>(Office</w:t>
      </w:r>
      <w:r w:rsidRPr="00914AB3">
        <w:rPr>
          <w:rFonts w:ascii="Calibri" w:eastAsia="Calibri" w:hAnsi="Calibri"/>
          <w:i/>
          <w:iCs/>
          <w:spacing w:val="45"/>
          <w:szCs w:val="22"/>
          <w:lang w:eastAsia="en-AU"/>
        </w:rPr>
        <w:t xml:space="preserve"> </w:t>
      </w:r>
      <w:r w:rsidRPr="00914AB3">
        <w:rPr>
          <w:rFonts w:ascii="Calibri" w:eastAsia="Calibri" w:hAnsi="Calibri"/>
          <w:i/>
          <w:iCs/>
          <w:szCs w:val="22"/>
          <w:lang w:eastAsia="en-AU"/>
        </w:rPr>
        <w:t>of the</w:t>
      </w:r>
      <w:r w:rsidRPr="00914AB3">
        <w:rPr>
          <w:rFonts w:ascii="Calibri" w:eastAsia="Calibri" w:hAnsi="Calibri"/>
          <w:i/>
          <w:iCs/>
          <w:spacing w:val="-1"/>
          <w:szCs w:val="22"/>
          <w:lang w:eastAsia="en-AU"/>
        </w:rPr>
        <w:t xml:space="preserve"> Legislative Assembly) Act</w:t>
      </w:r>
      <w:r w:rsidRPr="00914AB3">
        <w:rPr>
          <w:rFonts w:ascii="Calibri" w:eastAsia="Calibri" w:hAnsi="Calibri"/>
          <w:i/>
          <w:iCs/>
          <w:szCs w:val="22"/>
          <w:lang w:eastAsia="en-AU"/>
        </w:rPr>
        <w:t xml:space="preserve"> 2012</w:t>
      </w:r>
      <w:r w:rsidRPr="00914AB3">
        <w:rPr>
          <w:rFonts w:ascii="Calibri" w:eastAsia="Calibri" w:hAnsi="Calibri"/>
          <w:szCs w:val="22"/>
          <w:lang w:eastAsia="en-AU"/>
        </w:rPr>
        <w:t>;</w:t>
      </w:r>
    </w:p>
    <w:p w:rsidR="00914AB3" w:rsidRPr="00914AB3" w:rsidRDefault="00914AB3" w:rsidP="000070DF">
      <w:pPr>
        <w:numPr>
          <w:ilvl w:val="2"/>
          <w:numId w:val="13"/>
        </w:numPr>
        <w:tabs>
          <w:tab w:val="left" w:pos="1276"/>
        </w:tabs>
        <w:kinsoku w:val="0"/>
        <w:overflowPunct w:val="0"/>
        <w:autoSpaceDE w:val="0"/>
        <w:autoSpaceDN w:val="0"/>
        <w:adjustRightInd w:val="0"/>
        <w:spacing w:before="120" w:after="200" w:line="276" w:lineRule="auto"/>
        <w:ind w:left="1276" w:right="110" w:hanging="709"/>
        <w:jc w:val="both"/>
        <w:rPr>
          <w:rFonts w:ascii="Calibri" w:eastAsia="Calibri" w:hAnsi="Calibri"/>
          <w:szCs w:val="22"/>
          <w:lang w:eastAsia="en-AU"/>
        </w:rPr>
      </w:pPr>
      <w:r w:rsidRPr="00914AB3">
        <w:rPr>
          <w:rFonts w:ascii="Calibri" w:eastAsia="Calibri" w:hAnsi="Calibri"/>
          <w:spacing w:val="-1"/>
          <w:szCs w:val="22"/>
          <w:lang w:eastAsia="en-AU"/>
        </w:rPr>
        <w:t>consider</w:t>
      </w:r>
      <w:r w:rsidRPr="00914AB3">
        <w:rPr>
          <w:rFonts w:ascii="Calibri" w:eastAsia="Calibri" w:hAnsi="Calibri"/>
          <w:spacing w:val="1"/>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pacing w:val="2"/>
          <w:szCs w:val="22"/>
          <w:lang w:eastAsia="en-AU"/>
        </w:rPr>
        <w:t xml:space="preserve"> </w:t>
      </w:r>
      <w:r w:rsidRPr="00914AB3">
        <w:rPr>
          <w:rFonts w:ascii="Calibri" w:eastAsia="Calibri" w:hAnsi="Calibri"/>
          <w:spacing w:val="-1"/>
          <w:szCs w:val="22"/>
          <w:lang w:eastAsia="en-AU"/>
        </w:rPr>
        <w:t>make</w:t>
      </w:r>
      <w:r w:rsidRPr="00914AB3">
        <w:rPr>
          <w:rFonts w:ascii="Calibri" w:eastAsia="Calibri" w:hAnsi="Calibri"/>
          <w:spacing w:val="3"/>
          <w:szCs w:val="22"/>
          <w:lang w:eastAsia="en-AU"/>
        </w:rPr>
        <w:t xml:space="preserve"> </w:t>
      </w:r>
      <w:r w:rsidRPr="00914AB3">
        <w:rPr>
          <w:rFonts w:ascii="Calibri" w:eastAsia="Calibri" w:hAnsi="Calibri"/>
          <w:spacing w:val="-1"/>
          <w:szCs w:val="22"/>
          <w:lang w:eastAsia="en-AU"/>
        </w:rPr>
        <w:t>recommendations</w:t>
      </w:r>
      <w:r w:rsidRPr="00914AB3">
        <w:rPr>
          <w:rFonts w:ascii="Calibri" w:eastAsia="Calibri" w:hAnsi="Calibri"/>
          <w:spacing w:val="2"/>
          <w:szCs w:val="22"/>
          <w:lang w:eastAsia="en-AU"/>
        </w:rPr>
        <w:t xml:space="preserve"> </w:t>
      </w:r>
      <w:r w:rsidRPr="00914AB3">
        <w:rPr>
          <w:rFonts w:ascii="Calibri" w:eastAsia="Calibri" w:hAnsi="Calibri"/>
          <w:spacing w:val="-1"/>
          <w:szCs w:val="22"/>
          <w:lang w:eastAsia="en-AU"/>
        </w:rPr>
        <w:t>relating</w:t>
      </w:r>
      <w:r w:rsidRPr="00914AB3">
        <w:rPr>
          <w:rFonts w:ascii="Calibri" w:eastAsia="Calibri" w:hAnsi="Calibri"/>
          <w:szCs w:val="22"/>
          <w:lang w:eastAsia="en-AU"/>
        </w:rPr>
        <w:t xml:space="preserve"> to</w:t>
      </w:r>
      <w:r w:rsidRPr="00914AB3">
        <w:rPr>
          <w:rFonts w:ascii="Calibri" w:eastAsia="Calibri" w:hAnsi="Calibri"/>
          <w:spacing w:val="4"/>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1"/>
          <w:szCs w:val="22"/>
          <w:lang w:eastAsia="en-AU"/>
        </w:rPr>
        <w:t xml:space="preserve"> </w:t>
      </w:r>
      <w:r w:rsidRPr="00914AB3">
        <w:rPr>
          <w:rFonts w:ascii="Calibri" w:eastAsia="Calibri" w:hAnsi="Calibri"/>
          <w:szCs w:val="22"/>
          <w:lang w:eastAsia="en-AU"/>
        </w:rPr>
        <w:t>capacity</w:t>
      </w:r>
      <w:r w:rsidRPr="00914AB3">
        <w:rPr>
          <w:rFonts w:ascii="Calibri" w:eastAsia="Calibri" w:hAnsi="Calibri"/>
          <w:spacing w:val="-3"/>
          <w:szCs w:val="22"/>
          <w:lang w:eastAsia="en-AU"/>
        </w:rPr>
        <w:t xml:space="preserve"> </w:t>
      </w:r>
      <w:r w:rsidRPr="00914AB3">
        <w:rPr>
          <w:rFonts w:ascii="Calibri" w:eastAsia="Calibri" w:hAnsi="Calibri"/>
          <w:szCs w:val="22"/>
          <w:lang w:eastAsia="en-AU"/>
        </w:rPr>
        <w:t>of</w:t>
      </w:r>
      <w:r w:rsidRPr="00914AB3">
        <w:rPr>
          <w:rFonts w:ascii="Calibri" w:eastAsia="Calibri" w:hAnsi="Calibri"/>
          <w:spacing w:val="1"/>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57"/>
          <w:szCs w:val="22"/>
          <w:lang w:eastAsia="en-AU"/>
        </w:rPr>
        <w:t xml:space="preserve"> </w:t>
      </w:r>
      <w:r w:rsidRPr="00914AB3">
        <w:rPr>
          <w:rFonts w:ascii="Calibri" w:eastAsia="Calibri" w:hAnsi="Calibri"/>
          <w:spacing w:val="-1"/>
          <w:szCs w:val="22"/>
          <w:lang w:eastAsia="en-AU"/>
        </w:rPr>
        <w:t>Office</w:t>
      </w:r>
      <w:r w:rsidRPr="00914AB3">
        <w:rPr>
          <w:rFonts w:ascii="Calibri" w:eastAsia="Calibri" w:hAnsi="Calibri"/>
          <w:spacing w:val="25"/>
          <w:szCs w:val="22"/>
          <w:lang w:eastAsia="en-AU"/>
        </w:rPr>
        <w:t xml:space="preserve"> </w:t>
      </w:r>
      <w:r w:rsidRPr="00914AB3">
        <w:rPr>
          <w:rFonts w:ascii="Calibri" w:eastAsia="Calibri" w:hAnsi="Calibri"/>
          <w:spacing w:val="1"/>
          <w:szCs w:val="22"/>
          <w:lang w:eastAsia="en-AU"/>
        </w:rPr>
        <w:t>of</w:t>
      </w:r>
      <w:r w:rsidRPr="00914AB3">
        <w:rPr>
          <w:rFonts w:ascii="Calibri" w:eastAsia="Calibri" w:hAnsi="Calibri"/>
          <w:spacing w:val="25"/>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27"/>
          <w:szCs w:val="22"/>
          <w:lang w:eastAsia="en-AU"/>
        </w:rPr>
        <w:t xml:space="preserve"> </w:t>
      </w:r>
      <w:r w:rsidRPr="00914AB3">
        <w:rPr>
          <w:rFonts w:ascii="Calibri" w:eastAsia="Calibri" w:hAnsi="Calibri"/>
          <w:spacing w:val="-1"/>
          <w:szCs w:val="22"/>
          <w:lang w:eastAsia="en-AU"/>
        </w:rPr>
        <w:t>Legislative</w:t>
      </w:r>
      <w:r w:rsidRPr="00914AB3">
        <w:rPr>
          <w:rFonts w:ascii="Calibri" w:eastAsia="Calibri" w:hAnsi="Calibri"/>
          <w:spacing w:val="25"/>
          <w:szCs w:val="22"/>
          <w:lang w:eastAsia="en-AU"/>
        </w:rPr>
        <w:t xml:space="preserve"> </w:t>
      </w:r>
      <w:r w:rsidRPr="00914AB3">
        <w:rPr>
          <w:rFonts w:ascii="Calibri" w:eastAsia="Calibri" w:hAnsi="Calibri"/>
          <w:szCs w:val="22"/>
          <w:lang w:eastAsia="en-AU"/>
        </w:rPr>
        <w:t>Assembly</w:t>
      </w:r>
      <w:r w:rsidRPr="00914AB3">
        <w:rPr>
          <w:rFonts w:ascii="Calibri" w:eastAsia="Calibri" w:hAnsi="Calibri"/>
          <w:spacing w:val="21"/>
          <w:szCs w:val="22"/>
          <w:lang w:eastAsia="en-AU"/>
        </w:rPr>
        <w:t xml:space="preserve"> </w:t>
      </w:r>
      <w:r w:rsidRPr="00914AB3">
        <w:rPr>
          <w:rFonts w:ascii="Calibri" w:eastAsia="Calibri" w:hAnsi="Calibri"/>
          <w:szCs w:val="22"/>
          <w:lang w:eastAsia="en-AU"/>
        </w:rPr>
        <w:t>to</w:t>
      </w:r>
      <w:r w:rsidRPr="00914AB3">
        <w:rPr>
          <w:rFonts w:ascii="Calibri" w:eastAsia="Calibri" w:hAnsi="Calibri"/>
          <w:spacing w:val="26"/>
          <w:szCs w:val="22"/>
          <w:lang w:eastAsia="en-AU"/>
        </w:rPr>
        <w:t xml:space="preserve"> </w:t>
      </w:r>
      <w:r w:rsidRPr="00914AB3">
        <w:rPr>
          <w:rFonts w:ascii="Calibri" w:eastAsia="Calibri" w:hAnsi="Calibri"/>
          <w:szCs w:val="22"/>
          <w:lang w:eastAsia="en-AU"/>
        </w:rPr>
        <w:t>provide</w:t>
      </w:r>
      <w:r w:rsidRPr="00914AB3">
        <w:rPr>
          <w:rFonts w:ascii="Calibri" w:eastAsia="Calibri" w:hAnsi="Calibri"/>
          <w:spacing w:val="25"/>
          <w:szCs w:val="22"/>
          <w:lang w:eastAsia="en-AU"/>
        </w:rPr>
        <w:t xml:space="preserve"> </w:t>
      </w:r>
      <w:r w:rsidRPr="00914AB3">
        <w:rPr>
          <w:rFonts w:ascii="Calibri" w:eastAsia="Calibri" w:hAnsi="Calibri"/>
          <w:spacing w:val="-1"/>
          <w:szCs w:val="22"/>
          <w:lang w:eastAsia="en-AU"/>
        </w:rPr>
        <w:t>administrative</w:t>
      </w:r>
      <w:r w:rsidRPr="00914AB3">
        <w:rPr>
          <w:rFonts w:ascii="Calibri" w:eastAsia="Calibri" w:hAnsi="Calibri"/>
          <w:spacing w:val="43"/>
          <w:szCs w:val="22"/>
          <w:lang w:eastAsia="en-AU"/>
        </w:rPr>
        <w:t xml:space="preserve"> </w:t>
      </w:r>
      <w:r w:rsidRPr="00914AB3">
        <w:rPr>
          <w:rFonts w:ascii="Calibri" w:eastAsia="Calibri" w:hAnsi="Calibri"/>
          <w:spacing w:val="-1"/>
          <w:szCs w:val="22"/>
          <w:lang w:eastAsia="en-AU"/>
        </w:rPr>
        <w:t>support</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to</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5"/>
          <w:szCs w:val="22"/>
          <w:lang w:eastAsia="en-AU"/>
        </w:rPr>
        <w:t xml:space="preserve"> </w:t>
      </w:r>
      <w:r w:rsidRPr="00914AB3">
        <w:rPr>
          <w:rFonts w:ascii="Calibri" w:eastAsia="Calibri" w:hAnsi="Calibri"/>
          <w:spacing w:val="-1"/>
          <w:szCs w:val="22"/>
          <w:lang w:eastAsia="en-AU"/>
        </w:rPr>
        <w:t>Speaker</w:t>
      </w:r>
      <w:r w:rsidRPr="00914AB3">
        <w:rPr>
          <w:rFonts w:ascii="Calibri" w:eastAsia="Calibri" w:hAnsi="Calibri"/>
          <w:spacing w:val="37"/>
          <w:szCs w:val="22"/>
          <w:lang w:eastAsia="en-AU"/>
        </w:rPr>
        <w:t xml:space="preserve"> </w:t>
      </w:r>
      <w:r w:rsidRPr="00914AB3">
        <w:rPr>
          <w:rFonts w:ascii="Calibri" w:eastAsia="Calibri" w:hAnsi="Calibri"/>
          <w:spacing w:val="1"/>
          <w:szCs w:val="22"/>
          <w:lang w:eastAsia="en-AU"/>
        </w:rPr>
        <w:t>in</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5"/>
          <w:szCs w:val="22"/>
          <w:lang w:eastAsia="en-AU"/>
        </w:rPr>
        <w:t xml:space="preserve"> </w:t>
      </w:r>
      <w:r w:rsidRPr="00914AB3">
        <w:rPr>
          <w:rFonts w:ascii="Calibri" w:eastAsia="Calibri" w:hAnsi="Calibri"/>
          <w:spacing w:val="-1"/>
          <w:szCs w:val="22"/>
          <w:lang w:eastAsia="en-AU"/>
        </w:rPr>
        <w:t>performance</w:t>
      </w:r>
      <w:r w:rsidRPr="00914AB3">
        <w:rPr>
          <w:rFonts w:ascii="Calibri" w:eastAsia="Calibri" w:hAnsi="Calibri"/>
          <w:spacing w:val="37"/>
          <w:szCs w:val="22"/>
          <w:lang w:eastAsia="en-AU"/>
        </w:rPr>
        <w:t xml:space="preserve"> </w:t>
      </w:r>
      <w:r w:rsidRPr="00914AB3">
        <w:rPr>
          <w:rFonts w:ascii="Calibri" w:eastAsia="Calibri" w:hAnsi="Calibri"/>
          <w:szCs w:val="22"/>
          <w:lang w:eastAsia="en-AU"/>
        </w:rPr>
        <w:t>of</w:t>
      </w:r>
      <w:r w:rsidRPr="00914AB3">
        <w:rPr>
          <w:rFonts w:ascii="Calibri" w:eastAsia="Calibri" w:hAnsi="Calibri"/>
          <w:spacing w:val="37"/>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5"/>
          <w:szCs w:val="22"/>
          <w:lang w:eastAsia="en-AU"/>
        </w:rPr>
        <w:t xml:space="preserve"> </w:t>
      </w:r>
      <w:r w:rsidRPr="00914AB3">
        <w:rPr>
          <w:rFonts w:ascii="Calibri" w:eastAsia="Calibri" w:hAnsi="Calibri"/>
          <w:spacing w:val="-1"/>
          <w:szCs w:val="22"/>
          <w:lang w:eastAsia="en-AU"/>
        </w:rPr>
        <w:t>Speaker’s</w:t>
      </w:r>
      <w:r w:rsidRPr="00914AB3">
        <w:rPr>
          <w:rFonts w:ascii="Calibri" w:eastAsia="Calibri" w:hAnsi="Calibri"/>
          <w:spacing w:val="38"/>
          <w:szCs w:val="22"/>
          <w:lang w:eastAsia="en-AU"/>
        </w:rPr>
        <w:t xml:space="preserve"> </w:t>
      </w:r>
      <w:r w:rsidRPr="00914AB3">
        <w:rPr>
          <w:rFonts w:ascii="Calibri" w:eastAsia="Calibri" w:hAnsi="Calibri"/>
          <w:spacing w:val="-1"/>
          <w:szCs w:val="22"/>
          <w:lang w:eastAsia="en-AU"/>
        </w:rPr>
        <w:t>role</w:t>
      </w:r>
      <w:r w:rsidRPr="00914AB3">
        <w:rPr>
          <w:rFonts w:ascii="Calibri" w:eastAsia="Calibri" w:hAnsi="Calibri"/>
          <w:spacing w:val="61"/>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pacing w:val="36"/>
          <w:szCs w:val="22"/>
          <w:lang w:eastAsia="en-AU"/>
        </w:rPr>
        <w:t xml:space="preserve"> </w:t>
      </w:r>
      <w:r w:rsidRPr="00914AB3">
        <w:rPr>
          <w:rFonts w:ascii="Calibri" w:eastAsia="Calibri" w:hAnsi="Calibri"/>
          <w:spacing w:val="-1"/>
          <w:szCs w:val="22"/>
          <w:lang w:eastAsia="en-AU"/>
        </w:rPr>
        <w:t>functions</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in</w:t>
      </w:r>
      <w:r w:rsidRPr="00914AB3">
        <w:rPr>
          <w:rFonts w:ascii="Calibri" w:eastAsia="Calibri" w:hAnsi="Calibri"/>
          <w:spacing w:val="38"/>
          <w:szCs w:val="22"/>
          <w:lang w:eastAsia="en-AU"/>
        </w:rPr>
        <w:t xml:space="preserve"> </w:t>
      </w:r>
      <w:r w:rsidRPr="00914AB3">
        <w:rPr>
          <w:rFonts w:ascii="Calibri" w:eastAsia="Calibri" w:hAnsi="Calibri"/>
          <w:spacing w:val="-1"/>
          <w:szCs w:val="22"/>
          <w:lang w:eastAsia="en-AU"/>
        </w:rPr>
        <w:t>relation</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to</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35"/>
          <w:szCs w:val="22"/>
          <w:lang w:eastAsia="en-AU"/>
        </w:rPr>
        <w:t xml:space="preserve"> </w:t>
      </w:r>
      <w:r w:rsidRPr="00914AB3">
        <w:rPr>
          <w:rFonts w:ascii="Calibri" w:eastAsia="Calibri" w:hAnsi="Calibri"/>
          <w:spacing w:val="-1"/>
          <w:szCs w:val="22"/>
          <w:lang w:eastAsia="en-AU"/>
        </w:rPr>
        <w:t>independent</w:t>
      </w:r>
      <w:r w:rsidRPr="00914AB3">
        <w:rPr>
          <w:rFonts w:ascii="Calibri" w:eastAsia="Calibri" w:hAnsi="Calibri"/>
          <w:spacing w:val="38"/>
          <w:szCs w:val="22"/>
          <w:lang w:eastAsia="en-AU"/>
        </w:rPr>
        <w:t xml:space="preserve"> </w:t>
      </w:r>
      <w:r w:rsidRPr="00914AB3">
        <w:rPr>
          <w:rFonts w:ascii="Calibri" w:eastAsia="Calibri" w:hAnsi="Calibri"/>
          <w:spacing w:val="-1"/>
          <w:szCs w:val="22"/>
          <w:lang w:eastAsia="en-AU"/>
        </w:rPr>
        <w:t>officers</w:t>
      </w:r>
      <w:r w:rsidRPr="00914AB3">
        <w:rPr>
          <w:rFonts w:ascii="Calibri" w:eastAsia="Calibri" w:hAnsi="Calibri"/>
          <w:spacing w:val="36"/>
          <w:szCs w:val="22"/>
          <w:lang w:eastAsia="en-AU"/>
        </w:rPr>
        <w:t xml:space="preserve"> </w:t>
      </w:r>
      <w:r w:rsidRPr="00914AB3">
        <w:rPr>
          <w:rFonts w:ascii="Calibri" w:eastAsia="Calibri" w:hAnsi="Calibri"/>
          <w:szCs w:val="22"/>
          <w:lang w:eastAsia="en-AU"/>
        </w:rPr>
        <w:t>of</w:t>
      </w:r>
      <w:r w:rsidRPr="00914AB3">
        <w:rPr>
          <w:rFonts w:ascii="Calibri" w:eastAsia="Calibri" w:hAnsi="Calibri"/>
          <w:spacing w:val="37"/>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63"/>
          <w:szCs w:val="22"/>
          <w:lang w:eastAsia="en-AU"/>
        </w:rPr>
        <w:t xml:space="preserve"> </w:t>
      </w:r>
      <w:r w:rsidRPr="00914AB3">
        <w:rPr>
          <w:rFonts w:ascii="Calibri" w:eastAsia="Calibri" w:hAnsi="Calibri"/>
          <w:spacing w:val="-1"/>
          <w:szCs w:val="22"/>
          <w:lang w:eastAsia="en-AU"/>
        </w:rPr>
        <w:t>Legislative</w:t>
      </w:r>
      <w:r w:rsidRPr="00914AB3">
        <w:rPr>
          <w:rFonts w:ascii="Calibri" w:eastAsia="Calibri" w:hAnsi="Calibri"/>
          <w:spacing w:val="1"/>
          <w:szCs w:val="22"/>
          <w:lang w:eastAsia="en-AU"/>
        </w:rPr>
        <w:t xml:space="preserve"> </w:t>
      </w:r>
      <w:r w:rsidRPr="00914AB3">
        <w:rPr>
          <w:rFonts w:ascii="Calibri" w:eastAsia="Calibri" w:hAnsi="Calibri"/>
          <w:spacing w:val="-1"/>
          <w:szCs w:val="22"/>
          <w:lang w:eastAsia="en-AU"/>
        </w:rPr>
        <w:t>Assembly;</w:t>
      </w:r>
      <w:r w:rsidRPr="00914AB3">
        <w:rPr>
          <w:rFonts w:ascii="Calibri" w:eastAsia="Calibri" w:hAnsi="Calibri"/>
          <w:spacing w:val="2"/>
          <w:szCs w:val="22"/>
          <w:lang w:eastAsia="en-AU"/>
        </w:rPr>
        <w:t xml:space="preserve"> </w:t>
      </w:r>
      <w:r w:rsidRPr="00914AB3">
        <w:rPr>
          <w:rFonts w:ascii="Calibri" w:eastAsia="Calibri" w:hAnsi="Calibri"/>
          <w:szCs w:val="22"/>
          <w:lang w:eastAsia="en-AU"/>
        </w:rPr>
        <w:t>and</w:t>
      </w:r>
    </w:p>
    <w:p w:rsidR="00914AB3" w:rsidRPr="00EA6396" w:rsidRDefault="00914AB3" w:rsidP="000070DF">
      <w:pPr>
        <w:numPr>
          <w:ilvl w:val="2"/>
          <w:numId w:val="13"/>
        </w:numPr>
        <w:tabs>
          <w:tab w:val="left" w:pos="1276"/>
        </w:tabs>
        <w:kinsoku w:val="0"/>
        <w:overflowPunct w:val="0"/>
        <w:autoSpaceDE w:val="0"/>
        <w:autoSpaceDN w:val="0"/>
        <w:adjustRightInd w:val="0"/>
        <w:spacing w:before="120" w:after="200" w:line="276" w:lineRule="auto"/>
        <w:ind w:left="1276" w:right="108" w:hanging="709"/>
        <w:jc w:val="both"/>
        <w:rPr>
          <w:rFonts w:ascii="Calibri" w:eastAsia="Calibri" w:hAnsi="Calibri"/>
          <w:szCs w:val="22"/>
          <w:lang w:eastAsia="en-AU"/>
        </w:rPr>
      </w:pPr>
      <w:r w:rsidRPr="00914AB3">
        <w:rPr>
          <w:rFonts w:ascii="Calibri" w:eastAsia="Calibri" w:hAnsi="Calibri"/>
          <w:spacing w:val="-1"/>
          <w:szCs w:val="22"/>
          <w:lang w:eastAsia="en-AU"/>
        </w:rPr>
        <w:t>consider</w:t>
      </w:r>
      <w:r w:rsidRPr="00914AB3">
        <w:rPr>
          <w:rFonts w:ascii="Calibri" w:eastAsia="Calibri" w:hAnsi="Calibri"/>
          <w:spacing w:val="28"/>
          <w:szCs w:val="22"/>
          <w:lang w:eastAsia="en-AU"/>
        </w:rPr>
        <w:t xml:space="preserve"> </w:t>
      </w:r>
      <w:r w:rsidRPr="00914AB3">
        <w:rPr>
          <w:rFonts w:ascii="Calibri" w:eastAsia="Calibri" w:hAnsi="Calibri"/>
          <w:spacing w:val="-1"/>
          <w:szCs w:val="22"/>
          <w:lang w:eastAsia="en-AU"/>
        </w:rPr>
        <w:t>and</w:t>
      </w:r>
      <w:r w:rsidRPr="00914AB3">
        <w:rPr>
          <w:rFonts w:ascii="Calibri" w:eastAsia="Calibri" w:hAnsi="Calibri"/>
          <w:spacing w:val="28"/>
          <w:szCs w:val="22"/>
          <w:lang w:eastAsia="en-AU"/>
        </w:rPr>
        <w:t xml:space="preserve"> </w:t>
      </w:r>
      <w:r w:rsidRPr="00914AB3">
        <w:rPr>
          <w:rFonts w:ascii="Calibri" w:eastAsia="Calibri" w:hAnsi="Calibri"/>
          <w:spacing w:val="-1"/>
          <w:szCs w:val="22"/>
          <w:lang w:eastAsia="en-AU"/>
        </w:rPr>
        <w:t>make</w:t>
      </w:r>
      <w:r w:rsidRPr="00914AB3">
        <w:rPr>
          <w:rFonts w:ascii="Calibri" w:eastAsia="Calibri" w:hAnsi="Calibri"/>
          <w:spacing w:val="27"/>
          <w:szCs w:val="22"/>
          <w:lang w:eastAsia="en-AU"/>
        </w:rPr>
        <w:t xml:space="preserve"> </w:t>
      </w:r>
      <w:r w:rsidRPr="00914AB3">
        <w:rPr>
          <w:rFonts w:ascii="Calibri" w:eastAsia="Calibri" w:hAnsi="Calibri"/>
          <w:spacing w:val="-1"/>
          <w:szCs w:val="22"/>
          <w:lang w:eastAsia="en-AU"/>
        </w:rPr>
        <w:t>recommendations</w:t>
      </w:r>
      <w:r w:rsidRPr="00914AB3">
        <w:rPr>
          <w:rFonts w:ascii="Calibri" w:eastAsia="Calibri" w:hAnsi="Calibri"/>
          <w:spacing w:val="29"/>
          <w:szCs w:val="22"/>
          <w:lang w:eastAsia="en-AU"/>
        </w:rPr>
        <w:t xml:space="preserve"> </w:t>
      </w:r>
      <w:r w:rsidRPr="00914AB3">
        <w:rPr>
          <w:rFonts w:ascii="Calibri" w:eastAsia="Calibri" w:hAnsi="Calibri"/>
          <w:szCs w:val="22"/>
          <w:lang w:eastAsia="en-AU"/>
        </w:rPr>
        <w:t>on</w:t>
      </w:r>
      <w:r w:rsidRPr="00914AB3">
        <w:rPr>
          <w:rFonts w:ascii="Calibri" w:eastAsia="Calibri" w:hAnsi="Calibri"/>
          <w:spacing w:val="28"/>
          <w:szCs w:val="22"/>
          <w:lang w:eastAsia="en-AU"/>
        </w:rPr>
        <w:t xml:space="preserve"> </w:t>
      </w:r>
      <w:r w:rsidRPr="00914AB3">
        <w:rPr>
          <w:rFonts w:ascii="Calibri" w:eastAsia="Calibri" w:hAnsi="Calibri"/>
          <w:szCs w:val="22"/>
          <w:lang w:eastAsia="en-AU"/>
        </w:rPr>
        <w:t>any</w:t>
      </w:r>
      <w:r w:rsidRPr="00914AB3">
        <w:rPr>
          <w:rFonts w:ascii="Calibri" w:eastAsia="Calibri" w:hAnsi="Calibri"/>
          <w:spacing w:val="21"/>
          <w:szCs w:val="22"/>
          <w:lang w:eastAsia="en-AU"/>
        </w:rPr>
        <w:t xml:space="preserve"> </w:t>
      </w:r>
      <w:r w:rsidRPr="00914AB3">
        <w:rPr>
          <w:rFonts w:ascii="Calibri" w:eastAsia="Calibri" w:hAnsi="Calibri"/>
          <w:szCs w:val="22"/>
          <w:lang w:eastAsia="en-AU"/>
        </w:rPr>
        <w:t>other</w:t>
      </w:r>
      <w:r w:rsidRPr="00914AB3">
        <w:rPr>
          <w:rFonts w:ascii="Calibri" w:eastAsia="Calibri" w:hAnsi="Calibri"/>
          <w:spacing w:val="28"/>
          <w:szCs w:val="22"/>
          <w:lang w:eastAsia="en-AU"/>
        </w:rPr>
        <w:t xml:space="preserve"> </w:t>
      </w:r>
      <w:r w:rsidRPr="00914AB3">
        <w:rPr>
          <w:rFonts w:ascii="Calibri" w:eastAsia="Calibri" w:hAnsi="Calibri"/>
          <w:spacing w:val="-1"/>
          <w:szCs w:val="22"/>
          <w:lang w:eastAsia="en-AU"/>
        </w:rPr>
        <w:t>matters</w:t>
      </w:r>
      <w:r w:rsidRPr="00914AB3">
        <w:rPr>
          <w:rFonts w:ascii="Calibri" w:eastAsia="Calibri" w:hAnsi="Calibri"/>
          <w:spacing w:val="29"/>
          <w:szCs w:val="22"/>
          <w:lang w:eastAsia="en-AU"/>
        </w:rPr>
        <w:t xml:space="preserve"> </w:t>
      </w:r>
      <w:r w:rsidRPr="00914AB3">
        <w:rPr>
          <w:rFonts w:ascii="Calibri" w:eastAsia="Calibri" w:hAnsi="Calibri"/>
          <w:spacing w:val="-1"/>
          <w:szCs w:val="22"/>
          <w:lang w:eastAsia="en-AU"/>
        </w:rPr>
        <w:t>raised</w:t>
      </w:r>
      <w:r w:rsidRPr="00914AB3">
        <w:rPr>
          <w:rFonts w:ascii="Calibri" w:eastAsia="Calibri" w:hAnsi="Calibri"/>
          <w:spacing w:val="66"/>
          <w:szCs w:val="22"/>
          <w:lang w:eastAsia="en-AU"/>
        </w:rPr>
        <w:t xml:space="preserve"> </w:t>
      </w:r>
      <w:r w:rsidRPr="00914AB3">
        <w:rPr>
          <w:rFonts w:ascii="Calibri" w:eastAsia="Calibri" w:hAnsi="Calibri"/>
          <w:szCs w:val="22"/>
          <w:lang w:eastAsia="en-AU"/>
        </w:rPr>
        <w:t>in</w:t>
      </w:r>
      <w:r w:rsidRPr="00914AB3">
        <w:rPr>
          <w:rFonts w:ascii="Calibri" w:eastAsia="Calibri" w:hAnsi="Calibri"/>
          <w:spacing w:val="57"/>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56"/>
          <w:szCs w:val="22"/>
          <w:lang w:eastAsia="en-AU"/>
        </w:rPr>
        <w:t xml:space="preserve"> </w:t>
      </w:r>
      <w:r w:rsidRPr="00914AB3">
        <w:rPr>
          <w:rFonts w:ascii="Calibri" w:eastAsia="Calibri" w:hAnsi="Calibri"/>
          <w:spacing w:val="-1"/>
          <w:szCs w:val="22"/>
          <w:lang w:eastAsia="en-AU"/>
        </w:rPr>
        <w:t>report</w:t>
      </w:r>
      <w:r w:rsidRPr="00914AB3">
        <w:rPr>
          <w:rFonts w:ascii="Calibri" w:eastAsia="Calibri" w:hAnsi="Calibri"/>
          <w:spacing w:val="58"/>
          <w:szCs w:val="22"/>
          <w:lang w:eastAsia="en-AU"/>
        </w:rPr>
        <w:t xml:space="preserve"> </w:t>
      </w:r>
      <w:r w:rsidRPr="00914AB3">
        <w:rPr>
          <w:rFonts w:ascii="Calibri" w:eastAsia="Calibri" w:hAnsi="Calibri"/>
          <w:szCs w:val="22"/>
          <w:lang w:eastAsia="en-AU"/>
        </w:rPr>
        <w:t>the</w:t>
      </w:r>
      <w:r w:rsidRPr="00914AB3">
        <w:rPr>
          <w:rFonts w:ascii="Calibri" w:eastAsia="Calibri" w:hAnsi="Calibri"/>
          <w:spacing w:val="56"/>
          <w:szCs w:val="22"/>
          <w:lang w:eastAsia="en-AU"/>
        </w:rPr>
        <w:t xml:space="preserve"> </w:t>
      </w:r>
      <w:r w:rsidRPr="00914AB3">
        <w:rPr>
          <w:rFonts w:ascii="Calibri" w:eastAsia="Calibri" w:hAnsi="Calibri"/>
          <w:spacing w:val="-1"/>
          <w:szCs w:val="22"/>
          <w:lang w:eastAsia="en-AU"/>
        </w:rPr>
        <w:t>committee</w:t>
      </w:r>
      <w:r w:rsidRPr="00914AB3">
        <w:rPr>
          <w:rFonts w:ascii="Calibri" w:eastAsia="Calibri" w:hAnsi="Calibri"/>
          <w:spacing w:val="56"/>
          <w:szCs w:val="22"/>
          <w:lang w:eastAsia="en-AU"/>
        </w:rPr>
        <w:t xml:space="preserve"> </w:t>
      </w:r>
      <w:r w:rsidRPr="00914AB3">
        <w:rPr>
          <w:rFonts w:ascii="Calibri" w:eastAsia="Calibri" w:hAnsi="Calibri"/>
          <w:spacing w:val="-1"/>
          <w:szCs w:val="22"/>
          <w:lang w:eastAsia="en-AU"/>
        </w:rPr>
        <w:t>considers</w:t>
      </w:r>
      <w:r w:rsidRPr="00914AB3">
        <w:rPr>
          <w:rFonts w:ascii="Calibri" w:eastAsia="Calibri" w:hAnsi="Calibri"/>
          <w:spacing w:val="57"/>
          <w:szCs w:val="22"/>
          <w:lang w:eastAsia="en-AU"/>
        </w:rPr>
        <w:t xml:space="preserve"> </w:t>
      </w:r>
      <w:r w:rsidR="00AA0826" w:rsidRPr="00914AB3">
        <w:rPr>
          <w:rFonts w:ascii="Calibri" w:eastAsia="Calibri" w:hAnsi="Calibri"/>
          <w:spacing w:val="-1"/>
          <w:szCs w:val="22"/>
          <w:lang w:eastAsia="en-AU"/>
        </w:rPr>
        <w:t>relevant</w:t>
      </w:r>
      <w:r w:rsidR="00AA0826" w:rsidRPr="00914AB3">
        <w:rPr>
          <w:rFonts w:ascii="Calibri" w:eastAsia="Calibri" w:hAnsi="Calibri"/>
          <w:szCs w:val="22"/>
          <w:lang w:eastAsia="en-AU"/>
        </w:rPr>
        <w:t xml:space="preserve"> according</w:t>
      </w:r>
      <w:r w:rsidRPr="00914AB3">
        <w:rPr>
          <w:rFonts w:ascii="Calibri" w:eastAsia="Calibri" w:hAnsi="Calibri"/>
          <w:spacing w:val="55"/>
          <w:szCs w:val="22"/>
          <w:lang w:eastAsia="en-AU"/>
        </w:rPr>
        <w:t xml:space="preserve"> </w:t>
      </w:r>
      <w:r w:rsidRPr="00914AB3">
        <w:rPr>
          <w:rFonts w:ascii="Calibri" w:eastAsia="Calibri" w:hAnsi="Calibri"/>
          <w:szCs w:val="22"/>
          <w:lang w:eastAsia="en-AU"/>
        </w:rPr>
        <w:t>to</w:t>
      </w:r>
      <w:r w:rsidRPr="00914AB3">
        <w:rPr>
          <w:rFonts w:ascii="Calibri" w:eastAsia="Calibri" w:hAnsi="Calibri"/>
          <w:spacing w:val="57"/>
          <w:szCs w:val="22"/>
          <w:lang w:eastAsia="en-AU"/>
        </w:rPr>
        <w:t xml:space="preserve"> </w:t>
      </w:r>
      <w:r w:rsidRPr="00914AB3">
        <w:rPr>
          <w:rFonts w:ascii="Calibri" w:eastAsia="Calibri" w:hAnsi="Calibri"/>
          <w:szCs w:val="22"/>
          <w:lang w:eastAsia="en-AU"/>
        </w:rPr>
        <w:t xml:space="preserve">its </w:t>
      </w:r>
      <w:r w:rsidRPr="00914AB3">
        <w:rPr>
          <w:rFonts w:ascii="Calibri" w:eastAsia="Calibri" w:hAnsi="Calibri"/>
          <w:spacing w:val="-1"/>
          <w:szCs w:val="22"/>
          <w:lang w:eastAsia="en-AU"/>
        </w:rPr>
        <w:t>terms</w:t>
      </w:r>
      <w:r w:rsidRPr="00914AB3">
        <w:rPr>
          <w:rFonts w:ascii="Calibri" w:eastAsia="Calibri" w:hAnsi="Calibri"/>
          <w:szCs w:val="22"/>
          <w:lang w:eastAsia="en-AU"/>
        </w:rPr>
        <w:t xml:space="preserve"> of</w:t>
      </w:r>
      <w:r w:rsidRPr="00914AB3">
        <w:rPr>
          <w:rFonts w:ascii="Calibri" w:eastAsia="Calibri" w:hAnsi="Calibri"/>
          <w:spacing w:val="-1"/>
          <w:szCs w:val="22"/>
          <w:lang w:eastAsia="en-AU"/>
        </w:rPr>
        <w:t xml:space="preserve"> reference.</w:t>
      </w:r>
    </w:p>
    <w:p w:rsidR="008E58F7" w:rsidRDefault="008E58F7" w:rsidP="000070DF">
      <w:pPr>
        <w:rPr>
          <w:rFonts w:eastAsia="Calibri" w:cstheme="majorHAnsi"/>
          <w:smallCaps/>
          <w:sz w:val="36"/>
          <w:szCs w:val="36"/>
          <w:lang w:eastAsia="en-AU"/>
        </w:rPr>
      </w:pPr>
      <w:r>
        <w:rPr>
          <w:rFonts w:eastAsia="Calibri"/>
          <w:lang w:eastAsia="en-AU"/>
        </w:rPr>
        <w:br w:type="page"/>
      </w:r>
    </w:p>
    <w:p w:rsidR="00EA6396" w:rsidRPr="00914AB3" w:rsidRDefault="008E58F7" w:rsidP="000070DF">
      <w:pPr>
        <w:pStyle w:val="Heading2"/>
        <w:keepNext w:val="0"/>
        <w:spacing w:before="360" w:after="240"/>
        <w:rPr>
          <w:rFonts w:eastAsia="Calibri"/>
          <w:lang w:eastAsia="en-AU"/>
        </w:rPr>
      </w:pPr>
      <w:bookmarkStart w:id="47" w:name="_Toc457901177"/>
      <w:r>
        <w:rPr>
          <w:rFonts w:eastAsia="Calibri"/>
          <w:lang w:eastAsia="en-AU"/>
        </w:rPr>
        <w:lastRenderedPageBreak/>
        <w:t>Table of contents</w:t>
      </w:r>
      <w:bookmarkEnd w:id="47"/>
    </w:p>
    <w:bookmarkStart w:id="48" w:name="_Toc328573474"/>
    <w:bookmarkStart w:id="49" w:name="_Toc328574162"/>
    <w:p w:rsidR="00AA516A" w:rsidRDefault="004708EC" w:rsidP="00AA516A">
      <w:pPr>
        <w:pStyle w:val="TOC2"/>
        <w:spacing w:before="240" w:after="240"/>
      </w:pPr>
      <w:r>
        <w:rPr>
          <w:sz w:val="30"/>
          <w:szCs w:val="30"/>
        </w:rPr>
        <w:fldChar w:fldCharType="begin"/>
      </w:r>
      <w:r w:rsidR="00EA6396">
        <w:rPr>
          <w:sz w:val="30"/>
          <w:szCs w:val="30"/>
        </w:rPr>
        <w:instrText xml:space="preserve"> TOC \o "1-1" \h \z \t "Heading 2,2,Heading 3,3" </w:instrText>
      </w:r>
      <w:r>
        <w:rPr>
          <w:sz w:val="30"/>
          <w:szCs w:val="30"/>
        </w:rPr>
        <w:fldChar w:fldCharType="separate"/>
      </w:r>
      <w:hyperlink w:anchor="_Toc457901172" w:history="1">
        <w:r w:rsidR="00AA516A" w:rsidRPr="000261D9">
          <w:rPr>
            <w:rStyle w:val="Hyperlink"/>
          </w:rPr>
          <w:t>Committee membership</w:t>
        </w:r>
        <w:r w:rsidR="00AA516A">
          <w:rPr>
            <w:webHidden/>
          </w:rPr>
          <w:tab/>
        </w:r>
        <w:r>
          <w:rPr>
            <w:webHidden/>
          </w:rPr>
          <w:fldChar w:fldCharType="begin"/>
        </w:r>
        <w:r w:rsidR="00AA516A">
          <w:rPr>
            <w:webHidden/>
          </w:rPr>
          <w:instrText xml:space="preserve"> PAGEREF _Toc457901172 \h </w:instrText>
        </w:r>
        <w:r>
          <w:rPr>
            <w:webHidden/>
          </w:rPr>
        </w:r>
        <w:r>
          <w:rPr>
            <w:webHidden/>
          </w:rPr>
          <w:fldChar w:fldCharType="separate"/>
        </w:r>
        <w:r w:rsidR="00C92D31">
          <w:rPr>
            <w:webHidden/>
          </w:rPr>
          <w:t>i</w:t>
        </w:r>
        <w:r>
          <w:rPr>
            <w:webHidden/>
          </w:rPr>
          <w:fldChar w:fldCharType="end"/>
        </w:r>
      </w:hyperlink>
    </w:p>
    <w:p w:rsidR="00AA516A" w:rsidRDefault="004708EC" w:rsidP="00AA516A">
      <w:pPr>
        <w:pStyle w:val="TOC2"/>
        <w:spacing w:before="240" w:after="240"/>
      </w:pPr>
      <w:hyperlink w:anchor="_Toc457901173" w:history="1">
        <w:r w:rsidR="00AA516A" w:rsidRPr="000261D9">
          <w:rPr>
            <w:rStyle w:val="Hyperlink"/>
          </w:rPr>
          <w:t>Secretariat</w:t>
        </w:r>
        <w:r w:rsidR="00AA516A">
          <w:rPr>
            <w:webHidden/>
          </w:rPr>
          <w:tab/>
        </w:r>
        <w:r>
          <w:rPr>
            <w:webHidden/>
          </w:rPr>
          <w:fldChar w:fldCharType="begin"/>
        </w:r>
        <w:r w:rsidR="00AA516A">
          <w:rPr>
            <w:webHidden/>
          </w:rPr>
          <w:instrText xml:space="preserve"> PAGEREF _Toc457901173 \h </w:instrText>
        </w:r>
        <w:r>
          <w:rPr>
            <w:webHidden/>
          </w:rPr>
        </w:r>
        <w:r>
          <w:rPr>
            <w:webHidden/>
          </w:rPr>
          <w:fldChar w:fldCharType="separate"/>
        </w:r>
        <w:r w:rsidR="00C92D31">
          <w:rPr>
            <w:webHidden/>
          </w:rPr>
          <w:t>i</w:t>
        </w:r>
        <w:r>
          <w:rPr>
            <w:webHidden/>
          </w:rPr>
          <w:fldChar w:fldCharType="end"/>
        </w:r>
      </w:hyperlink>
    </w:p>
    <w:p w:rsidR="00AA516A" w:rsidRDefault="004708EC" w:rsidP="00AA516A">
      <w:pPr>
        <w:pStyle w:val="TOC2"/>
        <w:spacing w:before="240" w:after="240"/>
      </w:pPr>
      <w:hyperlink w:anchor="_Toc457901174" w:history="1">
        <w:r w:rsidR="00AA516A" w:rsidRPr="000261D9">
          <w:rPr>
            <w:rStyle w:val="Hyperlink"/>
          </w:rPr>
          <w:t>Contact information</w:t>
        </w:r>
        <w:r w:rsidR="00AA516A">
          <w:rPr>
            <w:webHidden/>
          </w:rPr>
          <w:tab/>
        </w:r>
        <w:r>
          <w:rPr>
            <w:webHidden/>
          </w:rPr>
          <w:fldChar w:fldCharType="begin"/>
        </w:r>
        <w:r w:rsidR="00AA516A">
          <w:rPr>
            <w:webHidden/>
          </w:rPr>
          <w:instrText xml:space="preserve"> PAGEREF _Toc457901174 \h </w:instrText>
        </w:r>
        <w:r>
          <w:rPr>
            <w:webHidden/>
          </w:rPr>
        </w:r>
        <w:r>
          <w:rPr>
            <w:webHidden/>
          </w:rPr>
          <w:fldChar w:fldCharType="separate"/>
        </w:r>
        <w:r w:rsidR="00C92D31">
          <w:rPr>
            <w:webHidden/>
          </w:rPr>
          <w:t>i</w:t>
        </w:r>
        <w:r>
          <w:rPr>
            <w:webHidden/>
          </w:rPr>
          <w:fldChar w:fldCharType="end"/>
        </w:r>
      </w:hyperlink>
    </w:p>
    <w:p w:rsidR="00AA516A" w:rsidRDefault="004708EC" w:rsidP="00AA516A">
      <w:pPr>
        <w:pStyle w:val="TOC2"/>
        <w:spacing w:before="240" w:after="240"/>
      </w:pPr>
      <w:hyperlink w:anchor="_Toc457901175" w:history="1">
        <w:r w:rsidR="00AA516A" w:rsidRPr="000261D9">
          <w:rPr>
            <w:rStyle w:val="Hyperlink"/>
          </w:rPr>
          <w:t>Resolution of appointment</w:t>
        </w:r>
        <w:r w:rsidR="00AA516A">
          <w:rPr>
            <w:webHidden/>
          </w:rPr>
          <w:tab/>
        </w:r>
        <w:r>
          <w:rPr>
            <w:webHidden/>
          </w:rPr>
          <w:fldChar w:fldCharType="begin"/>
        </w:r>
        <w:r w:rsidR="00AA516A">
          <w:rPr>
            <w:webHidden/>
          </w:rPr>
          <w:instrText xml:space="preserve"> PAGEREF _Toc457901175 \h </w:instrText>
        </w:r>
        <w:r>
          <w:rPr>
            <w:webHidden/>
          </w:rPr>
        </w:r>
        <w:r>
          <w:rPr>
            <w:webHidden/>
          </w:rPr>
          <w:fldChar w:fldCharType="separate"/>
        </w:r>
        <w:r w:rsidR="00C92D31">
          <w:rPr>
            <w:webHidden/>
          </w:rPr>
          <w:t>i</w:t>
        </w:r>
        <w:r>
          <w:rPr>
            <w:webHidden/>
          </w:rPr>
          <w:fldChar w:fldCharType="end"/>
        </w:r>
      </w:hyperlink>
    </w:p>
    <w:p w:rsidR="00AA516A" w:rsidRDefault="004708EC" w:rsidP="00AA516A">
      <w:pPr>
        <w:pStyle w:val="TOC2"/>
        <w:spacing w:before="240" w:after="240"/>
      </w:pPr>
      <w:hyperlink w:anchor="_Toc457901176" w:history="1">
        <w:r w:rsidR="00AA516A" w:rsidRPr="000261D9">
          <w:rPr>
            <w:rStyle w:val="Hyperlink"/>
          </w:rPr>
          <w:t>Terms of reference</w:t>
        </w:r>
        <w:r w:rsidR="00AA516A">
          <w:rPr>
            <w:webHidden/>
          </w:rPr>
          <w:tab/>
        </w:r>
        <w:r>
          <w:rPr>
            <w:webHidden/>
          </w:rPr>
          <w:fldChar w:fldCharType="begin"/>
        </w:r>
        <w:r w:rsidR="00AA516A">
          <w:rPr>
            <w:webHidden/>
          </w:rPr>
          <w:instrText xml:space="preserve"> PAGEREF _Toc457901176 \h </w:instrText>
        </w:r>
        <w:r>
          <w:rPr>
            <w:webHidden/>
          </w:rPr>
        </w:r>
        <w:r>
          <w:rPr>
            <w:webHidden/>
          </w:rPr>
          <w:fldChar w:fldCharType="separate"/>
        </w:r>
        <w:r w:rsidR="00C92D31">
          <w:rPr>
            <w:webHidden/>
          </w:rPr>
          <w:t>ii</w:t>
        </w:r>
        <w:r>
          <w:rPr>
            <w:webHidden/>
          </w:rPr>
          <w:fldChar w:fldCharType="end"/>
        </w:r>
      </w:hyperlink>
    </w:p>
    <w:p w:rsidR="00AA516A" w:rsidRDefault="004708EC" w:rsidP="00AA516A">
      <w:pPr>
        <w:pStyle w:val="TOC2"/>
        <w:spacing w:before="240" w:after="240"/>
      </w:pPr>
      <w:hyperlink w:anchor="_Toc457901177" w:history="1">
        <w:r w:rsidR="00AA516A" w:rsidRPr="000261D9">
          <w:rPr>
            <w:rStyle w:val="Hyperlink"/>
            <w:rFonts w:eastAsia="Calibri"/>
          </w:rPr>
          <w:t>Table of contents</w:t>
        </w:r>
        <w:r w:rsidR="00AA516A">
          <w:rPr>
            <w:webHidden/>
          </w:rPr>
          <w:tab/>
        </w:r>
        <w:r>
          <w:rPr>
            <w:webHidden/>
          </w:rPr>
          <w:fldChar w:fldCharType="begin"/>
        </w:r>
        <w:r w:rsidR="00AA516A">
          <w:rPr>
            <w:webHidden/>
          </w:rPr>
          <w:instrText xml:space="preserve"> PAGEREF _Toc457901177 \h </w:instrText>
        </w:r>
        <w:r>
          <w:rPr>
            <w:webHidden/>
          </w:rPr>
        </w:r>
        <w:r>
          <w:rPr>
            <w:webHidden/>
          </w:rPr>
          <w:fldChar w:fldCharType="separate"/>
        </w:r>
        <w:r w:rsidR="00C92D31">
          <w:rPr>
            <w:webHidden/>
          </w:rPr>
          <w:t>iii</w:t>
        </w:r>
        <w:r>
          <w:rPr>
            <w:webHidden/>
          </w:rPr>
          <w:fldChar w:fldCharType="end"/>
        </w:r>
      </w:hyperlink>
    </w:p>
    <w:p w:rsidR="00AA516A" w:rsidRDefault="004708EC" w:rsidP="00AA516A">
      <w:pPr>
        <w:pStyle w:val="TOC2"/>
        <w:spacing w:before="240" w:after="240"/>
      </w:pPr>
      <w:hyperlink w:anchor="_Toc457901178" w:history="1">
        <w:r w:rsidR="00AA516A" w:rsidRPr="000261D9">
          <w:rPr>
            <w:rStyle w:val="Hyperlink"/>
          </w:rPr>
          <w:t>Recommendations</w:t>
        </w:r>
        <w:r w:rsidR="00AA516A">
          <w:rPr>
            <w:webHidden/>
          </w:rPr>
          <w:tab/>
        </w:r>
        <w:r>
          <w:rPr>
            <w:webHidden/>
          </w:rPr>
          <w:fldChar w:fldCharType="begin"/>
        </w:r>
        <w:r w:rsidR="00AA516A">
          <w:rPr>
            <w:webHidden/>
          </w:rPr>
          <w:instrText xml:space="preserve"> PAGEREF _Toc457901178 \h </w:instrText>
        </w:r>
        <w:r>
          <w:rPr>
            <w:webHidden/>
          </w:rPr>
        </w:r>
        <w:r>
          <w:rPr>
            <w:webHidden/>
          </w:rPr>
          <w:fldChar w:fldCharType="separate"/>
        </w:r>
        <w:r w:rsidR="00C92D31">
          <w:rPr>
            <w:webHidden/>
          </w:rPr>
          <w:t>1</w:t>
        </w:r>
        <w:r>
          <w:rPr>
            <w:webHidden/>
          </w:rPr>
          <w:fldChar w:fldCharType="end"/>
        </w:r>
      </w:hyperlink>
    </w:p>
    <w:p w:rsidR="00AA516A" w:rsidRDefault="004708EC" w:rsidP="00AA516A">
      <w:pPr>
        <w:pStyle w:val="TOC3"/>
        <w:spacing w:before="240" w:after="240"/>
      </w:pPr>
      <w:hyperlink w:anchor="_Toc457901179" w:history="1">
        <w:r w:rsidR="00AA516A" w:rsidRPr="000261D9">
          <w:rPr>
            <w:rStyle w:val="Hyperlink"/>
          </w:rPr>
          <w:t>Recommendation 1</w:t>
        </w:r>
        <w:r w:rsidR="00AA516A">
          <w:rPr>
            <w:webHidden/>
          </w:rPr>
          <w:tab/>
        </w:r>
        <w:r>
          <w:rPr>
            <w:webHidden/>
          </w:rPr>
          <w:fldChar w:fldCharType="begin"/>
        </w:r>
        <w:r w:rsidR="00AA516A">
          <w:rPr>
            <w:webHidden/>
          </w:rPr>
          <w:instrText xml:space="preserve"> PAGEREF _Toc457901179 \h </w:instrText>
        </w:r>
        <w:r>
          <w:rPr>
            <w:webHidden/>
          </w:rPr>
        </w:r>
        <w:r>
          <w:rPr>
            <w:webHidden/>
          </w:rPr>
          <w:fldChar w:fldCharType="separate"/>
        </w:r>
        <w:r w:rsidR="00C92D31">
          <w:rPr>
            <w:webHidden/>
          </w:rPr>
          <w:t>1</w:t>
        </w:r>
        <w:r>
          <w:rPr>
            <w:webHidden/>
          </w:rPr>
          <w:fldChar w:fldCharType="end"/>
        </w:r>
      </w:hyperlink>
    </w:p>
    <w:p w:rsidR="00AA516A" w:rsidRDefault="004708EC" w:rsidP="006377EA">
      <w:pPr>
        <w:pStyle w:val="TOC3"/>
        <w:spacing w:before="240" w:after="240"/>
      </w:pPr>
      <w:hyperlink w:anchor="_Toc457901180" w:history="1">
        <w:r w:rsidR="00AA516A" w:rsidRPr="000261D9">
          <w:rPr>
            <w:rStyle w:val="Hyperlink"/>
          </w:rPr>
          <w:t>Recommendation 2</w:t>
        </w:r>
        <w:r w:rsidR="00AA516A">
          <w:rPr>
            <w:webHidden/>
          </w:rPr>
          <w:tab/>
        </w:r>
        <w:r>
          <w:rPr>
            <w:webHidden/>
          </w:rPr>
          <w:fldChar w:fldCharType="begin"/>
        </w:r>
        <w:r w:rsidR="00AA516A">
          <w:rPr>
            <w:webHidden/>
          </w:rPr>
          <w:instrText xml:space="preserve"> PAGEREF _Toc457901180 \h </w:instrText>
        </w:r>
        <w:r>
          <w:rPr>
            <w:webHidden/>
          </w:rPr>
        </w:r>
        <w:r>
          <w:rPr>
            <w:webHidden/>
          </w:rPr>
          <w:fldChar w:fldCharType="separate"/>
        </w:r>
        <w:r w:rsidR="00C92D31">
          <w:rPr>
            <w:webHidden/>
          </w:rPr>
          <w:t>1</w:t>
        </w:r>
        <w:r>
          <w:rPr>
            <w:webHidden/>
          </w:rPr>
          <w:fldChar w:fldCharType="end"/>
        </w:r>
      </w:hyperlink>
    </w:p>
    <w:p w:rsidR="00AA516A" w:rsidRDefault="004708EC" w:rsidP="006377EA">
      <w:pPr>
        <w:pStyle w:val="TOC3"/>
        <w:spacing w:before="240" w:after="240"/>
      </w:pPr>
      <w:hyperlink w:anchor="_Toc457901181" w:history="1">
        <w:r w:rsidR="00AA516A" w:rsidRPr="000261D9">
          <w:rPr>
            <w:rStyle w:val="Hyperlink"/>
          </w:rPr>
          <w:t>Recommendation 3</w:t>
        </w:r>
        <w:r w:rsidR="00AA516A">
          <w:rPr>
            <w:webHidden/>
          </w:rPr>
          <w:tab/>
        </w:r>
        <w:r>
          <w:rPr>
            <w:webHidden/>
          </w:rPr>
          <w:fldChar w:fldCharType="begin"/>
        </w:r>
        <w:r w:rsidR="00AA516A">
          <w:rPr>
            <w:webHidden/>
          </w:rPr>
          <w:instrText xml:space="preserve"> PAGEREF _Toc457901181 \h </w:instrText>
        </w:r>
        <w:r>
          <w:rPr>
            <w:webHidden/>
          </w:rPr>
        </w:r>
        <w:r>
          <w:rPr>
            <w:webHidden/>
          </w:rPr>
          <w:fldChar w:fldCharType="separate"/>
        </w:r>
        <w:r w:rsidR="00C92D31">
          <w:rPr>
            <w:webHidden/>
          </w:rPr>
          <w:t>1</w:t>
        </w:r>
        <w:r>
          <w:rPr>
            <w:webHidden/>
          </w:rPr>
          <w:fldChar w:fldCharType="end"/>
        </w:r>
      </w:hyperlink>
    </w:p>
    <w:p w:rsidR="00AA516A" w:rsidRDefault="004708EC" w:rsidP="006377EA">
      <w:pPr>
        <w:pStyle w:val="TOC1"/>
        <w:spacing w:before="240"/>
        <w:rPr>
          <w:rFonts w:cstheme="minorBidi"/>
          <w:smallCaps w:val="0"/>
          <w:sz w:val="22"/>
          <w:szCs w:val="22"/>
        </w:rPr>
      </w:pPr>
      <w:hyperlink w:anchor="_Toc457901182" w:history="1">
        <w:r w:rsidR="00AA516A" w:rsidRPr="000261D9">
          <w:rPr>
            <w:rStyle w:val="Hyperlink"/>
          </w:rPr>
          <w:t>1.</w:t>
        </w:r>
        <w:r w:rsidR="00AA516A">
          <w:rPr>
            <w:rFonts w:cstheme="minorBidi"/>
            <w:smallCaps w:val="0"/>
            <w:sz w:val="22"/>
            <w:szCs w:val="22"/>
          </w:rPr>
          <w:tab/>
        </w:r>
        <w:r w:rsidR="00AA516A" w:rsidRPr="000261D9">
          <w:rPr>
            <w:rStyle w:val="Hyperlink"/>
          </w:rPr>
          <w:t>Issues</w:t>
        </w:r>
        <w:r w:rsidR="00AA516A">
          <w:rPr>
            <w:webHidden/>
          </w:rPr>
          <w:tab/>
        </w:r>
        <w:r>
          <w:rPr>
            <w:webHidden/>
          </w:rPr>
          <w:fldChar w:fldCharType="begin"/>
        </w:r>
        <w:r w:rsidR="00AA516A">
          <w:rPr>
            <w:webHidden/>
          </w:rPr>
          <w:instrText xml:space="preserve"> PAGEREF _Toc457901182 \h </w:instrText>
        </w:r>
        <w:r>
          <w:rPr>
            <w:webHidden/>
          </w:rPr>
        </w:r>
        <w:r>
          <w:rPr>
            <w:webHidden/>
          </w:rPr>
          <w:fldChar w:fldCharType="separate"/>
        </w:r>
        <w:r w:rsidR="00C92D31">
          <w:rPr>
            <w:webHidden/>
          </w:rPr>
          <w:t>2</w:t>
        </w:r>
        <w:r>
          <w:rPr>
            <w:webHidden/>
          </w:rPr>
          <w:fldChar w:fldCharType="end"/>
        </w:r>
      </w:hyperlink>
    </w:p>
    <w:p w:rsidR="00AA516A" w:rsidRDefault="004708EC" w:rsidP="00AA516A">
      <w:pPr>
        <w:pStyle w:val="TOC2"/>
        <w:spacing w:before="240" w:after="240"/>
      </w:pPr>
      <w:hyperlink w:anchor="_Toc457901183" w:history="1">
        <w:r w:rsidR="00AA516A" w:rsidRPr="000261D9">
          <w:rPr>
            <w:rStyle w:val="Hyperlink"/>
          </w:rPr>
          <w:t>Conduct of the inquiry</w:t>
        </w:r>
        <w:r w:rsidR="00AA516A">
          <w:rPr>
            <w:webHidden/>
          </w:rPr>
          <w:tab/>
        </w:r>
        <w:r>
          <w:rPr>
            <w:webHidden/>
          </w:rPr>
          <w:fldChar w:fldCharType="begin"/>
        </w:r>
        <w:r w:rsidR="00AA516A">
          <w:rPr>
            <w:webHidden/>
          </w:rPr>
          <w:instrText xml:space="preserve"> PAGEREF _Toc457901183 \h </w:instrText>
        </w:r>
        <w:r>
          <w:rPr>
            <w:webHidden/>
          </w:rPr>
        </w:r>
        <w:r>
          <w:rPr>
            <w:webHidden/>
          </w:rPr>
          <w:fldChar w:fldCharType="separate"/>
        </w:r>
        <w:r w:rsidR="00C92D31">
          <w:rPr>
            <w:webHidden/>
          </w:rPr>
          <w:t>2</w:t>
        </w:r>
        <w:r>
          <w:rPr>
            <w:webHidden/>
          </w:rPr>
          <w:fldChar w:fldCharType="end"/>
        </w:r>
      </w:hyperlink>
    </w:p>
    <w:p w:rsidR="00AA516A" w:rsidRDefault="004708EC" w:rsidP="00AA516A">
      <w:pPr>
        <w:pStyle w:val="TOC2"/>
        <w:spacing w:before="240" w:after="240"/>
      </w:pPr>
      <w:hyperlink w:anchor="_Toc457901184" w:history="1">
        <w:r w:rsidR="00AA516A" w:rsidRPr="000261D9">
          <w:rPr>
            <w:rStyle w:val="Hyperlink"/>
          </w:rPr>
          <w:t>Background</w:t>
        </w:r>
        <w:r w:rsidR="00AA516A">
          <w:rPr>
            <w:webHidden/>
          </w:rPr>
          <w:tab/>
        </w:r>
        <w:r>
          <w:rPr>
            <w:webHidden/>
          </w:rPr>
          <w:fldChar w:fldCharType="begin"/>
        </w:r>
        <w:r w:rsidR="00AA516A">
          <w:rPr>
            <w:webHidden/>
          </w:rPr>
          <w:instrText xml:space="preserve"> PAGEREF _Toc457901184 \h </w:instrText>
        </w:r>
        <w:r>
          <w:rPr>
            <w:webHidden/>
          </w:rPr>
        </w:r>
        <w:r>
          <w:rPr>
            <w:webHidden/>
          </w:rPr>
          <w:fldChar w:fldCharType="separate"/>
        </w:r>
        <w:r w:rsidR="00C92D31">
          <w:rPr>
            <w:webHidden/>
          </w:rPr>
          <w:t>3</w:t>
        </w:r>
        <w:r>
          <w:rPr>
            <w:webHidden/>
          </w:rPr>
          <w:fldChar w:fldCharType="end"/>
        </w:r>
      </w:hyperlink>
    </w:p>
    <w:p w:rsidR="00AA516A" w:rsidRDefault="004708EC" w:rsidP="00AA516A">
      <w:pPr>
        <w:pStyle w:val="TOC3"/>
        <w:spacing w:before="240" w:after="240"/>
      </w:pPr>
      <w:hyperlink w:anchor="_Toc457901185" w:history="1">
        <w:r w:rsidR="00AA516A" w:rsidRPr="000261D9">
          <w:rPr>
            <w:rStyle w:val="Hyperlink"/>
          </w:rPr>
          <w:t>Matters raised in the report on the strategic review</w:t>
        </w:r>
        <w:r w:rsidR="00AA516A">
          <w:rPr>
            <w:webHidden/>
          </w:rPr>
          <w:tab/>
        </w:r>
        <w:r>
          <w:rPr>
            <w:webHidden/>
          </w:rPr>
          <w:fldChar w:fldCharType="begin"/>
        </w:r>
        <w:r w:rsidR="00AA516A">
          <w:rPr>
            <w:webHidden/>
          </w:rPr>
          <w:instrText xml:space="preserve"> PAGEREF _Toc457901185 \h </w:instrText>
        </w:r>
        <w:r>
          <w:rPr>
            <w:webHidden/>
          </w:rPr>
        </w:r>
        <w:r>
          <w:rPr>
            <w:webHidden/>
          </w:rPr>
          <w:fldChar w:fldCharType="separate"/>
        </w:r>
        <w:r w:rsidR="00C92D31">
          <w:rPr>
            <w:webHidden/>
          </w:rPr>
          <w:t>3</w:t>
        </w:r>
        <w:r>
          <w:rPr>
            <w:webHidden/>
          </w:rPr>
          <w:fldChar w:fldCharType="end"/>
        </w:r>
      </w:hyperlink>
    </w:p>
    <w:p w:rsidR="00AA516A" w:rsidRDefault="004708EC" w:rsidP="00AA516A">
      <w:pPr>
        <w:pStyle w:val="TOC3"/>
        <w:spacing w:before="240" w:after="240"/>
      </w:pPr>
      <w:hyperlink w:anchor="_Toc457901186" w:history="1">
        <w:r w:rsidR="00AA516A" w:rsidRPr="000261D9">
          <w:rPr>
            <w:rStyle w:val="Hyperlink"/>
          </w:rPr>
          <w:t>The Office of the Legislative Assembly</w:t>
        </w:r>
        <w:r w:rsidR="00AA516A">
          <w:rPr>
            <w:webHidden/>
          </w:rPr>
          <w:tab/>
        </w:r>
        <w:r>
          <w:rPr>
            <w:webHidden/>
          </w:rPr>
          <w:fldChar w:fldCharType="begin"/>
        </w:r>
        <w:r w:rsidR="00AA516A">
          <w:rPr>
            <w:webHidden/>
          </w:rPr>
          <w:instrText xml:space="preserve"> PAGEREF _Toc457901186 \h </w:instrText>
        </w:r>
        <w:r>
          <w:rPr>
            <w:webHidden/>
          </w:rPr>
        </w:r>
        <w:r>
          <w:rPr>
            <w:webHidden/>
          </w:rPr>
          <w:fldChar w:fldCharType="separate"/>
        </w:r>
        <w:r w:rsidR="00C92D31">
          <w:rPr>
            <w:webHidden/>
          </w:rPr>
          <w:t>3</w:t>
        </w:r>
        <w:r>
          <w:rPr>
            <w:webHidden/>
          </w:rPr>
          <w:fldChar w:fldCharType="end"/>
        </w:r>
      </w:hyperlink>
    </w:p>
    <w:p w:rsidR="00AA516A" w:rsidRDefault="004708EC" w:rsidP="00AA516A">
      <w:pPr>
        <w:pStyle w:val="TOC3"/>
        <w:spacing w:before="240" w:after="240"/>
      </w:pPr>
      <w:hyperlink w:anchor="_Toc457901187" w:history="1">
        <w:r w:rsidR="00AA516A" w:rsidRPr="000261D9">
          <w:rPr>
            <w:rStyle w:val="Hyperlink"/>
          </w:rPr>
          <w:t>Officers of the Assembly</w:t>
        </w:r>
        <w:r w:rsidR="00AA516A">
          <w:rPr>
            <w:webHidden/>
          </w:rPr>
          <w:tab/>
        </w:r>
        <w:r>
          <w:rPr>
            <w:webHidden/>
          </w:rPr>
          <w:fldChar w:fldCharType="begin"/>
        </w:r>
        <w:r w:rsidR="00AA516A">
          <w:rPr>
            <w:webHidden/>
          </w:rPr>
          <w:instrText xml:space="preserve"> PAGEREF _Toc457901187 \h </w:instrText>
        </w:r>
        <w:r>
          <w:rPr>
            <w:webHidden/>
          </w:rPr>
        </w:r>
        <w:r>
          <w:rPr>
            <w:webHidden/>
          </w:rPr>
          <w:fldChar w:fldCharType="separate"/>
        </w:r>
        <w:r w:rsidR="00C92D31">
          <w:rPr>
            <w:webHidden/>
          </w:rPr>
          <w:t>4</w:t>
        </w:r>
        <w:r>
          <w:rPr>
            <w:webHidden/>
          </w:rPr>
          <w:fldChar w:fldCharType="end"/>
        </w:r>
      </w:hyperlink>
    </w:p>
    <w:p w:rsidR="00AA516A" w:rsidRDefault="004708EC" w:rsidP="00AA516A">
      <w:pPr>
        <w:pStyle w:val="TOC2"/>
        <w:spacing w:before="240" w:after="240"/>
      </w:pPr>
      <w:hyperlink w:anchor="_Toc457901188" w:history="1">
        <w:r w:rsidR="00AA516A" w:rsidRPr="000261D9">
          <w:rPr>
            <w:rStyle w:val="Hyperlink"/>
          </w:rPr>
          <w:t>Powers of the Speaker</w:t>
        </w:r>
        <w:r w:rsidR="00AA516A">
          <w:rPr>
            <w:webHidden/>
          </w:rPr>
          <w:tab/>
        </w:r>
        <w:r>
          <w:rPr>
            <w:webHidden/>
          </w:rPr>
          <w:fldChar w:fldCharType="begin"/>
        </w:r>
        <w:r w:rsidR="00AA516A">
          <w:rPr>
            <w:webHidden/>
          </w:rPr>
          <w:instrText xml:space="preserve"> PAGEREF _Toc457901188 \h </w:instrText>
        </w:r>
        <w:r>
          <w:rPr>
            <w:webHidden/>
          </w:rPr>
        </w:r>
        <w:r>
          <w:rPr>
            <w:webHidden/>
          </w:rPr>
          <w:fldChar w:fldCharType="separate"/>
        </w:r>
        <w:r w:rsidR="00C92D31">
          <w:rPr>
            <w:webHidden/>
          </w:rPr>
          <w:t>5</w:t>
        </w:r>
        <w:r>
          <w:rPr>
            <w:webHidden/>
          </w:rPr>
          <w:fldChar w:fldCharType="end"/>
        </w:r>
      </w:hyperlink>
    </w:p>
    <w:p w:rsidR="00AA516A" w:rsidRDefault="004708EC" w:rsidP="00AA516A">
      <w:pPr>
        <w:pStyle w:val="TOC2"/>
        <w:spacing w:before="240" w:after="240"/>
      </w:pPr>
      <w:hyperlink w:anchor="_Toc457901189" w:history="1">
        <w:r w:rsidR="00AA516A" w:rsidRPr="000261D9">
          <w:rPr>
            <w:rStyle w:val="Hyperlink"/>
          </w:rPr>
          <w:t>Advice and support</w:t>
        </w:r>
        <w:r w:rsidR="00AA516A">
          <w:rPr>
            <w:webHidden/>
          </w:rPr>
          <w:tab/>
        </w:r>
        <w:r>
          <w:rPr>
            <w:webHidden/>
          </w:rPr>
          <w:fldChar w:fldCharType="begin"/>
        </w:r>
        <w:r w:rsidR="00AA516A">
          <w:rPr>
            <w:webHidden/>
          </w:rPr>
          <w:instrText xml:space="preserve"> PAGEREF _Toc457901189 \h </w:instrText>
        </w:r>
        <w:r>
          <w:rPr>
            <w:webHidden/>
          </w:rPr>
        </w:r>
        <w:r>
          <w:rPr>
            <w:webHidden/>
          </w:rPr>
          <w:fldChar w:fldCharType="separate"/>
        </w:r>
        <w:r w:rsidR="00C92D31">
          <w:rPr>
            <w:webHidden/>
          </w:rPr>
          <w:t>6</w:t>
        </w:r>
        <w:r>
          <w:rPr>
            <w:webHidden/>
          </w:rPr>
          <w:fldChar w:fldCharType="end"/>
        </w:r>
      </w:hyperlink>
    </w:p>
    <w:p w:rsidR="00AA516A" w:rsidRDefault="004708EC" w:rsidP="00AA516A">
      <w:pPr>
        <w:pStyle w:val="TOC2"/>
        <w:spacing w:before="240" w:after="240"/>
      </w:pPr>
      <w:hyperlink w:anchor="_Toc457901190" w:history="1">
        <w:r w:rsidR="00AA516A" w:rsidRPr="000261D9">
          <w:rPr>
            <w:rStyle w:val="Hyperlink"/>
          </w:rPr>
          <w:t>ACT Electoral Commissioner submission</w:t>
        </w:r>
        <w:r w:rsidR="00AA516A">
          <w:rPr>
            <w:webHidden/>
          </w:rPr>
          <w:tab/>
        </w:r>
        <w:r>
          <w:rPr>
            <w:webHidden/>
          </w:rPr>
          <w:fldChar w:fldCharType="begin"/>
        </w:r>
        <w:r w:rsidR="00AA516A">
          <w:rPr>
            <w:webHidden/>
          </w:rPr>
          <w:instrText xml:space="preserve"> PAGEREF _Toc457901190 \h </w:instrText>
        </w:r>
        <w:r>
          <w:rPr>
            <w:webHidden/>
          </w:rPr>
        </w:r>
        <w:r>
          <w:rPr>
            <w:webHidden/>
          </w:rPr>
          <w:fldChar w:fldCharType="separate"/>
        </w:r>
        <w:r w:rsidR="00C92D31">
          <w:rPr>
            <w:webHidden/>
          </w:rPr>
          <w:t>8</w:t>
        </w:r>
        <w:r>
          <w:rPr>
            <w:webHidden/>
          </w:rPr>
          <w:fldChar w:fldCharType="end"/>
        </w:r>
      </w:hyperlink>
    </w:p>
    <w:p w:rsidR="00AA516A" w:rsidRDefault="004708EC" w:rsidP="00AA516A">
      <w:pPr>
        <w:pStyle w:val="TOC2"/>
        <w:spacing w:before="240" w:after="240"/>
      </w:pPr>
      <w:hyperlink w:anchor="_Toc457901191" w:history="1">
        <w:r w:rsidR="00AA516A" w:rsidRPr="000261D9">
          <w:rPr>
            <w:rStyle w:val="Hyperlink"/>
          </w:rPr>
          <w:t>ACT Ombudsman submission</w:t>
        </w:r>
        <w:r w:rsidR="00AA516A">
          <w:rPr>
            <w:webHidden/>
          </w:rPr>
          <w:tab/>
        </w:r>
        <w:r>
          <w:rPr>
            <w:webHidden/>
          </w:rPr>
          <w:fldChar w:fldCharType="begin"/>
        </w:r>
        <w:r w:rsidR="00AA516A">
          <w:rPr>
            <w:webHidden/>
          </w:rPr>
          <w:instrText xml:space="preserve"> PAGEREF _Toc457901191 \h </w:instrText>
        </w:r>
        <w:r>
          <w:rPr>
            <w:webHidden/>
          </w:rPr>
        </w:r>
        <w:r>
          <w:rPr>
            <w:webHidden/>
          </w:rPr>
          <w:fldChar w:fldCharType="separate"/>
        </w:r>
        <w:r w:rsidR="00C92D31">
          <w:rPr>
            <w:webHidden/>
          </w:rPr>
          <w:t>8</w:t>
        </w:r>
        <w:r>
          <w:rPr>
            <w:webHidden/>
          </w:rPr>
          <w:fldChar w:fldCharType="end"/>
        </w:r>
      </w:hyperlink>
    </w:p>
    <w:p w:rsidR="00AA516A" w:rsidRDefault="004708EC" w:rsidP="006377EA">
      <w:pPr>
        <w:pStyle w:val="TOC2"/>
        <w:spacing w:before="240" w:after="240"/>
      </w:pPr>
      <w:hyperlink w:anchor="_Toc457901192" w:history="1">
        <w:r w:rsidR="00AA516A" w:rsidRPr="000261D9">
          <w:rPr>
            <w:rStyle w:val="Hyperlink"/>
          </w:rPr>
          <w:t>Chief Minister’s submission</w:t>
        </w:r>
        <w:r w:rsidR="00AA516A">
          <w:rPr>
            <w:webHidden/>
          </w:rPr>
          <w:tab/>
        </w:r>
        <w:r>
          <w:rPr>
            <w:webHidden/>
          </w:rPr>
          <w:fldChar w:fldCharType="begin"/>
        </w:r>
        <w:r w:rsidR="00AA516A">
          <w:rPr>
            <w:webHidden/>
          </w:rPr>
          <w:instrText xml:space="preserve"> PAGEREF _Toc457901192 \h </w:instrText>
        </w:r>
        <w:r>
          <w:rPr>
            <w:webHidden/>
          </w:rPr>
        </w:r>
        <w:r>
          <w:rPr>
            <w:webHidden/>
          </w:rPr>
          <w:fldChar w:fldCharType="separate"/>
        </w:r>
        <w:r w:rsidR="00C92D31">
          <w:rPr>
            <w:webHidden/>
          </w:rPr>
          <w:t>8</w:t>
        </w:r>
        <w:r>
          <w:rPr>
            <w:webHidden/>
          </w:rPr>
          <w:fldChar w:fldCharType="end"/>
        </w:r>
      </w:hyperlink>
    </w:p>
    <w:p w:rsidR="00AA516A" w:rsidRDefault="004708EC" w:rsidP="006377EA">
      <w:pPr>
        <w:pStyle w:val="TOC3"/>
        <w:spacing w:before="240" w:after="240"/>
      </w:pPr>
      <w:hyperlink w:anchor="_Toc457901193" w:history="1">
        <w:r w:rsidR="00AA516A" w:rsidRPr="000261D9">
          <w:rPr>
            <w:rStyle w:val="Hyperlink"/>
          </w:rPr>
          <w:t>Recommendation 1</w:t>
        </w:r>
        <w:r w:rsidR="00AA516A">
          <w:rPr>
            <w:webHidden/>
          </w:rPr>
          <w:tab/>
        </w:r>
        <w:r>
          <w:rPr>
            <w:webHidden/>
          </w:rPr>
          <w:fldChar w:fldCharType="begin"/>
        </w:r>
        <w:r w:rsidR="00AA516A">
          <w:rPr>
            <w:webHidden/>
          </w:rPr>
          <w:instrText xml:space="preserve"> PAGEREF _Toc457901193 \h </w:instrText>
        </w:r>
        <w:r>
          <w:rPr>
            <w:webHidden/>
          </w:rPr>
        </w:r>
        <w:r>
          <w:rPr>
            <w:webHidden/>
          </w:rPr>
          <w:fldChar w:fldCharType="separate"/>
        </w:r>
        <w:r w:rsidR="00C92D31">
          <w:rPr>
            <w:webHidden/>
          </w:rPr>
          <w:t>10</w:t>
        </w:r>
        <w:r>
          <w:rPr>
            <w:webHidden/>
          </w:rPr>
          <w:fldChar w:fldCharType="end"/>
        </w:r>
      </w:hyperlink>
    </w:p>
    <w:p w:rsidR="00AA516A" w:rsidRDefault="004708EC" w:rsidP="006377EA">
      <w:pPr>
        <w:pStyle w:val="TOC1"/>
        <w:spacing w:before="240"/>
        <w:rPr>
          <w:rFonts w:cstheme="minorBidi"/>
          <w:smallCaps w:val="0"/>
          <w:sz w:val="22"/>
          <w:szCs w:val="22"/>
        </w:rPr>
      </w:pPr>
      <w:hyperlink w:anchor="_Toc457901194" w:history="1">
        <w:r w:rsidR="00AA516A" w:rsidRPr="000261D9">
          <w:rPr>
            <w:rStyle w:val="Hyperlink"/>
          </w:rPr>
          <w:t>2.</w:t>
        </w:r>
        <w:r w:rsidR="00AA516A">
          <w:rPr>
            <w:rFonts w:cstheme="minorBidi"/>
            <w:smallCaps w:val="0"/>
            <w:sz w:val="22"/>
            <w:szCs w:val="22"/>
          </w:rPr>
          <w:tab/>
        </w:r>
        <w:r w:rsidR="00AA516A" w:rsidRPr="000261D9">
          <w:rPr>
            <w:rStyle w:val="Hyperlink"/>
          </w:rPr>
          <w:t>Committee’s view</w:t>
        </w:r>
        <w:r w:rsidR="00AA516A">
          <w:rPr>
            <w:webHidden/>
          </w:rPr>
          <w:tab/>
        </w:r>
        <w:r>
          <w:rPr>
            <w:webHidden/>
          </w:rPr>
          <w:fldChar w:fldCharType="begin"/>
        </w:r>
        <w:r w:rsidR="00AA516A">
          <w:rPr>
            <w:webHidden/>
          </w:rPr>
          <w:instrText xml:space="preserve"> PAGEREF _Toc457901194 \h </w:instrText>
        </w:r>
        <w:r>
          <w:rPr>
            <w:webHidden/>
          </w:rPr>
        </w:r>
        <w:r>
          <w:rPr>
            <w:webHidden/>
          </w:rPr>
          <w:fldChar w:fldCharType="separate"/>
        </w:r>
        <w:r w:rsidR="00C92D31">
          <w:rPr>
            <w:webHidden/>
          </w:rPr>
          <w:t>11</w:t>
        </w:r>
        <w:r>
          <w:rPr>
            <w:webHidden/>
          </w:rPr>
          <w:fldChar w:fldCharType="end"/>
        </w:r>
      </w:hyperlink>
    </w:p>
    <w:p w:rsidR="00AA516A" w:rsidRDefault="004708EC" w:rsidP="00AA516A">
      <w:pPr>
        <w:pStyle w:val="TOC3"/>
        <w:spacing w:before="240" w:after="240"/>
      </w:pPr>
      <w:hyperlink w:anchor="_Toc457901195" w:history="1">
        <w:r w:rsidR="00AA516A" w:rsidRPr="000261D9">
          <w:rPr>
            <w:rStyle w:val="Hyperlink"/>
          </w:rPr>
          <w:t>Recommendation 2</w:t>
        </w:r>
        <w:r w:rsidR="00AA516A">
          <w:rPr>
            <w:webHidden/>
          </w:rPr>
          <w:tab/>
        </w:r>
        <w:r>
          <w:rPr>
            <w:webHidden/>
          </w:rPr>
          <w:fldChar w:fldCharType="begin"/>
        </w:r>
        <w:r w:rsidR="00AA516A">
          <w:rPr>
            <w:webHidden/>
          </w:rPr>
          <w:instrText xml:space="preserve"> PAGEREF _Toc457901195 \h </w:instrText>
        </w:r>
        <w:r>
          <w:rPr>
            <w:webHidden/>
          </w:rPr>
        </w:r>
        <w:r>
          <w:rPr>
            <w:webHidden/>
          </w:rPr>
          <w:fldChar w:fldCharType="separate"/>
        </w:r>
        <w:r w:rsidR="00C92D31">
          <w:rPr>
            <w:webHidden/>
          </w:rPr>
          <w:t>12</w:t>
        </w:r>
        <w:r>
          <w:rPr>
            <w:webHidden/>
          </w:rPr>
          <w:fldChar w:fldCharType="end"/>
        </w:r>
      </w:hyperlink>
    </w:p>
    <w:p w:rsidR="00AA516A" w:rsidRDefault="004708EC" w:rsidP="00AA516A">
      <w:pPr>
        <w:pStyle w:val="TOC2"/>
        <w:spacing w:before="240" w:after="240"/>
      </w:pPr>
      <w:hyperlink w:anchor="_Toc457901196" w:history="1">
        <w:r w:rsidR="00AA516A" w:rsidRPr="000261D9">
          <w:rPr>
            <w:rStyle w:val="Hyperlink"/>
          </w:rPr>
          <w:t>Budget protocols</w:t>
        </w:r>
        <w:r w:rsidR="00AA516A">
          <w:rPr>
            <w:webHidden/>
          </w:rPr>
          <w:tab/>
        </w:r>
        <w:r>
          <w:rPr>
            <w:webHidden/>
          </w:rPr>
          <w:fldChar w:fldCharType="begin"/>
        </w:r>
        <w:r w:rsidR="00AA516A">
          <w:rPr>
            <w:webHidden/>
          </w:rPr>
          <w:instrText xml:space="preserve"> PAGEREF _Toc457901196 \h </w:instrText>
        </w:r>
        <w:r>
          <w:rPr>
            <w:webHidden/>
          </w:rPr>
        </w:r>
        <w:r>
          <w:rPr>
            <w:webHidden/>
          </w:rPr>
          <w:fldChar w:fldCharType="separate"/>
        </w:r>
        <w:r w:rsidR="00C92D31">
          <w:rPr>
            <w:webHidden/>
          </w:rPr>
          <w:t>12</w:t>
        </w:r>
        <w:r>
          <w:rPr>
            <w:webHidden/>
          </w:rPr>
          <w:fldChar w:fldCharType="end"/>
        </w:r>
      </w:hyperlink>
    </w:p>
    <w:p w:rsidR="00AA516A" w:rsidRDefault="004708EC" w:rsidP="00AA516A">
      <w:pPr>
        <w:pStyle w:val="TOC3"/>
        <w:spacing w:before="240" w:after="240"/>
      </w:pPr>
      <w:hyperlink w:anchor="_Toc457901197" w:history="1">
        <w:r w:rsidR="00AA516A" w:rsidRPr="000261D9">
          <w:rPr>
            <w:rStyle w:val="Hyperlink"/>
          </w:rPr>
          <w:t>Recommendation 3</w:t>
        </w:r>
        <w:r w:rsidR="00AA516A">
          <w:rPr>
            <w:webHidden/>
          </w:rPr>
          <w:tab/>
        </w:r>
        <w:r>
          <w:rPr>
            <w:webHidden/>
          </w:rPr>
          <w:fldChar w:fldCharType="begin"/>
        </w:r>
        <w:r w:rsidR="00AA516A">
          <w:rPr>
            <w:webHidden/>
          </w:rPr>
          <w:instrText xml:space="preserve"> PAGEREF _Toc457901197 \h </w:instrText>
        </w:r>
        <w:r>
          <w:rPr>
            <w:webHidden/>
          </w:rPr>
        </w:r>
        <w:r>
          <w:rPr>
            <w:webHidden/>
          </w:rPr>
          <w:fldChar w:fldCharType="separate"/>
        </w:r>
        <w:r w:rsidR="00C92D31">
          <w:rPr>
            <w:webHidden/>
          </w:rPr>
          <w:t>13</w:t>
        </w:r>
        <w:r>
          <w:rPr>
            <w:webHidden/>
          </w:rPr>
          <w:fldChar w:fldCharType="end"/>
        </w:r>
      </w:hyperlink>
    </w:p>
    <w:p w:rsidR="00921FA8" w:rsidRPr="00B5501A" w:rsidRDefault="004708EC" w:rsidP="000070DF">
      <w:pPr>
        <w:pStyle w:val="TOC2"/>
        <w:spacing w:before="240" w:after="240"/>
        <w:rPr>
          <w:sz w:val="30"/>
          <w:szCs w:val="30"/>
        </w:rPr>
        <w:sectPr w:rsidR="00921FA8" w:rsidRPr="00B5501A" w:rsidSect="00C83DB3">
          <w:headerReference w:type="even" r:id="rId17"/>
          <w:headerReference w:type="default" r:id="rId18"/>
          <w:footerReference w:type="even" r:id="rId19"/>
          <w:footerReference w:type="default" r:id="rId20"/>
          <w:headerReference w:type="first" r:id="rId21"/>
          <w:type w:val="oddPage"/>
          <w:pgSz w:w="11907" w:h="16840" w:code="9"/>
          <w:pgMar w:top="1588" w:right="1418" w:bottom="1276" w:left="1418" w:header="720" w:footer="851" w:gutter="0"/>
          <w:pgNumType w:fmt="lowerRoman" w:start="1"/>
          <w:cols w:space="720"/>
          <w:docGrid w:linePitch="360"/>
        </w:sectPr>
      </w:pPr>
      <w:r>
        <w:rPr>
          <w:sz w:val="30"/>
          <w:szCs w:val="30"/>
        </w:rPr>
        <w:fldChar w:fldCharType="end"/>
      </w:r>
      <w:bookmarkEnd w:id="48"/>
      <w:bookmarkEnd w:id="49"/>
    </w:p>
    <w:p w:rsidR="00B5501A" w:rsidRDefault="00B5501A" w:rsidP="000070DF">
      <w:pPr>
        <w:pStyle w:val="Heading2"/>
        <w:keepNext w:val="0"/>
        <w:spacing w:before="360" w:after="240"/>
      </w:pPr>
      <w:bookmarkStart w:id="50" w:name="_Toc457901178"/>
      <w:bookmarkStart w:id="51" w:name="_Toc456700466"/>
      <w:r>
        <w:lastRenderedPageBreak/>
        <w:t>Recommendations</w:t>
      </w:r>
      <w:bookmarkEnd w:id="50"/>
    </w:p>
    <w:p w:rsidR="00373858" w:rsidRPr="00373858" w:rsidRDefault="00373858" w:rsidP="000070DF">
      <w:pPr>
        <w:pStyle w:val="Heading3"/>
        <w:keepNext w:val="0"/>
        <w:spacing w:before="240" w:after="240"/>
      </w:pPr>
      <w:bookmarkStart w:id="52" w:name="_Toc457901179"/>
      <w:r w:rsidRPr="00373858">
        <w:t>Recommendation 1</w:t>
      </w:r>
      <w:bookmarkEnd w:id="52"/>
    </w:p>
    <w:p w:rsidR="003A4297" w:rsidRPr="00373858" w:rsidRDefault="003A4297" w:rsidP="000070DF">
      <w:pPr>
        <w:pStyle w:val="Recommendationbodycopynumbered"/>
        <w:keepNext w:val="0"/>
        <w:rPr>
          <w:rFonts w:eastAsia="Calibri"/>
        </w:rPr>
      </w:pPr>
      <w:r w:rsidRPr="00373858">
        <w:rPr>
          <w:rFonts w:eastAsia="Calibri"/>
        </w:rPr>
        <w:t xml:space="preserve">The committee recommends that the Assembly support the development of new practices and procedures, which give the Assembly a greater role in determining </w:t>
      </w:r>
      <w:r w:rsidR="00B500AB">
        <w:rPr>
          <w:rFonts w:eastAsia="Calibri"/>
        </w:rPr>
        <w:t xml:space="preserve">its </w:t>
      </w:r>
      <w:r w:rsidRPr="00373858">
        <w:rPr>
          <w:rFonts w:eastAsia="Calibri"/>
        </w:rPr>
        <w:t>budget appropriations</w:t>
      </w:r>
      <w:r w:rsidR="00B500AB">
        <w:rPr>
          <w:rFonts w:eastAsia="Calibri"/>
        </w:rPr>
        <w:t xml:space="preserve"> including in relation to the Office of the Le</w:t>
      </w:r>
      <w:r w:rsidR="00373858" w:rsidRPr="00373858">
        <w:rPr>
          <w:rFonts w:eastAsia="Calibri"/>
        </w:rPr>
        <w:t>gislative Assembly and Officers of the Legislative Assembly.</w:t>
      </w:r>
    </w:p>
    <w:p w:rsidR="006B640D" w:rsidRPr="00D658B3" w:rsidRDefault="00373858" w:rsidP="000070DF">
      <w:pPr>
        <w:pStyle w:val="Heading3"/>
        <w:keepNext w:val="0"/>
        <w:spacing w:before="240" w:after="240"/>
      </w:pPr>
      <w:bookmarkStart w:id="53" w:name="_Toc457901180"/>
      <w:r>
        <w:t>R</w:t>
      </w:r>
      <w:r w:rsidR="006B640D" w:rsidRPr="00D658B3">
        <w:t xml:space="preserve">ecommendation </w:t>
      </w:r>
      <w:r>
        <w:t>2</w:t>
      </w:r>
      <w:bookmarkEnd w:id="53"/>
    </w:p>
    <w:p w:rsidR="00D658B3" w:rsidRPr="00D658B3" w:rsidRDefault="00D658B3" w:rsidP="000070DF">
      <w:pPr>
        <w:pStyle w:val="Recommendationbodycopynumbered"/>
        <w:keepNext w:val="0"/>
        <w:rPr>
          <w:rFonts w:eastAsia="Calibri"/>
        </w:rPr>
      </w:pPr>
      <w:r w:rsidRPr="00D658B3">
        <w:rPr>
          <w:rFonts w:eastAsia="Calibri"/>
        </w:rPr>
        <w:t>The committee recommends that:</w:t>
      </w:r>
    </w:p>
    <w:p w:rsidR="00D658B3" w:rsidRPr="00D658B3" w:rsidRDefault="00D658B3" w:rsidP="000070DF">
      <w:pPr>
        <w:pStyle w:val="Recommendationbodycopynumbered"/>
        <w:keepNext w:val="0"/>
        <w:numPr>
          <w:ilvl w:val="0"/>
          <w:numId w:val="20"/>
        </w:numPr>
        <w:rPr>
          <w:rFonts w:eastAsia="Calibri"/>
        </w:rPr>
      </w:pPr>
      <w:r w:rsidRPr="00D658B3">
        <w:rPr>
          <w:rFonts w:eastAsia="Calibri"/>
        </w:rPr>
        <w:t xml:space="preserve">the Assembly consider amendments to the </w:t>
      </w:r>
      <w:r w:rsidRPr="00D658B3">
        <w:rPr>
          <w:rFonts w:eastAsia="Calibri"/>
          <w:i/>
        </w:rPr>
        <w:t xml:space="preserve">Office of the Legislative Assembly Act 2012 </w:t>
      </w:r>
      <w:r w:rsidRPr="00D658B3">
        <w:rPr>
          <w:rFonts w:eastAsia="Calibri"/>
        </w:rPr>
        <w:t xml:space="preserve">to clarify that one of the Office’s functions is to provide advice and support to the Speaker in the exercise of the Speaker’s functions in relation to Officers of the Legislative Assembly;  </w:t>
      </w:r>
    </w:p>
    <w:p w:rsidR="00D658B3" w:rsidRPr="00D658B3" w:rsidRDefault="00D658B3" w:rsidP="000070DF">
      <w:pPr>
        <w:pStyle w:val="Recommendationbodycopynumbered"/>
        <w:keepNext w:val="0"/>
        <w:numPr>
          <w:ilvl w:val="0"/>
          <w:numId w:val="20"/>
        </w:numPr>
        <w:rPr>
          <w:rFonts w:eastAsia="Calibri"/>
        </w:rPr>
      </w:pPr>
      <w:r w:rsidRPr="00D658B3">
        <w:rPr>
          <w:rFonts w:eastAsia="Calibri"/>
        </w:rPr>
        <w:t xml:space="preserve">any amendments to the OLA Act do not have the effect of </w:t>
      </w:r>
      <w:r w:rsidR="003C32EA">
        <w:rPr>
          <w:rFonts w:eastAsia="Calibri"/>
        </w:rPr>
        <w:t xml:space="preserve">establishing a superintendent function for the Office of the </w:t>
      </w:r>
      <w:r w:rsidRPr="00D658B3">
        <w:rPr>
          <w:rFonts w:eastAsia="Calibri"/>
        </w:rPr>
        <w:t xml:space="preserve">Legislative Assembly </w:t>
      </w:r>
      <w:r w:rsidR="00B500AB">
        <w:rPr>
          <w:rFonts w:eastAsia="Calibri"/>
        </w:rPr>
        <w:t xml:space="preserve">in relation to </w:t>
      </w:r>
      <w:r w:rsidR="003C32EA">
        <w:rPr>
          <w:rFonts w:eastAsia="Calibri"/>
        </w:rPr>
        <w:t>O</w:t>
      </w:r>
      <w:r w:rsidRPr="00D658B3">
        <w:rPr>
          <w:rFonts w:eastAsia="Calibri"/>
        </w:rPr>
        <w:t>fficers of the Legislative Assembly;</w:t>
      </w:r>
    </w:p>
    <w:p w:rsidR="00D658B3" w:rsidRPr="00D658B3" w:rsidRDefault="00D658B3" w:rsidP="000070DF">
      <w:pPr>
        <w:pStyle w:val="Recommendationbodycopynumbered"/>
        <w:keepNext w:val="0"/>
        <w:numPr>
          <w:ilvl w:val="0"/>
          <w:numId w:val="20"/>
        </w:numPr>
        <w:rPr>
          <w:rFonts w:eastAsia="Calibri"/>
        </w:rPr>
      </w:pPr>
      <w:r w:rsidRPr="00D658B3">
        <w:rPr>
          <w:rFonts w:eastAsia="Calibri"/>
        </w:rPr>
        <w:t>any amendments do not have the effect of establishing the Office of the Legislative Assembly as the sole source of administrative support and advice to the Speaker in these matters; and</w:t>
      </w:r>
    </w:p>
    <w:p w:rsidR="00D658B3" w:rsidRPr="00D658B3" w:rsidRDefault="00D658B3" w:rsidP="000070DF">
      <w:pPr>
        <w:pStyle w:val="Recommendationbodycopynumbered"/>
        <w:keepNext w:val="0"/>
        <w:numPr>
          <w:ilvl w:val="0"/>
          <w:numId w:val="20"/>
        </w:numPr>
        <w:rPr>
          <w:rFonts w:eastAsia="Calibri"/>
        </w:rPr>
      </w:pPr>
      <w:r w:rsidRPr="00D658B3">
        <w:rPr>
          <w:rFonts w:eastAsia="Calibri"/>
        </w:rPr>
        <w:t>during the 9</w:t>
      </w:r>
      <w:r w:rsidRPr="00D658B3">
        <w:rPr>
          <w:rFonts w:eastAsia="Calibri"/>
          <w:vertAlign w:val="superscript"/>
        </w:rPr>
        <w:t>th</w:t>
      </w:r>
      <w:r w:rsidRPr="00D658B3">
        <w:rPr>
          <w:rFonts w:eastAsia="Calibri"/>
        </w:rPr>
        <w:t xml:space="preserve"> Assembly, the Office of the Legislative Assembly liaise with Office of Parliamentary Counsel and the Speaker to consider how best to achieve these objectives in the drafting of any amendments.</w:t>
      </w:r>
    </w:p>
    <w:p w:rsidR="00D658B3" w:rsidRDefault="00D658B3" w:rsidP="000070DF">
      <w:pPr>
        <w:pStyle w:val="Heading3"/>
        <w:keepNext w:val="0"/>
        <w:spacing w:before="240" w:after="240"/>
      </w:pPr>
      <w:bookmarkStart w:id="54" w:name="_Toc457901181"/>
      <w:r>
        <w:t xml:space="preserve">Recommendation </w:t>
      </w:r>
      <w:r w:rsidR="006738EE">
        <w:t>3</w:t>
      </w:r>
      <w:bookmarkEnd w:id="54"/>
    </w:p>
    <w:p w:rsidR="00D658B3" w:rsidRPr="00CE3642" w:rsidRDefault="00D658B3" w:rsidP="000070DF">
      <w:pPr>
        <w:pStyle w:val="Recommendationbodycopynumbered"/>
        <w:keepNext w:val="0"/>
      </w:pPr>
      <w:r w:rsidRPr="00CE3642">
        <w:t>The committee recommends that:</w:t>
      </w:r>
    </w:p>
    <w:p w:rsidR="00D658B3" w:rsidRDefault="00D658B3" w:rsidP="000070DF">
      <w:pPr>
        <w:pStyle w:val="Recommendationbodycopynumbered"/>
        <w:keepNext w:val="0"/>
        <w:numPr>
          <w:ilvl w:val="0"/>
          <w:numId w:val="19"/>
        </w:numPr>
      </w:pPr>
      <w:r>
        <w:t>the Assembly resolves to support the operation of strong budget protocols, which establish an independent and separate budget development process for the Assembly consistent with the separation of powers doctrine;</w:t>
      </w:r>
    </w:p>
    <w:p w:rsidR="00D658B3" w:rsidRDefault="00D658B3" w:rsidP="000070DF">
      <w:pPr>
        <w:pStyle w:val="Recommendationbodycopynumbered"/>
        <w:keepNext w:val="0"/>
        <w:numPr>
          <w:ilvl w:val="0"/>
          <w:numId w:val="19"/>
        </w:numPr>
      </w:pPr>
      <w:r>
        <w:t>the review of the Budget Protocols proceeds as scheduled and is finalised prior to the 2016 election;</w:t>
      </w:r>
    </w:p>
    <w:p w:rsidR="00D658B3" w:rsidRDefault="00D658B3" w:rsidP="000070DF">
      <w:pPr>
        <w:pStyle w:val="Recommendationbodycopynumbered"/>
        <w:keepNext w:val="0"/>
        <w:numPr>
          <w:ilvl w:val="0"/>
          <w:numId w:val="19"/>
        </w:numPr>
      </w:pPr>
      <w:r>
        <w:t>in reviewing the protocols, the Government does not attempt to weaken existing provisions to advantage the Executive; and</w:t>
      </w:r>
    </w:p>
    <w:p w:rsidR="00D658B3" w:rsidRPr="00CE3642" w:rsidRDefault="00D658B3" w:rsidP="000070DF">
      <w:pPr>
        <w:pStyle w:val="Recommendationbodycopynumbered"/>
        <w:keepNext w:val="0"/>
        <w:numPr>
          <w:ilvl w:val="0"/>
          <w:numId w:val="19"/>
        </w:numPr>
      </w:pPr>
      <w:r>
        <w:t xml:space="preserve">Officers of the Legislative Assembly are covered in a revised budget protocols document.  </w:t>
      </w:r>
    </w:p>
    <w:p w:rsidR="00914AB3" w:rsidRDefault="009E622C" w:rsidP="000070DF">
      <w:pPr>
        <w:pStyle w:val="Heading1"/>
        <w:keepNext w:val="0"/>
        <w:spacing w:after="240"/>
      </w:pPr>
      <w:bookmarkStart w:id="55" w:name="_Toc457901182"/>
      <w:r>
        <w:lastRenderedPageBreak/>
        <w:t>Issues</w:t>
      </w:r>
      <w:bookmarkEnd w:id="51"/>
      <w:bookmarkEnd w:id="55"/>
    </w:p>
    <w:p w:rsidR="00F06911" w:rsidRDefault="00F06911" w:rsidP="000070DF">
      <w:pPr>
        <w:pStyle w:val="Heading2"/>
        <w:keepNext w:val="0"/>
        <w:spacing w:before="360" w:after="240"/>
      </w:pPr>
      <w:bookmarkStart w:id="56" w:name="_Toc457901183"/>
      <w:r>
        <w:t>Conduct of the inquiry</w:t>
      </w:r>
      <w:bookmarkEnd w:id="56"/>
    </w:p>
    <w:p w:rsidR="007D3B6E" w:rsidRPr="007D3B6E" w:rsidRDefault="00914AB3" w:rsidP="000070DF">
      <w:pPr>
        <w:pStyle w:val="Bodycopynumbered"/>
        <w:keepNext w:val="0"/>
      </w:pPr>
      <w:r w:rsidRPr="00914AB3">
        <w:t xml:space="preserve">This inquiry was initiated </w:t>
      </w:r>
      <w:r w:rsidR="00392B86">
        <w:t>as a</w:t>
      </w:r>
      <w:r w:rsidR="00B500AB">
        <w:t xml:space="preserve"> </w:t>
      </w:r>
      <w:r w:rsidR="00392B86">
        <w:t>result of a recommendation</w:t>
      </w:r>
      <w:r w:rsidR="00392AC2">
        <w:t xml:space="preserve"> of the</w:t>
      </w:r>
      <w:r w:rsidR="000D058A">
        <w:t xml:space="preserve"> </w:t>
      </w:r>
      <w:r w:rsidR="00773DE8">
        <w:t xml:space="preserve">2016 </w:t>
      </w:r>
      <w:r w:rsidR="000D058A">
        <w:t xml:space="preserve">strategic </w:t>
      </w:r>
      <w:r w:rsidRPr="00914AB3">
        <w:t>review of the ACT</w:t>
      </w:r>
      <w:r w:rsidR="00392B86">
        <w:t xml:space="preserve"> </w:t>
      </w:r>
      <w:r w:rsidRPr="00914AB3">
        <w:t>Auditor-General</w:t>
      </w:r>
      <w:r w:rsidR="00392AC2">
        <w:t xml:space="preserve"> </w:t>
      </w:r>
      <w:r w:rsidR="000D058A">
        <w:t xml:space="preserve">undertaken </w:t>
      </w:r>
      <w:r w:rsidR="00392AC2">
        <w:t xml:space="preserve">by Des Pearson AO </w:t>
      </w:r>
      <w:r w:rsidRPr="00914AB3">
        <w:t>pursuant to s24 of the</w:t>
      </w:r>
      <w:r w:rsidR="000D058A">
        <w:t xml:space="preserve"> </w:t>
      </w:r>
      <w:r w:rsidRPr="00392AC2">
        <w:rPr>
          <w:i/>
        </w:rPr>
        <w:t>Auditor-General Act 1996</w:t>
      </w:r>
      <w:r w:rsidR="001C6C16" w:rsidRPr="00392AC2">
        <w:rPr>
          <w:i/>
        </w:rPr>
        <w:t>.</w:t>
      </w:r>
      <w:r w:rsidR="00392AC2" w:rsidRPr="00392AC2">
        <w:rPr>
          <w:i/>
        </w:rPr>
        <w:t xml:space="preserve"> </w:t>
      </w:r>
    </w:p>
    <w:p w:rsidR="00914AB3" w:rsidRPr="00914AB3" w:rsidRDefault="001C6C16" w:rsidP="000070DF">
      <w:pPr>
        <w:pStyle w:val="Bodycopynumbered"/>
        <w:keepNext w:val="0"/>
      </w:pPr>
      <w:r w:rsidRPr="001C6C16">
        <w:t xml:space="preserve">In </w:t>
      </w:r>
      <w:r w:rsidR="00392AC2">
        <w:t>his report on the review</w:t>
      </w:r>
      <w:r w:rsidRPr="001C6C16">
        <w:t xml:space="preserve">, </w:t>
      </w:r>
      <w:r w:rsidR="00914AB3" w:rsidRPr="001C6C16">
        <w:t>Mr Pearson</w:t>
      </w:r>
      <w:r w:rsidR="00914AB3" w:rsidRPr="00914AB3">
        <w:t xml:space="preserve"> recommended that:</w:t>
      </w:r>
    </w:p>
    <w:p w:rsidR="00914AB3" w:rsidRPr="00FB7FF0" w:rsidRDefault="00914AB3" w:rsidP="00264DAB">
      <w:pPr>
        <w:pStyle w:val="Quote"/>
        <w:ind w:right="849"/>
      </w:pPr>
      <w:r w:rsidRPr="00FB7FF0">
        <w:t>The Standing Committee on Administration and Procedure</w:t>
      </w:r>
      <w:r w:rsidR="006E21DA">
        <w:t xml:space="preserve"> consider the continued relevance</w:t>
      </w:r>
      <w:r w:rsidRPr="00FB7FF0">
        <w:t xml:space="preserve"> and adequacy of the provisions of the</w:t>
      </w:r>
      <w:r w:rsidRPr="00773DE8">
        <w:rPr>
          <w:i/>
        </w:rPr>
        <w:t xml:space="preserve"> Legislative Assembly (Office of the Legislative Assembly) Act 2012 </w:t>
      </w:r>
      <w:r w:rsidRPr="00773DE8">
        <w:t>and</w:t>
      </w:r>
      <w:r w:rsidRPr="00773DE8">
        <w:rPr>
          <w:i/>
        </w:rPr>
        <w:t xml:space="preserve"> </w:t>
      </w:r>
      <w:r w:rsidRPr="00FB7FF0">
        <w:t xml:space="preserve">provide recommendations relating to the Office’s capacity to administratively support the Speaker in the performance of the Speaker’s role </w:t>
      </w:r>
      <w:r w:rsidRPr="00CA2785">
        <w:t>and</w:t>
      </w:r>
      <w:r w:rsidRPr="00FB7FF0">
        <w:t xml:space="preserve"> functions in relation to these independent officers of the Legislative Assembly. </w:t>
      </w:r>
    </w:p>
    <w:p w:rsidR="004C7AA5" w:rsidRDefault="00914AB3" w:rsidP="000070DF">
      <w:pPr>
        <w:pStyle w:val="Bodycopynumbered"/>
        <w:keepNext w:val="0"/>
      </w:pPr>
      <w:r w:rsidRPr="00914AB3">
        <w:t xml:space="preserve">On 9 June 2016, </w:t>
      </w:r>
      <w:r w:rsidR="000D058A">
        <w:t xml:space="preserve">following a motion moved by the Speaker, </w:t>
      </w:r>
      <w:r w:rsidRPr="00914AB3">
        <w:t>the Assembly resolved that the Standing</w:t>
      </w:r>
      <w:r w:rsidRPr="00914AB3">
        <w:rPr>
          <w:spacing w:val="-3"/>
        </w:rPr>
        <w:t xml:space="preserve"> </w:t>
      </w:r>
      <w:r w:rsidRPr="00914AB3">
        <w:t>Committee on Administration and Procedure would inquire into and report on the issues raised in Mr Pearson’s report</w:t>
      </w:r>
      <w:r w:rsidRPr="00914AB3">
        <w:rPr>
          <w:vertAlign w:val="superscript"/>
        </w:rPr>
        <w:footnoteReference w:id="2"/>
      </w:r>
      <w:r w:rsidRPr="00914AB3">
        <w:t xml:space="preserve">. </w:t>
      </w:r>
    </w:p>
    <w:p w:rsidR="00914AB3" w:rsidRPr="00914AB3" w:rsidRDefault="00914AB3" w:rsidP="000070DF">
      <w:pPr>
        <w:pStyle w:val="Bodycopynumbered"/>
        <w:keepNext w:val="0"/>
      </w:pPr>
      <w:r w:rsidRPr="00914AB3">
        <w:t>Specifically</w:t>
      </w:r>
      <w:r w:rsidR="006E21DA">
        <w:t>,</w:t>
      </w:r>
      <w:r w:rsidRPr="00914AB3">
        <w:t xml:space="preserve"> the committee was to:</w:t>
      </w:r>
    </w:p>
    <w:p w:rsidR="00914AB3" w:rsidRPr="008F310D" w:rsidRDefault="00914AB3" w:rsidP="00264DAB">
      <w:pPr>
        <w:pStyle w:val="Quote"/>
        <w:numPr>
          <w:ilvl w:val="0"/>
          <w:numId w:val="14"/>
        </w:numPr>
        <w:ind w:left="1276" w:right="849" w:hanging="142"/>
      </w:pPr>
      <w:r w:rsidRPr="008F310D">
        <w:t>consider</w:t>
      </w:r>
      <w:r w:rsidRPr="008F310D">
        <w:rPr>
          <w:spacing w:val="4"/>
        </w:rPr>
        <w:t xml:space="preserve"> </w:t>
      </w:r>
      <w:r w:rsidRPr="008F310D">
        <w:t>and</w:t>
      </w:r>
      <w:r w:rsidRPr="008F310D">
        <w:rPr>
          <w:spacing w:val="4"/>
        </w:rPr>
        <w:t xml:space="preserve"> </w:t>
      </w:r>
      <w:r w:rsidRPr="008F310D">
        <w:t>make</w:t>
      </w:r>
      <w:r w:rsidRPr="008F310D">
        <w:rPr>
          <w:spacing w:val="3"/>
        </w:rPr>
        <w:t xml:space="preserve"> </w:t>
      </w:r>
      <w:r w:rsidRPr="008F310D">
        <w:t>recommendations</w:t>
      </w:r>
      <w:r w:rsidRPr="008F310D">
        <w:rPr>
          <w:spacing w:val="5"/>
        </w:rPr>
        <w:t xml:space="preserve"> </w:t>
      </w:r>
      <w:r w:rsidRPr="008F310D">
        <w:t>as</w:t>
      </w:r>
      <w:r w:rsidRPr="008F310D">
        <w:rPr>
          <w:spacing w:val="5"/>
        </w:rPr>
        <w:t xml:space="preserve"> </w:t>
      </w:r>
      <w:r w:rsidRPr="008F310D">
        <w:t>to</w:t>
      </w:r>
      <w:r w:rsidRPr="008F310D">
        <w:rPr>
          <w:spacing w:val="4"/>
        </w:rPr>
        <w:t xml:space="preserve"> </w:t>
      </w:r>
      <w:r w:rsidRPr="008F310D">
        <w:t>the</w:t>
      </w:r>
      <w:r w:rsidRPr="008F310D">
        <w:rPr>
          <w:spacing w:val="3"/>
        </w:rPr>
        <w:t xml:space="preserve"> </w:t>
      </w:r>
      <w:r w:rsidRPr="008F310D">
        <w:t>continued</w:t>
      </w:r>
      <w:r w:rsidRPr="008F310D">
        <w:rPr>
          <w:spacing w:val="4"/>
        </w:rPr>
        <w:t xml:space="preserve"> </w:t>
      </w:r>
      <w:r w:rsidRPr="008F310D">
        <w:t>relevance</w:t>
      </w:r>
      <w:r w:rsidRPr="008F310D">
        <w:rPr>
          <w:spacing w:val="75"/>
        </w:rPr>
        <w:t xml:space="preserve"> </w:t>
      </w:r>
      <w:r w:rsidRPr="008F310D">
        <w:t>and</w:t>
      </w:r>
      <w:r w:rsidRPr="008F310D">
        <w:rPr>
          <w:spacing w:val="4"/>
        </w:rPr>
        <w:t xml:space="preserve"> </w:t>
      </w:r>
      <w:r w:rsidRPr="008F310D">
        <w:t>adequacy of</w:t>
      </w:r>
      <w:r w:rsidRPr="008F310D">
        <w:rPr>
          <w:spacing w:val="4"/>
        </w:rPr>
        <w:t xml:space="preserve"> </w:t>
      </w:r>
      <w:r w:rsidRPr="008F310D">
        <w:t>the</w:t>
      </w:r>
      <w:r w:rsidRPr="008F310D">
        <w:rPr>
          <w:spacing w:val="3"/>
        </w:rPr>
        <w:t xml:space="preserve"> </w:t>
      </w:r>
      <w:r w:rsidRPr="008F310D">
        <w:t>provisions</w:t>
      </w:r>
      <w:r w:rsidRPr="008F310D">
        <w:rPr>
          <w:spacing w:val="5"/>
        </w:rPr>
        <w:t xml:space="preserve"> </w:t>
      </w:r>
      <w:r w:rsidRPr="008F310D">
        <w:t>of</w:t>
      </w:r>
      <w:r w:rsidRPr="008F310D">
        <w:rPr>
          <w:spacing w:val="4"/>
        </w:rPr>
        <w:t xml:space="preserve"> </w:t>
      </w:r>
      <w:r w:rsidRPr="008F310D">
        <w:t>the</w:t>
      </w:r>
      <w:r w:rsidRPr="008F310D">
        <w:rPr>
          <w:spacing w:val="3"/>
        </w:rPr>
        <w:t xml:space="preserve"> </w:t>
      </w:r>
      <w:r w:rsidRPr="00381A02">
        <w:rPr>
          <w:i/>
        </w:rPr>
        <w:t>Legislative</w:t>
      </w:r>
      <w:r w:rsidRPr="00381A02">
        <w:rPr>
          <w:i/>
          <w:spacing w:val="3"/>
        </w:rPr>
        <w:t xml:space="preserve"> </w:t>
      </w:r>
      <w:r w:rsidRPr="00381A02">
        <w:rPr>
          <w:i/>
        </w:rPr>
        <w:t>Assembly</w:t>
      </w:r>
      <w:r w:rsidRPr="00381A02">
        <w:rPr>
          <w:i/>
          <w:spacing w:val="6"/>
        </w:rPr>
        <w:t xml:space="preserve"> </w:t>
      </w:r>
      <w:r w:rsidRPr="00381A02">
        <w:rPr>
          <w:i/>
        </w:rPr>
        <w:t>(Office</w:t>
      </w:r>
      <w:r w:rsidRPr="00381A02">
        <w:rPr>
          <w:i/>
          <w:spacing w:val="45"/>
        </w:rPr>
        <w:t xml:space="preserve"> </w:t>
      </w:r>
      <w:r w:rsidRPr="00381A02">
        <w:rPr>
          <w:i/>
        </w:rPr>
        <w:t>of the Legislative Assembly) Act 2012</w:t>
      </w:r>
      <w:r w:rsidRPr="008F310D">
        <w:t>;</w:t>
      </w:r>
      <w:r w:rsidR="007D3B6E">
        <w:br/>
      </w:r>
    </w:p>
    <w:p w:rsidR="00914AB3" w:rsidRPr="008F310D" w:rsidRDefault="00914AB3" w:rsidP="00264DAB">
      <w:pPr>
        <w:pStyle w:val="Quote"/>
        <w:numPr>
          <w:ilvl w:val="0"/>
          <w:numId w:val="14"/>
        </w:numPr>
        <w:ind w:left="1276" w:right="849" w:hanging="142"/>
      </w:pPr>
      <w:r w:rsidRPr="008F310D">
        <w:t>consider</w:t>
      </w:r>
      <w:r w:rsidRPr="008F310D">
        <w:rPr>
          <w:spacing w:val="1"/>
        </w:rPr>
        <w:t xml:space="preserve"> </w:t>
      </w:r>
      <w:r w:rsidRPr="008F310D">
        <w:t>and</w:t>
      </w:r>
      <w:r w:rsidRPr="008F310D">
        <w:rPr>
          <w:spacing w:val="2"/>
        </w:rPr>
        <w:t xml:space="preserve"> </w:t>
      </w:r>
      <w:r w:rsidRPr="008F310D">
        <w:t>make</w:t>
      </w:r>
      <w:r w:rsidRPr="008F310D">
        <w:rPr>
          <w:spacing w:val="3"/>
        </w:rPr>
        <w:t xml:space="preserve"> </w:t>
      </w:r>
      <w:r w:rsidRPr="008F310D">
        <w:t>recommendations</w:t>
      </w:r>
      <w:r w:rsidRPr="008F310D">
        <w:rPr>
          <w:spacing w:val="2"/>
        </w:rPr>
        <w:t xml:space="preserve"> </w:t>
      </w:r>
      <w:r w:rsidRPr="008F310D">
        <w:t>relating to</w:t>
      </w:r>
      <w:r w:rsidRPr="008F310D">
        <w:rPr>
          <w:spacing w:val="4"/>
        </w:rPr>
        <w:t xml:space="preserve"> </w:t>
      </w:r>
      <w:r w:rsidRPr="008F310D">
        <w:t>the</w:t>
      </w:r>
      <w:r w:rsidRPr="008F310D">
        <w:rPr>
          <w:spacing w:val="1"/>
        </w:rPr>
        <w:t xml:space="preserve"> </w:t>
      </w:r>
      <w:r w:rsidRPr="008F310D">
        <w:t>capacity</w:t>
      </w:r>
      <w:r w:rsidRPr="008F310D">
        <w:rPr>
          <w:spacing w:val="-3"/>
        </w:rPr>
        <w:t xml:space="preserve"> </w:t>
      </w:r>
      <w:r w:rsidRPr="008F310D">
        <w:t>of</w:t>
      </w:r>
      <w:r w:rsidRPr="008F310D">
        <w:rPr>
          <w:spacing w:val="1"/>
        </w:rPr>
        <w:t xml:space="preserve"> </w:t>
      </w:r>
      <w:r w:rsidRPr="008F310D">
        <w:t>the</w:t>
      </w:r>
      <w:r w:rsidRPr="008F310D">
        <w:rPr>
          <w:spacing w:val="57"/>
        </w:rPr>
        <w:t xml:space="preserve"> </w:t>
      </w:r>
      <w:r w:rsidRPr="008F310D">
        <w:t>Office</w:t>
      </w:r>
      <w:r w:rsidRPr="008F310D">
        <w:rPr>
          <w:spacing w:val="25"/>
        </w:rPr>
        <w:t xml:space="preserve"> </w:t>
      </w:r>
      <w:r w:rsidRPr="008F310D">
        <w:rPr>
          <w:spacing w:val="1"/>
        </w:rPr>
        <w:t>of</w:t>
      </w:r>
      <w:r w:rsidRPr="008F310D">
        <w:rPr>
          <w:spacing w:val="25"/>
        </w:rPr>
        <w:t xml:space="preserve"> </w:t>
      </w:r>
      <w:r w:rsidRPr="008F310D">
        <w:t>the</w:t>
      </w:r>
      <w:r w:rsidRPr="008F310D">
        <w:rPr>
          <w:spacing w:val="27"/>
        </w:rPr>
        <w:t xml:space="preserve"> </w:t>
      </w:r>
      <w:r w:rsidRPr="008F310D">
        <w:t>Legislative</w:t>
      </w:r>
      <w:r w:rsidRPr="008F310D">
        <w:rPr>
          <w:spacing w:val="25"/>
        </w:rPr>
        <w:t xml:space="preserve"> </w:t>
      </w:r>
      <w:r w:rsidRPr="008F310D">
        <w:t>Assembly</w:t>
      </w:r>
      <w:r w:rsidRPr="008F310D">
        <w:rPr>
          <w:spacing w:val="21"/>
        </w:rPr>
        <w:t xml:space="preserve"> </w:t>
      </w:r>
      <w:r w:rsidRPr="008F310D">
        <w:t>to</w:t>
      </w:r>
      <w:r w:rsidRPr="008F310D">
        <w:rPr>
          <w:spacing w:val="26"/>
        </w:rPr>
        <w:t xml:space="preserve"> </w:t>
      </w:r>
      <w:r w:rsidRPr="008F310D">
        <w:t>provide</w:t>
      </w:r>
      <w:r w:rsidRPr="008F310D">
        <w:rPr>
          <w:spacing w:val="25"/>
        </w:rPr>
        <w:t xml:space="preserve"> </w:t>
      </w:r>
      <w:r w:rsidRPr="008F310D">
        <w:t>administrative</w:t>
      </w:r>
      <w:r w:rsidRPr="008F310D">
        <w:rPr>
          <w:spacing w:val="43"/>
        </w:rPr>
        <w:t xml:space="preserve"> </w:t>
      </w:r>
      <w:r w:rsidRPr="008F310D">
        <w:t>support</w:t>
      </w:r>
      <w:r w:rsidRPr="008F310D">
        <w:rPr>
          <w:spacing w:val="36"/>
        </w:rPr>
        <w:t xml:space="preserve"> </w:t>
      </w:r>
      <w:r w:rsidRPr="008F310D">
        <w:t>to</w:t>
      </w:r>
      <w:r w:rsidRPr="008F310D">
        <w:rPr>
          <w:spacing w:val="36"/>
        </w:rPr>
        <w:t xml:space="preserve"> </w:t>
      </w:r>
      <w:r w:rsidRPr="008F310D">
        <w:t>the</w:t>
      </w:r>
      <w:r w:rsidRPr="008F310D">
        <w:rPr>
          <w:spacing w:val="35"/>
        </w:rPr>
        <w:t xml:space="preserve"> </w:t>
      </w:r>
      <w:r w:rsidRPr="008F310D">
        <w:t>Speaker</w:t>
      </w:r>
      <w:r w:rsidRPr="008F310D">
        <w:rPr>
          <w:spacing w:val="37"/>
        </w:rPr>
        <w:t xml:space="preserve"> </w:t>
      </w:r>
      <w:r w:rsidRPr="008F310D">
        <w:rPr>
          <w:spacing w:val="1"/>
        </w:rPr>
        <w:t>in</w:t>
      </w:r>
      <w:r w:rsidRPr="008F310D">
        <w:rPr>
          <w:spacing w:val="36"/>
        </w:rPr>
        <w:t xml:space="preserve"> </w:t>
      </w:r>
      <w:r w:rsidRPr="008F310D">
        <w:t>the</w:t>
      </w:r>
      <w:r w:rsidRPr="008F310D">
        <w:rPr>
          <w:spacing w:val="35"/>
        </w:rPr>
        <w:t xml:space="preserve"> </w:t>
      </w:r>
      <w:r w:rsidRPr="008F310D">
        <w:t>performance</w:t>
      </w:r>
      <w:r w:rsidRPr="008F310D">
        <w:rPr>
          <w:spacing w:val="37"/>
        </w:rPr>
        <w:t xml:space="preserve"> </w:t>
      </w:r>
      <w:r w:rsidRPr="008F310D">
        <w:t>of</w:t>
      </w:r>
      <w:r w:rsidRPr="008F310D">
        <w:rPr>
          <w:spacing w:val="37"/>
        </w:rPr>
        <w:t xml:space="preserve"> </w:t>
      </w:r>
      <w:r w:rsidRPr="008F310D">
        <w:t>the</w:t>
      </w:r>
      <w:r w:rsidRPr="008F310D">
        <w:rPr>
          <w:spacing w:val="35"/>
        </w:rPr>
        <w:t xml:space="preserve"> </w:t>
      </w:r>
      <w:r w:rsidRPr="008F310D">
        <w:t>Speaker’s</w:t>
      </w:r>
      <w:r w:rsidRPr="008F310D">
        <w:rPr>
          <w:spacing w:val="38"/>
        </w:rPr>
        <w:t xml:space="preserve"> </w:t>
      </w:r>
      <w:r w:rsidRPr="008F310D">
        <w:t>role</w:t>
      </w:r>
      <w:r w:rsidRPr="008F310D">
        <w:rPr>
          <w:spacing w:val="61"/>
        </w:rPr>
        <w:t xml:space="preserve"> </w:t>
      </w:r>
      <w:r w:rsidRPr="008F310D">
        <w:t>and</w:t>
      </w:r>
      <w:r w:rsidRPr="008F310D">
        <w:rPr>
          <w:spacing w:val="36"/>
        </w:rPr>
        <w:t xml:space="preserve"> </w:t>
      </w:r>
      <w:r w:rsidRPr="008F310D">
        <w:t>functions</w:t>
      </w:r>
      <w:r w:rsidRPr="008F310D">
        <w:rPr>
          <w:spacing w:val="36"/>
        </w:rPr>
        <w:t xml:space="preserve"> </w:t>
      </w:r>
      <w:r w:rsidRPr="008F310D">
        <w:t>in</w:t>
      </w:r>
      <w:r w:rsidRPr="008F310D">
        <w:rPr>
          <w:spacing w:val="38"/>
        </w:rPr>
        <w:t xml:space="preserve"> </w:t>
      </w:r>
      <w:r w:rsidRPr="008F310D">
        <w:t>relation</w:t>
      </w:r>
      <w:r w:rsidRPr="008F310D">
        <w:rPr>
          <w:spacing w:val="36"/>
        </w:rPr>
        <w:t xml:space="preserve"> </w:t>
      </w:r>
      <w:r w:rsidRPr="008F310D">
        <w:t>to</w:t>
      </w:r>
      <w:r w:rsidRPr="008F310D">
        <w:rPr>
          <w:spacing w:val="36"/>
        </w:rPr>
        <w:t xml:space="preserve"> </w:t>
      </w:r>
      <w:r w:rsidRPr="008F310D">
        <w:t>the</w:t>
      </w:r>
      <w:r w:rsidRPr="008F310D">
        <w:rPr>
          <w:spacing w:val="35"/>
        </w:rPr>
        <w:t xml:space="preserve"> </w:t>
      </w:r>
      <w:r w:rsidRPr="008F310D">
        <w:t>independent</w:t>
      </w:r>
      <w:r w:rsidRPr="008F310D">
        <w:rPr>
          <w:spacing w:val="38"/>
        </w:rPr>
        <w:t xml:space="preserve"> </w:t>
      </w:r>
      <w:r w:rsidRPr="008F310D">
        <w:t>officers</w:t>
      </w:r>
      <w:r w:rsidRPr="008F310D">
        <w:rPr>
          <w:spacing w:val="36"/>
        </w:rPr>
        <w:t xml:space="preserve"> </w:t>
      </w:r>
      <w:r w:rsidRPr="008F310D">
        <w:t>of</w:t>
      </w:r>
      <w:r w:rsidRPr="008F310D">
        <w:rPr>
          <w:spacing w:val="37"/>
        </w:rPr>
        <w:t xml:space="preserve"> </w:t>
      </w:r>
      <w:r w:rsidRPr="008F310D">
        <w:t>the</w:t>
      </w:r>
      <w:r w:rsidRPr="008F310D">
        <w:rPr>
          <w:spacing w:val="63"/>
        </w:rPr>
        <w:t xml:space="preserve"> </w:t>
      </w:r>
      <w:r w:rsidRPr="008F310D">
        <w:t>Legislative</w:t>
      </w:r>
      <w:r w:rsidRPr="008F310D">
        <w:rPr>
          <w:spacing w:val="1"/>
        </w:rPr>
        <w:t xml:space="preserve"> </w:t>
      </w:r>
      <w:r w:rsidRPr="008F310D">
        <w:t>Assembly;</w:t>
      </w:r>
      <w:r w:rsidRPr="008F310D">
        <w:rPr>
          <w:spacing w:val="2"/>
        </w:rPr>
        <w:t xml:space="preserve"> </w:t>
      </w:r>
      <w:r w:rsidRPr="008F310D">
        <w:t>and</w:t>
      </w:r>
      <w:r w:rsidR="007D3B6E">
        <w:br/>
      </w:r>
    </w:p>
    <w:p w:rsidR="00E15B70" w:rsidRDefault="00914AB3" w:rsidP="00264DAB">
      <w:pPr>
        <w:pStyle w:val="Quote"/>
        <w:numPr>
          <w:ilvl w:val="0"/>
          <w:numId w:val="14"/>
        </w:numPr>
        <w:ind w:left="1276" w:right="849" w:hanging="142"/>
      </w:pPr>
      <w:r w:rsidRPr="008F310D">
        <w:t>consider</w:t>
      </w:r>
      <w:r w:rsidRPr="00E15B70">
        <w:rPr>
          <w:spacing w:val="28"/>
        </w:rPr>
        <w:t xml:space="preserve"> </w:t>
      </w:r>
      <w:r w:rsidRPr="008F310D">
        <w:t>and</w:t>
      </w:r>
      <w:r w:rsidRPr="00E15B70">
        <w:rPr>
          <w:spacing w:val="28"/>
        </w:rPr>
        <w:t xml:space="preserve"> </w:t>
      </w:r>
      <w:r w:rsidRPr="008F310D">
        <w:t>make</w:t>
      </w:r>
      <w:r w:rsidRPr="00E15B70">
        <w:rPr>
          <w:spacing w:val="27"/>
        </w:rPr>
        <w:t xml:space="preserve"> </w:t>
      </w:r>
      <w:r w:rsidRPr="008F310D">
        <w:t>recommendations</w:t>
      </w:r>
      <w:r w:rsidRPr="00E15B70">
        <w:rPr>
          <w:spacing w:val="29"/>
        </w:rPr>
        <w:t xml:space="preserve"> </w:t>
      </w:r>
      <w:r w:rsidRPr="008F310D">
        <w:t>on</w:t>
      </w:r>
      <w:r w:rsidRPr="00E15B70">
        <w:rPr>
          <w:spacing w:val="28"/>
        </w:rPr>
        <w:t xml:space="preserve"> </w:t>
      </w:r>
      <w:r w:rsidRPr="008F310D">
        <w:t>any</w:t>
      </w:r>
      <w:r w:rsidRPr="00E15B70">
        <w:rPr>
          <w:spacing w:val="21"/>
        </w:rPr>
        <w:t xml:space="preserve"> </w:t>
      </w:r>
      <w:r w:rsidRPr="008F310D">
        <w:t>other</w:t>
      </w:r>
      <w:r w:rsidRPr="00E15B70">
        <w:rPr>
          <w:spacing w:val="28"/>
        </w:rPr>
        <w:t xml:space="preserve"> </w:t>
      </w:r>
      <w:r w:rsidRPr="008F310D">
        <w:t>matters</w:t>
      </w:r>
      <w:r w:rsidRPr="00E15B70">
        <w:rPr>
          <w:spacing w:val="29"/>
        </w:rPr>
        <w:t xml:space="preserve"> </w:t>
      </w:r>
      <w:r w:rsidRPr="008F310D">
        <w:t>raised</w:t>
      </w:r>
      <w:r w:rsidRPr="00E15B70">
        <w:rPr>
          <w:spacing w:val="66"/>
        </w:rPr>
        <w:t xml:space="preserve"> </w:t>
      </w:r>
      <w:r w:rsidRPr="008F310D">
        <w:t>in</w:t>
      </w:r>
      <w:r w:rsidRPr="00E15B70">
        <w:rPr>
          <w:spacing w:val="57"/>
        </w:rPr>
        <w:t xml:space="preserve"> </w:t>
      </w:r>
      <w:r w:rsidRPr="008F310D">
        <w:t>the</w:t>
      </w:r>
      <w:r w:rsidRPr="00E15B70">
        <w:rPr>
          <w:spacing w:val="56"/>
        </w:rPr>
        <w:t xml:space="preserve"> </w:t>
      </w:r>
      <w:r w:rsidRPr="008F310D">
        <w:t>report</w:t>
      </w:r>
      <w:r w:rsidRPr="00E15B70">
        <w:rPr>
          <w:spacing w:val="58"/>
        </w:rPr>
        <w:t xml:space="preserve"> </w:t>
      </w:r>
      <w:r w:rsidRPr="008F310D">
        <w:t>the</w:t>
      </w:r>
      <w:r w:rsidRPr="00E15B70">
        <w:rPr>
          <w:spacing w:val="56"/>
        </w:rPr>
        <w:t xml:space="preserve"> </w:t>
      </w:r>
      <w:r w:rsidRPr="008F310D">
        <w:t>committee</w:t>
      </w:r>
      <w:r w:rsidRPr="00E15B70">
        <w:rPr>
          <w:spacing w:val="56"/>
        </w:rPr>
        <w:t xml:space="preserve"> </w:t>
      </w:r>
      <w:r w:rsidRPr="008F310D">
        <w:t>considers</w:t>
      </w:r>
      <w:r w:rsidRPr="00E15B70">
        <w:rPr>
          <w:spacing w:val="57"/>
        </w:rPr>
        <w:t xml:space="preserve"> </w:t>
      </w:r>
      <w:r w:rsidRPr="008F310D">
        <w:t>relevant  according</w:t>
      </w:r>
      <w:r w:rsidRPr="00E15B70">
        <w:rPr>
          <w:spacing w:val="55"/>
        </w:rPr>
        <w:t xml:space="preserve"> </w:t>
      </w:r>
      <w:r w:rsidRPr="008F310D">
        <w:t>to</w:t>
      </w:r>
      <w:r w:rsidRPr="00E15B70">
        <w:rPr>
          <w:spacing w:val="57"/>
        </w:rPr>
        <w:t xml:space="preserve"> </w:t>
      </w:r>
      <w:r w:rsidRPr="008F310D">
        <w:t>its terms of reference.</w:t>
      </w:r>
      <w:r w:rsidR="00243DD5">
        <w:rPr>
          <w:rStyle w:val="FootnoteReference"/>
        </w:rPr>
        <w:footnoteReference w:id="3"/>
      </w:r>
    </w:p>
    <w:p w:rsidR="00AC4054" w:rsidRPr="00AC4054" w:rsidRDefault="00F06911" w:rsidP="000070DF">
      <w:pPr>
        <w:pStyle w:val="Bodycopynumbered"/>
        <w:keepNext w:val="0"/>
        <w:rPr>
          <w:rFonts w:ascii="Calibri" w:hAnsi="Calibri"/>
          <w:szCs w:val="22"/>
        </w:rPr>
      </w:pPr>
      <w:r w:rsidRPr="00914AB3">
        <w:t>The committee</w:t>
      </w:r>
      <w:r w:rsidR="00AA0826">
        <w:t>, through the Speaker, invited</w:t>
      </w:r>
      <w:r>
        <w:t xml:space="preserve"> MLAs and Officers of the Legislative Assembly to make a submission to the inquiry</w:t>
      </w:r>
      <w:r w:rsidR="00AC4054">
        <w:t>. The committee received written submissions from:</w:t>
      </w:r>
    </w:p>
    <w:p w:rsidR="00F06911" w:rsidRDefault="00F06911" w:rsidP="000070DF">
      <w:pPr>
        <w:pStyle w:val="Bulletlistlevel1"/>
        <w:keepNext w:val="0"/>
        <w:rPr>
          <w:rFonts w:ascii="Calibri" w:hAnsi="Calibri"/>
          <w:szCs w:val="22"/>
        </w:rPr>
      </w:pPr>
      <w:r w:rsidRPr="00773DE8">
        <w:rPr>
          <w:rFonts w:ascii="Calibri" w:hAnsi="Calibri"/>
          <w:szCs w:val="22"/>
        </w:rPr>
        <w:t>Andrew Barr MLA, Chief Minister for the ACT</w:t>
      </w:r>
      <w:r w:rsidR="00AC4054">
        <w:rPr>
          <w:rFonts w:ascii="Calibri" w:hAnsi="Calibri"/>
          <w:szCs w:val="22"/>
        </w:rPr>
        <w:t>;</w:t>
      </w:r>
    </w:p>
    <w:p w:rsidR="00AC4054" w:rsidRDefault="00AC4054" w:rsidP="000070DF">
      <w:pPr>
        <w:pStyle w:val="Bulletlistlevel1"/>
        <w:keepNext w:val="0"/>
        <w:rPr>
          <w:rFonts w:ascii="Calibri" w:hAnsi="Calibri"/>
          <w:szCs w:val="22"/>
        </w:rPr>
      </w:pPr>
      <w:r>
        <w:rPr>
          <w:rFonts w:ascii="Calibri" w:hAnsi="Calibri"/>
          <w:szCs w:val="22"/>
        </w:rPr>
        <w:t>Philip Green, ACT Electoral Commissioner; and</w:t>
      </w:r>
    </w:p>
    <w:p w:rsidR="00AC4054" w:rsidRPr="00773DE8" w:rsidRDefault="00AC4054" w:rsidP="000070DF">
      <w:pPr>
        <w:pStyle w:val="Bulletlistlevel1"/>
        <w:keepNext w:val="0"/>
        <w:rPr>
          <w:rFonts w:ascii="Calibri" w:hAnsi="Calibri"/>
          <w:szCs w:val="22"/>
        </w:rPr>
      </w:pPr>
      <w:r>
        <w:rPr>
          <w:rFonts w:ascii="Calibri" w:hAnsi="Calibri"/>
          <w:szCs w:val="22"/>
        </w:rPr>
        <w:t xml:space="preserve">Richard Glenn, Acting ACT Ombudsman. </w:t>
      </w:r>
    </w:p>
    <w:p w:rsidR="00F06911" w:rsidRDefault="00F06911" w:rsidP="000070DF">
      <w:pPr>
        <w:pStyle w:val="Bodycopynumbered"/>
        <w:keepNext w:val="0"/>
      </w:pPr>
      <w:r>
        <w:t>The committee reviewed the sub</w:t>
      </w:r>
      <w:r w:rsidR="00BD05B9">
        <w:t>mission</w:t>
      </w:r>
      <w:r w:rsidR="000070DF">
        <w:t>s</w:t>
      </w:r>
      <w:r w:rsidR="00BD05B9">
        <w:t xml:space="preserve"> and considered issues relevant to the reference.  </w:t>
      </w:r>
    </w:p>
    <w:p w:rsidR="003053A1" w:rsidRDefault="003053A1" w:rsidP="000070DF">
      <w:pPr>
        <w:pStyle w:val="Heading2"/>
        <w:keepNext w:val="0"/>
        <w:spacing w:before="360" w:after="240"/>
      </w:pPr>
      <w:bookmarkStart w:id="57" w:name="_Toc457901184"/>
    </w:p>
    <w:p w:rsidR="003053A1" w:rsidRDefault="003053A1" w:rsidP="000070DF">
      <w:pPr>
        <w:pStyle w:val="Heading2"/>
        <w:keepNext w:val="0"/>
        <w:spacing w:before="360" w:after="240"/>
      </w:pPr>
    </w:p>
    <w:p w:rsidR="003053A1" w:rsidRDefault="003053A1" w:rsidP="000070DF">
      <w:pPr>
        <w:pStyle w:val="Heading2"/>
        <w:keepNext w:val="0"/>
        <w:spacing w:before="360" w:after="240"/>
      </w:pPr>
    </w:p>
    <w:p w:rsidR="00F06911" w:rsidRPr="00914AB3" w:rsidRDefault="00F06911" w:rsidP="000070DF">
      <w:pPr>
        <w:pStyle w:val="Heading2"/>
        <w:keepNext w:val="0"/>
        <w:spacing w:before="360" w:after="240"/>
      </w:pPr>
      <w:r>
        <w:lastRenderedPageBreak/>
        <w:t>Background</w:t>
      </w:r>
      <w:bookmarkEnd w:id="57"/>
    </w:p>
    <w:p w:rsidR="00392AC2" w:rsidRDefault="00392AC2" w:rsidP="000070DF">
      <w:pPr>
        <w:pStyle w:val="Heading3"/>
        <w:keepNext w:val="0"/>
        <w:spacing w:before="240" w:after="240"/>
      </w:pPr>
      <w:bookmarkStart w:id="58" w:name="_Toc457901185"/>
      <w:r>
        <w:t xml:space="preserve">Matters raised </w:t>
      </w:r>
      <w:r w:rsidR="008E58F7">
        <w:t>in the report on the strategic review</w:t>
      </w:r>
      <w:bookmarkEnd w:id="58"/>
    </w:p>
    <w:p w:rsidR="00392AC2" w:rsidRDefault="00392AC2" w:rsidP="000070DF">
      <w:pPr>
        <w:pStyle w:val="Bodycopynumbered"/>
        <w:keepNext w:val="0"/>
      </w:pPr>
      <w:r>
        <w:t xml:space="preserve">In </w:t>
      </w:r>
      <w:r w:rsidR="004C7AA5">
        <w:t xml:space="preserve">undertaking the strategic review of the </w:t>
      </w:r>
      <w:r>
        <w:t xml:space="preserve">Auditor-General, Mr Pearson had occasion to reflect on the adequacy of administrative support arrangements </w:t>
      </w:r>
      <w:r w:rsidR="004C7AA5">
        <w:t>in place t</w:t>
      </w:r>
      <w:r w:rsidR="00381A02">
        <w:t>o</w:t>
      </w:r>
      <w:r w:rsidR="004C7AA5">
        <w:t xml:space="preserve"> assist </w:t>
      </w:r>
      <w:r w:rsidR="00381A02">
        <w:t xml:space="preserve">the Speaker </w:t>
      </w:r>
      <w:r w:rsidR="004C7AA5">
        <w:t xml:space="preserve">in </w:t>
      </w:r>
      <w:r>
        <w:t xml:space="preserve">the </w:t>
      </w:r>
      <w:r w:rsidR="004C7AA5">
        <w:t xml:space="preserve">performance of the </w:t>
      </w:r>
      <w:r>
        <w:t>Speaker’s statutory functions in relation to the</w:t>
      </w:r>
      <w:r w:rsidR="004C7AA5">
        <w:t xml:space="preserve"> </w:t>
      </w:r>
      <w:r>
        <w:t xml:space="preserve">Auditor-General and Officers of the Legislative Assembly more generally.  </w:t>
      </w:r>
    </w:p>
    <w:p w:rsidR="00392AC2" w:rsidRDefault="00392AC2" w:rsidP="000070DF">
      <w:pPr>
        <w:pStyle w:val="Bodycopynumbered"/>
        <w:keepNext w:val="0"/>
      </w:pPr>
      <w:r>
        <w:t>In his report, Mr Pearson noted that:</w:t>
      </w:r>
    </w:p>
    <w:p w:rsidR="00392AC2" w:rsidRDefault="00381A02" w:rsidP="000070DF">
      <w:pPr>
        <w:pStyle w:val="Quote"/>
      </w:pPr>
      <w:r>
        <w:t>...</w:t>
      </w:r>
      <w:r w:rsidR="00392AC2">
        <w:t>in recognition</w:t>
      </w:r>
      <w:r>
        <w:t xml:space="preserve"> [of]</w:t>
      </w:r>
      <w:r w:rsidR="00392AC2">
        <w:t xml:space="preserve"> the sensitivity of the relationship with these independent officers it would be desirable to clarify the manner in which the Speaker is to be administratively supported in relation to the exercise of the Speaker's functions vis-a vis Officers of the Legislative Assembly. </w:t>
      </w:r>
    </w:p>
    <w:p w:rsidR="00392AC2" w:rsidRDefault="00392AC2" w:rsidP="000070DF">
      <w:pPr>
        <w:pStyle w:val="Quote"/>
      </w:pPr>
    </w:p>
    <w:p w:rsidR="00392AC2" w:rsidRDefault="00392AC2" w:rsidP="000070DF">
      <w:pPr>
        <w:pStyle w:val="Quote"/>
      </w:pPr>
      <w:r>
        <w:t xml:space="preserve">In the event that the Office of the Legislative Assembly is to play a role in the provision of administrative support it would be prudent to consider codifying these functions by way of a consequential amendment to the </w:t>
      </w:r>
      <w:r>
        <w:rPr>
          <w:i/>
        </w:rPr>
        <w:t xml:space="preserve">Legislative Assembly (Office of the Legislative Assembly) Act 2012. </w:t>
      </w:r>
      <w:r>
        <w:t>This could be done, for example, by amending s6 of the Act to include such a remit in the statutory functions of the Office.</w:t>
      </w:r>
    </w:p>
    <w:p w:rsidR="00392AC2" w:rsidRDefault="00392AC2" w:rsidP="000070DF">
      <w:pPr>
        <w:pStyle w:val="Bodycopynumbered"/>
        <w:keepNext w:val="0"/>
      </w:pPr>
      <w:r>
        <w:t>The committee notes the comments of the Speaker who has previously observed in the Assembly that:</w:t>
      </w:r>
    </w:p>
    <w:p w:rsidR="00392AC2" w:rsidRDefault="00392AC2" w:rsidP="000070DF">
      <w:pPr>
        <w:pStyle w:val="Quote"/>
      </w:pPr>
      <w:r>
        <w:t>...while I am very supportive of the creation of officers of the Legislative Assembly, we have been in uncharted waters. My office and I have been creating new procedures as we go along, with the assistance of the Clerk’s office... But that has been an informal arrangement and I want, while I am still the Speaker, to create a more formal arrangement for that to continue to happen. I do not want to leave the Speaker’s post without having created sufficient form and practice for my successors to be able to carry out this job without having to reinvent the wheel...</w:t>
      </w:r>
    </w:p>
    <w:p w:rsidR="00392AC2" w:rsidRDefault="00392AC2" w:rsidP="000070DF">
      <w:pPr>
        <w:autoSpaceDE w:val="0"/>
        <w:autoSpaceDN w:val="0"/>
        <w:adjustRightInd w:val="0"/>
        <w:rPr>
          <w:rFonts w:ascii="Times New Roman" w:eastAsiaTheme="minorHAnsi" w:hAnsi="Times New Roman"/>
          <w:sz w:val="24"/>
        </w:rPr>
      </w:pPr>
    </w:p>
    <w:p w:rsidR="00392AC2" w:rsidRDefault="00392AC2" w:rsidP="000070DF">
      <w:pPr>
        <w:pStyle w:val="Quote"/>
      </w:pPr>
      <w:r>
        <w:t>I was very concerned about the processes which were left essentially to the Speaker and to the Speaker’s own personal staff to deal with. I think that is not appropriate. For instance, today I shall be signing a service agreement in relation to the Auditor-General for the audit of the Auditor-General. I think it would be entirely inappropriate for that work to be done by somebody who was not a public servant.</w:t>
      </w:r>
      <w:r>
        <w:rPr>
          <w:rStyle w:val="FootnoteReference"/>
        </w:rPr>
        <w:footnoteReference w:id="4"/>
      </w:r>
    </w:p>
    <w:p w:rsidR="00392AC2" w:rsidRDefault="00392AC2" w:rsidP="000070DF">
      <w:pPr>
        <w:pStyle w:val="Bodycopynumbered"/>
        <w:keepNext w:val="0"/>
      </w:pPr>
      <w:r>
        <w:t>The committee shares the Speaker’s concern</w:t>
      </w:r>
      <w:r w:rsidR="00BD05B9">
        <w:t>s</w:t>
      </w:r>
      <w:r>
        <w:t>.</w:t>
      </w:r>
    </w:p>
    <w:p w:rsidR="00392AC2" w:rsidRDefault="00392AC2" w:rsidP="000070DF">
      <w:pPr>
        <w:pStyle w:val="Bodycopynumbered"/>
        <w:keepNext w:val="0"/>
      </w:pPr>
      <w:r>
        <w:t>Against this background, the key propositio</w:t>
      </w:r>
      <w:r w:rsidR="00BD05B9">
        <w:t>n with which the committee is</w:t>
      </w:r>
      <w:r>
        <w:t xml:space="preserve"> required to engage relates to whether or not </w:t>
      </w:r>
      <w:r w:rsidR="00BD05B9">
        <w:t>the</w:t>
      </w:r>
      <w:r w:rsidR="00AA0826">
        <w:t xml:space="preserve"> </w:t>
      </w:r>
      <w:r w:rsidRPr="006C3F95">
        <w:rPr>
          <w:i/>
        </w:rPr>
        <w:t xml:space="preserve">Legislative Assembly (Office of the Legislative Assembly) Act 2012 </w:t>
      </w:r>
      <w:r>
        <w:t xml:space="preserve">might be amended so as to provide a statutory basis for any support or advice provided by the Office in relation to Officers of the Legislative Assembly. </w:t>
      </w:r>
    </w:p>
    <w:p w:rsidR="001F16A1" w:rsidRPr="00426E6D" w:rsidRDefault="00426E6D" w:rsidP="000070DF">
      <w:pPr>
        <w:pStyle w:val="Heading3"/>
        <w:keepNext w:val="0"/>
        <w:spacing w:before="240" w:after="240"/>
      </w:pPr>
      <w:bookmarkStart w:id="59" w:name="_Toc457901186"/>
      <w:r w:rsidRPr="00426E6D">
        <w:t>The Office of the Legislative Assembly</w:t>
      </w:r>
      <w:bookmarkEnd w:id="59"/>
    </w:p>
    <w:p w:rsidR="00E15B70" w:rsidRDefault="00773DE8" w:rsidP="000070DF">
      <w:pPr>
        <w:pStyle w:val="Bodycopynumbered"/>
        <w:keepNext w:val="0"/>
        <w:widowControl/>
        <w:numPr>
          <w:ilvl w:val="1"/>
          <w:numId w:val="7"/>
        </w:numPr>
        <w:ind w:left="567" w:hanging="567"/>
        <w:outlineLvl w:val="9"/>
      </w:pPr>
      <w:r>
        <w:t xml:space="preserve">The </w:t>
      </w:r>
      <w:r w:rsidRPr="006336A4">
        <w:rPr>
          <w:i/>
        </w:rPr>
        <w:t>Legislative Assembly (Office of the Legislative Assembly) Act 2012</w:t>
      </w:r>
      <w:r>
        <w:t xml:space="preserve"> (the OLA Act) establishes the Office of the Legislative Assembly</w:t>
      </w:r>
      <w:r w:rsidR="00426E6D">
        <w:rPr>
          <w:rStyle w:val="FootnoteReference"/>
        </w:rPr>
        <w:footnoteReference w:id="5"/>
      </w:r>
      <w:r w:rsidR="006336A4">
        <w:t xml:space="preserve"> and enshrines its independence. </w:t>
      </w:r>
      <w:r w:rsidR="00E15B70">
        <w:t>Significantly, the Office of the Legislative Assembly Act provides that ‘the clerk and the office’s staff are not subject to the direction by the Executive or any Minister in the exercise of their functions’</w:t>
      </w:r>
      <w:r w:rsidR="00AA0826">
        <w:t>.</w:t>
      </w:r>
      <w:r w:rsidR="00E15B70">
        <w:rPr>
          <w:rStyle w:val="FootnoteReference"/>
        </w:rPr>
        <w:footnoteReference w:id="6"/>
      </w:r>
    </w:p>
    <w:p w:rsidR="006336A4" w:rsidRDefault="006336A4" w:rsidP="000070DF">
      <w:pPr>
        <w:pStyle w:val="Bodycopynumbered"/>
        <w:keepNext w:val="0"/>
      </w:pPr>
      <w:r>
        <w:lastRenderedPageBreak/>
        <w:t xml:space="preserve">As the primary </w:t>
      </w:r>
      <w:r w:rsidR="00BD05B9">
        <w:t xml:space="preserve">support </w:t>
      </w:r>
      <w:r>
        <w:t>agency of the Legislative Assembly for the ACT, the Office is responsible for the following functions:</w:t>
      </w:r>
    </w:p>
    <w:p w:rsidR="006336A4" w:rsidRPr="00395356" w:rsidRDefault="006336A4" w:rsidP="000070DF">
      <w:pPr>
        <w:pStyle w:val="Amain"/>
        <w:spacing w:before="240"/>
        <w:rPr>
          <w:rFonts w:asciiTheme="minorHAnsi" w:hAnsiTheme="minorHAnsi"/>
          <w:sz w:val="18"/>
          <w:szCs w:val="18"/>
        </w:rPr>
      </w:pPr>
      <w:r w:rsidRPr="00395356">
        <w:rPr>
          <w:rFonts w:asciiTheme="minorHAnsi" w:hAnsiTheme="minorHAnsi"/>
          <w:sz w:val="18"/>
          <w:szCs w:val="18"/>
        </w:rPr>
        <w:t xml:space="preserve"> </w:t>
      </w:r>
      <w:r w:rsidRPr="00395356">
        <w:rPr>
          <w:rFonts w:asciiTheme="minorHAnsi" w:hAnsiTheme="minorHAnsi"/>
          <w:sz w:val="18"/>
          <w:szCs w:val="18"/>
        </w:rPr>
        <w:tab/>
        <w:t>(1)</w:t>
      </w:r>
      <w:r w:rsidRPr="00395356">
        <w:rPr>
          <w:rFonts w:asciiTheme="minorHAnsi" w:hAnsiTheme="minorHAnsi"/>
          <w:sz w:val="18"/>
          <w:szCs w:val="18"/>
        </w:rPr>
        <w:tab/>
        <w:t>The office’s function is to provide impartial advice and support to the Legislative Assembly and committees and members of the Assembly, including by—</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(a)</w:t>
      </w:r>
      <w:r w:rsidRPr="00395356">
        <w:rPr>
          <w:rFonts w:asciiTheme="minorHAnsi" w:hAnsiTheme="minorHAnsi"/>
          <w:sz w:val="18"/>
          <w:szCs w:val="18"/>
        </w:rPr>
        <w:tab/>
        <w:t>providing advice on parliamentary practice and procedure and the functions of the Assembly and committees;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(b)</w:t>
      </w:r>
      <w:r w:rsidRPr="00395356">
        <w:rPr>
          <w:rFonts w:asciiTheme="minorHAnsi" w:hAnsiTheme="minorHAnsi"/>
          <w:sz w:val="18"/>
          <w:szCs w:val="18"/>
        </w:rPr>
        <w:tab/>
        <w:t>reporting proceedings of the Assembly and meetings of committees;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(c)</w:t>
      </w:r>
      <w:r w:rsidRPr="00395356">
        <w:rPr>
          <w:rFonts w:asciiTheme="minorHAnsi" w:hAnsiTheme="minorHAnsi"/>
          <w:sz w:val="18"/>
          <w:szCs w:val="18"/>
        </w:rPr>
        <w:tab/>
        <w:t>maintaining an official record of proceedings of the Assembly;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(d)</w:t>
      </w:r>
      <w:r w:rsidRPr="00395356">
        <w:rPr>
          <w:rFonts w:asciiTheme="minorHAnsi" w:hAnsiTheme="minorHAnsi"/>
          <w:sz w:val="18"/>
          <w:szCs w:val="18"/>
        </w:rPr>
        <w:tab/>
        <w:t>providing library and information facilities and services for members;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(e)</w:t>
      </w:r>
      <w:r w:rsidRPr="00395356">
        <w:rPr>
          <w:rFonts w:asciiTheme="minorHAnsi" w:hAnsiTheme="minorHAnsi"/>
          <w:sz w:val="18"/>
          <w:szCs w:val="18"/>
        </w:rPr>
        <w:tab/>
        <w:t>providing staff to enable the Assembly and committees to operate efficiently;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(f)</w:t>
      </w:r>
      <w:r w:rsidRPr="00395356">
        <w:rPr>
          <w:rFonts w:asciiTheme="minorHAnsi" w:hAnsiTheme="minorHAnsi"/>
          <w:sz w:val="18"/>
          <w:szCs w:val="18"/>
        </w:rPr>
        <w:tab/>
        <w:t>providing business support functions, including administering the entitlements of members who are not part of the Executive; and</w:t>
      </w:r>
    </w:p>
    <w:p w:rsidR="006336A4" w:rsidRPr="00395356" w:rsidRDefault="006336A4" w:rsidP="000070DF">
      <w:pPr>
        <w:pStyle w:val="Apara"/>
        <w:rPr>
          <w:rFonts w:asciiTheme="minorHAnsi" w:hAnsiTheme="minorHAnsi"/>
          <w:sz w:val="18"/>
          <w:szCs w:val="18"/>
        </w:rPr>
      </w:pPr>
      <w:r w:rsidRPr="00395356">
        <w:rPr>
          <w:rFonts w:asciiTheme="minorHAnsi" w:hAnsiTheme="minorHAnsi"/>
          <w:sz w:val="18"/>
          <w:szCs w:val="18"/>
        </w:rPr>
        <w:tab/>
        <w:t>(g)</w:t>
      </w:r>
      <w:r w:rsidRPr="00395356">
        <w:rPr>
          <w:rFonts w:asciiTheme="minorHAnsi" w:hAnsiTheme="minorHAnsi"/>
          <w:sz w:val="18"/>
          <w:szCs w:val="18"/>
        </w:rPr>
        <w:tab/>
        <w:t>maintaining the Assembly precincts.</w:t>
      </w:r>
    </w:p>
    <w:p w:rsidR="006336A4" w:rsidRPr="00395356" w:rsidRDefault="006336A4" w:rsidP="000070DF">
      <w:pPr>
        <w:pStyle w:val="Amain"/>
        <w:rPr>
          <w:rFonts w:asciiTheme="minorHAnsi" w:hAnsiTheme="minorHAnsi"/>
          <w:sz w:val="18"/>
          <w:szCs w:val="18"/>
        </w:rPr>
      </w:pPr>
      <w:r w:rsidRPr="00395356">
        <w:rPr>
          <w:rFonts w:asciiTheme="minorHAnsi" w:hAnsiTheme="minorHAnsi"/>
          <w:sz w:val="18"/>
          <w:szCs w:val="18"/>
        </w:rPr>
        <w:tab/>
        <w:t>(2)</w:t>
      </w:r>
      <w:r w:rsidRPr="00395356">
        <w:rPr>
          <w:rFonts w:asciiTheme="minorHAnsi" w:hAnsiTheme="minorHAnsi"/>
          <w:sz w:val="18"/>
          <w:szCs w:val="18"/>
        </w:rPr>
        <w:tab/>
        <w:t>The office also has the function of providing public education about the functions of the Assembly and committees.</w:t>
      </w:r>
    </w:p>
    <w:p w:rsidR="006336A4" w:rsidRPr="00395356" w:rsidRDefault="006336A4" w:rsidP="000070DF">
      <w:pPr>
        <w:pStyle w:val="Amain"/>
        <w:spacing w:before="240"/>
        <w:rPr>
          <w:rFonts w:asciiTheme="minorHAnsi" w:hAnsiTheme="minorHAnsi"/>
          <w:sz w:val="18"/>
          <w:szCs w:val="18"/>
        </w:rPr>
      </w:pPr>
      <w:r w:rsidRPr="00395356">
        <w:rPr>
          <w:rFonts w:asciiTheme="minorHAnsi" w:hAnsiTheme="minorHAnsi"/>
          <w:sz w:val="18"/>
          <w:szCs w:val="18"/>
        </w:rPr>
        <w:tab/>
        <w:t>(3)</w:t>
      </w:r>
      <w:r w:rsidRPr="00395356">
        <w:rPr>
          <w:rFonts w:asciiTheme="minorHAnsi" w:hAnsiTheme="minorHAnsi"/>
          <w:sz w:val="18"/>
          <w:szCs w:val="18"/>
        </w:rPr>
        <w:tab/>
        <w:t>The office may exercise any other function given to it under this Act or another territory law.</w:t>
      </w:r>
      <w:r w:rsidR="00F36ADE">
        <w:rPr>
          <w:rStyle w:val="FootnoteReference"/>
          <w:rFonts w:asciiTheme="minorHAnsi" w:hAnsiTheme="minorHAnsi"/>
          <w:sz w:val="18"/>
          <w:szCs w:val="18"/>
        </w:rPr>
        <w:footnoteReference w:id="7"/>
      </w:r>
    </w:p>
    <w:p w:rsidR="00F36ADE" w:rsidRDefault="00F36ADE" w:rsidP="000070DF">
      <w:pPr>
        <w:pStyle w:val="Bodycopynumbered"/>
        <w:keepNext w:val="0"/>
      </w:pPr>
      <w:r>
        <w:t xml:space="preserve">To fortify the independence of the Office, </w:t>
      </w:r>
      <w:r w:rsidR="00B01C70">
        <w:t xml:space="preserve">the Assembly </w:t>
      </w:r>
      <w:r>
        <w:t>amend</w:t>
      </w:r>
      <w:r w:rsidR="00B01C70">
        <w:t>ed</w:t>
      </w:r>
      <w:r w:rsidR="00232E88">
        <w:t xml:space="preserve"> </w:t>
      </w:r>
      <w:r>
        <w:t>a number of other ACT statutes</w:t>
      </w:r>
      <w:r w:rsidR="00232E88">
        <w:t xml:space="preserve"> upon passage of the original Bill</w:t>
      </w:r>
      <w:r w:rsidR="00232E88">
        <w:rPr>
          <w:rStyle w:val="FootnoteReference"/>
        </w:rPr>
        <w:footnoteReference w:id="8"/>
      </w:r>
      <w:r>
        <w:t xml:space="preserve">. A separate budgetary framework for the Office was incorporated in the </w:t>
      </w:r>
      <w:r w:rsidRPr="00F36ADE">
        <w:rPr>
          <w:i/>
          <w:iCs/>
        </w:rPr>
        <w:t>Financial Management Act 1996</w:t>
      </w:r>
      <w:r>
        <w:rPr>
          <w:rStyle w:val="FootnoteReference"/>
          <w:i/>
          <w:iCs/>
        </w:rPr>
        <w:footnoteReference w:id="9"/>
      </w:r>
      <w:r w:rsidRPr="00F36ADE">
        <w:rPr>
          <w:i/>
          <w:iCs/>
        </w:rPr>
        <w:t xml:space="preserve"> </w:t>
      </w:r>
      <w:r>
        <w:t xml:space="preserve">and provisions relating to annual reports, government procurement, and public sector management were also amended to reflect the special status of the organisation.   </w:t>
      </w:r>
    </w:p>
    <w:p w:rsidR="00F36ADE" w:rsidRPr="00426E6D" w:rsidRDefault="001F16A1" w:rsidP="000070DF">
      <w:pPr>
        <w:pStyle w:val="Heading3"/>
        <w:keepNext w:val="0"/>
        <w:spacing w:before="240" w:after="240"/>
      </w:pPr>
      <w:bookmarkStart w:id="60" w:name="_Toc457901187"/>
      <w:r w:rsidRPr="00426E6D">
        <w:t>Officers of the Assembly</w:t>
      </w:r>
      <w:bookmarkEnd w:id="60"/>
      <w:r w:rsidRPr="00426E6D">
        <w:t xml:space="preserve"> </w:t>
      </w:r>
    </w:p>
    <w:p w:rsidR="00E15B70" w:rsidRDefault="00E15B70" w:rsidP="000070DF">
      <w:pPr>
        <w:pStyle w:val="Bodycopynumbered"/>
        <w:keepNext w:val="0"/>
      </w:pPr>
      <w:r>
        <w:t xml:space="preserve">The Officers of the Assembly Amendment Bill was introduced in 2013. The purpose of the Bill was to formally </w:t>
      </w:r>
      <w:r w:rsidR="001C41E4">
        <w:t xml:space="preserve">establish </w:t>
      </w:r>
      <w:r>
        <w:t xml:space="preserve">the Auditor-General, the Ombudsman and the three Electoral Commission members as </w:t>
      </w:r>
      <w:r w:rsidR="001C41E4">
        <w:t>O</w:t>
      </w:r>
      <w:r>
        <w:t xml:space="preserve">fficers of the Assembly. </w:t>
      </w:r>
    </w:p>
    <w:p w:rsidR="00F36ADE" w:rsidRDefault="00F36ADE" w:rsidP="000070DF">
      <w:pPr>
        <w:pStyle w:val="Bodycopynumbered"/>
        <w:keepNext w:val="0"/>
      </w:pPr>
      <w:r>
        <w:t>The Bill followed a Standing Committee on Administration and Procedure inquiry in the 7</w:t>
      </w:r>
      <w:r w:rsidRPr="001C41E4">
        <w:rPr>
          <w:vertAlign w:val="superscript"/>
        </w:rPr>
        <w:t>th</w:t>
      </w:r>
      <w:r>
        <w:t xml:space="preserve"> Assembly</w:t>
      </w:r>
      <w:r>
        <w:rPr>
          <w:rStyle w:val="FootnoteReference"/>
        </w:rPr>
        <w:footnoteReference w:id="10"/>
      </w:r>
      <w:r>
        <w:t>, which examined the feasibility of establishing the position of ‘officer of the parliament’. Having examined relevant matters, th</w:t>
      </w:r>
      <w:r w:rsidR="001F16A1">
        <w:t>at</w:t>
      </w:r>
      <w:r>
        <w:t xml:space="preserve"> committee supported the creation of such a position and proposed a number of criteria that might be used to evaluate whether or not particular public position</w:t>
      </w:r>
      <w:r w:rsidR="001C41E4">
        <w:t>s</w:t>
      </w:r>
      <w:r>
        <w:t xml:space="preserve"> within the public service ‘might benefit from being designated an Officer of the Parliament’</w:t>
      </w:r>
      <w:r>
        <w:rPr>
          <w:rStyle w:val="FootnoteReference"/>
        </w:rPr>
        <w:footnoteReference w:id="11"/>
      </w:r>
      <w:r>
        <w:t>. The committee recommended</w:t>
      </w:r>
      <w:r w:rsidR="001F16A1">
        <w:t xml:space="preserve"> </w:t>
      </w:r>
      <w:r>
        <w:t>that the Auditor-General, Electoral Commissioners, and the Ombudsman all be made ‘Officers of the Parliament’</w:t>
      </w:r>
      <w:r w:rsidR="00BB7708">
        <w:rPr>
          <w:rStyle w:val="FootnoteReference"/>
        </w:rPr>
        <w:footnoteReference w:id="12"/>
      </w:r>
      <w:r>
        <w:t>.</w:t>
      </w:r>
    </w:p>
    <w:p w:rsidR="00F36ADE" w:rsidRDefault="00F36ADE" w:rsidP="000070DF">
      <w:pPr>
        <w:pStyle w:val="Bodycopynumbered"/>
        <w:keepNext w:val="0"/>
      </w:pPr>
      <w:r>
        <w:t xml:space="preserve">Drawing on the recommendations of the committee, </w:t>
      </w:r>
      <w:r w:rsidR="00E15B70">
        <w:t>a</w:t>
      </w:r>
      <w:r>
        <w:t>n Executive Member</w:t>
      </w:r>
      <w:r w:rsidR="00E15B70">
        <w:t>’</w:t>
      </w:r>
      <w:r>
        <w:t>s Bill, presented by Shane Rattenbury MLA, w</w:t>
      </w:r>
      <w:r w:rsidR="001C41E4">
        <w:t>as</w:t>
      </w:r>
      <w:r>
        <w:t xml:space="preserve"> unanimously passed by the Assembly and was notified on the Legislation Register on 7 November 2013. A subsequent </w:t>
      </w:r>
      <w:r w:rsidR="001C41E4">
        <w:t>B</w:t>
      </w:r>
      <w:r>
        <w:t xml:space="preserve">ill – the Officers of the Assembly </w:t>
      </w:r>
      <w:r>
        <w:lastRenderedPageBreak/>
        <w:t xml:space="preserve">Legislation Amendment Bill 2014 – was enacted by the Assembly to introduce a number of ‘minor changes to address inconsistencies arising from the </w:t>
      </w:r>
      <w:r w:rsidRPr="00BD05B9">
        <w:rPr>
          <w:i/>
        </w:rPr>
        <w:t>Officers of the Assembly Legislation Amendment Act 2013’</w:t>
      </w:r>
      <w:r>
        <w:t>.</w:t>
      </w:r>
      <w:r w:rsidR="00BB7708">
        <w:rPr>
          <w:rStyle w:val="FootnoteReference"/>
        </w:rPr>
        <w:footnoteReference w:id="13"/>
      </w:r>
      <w:r>
        <w:t xml:space="preserve"> </w:t>
      </w:r>
      <w:r w:rsidR="00BB7708">
        <w:t>On</w:t>
      </w:r>
      <w:r w:rsidR="00AA516A">
        <w:t>c</w:t>
      </w:r>
      <w:r w:rsidR="00BB7708">
        <w:t xml:space="preserve">e enacted, the legislation had the effect of amending a number of </w:t>
      </w:r>
      <w:r w:rsidR="001C41E4">
        <w:t xml:space="preserve">primary </w:t>
      </w:r>
      <w:r w:rsidR="00BB7708">
        <w:t xml:space="preserve">statutes, including the </w:t>
      </w:r>
      <w:r w:rsidR="00BB7708" w:rsidRPr="00BD05B9">
        <w:rPr>
          <w:i/>
        </w:rPr>
        <w:t>Auditor-General Act 1996</w:t>
      </w:r>
      <w:r w:rsidR="00BB7708">
        <w:t xml:space="preserve">, the </w:t>
      </w:r>
      <w:r w:rsidR="00BB7708" w:rsidRPr="00BD05B9">
        <w:rPr>
          <w:i/>
        </w:rPr>
        <w:t>Electoral Act 1992</w:t>
      </w:r>
      <w:r w:rsidR="00BB7708">
        <w:t xml:space="preserve">, and the </w:t>
      </w:r>
      <w:r w:rsidR="00BB7708" w:rsidRPr="00BD05B9">
        <w:rPr>
          <w:i/>
        </w:rPr>
        <w:t>Ombudsman Act</w:t>
      </w:r>
      <w:r w:rsidR="00ED5CE3" w:rsidRPr="00BD05B9">
        <w:rPr>
          <w:i/>
        </w:rPr>
        <w:t xml:space="preserve"> 1989</w:t>
      </w:r>
      <w:r w:rsidR="006B2D5F">
        <w:rPr>
          <w:rStyle w:val="FootnoteReference"/>
          <w:i/>
        </w:rPr>
        <w:footnoteReference w:id="14"/>
      </w:r>
      <w:r w:rsidR="00BB7708">
        <w:t xml:space="preserve">, </w:t>
      </w:r>
      <w:r>
        <w:t>to establish the</w:t>
      </w:r>
      <w:r w:rsidR="006E0168">
        <w:t xml:space="preserve">se officers as </w:t>
      </w:r>
      <w:r>
        <w:t>Officer</w:t>
      </w:r>
      <w:r w:rsidR="006E0168">
        <w:t>s</w:t>
      </w:r>
      <w:r>
        <w:t xml:space="preserve"> of the Legislative Assembly</w:t>
      </w:r>
      <w:r w:rsidR="00243DD5">
        <w:t xml:space="preserve"> and</w:t>
      </w:r>
      <w:r>
        <w:t xml:space="preserve"> </w:t>
      </w:r>
      <w:r w:rsidR="006E0168">
        <w:t xml:space="preserve">to enshrine their </w:t>
      </w:r>
      <w:r>
        <w:t>independence from the Executive</w:t>
      </w:r>
      <w:r w:rsidR="00243DD5">
        <w:t>.</w:t>
      </w:r>
    </w:p>
    <w:p w:rsidR="00B9427E" w:rsidRDefault="00B9427E" w:rsidP="000070DF">
      <w:pPr>
        <w:pStyle w:val="Heading2"/>
        <w:keepNext w:val="0"/>
        <w:spacing w:before="360" w:after="240"/>
      </w:pPr>
      <w:bookmarkStart w:id="61" w:name="_Toc457901188"/>
      <w:r>
        <w:t>Powers of the Speaker</w:t>
      </w:r>
      <w:bookmarkEnd w:id="61"/>
    </w:p>
    <w:p w:rsidR="00802F42" w:rsidRDefault="00B9427E" w:rsidP="000070DF">
      <w:pPr>
        <w:pStyle w:val="Bodycopynumbered"/>
        <w:keepNext w:val="0"/>
      </w:pPr>
      <w:r>
        <w:t xml:space="preserve">With the commencement of the </w:t>
      </w:r>
      <w:r w:rsidRPr="00BD05B9">
        <w:rPr>
          <w:i/>
        </w:rPr>
        <w:t>Legislative Assembly Legislation Amendment Act 2013</w:t>
      </w:r>
      <w:r w:rsidR="001C41E4">
        <w:t>, a</w:t>
      </w:r>
      <w:r w:rsidRPr="00B9427E">
        <w:t xml:space="preserve"> </w:t>
      </w:r>
      <w:r>
        <w:t xml:space="preserve">number of substantial </w:t>
      </w:r>
      <w:r w:rsidR="002B385F">
        <w:t xml:space="preserve">powers </w:t>
      </w:r>
      <w:r w:rsidR="000D2BB5">
        <w:t>were</w:t>
      </w:r>
      <w:r>
        <w:t xml:space="preserve"> vested in the Speaker</w:t>
      </w:r>
      <w:r w:rsidR="00243DD5">
        <w:t xml:space="preserve">. </w:t>
      </w:r>
      <w:r w:rsidR="00BD05B9">
        <w:t>A</w:t>
      </w:r>
      <w:r w:rsidR="000D2BB5">
        <w:t>mong other matters,</w:t>
      </w:r>
      <w:r w:rsidR="003C0185">
        <w:t xml:space="preserve"> t</w:t>
      </w:r>
      <w:r w:rsidR="002B385F">
        <w:t>he Speak</w:t>
      </w:r>
      <w:r w:rsidR="00802F42">
        <w:t xml:space="preserve">er </w:t>
      </w:r>
      <w:r w:rsidR="003C0185">
        <w:t>assumed</w:t>
      </w:r>
      <w:r w:rsidR="00802F42">
        <w:t xml:space="preserve"> responsib</w:t>
      </w:r>
      <w:r w:rsidR="003C0185">
        <w:t>ility for</w:t>
      </w:r>
      <w:r w:rsidR="00802F42">
        <w:t>:</w:t>
      </w:r>
    </w:p>
    <w:p w:rsidR="008C7F53" w:rsidRDefault="00802F42" w:rsidP="000070DF">
      <w:pPr>
        <w:pStyle w:val="Bulletlistlevel1"/>
        <w:keepNext w:val="0"/>
      </w:pPr>
      <w:r>
        <w:t>a</w:t>
      </w:r>
      <w:r w:rsidR="002B385F">
        <w:t>ppointing</w:t>
      </w:r>
      <w:r w:rsidR="00722210">
        <w:t xml:space="preserve"> the </w:t>
      </w:r>
      <w:r w:rsidR="002B385F">
        <w:t>Auditor-General</w:t>
      </w:r>
      <w:r w:rsidR="008C7F53">
        <w:t>;</w:t>
      </w:r>
      <w:r w:rsidR="00722210">
        <w:rPr>
          <w:rStyle w:val="FootnoteReference"/>
        </w:rPr>
        <w:footnoteReference w:id="15"/>
      </w:r>
      <w:r>
        <w:t xml:space="preserve"> </w:t>
      </w:r>
    </w:p>
    <w:p w:rsidR="00C77C8E" w:rsidRDefault="008C7F53" w:rsidP="000070DF">
      <w:pPr>
        <w:pStyle w:val="Bulletlistlevel1"/>
        <w:keepNext w:val="0"/>
      </w:pPr>
      <w:r>
        <w:t xml:space="preserve">appointing </w:t>
      </w:r>
      <w:r w:rsidR="00DD28FA">
        <w:t xml:space="preserve">members of the </w:t>
      </w:r>
      <w:r w:rsidR="00802F42">
        <w:t>Electoral Commission</w:t>
      </w:r>
      <w:r w:rsidR="007B5E94">
        <w:t xml:space="preserve"> and the Electoral Commissioner</w:t>
      </w:r>
      <w:r w:rsidR="000303C7">
        <w:t xml:space="preserve"> </w:t>
      </w:r>
      <w:r w:rsidR="000303C7">
        <w:br/>
        <w:t>(i.e. the Chief Executive Officer of the Electoral Commission)</w:t>
      </w:r>
      <w:r w:rsidR="00DD28FA">
        <w:rPr>
          <w:rStyle w:val="FootnoteReference"/>
        </w:rPr>
        <w:footnoteReference w:id="16"/>
      </w:r>
      <w:r w:rsidR="00C77C8E">
        <w:t>;</w:t>
      </w:r>
    </w:p>
    <w:p w:rsidR="00276682" w:rsidRDefault="00276682" w:rsidP="000070DF">
      <w:pPr>
        <w:pStyle w:val="Bulletlistlevel1"/>
        <w:keepNext w:val="0"/>
      </w:pPr>
      <w:r>
        <w:t>appoint</w:t>
      </w:r>
      <w:r w:rsidR="008C7F53">
        <w:t>ing</w:t>
      </w:r>
      <w:r>
        <w:t xml:space="preserve"> a chairperson of the Electoral Commission</w:t>
      </w:r>
      <w:r>
        <w:rPr>
          <w:rStyle w:val="FootnoteReference"/>
        </w:rPr>
        <w:footnoteReference w:id="17"/>
      </w:r>
      <w:r>
        <w:t xml:space="preserve">; </w:t>
      </w:r>
    </w:p>
    <w:p w:rsidR="008C7F53" w:rsidRDefault="00276682" w:rsidP="000070DF">
      <w:pPr>
        <w:pStyle w:val="Bulletlistlevel1"/>
        <w:keepNext w:val="0"/>
      </w:pPr>
      <w:r>
        <w:t>appointing an acting Auditor-General</w:t>
      </w:r>
      <w:r w:rsidR="003C0185">
        <w:t>;</w:t>
      </w:r>
      <w:r>
        <w:rPr>
          <w:rStyle w:val="FootnoteReference"/>
        </w:rPr>
        <w:footnoteReference w:id="18"/>
      </w:r>
    </w:p>
    <w:p w:rsidR="00276682" w:rsidRDefault="008C7F53" w:rsidP="000070DF">
      <w:pPr>
        <w:pStyle w:val="Bulletlistlevel1"/>
        <w:keepNext w:val="0"/>
      </w:pPr>
      <w:r>
        <w:t xml:space="preserve">appointing an </w:t>
      </w:r>
      <w:r w:rsidR="00276682">
        <w:t>acting Electoral Commissioner</w:t>
      </w:r>
      <w:r w:rsidR="003C0185">
        <w:t>;</w:t>
      </w:r>
      <w:r w:rsidR="00276682">
        <w:rPr>
          <w:rStyle w:val="FootnoteReference"/>
        </w:rPr>
        <w:footnoteReference w:id="19"/>
      </w:r>
      <w:r w:rsidR="00276682">
        <w:t xml:space="preserve"> </w:t>
      </w:r>
    </w:p>
    <w:p w:rsidR="008C7F53" w:rsidRDefault="00276682" w:rsidP="000070DF">
      <w:pPr>
        <w:pStyle w:val="Bulletlistlevel1"/>
        <w:keepNext w:val="0"/>
      </w:pPr>
      <w:r>
        <w:t>r</w:t>
      </w:r>
      <w:r w:rsidR="00802F42">
        <w:t>etiring the Auditor-General</w:t>
      </w:r>
      <w:r w:rsidR="003C0185">
        <w:t>;</w:t>
      </w:r>
      <w:r w:rsidR="008C7F53">
        <w:rPr>
          <w:rStyle w:val="FootnoteReference"/>
        </w:rPr>
        <w:footnoteReference w:id="20"/>
      </w:r>
    </w:p>
    <w:p w:rsidR="00802F42" w:rsidRDefault="008C7F53" w:rsidP="000070DF">
      <w:pPr>
        <w:pStyle w:val="Bulletlistlevel1"/>
        <w:keepNext w:val="0"/>
      </w:pPr>
      <w:r>
        <w:t xml:space="preserve">retiring </w:t>
      </w:r>
      <w:r w:rsidR="00DD28FA">
        <w:t>members of the Electoral Commission</w:t>
      </w:r>
      <w:r w:rsidR="00DD28FA">
        <w:rPr>
          <w:rStyle w:val="FootnoteReference"/>
        </w:rPr>
        <w:footnoteReference w:id="21"/>
      </w:r>
      <w:r w:rsidR="00DD28FA">
        <w:t xml:space="preserve">; </w:t>
      </w:r>
      <w:r w:rsidR="00802F42">
        <w:t xml:space="preserve">  </w:t>
      </w:r>
    </w:p>
    <w:p w:rsidR="008C7F53" w:rsidRDefault="00276682" w:rsidP="000070DF">
      <w:pPr>
        <w:pStyle w:val="Bulletlistlevel1"/>
        <w:keepNext w:val="0"/>
      </w:pPr>
      <w:r>
        <w:t>s</w:t>
      </w:r>
      <w:r w:rsidR="00802F42">
        <w:t xml:space="preserve">uspending the </w:t>
      </w:r>
      <w:r>
        <w:t>Auditor-General</w:t>
      </w:r>
      <w:r w:rsidR="008C7F53">
        <w:t>;</w:t>
      </w:r>
      <w:r>
        <w:rPr>
          <w:rStyle w:val="FootnoteReference"/>
        </w:rPr>
        <w:footnoteReference w:id="22"/>
      </w:r>
      <w:r>
        <w:t xml:space="preserve"> </w:t>
      </w:r>
    </w:p>
    <w:p w:rsidR="008C7F53" w:rsidRDefault="008C7F53" w:rsidP="000070DF">
      <w:pPr>
        <w:pStyle w:val="Bulletlistlevel1"/>
        <w:keepNext w:val="0"/>
      </w:pPr>
      <w:r>
        <w:t>suspending members of the Electoral Commission</w:t>
      </w:r>
      <w:r w:rsidR="00857EC3">
        <w:rPr>
          <w:rStyle w:val="FootnoteReference"/>
        </w:rPr>
        <w:footnoteReference w:id="23"/>
      </w:r>
      <w:r>
        <w:t>;</w:t>
      </w:r>
    </w:p>
    <w:p w:rsidR="008C7F53" w:rsidRDefault="008C7F53" w:rsidP="000070DF">
      <w:pPr>
        <w:pStyle w:val="Bulletlistlevel1"/>
        <w:keepNext w:val="0"/>
      </w:pPr>
      <w:r>
        <w:t>ending the appointment of the Auditor-General</w:t>
      </w:r>
      <w:r>
        <w:rPr>
          <w:rStyle w:val="FootnoteReference"/>
        </w:rPr>
        <w:footnoteReference w:id="24"/>
      </w:r>
      <w:r>
        <w:t>;</w:t>
      </w:r>
    </w:p>
    <w:p w:rsidR="00DB2C34" w:rsidRDefault="00DB2C34" w:rsidP="000070DF">
      <w:pPr>
        <w:pStyle w:val="Bulletlistlevel1"/>
        <w:keepNext w:val="0"/>
      </w:pPr>
      <w:r>
        <w:t>ending the appointment of a member of the Electoral Commission;</w:t>
      </w:r>
      <w:r>
        <w:rPr>
          <w:rStyle w:val="FootnoteReference"/>
        </w:rPr>
        <w:footnoteReference w:id="25"/>
      </w:r>
    </w:p>
    <w:p w:rsidR="00802F42" w:rsidRDefault="00DB2C34" w:rsidP="000070DF">
      <w:pPr>
        <w:pStyle w:val="Bulletlistlevel1"/>
        <w:keepNext w:val="0"/>
      </w:pPr>
      <w:r>
        <w:t>engagement of a strategic reviewer of the Auditor-General;</w:t>
      </w:r>
      <w:r>
        <w:rPr>
          <w:rStyle w:val="FootnoteReference"/>
        </w:rPr>
        <w:footnoteReference w:id="26"/>
      </w:r>
    </w:p>
    <w:p w:rsidR="00DB2C34" w:rsidRDefault="00DB2C34" w:rsidP="000070DF">
      <w:pPr>
        <w:pStyle w:val="Bulletlistlevel1"/>
        <w:keepNext w:val="0"/>
      </w:pPr>
      <w:r>
        <w:t>engagement of an independent auditor of the Auditor-General</w:t>
      </w:r>
      <w:r>
        <w:rPr>
          <w:rStyle w:val="FootnoteReference"/>
        </w:rPr>
        <w:footnoteReference w:id="27"/>
      </w:r>
      <w:r>
        <w:t>.</w:t>
      </w:r>
    </w:p>
    <w:p w:rsidR="0007424C" w:rsidRDefault="0007424C" w:rsidP="000070DF">
      <w:pPr>
        <w:pStyle w:val="Bodycopynumbered"/>
        <w:keepNext w:val="0"/>
      </w:pPr>
      <w:r>
        <w:lastRenderedPageBreak/>
        <w:t xml:space="preserve">The Speaker also has a role to play in </w:t>
      </w:r>
      <w:r w:rsidR="00582C32">
        <w:t xml:space="preserve">advising of the </w:t>
      </w:r>
      <w:r>
        <w:t xml:space="preserve">recommended appropriations </w:t>
      </w:r>
      <w:r w:rsidR="00582C32">
        <w:t>that should be made for O</w:t>
      </w:r>
      <w:r>
        <w:t xml:space="preserve">fficers of the Legislative </w:t>
      </w:r>
      <w:r w:rsidR="00582C32">
        <w:t>Assembly.</w:t>
      </w:r>
      <w:r w:rsidR="00AA6B53">
        <w:t xml:space="preserve"> </w:t>
      </w:r>
    </w:p>
    <w:p w:rsidR="00AA6B53" w:rsidRDefault="00AA6B53" w:rsidP="000070DF">
      <w:pPr>
        <w:pStyle w:val="Bodycopynumbered"/>
        <w:keepNext w:val="0"/>
      </w:pPr>
      <w:r>
        <w:t>The committee notes that w</w:t>
      </w:r>
      <w:r w:rsidR="00B9482F">
        <w:t xml:space="preserve">hile some of these powers will rarely, if ever, be exercised, there are others which are required to be exercised periodically and as a matter of course. </w:t>
      </w:r>
    </w:p>
    <w:p w:rsidR="00723BB9" w:rsidRDefault="00723BB9" w:rsidP="000070DF">
      <w:pPr>
        <w:pStyle w:val="Heading2"/>
        <w:keepNext w:val="0"/>
        <w:spacing w:before="360" w:after="240"/>
      </w:pPr>
      <w:bookmarkStart w:id="62" w:name="_Toc457901189"/>
      <w:r>
        <w:t>Advice and support</w:t>
      </w:r>
      <w:bookmarkEnd w:id="62"/>
    </w:p>
    <w:p w:rsidR="00B9482F" w:rsidRDefault="00B9482F" w:rsidP="000070DF">
      <w:pPr>
        <w:pStyle w:val="Bodycopynumbered"/>
        <w:keepNext w:val="0"/>
      </w:pPr>
      <w:r>
        <w:t xml:space="preserve">While the judgement and propriety of the Speaker is called upon to exercise the powers mentioned above, </w:t>
      </w:r>
      <w:r w:rsidR="008A0B06">
        <w:t xml:space="preserve">there is also </w:t>
      </w:r>
      <w:r w:rsidR="00CB6C46">
        <w:t>a governance</w:t>
      </w:r>
      <w:r w:rsidR="008A0B06">
        <w:t xml:space="preserve"> </w:t>
      </w:r>
      <w:r w:rsidR="00B34A04">
        <w:t xml:space="preserve">imperative </w:t>
      </w:r>
      <w:r w:rsidR="008A0B06">
        <w:t xml:space="preserve">that </w:t>
      </w:r>
      <w:r w:rsidR="00B34A04">
        <w:t>the Speaker</w:t>
      </w:r>
      <w:r w:rsidR="008A0B06">
        <w:t xml:space="preserve"> is able to </w:t>
      </w:r>
      <w:r w:rsidR="00411A5A">
        <w:t>access professional</w:t>
      </w:r>
      <w:r w:rsidR="00B34A04">
        <w:t xml:space="preserve"> advice and support on the </w:t>
      </w:r>
      <w:r w:rsidR="000D2BB5">
        <w:t xml:space="preserve">operation of </w:t>
      </w:r>
      <w:r w:rsidR="00B34A04">
        <w:t xml:space="preserve">broader public sector management </w:t>
      </w:r>
      <w:r w:rsidR="008A0B06">
        <w:t xml:space="preserve">issues </w:t>
      </w:r>
      <w:r w:rsidR="00B34A04">
        <w:t xml:space="preserve">that might be engaged by the exercise of </w:t>
      </w:r>
      <w:r w:rsidR="00723BB9">
        <w:t xml:space="preserve">these </w:t>
      </w:r>
      <w:r w:rsidR="00CB6C46">
        <w:t xml:space="preserve">powers. </w:t>
      </w:r>
    </w:p>
    <w:p w:rsidR="001C41E4" w:rsidRDefault="00AD7686" w:rsidP="000070DF">
      <w:pPr>
        <w:pStyle w:val="Bodycopynumbered"/>
        <w:keepNext w:val="0"/>
      </w:pPr>
      <w:r>
        <w:t xml:space="preserve">Prior to the commencement of the Officers of the </w:t>
      </w:r>
      <w:r w:rsidRPr="000D2BB5">
        <w:rPr>
          <w:i/>
        </w:rPr>
        <w:t>Assembly Legislation Amendment Act 2013</w:t>
      </w:r>
      <w:r>
        <w:t xml:space="preserve">, the powers </w:t>
      </w:r>
      <w:r w:rsidR="00B34A04">
        <w:t xml:space="preserve">listed at </w:t>
      </w:r>
      <w:r w:rsidR="00B34A04" w:rsidRPr="00BD05B9">
        <w:t>paragraph 1.</w:t>
      </w:r>
      <w:r w:rsidR="00BD05B9" w:rsidRPr="00BD05B9">
        <w:t>1</w:t>
      </w:r>
      <w:r w:rsidR="007F70FC">
        <w:t>8</w:t>
      </w:r>
      <w:r w:rsidR="00B34A04" w:rsidRPr="00BD05B9">
        <w:t xml:space="preserve"> </w:t>
      </w:r>
      <w:r w:rsidRPr="00BD05B9">
        <w:t>were with</w:t>
      </w:r>
      <w:r w:rsidR="00B34A04" w:rsidRPr="00BD05B9">
        <w:t>in</w:t>
      </w:r>
      <w:r w:rsidRPr="00BD05B9">
        <w:t xml:space="preserve"> the ambit of the Executive</w:t>
      </w:r>
      <w:r w:rsidR="0007424C" w:rsidRPr="00BD05B9">
        <w:t xml:space="preserve">. </w:t>
      </w:r>
      <w:r w:rsidRPr="00BD05B9">
        <w:t xml:space="preserve">Accordingly, support and advice to assist the </w:t>
      </w:r>
      <w:r w:rsidR="0007424C" w:rsidRPr="00BD05B9">
        <w:t>Execut</w:t>
      </w:r>
      <w:r w:rsidR="0007424C">
        <w:t>ive</w:t>
      </w:r>
      <w:r>
        <w:t xml:space="preserve"> in the exercise of these powers was </w:t>
      </w:r>
      <w:r w:rsidR="0035619D">
        <w:t>provided from with</w:t>
      </w:r>
      <w:r w:rsidR="0007424C">
        <w:t>in</w:t>
      </w:r>
      <w:r w:rsidR="0035619D">
        <w:t xml:space="preserve"> the wider ACT Public Service.</w:t>
      </w:r>
      <w:r w:rsidR="00582C32">
        <w:t xml:space="preserve"> </w:t>
      </w:r>
    </w:p>
    <w:p w:rsidR="00D03F16" w:rsidRDefault="001C41E4" w:rsidP="000070DF">
      <w:pPr>
        <w:pStyle w:val="Bodycopynumbered"/>
        <w:keepNext w:val="0"/>
      </w:pPr>
      <w:r>
        <w:t>The rationale for m</w:t>
      </w:r>
      <w:r w:rsidR="00CC75CB">
        <w:t xml:space="preserve">oving these </w:t>
      </w:r>
      <w:r w:rsidR="0007424C">
        <w:t>powers from the Executive to th</w:t>
      </w:r>
      <w:r w:rsidR="00D03F16">
        <w:t>e Speaker was on the basis that the Speaker was the office holder best placed to reflect the will of the Assembly and to confer parliament</w:t>
      </w:r>
      <w:r w:rsidR="00B9482F">
        <w:t>ary legitimacy</w:t>
      </w:r>
      <w:r w:rsidR="00B01C70">
        <w:t xml:space="preserve"> </w:t>
      </w:r>
      <w:r w:rsidR="00B9482F">
        <w:t xml:space="preserve">and </w:t>
      </w:r>
      <w:r w:rsidR="00784DC0">
        <w:t xml:space="preserve">independence from the Executive </w:t>
      </w:r>
      <w:r w:rsidR="00B9482F">
        <w:t>on</w:t>
      </w:r>
      <w:r w:rsidR="00D03F16">
        <w:t xml:space="preserve"> Officers of the Legislative Assembly. </w:t>
      </w:r>
      <w:r>
        <w:t xml:space="preserve">The exercise of many of these powers is subject to </w:t>
      </w:r>
      <w:r w:rsidR="00BD05B9">
        <w:t xml:space="preserve">requirements being met in relation to </w:t>
      </w:r>
      <w:r>
        <w:t xml:space="preserve">consultation with the relevant Assembly committee and office holders such as the Chief Minister and the Leader of the Opposition. </w:t>
      </w:r>
      <w:r w:rsidR="00360040">
        <w:t xml:space="preserve">The </w:t>
      </w:r>
      <w:r w:rsidR="00582C32">
        <w:t xml:space="preserve">author </w:t>
      </w:r>
      <w:r w:rsidR="00360040">
        <w:t xml:space="preserve">of the </w:t>
      </w:r>
      <w:r w:rsidR="00BD05B9">
        <w:t>B</w:t>
      </w:r>
      <w:r w:rsidR="00360040">
        <w:t>ill, Shane Rattenbury MLA, observed in his explanatory statement that:</w:t>
      </w:r>
    </w:p>
    <w:p w:rsidR="00D03F16" w:rsidRDefault="00D03F16" w:rsidP="000070DF">
      <w:pPr>
        <w:pStyle w:val="Quote"/>
      </w:pPr>
      <w:r>
        <w:t>The Bill delegates significant responsibility to the Speaker for the officers of the Assembly.</w:t>
      </w:r>
      <w:r w:rsidR="00360040">
        <w:t xml:space="preserve"> </w:t>
      </w:r>
      <w:r>
        <w:t>The delegated administrative power has a range of checks and balances in place to help</w:t>
      </w:r>
      <w:r w:rsidR="00360040">
        <w:t xml:space="preserve"> </w:t>
      </w:r>
      <w:r>
        <w:t>ensure that the Speaker’s actions reflect the collective views of the Legislative Assembly.</w:t>
      </w:r>
      <w:r w:rsidR="00F36CA9">
        <w:rPr>
          <w:rStyle w:val="FootnoteReference"/>
        </w:rPr>
        <w:footnoteReference w:id="28"/>
      </w:r>
    </w:p>
    <w:p w:rsidR="007462EB" w:rsidRDefault="00B9482F" w:rsidP="000070DF">
      <w:pPr>
        <w:pStyle w:val="Bodycopynumbered"/>
        <w:keepNext w:val="0"/>
      </w:pPr>
      <w:r>
        <w:t xml:space="preserve">The committee understands </w:t>
      </w:r>
      <w:r w:rsidR="000D2BB5">
        <w:t>that to date su</w:t>
      </w:r>
      <w:r>
        <w:t xml:space="preserve">pport and advice </w:t>
      </w:r>
      <w:r w:rsidR="000D2BB5">
        <w:t xml:space="preserve">to the Speaker </w:t>
      </w:r>
      <w:r>
        <w:t>has</w:t>
      </w:r>
      <w:r w:rsidR="00A745C6">
        <w:t>, depending on the nature of the task before the Speaker, variously be</w:t>
      </w:r>
      <w:r>
        <w:t xml:space="preserve">en provided </w:t>
      </w:r>
      <w:r w:rsidR="00784DC0">
        <w:t>by</w:t>
      </w:r>
      <w:r>
        <w:t xml:space="preserve"> the Officers themselves</w:t>
      </w:r>
      <w:r w:rsidR="00784DC0">
        <w:t>,</w:t>
      </w:r>
      <w:r w:rsidR="00411A5A">
        <w:t xml:space="preserve"> staff </w:t>
      </w:r>
      <w:r w:rsidR="00BD05B9">
        <w:t>in the Speaker’s office</w:t>
      </w:r>
      <w:r w:rsidR="00784DC0">
        <w:t>,</w:t>
      </w:r>
      <w:r w:rsidR="00411A5A">
        <w:t xml:space="preserve"> </w:t>
      </w:r>
      <w:r w:rsidR="007F70FC">
        <w:t xml:space="preserve">external consultants, </w:t>
      </w:r>
      <w:r w:rsidR="00411A5A">
        <w:t xml:space="preserve">and </w:t>
      </w:r>
      <w:r w:rsidR="00784DC0">
        <w:t xml:space="preserve">by </w:t>
      </w:r>
      <w:r w:rsidR="00382C53">
        <w:t xml:space="preserve">the </w:t>
      </w:r>
      <w:r w:rsidR="00411A5A">
        <w:t>Office of the Legislative Assembly</w:t>
      </w:r>
      <w:r>
        <w:t>.</w:t>
      </w:r>
      <w:r w:rsidR="007462EB">
        <w:t xml:space="preserve"> </w:t>
      </w:r>
    </w:p>
    <w:p w:rsidR="00372553" w:rsidRDefault="00B34A04" w:rsidP="000070DF">
      <w:pPr>
        <w:pStyle w:val="Bodycopynumbered"/>
        <w:keepNext w:val="0"/>
      </w:pPr>
      <w:r w:rsidRPr="00886A1F">
        <w:t xml:space="preserve">It is also the case that the </w:t>
      </w:r>
      <w:r w:rsidR="00AA6B53">
        <w:t xml:space="preserve">establishing legislation for the </w:t>
      </w:r>
      <w:r w:rsidRPr="00886A1F">
        <w:t>Auditor-General and the Electoral Commissioner provide</w:t>
      </w:r>
      <w:r w:rsidR="00AA6B53">
        <w:t>s</w:t>
      </w:r>
      <w:r w:rsidRPr="00886A1F">
        <w:t xml:space="preserve"> </w:t>
      </w:r>
      <w:r w:rsidR="00AA6B53">
        <w:t xml:space="preserve">that the Speaker is able to call upon numerous sources of advice in acquitting certain statutory responsibilities. </w:t>
      </w:r>
      <w:r w:rsidR="001F6521">
        <w:t>In particular, w</w:t>
      </w:r>
      <w:r w:rsidR="00AA6B53">
        <w:t xml:space="preserve">here the Speaker is </w:t>
      </w:r>
      <w:r w:rsidRPr="00886A1F">
        <w:t>considering suspending an Officer</w:t>
      </w:r>
      <w:r w:rsidR="00AA6B53">
        <w:t xml:space="preserve"> of the Legislative Assembly</w:t>
      </w:r>
      <w:r w:rsidRPr="00886A1F">
        <w:t>, the Speak</w:t>
      </w:r>
      <w:r w:rsidR="00AA6B53">
        <w:t>er</w:t>
      </w:r>
      <w:r w:rsidRPr="00886A1F">
        <w:t xml:space="preserve"> may seek advice about the proposed suspension from the Commissioner for Public Administration or anyone else the Speaker considers appropriate</w:t>
      </w:r>
      <w:r w:rsidRPr="00AA6B53">
        <w:rPr>
          <w:rStyle w:val="FootnoteReference"/>
          <w:position w:val="6"/>
          <w:sz w:val="16"/>
          <w:szCs w:val="16"/>
          <w:vertAlign w:val="baseline"/>
        </w:rPr>
        <w:footnoteReference w:id="29"/>
      </w:r>
      <w:r w:rsidRPr="00886A1F">
        <w:t>.</w:t>
      </w:r>
    </w:p>
    <w:p w:rsidR="003464E1" w:rsidRPr="003464E1" w:rsidRDefault="007462EB" w:rsidP="000070DF">
      <w:pPr>
        <w:pStyle w:val="Bodycopynumbered"/>
        <w:keepNext w:val="0"/>
        <w:rPr>
          <w:rFonts w:eastAsiaTheme="minorEastAsia" w:cstheme="majorHAnsi"/>
          <w:smallCaps/>
          <w:sz w:val="26"/>
          <w:szCs w:val="26"/>
        </w:rPr>
      </w:pPr>
      <w:r>
        <w:t xml:space="preserve">The committee </w:t>
      </w:r>
      <w:r w:rsidR="000D2BB5">
        <w:t xml:space="preserve">considers </w:t>
      </w:r>
      <w:r>
        <w:t xml:space="preserve">that there will be occasions where the Speaker needs to have access to different sources of advice and administrative support depending on the nature of the powers that are being exercised. </w:t>
      </w:r>
      <w:r w:rsidR="008A0B06">
        <w:t xml:space="preserve">The scope and nature of the advice that will be required to assist the Speaker will </w:t>
      </w:r>
      <w:r w:rsidR="003464E1">
        <w:t xml:space="preserve">also </w:t>
      </w:r>
      <w:r w:rsidR="008A0B06">
        <w:t xml:space="preserve">vary considerably depending </w:t>
      </w:r>
      <w:r w:rsidR="00C37103">
        <w:t xml:space="preserve">the </w:t>
      </w:r>
      <w:r w:rsidR="00F902B4">
        <w:t xml:space="preserve">level of </w:t>
      </w:r>
      <w:r w:rsidR="00C37103">
        <w:t>complexity that</w:t>
      </w:r>
      <w:r w:rsidR="00F902B4">
        <w:t xml:space="preserve"> might </w:t>
      </w:r>
      <w:r w:rsidR="00C37103">
        <w:t>attend the exercise of a power i</w:t>
      </w:r>
      <w:r w:rsidR="002D51A4">
        <w:t xml:space="preserve">n a given set of circumstances. </w:t>
      </w:r>
    </w:p>
    <w:p w:rsidR="002D51A4" w:rsidRPr="003464E1" w:rsidRDefault="002D51A4" w:rsidP="000070DF">
      <w:pPr>
        <w:pStyle w:val="Bodycopynumbered"/>
        <w:keepNext w:val="0"/>
        <w:rPr>
          <w:rFonts w:eastAsiaTheme="minorEastAsia" w:cstheme="majorHAnsi"/>
          <w:smallCaps/>
          <w:sz w:val="26"/>
          <w:szCs w:val="26"/>
        </w:rPr>
      </w:pPr>
      <w:r>
        <w:lastRenderedPageBreak/>
        <w:t>Depending on the circumstances, expert advice may need to be provided</w:t>
      </w:r>
      <w:r w:rsidR="001C41E4">
        <w:t xml:space="preserve"> to the Speaker</w:t>
      </w:r>
      <w:r>
        <w:t xml:space="preserve"> in relation to:</w:t>
      </w:r>
    </w:p>
    <w:p w:rsidR="002D51A4" w:rsidRDefault="001C41E4" w:rsidP="000070DF">
      <w:pPr>
        <w:pStyle w:val="Bulletlistlevel1"/>
        <w:keepNext w:val="0"/>
      </w:pPr>
      <w:r>
        <w:t>c</w:t>
      </w:r>
      <w:r w:rsidR="002D51A4">
        <w:t>omplex legal matters and statutory interpretation;</w:t>
      </w:r>
    </w:p>
    <w:p w:rsidR="002D51A4" w:rsidRDefault="001C41E4" w:rsidP="000070DF">
      <w:pPr>
        <w:pStyle w:val="Bulletlistlevel1"/>
        <w:keepNext w:val="0"/>
      </w:pPr>
      <w:r>
        <w:t>s</w:t>
      </w:r>
      <w:r w:rsidR="002D51A4">
        <w:t>eparation of powers issues;</w:t>
      </w:r>
    </w:p>
    <w:p w:rsidR="007F70FC" w:rsidRDefault="007F70FC" w:rsidP="000070DF">
      <w:pPr>
        <w:pStyle w:val="Bulletlistlevel1"/>
        <w:keepNext w:val="0"/>
      </w:pPr>
      <w:r>
        <w:t xml:space="preserve">recruitment </w:t>
      </w:r>
      <w:r w:rsidR="00B539FF">
        <w:t>processes;</w:t>
      </w:r>
      <w:r>
        <w:t xml:space="preserve"> </w:t>
      </w:r>
    </w:p>
    <w:p w:rsidR="002D51A4" w:rsidRDefault="001C41E4" w:rsidP="000070DF">
      <w:pPr>
        <w:pStyle w:val="Bulletlistlevel1"/>
        <w:keepNext w:val="0"/>
      </w:pPr>
      <w:r>
        <w:t>c</w:t>
      </w:r>
      <w:r w:rsidR="002D51A4">
        <w:t>ompliance with public sector management requirements</w:t>
      </w:r>
      <w:r w:rsidR="009268FC">
        <w:t xml:space="preserve"> and the application of broader governance principles</w:t>
      </w:r>
      <w:r w:rsidR="002D51A4">
        <w:t>;</w:t>
      </w:r>
    </w:p>
    <w:p w:rsidR="002D51A4" w:rsidRDefault="001C41E4" w:rsidP="000070DF">
      <w:pPr>
        <w:pStyle w:val="Bulletlistlevel1"/>
        <w:keepNext w:val="0"/>
      </w:pPr>
      <w:r>
        <w:t>p</w:t>
      </w:r>
      <w:r w:rsidR="002D51A4">
        <w:t>robity and integrity issues;</w:t>
      </w:r>
    </w:p>
    <w:p w:rsidR="002D51A4" w:rsidRDefault="001C41E4" w:rsidP="000070DF">
      <w:pPr>
        <w:pStyle w:val="Bulletlistlevel1"/>
        <w:keepNext w:val="0"/>
      </w:pPr>
      <w:r>
        <w:t>b</w:t>
      </w:r>
      <w:r w:rsidR="002D51A4">
        <w:t xml:space="preserve">udgetary and financial </w:t>
      </w:r>
      <w:r w:rsidR="006079FB">
        <w:t>matters</w:t>
      </w:r>
      <w:bookmarkStart w:id="63" w:name="_GoBack"/>
      <w:bookmarkEnd w:id="63"/>
      <w:r w:rsidR="002D51A4">
        <w:t>; and</w:t>
      </w:r>
    </w:p>
    <w:p w:rsidR="002D51A4" w:rsidRPr="002D51A4" w:rsidRDefault="001C41E4" w:rsidP="000070DF">
      <w:pPr>
        <w:pStyle w:val="Bulletlistlevel1"/>
        <w:keepNext w:val="0"/>
      </w:pPr>
      <w:r>
        <w:t>p</w:t>
      </w:r>
      <w:r w:rsidR="002D51A4">
        <w:t xml:space="preserve">arliamentary practice and procedure.  </w:t>
      </w:r>
    </w:p>
    <w:p w:rsidR="002D51A4" w:rsidRPr="009268FC" w:rsidRDefault="002D51A4" w:rsidP="000070DF">
      <w:pPr>
        <w:pStyle w:val="Bodycopynumbered"/>
        <w:keepNext w:val="0"/>
        <w:rPr>
          <w:rFonts w:eastAsiaTheme="minorEastAsia" w:cstheme="majorHAnsi"/>
          <w:smallCaps/>
          <w:sz w:val="26"/>
          <w:szCs w:val="26"/>
        </w:rPr>
      </w:pPr>
      <w:r>
        <w:t>Against this background, the committee can see occasions where the Speaker may need to seek advice from the Solicitor-General or a private law firm, the Commissioner for Public Administration, an Office</w:t>
      </w:r>
      <w:r w:rsidR="00090679">
        <w:t>r of the Legislative Assembly</w:t>
      </w:r>
      <w:r>
        <w:t>,</w:t>
      </w:r>
      <w:r w:rsidR="00B539FF">
        <w:t xml:space="preserve"> external consultants,</w:t>
      </w:r>
      <w:r>
        <w:t xml:space="preserve"> the Clerk, </w:t>
      </w:r>
      <w:r w:rsidR="004C78A3">
        <w:t xml:space="preserve">the Ethics and Integrity Adviser, </w:t>
      </w:r>
      <w:r>
        <w:t xml:space="preserve">and others.   </w:t>
      </w:r>
    </w:p>
    <w:p w:rsidR="00F21AFF" w:rsidRPr="00F21AFF" w:rsidRDefault="009268FC" w:rsidP="000070DF">
      <w:pPr>
        <w:pStyle w:val="Bodycopynumbered"/>
        <w:keepNext w:val="0"/>
        <w:rPr>
          <w:rFonts w:eastAsiaTheme="minorEastAsia" w:cstheme="majorHAnsi"/>
          <w:smallCaps/>
          <w:sz w:val="26"/>
          <w:szCs w:val="26"/>
        </w:rPr>
      </w:pPr>
      <w:r>
        <w:t xml:space="preserve">In addition to the advice that might be made available to the Speaker, there is also the </w:t>
      </w:r>
      <w:r w:rsidR="001C41E4">
        <w:br/>
      </w:r>
      <w:r>
        <w:t>day-to-day administration of particular tasks that arise in the course of</w:t>
      </w:r>
      <w:r w:rsidR="00751344">
        <w:t xml:space="preserve"> the Speaker</w:t>
      </w:r>
      <w:r>
        <w:t xml:space="preserve"> exercising a </w:t>
      </w:r>
      <w:r w:rsidR="00751344">
        <w:t xml:space="preserve">particular </w:t>
      </w:r>
      <w:r>
        <w:t>power</w:t>
      </w:r>
      <w:r w:rsidR="00751344">
        <w:t xml:space="preserve"> or function</w:t>
      </w:r>
      <w:r>
        <w:t>. Th</w:t>
      </w:r>
      <w:r w:rsidR="001C41E4">
        <w:t>at</w:t>
      </w:r>
      <w:r>
        <w:t xml:space="preserve"> support might range from the conduct of a procurement process in the case of engaging an independent auditor of the Auditor-General, through to the conduct of a full merit selection process in the case of appointing a new Auditor-General or Electoral Commissioner.</w:t>
      </w:r>
      <w:r w:rsidR="00DA15E9">
        <w:t xml:space="preserve"> Typically, administrative support will entail the preparation of corres</w:t>
      </w:r>
      <w:r w:rsidR="00751344">
        <w:t>pondence, liaison with stakeholders, drafting of contracts, appropriate record keeping</w:t>
      </w:r>
      <w:r w:rsidR="00090679">
        <w:t xml:space="preserve"> and so forth</w:t>
      </w:r>
      <w:r w:rsidR="00751344">
        <w:t>.</w:t>
      </w:r>
      <w:r w:rsidR="00C3289E">
        <w:t xml:space="preserve"> </w:t>
      </w:r>
      <w:r w:rsidR="00751344">
        <w:t xml:space="preserve"> </w:t>
      </w:r>
    </w:p>
    <w:p w:rsidR="00C3289E" w:rsidRPr="00C3289E" w:rsidRDefault="00F21AFF" w:rsidP="000070DF">
      <w:pPr>
        <w:pStyle w:val="Bodycopynumbered"/>
        <w:keepNext w:val="0"/>
        <w:rPr>
          <w:rFonts w:eastAsiaTheme="minorEastAsia" w:cstheme="majorHAnsi"/>
          <w:sz w:val="26"/>
          <w:szCs w:val="26"/>
        </w:rPr>
      </w:pPr>
      <w:r>
        <w:t xml:space="preserve">The committee notes that since the </w:t>
      </w:r>
      <w:r w:rsidR="00C3289E">
        <w:t xml:space="preserve">2013 </w:t>
      </w:r>
      <w:r>
        <w:t xml:space="preserve">legislative change, Officers of the Legislative Assembly </w:t>
      </w:r>
      <w:r w:rsidR="00C3289E">
        <w:t xml:space="preserve">and their staff </w:t>
      </w:r>
      <w:r>
        <w:t>have been responsible for providing support and advice in relation to</w:t>
      </w:r>
      <w:r w:rsidR="004D699F">
        <w:t xml:space="preserve"> all f</w:t>
      </w:r>
      <w:r>
        <w:t xml:space="preserve">inancial and budgetary matters </w:t>
      </w:r>
      <w:r w:rsidR="004D699F">
        <w:t>associated with their respective agencies</w:t>
      </w:r>
      <w:r w:rsidR="00C3289E">
        <w:t>, i</w:t>
      </w:r>
      <w:r>
        <w:t>ncluding meeting relevant requirements in relation to the Speaker’s consideration of the recommended appropriation pursuant to s20A</w:t>
      </w:r>
      <w:r w:rsidR="00C3289E">
        <w:t>B</w:t>
      </w:r>
      <w:r>
        <w:t xml:space="preserve"> of the </w:t>
      </w:r>
      <w:r w:rsidRPr="00C3289E">
        <w:rPr>
          <w:i/>
        </w:rPr>
        <w:t xml:space="preserve">Financial Management Act 1996. </w:t>
      </w:r>
    </w:p>
    <w:p w:rsidR="00F21AFF" w:rsidRPr="00C3289E" w:rsidRDefault="00C3289E" w:rsidP="000070DF">
      <w:pPr>
        <w:pStyle w:val="Bodycopynumbered"/>
        <w:keepNext w:val="0"/>
        <w:rPr>
          <w:rFonts w:eastAsiaTheme="minorEastAsia" w:cstheme="majorHAnsi"/>
          <w:sz w:val="26"/>
          <w:szCs w:val="26"/>
        </w:rPr>
      </w:pPr>
      <w:r w:rsidRPr="00C3289E">
        <w:t>T</w:t>
      </w:r>
      <w:r w:rsidR="00F21AFF">
        <w:t>he Electoral Commissioner</w:t>
      </w:r>
      <w:r>
        <w:t xml:space="preserve"> </w:t>
      </w:r>
      <w:r w:rsidR="00F21AFF">
        <w:t xml:space="preserve">has provided advice and administrative support in relation to the appointment of </w:t>
      </w:r>
      <w:r w:rsidR="00B539FF">
        <w:t xml:space="preserve">a </w:t>
      </w:r>
      <w:r w:rsidR="00F21AFF">
        <w:t>member of the Electoral Commission</w:t>
      </w:r>
      <w:r w:rsidR="00B539FF">
        <w:t xml:space="preserve">. The Speaker also received advice and administrative support from an external executive recruitment consultant in relation to the appointment the Electoral Commissioner. </w:t>
      </w:r>
      <w:r w:rsidR="00F21AFF">
        <w:t xml:space="preserve"> </w:t>
      </w:r>
    </w:p>
    <w:p w:rsidR="007B1CD7" w:rsidRPr="007B1CD7" w:rsidRDefault="004D699F" w:rsidP="000070DF">
      <w:pPr>
        <w:pStyle w:val="Bodycopynumbered"/>
        <w:keepNext w:val="0"/>
        <w:rPr>
          <w:rFonts w:eastAsiaTheme="minorEastAsia" w:cstheme="majorHAnsi"/>
          <w:smallCaps/>
          <w:sz w:val="26"/>
          <w:szCs w:val="26"/>
        </w:rPr>
      </w:pPr>
      <w:r>
        <w:t>The Office of the Legislative Assembly has provid</w:t>
      </w:r>
      <w:r w:rsidR="007B1CD7">
        <w:t>ed</w:t>
      </w:r>
      <w:r>
        <w:t xml:space="preserve"> advice and administrative support in relation to the engagement of the strategic reviewer and the independent</w:t>
      </w:r>
      <w:r w:rsidR="007B1CD7">
        <w:t xml:space="preserve"> auditor of the Auditor-General.</w:t>
      </w:r>
    </w:p>
    <w:p w:rsidR="004D699F" w:rsidRPr="003464E1" w:rsidRDefault="007B1CD7" w:rsidP="000070DF">
      <w:pPr>
        <w:pStyle w:val="Bodycopynumbered"/>
        <w:keepNext w:val="0"/>
        <w:rPr>
          <w:rFonts w:eastAsiaTheme="minorEastAsia" w:cstheme="majorHAnsi"/>
          <w:smallCaps/>
          <w:sz w:val="26"/>
          <w:szCs w:val="26"/>
        </w:rPr>
      </w:pPr>
      <w:r>
        <w:t>The Office of the Legislative Assembly and Officers of the Legislative Assembly have all provided advice and support to the Speaker in relation to the development of budget protocols between the Executive and the Legislature in relation to appropriate administrative processes that might apply to the development of annual budgets for the Officers’ agencies.</w:t>
      </w:r>
      <w:r w:rsidR="00B539FF">
        <w:t xml:space="preserve"> The committee addresses this matter in more detail at paragraph 2.16.</w:t>
      </w:r>
      <w:r>
        <w:t xml:space="preserve"> </w:t>
      </w:r>
      <w:r w:rsidR="004D699F">
        <w:t xml:space="preserve"> </w:t>
      </w:r>
    </w:p>
    <w:p w:rsidR="003464E1" w:rsidRPr="00751344" w:rsidRDefault="003464E1" w:rsidP="000070DF">
      <w:pPr>
        <w:pStyle w:val="Bodycopynumbered"/>
        <w:keepNext w:val="0"/>
        <w:rPr>
          <w:rFonts w:eastAsiaTheme="minorEastAsia" w:cstheme="majorHAnsi"/>
          <w:smallCaps/>
          <w:sz w:val="26"/>
          <w:szCs w:val="26"/>
        </w:rPr>
      </w:pPr>
      <w:r>
        <w:t xml:space="preserve">The committee sees no reason why the </w:t>
      </w:r>
      <w:r w:rsidR="00093763">
        <w:t xml:space="preserve">advisory and administrative support </w:t>
      </w:r>
      <w:r>
        <w:t xml:space="preserve">arrangements </w:t>
      </w:r>
      <w:r w:rsidR="00093763">
        <w:t xml:space="preserve">mentioned above </w:t>
      </w:r>
      <w:r>
        <w:t>should</w:t>
      </w:r>
      <w:r w:rsidR="00064BA2">
        <w:t xml:space="preserve"> not</w:t>
      </w:r>
      <w:r>
        <w:t xml:space="preserve"> continue. </w:t>
      </w:r>
    </w:p>
    <w:p w:rsidR="00E65E00" w:rsidRDefault="00E65E00" w:rsidP="000070DF">
      <w:pPr>
        <w:pStyle w:val="Bodycopynumbered"/>
        <w:keepNext w:val="0"/>
      </w:pPr>
      <w:r>
        <w:lastRenderedPageBreak/>
        <w:t>There has been no cause to suspend or end the appointment of an Officer of the Legislative Assembly. The committee considers that the existing provisions</w:t>
      </w:r>
      <w:r>
        <w:rPr>
          <w:rStyle w:val="FootnoteReference"/>
        </w:rPr>
        <w:footnoteReference w:id="30"/>
      </w:r>
      <w:r>
        <w:t xml:space="preserve">, provide an adequate mechanism for the Speaker to seek and receive advice and support in the event that the exercise of these powers ever needed to be considered. </w:t>
      </w:r>
    </w:p>
    <w:p w:rsidR="000070DF" w:rsidRDefault="006E7EA1" w:rsidP="000070DF">
      <w:pPr>
        <w:pStyle w:val="Heading2"/>
        <w:spacing w:before="360" w:after="240"/>
      </w:pPr>
      <w:bookmarkStart w:id="64" w:name="_Toc457901190"/>
      <w:r>
        <w:t xml:space="preserve">ACT </w:t>
      </w:r>
      <w:r w:rsidR="000070DF">
        <w:t xml:space="preserve">Electoral Commissioner </w:t>
      </w:r>
      <w:r w:rsidR="00815DAB">
        <w:t>submission</w:t>
      </w:r>
      <w:bookmarkEnd w:id="64"/>
    </w:p>
    <w:p w:rsidR="006E7EA1" w:rsidRDefault="006E7EA1" w:rsidP="000070DF">
      <w:pPr>
        <w:pStyle w:val="Bodycopynumbered"/>
        <w:rPr>
          <w:lang w:eastAsia="en-US"/>
        </w:rPr>
      </w:pPr>
      <w:r>
        <w:rPr>
          <w:lang w:eastAsia="en-US"/>
        </w:rPr>
        <w:t xml:space="preserve">In his submission to the inquiry, ACT </w:t>
      </w:r>
      <w:r w:rsidR="001766E4">
        <w:rPr>
          <w:lang w:eastAsia="en-US"/>
        </w:rPr>
        <w:t>Electoral Commissioner</w:t>
      </w:r>
      <w:r w:rsidR="00CC32C4">
        <w:rPr>
          <w:lang w:eastAsia="en-US"/>
        </w:rPr>
        <w:t xml:space="preserve">, Phillip Green, </w:t>
      </w:r>
      <w:r>
        <w:rPr>
          <w:lang w:eastAsia="en-US"/>
        </w:rPr>
        <w:t>indicated that:</w:t>
      </w:r>
    </w:p>
    <w:p w:rsidR="000070DF" w:rsidRDefault="00CC32C4" w:rsidP="006E7EA1">
      <w:pPr>
        <w:pStyle w:val="Bulletlistlevel1"/>
      </w:pPr>
      <w:r>
        <w:t>The commission has been able to provide administrative support and budget funding to assist the Speaker in relation to the Commission’s budget;</w:t>
      </w:r>
    </w:p>
    <w:p w:rsidR="00CC32C4" w:rsidRDefault="00CC32C4" w:rsidP="006E7EA1">
      <w:pPr>
        <w:pStyle w:val="Bulletlistlevel1"/>
      </w:pPr>
      <w:r>
        <w:t>It is</w:t>
      </w:r>
      <w:r w:rsidR="00C65F45">
        <w:t>, in his view,</w:t>
      </w:r>
      <w:r>
        <w:t xml:space="preserve"> practicable for </w:t>
      </w:r>
      <w:r w:rsidRPr="001766E4">
        <w:t>Public Sector Management Act officers employed by the Electoral Commissioner</w:t>
      </w:r>
      <w:r>
        <w:t xml:space="preserve"> to assist the Speaker in relation to the administration of recruitment of members of the Commission;</w:t>
      </w:r>
    </w:p>
    <w:p w:rsidR="00CC32C4" w:rsidRPr="00CC32C4" w:rsidRDefault="00CC32C4" w:rsidP="00CC32C4">
      <w:pPr>
        <w:pStyle w:val="Bulletlistlevel1"/>
        <w:rPr>
          <w:iCs/>
        </w:rPr>
      </w:pPr>
      <w:r>
        <w:t>He was satisfied that it is appropriate for the Commission to ‘</w:t>
      </w:r>
      <w:r w:rsidRPr="00CC32C4">
        <w:rPr>
          <w:iCs/>
        </w:rPr>
        <w:t>contribute budget funding to pay for expenditure incurred on behalf of the Speaker in relation to undertaking roles related to the Commission. This has particularly arisen in relation to providing funding for recruitment processes for Commission member vacancies</w:t>
      </w:r>
      <w:r>
        <w:rPr>
          <w:iCs/>
        </w:rPr>
        <w:t>’</w:t>
      </w:r>
      <w:r w:rsidRPr="00CC32C4">
        <w:rPr>
          <w:iCs/>
        </w:rPr>
        <w:t>.</w:t>
      </w:r>
      <w:r w:rsidR="00815DAB">
        <w:rPr>
          <w:rStyle w:val="FootnoteReference"/>
          <w:iCs/>
        </w:rPr>
        <w:footnoteReference w:id="31"/>
      </w:r>
    </w:p>
    <w:p w:rsidR="001766E4" w:rsidRPr="001766E4" w:rsidRDefault="006E7EA1" w:rsidP="00CC32C4">
      <w:pPr>
        <w:pStyle w:val="Bodycopynumbered"/>
      </w:pPr>
      <w:r>
        <w:t>The committee considered the Commissioner’s submission in formulating its view</w:t>
      </w:r>
      <w:r w:rsidR="00815DAB">
        <w:t>s</w:t>
      </w:r>
      <w:r>
        <w:t xml:space="preserve"> on the matters raised in the terms of reference. </w:t>
      </w:r>
    </w:p>
    <w:p w:rsidR="000070DF" w:rsidRDefault="000070DF" w:rsidP="000070DF">
      <w:pPr>
        <w:pStyle w:val="Heading2"/>
        <w:spacing w:before="360" w:after="240"/>
      </w:pPr>
      <w:bookmarkStart w:id="65" w:name="_Toc457901191"/>
      <w:r>
        <w:t xml:space="preserve">ACT Ombudsman </w:t>
      </w:r>
      <w:r w:rsidR="00815DAB">
        <w:t>submission</w:t>
      </w:r>
      <w:bookmarkEnd w:id="65"/>
    </w:p>
    <w:p w:rsidR="001134A8" w:rsidRDefault="000070DF" w:rsidP="000070DF">
      <w:pPr>
        <w:pStyle w:val="Bodycopynumbered"/>
      </w:pPr>
      <w:r>
        <w:rPr>
          <w:lang w:eastAsia="en-US"/>
        </w:rPr>
        <w:t xml:space="preserve">The </w:t>
      </w:r>
      <w:r w:rsidR="00F2509D">
        <w:rPr>
          <w:lang w:eastAsia="en-US"/>
        </w:rPr>
        <w:t>Acting ACT Ombudsman’s</w:t>
      </w:r>
      <w:r>
        <w:rPr>
          <w:lang w:eastAsia="en-US"/>
        </w:rPr>
        <w:t xml:space="preserve"> submission to the inquiry observed that it was unable to comment on the adequacy of </w:t>
      </w:r>
      <w:r w:rsidR="000A097B">
        <w:rPr>
          <w:lang w:eastAsia="en-US"/>
        </w:rPr>
        <w:t>support arrangements</w:t>
      </w:r>
      <w:r w:rsidR="00880F72">
        <w:rPr>
          <w:lang w:eastAsia="en-US"/>
        </w:rPr>
        <w:t xml:space="preserve"> on the basis that ‘</w:t>
      </w:r>
      <w:r>
        <w:t>the ACT Ombudsman has had limited dealings with the Office of the Legislative Assembly</w:t>
      </w:r>
      <w:r w:rsidR="001134A8">
        <w:t xml:space="preserve">’ arising from the fact the Commonwealth Ombudsman </w:t>
      </w:r>
      <w:r w:rsidR="00C65F45">
        <w:t xml:space="preserve">delivers the </w:t>
      </w:r>
      <w:r w:rsidR="001134A8">
        <w:t>Ombudsman function to the ACT under a services agreement.</w:t>
      </w:r>
      <w:r w:rsidR="001134A8">
        <w:rPr>
          <w:rStyle w:val="FootnoteReference"/>
        </w:rPr>
        <w:footnoteReference w:id="32"/>
      </w:r>
      <w:r w:rsidR="001134A8">
        <w:t xml:space="preserve"> </w:t>
      </w:r>
    </w:p>
    <w:p w:rsidR="000070DF" w:rsidRDefault="001134A8" w:rsidP="000070DF">
      <w:pPr>
        <w:pStyle w:val="Bodycopynumbered"/>
      </w:pPr>
      <w:r>
        <w:t>The Acting Ombudsman confirmed that ‘</w:t>
      </w:r>
      <w:r w:rsidR="000070DF">
        <w:t>the current</w:t>
      </w:r>
      <w:r w:rsidR="00F2509D">
        <w:t xml:space="preserve"> </w:t>
      </w:r>
      <w:r w:rsidR="000070DF">
        <w:t>arrangements for the ACT Ombudsman to operate as an Officer of the Legislative Assembly</w:t>
      </w:r>
      <w:r w:rsidR="00F2509D">
        <w:t xml:space="preserve"> </w:t>
      </w:r>
      <w:r w:rsidR="000070DF">
        <w:t>are adequate and effective from our perspective</w:t>
      </w:r>
      <w:r>
        <w:t>’</w:t>
      </w:r>
      <w:r w:rsidR="000070DF">
        <w:t>.</w:t>
      </w:r>
      <w:r w:rsidR="00880F72">
        <w:rPr>
          <w:rStyle w:val="FootnoteReference"/>
        </w:rPr>
        <w:footnoteReference w:id="33"/>
      </w:r>
    </w:p>
    <w:p w:rsidR="006E7EA1" w:rsidRDefault="006E7EA1" w:rsidP="006E7EA1">
      <w:pPr>
        <w:pStyle w:val="Bodycopynumbered"/>
      </w:pPr>
      <w:r>
        <w:t>The committee considered the Acting Ombudsman’s submission in formulating its view</w:t>
      </w:r>
      <w:r w:rsidR="00815DAB">
        <w:t>s</w:t>
      </w:r>
      <w:r>
        <w:t xml:space="preserve"> on the matters raised in the terms of reference. </w:t>
      </w:r>
    </w:p>
    <w:p w:rsidR="00815DAB" w:rsidRDefault="00815DAB" w:rsidP="00815DAB">
      <w:pPr>
        <w:pStyle w:val="Heading2"/>
        <w:keepNext w:val="0"/>
        <w:spacing w:before="360" w:after="240"/>
      </w:pPr>
      <w:bookmarkStart w:id="66" w:name="_Toc457901192"/>
      <w:r>
        <w:t>Chief Minister’s submission</w:t>
      </w:r>
      <w:bookmarkEnd w:id="66"/>
      <w:r>
        <w:t xml:space="preserve"> </w:t>
      </w:r>
    </w:p>
    <w:p w:rsidR="00815DAB" w:rsidRDefault="00815DAB" w:rsidP="00815DAB">
      <w:pPr>
        <w:pStyle w:val="Bodycopynumbered"/>
        <w:keepNext w:val="0"/>
        <w:rPr>
          <w:lang w:eastAsia="en-US"/>
        </w:rPr>
      </w:pPr>
      <w:r>
        <w:rPr>
          <w:lang w:eastAsia="en-US"/>
        </w:rPr>
        <w:t>The committee notes a submission made by the Chief Minister to this inquiry. In it, the Chief Minister made the following observation:</w:t>
      </w:r>
    </w:p>
    <w:p w:rsidR="00815DAB" w:rsidRDefault="00815DAB" w:rsidP="00815DAB">
      <w:pPr>
        <w:pStyle w:val="Quote"/>
      </w:pPr>
      <w:r>
        <w:lastRenderedPageBreak/>
        <w:t xml:space="preserve">The Government appreciates the demands upon the Speaker and her office in relation to independent officers of the Legislative Assembly. However, it is worth drawing to the Committee’s attention that any recommendation regarding Government appropriations, arising from the Committee’s deliberations, would need to be considered within the budget context. </w:t>
      </w:r>
      <w:r>
        <w:rPr>
          <w:rStyle w:val="FootnoteReference"/>
        </w:rPr>
        <w:footnoteReference w:id="34"/>
      </w:r>
    </w:p>
    <w:p w:rsidR="00815DAB" w:rsidRDefault="00815DAB" w:rsidP="00815DAB">
      <w:pPr>
        <w:pStyle w:val="Bodycopynumbered"/>
        <w:keepNext w:val="0"/>
        <w:rPr>
          <w:lang w:eastAsia="en-US"/>
        </w:rPr>
      </w:pPr>
      <w:r>
        <w:rPr>
          <w:lang w:eastAsia="en-US"/>
        </w:rPr>
        <w:t>The Chief Minister indicated that he would reserve further comment pending the outcome of the committee’s inquiry.</w:t>
      </w:r>
    </w:p>
    <w:p w:rsidR="00815DAB" w:rsidRDefault="00815DAB" w:rsidP="00815DAB">
      <w:pPr>
        <w:pStyle w:val="Bodycopynumbered"/>
        <w:keepNext w:val="0"/>
        <w:rPr>
          <w:lang w:eastAsia="en-US"/>
        </w:rPr>
      </w:pPr>
      <w:r>
        <w:rPr>
          <w:lang w:eastAsia="en-US"/>
        </w:rPr>
        <w:t xml:space="preserve">It is worth the committee briefly reflecting on the substance of the Chief Minister’s submission so far as it reflects on what are described as ‘Government appropriations’ and the ‘budget context’.   </w:t>
      </w:r>
    </w:p>
    <w:p w:rsidR="00815DAB" w:rsidRDefault="00815DAB" w:rsidP="00815DAB">
      <w:pPr>
        <w:pStyle w:val="Bodycopynumbered"/>
        <w:keepNext w:val="0"/>
        <w:rPr>
          <w:lang w:eastAsia="en-US"/>
        </w:rPr>
      </w:pPr>
      <w:r>
        <w:rPr>
          <w:lang w:eastAsia="en-US"/>
        </w:rPr>
        <w:t xml:space="preserve">While accepting that financial impacts may arise by virtue of recommendations of an Assembly committee in the event that they are accepted by the government of the day, the committee notes that it is the Assembly – not the Government – which is responsible for appropriating funds.    </w:t>
      </w:r>
    </w:p>
    <w:p w:rsidR="00815DAB" w:rsidRDefault="00815DAB" w:rsidP="00815DAB">
      <w:pPr>
        <w:pStyle w:val="Bodycopynumbered"/>
        <w:keepNext w:val="0"/>
        <w:rPr>
          <w:lang w:eastAsia="en-US"/>
        </w:rPr>
      </w:pPr>
      <w:r>
        <w:rPr>
          <w:lang w:eastAsia="en-US"/>
        </w:rPr>
        <w:t xml:space="preserve">The adequacy of funding arrangements for the legislative arm of government is ultimately one that is adjudicated by the parliament itself. While the Executive may have a view and reflect that view in an appropriation proposal (i.e. a Bill), the Assembly must also satisfy itself, before any enactment is made, that the institution has the resources which are reasonably necessary to perform its functions in an effective manner. </w:t>
      </w:r>
    </w:p>
    <w:p w:rsidR="00815DAB" w:rsidRDefault="00815DAB" w:rsidP="00815DAB">
      <w:pPr>
        <w:pStyle w:val="Bodycopynumbered"/>
        <w:keepNext w:val="0"/>
        <w:rPr>
          <w:lang w:eastAsia="en-US"/>
        </w:rPr>
      </w:pPr>
      <w:r>
        <w:rPr>
          <w:lang w:eastAsia="en-US"/>
        </w:rPr>
        <w:t>The committee believes that it is institutionally prudent that Executives of all stripes and flavours exhibit an appropriate deference towards</w:t>
      </w:r>
      <w:r w:rsidR="00AA516A">
        <w:rPr>
          <w:lang w:eastAsia="en-US"/>
        </w:rPr>
        <w:t xml:space="preserve"> the</w:t>
      </w:r>
      <w:r>
        <w:rPr>
          <w:lang w:eastAsia="en-US"/>
        </w:rPr>
        <w:t xml:space="preserve"> legislative arm of government when it comes to decisions which affect the resources that are made available for the parliament to acquit its functions.  Accordingly, the committee supports efforts, consistent with the Latimer House Principles, which were endorsed by the Assembly on 11 December 2008, to recast the manner in which the Executive and the Legislative branches work to develop the Assembly’s annual budget and to give the Assembly a more authentic decision-making role. </w:t>
      </w:r>
    </w:p>
    <w:p w:rsidR="00815DAB" w:rsidRDefault="00815DAB" w:rsidP="00815DAB">
      <w:pPr>
        <w:pStyle w:val="Bodycopynumbered"/>
        <w:keepNext w:val="0"/>
        <w:rPr>
          <w:lang w:eastAsia="en-US"/>
        </w:rPr>
      </w:pPr>
      <w:r>
        <w:rPr>
          <w:lang w:eastAsia="en-US"/>
        </w:rPr>
        <w:t xml:space="preserve">In this vein, the committee notes and endorses comments made by the Speaker during evidence to the Select Committee on Estimates 2016-2017:  </w:t>
      </w:r>
    </w:p>
    <w:p w:rsidR="00815DAB" w:rsidRDefault="00815DAB" w:rsidP="00815DAB">
      <w:pPr>
        <w:pStyle w:val="Quote"/>
      </w:pPr>
      <w:r>
        <w:t xml:space="preserve">Although a long-standing practice, it still strikes me as odd that the budget committee of cabinet is in a position to unilaterally determine the level of funding available to the legislature. There is, of course, an inherent conflict of interest in the executive determining a parliament’s resourcing base, given that a well-funded legislature is always going to be better placed to extract scrutiny and accountability outcomes and to hold the government of the day to account. </w:t>
      </w:r>
    </w:p>
    <w:p w:rsidR="00815DAB" w:rsidRDefault="00815DAB" w:rsidP="00815DAB">
      <w:pPr>
        <w:pStyle w:val="Quote"/>
      </w:pPr>
    </w:p>
    <w:p w:rsidR="00815DAB" w:rsidRDefault="00815DAB" w:rsidP="00815DAB">
      <w:pPr>
        <w:pStyle w:val="Quote"/>
      </w:pPr>
      <w:r>
        <w:t xml:space="preserve">We can argue about the merits of various proposals that are advanced on the part of the Assembly from time to time. But it seems that as a matter of principle there should be greater capacity on the part of the Assembly and not just the cabinet to establish the amount of funding available to parliament to ensure that its accountability, representative and legislative responsibilities are adequately fulfilled. </w:t>
      </w:r>
    </w:p>
    <w:p w:rsidR="00815DAB" w:rsidRDefault="00815DAB" w:rsidP="00815DAB">
      <w:pPr>
        <w:pStyle w:val="Quote"/>
      </w:pPr>
    </w:p>
    <w:p w:rsidR="00815DAB" w:rsidRDefault="00815DAB" w:rsidP="00815DAB">
      <w:pPr>
        <w:pStyle w:val="Quote"/>
      </w:pPr>
      <w:r>
        <w:t>As members would be aware there is a budget protocol agreement in place between the executive and the legislature setting out special administrative and process arrangements for the development of the Assembly’s budget. It has been a very positive development as far as OLA is concerned. Indeed, it is an approach that has been watched closely by other parliaments as being a modest step towards more autonomous budgetary processes.</w:t>
      </w:r>
      <w:r>
        <w:rPr>
          <w:rStyle w:val="FootnoteReference"/>
        </w:rPr>
        <w:footnoteReference w:id="35"/>
      </w:r>
    </w:p>
    <w:p w:rsidR="00815DAB" w:rsidRDefault="00815DAB" w:rsidP="00815DAB">
      <w:pPr>
        <w:rPr>
          <w:lang w:eastAsia="en-AU"/>
        </w:rPr>
      </w:pPr>
    </w:p>
    <w:p w:rsidR="00815DAB" w:rsidRDefault="00815DAB" w:rsidP="00815DAB">
      <w:pPr>
        <w:pStyle w:val="Heading3"/>
        <w:keepNext w:val="0"/>
        <w:spacing w:before="240" w:after="240"/>
      </w:pPr>
      <w:bookmarkStart w:id="67" w:name="_Toc457901193"/>
      <w:r>
        <w:t xml:space="preserve">Recommendation </w:t>
      </w:r>
      <w:r w:rsidR="00A368BE">
        <w:t>1</w:t>
      </w:r>
      <w:bookmarkEnd w:id="67"/>
    </w:p>
    <w:p w:rsidR="00815DAB" w:rsidRPr="00373858" w:rsidRDefault="00815DAB" w:rsidP="00815DAB">
      <w:pPr>
        <w:pStyle w:val="Recommendationbodycopynumbered"/>
        <w:keepNext w:val="0"/>
      </w:pPr>
      <w:r w:rsidRPr="00373858">
        <w:t>The committee recommends that the Assembly support the development of new practices and procedures, which give the Assembly a greater role in determining budget appropriations for the Assembly</w:t>
      </w:r>
      <w:r>
        <w:t>, the Office of the Legislative Assembly and Officers of the Legislative Assembly</w:t>
      </w:r>
      <w:r w:rsidRPr="00373858">
        <w:t>.</w:t>
      </w:r>
    </w:p>
    <w:p w:rsidR="008C6CC8" w:rsidRDefault="008C6CC8" w:rsidP="000070DF">
      <w:pPr>
        <w:pStyle w:val="Heading1"/>
        <w:keepNext w:val="0"/>
        <w:spacing w:after="240"/>
      </w:pPr>
      <w:bookmarkStart w:id="68" w:name="_Toc457901194"/>
      <w:r>
        <w:lastRenderedPageBreak/>
        <w:t>Committee’s view</w:t>
      </w:r>
      <w:bookmarkEnd w:id="68"/>
    </w:p>
    <w:p w:rsidR="008C6CC8" w:rsidRDefault="008C6CC8" w:rsidP="000070DF">
      <w:pPr>
        <w:pStyle w:val="Bodycopynumbered"/>
        <w:keepNext w:val="0"/>
      </w:pPr>
      <w:r>
        <w:t xml:space="preserve">The terms of reference require that the committee consider the </w:t>
      </w:r>
      <w:r w:rsidR="00072673">
        <w:t>r</w:t>
      </w:r>
      <w:r>
        <w:t xml:space="preserve">elevance and adequacy of provisions of the </w:t>
      </w:r>
      <w:r w:rsidRPr="00DA15E9">
        <w:t>Office of t</w:t>
      </w:r>
      <w:r w:rsidR="00DA15E9">
        <w:t>he Legislative Assembly Act</w:t>
      </w:r>
      <w:r w:rsidR="00072673">
        <w:rPr>
          <w:i/>
        </w:rPr>
        <w:t xml:space="preserve">, </w:t>
      </w:r>
      <w:r w:rsidR="00072673" w:rsidRPr="006877B1">
        <w:t xml:space="preserve">the capacity of the Office to provide administrative support </w:t>
      </w:r>
      <w:r w:rsidR="006877B1" w:rsidRPr="006877B1">
        <w:t>to the Speaker in relation to Officers of the Legislative Assembly, and other matters.</w:t>
      </w:r>
    </w:p>
    <w:p w:rsidR="000E6728" w:rsidRDefault="000E6728" w:rsidP="000070DF">
      <w:pPr>
        <w:pStyle w:val="Bodycopynumbered"/>
        <w:keepNext w:val="0"/>
      </w:pPr>
      <w:r>
        <w:t>The committee is conscious that with the 8</w:t>
      </w:r>
      <w:r w:rsidRPr="000E6728">
        <w:rPr>
          <w:vertAlign w:val="superscript"/>
        </w:rPr>
        <w:t>th</w:t>
      </w:r>
      <w:r>
        <w:t xml:space="preserve"> Assembly drawing to an end, the matters raised in the strategic review of the Auditor-General and in this report will </w:t>
      </w:r>
      <w:r w:rsidR="009A0C0B">
        <w:t>likely</w:t>
      </w:r>
      <w:r>
        <w:t xml:space="preserve"> fall to the </w:t>
      </w:r>
      <w:r w:rsidR="004D5120">
        <w:br/>
      </w:r>
      <w:r>
        <w:t>9</w:t>
      </w:r>
      <w:r w:rsidRPr="000E6728">
        <w:rPr>
          <w:vertAlign w:val="superscript"/>
        </w:rPr>
        <w:t>th</w:t>
      </w:r>
      <w:r>
        <w:t xml:space="preserve"> Assembly to address.</w:t>
      </w:r>
      <w:r w:rsidR="004D5120">
        <w:t xml:space="preserve"> </w:t>
      </w:r>
      <w:r>
        <w:t xml:space="preserve"> </w:t>
      </w:r>
    </w:p>
    <w:p w:rsidR="00FF18B5" w:rsidRDefault="0014764D" w:rsidP="000070DF">
      <w:pPr>
        <w:pStyle w:val="Bodycopynumbered"/>
        <w:keepNext w:val="0"/>
        <w:spacing w:after="240"/>
      </w:pPr>
      <w:r>
        <w:t>Th</w:t>
      </w:r>
      <w:r w:rsidR="0090493C">
        <w:t>e committee supports legislative change to clari</w:t>
      </w:r>
      <w:r w:rsidR="006946B9">
        <w:t xml:space="preserve">fy the manner in which </w:t>
      </w:r>
      <w:r w:rsidR="0090493C">
        <w:t>administr</w:t>
      </w:r>
      <w:r w:rsidR="00813BDB">
        <w:t xml:space="preserve">ative advice and support </w:t>
      </w:r>
      <w:r w:rsidR="00DA15E9">
        <w:t xml:space="preserve">might be made </w:t>
      </w:r>
      <w:r w:rsidR="00A06655">
        <w:t xml:space="preserve">available </w:t>
      </w:r>
      <w:r w:rsidR="00813BDB">
        <w:t>to the Speaker. While the Office of the Legislative Assembly might be the first port of call in relation to many issues that could be encountered in relation to exercise of particular powers, there are other sources of advice and administrative support</w:t>
      </w:r>
      <w:r w:rsidR="00426419">
        <w:t>,</w:t>
      </w:r>
      <w:r w:rsidR="00813BDB">
        <w:t xml:space="preserve"> </w:t>
      </w:r>
      <w:r w:rsidR="00FF18B5">
        <w:t xml:space="preserve">which </w:t>
      </w:r>
      <w:r w:rsidR="00813BDB">
        <w:t>should not be excluded</w:t>
      </w:r>
      <w:r w:rsidR="00FF18B5">
        <w:t xml:space="preserve"> (see paragraph 1.</w:t>
      </w:r>
      <w:r w:rsidR="009A0C0B">
        <w:t>2</w:t>
      </w:r>
      <w:r w:rsidR="00093763">
        <w:t>8</w:t>
      </w:r>
      <w:r w:rsidR="00FF18B5">
        <w:t>)</w:t>
      </w:r>
      <w:r w:rsidR="00813BDB">
        <w:t>.</w:t>
      </w:r>
      <w:r w:rsidR="00426419">
        <w:t xml:space="preserve"> The committee is mindful that in amending relevant legislation no impression should be created that the Office of the Legislative Assembly has a statutory function to oversee the functions of the Officers of the Assembly.  </w:t>
      </w:r>
      <w:r w:rsidR="00FF18B5">
        <w:t xml:space="preserve"> </w:t>
      </w:r>
    </w:p>
    <w:p w:rsidR="00E41D1F" w:rsidRDefault="00E41D1F" w:rsidP="000070DF">
      <w:pPr>
        <w:pStyle w:val="Bodycopynumbered"/>
        <w:keepNext w:val="0"/>
        <w:spacing w:after="240"/>
      </w:pPr>
      <w:r>
        <w:t>To maintain adequate separation of powers, the committee considers that, where possible, advice and support should not be drawn from agencies within the control and direction of the Executive but notes that there could be occasions where, for instance, it could be appropriate for the Speaker to seek advice from the Commissioner for Public Administration or the Solicitor-General.</w:t>
      </w:r>
    </w:p>
    <w:p w:rsidR="00A31D52" w:rsidRDefault="00E41D1F" w:rsidP="000070DF">
      <w:pPr>
        <w:pStyle w:val="Bodycopynumbered"/>
        <w:keepNext w:val="0"/>
        <w:spacing w:after="240"/>
      </w:pPr>
      <w:r>
        <w:t xml:space="preserve">It is also important that any potential conflicts of interest are effectively managed </w:t>
      </w:r>
      <w:r w:rsidR="000C7CA0">
        <w:t>where an Officer or personnel under the direction of an Officer</w:t>
      </w:r>
      <w:r>
        <w:t xml:space="preserve"> </w:t>
      </w:r>
      <w:r w:rsidR="000C7CA0">
        <w:t xml:space="preserve">might be seen to </w:t>
      </w:r>
      <w:r>
        <w:t>have an interest in the outcome of the exercise of the Speaker’s powers. For instance, where the Speaker needed to exercise powers in relation to the appointment, suspension or ending the appointment o</w:t>
      </w:r>
      <w:r w:rsidR="006946B9">
        <w:t xml:space="preserve">f an Officer, an apprehension of bias could emerge </w:t>
      </w:r>
      <w:r w:rsidR="000C7CA0">
        <w:t>in the event that t</w:t>
      </w:r>
      <w:r w:rsidR="006946B9">
        <w:t xml:space="preserve">he Speaker </w:t>
      </w:r>
      <w:r w:rsidR="000C7CA0">
        <w:t xml:space="preserve">relied </w:t>
      </w:r>
      <w:r w:rsidR="006946B9">
        <w:t>on advice and</w:t>
      </w:r>
      <w:r w:rsidR="000C7CA0">
        <w:t>/or</w:t>
      </w:r>
      <w:r w:rsidR="006946B9">
        <w:t xml:space="preserve"> </w:t>
      </w:r>
      <w:r w:rsidR="000C7CA0">
        <w:t xml:space="preserve">administrative </w:t>
      </w:r>
      <w:r w:rsidR="009A0C0B">
        <w:t xml:space="preserve">support </w:t>
      </w:r>
      <w:r w:rsidR="006946B9">
        <w:t>pro</w:t>
      </w:r>
      <w:r>
        <w:t xml:space="preserve">vided by </w:t>
      </w:r>
      <w:r w:rsidR="000C7CA0">
        <w:t xml:space="preserve">the Officer’s </w:t>
      </w:r>
      <w:r>
        <w:t>staff.</w:t>
      </w:r>
      <w:r w:rsidR="00A31D52">
        <w:t xml:space="preserve"> </w:t>
      </w:r>
    </w:p>
    <w:p w:rsidR="00B32643" w:rsidRDefault="00DF0CC7" w:rsidP="000070DF">
      <w:pPr>
        <w:pStyle w:val="Bodycopynumbered"/>
        <w:keepNext w:val="0"/>
        <w:spacing w:after="240"/>
      </w:pPr>
      <w:r>
        <w:t xml:space="preserve">Finally, where significant costs </w:t>
      </w:r>
      <w:r w:rsidR="006946B9">
        <w:t xml:space="preserve">are </w:t>
      </w:r>
      <w:r>
        <w:t xml:space="preserve">to be borne </w:t>
      </w:r>
      <w:r w:rsidR="00751344">
        <w:t xml:space="preserve">arising from </w:t>
      </w:r>
      <w:r>
        <w:t xml:space="preserve">the exercise of </w:t>
      </w:r>
      <w:r w:rsidR="00751344">
        <w:t xml:space="preserve">a </w:t>
      </w:r>
      <w:r>
        <w:t>particular power</w:t>
      </w:r>
      <w:r w:rsidR="00751344">
        <w:t xml:space="preserve"> or function</w:t>
      </w:r>
      <w:r>
        <w:t xml:space="preserve">, the committee considers that it is appropriate that they be funded by the budget </w:t>
      </w:r>
      <w:r w:rsidR="00751344">
        <w:t xml:space="preserve">appropriation of the Officer to which the exercise of the power or function relates. This broadly reflects the practice that has applied to date. As an example, while the Speaker is responsible for engaging, under a contract, both an independent auditor of the </w:t>
      </w:r>
      <w:r w:rsidR="00751344">
        <w:br/>
        <w:t>Auditor-General and a strategic reviewer of the Auditor-General, the Audit Office is responsible for paym</w:t>
      </w:r>
      <w:r w:rsidR="00A31D52">
        <w:t>ent under the contract once the services have been rendered to t</w:t>
      </w:r>
      <w:bookmarkStart w:id="69" w:name="_Toc456968022"/>
      <w:r w:rsidR="008A63B3">
        <w:t>he satisfaction of the Speaker. Similarly, the Electoral Commission met the costs associated with the appointment of the Electoral Commissioner.</w:t>
      </w:r>
    </w:p>
    <w:p w:rsidR="003053A1" w:rsidRPr="003053A1" w:rsidRDefault="003053A1" w:rsidP="003053A1">
      <w:pPr>
        <w:pStyle w:val="Heading1"/>
        <w:numPr>
          <w:ilvl w:val="0"/>
          <w:numId w:val="0"/>
        </w:numPr>
        <w:spacing w:after="240"/>
        <w:ind w:left="567"/>
        <w:rPr>
          <w:sz w:val="20"/>
          <w:szCs w:val="20"/>
        </w:rPr>
      </w:pPr>
    </w:p>
    <w:p w:rsidR="006B640D" w:rsidRPr="00B32643" w:rsidRDefault="006B640D" w:rsidP="000070DF">
      <w:pPr>
        <w:pStyle w:val="Heading3"/>
        <w:keepNext w:val="0"/>
        <w:spacing w:before="240" w:after="240"/>
      </w:pPr>
      <w:bookmarkStart w:id="70" w:name="_Toc457901195"/>
      <w:r w:rsidRPr="00B32643">
        <w:t xml:space="preserve">Recommendation </w:t>
      </w:r>
      <w:r w:rsidR="00A368BE">
        <w:t>2</w:t>
      </w:r>
      <w:bookmarkEnd w:id="69"/>
      <w:bookmarkEnd w:id="70"/>
    </w:p>
    <w:p w:rsidR="006B640D" w:rsidRDefault="006B640D" w:rsidP="000070DF">
      <w:pPr>
        <w:pStyle w:val="Recommendationbodycopynumbered"/>
        <w:keepNext w:val="0"/>
      </w:pPr>
      <w:bookmarkStart w:id="71" w:name="_Toc456968023"/>
      <w:r w:rsidRPr="006B640D">
        <w:t>The committee recommends that</w:t>
      </w:r>
      <w:r>
        <w:t>:</w:t>
      </w:r>
      <w:bookmarkEnd w:id="71"/>
    </w:p>
    <w:p w:rsidR="008A63B3" w:rsidRPr="00D658B3" w:rsidRDefault="008A63B3" w:rsidP="000070DF">
      <w:pPr>
        <w:pStyle w:val="Recommendationbodycopynumbered"/>
        <w:keepNext w:val="0"/>
        <w:numPr>
          <w:ilvl w:val="0"/>
          <w:numId w:val="23"/>
        </w:numPr>
        <w:rPr>
          <w:rFonts w:eastAsia="Calibri"/>
        </w:rPr>
      </w:pPr>
      <w:bookmarkStart w:id="72" w:name="_Toc456968028"/>
      <w:bookmarkEnd w:id="72"/>
      <w:r w:rsidRPr="00D658B3">
        <w:rPr>
          <w:rFonts w:eastAsia="Calibri"/>
        </w:rPr>
        <w:t xml:space="preserve">the Assembly consider amendments to the </w:t>
      </w:r>
      <w:r w:rsidRPr="00D658B3">
        <w:rPr>
          <w:rFonts w:eastAsia="Calibri"/>
          <w:i/>
        </w:rPr>
        <w:t xml:space="preserve">Office of the Legislative Assembly Act 2012 </w:t>
      </w:r>
      <w:r w:rsidRPr="00D658B3">
        <w:rPr>
          <w:rFonts w:eastAsia="Calibri"/>
        </w:rPr>
        <w:t xml:space="preserve">to clarify that one of the Office’s functions is to provide advice and support to the Speaker in the exercise of the Speaker’s functions in relation to Officers of the Legislative Assembly;  </w:t>
      </w:r>
    </w:p>
    <w:p w:rsidR="008A63B3" w:rsidRPr="00D658B3" w:rsidRDefault="008A63B3" w:rsidP="000070DF">
      <w:pPr>
        <w:pStyle w:val="Recommendationbodycopynumbered"/>
        <w:keepNext w:val="0"/>
        <w:numPr>
          <w:ilvl w:val="0"/>
          <w:numId w:val="23"/>
        </w:numPr>
        <w:rPr>
          <w:rFonts w:eastAsia="Calibri"/>
        </w:rPr>
      </w:pPr>
      <w:r w:rsidRPr="00D658B3">
        <w:rPr>
          <w:rFonts w:eastAsia="Calibri"/>
        </w:rPr>
        <w:t xml:space="preserve">any amendments to the OLA Act do not have the effect of </w:t>
      </w:r>
      <w:r>
        <w:rPr>
          <w:rFonts w:eastAsia="Calibri"/>
        </w:rPr>
        <w:t xml:space="preserve">establishing a superintendent function for the Office of the </w:t>
      </w:r>
      <w:r w:rsidRPr="00D658B3">
        <w:rPr>
          <w:rFonts w:eastAsia="Calibri"/>
        </w:rPr>
        <w:t xml:space="preserve">Legislative Assembly </w:t>
      </w:r>
      <w:r>
        <w:rPr>
          <w:rFonts w:eastAsia="Calibri"/>
        </w:rPr>
        <w:t>in relation to O</w:t>
      </w:r>
      <w:r w:rsidRPr="00D658B3">
        <w:rPr>
          <w:rFonts w:eastAsia="Calibri"/>
        </w:rPr>
        <w:t>fficers of the Legislative Assembly;</w:t>
      </w:r>
    </w:p>
    <w:p w:rsidR="008A63B3" w:rsidRPr="00D658B3" w:rsidRDefault="008A63B3" w:rsidP="000070DF">
      <w:pPr>
        <w:pStyle w:val="Recommendationbodycopynumbered"/>
        <w:keepNext w:val="0"/>
        <w:numPr>
          <w:ilvl w:val="0"/>
          <w:numId w:val="23"/>
        </w:numPr>
        <w:rPr>
          <w:rFonts w:eastAsia="Calibri"/>
        </w:rPr>
      </w:pPr>
      <w:r w:rsidRPr="00D658B3">
        <w:rPr>
          <w:rFonts w:eastAsia="Calibri"/>
        </w:rPr>
        <w:t>any amendments do not have the effect of establishing the Office of the Legislative Assembly as the sole source of administrative support and advice to the Speaker in these matters; and</w:t>
      </w:r>
    </w:p>
    <w:p w:rsidR="008A63B3" w:rsidRPr="00D658B3" w:rsidRDefault="008A63B3" w:rsidP="000070DF">
      <w:pPr>
        <w:pStyle w:val="Recommendationbodycopynumbered"/>
        <w:keepNext w:val="0"/>
        <w:numPr>
          <w:ilvl w:val="0"/>
          <w:numId w:val="23"/>
        </w:numPr>
        <w:rPr>
          <w:rFonts w:eastAsia="Calibri"/>
        </w:rPr>
      </w:pPr>
      <w:r w:rsidRPr="00D658B3">
        <w:rPr>
          <w:rFonts w:eastAsia="Calibri"/>
        </w:rPr>
        <w:t>during the 9</w:t>
      </w:r>
      <w:r w:rsidRPr="00D658B3">
        <w:rPr>
          <w:rFonts w:eastAsia="Calibri"/>
          <w:vertAlign w:val="superscript"/>
        </w:rPr>
        <w:t>th</w:t>
      </w:r>
      <w:r w:rsidRPr="00D658B3">
        <w:rPr>
          <w:rFonts w:eastAsia="Calibri"/>
        </w:rPr>
        <w:t xml:space="preserve"> Assembly, the Office of the Legislative Assembly liaise with Office of Parliamentary Counsel and the Speaker to consider how best to achieve these objectives in the drafting of any amendments.</w:t>
      </w:r>
    </w:p>
    <w:p w:rsidR="00CA3F55" w:rsidRPr="00CA3F55" w:rsidRDefault="00CA3F55" w:rsidP="000070DF">
      <w:pPr>
        <w:pStyle w:val="Heading2"/>
        <w:keepNext w:val="0"/>
        <w:spacing w:before="360" w:after="240"/>
        <w:rPr>
          <w:lang w:eastAsia="en-AU"/>
        </w:rPr>
      </w:pPr>
      <w:bookmarkStart w:id="73" w:name="_Toc457901196"/>
      <w:r w:rsidRPr="00CA3F55">
        <w:rPr>
          <w:lang w:eastAsia="en-AU"/>
        </w:rPr>
        <w:t>Budget protocols</w:t>
      </w:r>
      <w:bookmarkEnd w:id="73"/>
    </w:p>
    <w:p w:rsidR="00DE3223" w:rsidRDefault="00CA3F55" w:rsidP="000070DF">
      <w:pPr>
        <w:pStyle w:val="Bodycopynumbered"/>
        <w:keepNext w:val="0"/>
      </w:pPr>
      <w:r>
        <w:t xml:space="preserve">Given their relevance to the issue of resourcing and appropriate separations between the Executive and the Legislature, the committee wishes to make some brief observations about </w:t>
      </w:r>
      <w:r w:rsidR="00EB379B">
        <w:t>the</w:t>
      </w:r>
      <w:r w:rsidR="00EB379B" w:rsidRPr="00DE3223">
        <w:rPr>
          <w:i/>
        </w:rPr>
        <w:t xml:space="preserve"> Budget Protocols for the Office of the Legislative Assembly</w:t>
      </w:r>
      <w:r w:rsidR="00EB379B">
        <w:t>, which are</w:t>
      </w:r>
      <w:r>
        <w:t xml:space="preserve"> in place between the Executive and the Assembly</w:t>
      </w:r>
      <w:r>
        <w:rPr>
          <w:rStyle w:val="FootnoteReference"/>
        </w:rPr>
        <w:footnoteReference w:id="36"/>
      </w:r>
      <w:r>
        <w:t xml:space="preserve">. </w:t>
      </w:r>
    </w:p>
    <w:p w:rsidR="00CA3F55" w:rsidRDefault="00CE3642" w:rsidP="000070DF">
      <w:pPr>
        <w:pStyle w:val="Bodycopynumbered"/>
        <w:keepNext w:val="0"/>
      </w:pPr>
      <w:r>
        <w:t xml:space="preserve">A statement of principles </w:t>
      </w:r>
      <w:r w:rsidR="004E7404">
        <w:t xml:space="preserve">included in </w:t>
      </w:r>
      <w:r>
        <w:t>the protocols</w:t>
      </w:r>
      <w:r w:rsidR="004E7404">
        <w:t xml:space="preserve"> document</w:t>
      </w:r>
      <w:r>
        <w:t xml:space="preserve"> states that: </w:t>
      </w:r>
    </w:p>
    <w:p w:rsidR="00EB379B" w:rsidRPr="00EB379B" w:rsidRDefault="00EB379B" w:rsidP="000070DF">
      <w:pPr>
        <w:autoSpaceDE w:val="0"/>
        <w:autoSpaceDN w:val="0"/>
        <w:adjustRightInd w:val="0"/>
        <w:rPr>
          <w:rFonts w:ascii="Arial" w:eastAsiaTheme="minorHAnsi" w:hAnsi="Arial" w:cs="Arial"/>
          <w:color w:val="000000"/>
          <w:sz w:val="24"/>
        </w:rPr>
      </w:pPr>
    </w:p>
    <w:p w:rsidR="00EB379B" w:rsidRPr="00EB379B" w:rsidRDefault="00EB379B" w:rsidP="000070DF">
      <w:pPr>
        <w:pStyle w:val="Quote"/>
      </w:pPr>
      <w:r w:rsidRPr="00EB379B">
        <w:t xml:space="preserve">The parties commit to advance the separation of powers doctrine as it relates to the mutually independent status of the legislative and executive branches of government in the ACT's form of parliamentary democracy. The parties recognise that each branch has distinct roles and responsibilities that will not be encroached by one another. </w:t>
      </w:r>
    </w:p>
    <w:p w:rsidR="00EB379B" w:rsidRDefault="00EB379B" w:rsidP="000070DF">
      <w:pPr>
        <w:pStyle w:val="Quote"/>
      </w:pPr>
    </w:p>
    <w:p w:rsidR="00EB379B" w:rsidRPr="00EB379B" w:rsidRDefault="00EB379B" w:rsidP="000070DF">
      <w:pPr>
        <w:pStyle w:val="Quote"/>
      </w:pPr>
      <w:r w:rsidRPr="00EB379B">
        <w:t xml:space="preserve">The parties agree that the doctrine will be given due recognition at all stages of the development and consideration of the annual budget and appropriation bill for the Office of the Legislative Assembly and any additional appropriation. </w:t>
      </w:r>
    </w:p>
    <w:p w:rsidR="00EB379B" w:rsidRDefault="00EB379B" w:rsidP="000070DF">
      <w:pPr>
        <w:pStyle w:val="Quote"/>
      </w:pPr>
    </w:p>
    <w:p w:rsidR="00EB379B" w:rsidRPr="00EB379B" w:rsidRDefault="00EB379B" w:rsidP="000070DF">
      <w:pPr>
        <w:pStyle w:val="Quote"/>
      </w:pPr>
      <w:r w:rsidRPr="00EB379B">
        <w:t xml:space="preserve">The parties acknowledge and support the principle of the financial initiative of the Executive the exclusive right of executive arm of government to develop and frame appropriation bills for consideration by the legislative arm of government. </w:t>
      </w:r>
    </w:p>
    <w:p w:rsidR="00EB379B" w:rsidRDefault="00EB379B" w:rsidP="000070DF">
      <w:pPr>
        <w:pStyle w:val="Quote"/>
      </w:pPr>
    </w:p>
    <w:p w:rsidR="00402013" w:rsidRDefault="00EB379B" w:rsidP="000070DF">
      <w:pPr>
        <w:pStyle w:val="Quote"/>
      </w:pPr>
      <w:r w:rsidRPr="00EB379B">
        <w:t xml:space="preserve">The parties acknowledge that, while the executive government is entitled to frame a budget appropriation bill as it sees fit, the recommended appropriation for the Office of the Legislative Assembly will, as a matter of fundamental principle, be regarded as a statement of the Legislature's resource requirements and priorities. </w:t>
      </w:r>
    </w:p>
    <w:p w:rsidR="00402013" w:rsidRDefault="00402013" w:rsidP="000070DF">
      <w:pPr>
        <w:pStyle w:val="Quote"/>
      </w:pPr>
    </w:p>
    <w:p w:rsidR="00EB379B" w:rsidRPr="00EB379B" w:rsidRDefault="00EB379B" w:rsidP="000070DF">
      <w:pPr>
        <w:pStyle w:val="Quote"/>
      </w:pPr>
      <w:r w:rsidRPr="00EB379B">
        <w:t xml:space="preserve">The parties acknowledge that there will be occasions in which the demands of government policy have the potential to conflict with the roles and functions of an effective legislature. Where these conflicts -potential or otherwise -arise, the parties </w:t>
      </w:r>
      <w:r w:rsidRPr="00EB379B">
        <w:lastRenderedPageBreak/>
        <w:t xml:space="preserve">agree to ensure that the Legislature can perform its accountability, representative and legislative roles effectively. </w:t>
      </w:r>
    </w:p>
    <w:p w:rsidR="00EB379B" w:rsidRDefault="00EB379B" w:rsidP="000070DF">
      <w:pPr>
        <w:pStyle w:val="Quote"/>
      </w:pPr>
    </w:p>
    <w:p w:rsidR="00EB379B" w:rsidRPr="00EB379B" w:rsidRDefault="00EB379B" w:rsidP="000070DF">
      <w:pPr>
        <w:pStyle w:val="Quote"/>
      </w:pPr>
      <w:r w:rsidRPr="00EB379B">
        <w:t xml:space="preserve">The parties recognise and support the independent status of the Legislative Assembly and the Office of the Legislative Assembly in its capacity as the Legislature's primary source of administrative and procedural advice and support. </w:t>
      </w:r>
    </w:p>
    <w:p w:rsidR="00EB379B" w:rsidRDefault="00EB379B" w:rsidP="000070DF">
      <w:pPr>
        <w:pStyle w:val="Quote"/>
      </w:pPr>
    </w:p>
    <w:p w:rsidR="00EB379B" w:rsidRPr="00EB379B" w:rsidRDefault="00EB379B" w:rsidP="000070DF">
      <w:pPr>
        <w:pStyle w:val="Quote"/>
      </w:pPr>
      <w:r>
        <w:t>T</w:t>
      </w:r>
      <w:r w:rsidRPr="00EB379B">
        <w:t xml:space="preserve">he parties acknowledge that the Office of the Assembly is not subject to the direction of the Executive and is not, therefore, bound by policies, procedures and other governance arrangements promulgated by the Executive or its officers in the ACT public service, unless otherwise provided for by law. </w:t>
      </w:r>
    </w:p>
    <w:p w:rsidR="00F724A5" w:rsidRDefault="00F724A5" w:rsidP="000070DF">
      <w:pPr>
        <w:pStyle w:val="Bodycopynumbered"/>
        <w:keepNext w:val="0"/>
      </w:pPr>
      <w:r>
        <w:t xml:space="preserve">The committee </w:t>
      </w:r>
      <w:r w:rsidR="00414A82">
        <w:t xml:space="preserve">unequivocally </w:t>
      </w:r>
      <w:r>
        <w:t xml:space="preserve">supports </w:t>
      </w:r>
      <w:r w:rsidR="00414A82">
        <w:t xml:space="preserve">the </w:t>
      </w:r>
      <w:r>
        <w:t>principle</w:t>
      </w:r>
      <w:r w:rsidR="00414A82">
        <w:t>s outlined in this statement.</w:t>
      </w:r>
    </w:p>
    <w:p w:rsidR="00CE3642" w:rsidRDefault="00CA3F55" w:rsidP="000070DF">
      <w:pPr>
        <w:pStyle w:val="Bodycopynumbered"/>
        <w:keepNext w:val="0"/>
      </w:pPr>
      <w:r w:rsidRPr="00CA3F55">
        <w:t xml:space="preserve">Although a review of the budget protocols (which already operate with respect to the Office of the Legislative Assembly) was scheduled to have taken place in early 2016, the committee notes that the Chief Minister has written to the Speaker indicating that the government wanted to postpone the review until following the election. </w:t>
      </w:r>
    </w:p>
    <w:p w:rsidR="00CE3642" w:rsidRDefault="00CA3F55" w:rsidP="000070DF">
      <w:pPr>
        <w:pStyle w:val="Bodycopynumbered"/>
        <w:keepNext w:val="0"/>
      </w:pPr>
      <w:r w:rsidRPr="00CA3F55">
        <w:t xml:space="preserve">The committee does not support the postponement. </w:t>
      </w:r>
    </w:p>
    <w:p w:rsidR="00CE3642" w:rsidRDefault="00CA3F55" w:rsidP="000070DF">
      <w:pPr>
        <w:pStyle w:val="Bodycopynumbered"/>
        <w:keepNext w:val="0"/>
      </w:pPr>
      <w:r w:rsidRPr="00CA3F55">
        <w:t xml:space="preserve">Further, the committee strongly supports the budget protocols as a mechanism for establishing appropriate administrative controls </w:t>
      </w:r>
      <w:r w:rsidR="00DE3223">
        <w:t>in the development of the Assembly’s budget</w:t>
      </w:r>
      <w:r w:rsidRPr="00CA3F55">
        <w:t xml:space="preserve"> and </w:t>
      </w:r>
      <w:r w:rsidR="00DE3223">
        <w:t xml:space="preserve">supports the protocols being </w:t>
      </w:r>
      <w:r w:rsidRPr="00CA3F55">
        <w:t xml:space="preserve">expanded to include Officers of the Legislative Assembly. </w:t>
      </w:r>
    </w:p>
    <w:p w:rsidR="00806816" w:rsidRDefault="00CA3F55" w:rsidP="000070DF">
      <w:pPr>
        <w:pStyle w:val="Bodycopynumbered"/>
        <w:keepNext w:val="0"/>
      </w:pPr>
      <w:r w:rsidRPr="00CA3F55">
        <w:t>The committee does not support any watering down of the protocols</w:t>
      </w:r>
      <w:r w:rsidR="00FF6E96">
        <w:t xml:space="preserve"> and </w:t>
      </w:r>
      <w:r w:rsidR="00C272F9">
        <w:t>considers that</w:t>
      </w:r>
      <w:r w:rsidR="00FF6E96">
        <w:t xml:space="preserve"> </w:t>
      </w:r>
      <w:r w:rsidR="00402013">
        <w:t xml:space="preserve">current and future governments should support </w:t>
      </w:r>
      <w:r w:rsidR="00FF6E96">
        <w:t>measures designed to assert the independence of the Assembly, the Office of the Legislative Assembly</w:t>
      </w:r>
      <w:r w:rsidR="00C272F9">
        <w:t>,</w:t>
      </w:r>
      <w:r w:rsidR="00FF6E96">
        <w:t xml:space="preserve"> and Officers of the Legislative Assembly</w:t>
      </w:r>
      <w:r w:rsidR="00AC740E">
        <w:t>.</w:t>
      </w:r>
      <w:r w:rsidR="005A57CF">
        <w:t xml:space="preserve"> </w:t>
      </w:r>
    </w:p>
    <w:p w:rsidR="005A57CF" w:rsidRDefault="00806816" w:rsidP="000070DF">
      <w:pPr>
        <w:pStyle w:val="Bodycopynumbered"/>
        <w:keepNext w:val="0"/>
      </w:pPr>
      <w:r>
        <w:t>The committee considers that strengthening the institution of parliament</w:t>
      </w:r>
      <w:r w:rsidR="004E7404">
        <w:t xml:space="preserve"> and its a</w:t>
      </w:r>
      <w:r>
        <w:t>ccountability, scrutiny and representati</w:t>
      </w:r>
      <w:r w:rsidR="004E7404">
        <w:t xml:space="preserve">ve functions, </w:t>
      </w:r>
      <w:r>
        <w:t xml:space="preserve">is a project that should transcend </w:t>
      </w:r>
      <w:r w:rsidR="004E7404">
        <w:t>politics and on this basis t</w:t>
      </w:r>
      <w:r w:rsidR="00A56373">
        <w:t xml:space="preserve">he committee supports </w:t>
      </w:r>
      <w:r w:rsidR="003E2E65">
        <w:t xml:space="preserve">non-partisan </w:t>
      </w:r>
      <w:r w:rsidR="00A56373">
        <w:t xml:space="preserve">efforts to build independent funding arrangements into the </w:t>
      </w:r>
      <w:r w:rsidR="00AC740E">
        <w:t>practice</w:t>
      </w:r>
      <w:r w:rsidR="00A56373">
        <w:t xml:space="preserve">s, procedures </w:t>
      </w:r>
      <w:r w:rsidR="00AC740E">
        <w:t>and conventions of the Assembly.</w:t>
      </w:r>
      <w:r w:rsidR="00C272F9">
        <w:t xml:space="preserve"> </w:t>
      </w:r>
      <w:r w:rsidR="00AC740E">
        <w:t xml:space="preserve"> </w:t>
      </w:r>
    </w:p>
    <w:p w:rsidR="00CE3642" w:rsidRDefault="00F724A5" w:rsidP="000070DF">
      <w:pPr>
        <w:pStyle w:val="Heading3"/>
        <w:keepNext w:val="0"/>
        <w:spacing w:before="240" w:after="240"/>
      </w:pPr>
      <w:bookmarkStart w:id="74" w:name="_Toc457901197"/>
      <w:r>
        <w:t xml:space="preserve">Recommendation </w:t>
      </w:r>
      <w:r w:rsidR="00A56373">
        <w:t>3</w:t>
      </w:r>
      <w:bookmarkEnd w:id="74"/>
    </w:p>
    <w:p w:rsidR="00CE3642" w:rsidRPr="00CE3642" w:rsidRDefault="00CE3642" w:rsidP="000070DF">
      <w:pPr>
        <w:pStyle w:val="Recommendationbodycopynumbered"/>
        <w:keepNext w:val="0"/>
      </w:pPr>
      <w:r w:rsidRPr="00CE3642">
        <w:t>The committee recommends that:</w:t>
      </w:r>
    </w:p>
    <w:p w:rsidR="00402013" w:rsidRDefault="00402013" w:rsidP="000070DF">
      <w:pPr>
        <w:pStyle w:val="Recommendationbodycopynumbered"/>
        <w:keepNext w:val="0"/>
        <w:numPr>
          <w:ilvl w:val="0"/>
          <w:numId w:val="22"/>
        </w:numPr>
      </w:pPr>
      <w:r>
        <w:t>the Assembly resolves to support the operation of strong budget protocols, which establish an independent and separate budget development process for the Assembly;</w:t>
      </w:r>
    </w:p>
    <w:p w:rsidR="00CE3642" w:rsidRDefault="00F724A5" w:rsidP="000070DF">
      <w:pPr>
        <w:pStyle w:val="Recommendationbodycopynumbered"/>
        <w:keepNext w:val="0"/>
        <w:numPr>
          <w:ilvl w:val="0"/>
          <w:numId w:val="22"/>
        </w:numPr>
      </w:pPr>
      <w:r>
        <w:t xml:space="preserve">the review of the Budget Protocols proceeds as scheduled and </w:t>
      </w:r>
      <w:r w:rsidR="00FF6E96">
        <w:t xml:space="preserve">is finalised </w:t>
      </w:r>
      <w:r>
        <w:t>prior to the 2016 election;</w:t>
      </w:r>
    </w:p>
    <w:p w:rsidR="00F724A5" w:rsidRDefault="00F724A5" w:rsidP="000070DF">
      <w:pPr>
        <w:pStyle w:val="Recommendationbodycopynumbered"/>
        <w:keepNext w:val="0"/>
        <w:numPr>
          <w:ilvl w:val="0"/>
          <w:numId w:val="22"/>
        </w:numPr>
      </w:pPr>
      <w:r>
        <w:t>in reviewing the protocols, the Government does not attempt to weaken existing provisions to advantage the Executive; and</w:t>
      </w:r>
    </w:p>
    <w:p w:rsidR="00F724A5" w:rsidRDefault="00F724A5" w:rsidP="000070DF">
      <w:pPr>
        <w:pStyle w:val="Recommendationbodycopynumbered"/>
        <w:keepNext w:val="0"/>
        <w:numPr>
          <w:ilvl w:val="0"/>
          <w:numId w:val="22"/>
        </w:numPr>
      </w:pPr>
      <w:r>
        <w:t xml:space="preserve">Officers of the Legislative Assembly are covered in a revised budget protocols document.  </w:t>
      </w:r>
    </w:p>
    <w:p w:rsidR="003053A1" w:rsidRDefault="003053A1" w:rsidP="003053A1">
      <w:pPr>
        <w:pStyle w:val="Recommendationbodycopynumbered"/>
        <w:keepNext w:val="0"/>
      </w:pPr>
    </w:p>
    <w:p w:rsidR="003053A1" w:rsidRDefault="003053A1" w:rsidP="003053A1">
      <w:pPr>
        <w:pStyle w:val="Recommendationbodycopynumbered"/>
        <w:keepNext w:val="0"/>
      </w:pPr>
    </w:p>
    <w:p w:rsidR="003053A1" w:rsidRDefault="003053A1" w:rsidP="003053A1">
      <w:pPr>
        <w:pStyle w:val="Recommendationbodycopynumbered"/>
        <w:keepNext w:val="0"/>
        <w:spacing w:before="0" w:after="0"/>
      </w:pPr>
      <w:r>
        <w:t>Vicki Dunne MLA</w:t>
      </w:r>
    </w:p>
    <w:p w:rsidR="003053A1" w:rsidRDefault="003053A1" w:rsidP="003053A1">
      <w:pPr>
        <w:pStyle w:val="Recommendationbodycopynumbered"/>
        <w:keepNext w:val="0"/>
        <w:spacing w:before="0" w:after="0"/>
      </w:pPr>
      <w:r>
        <w:t>Chair</w:t>
      </w:r>
    </w:p>
    <w:p w:rsidR="003053A1" w:rsidRPr="00CE3642" w:rsidRDefault="003053A1" w:rsidP="003053A1">
      <w:pPr>
        <w:pStyle w:val="Recommendationbodycopynumbered"/>
        <w:keepNext w:val="0"/>
        <w:spacing w:before="0" w:after="0"/>
      </w:pPr>
      <w:r>
        <w:t>3 August  2016</w:t>
      </w:r>
    </w:p>
    <w:sectPr w:rsidR="003053A1" w:rsidRPr="00CE3642" w:rsidSect="007F70FC">
      <w:footerReference w:type="first" r:id="rId22"/>
      <w:pgSz w:w="11907" w:h="16840" w:code="9"/>
      <w:pgMar w:top="1588" w:right="1418" w:bottom="993"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31" w:rsidRDefault="00C92D31" w:rsidP="00C044CF">
      <w:r>
        <w:separator/>
      </w:r>
    </w:p>
    <w:p w:rsidR="00C92D31" w:rsidRDefault="00C92D31"/>
  </w:endnote>
  <w:endnote w:type="continuationSeparator" w:id="0">
    <w:p w:rsidR="00C92D31" w:rsidRDefault="00C92D31" w:rsidP="00C044CF">
      <w:r>
        <w:continuationSeparator/>
      </w:r>
    </w:p>
    <w:p w:rsidR="00C92D31" w:rsidRDefault="00C92D31"/>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4</w:t>
    </w:r>
    <w:r>
      <w:rPr>
        <w:rStyle w:val="PageNumber"/>
        <w:rFonts w:eastAsiaTheme="minorEastAsia"/>
      </w:rPr>
      <w:fldChar w:fldCharType="end"/>
    </w:r>
  </w:p>
  <w:p w:rsidR="00C92D31" w:rsidRDefault="00C92D31" w:rsidP="00B51BE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Pr>
        <w:rStyle w:val="PageNumber"/>
        <w:rFonts w:eastAsiaTheme="minorEastAsia"/>
        <w:noProof/>
      </w:rPr>
      <w:t>13</w:t>
    </w:r>
    <w:r>
      <w:rPr>
        <w:rStyle w:val="PageNumber"/>
        <w:rFonts w:eastAsiaTheme="minorEastAsia"/>
      </w:rPr>
      <w:fldChar w:fldCharType="end"/>
    </w:r>
  </w:p>
  <w:p w:rsidR="00C92D31" w:rsidRDefault="00C92D31" w:rsidP="00B51BEE">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Pr="006D0312" w:rsidRDefault="00C92D31" w:rsidP="00317F4C">
    <w:pPr>
      <w:rPr>
        <w:rFonts w:ascii="Arial" w:hAnsi="Arial"/>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CB6FD1">
      <w:rPr>
        <w:rStyle w:val="PageNumber"/>
        <w:rFonts w:eastAsiaTheme="minorEastAsia"/>
        <w:noProof/>
      </w:rPr>
      <w:t>ii</w:t>
    </w:r>
    <w:r>
      <w:rPr>
        <w:rStyle w:val="PageNumber"/>
        <w:rFonts w:eastAsiaTheme="minorEastAsia"/>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sidP="00B51BEE">
    <w:pPr>
      <w:framePr w:wrap="around" w:vAnchor="text" w:hAnchor="margin" w:xAlign="outside"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PAGE  </w:instrText>
    </w:r>
    <w:r>
      <w:rPr>
        <w:rStyle w:val="PageNumber"/>
        <w:rFonts w:eastAsiaTheme="minorEastAsia"/>
      </w:rPr>
      <w:fldChar w:fldCharType="separate"/>
    </w:r>
    <w:r w:rsidR="00CB6FD1">
      <w:rPr>
        <w:rStyle w:val="PageNumber"/>
        <w:rFonts w:eastAsiaTheme="minorEastAsia"/>
        <w:noProof/>
      </w:rPr>
      <w:t>1</w:t>
    </w:r>
    <w:r>
      <w:rPr>
        <w:rStyle w:val="PageNumber"/>
        <w:rFonts w:eastAsiaTheme="minorEastAsia"/>
      </w:rPr>
      <w:fldChar w:fldCharType="end"/>
    </w:r>
  </w:p>
  <w:p w:rsidR="00C92D31" w:rsidRDefault="00C92D31" w:rsidP="00B51BEE">
    <w:pP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Pr="00317F4C" w:rsidRDefault="00C92D31" w:rsidP="00317F4C">
    <w:pPr>
      <w:rPr>
        <w:rFonts w:eastAsiaTheme="minorEastAsia"/>
        <w:b/>
        <w:szCs w:val="18"/>
      </w:rPr>
    </w:pPr>
    <w:r w:rsidRPr="00451732">
      <w:rPr>
        <w:rStyle w:val="PageNumber"/>
        <w:rFonts w:eastAsiaTheme="minorEastAsia"/>
      </w:rPr>
      <w:fldChar w:fldCharType="begin"/>
    </w:r>
    <w:r w:rsidRPr="00451732">
      <w:rPr>
        <w:rStyle w:val="PageNumber"/>
        <w:rFonts w:eastAsiaTheme="minorEastAsia"/>
      </w:rPr>
      <w:instrText xml:space="preserve">PAGE  </w:instrText>
    </w:r>
    <w:r w:rsidRPr="00451732">
      <w:rPr>
        <w:rStyle w:val="PageNumber"/>
        <w:rFonts w:eastAsiaTheme="minorEastAsia"/>
      </w:rPr>
      <w:fldChar w:fldCharType="separate"/>
    </w:r>
    <w:r>
      <w:rPr>
        <w:rStyle w:val="PageNumber"/>
        <w:rFonts w:eastAsiaTheme="minorEastAsia"/>
        <w:noProof/>
      </w:rPr>
      <w:t>8</w:t>
    </w:r>
    <w:r w:rsidRPr="00451732">
      <w:rPr>
        <w:rStyle w:val="PageNumber"/>
        <w:rFonts w:eastAsiaTheme="minorEastAsia"/>
      </w:rPr>
      <w:fldChar w:fldCharType="end"/>
    </w:r>
  </w:p>
  <w:p w:rsidR="00C92D31" w:rsidRDefault="00C92D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31" w:rsidRDefault="00C92D31" w:rsidP="001231A4">
      <w:pPr>
        <w:spacing w:before="80" w:after="80"/>
      </w:pPr>
      <w:r>
        <w:separator/>
      </w:r>
    </w:p>
  </w:footnote>
  <w:footnote w:type="continuationSeparator" w:id="0">
    <w:p w:rsidR="00C92D31" w:rsidRDefault="00C92D31" w:rsidP="00C044CF">
      <w:r>
        <w:continuationSeparator/>
      </w:r>
    </w:p>
    <w:p w:rsidR="00C92D31" w:rsidRDefault="00C92D31"/>
  </w:footnote>
  <w:footnote w:id="1">
    <w:p w:rsidR="00C92D31" w:rsidRDefault="00C92D31" w:rsidP="00914AB3">
      <w:pPr>
        <w:pStyle w:val="FootnoteText"/>
      </w:pPr>
      <w:r w:rsidRPr="00A4177C">
        <w:rPr>
          <w:rStyle w:val="FootnoteReference"/>
          <w:rFonts w:eastAsiaTheme="majorEastAsia"/>
          <w:sz w:val="16"/>
          <w:szCs w:val="16"/>
        </w:rPr>
        <w:footnoteRef/>
      </w:r>
      <w:r w:rsidRPr="00A4177C">
        <w:rPr>
          <w:sz w:val="16"/>
          <w:szCs w:val="16"/>
        </w:rPr>
        <w:t xml:space="preserve"> The Assembly also resolved that the Standing Committee on Public Accounts would inquire into and report on the establishment of a </w:t>
      </w:r>
      <w:r>
        <w:rPr>
          <w:sz w:val="16"/>
          <w:szCs w:val="16"/>
        </w:rPr>
        <w:t>t</w:t>
      </w:r>
      <w:r w:rsidRPr="00A4177C">
        <w:rPr>
          <w:sz w:val="16"/>
          <w:szCs w:val="16"/>
        </w:rPr>
        <w:t>erm of appointment for the ACT Auditor-General.</w:t>
      </w:r>
      <w:r>
        <w:t xml:space="preserve"> </w:t>
      </w:r>
    </w:p>
  </w:footnote>
  <w:footnote w:id="2">
    <w:p w:rsidR="00C92D31" w:rsidRPr="00A7155D" w:rsidRDefault="00C92D31" w:rsidP="00914AB3">
      <w:pPr>
        <w:pStyle w:val="FootnoteText"/>
        <w:rPr>
          <w:sz w:val="16"/>
          <w:szCs w:val="16"/>
        </w:rPr>
      </w:pPr>
      <w:r w:rsidRPr="00A7155D">
        <w:rPr>
          <w:rStyle w:val="FootnoteReference"/>
          <w:rFonts w:eastAsiaTheme="majorEastAsia"/>
          <w:sz w:val="16"/>
          <w:szCs w:val="16"/>
        </w:rPr>
        <w:footnoteRef/>
      </w:r>
      <w:r w:rsidRPr="00A7155D">
        <w:rPr>
          <w:sz w:val="16"/>
          <w:szCs w:val="16"/>
        </w:rPr>
        <w:t xml:space="preserve"> The Assembly also resolved that the Standing Committee on Public Accounts would inquire into and report on the establishment of a term of appointment for the ACT Auditor-General. </w:t>
      </w:r>
    </w:p>
  </w:footnote>
  <w:footnote w:id="3">
    <w:p w:rsidR="00C92D31" w:rsidRPr="00426E6D" w:rsidRDefault="00C92D31">
      <w:pPr>
        <w:pStyle w:val="FootnoteText"/>
        <w:rPr>
          <w:sz w:val="16"/>
          <w:szCs w:val="16"/>
        </w:rPr>
      </w:pPr>
      <w:r w:rsidRPr="00426E6D">
        <w:rPr>
          <w:rStyle w:val="FootnoteReference"/>
          <w:sz w:val="16"/>
          <w:szCs w:val="16"/>
        </w:rPr>
        <w:footnoteRef/>
      </w:r>
      <w:r w:rsidRPr="00426E6D">
        <w:rPr>
          <w:sz w:val="16"/>
          <w:szCs w:val="16"/>
        </w:rPr>
        <w:t xml:space="preserve"> </w:t>
      </w:r>
      <w:r>
        <w:rPr>
          <w:sz w:val="16"/>
          <w:szCs w:val="16"/>
        </w:rPr>
        <w:t xml:space="preserve">Legislative Assembly for the Australian Capital Territory, </w:t>
      </w:r>
      <w:r w:rsidRPr="00426E6D">
        <w:rPr>
          <w:i/>
          <w:sz w:val="16"/>
          <w:szCs w:val="16"/>
        </w:rPr>
        <w:t>Minutes of Proceedings</w:t>
      </w:r>
      <w:r w:rsidRPr="00426E6D">
        <w:rPr>
          <w:sz w:val="16"/>
          <w:szCs w:val="16"/>
        </w:rPr>
        <w:t xml:space="preserve">, No. 141, </w:t>
      </w:r>
      <w:r>
        <w:rPr>
          <w:sz w:val="16"/>
          <w:szCs w:val="16"/>
        </w:rPr>
        <w:t xml:space="preserve">Thursday, </w:t>
      </w:r>
      <w:r w:rsidRPr="00426E6D">
        <w:rPr>
          <w:sz w:val="16"/>
          <w:szCs w:val="16"/>
        </w:rPr>
        <w:t>9 June 201</w:t>
      </w:r>
      <w:r>
        <w:rPr>
          <w:sz w:val="16"/>
          <w:szCs w:val="16"/>
        </w:rPr>
        <w:t>6</w:t>
      </w:r>
      <w:r w:rsidRPr="00426E6D">
        <w:rPr>
          <w:sz w:val="16"/>
          <w:szCs w:val="16"/>
        </w:rPr>
        <w:t xml:space="preserve">, p 1603. </w:t>
      </w:r>
    </w:p>
  </w:footnote>
  <w:footnote w:id="4">
    <w:p w:rsidR="00C92D31" w:rsidRPr="00A7155D" w:rsidRDefault="00C92D31" w:rsidP="00392AC2">
      <w:pPr>
        <w:pStyle w:val="FootnoteText"/>
        <w:rPr>
          <w:sz w:val="16"/>
          <w:szCs w:val="16"/>
        </w:rPr>
      </w:pPr>
      <w:r w:rsidRPr="00A7155D">
        <w:rPr>
          <w:rStyle w:val="FootnoteReference"/>
          <w:sz w:val="16"/>
          <w:szCs w:val="16"/>
        </w:rPr>
        <w:footnoteRef/>
      </w:r>
      <w:r w:rsidRPr="00A7155D">
        <w:rPr>
          <w:sz w:val="16"/>
          <w:szCs w:val="16"/>
        </w:rPr>
        <w:t xml:space="preserve"> Legislative Assembly for the ACT: 2016 Week 6 Hansard (9 June), p 1917.</w:t>
      </w:r>
    </w:p>
  </w:footnote>
  <w:footnote w:id="5">
    <w:p w:rsidR="00C92D31" w:rsidRPr="00426E6D" w:rsidRDefault="00C92D31">
      <w:pPr>
        <w:pStyle w:val="FootnoteText"/>
        <w:rPr>
          <w:sz w:val="16"/>
          <w:szCs w:val="16"/>
        </w:rPr>
      </w:pPr>
      <w:r w:rsidRPr="00426E6D">
        <w:rPr>
          <w:rStyle w:val="FootnoteReference"/>
          <w:sz w:val="16"/>
          <w:szCs w:val="16"/>
        </w:rPr>
        <w:footnoteRef/>
      </w:r>
      <w:r w:rsidRPr="00426E6D">
        <w:rPr>
          <w:sz w:val="16"/>
          <w:szCs w:val="16"/>
        </w:rPr>
        <w:t xml:space="preserve"> The committee notes that, despite its name, the Office of the Legislative Assembly is not an Officer or the Legislative Assembly and nor is the Clerk.</w:t>
      </w:r>
    </w:p>
  </w:footnote>
  <w:footnote w:id="6">
    <w:p w:rsidR="00C92D31" w:rsidRPr="00E15B70" w:rsidRDefault="00C92D31">
      <w:pPr>
        <w:pStyle w:val="FootnoteText"/>
        <w:rPr>
          <w:szCs w:val="18"/>
        </w:rPr>
      </w:pPr>
      <w:r w:rsidRPr="00A7155D">
        <w:rPr>
          <w:rStyle w:val="FootnoteReference"/>
          <w:sz w:val="16"/>
          <w:szCs w:val="16"/>
        </w:rPr>
        <w:footnoteRef/>
      </w:r>
      <w:r w:rsidRPr="00A7155D">
        <w:rPr>
          <w:sz w:val="16"/>
          <w:szCs w:val="16"/>
        </w:rPr>
        <w:t xml:space="preserve"> Section 8, </w:t>
      </w:r>
      <w:r w:rsidRPr="00A7155D">
        <w:rPr>
          <w:i/>
          <w:iCs/>
          <w:sz w:val="16"/>
          <w:szCs w:val="16"/>
        </w:rPr>
        <w:t>Legislative Assembly (Office of the Legislative Assembly) Act 2012</w:t>
      </w:r>
    </w:p>
  </w:footnote>
  <w:footnote w:id="7">
    <w:p w:rsidR="00C92D31" w:rsidRPr="00A7155D" w:rsidRDefault="00C92D31">
      <w:pPr>
        <w:pStyle w:val="FootnoteText"/>
        <w:rPr>
          <w:sz w:val="16"/>
          <w:szCs w:val="16"/>
        </w:rPr>
      </w:pPr>
      <w:r w:rsidRPr="00A7155D">
        <w:rPr>
          <w:rStyle w:val="FootnoteReference"/>
          <w:sz w:val="16"/>
          <w:szCs w:val="16"/>
        </w:rPr>
        <w:footnoteRef/>
      </w:r>
      <w:r w:rsidRPr="00A7155D">
        <w:rPr>
          <w:sz w:val="16"/>
          <w:szCs w:val="16"/>
        </w:rPr>
        <w:t xml:space="preserve"> Section 6 of the OLA Act</w:t>
      </w:r>
    </w:p>
  </w:footnote>
  <w:footnote w:id="8">
    <w:p w:rsidR="00C92D31" w:rsidRPr="00232E88" w:rsidRDefault="00C92D31">
      <w:pPr>
        <w:pStyle w:val="FootnoteText"/>
        <w:rPr>
          <w:sz w:val="16"/>
          <w:szCs w:val="16"/>
        </w:rPr>
      </w:pPr>
      <w:r w:rsidRPr="00232E88">
        <w:rPr>
          <w:rStyle w:val="FootnoteReference"/>
          <w:sz w:val="16"/>
          <w:szCs w:val="16"/>
        </w:rPr>
        <w:footnoteRef/>
      </w:r>
      <w:r w:rsidRPr="00232E88">
        <w:rPr>
          <w:sz w:val="16"/>
          <w:szCs w:val="16"/>
        </w:rPr>
        <w:t xml:space="preserve"> Legislative Assembly (Office of the Legislative Assembly) Bill 2012</w:t>
      </w:r>
    </w:p>
  </w:footnote>
  <w:footnote w:id="9">
    <w:p w:rsidR="00C92D31" w:rsidRPr="00A7155D" w:rsidRDefault="00C92D31">
      <w:pPr>
        <w:pStyle w:val="FootnoteText"/>
        <w:rPr>
          <w:sz w:val="16"/>
          <w:szCs w:val="16"/>
        </w:rPr>
      </w:pPr>
      <w:r w:rsidRPr="00A7155D">
        <w:rPr>
          <w:rStyle w:val="FootnoteReference"/>
          <w:sz w:val="16"/>
          <w:szCs w:val="16"/>
        </w:rPr>
        <w:footnoteRef/>
      </w:r>
      <w:r w:rsidRPr="00A7155D">
        <w:rPr>
          <w:sz w:val="16"/>
          <w:szCs w:val="16"/>
        </w:rPr>
        <w:t xml:space="preserve"> Sections 20 and 20AA</w:t>
      </w:r>
    </w:p>
  </w:footnote>
  <w:footnote w:id="10">
    <w:p w:rsidR="00C92D31" w:rsidRPr="00A7155D" w:rsidRDefault="00C92D31">
      <w:pPr>
        <w:pStyle w:val="FootnoteText"/>
        <w:rPr>
          <w:sz w:val="16"/>
          <w:szCs w:val="16"/>
        </w:rPr>
      </w:pPr>
      <w:r w:rsidRPr="00A7155D">
        <w:rPr>
          <w:rStyle w:val="FootnoteReference"/>
          <w:sz w:val="16"/>
          <w:szCs w:val="16"/>
        </w:rPr>
        <w:footnoteRef/>
      </w:r>
      <w:r w:rsidRPr="00A7155D">
        <w:rPr>
          <w:sz w:val="16"/>
          <w:szCs w:val="16"/>
        </w:rPr>
        <w:t xml:space="preserve"> In addition, the Standing Committee on Public Accounts (7</w:t>
      </w:r>
      <w:r w:rsidRPr="00A7155D">
        <w:rPr>
          <w:sz w:val="16"/>
          <w:szCs w:val="16"/>
          <w:vertAlign w:val="superscript"/>
        </w:rPr>
        <w:t>th</w:t>
      </w:r>
      <w:r w:rsidRPr="00A7155D">
        <w:rPr>
          <w:sz w:val="16"/>
          <w:szCs w:val="16"/>
        </w:rPr>
        <w:t xml:space="preserve"> Assembly) conducted an inquiry into the ACT </w:t>
      </w:r>
      <w:r w:rsidRPr="00A7155D">
        <w:rPr>
          <w:i/>
          <w:iCs/>
          <w:sz w:val="16"/>
          <w:szCs w:val="16"/>
        </w:rPr>
        <w:t>Auditor-General Act 1996</w:t>
      </w:r>
    </w:p>
  </w:footnote>
  <w:footnote w:id="11">
    <w:p w:rsidR="00C92D31" w:rsidRPr="00A7155D" w:rsidRDefault="00C92D31">
      <w:pPr>
        <w:pStyle w:val="FootnoteText"/>
        <w:rPr>
          <w:sz w:val="16"/>
          <w:szCs w:val="16"/>
        </w:rPr>
      </w:pPr>
      <w:r w:rsidRPr="00A7155D">
        <w:rPr>
          <w:rStyle w:val="FootnoteReference"/>
          <w:sz w:val="16"/>
          <w:szCs w:val="16"/>
        </w:rPr>
        <w:footnoteRef/>
      </w:r>
      <w:r w:rsidRPr="00A7155D">
        <w:rPr>
          <w:sz w:val="16"/>
          <w:szCs w:val="16"/>
        </w:rPr>
        <w:t xml:space="preserve"> Standing Committee on Administration and Procedure (7</w:t>
      </w:r>
      <w:r w:rsidRPr="00A7155D">
        <w:rPr>
          <w:sz w:val="16"/>
          <w:szCs w:val="16"/>
          <w:vertAlign w:val="superscript"/>
        </w:rPr>
        <w:t>th</w:t>
      </w:r>
      <w:r w:rsidRPr="00A7155D">
        <w:rPr>
          <w:sz w:val="16"/>
          <w:szCs w:val="16"/>
        </w:rPr>
        <w:t xml:space="preserve"> Assembly)  ‘Officers of the Parliament’, report 4, March 2012,</w:t>
      </w:r>
      <w:r w:rsidRPr="00A7155D">
        <w:rPr>
          <w:sz w:val="16"/>
          <w:szCs w:val="16"/>
        </w:rPr>
        <w:br/>
        <w:t>p 40</w:t>
      </w:r>
    </w:p>
  </w:footnote>
  <w:footnote w:id="12">
    <w:p w:rsidR="00C92D31" w:rsidRPr="00A7155D" w:rsidRDefault="00C92D31">
      <w:pPr>
        <w:pStyle w:val="FootnoteText"/>
        <w:rPr>
          <w:sz w:val="16"/>
          <w:szCs w:val="16"/>
        </w:rPr>
      </w:pPr>
      <w:r w:rsidRPr="00A7155D">
        <w:rPr>
          <w:rStyle w:val="FootnoteReference"/>
          <w:sz w:val="16"/>
          <w:szCs w:val="16"/>
        </w:rPr>
        <w:footnoteRef/>
      </w:r>
      <w:r w:rsidRPr="00A7155D">
        <w:rPr>
          <w:sz w:val="16"/>
          <w:szCs w:val="16"/>
        </w:rPr>
        <w:t xml:space="preserve"> Standing Committee on Administration and Procedure (7</w:t>
      </w:r>
      <w:r w:rsidRPr="00A7155D">
        <w:rPr>
          <w:sz w:val="16"/>
          <w:szCs w:val="16"/>
          <w:vertAlign w:val="superscript"/>
        </w:rPr>
        <w:t>th</w:t>
      </w:r>
      <w:r w:rsidRPr="00A7155D">
        <w:rPr>
          <w:sz w:val="16"/>
          <w:szCs w:val="16"/>
        </w:rPr>
        <w:t xml:space="preserve"> Assembly) ‘Officers of the Parliament’, report 4, March 2012,</w:t>
      </w:r>
      <w:r w:rsidRPr="00A7155D">
        <w:rPr>
          <w:sz w:val="16"/>
          <w:szCs w:val="16"/>
        </w:rPr>
        <w:br/>
        <w:t xml:space="preserve">p </w:t>
      </w:r>
      <w:r>
        <w:rPr>
          <w:sz w:val="16"/>
          <w:szCs w:val="16"/>
        </w:rPr>
        <w:t>39.</w:t>
      </w:r>
    </w:p>
  </w:footnote>
  <w:footnote w:id="13">
    <w:p w:rsidR="00C92D31" w:rsidRPr="006B2D5F" w:rsidRDefault="00C92D31">
      <w:pPr>
        <w:pStyle w:val="FootnoteText"/>
        <w:rPr>
          <w:sz w:val="16"/>
          <w:szCs w:val="16"/>
        </w:rPr>
      </w:pPr>
      <w:r w:rsidRPr="006B2D5F">
        <w:rPr>
          <w:rStyle w:val="FootnoteReference"/>
          <w:sz w:val="16"/>
          <w:szCs w:val="16"/>
        </w:rPr>
        <w:footnoteRef/>
      </w:r>
      <w:r w:rsidRPr="006B2D5F">
        <w:rPr>
          <w:sz w:val="16"/>
          <w:szCs w:val="16"/>
        </w:rPr>
        <w:t xml:space="preserve"> Officers of the Legislative Assembly Legislation Amendment Bill 2014, Explanatory Statement, circulated by Shane Rattenbury MLA, p 2.</w:t>
      </w:r>
    </w:p>
  </w:footnote>
  <w:footnote w:id="14">
    <w:p w:rsidR="00C92D31" w:rsidRDefault="00C92D31">
      <w:pPr>
        <w:pStyle w:val="FootnoteText"/>
      </w:pPr>
      <w:r w:rsidRPr="006B2D5F">
        <w:rPr>
          <w:rStyle w:val="FootnoteReference"/>
          <w:sz w:val="16"/>
          <w:szCs w:val="16"/>
        </w:rPr>
        <w:footnoteRef/>
      </w:r>
      <w:r w:rsidRPr="006B2D5F">
        <w:rPr>
          <w:sz w:val="16"/>
          <w:szCs w:val="16"/>
        </w:rPr>
        <w:t xml:space="preserve"> While s4A of the </w:t>
      </w:r>
      <w:r w:rsidRPr="006B2D5F">
        <w:rPr>
          <w:i/>
          <w:sz w:val="16"/>
          <w:szCs w:val="16"/>
        </w:rPr>
        <w:t>Ombudsman Act 1989</w:t>
      </w:r>
      <w:r w:rsidRPr="006B2D5F">
        <w:rPr>
          <w:sz w:val="16"/>
          <w:szCs w:val="16"/>
        </w:rPr>
        <w:t xml:space="preserve"> establishes that the Ombudsman is an independent Officer of the Legislative Assembly, this provision does not become operative until an appointment is made pursuant to s22 of the ACT  (i.e. where a person who is not the </w:t>
      </w:r>
      <w:r>
        <w:rPr>
          <w:sz w:val="16"/>
          <w:szCs w:val="16"/>
        </w:rPr>
        <w:t>C</w:t>
      </w:r>
      <w:r w:rsidRPr="006B2D5F">
        <w:rPr>
          <w:sz w:val="16"/>
          <w:szCs w:val="16"/>
        </w:rPr>
        <w:t xml:space="preserve">ommonwealth Ombudsman is appointed (see s28  of the </w:t>
      </w:r>
      <w:r w:rsidRPr="006B2D5F">
        <w:rPr>
          <w:i/>
          <w:sz w:val="16"/>
          <w:szCs w:val="16"/>
        </w:rPr>
        <w:t>ACT Self-Government (Consequential Provisions) Act</w:t>
      </w:r>
      <w:r w:rsidRPr="006B2D5F">
        <w:rPr>
          <w:sz w:val="16"/>
          <w:szCs w:val="16"/>
        </w:rPr>
        <w:t xml:space="preserve"> 1988 (Cth). Where a </w:t>
      </w:r>
      <w:r>
        <w:rPr>
          <w:sz w:val="16"/>
          <w:szCs w:val="16"/>
        </w:rPr>
        <w:t>p</w:t>
      </w:r>
      <w:r w:rsidRPr="006B2D5F">
        <w:rPr>
          <w:sz w:val="16"/>
          <w:szCs w:val="16"/>
        </w:rPr>
        <w:t>erson other than the Commonwealth Ombudsman is appointed to the role of ACT Ombudsman, the powers available to the Speaker with respect to the Ombudsman are broadly those that apply with respect to the other two Officers of the Legislative Assembly.</w:t>
      </w:r>
    </w:p>
  </w:footnote>
  <w:footnote w:id="15">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8, s9B </w:t>
      </w:r>
    </w:p>
  </w:footnote>
  <w:footnote w:id="16">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w:t>
      </w:r>
      <w:r>
        <w:rPr>
          <w:sz w:val="16"/>
          <w:szCs w:val="16"/>
        </w:rPr>
        <w:t xml:space="preserve">s </w:t>
      </w:r>
      <w:r w:rsidRPr="008572C6">
        <w:rPr>
          <w:sz w:val="16"/>
          <w:szCs w:val="16"/>
        </w:rPr>
        <w:t xml:space="preserve">12 of the </w:t>
      </w:r>
      <w:r w:rsidRPr="008572C6">
        <w:rPr>
          <w:i/>
          <w:sz w:val="16"/>
          <w:szCs w:val="16"/>
        </w:rPr>
        <w:t>Electoral Act 1992</w:t>
      </w:r>
    </w:p>
  </w:footnote>
  <w:footnote w:id="17">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12C of the </w:t>
      </w:r>
      <w:r w:rsidRPr="008572C6">
        <w:rPr>
          <w:i/>
          <w:sz w:val="16"/>
          <w:szCs w:val="16"/>
        </w:rPr>
        <w:t>Electoral Act 1992</w:t>
      </w:r>
    </w:p>
  </w:footnote>
  <w:footnote w:id="18">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9A of the </w:t>
      </w:r>
      <w:r w:rsidRPr="008572C6">
        <w:rPr>
          <w:i/>
          <w:sz w:val="16"/>
          <w:szCs w:val="16"/>
        </w:rPr>
        <w:t>Auditor-General Act 1996</w:t>
      </w:r>
    </w:p>
  </w:footnote>
  <w:footnote w:id="19">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12A of the </w:t>
      </w:r>
      <w:r w:rsidRPr="008572C6">
        <w:rPr>
          <w:i/>
          <w:sz w:val="16"/>
          <w:szCs w:val="16"/>
        </w:rPr>
        <w:t>Electoral Act 1992</w:t>
      </w:r>
    </w:p>
  </w:footnote>
  <w:footnote w:id="20">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9A of the </w:t>
      </w:r>
      <w:r w:rsidRPr="008572C6">
        <w:rPr>
          <w:i/>
          <w:sz w:val="16"/>
          <w:szCs w:val="16"/>
        </w:rPr>
        <w:t>Auditor-General Act 1996</w:t>
      </w:r>
    </w:p>
  </w:footnote>
  <w:footnote w:id="21">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18 of the </w:t>
      </w:r>
      <w:r w:rsidRPr="008572C6">
        <w:rPr>
          <w:i/>
          <w:sz w:val="16"/>
          <w:szCs w:val="16"/>
        </w:rPr>
        <w:t>Electoral Act 1992</w:t>
      </w:r>
    </w:p>
  </w:footnote>
  <w:footnote w:id="22">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9B of the </w:t>
      </w:r>
      <w:r w:rsidRPr="008572C6">
        <w:rPr>
          <w:i/>
          <w:sz w:val="16"/>
          <w:szCs w:val="16"/>
        </w:rPr>
        <w:t>Auditor-General Act 1996</w:t>
      </w:r>
    </w:p>
  </w:footnote>
  <w:footnote w:id="23">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18A of the </w:t>
      </w:r>
      <w:r w:rsidRPr="008572C6">
        <w:rPr>
          <w:i/>
          <w:sz w:val="16"/>
          <w:szCs w:val="16"/>
        </w:rPr>
        <w:t>Electoral Act 1992</w:t>
      </w:r>
    </w:p>
  </w:footnote>
  <w:footnote w:id="24">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9BC </w:t>
      </w:r>
      <w:r w:rsidRPr="008572C6">
        <w:rPr>
          <w:i/>
          <w:sz w:val="16"/>
          <w:szCs w:val="16"/>
        </w:rPr>
        <w:t>Auditor-General Act 1996</w:t>
      </w:r>
    </w:p>
  </w:footnote>
  <w:footnote w:id="25">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18D of the </w:t>
      </w:r>
      <w:r w:rsidRPr="008572C6">
        <w:rPr>
          <w:i/>
          <w:sz w:val="16"/>
          <w:szCs w:val="16"/>
        </w:rPr>
        <w:t>Electoral Act 1992</w:t>
      </w:r>
    </w:p>
  </w:footnote>
  <w:footnote w:id="26">
    <w:p w:rsidR="00C92D31" w:rsidRPr="008572C6" w:rsidRDefault="00C92D31">
      <w:pPr>
        <w:pStyle w:val="FootnoteText"/>
        <w:rPr>
          <w:sz w:val="16"/>
          <w:szCs w:val="16"/>
        </w:rPr>
      </w:pPr>
      <w:r w:rsidRPr="008572C6">
        <w:rPr>
          <w:rStyle w:val="FootnoteReference"/>
          <w:sz w:val="16"/>
          <w:szCs w:val="16"/>
        </w:rPr>
        <w:footnoteRef/>
      </w:r>
      <w:r w:rsidRPr="008572C6">
        <w:rPr>
          <w:sz w:val="16"/>
          <w:szCs w:val="16"/>
        </w:rPr>
        <w:t xml:space="preserve"> Section 25(2) of the </w:t>
      </w:r>
      <w:r w:rsidRPr="008572C6">
        <w:rPr>
          <w:i/>
          <w:sz w:val="16"/>
          <w:szCs w:val="16"/>
        </w:rPr>
        <w:t>Auditor-General Act 1996</w:t>
      </w:r>
    </w:p>
  </w:footnote>
  <w:footnote w:id="27">
    <w:p w:rsidR="00C92D31" w:rsidRDefault="00C92D31" w:rsidP="00382C53">
      <w:pPr>
        <w:pStyle w:val="FootnoteText"/>
        <w:tabs>
          <w:tab w:val="left" w:pos="426"/>
        </w:tabs>
        <w:ind w:left="142" w:hanging="142"/>
      </w:pPr>
      <w:r w:rsidRPr="008572C6">
        <w:rPr>
          <w:rStyle w:val="FootnoteReference"/>
          <w:sz w:val="16"/>
          <w:szCs w:val="16"/>
        </w:rPr>
        <w:footnoteRef/>
      </w:r>
      <w:r w:rsidRPr="008572C6">
        <w:rPr>
          <w:sz w:val="16"/>
          <w:szCs w:val="16"/>
        </w:rPr>
        <w:t xml:space="preserve"> Section 31 of the </w:t>
      </w:r>
      <w:r w:rsidRPr="00382C53">
        <w:rPr>
          <w:i/>
          <w:sz w:val="16"/>
          <w:szCs w:val="16"/>
        </w:rPr>
        <w:t>Auditor-General Act 1996</w:t>
      </w:r>
    </w:p>
  </w:footnote>
  <w:footnote w:id="28">
    <w:p w:rsidR="00C92D31" w:rsidRPr="00411A5A" w:rsidRDefault="00C92D31" w:rsidP="00382C53">
      <w:pPr>
        <w:pStyle w:val="FootnoteText"/>
        <w:tabs>
          <w:tab w:val="left" w:pos="426"/>
        </w:tabs>
        <w:ind w:left="142" w:hanging="142"/>
        <w:rPr>
          <w:sz w:val="16"/>
          <w:szCs w:val="16"/>
        </w:rPr>
      </w:pPr>
      <w:r w:rsidRPr="008572C6">
        <w:rPr>
          <w:rStyle w:val="FootnoteReference"/>
          <w:sz w:val="16"/>
          <w:szCs w:val="16"/>
        </w:rPr>
        <w:footnoteRef/>
      </w:r>
      <w:r w:rsidRPr="008572C6">
        <w:rPr>
          <w:sz w:val="16"/>
          <w:szCs w:val="16"/>
        </w:rPr>
        <w:t xml:space="preserve"> Officers of the Assembly Legislation Amendment Bill 2013, Explanatory Statement, Circulated by Shane Rattenbury MLA, 15 August 2013, </w:t>
      </w:r>
      <w:r w:rsidRPr="00411A5A">
        <w:rPr>
          <w:sz w:val="16"/>
          <w:szCs w:val="16"/>
        </w:rPr>
        <w:t>p 6.</w:t>
      </w:r>
      <w:r>
        <w:rPr>
          <w:sz w:val="16"/>
          <w:szCs w:val="16"/>
        </w:rPr>
        <w:t xml:space="preserve"> </w:t>
      </w:r>
    </w:p>
  </w:footnote>
  <w:footnote w:id="29">
    <w:p w:rsidR="00C92D31" w:rsidRDefault="00C92D31" w:rsidP="00382C53">
      <w:pPr>
        <w:pStyle w:val="FootnoteText"/>
        <w:tabs>
          <w:tab w:val="left" w:pos="426"/>
        </w:tabs>
        <w:ind w:left="142" w:hanging="142"/>
      </w:pPr>
      <w:r w:rsidRPr="008572C6">
        <w:rPr>
          <w:rStyle w:val="FootnoteReference"/>
          <w:sz w:val="16"/>
          <w:szCs w:val="16"/>
        </w:rPr>
        <w:footnoteRef/>
      </w:r>
      <w:r w:rsidRPr="008572C6">
        <w:rPr>
          <w:sz w:val="16"/>
          <w:szCs w:val="16"/>
        </w:rPr>
        <w:t xml:space="preserve"> Section 9B(2) of the Auditor-General Act 1996 and s18A of the </w:t>
      </w:r>
      <w:r w:rsidRPr="008572C6">
        <w:rPr>
          <w:i/>
          <w:sz w:val="16"/>
          <w:szCs w:val="16"/>
        </w:rPr>
        <w:t>Electoral Act 1992</w:t>
      </w:r>
    </w:p>
  </w:footnote>
  <w:footnote w:id="30">
    <w:p w:rsidR="00C92D31" w:rsidRPr="00E65E00" w:rsidRDefault="00C92D31" w:rsidP="00E65E00">
      <w:pPr>
        <w:pStyle w:val="FootnoteText"/>
        <w:rPr>
          <w:sz w:val="16"/>
          <w:szCs w:val="16"/>
        </w:rPr>
      </w:pPr>
      <w:r w:rsidRPr="00E65E00">
        <w:rPr>
          <w:rStyle w:val="FootnoteReference"/>
          <w:sz w:val="16"/>
          <w:szCs w:val="16"/>
        </w:rPr>
        <w:footnoteRef/>
      </w:r>
      <w:r w:rsidRPr="00E65E00">
        <w:rPr>
          <w:sz w:val="16"/>
          <w:szCs w:val="16"/>
        </w:rPr>
        <w:t xml:space="preserve"> </w:t>
      </w:r>
      <w:r w:rsidRPr="008572C6">
        <w:rPr>
          <w:sz w:val="16"/>
          <w:szCs w:val="16"/>
        </w:rPr>
        <w:t xml:space="preserve">Section 9B(2) of the Auditor-General Act 1996 and s18A of the </w:t>
      </w:r>
      <w:r w:rsidRPr="008572C6">
        <w:rPr>
          <w:i/>
          <w:sz w:val="16"/>
          <w:szCs w:val="16"/>
        </w:rPr>
        <w:t>Electoral Act 1992</w:t>
      </w:r>
    </w:p>
  </w:footnote>
  <w:footnote w:id="31">
    <w:p w:rsidR="00C92D31" w:rsidRPr="00815DAB" w:rsidRDefault="00C92D31">
      <w:pPr>
        <w:pStyle w:val="FootnoteText"/>
        <w:rPr>
          <w:sz w:val="16"/>
          <w:szCs w:val="16"/>
        </w:rPr>
      </w:pPr>
      <w:r w:rsidRPr="00815DAB">
        <w:rPr>
          <w:rStyle w:val="FootnoteReference"/>
          <w:sz w:val="16"/>
          <w:szCs w:val="16"/>
        </w:rPr>
        <w:footnoteRef/>
      </w:r>
      <w:r w:rsidRPr="00815DAB">
        <w:rPr>
          <w:sz w:val="16"/>
          <w:szCs w:val="16"/>
        </w:rPr>
        <w:t xml:space="preserve"> Submission from the ACT Electoral Commissioner, Phillip Green, 26 July 2016.</w:t>
      </w:r>
    </w:p>
  </w:footnote>
  <w:footnote w:id="32">
    <w:p w:rsidR="00C92D31" w:rsidRDefault="00C92D31">
      <w:pPr>
        <w:pStyle w:val="FootnoteText"/>
      </w:pPr>
      <w:r>
        <w:rPr>
          <w:rStyle w:val="FootnoteReference"/>
        </w:rPr>
        <w:footnoteRef/>
      </w:r>
      <w:r>
        <w:t xml:space="preserve"> </w:t>
      </w:r>
      <w:r>
        <w:rPr>
          <w:sz w:val="16"/>
          <w:szCs w:val="16"/>
        </w:rPr>
        <w:t>Submission from the Acting ACT Ombudsman, Richard Glenn, 26 July 2016.</w:t>
      </w:r>
    </w:p>
  </w:footnote>
  <w:footnote w:id="33">
    <w:p w:rsidR="00C92D31" w:rsidRPr="00880F72" w:rsidRDefault="00C92D31">
      <w:pPr>
        <w:pStyle w:val="FootnoteText"/>
        <w:rPr>
          <w:sz w:val="16"/>
          <w:szCs w:val="16"/>
        </w:rPr>
      </w:pPr>
      <w:r w:rsidRPr="00880F72">
        <w:rPr>
          <w:rStyle w:val="FootnoteReference"/>
          <w:sz w:val="16"/>
          <w:szCs w:val="16"/>
        </w:rPr>
        <w:footnoteRef/>
      </w:r>
      <w:r w:rsidRPr="00880F72">
        <w:rPr>
          <w:sz w:val="16"/>
          <w:szCs w:val="16"/>
        </w:rPr>
        <w:t xml:space="preserve"> </w:t>
      </w:r>
      <w:r>
        <w:rPr>
          <w:sz w:val="16"/>
          <w:szCs w:val="16"/>
        </w:rPr>
        <w:t xml:space="preserve">Ibid. </w:t>
      </w:r>
    </w:p>
  </w:footnote>
  <w:footnote w:id="34">
    <w:p w:rsidR="00C92D31" w:rsidRPr="008572C6" w:rsidRDefault="00C92D31" w:rsidP="00815DAB">
      <w:pPr>
        <w:pStyle w:val="FootnoteText"/>
        <w:rPr>
          <w:sz w:val="16"/>
          <w:szCs w:val="16"/>
        </w:rPr>
      </w:pPr>
      <w:r w:rsidRPr="008572C6">
        <w:rPr>
          <w:rStyle w:val="FootnoteReference"/>
          <w:sz w:val="16"/>
          <w:szCs w:val="16"/>
        </w:rPr>
        <w:footnoteRef/>
      </w:r>
      <w:r w:rsidRPr="008572C6">
        <w:rPr>
          <w:sz w:val="16"/>
          <w:szCs w:val="16"/>
        </w:rPr>
        <w:t xml:space="preserve"> Chief Minister’s submission, 18 July 2016</w:t>
      </w:r>
    </w:p>
  </w:footnote>
  <w:footnote w:id="35">
    <w:p w:rsidR="00C92D31" w:rsidRPr="004F4136" w:rsidRDefault="00C92D31" w:rsidP="00815DAB">
      <w:pPr>
        <w:pStyle w:val="FootnoteText"/>
        <w:rPr>
          <w:sz w:val="16"/>
          <w:szCs w:val="16"/>
        </w:rPr>
      </w:pPr>
      <w:r w:rsidRPr="004F4136">
        <w:rPr>
          <w:rStyle w:val="FootnoteReference"/>
          <w:sz w:val="16"/>
          <w:szCs w:val="16"/>
        </w:rPr>
        <w:footnoteRef/>
      </w:r>
      <w:r w:rsidRPr="004F4136">
        <w:rPr>
          <w:sz w:val="16"/>
          <w:szCs w:val="16"/>
        </w:rPr>
        <w:t xml:space="preserve"> </w:t>
      </w:r>
      <w:r>
        <w:rPr>
          <w:sz w:val="16"/>
          <w:szCs w:val="16"/>
        </w:rPr>
        <w:t>Proof Transcript of Evidence, Select Committee on Estimates 2016-2017, Thursday, 30 June 2016, p1077, Mrs Dunne.</w:t>
      </w:r>
    </w:p>
  </w:footnote>
  <w:footnote w:id="36">
    <w:p w:rsidR="00C92D31" w:rsidRPr="00CA3F55" w:rsidRDefault="00C92D31">
      <w:pPr>
        <w:pStyle w:val="FootnoteText"/>
        <w:rPr>
          <w:sz w:val="16"/>
          <w:szCs w:val="16"/>
        </w:rPr>
      </w:pPr>
      <w:r w:rsidRPr="00CA3F55">
        <w:rPr>
          <w:rStyle w:val="FootnoteReference"/>
          <w:sz w:val="16"/>
          <w:szCs w:val="16"/>
        </w:rPr>
        <w:footnoteRef/>
      </w:r>
      <w:r w:rsidRPr="00CA3F55">
        <w:rPr>
          <w:sz w:val="16"/>
          <w:szCs w:val="16"/>
        </w:rPr>
        <w:t xml:space="preserve"> </w:t>
      </w:r>
      <w:r>
        <w:rPr>
          <w:sz w:val="16"/>
          <w:szCs w:val="16"/>
        </w:rPr>
        <w:t>Tabled in the Assembly on 5 August 2014, a</w:t>
      </w:r>
      <w:r w:rsidRPr="00EB379B">
        <w:rPr>
          <w:sz w:val="16"/>
          <w:szCs w:val="16"/>
        </w:rPr>
        <w:t xml:space="preserve">vailable at: </w:t>
      </w:r>
      <w:hyperlink r:id="rId1" w:history="1">
        <w:r w:rsidRPr="00EB379B">
          <w:rPr>
            <w:rStyle w:val="Hyperlink"/>
            <w:sz w:val="16"/>
            <w:szCs w:val="16"/>
          </w:rPr>
          <w:t>http://www.parliament.act.gov.au/__data/assets/pdf_file/0004/698674/Budget-Protocols-for-the-Office-of-the-Legislative-Assembly.pdf</w:t>
        </w:r>
      </w:hyperlink>
      <w:r>
        <w:rPr>
          <w:i/>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1" o:spid="_x0000_s2071" type="#_x0000_t75" style="position:absolute;margin-left:0;margin-top:0;width:453.35pt;height:680.5pt;z-index:-251635712;mso-position-horizontal:center;mso-position-horizontal-relative:margin;mso-position-vertical:center;mso-position-vertical-relative:margin" o:allowincell="f">
          <v:imagedata r:id="rId1" o:title="LA_ReportCover"/>
          <w10:wrap anchorx="margin" anchory="margin"/>
        </v:shape>
      </w:pict>
    </w:r>
    <w:r>
      <w:fldChar w:fldCharType="begin"/>
    </w:r>
    <w:r>
      <w:instrText xml:space="preserve"> STYLEREF  "Committee name"  \* MERGEFORMAT </w:instrText>
    </w:r>
    <w:r>
      <w:fldChar w:fldCharType="separate"/>
    </w:r>
    <w:r>
      <w:rPr>
        <w:b/>
        <w:bCs/>
        <w:noProof/>
        <w:lang w:val="en-US"/>
      </w:rPr>
      <w:t>Error! No text of specified style in document.</w:t>
    </w:r>
    <w:r>
      <w:fldChar w:fldCharType="end"/>
    </w:r>
  </w:p>
  <w:p w:rsidR="00C92D31" w:rsidRDefault="00C92D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sidP="004E435E">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2" o:spid="_x0000_s2072" type="#_x0000_t75" style="position:absolute;margin-left:0;margin-top:0;width:453.35pt;height:680.5pt;z-index:-251634688;mso-position-horizontal:center;mso-position-horizontal-relative:margin;mso-position-vertical:center;mso-position-vertical-relative:margin" o:allowincell="f">
          <v:imagedata r:id="rId1" o:title="LA_ReportCover"/>
          <w10:wrap anchorx="margin" anchory="margin"/>
        </v:shape>
      </w:pict>
    </w:r>
    <w:r>
      <w:fldChar w:fldCharType="begin"/>
    </w:r>
    <w:r>
      <w:instrText xml:space="preserve"> STYLEREF  "Report title" </w:instrText>
    </w:r>
    <w:r>
      <w:fldChar w:fldCharType="separate"/>
    </w:r>
    <w:r>
      <w:rPr>
        <w:b/>
        <w:bCs/>
        <w:noProof/>
        <w:lang w:val="en-US"/>
      </w:rPr>
      <w:t>Error! No text of specified style in document.</w:t>
    </w:r>
    <w:r>
      <w:fldChar w:fldCharType="end"/>
    </w:r>
    <w:r>
      <w:rPr>
        <w:rStyle w:val="PageNumber"/>
        <w:rFonts w:eastAsiaTheme="minor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
      <w:rPr>
        <w:noProof/>
        <w:lang w:eastAsia="en-AU"/>
      </w:rPr>
      <w:pict>
        <v:shapetype id="_x0000_t202" coordsize="21600,21600" o:spt="202" path="m,l,21600r21600,l21600,xe">
          <v:stroke joinstyle="miter"/>
          <v:path gradientshapeok="t" o:connecttype="rect"/>
        </v:shapetype>
        <v:shape id="Text Box 2" o:spid="_x0000_s2082" type="#_x0000_t202" style="position:absolute;margin-left:79.7pt;margin-top:24.2pt;width:403.2pt;height:44pt;z-index:2516869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Uwus4CAAAOBgAADgAAAGRycy9lMm9Eb2MueG1srFRLb9swDL4P2H8QdE/9QNKmRp3CTZFhQNEW&#10;a4eeFVlKjOk1SUmcDf3vo2Q7Tbsd1mEXmyI/UeTHx8VlKwXaMusarUqcnaQYMUV13ahVib8+LkZT&#10;jJwnqiZCK1biPXP4cvbxw8XOFCzXay1qZhE4Ua7YmRKvvTdFkji6ZpK4E22YAiPXVhIPR7tKakt2&#10;4F2KJE/T02SnbW2spsw50F53RjyL/jln1N9x7phHosQQm49fG7/L8E1mF6RYWWLWDe3DIP8QhSSN&#10;gkcPrq6JJ2hjm99cyYZa7TT3J1TLRHPeUBZzgGyy9E02D2tiWMwFyHHmQJP7f27p7fbeoqYucY6R&#10;IhJK9Mhaj650i/LAzs64AkAPBmC+BTVUedA7UIakW25l+EM6COzA8/7AbXBGQTnJ8vR0DCYKtslk&#10;Ok0j+cnLbWOd/8S0REEosYXaRUrJ9sZ5iASgAyQ8pvSiESLWT6hXCgB2GhYboLtNCogExIAMMcXi&#10;/JxPzvLqbHI+Oq0m2WicpdNRVaX56HpRpVU6XszPx1fPEIUk2bjYQZsYaLJAEBCxEGTVlySY/64m&#10;ktBXHZxlSeydLj9wHPMcQk0C+x3LUfJ7wUICQn1hHKoWyQ6KOC9sLizaEuh0QilTPtYpkgHogOJA&#10;2Hsu9vhIWaTyPZc78oeXtfKHy7JR2sbSvgm7/jaEzDs8kHGUdxB9u2z7rlzqeg9NaXU31M7QRQOd&#10;c0OcvycWphiaDTaTv4MPF3pXYt1LGK21/fEnfcBDIcGKUSh3id33DbEMI/FZwdidZ+PQwz4extA8&#10;cLDHluWxRW3kXEM5MtiBhkYx4L0YRG61fIIFVoVXwUQUhbdL7Adx7rtdBQuQsqqKIFgchvgb9WBo&#10;cB2qE+bisX0i1vTD46GDbvWwP0jxZoY6bLipdLXxmjdxwALBHas98bB0Yj/2CzJsteNzRL2s8dkv&#10;AAAA//8DAFBLAwQUAAYACAAAACEAed/8SuAAAAAOAQAADwAAAGRycy9kb3ducmV2LnhtbEyPQU/D&#10;MAyF70j8h8iTuG3JKrqtpemEQFxBjIHELWu8tlrjVE22ln+Pd4Kbn/30/L1iO7lOXHAIrScNy4UC&#10;gVR521KtYf/xMt+ACNGQNZ0n1PCDAbbl7U1hcutHesfLLtaCQyjkRkMTY59LGaoGnQkL3yPx7egH&#10;ZyLLoZZ2MCOHu04mSq2kMy3xh8b0+NRgddqdnYbP1+P31716q59d2o9+UpJcJrW+m02PDyAiTvHP&#10;DFd8RoeSmQ7+TDaIjnW2StmqYZ6kmwzE1aJUwtOBd8u1ykCWhfxfo/wFAAD//wMAUEsBAi0AFAAG&#10;AAgAAAAhAOSZw8D7AAAA4QEAABMAAAAAAAAAAAAAAAAAAAAAAFtDb250ZW50X1R5cGVzXS54bWxQ&#10;SwECLQAUAAYACAAAACEAI7Jq4dcAAACUAQAACwAAAAAAAAAAAAAAAAAsAQAAX3JlbHMvLnJlbHNQ&#10;SwECLQAUAAYACAAAACEAZvUwus4CAAAOBgAADgAAAAAAAAAAAAAAAAAsAgAAZHJzL2Uyb0RvYy54&#10;bWxQSwECLQAUAAYACAAAACEAed/8SuAAAAAOAQAADwAAAAAAAAAAAAAAAAAmBQAAZHJzL2Rvd25y&#10;ZXYueG1sUEsFBgAAAAAEAAQA8wAAADMGAAAAAA==&#10;" filled="f" stroked="f">
          <v:textbox style="mso-next-textbox:#Text Box 2">
            <w:txbxContent>
              <w:p w:rsidR="00C92D31" w:rsidRPr="00EF3870" w:rsidRDefault="00C92D31" w:rsidP="00EF3870"/>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Pr="00194E0D" w:rsidRDefault="00C92D31" w:rsidP="00194E0D">
    <w:pPr>
      <w:pStyle w:val="Headereven"/>
    </w:pPr>
    <w:r>
      <w:pict>
        <v:shapetype id="_x0000_t32" coordsize="21600,21600" o:spt="32" o:oned="t" path="m,l21600,21600e" filled="f">
          <v:path arrowok="t" fillok="f" o:connecttype="none"/>
          <o:lock v:ext="edit" shapetype="t"/>
        </v:shapetype>
        <v:shape id="_x0000_s2065" type="#_x0000_t32" style="position:absolute;margin-left:1.65pt;margin-top:19pt;width:455.15pt;height:0;z-index:251672576" o:connectortype="straight" strokecolor="black [3213]" strokeweight="1pt">
          <v:shadow color="#868686"/>
        </v:shape>
      </w:pict>
    </w:r>
    <w:r>
      <w:t>Standing Committee on Administration and Procedure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Pr="00194E0D" w:rsidRDefault="00C92D31" w:rsidP="00194E0D">
    <w:pPr>
      <w:pStyle w:val="Headerodd"/>
    </w:pPr>
    <w:r>
      <w:pict>
        <v:shapetype id="_x0000_t32" coordsize="21600,21600" o:spt="32" o:oned="t" path="m,l21600,21600e" filled="f">
          <v:path arrowok="t" fillok="f" o:connecttype="none"/>
          <o:lock v:ext="edit" shapetype="t"/>
        </v:shapetype>
        <v:shape id="_x0000_s2067" type="#_x0000_t32" style="position:absolute;left:0;text-align:left;margin-left:1.65pt;margin-top:19pt;width:455.15pt;height:0;z-index:251674624" o:connectortype="straight" strokecolor="black [3213]" strokeweight="1pt">
          <v:shadow color="#868686"/>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31" w:rsidRDefault="00C92D31">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2073" type="#_x0000_t75" style="position:absolute;margin-left:0;margin-top:0;width:453.35pt;height:680.5pt;z-index:-251633664;mso-position-horizontal:center;mso-position-horizontal-relative:margin;mso-position-vertical:center;mso-position-vertical-relative:margin" o:allowincell="f">
          <v:imagedata r:id="rId1" o:title="LA_ReportCov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CEB44950"/>
    <w:lvl w:ilvl="0">
      <w:start w:val="1"/>
      <w:numFmt w:val="decimal"/>
      <w:lvlText w:val="(%1)"/>
      <w:lvlJc w:val="left"/>
      <w:pPr>
        <w:ind w:left="825" w:hanging="648"/>
      </w:pPr>
      <w:rPr>
        <w:rFonts w:asciiTheme="minorHAnsi" w:hAnsiTheme="minorHAnsi" w:cs="Times New Roman" w:hint="default"/>
        <w:b w:val="0"/>
        <w:bCs w:val="0"/>
        <w:spacing w:val="-1"/>
        <w:sz w:val="24"/>
        <w:szCs w:val="24"/>
      </w:rPr>
    </w:lvl>
    <w:lvl w:ilvl="1">
      <w:start w:val="1"/>
      <w:numFmt w:val="lowerLetter"/>
      <w:lvlText w:val="(%2)"/>
      <w:lvlJc w:val="left"/>
      <w:pPr>
        <w:ind w:left="1372" w:hanging="548"/>
      </w:pPr>
      <w:rPr>
        <w:rFonts w:ascii="Times New Roman" w:hAnsi="Times New Roman" w:cs="Times New Roman"/>
        <w:b w:val="0"/>
        <w:bCs w:val="0"/>
        <w:spacing w:val="-1"/>
        <w:sz w:val="24"/>
        <w:szCs w:val="24"/>
      </w:rPr>
    </w:lvl>
    <w:lvl w:ilvl="2">
      <w:start w:val="1"/>
      <w:numFmt w:val="lowerRoman"/>
      <w:lvlText w:val="(%3)"/>
      <w:lvlJc w:val="left"/>
      <w:pPr>
        <w:ind w:left="2064" w:hanging="557"/>
      </w:pPr>
      <w:rPr>
        <w:rFonts w:asciiTheme="minorHAnsi" w:hAnsiTheme="minorHAnsi" w:cs="Times New Roman" w:hint="default"/>
        <w:b w:val="0"/>
        <w:bCs w:val="0"/>
        <w:spacing w:val="-1"/>
        <w:sz w:val="24"/>
        <w:szCs w:val="24"/>
      </w:rPr>
    </w:lvl>
    <w:lvl w:ilvl="3">
      <w:numFmt w:val="bullet"/>
      <w:lvlText w:val="•"/>
      <w:lvlJc w:val="left"/>
      <w:pPr>
        <w:ind w:left="2884" w:hanging="557"/>
      </w:pPr>
    </w:lvl>
    <w:lvl w:ilvl="4">
      <w:numFmt w:val="bullet"/>
      <w:lvlText w:val="•"/>
      <w:lvlJc w:val="left"/>
      <w:pPr>
        <w:ind w:left="3704" w:hanging="557"/>
      </w:pPr>
    </w:lvl>
    <w:lvl w:ilvl="5">
      <w:numFmt w:val="bullet"/>
      <w:lvlText w:val="•"/>
      <w:lvlJc w:val="left"/>
      <w:pPr>
        <w:ind w:left="4524" w:hanging="557"/>
      </w:pPr>
    </w:lvl>
    <w:lvl w:ilvl="6">
      <w:numFmt w:val="bullet"/>
      <w:lvlText w:val="•"/>
      <w:lvlJc w:val="left"/>
      <w:pPr>
        <w:ind w:left="5345" w:hanging="557"/>
      </w:pPr>
    </w:lvl>
    <w:lvl w:ilvl="7">
      <w:numFmt w:val="bullet"/>
      <w:lvlText w:val="•"/>
      <w:lvlJc w:val="left"/>
      <w:pPr>
        <w:ind w:left="6165" w:hanging="557"/>
      </w:pPr>
    </w:lvl>
    <w:lvl w:ilvl="8">
      <w:numFmt w:val="bullet"/>
      <w:lvlText w:val="•"/>
      <w:lvlJc w:val="left"/>
      <w:pPr>
        <w:ind w:left="6985" w:hanging="557"/>
      </w:pPr>
    </w:lvl>
  </w:abstractNum>
  <w:abstractNum w:abstractNumId="1">
    <w:nsid w:val="069A002A"/>
    <w:multiLevelType w:val="multilevel"/>
    <w:tmpl w:val="93E43C60"/>
    <w:lvl w:ilvl="0">
      <w:start w:val="1"/>
      <w:numFmt w:val="decimal"/>
      <w:lvlText w:val="%1"/>
      <w:lvlJc w:val="left"/>
      <w:pPr>
        <w:ind w:left="432" w:hanging="432"/>
      </w:pPr>
    </w:lvl>
    <w:lvl w:ilvl="1">
      <w:start w:val="1"/>
      <w:numFmt w:val="low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457BC2"/>
    <w:multiLevelType w:val="hybridMultilevel"/>
    <w:tmpl w:val="7B780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627818"/>
    <w:multiLevelType w:val="hybridMultilevel"/>
    <w:tmpl w:val="07D837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B46350"/>
    <w:multiLevelType w:val="hybridMultilevel"/>
    <w:tmpl w:val="73088522"/>
    <w:lvl w:ilvl="0" w:tplc="C9DA26AA">
      <w:start w:val="1"/>
      <w:numFmt w:val="lowerLetter"/>
      <w:pStyle w:val="Bulletlevel2"/>
      <w:lvlText w:val="%1."/>
      <w:lvlJc w:val="left"/>
      <w:pPr>
        <w:ind w:left="720" w:hanging="360"/>
      </w:pPr>
      <w:rPr>
        <w:rFonts w:hint="default"/>
      </w:rPr>
    </w:lvl>
    <w:lvl w:ilvl="1" w:tplc="187CBC16">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F50705"/>
    <w:multiLevelType w:val="hybridMultilevel"/>
    <w:tmpl w:val="F056A7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BAC5C23"/>
    <w:multiLevelType w:val="multilevel"/>
    <w:tmpl w:val="93E43C60"/>
    <w:lvl w:ilvl="0">
      <w:start w:val="1"/>
      <w:numFmt w:val="decimal"/>
      <w:lvlText w:val="%1"/>
      <w:lvlJc w:val="left"/>
      <w:pPr>
        <w:ind w:left="432" w:hanging="432"/>
      </w:pPr>
    </w:lvl>
    <w:lvl w:ilvl="1">
      <w:start w:val="1"/>
      <w:numFmt w:val="low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C2E4544"/>
    <w:multiLevelType w:val="hybridMultilevel"/>
    <w:tmpl w:val="A4CE200E"/>
    <w:lvl w:ilvl="0" w:tplc="437E8904">
      <w:start w:val="1"/>
      <w:numFmt w:val="lowerLetter"/>
      <w:pStyle w:val="Bodycopybulletlevel1alpha"/>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526D8E"/>
    <w:multiLevelType w:val="hybridMultilevel"/>
    <w:tmpl w:val="D1786A2A"/>
    <w:lvl w:ilvl="0" w:tplc="4D449FE6">
      <w:start w:val="1"/>
      <w:numFmt w:val="decimal"/>
      <w:pStyle w:val="Bodycopynumbered2"/>
      <w:lvlText w:val="%1."/>
      <w:lvlJc w:val="left"/>
      <w:pPr>
        <w:ind w:left="720" w:hanging="360"/>
      </w:pPr>
    </w:lvl>
    <w:lvl w:ilvl="1" w:tplc="04DA9EF8" w:tentative="1">
      <w:start w:val="1"/>
      <w:numFmt w:val="lowerLetter"/>
      <w:lvlText w:val="%2."/>
      <w:lvlJc w:val="left"/>
      <w:pPr>
        <w:ind w:left="1440" w:hanging="360"/>
      </w:pPr>
    </w:lvl>
    <w:lvl w:ilvl="2" w:tplc="3FBC87FA" w:tentative="1">
      <w:start w:val="1"/>
      <w:numFmt w:val="lowerRoman"/>
      <w:lvlText w:val="%3."/>
      <w:lvlJc w:val="right"/>
      <w:pPr>
        <w:ind w:left="2160" w:hanging="180"/>
      </w:pPr>
    </w:lvl>
    <w:lvl w:ilvl="3" w:tplc="0FD47DB4" w:tentative="1">
      <w:start w:val="1"/>
      <w:numFmt w:val="decimal"/>
      <w:lvlText w:val="%4."/>
      <w:lvlJc w:val="left"/>
      <w:pPr>
        <w:ind w:left="2880" w:hanging="360"/>
      </w:pPr>
    </w:lvl>
    <w:lvl w:ilvl="4" w:tplc="0AA266A4" w:tentative="1">
      <w:start w:val="1"/>
      <w:numFmt w:val="lowerLetter"/>
      <w:lvlText w:val="%5."/>
      <w:lvlJc w:val="left"/>
      <w:pPr>
        <w:ind w:left="3600" w:hanging="360"/>
      </w:pPr>
    </w:lvl>
    <w:lvl w:ilvl="5" w:tplc="2ACEA468" w:tentative="1">
      <w:start w:val="1"/>
      <w:numFmt w:val="lowerRoman"/>
      <w:lvlText w:val="%6."/>
      <w:lvlJc w:val="right"/>
      <w:pPr>
        <w:ind w:left="4320" w:hanging="180"/>
      </w:pPr>
    </w:lvl>
    <w:lvl w:ilvl="6" w:tplc="A54E173C" w:tentative="1">
      <w:start w:val="1"/>
      <w:numFmt w:val="decimal"/>
      <w:lvlText w:val="%7."/>
      <w:lvlJc w:val="left"/>
      <w:pPr>
        <w:ind w:left="5040" w:hanging="360"/>
      </w:pPr>
    </w:lvl>
    <w:lvl w:ilvl="7" w:tplc="AA62F5B2" w:tentative="1">
      <w:start w:val="1"/>
      <w:numFmt w:val="lowerLetter"/>
      <w:lvlText w:val="%8."/>
      <w:lvlJc w:val="left"/>
      <w:pPr>
        <w:ind w:left="5760" w:hanging="360"/>
      </w:pPr>
    </w:lvl>
    <w:lvl w:ilvl="8" w:tplc="77F694E0" w:tentative="1">
      <w:start w:val="1"/>
      <w:numFmt w:val="lowerRoman"/>
      <w:lvlText w:val="%9."/>
      <w:lvlJc w:val="right"/>
      <w:pPr>
        <w:ind w:left="6480" w:hanging="180"/>
      </w:pPr>
    </w:lvl>
  </w:abstractNum>
  <w:abstractNum w:abstractNumId="10">
    <w:nsid w:val="267A5E70"/>
    <w:multiLevelType w:val="multilevel"/>
    <w:tmpl w:val="E342FCF2"/>
    <w:styleLink w:val="Style3"/>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cs="Courier New" w:hint="default"/>
      </w:rPr>
    </w:lvl>
    <w:lvl w:ilvl="1" w:tplc="466E58A0">
      <w:start w:val="1"/>
      <w:numFmt w:val="lowerLetter"/>
      <w:pStyle w:val="Bulletlistalpha"/>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2">
    <w:nsid w:val="45A872C7"/>
    <w:multiLevelType w:val="hybridMultilevel"/>
    <w:tmpl w:val="11E4A3B6"/>
    <w:lvl w:ilvl="0" w:tplc="0C09001B">
      <w:start w:val="1"/>
      <w:numFmt w:val="lowerRoman"/>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3">
    <w:nsid w:val="45E3696D"/>
    <w:multiLevelType w:val="hybridMultilevel"/>
    <w:tmpl w:val="7B7809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CC9719F"/>
    <w:multiLevelType w:val="hybridMultilevel"/>
    <w:tmpl w:val="7922AD4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nsid w:val="5AFC43F6"/>
    <w:multiLevelType w:val="hybridMultilevel"/>
    <w:tmpl w:val="085AB7B2"/>
    <w:lvl w:ilvl="0" w:tplc="0C090017">
      <w:start w:val="1"/>
      <w:numFmt w:val="lowerLetter"/>
      <w:lvlText w:val="%1)"/>
      <w:lvlJc w:val="left"/>
      <w:pPr>
        <w:ind w:left="1298" w:hanging="360"/>
      </w:p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16">
    <w:nsid w:val="5CEE5E15"/>
    <w:multiLevelType w:val="hybridMultilevel"/>
    <w:tmpl w:val="1FD696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5496197"/>
    <w:multiLevelType w:val="multilevel"/>
    <w:tmpl w:val="6F6A9636"/>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E034034"/>
    <w:multiLevelType w:val="multilevel"/>
    <w:tmpl w:val="A5ECBD6A"/>
    <w:styleLink w:val="Style2"/>
    <w:lvl w:ilvl="0">
      <w:start w:val="1"/>
      <w:numFmt w:val="decimal"/>
      <w:lvlText w:val="%1.1"/>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7%1.%21"/>
      <w:lvlJc w:val="left"/>
      <w:pPr>
        <w:ind w:left="1296" w:hanging="1296"/>
      </w:pPr>
      <w:rPr>
        <w:rFonts w:hint="default"/>
      </w:rPr>
    </w:lvl>
    <w:lvl w:ilvl="7">
      <w:start w:val="1"/>
      <w:numFmt w:val="decimal"/>
      <w:lvlText w:val="%8%1.%21.1"/>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6E19725E"/>
    <w:multiLevelType w:val="multilevel"/>
    <w:tmpl w:val="74AEA548"/>
    <w:lvl w:ilvl="0">
      <w:start w:val="1"/>
      <w:numFmt w:val="decimal"/>
      <w:pStyle w:val="Heading1"/>
      <w:lvlText w:val="%1."/>
      <w:lvlJc w:val="left"/>
      <w:pPr>
        <w:ind w:left="360" w:hanging="360"/>
      </w:pPr>
      <w:rPr>
        <w:rFonts w:hint="default"/>
      </w:rPr>
    </w:lvl>
    <w:lvl w:ilvl="1">
      <w:start w:val="1"/>
      <w:numFmt w:val="decimal"/>
      <w:pStyle w:val="Bodycopynumbered"/>
      <w:lvlText w:val="%1.%2."/>
      <w:lvlJc w:val="left"/>
      <w:pPr>
        <w:ind w:left="57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D1314E2"/>
    <w:multiLevelType w:val="hybridMultilevel"/>
    <w:tmpl w:val="4D88D650"/>
    <w:lvl w:ilvl="0" w:tplc="3894EE82">
      <w:start w:val="1"/>
      <w:numFmt w:val="bullet"/>
      <w:pStyle w:val="Bulletlistlevel1"/>
      <w:lvlText w:val=""/>
      <w:lvlJc w:val="left"/>
      <w:pPr>
        <w:ind w:left="720" w:hanging="360"/>
      </w:pPr>
      <w:rPr>
        <w:rFonts w:ascii="Symbol" w:hAnsi="Symbol" w:hint="default"/>
      </w:rPr>
    </w:lvl>
    <w:lvl w:ilvl="1" w:tplc="87D8F8F0" w:tentative="1">
      <w:start w:val="1"/>
      <w:numFmt w:val="lowerLetter"/>
      <w:lvlText w:val="%2."/>
      <w:lvlJc w:val="left"/>
      <w:pPr>
        <w:ind w:left="1440" w:hanging="360"/>
      </w:pPr>
    </w:lvl>
    <w:lvl w:ilvl="2" w:tplc="B1323CB8" w:tentative="1">
      <w:start w:val="1"/>
      <w:numFmt w:val="lowerRoman"/>
      <w:lvlText w:val="%3."/>
      <w:lvlJc w:val="right"/>
      <w:pPr>
        <w:ind w:left="2160" w:hanging="180"/>
      </w:pPr>
    </w:lvl>
    <w:lvl w:ilvl="3" w:tplc="CAE0A252" w:tentative="1">
      <w:start w:val="1"/>
      <w:numFmt w:val="decimal"/>
      <w:lvlText w:val="%4."/>
      <w:lvlJc w:val="left"/>
      <w:pPr>
        <w:ind w:left="2880" w:hanging="360"/>
      </w:pPr>
    </w:lvl>
    <w:lvl w:ilvl="4" w:tplc="A496904E" w:tentative="1">
      <w:start w:val="1"/>
      <w:numFmt w:val="lowerLetter"/>
      <w:lvlText w:val="%5."/>
      <w:lvlJc w:val="left"/>
      <w:pPr>
        <w:ind w:left="3600" w:hanging="360"/>
      </w:pPr>
    </w:lvl>
    <w:lvl w:ilvl="5" w:tplc="867CAE32" w:tentative="1">
      <w:start w:val="1"/>
      <w:numFmt w:val="lowerRoman"/>
      <w:lvlText w:val="%6."/>
      <w:lvlJc w:val="right"/>
      <w:pPr>
        <w:ind w:left="4320" w:hanging="180"/>
      </w:pPr>
    </w:lvl>
    <w:lvl w:ilvl="6" w:tplc="36B64AEE" w:tentative="1">
      <w:start w:val="1"/>
      <w:numFmt w:val="decimal"/>
      <w:lvlText w:val="%7."/>
      <w:lvlJc w:val="left"/>
      <w:pPr>
        <w:ind w:left="5040" w:hanging="360"/>
      </w:pPr>
    </w:lvl>
    <w:lvl w:ilvl="7" w:tplc="EB0E0432" w:tentative="1">
      <w:start w:val="1"/>
      <w:numFmt w:val="lowerLetter"/>
      <w:lvlText w:val="%8."/>
      <w:lvlJc w:val="left"/>
      <w:pPr>
        <w:ind w:left="5760" w:hanging="360"/>
      </w:pPr>
    </w:lvl>
    <w:lvl w:ilvl="8" w:tplc="4C4454F4" w:tentative="1">
      <w:start w:val="1"/>
      <w:numFmt w:val="lowerRoman"/>
      <w:lvlText w:val="%9."/>
      <w:lvlJc w:val="right"/>
      <w:pPr>
        <w:ind w:left="6480" w:hanging="180"/>
      </w:pPr>
    </w:lvl>
  </w:abstractNum>
  <w:num w:numId="1">
    <w:abstractNumId w:val="20"/>
  </w:num>
  <w:num w:numId="2">
    <w:abstractNumId w:val="11"/>
  </w:num>
  <w:num w:numId="3">
    <w:abstractNumId w:val="19"/>
  </w:num>
  <w:num w:numId="4">
    <w:abstractNumId w:val="2"/>
  </w:num>
  <w:num w:numId="5">
    <w:abstractNumId w:val="8"/>
  </w:num>
  <w:num w:numId="6">
    <w:abstractNumId w:val="1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10"/>
  </w:num>
  <w:num w:numId="11">
    <w:abstractNumId w:val="1"/>
  </w:num>
  <w:num w:numId="12">
    <w:abstractNumId w:val="5"/>
  </w:num>
  <w:num w:numId="13">
    <w:abstractNumId w:val="0"/>
  </w:num>
  <w:num w:numId="14">
    <w:abstractNumId w:val="12"/>
  </w:num>
  <w:num w:numId="15">
    <w:abstractNumId w:val="1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4"/>
  </w:num>
  <w:num w:numId="20">
    <w:abstractNumId w:val="13"/>
  </w:num>
  <w:num w:numId="21">
    <w:abstractNumId w:val="6"/>
  </w:num>
  <w:num w:numId="22">
    <w:abstractNumId w:val="16"/>
  </w:num>
  <w:num w:numId="2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AU" w:vendorID="64" w:dllVersion="131078" w:nlCheck="1" w:checkStyle="0"/>
  <w:activeWritingStyle w:appName="MSWord" w:lang="en-US" w:vendorID="64" w:dllVersion="131078" w:nlCheck="1" w:checkStyle="0"/>
  <w:attachedTemplate r:id="rId1"/>
  <w:stylePaneFormatFilter w:val="1021"/>
  <w:stylePaneSortMethod w:val="0000"/>
  <w:defaultTabStop w:val="720"/>
  <w:evenAndOddHeaders/>
  <w:drawingGridHorizontalSpacing w:val="110"/>
  <w:displayHorizontalDrawingGridEvery w:val="2"/>
  <w:characterSpacingControl w:val="doNotCompress"/>
  <w:hdrShapeDefaults>
    <o:shapedefaults v:ext="edit" spidmax="2084"/>
    <o:shapelayout v:ext="edit">
      <o:idmap v:ext="edit" data="2"/>
      <o:rules v:ext="edit">
        <o:r id="V:Rule3" type="connector" idref="#_x0000_s2065"/>
        <o:r id="V:Rule4" type="connector" idref="#_x0000_s2067"/>
      </o:rules>
    </o:shapelayout>
  </w:hdrShapeDefaults>
  <w:footnotePr>
    <w:footnote w:id="-1"/>
    <w:footnote w:id="0"/>
  </w:footnotePr>
  <w:endnotePr>
    <w:endnote w:id="-1"/>
    <w:endnote w:id="0"/>
  </w:endnotePr>
  <w:compat/>
  <w:rsids>
    <w:rsidRoot w:val="00974AE9"/>
    <w:rsid w:val="00000637"/>
    <w:rsid w:val="0000254A"/>
    <w:rsid w:val="0000279E"/>
    <w:rsid w:val="000031C1"/>
    <w:rsid w:val="000038C5"/>
    <w:rsid w:val="000070DF"/>
    <w:rsid w:val="000145A3"/>
    <w:rsid w:val="00015D0F"/>
    <w:rsid w:val="00020710"/>
    <w:rsid w:val="0002223E"/>
    <w:rsid w:val="00022C77"/>
    <w:rsid w:val="000258A6"/>
    <w:rsid w:val="000276B1"/>
    <w:rsid w:val="000303C7"/>
    <w:rsid w:val="00031B38"/>
    <w:rsid w:val="000412D9"/>
    <w:rsid w:val="00043A42"/>
    <w:rsid w:val="00045E76"/>
    <w:rsid w:val="000476D4"/>
    <w:rsid w:val="00051C43"/>
    <w:rsid w:val="00052683"/>
    <w:rsid w:val="000528C4"/>
    <w:rsid w:val="0005588B"/>
    <w:rsid w:val="00055A05"/>
    <w:rsid w:val="00055F42"/>
    <w:rsid w:val="000569B9"/>
    <w:rsid w:val="00060A2B"/>
    <w:rsid w:val="00061257"/>
    <w:rsid w:val="00061684"/>
    <w:rsid w:val="00064BA2"/>
    <w:rsid w:val="00065601"/>
    <w:rsid w:val="000660BB"/>
    <w:rsid w:val="00070D2C"/>
    <w:rsid w:val="000714AF"/>
    <w:rsid w:val="00072673"/>
    <w:rsid w:val="00073BCC"/>
    <w:rsid w:val="00073CF4"/>
    <w:rsid w:val="0007424C"/>
    <w:rsid w:val="000755F0"/>
    <w:rsid w:val="00075CAE"/>
    <w:rsid w:val="00076408"/>
    <w:rsid w:val="00076473"/>
    <w:rsid w:val="000819A5"/>
    <w:rsid w:val="0008300E"/>
    <w:rsid w:val="00085E19"/>
    <w:rsid w:val="0008687B"/>
    <w:rsid w:val="00090679"/>
    <w:rsid w:val="0009140D"/>
    <w:rsid w:val="00091908"/>
    <w:rsid w:val="00093763"/>
    <w:rsid w:val="00095190"/>
    <w:rsid w:val="0009736D"/>
    <w:rsid w:val="000A0116"/>
    <w:rsid w:val="000A097B"/>
    <w:rsid w:val="000A7604"/>
    <w:rsid w:val="000B2362"/>
    <w:rsid w:val="000B46F9"/>
    <w:rsid w:val="000B6FDF"/>
    <w:rsid w:val="000C0406"/>
    <w:rsid w:val="000C1624"/>
    <w:rsid w:val="000C54D2"/>
    <w:rsid w:val="000C72DD"/>
    <w:rsid w:val="000C7CA0"/>
    <w:rsid w:val="000C7DBB"/>
    <w:rsid w:val="000D058A"/>
    <w:rsid w:val="000D2BB5"/>
    <w:rsid w:val="000E310A"/>
    <w:rsid w:val="000E5ABA"/>
    <w:rsid w:val="000E5B77"/>
    <w:rsid w:val="000E65BA"/>
    <w:rsid w:val="000E6728"/>
    <w:rsid w:val="000E69D9"/>
    <w:rsid w:val="000E7380"/>
    <w:rsid w:val="000F3CDE"/>
    <w:rsid w:val="000F7608"/>
    <w:rsid w:val="001003DE"/>
    <w:rsid w:val="00103EB0"/>
    <w:rsid w:val="00104159"/>
    <w:rsid w:val="0010419C"/>
    <w:rsid w:val="00105631"/>
    <w:rsid w:val="0010652C"/>
    <w:rsid w:val="00111279"/>
    <w:rsid w:val="001134A8"/>
    <w:rsid w:val="0011478D"/>
    <w:rsid w:val="00121E79"/>
    <w:rsid w:val="00121F31"/>
    <w:rsid w:val="001222B3"/>
    <w:rsid w:val="001231A4"/>
    <w:rsid w:val="0012445A"/>
    <w:rsid w:val="00126323"/>
    <w:rsid w:val="0012732A"/>
    <w:rsid w:val="00130A13"/>
    <w:rsid w:val="001325F8"/>
    <w:rsid w:val="00134D1E"/>
    <w:rsid w:val="0013597F"/>
    <w:rsid w:val="00136DA4"/>
    <w:rsid w:val="001402A4"/>
    <w:rsid w:val="0014131E"/>
    <w:rsid w:val="00142470"/>
    <w:rsid w:val="00143D05"/>
    <w:rsid w:val="00145384"/>
    <w:rsid w:val="001456D1"/>
    <w:rsid w:val="00145D30"/>
    <w:rsid w:val="0014764D"/>
    <w:rsid w:val="00154739"/>
    <w:rsid w:val="001547BF"/>
    <w:rsid w:val="00161587"/>
    <w:rsid w:val="00164E82"/>
    <w:rsid w:val="001668F0"/>
    <w:rsid w:val="001679A3"/>
    <w:rsid w:val="00167F94"/>
    <w:rsid w:val="00170EC2"/>
    <w:rsid w:val="00172C1D"/>
    <w:rsid w:val="001757B3"/>
    <w:rsid w:val="00175C47"/>
    <w:rsid w:val="001766E4"/>
    <w:rsid w:val="0018039E"/>
    <w:rsid w:val="00183A36"/>
    <w:rsid w:val="00183E91"/>
    <w:rsid w:val="00184052"/>
    <w:rsid w:val="00184611"/>
    <w:rsid w:val="0018532C"/>
    <w:rsid w:val="00194A08"/>
    <w:rsid w:val="00194C46"/>
    <w:rsid w:val="00194E0D"/>
    <w:rsid w:val="0019675A"/>
    <w:rsid w:val="00196CB5"/>
    <w:rsid w:val="001A3768"/>
    <w:rsid w:val="001A49D4"/>
    <w:rsid w:val="001A7085"/>
    <w:rsid w:val="001B51E5"/>
    <w:rsid w:val="001B63DC"/>
    <w:rsid w:val="001C150A"/>
    <w:rsid w:val="001C2C26"/>
    <w:rsid w:val="001C41E4"/>
    <w:rsid w:val="001C4EB4"/>
    <w:rsid w:val="001C6C16"/>
    <w:rsid w:val="001D1B85"/>
    <w:rsid w:val="001D40C3"/>
    <w:rsid w:val="001D6949"/>
    <w:rsid w:val="001E436C"/>
    <w:rsid w:val="001E47F4"/>
    <w:rsid w:val="001E51B7"/>
    <w:rsid w:val="001F16A1"/>
    <w:rsid w:val="001F1990"/>
    <w:rsid w:val="001F21ED"/>
    <w:rsid w:val="001F4511"/>
    <w:rsid w:val="001F6521"/>
    <w:rsid w:val="0020205E"/>
    <w:rsid w:val="0020339C"/>
    <w:rsid w:val="0020593C"/>
    <w:rsid w:val="00211103"/>
    <w:rsid w:val="00211B6F"/>
    <w:rsid w:val="002124FB"/>
    <w:rsid w:val="00212681"/>
    <w:rsid w:val="00214301"/>
    <w:rsid w:val="00214552"/>
    <w:rsid w:val="00215844"/>
    <w:rsid w:val="00215B3C"/>
    <w:rsid w:val="00216038"/>
    <w:rsid w:val="00216D63"/>
    <w:rsid w:val="002179E9"/>
    <w:rsid w:val="00224F3A"/>
    <w:rsid w:val="00226D5A"/>
    <w:rsid w:val="00227899"/>
    <w:rsid w:val="002315F4"/>
    <w:rsid w:val="00232E88"/>
    <w:rsid w:val="00235AC2"/>
    <w:rsid w:val="00241D46"/>
    <w:rsid w:val="00243B48"/>
    <w:rsid w:val="00243DD5"/>
    <w:rsid w:val="00243F4B"/>
    <w:rsid w:val="00244182"/>
    <w:rsid w:val="0024598B"/>
    <w:rsid w:val="00245CDD"/>
    <w:rsid w:val="00245D6B"/>
    <w:rsid w:val="00246BBF"/>
    <w:rsid w:val="00251A21"/>
    <w:rsid w:val="00251FAF"/>
    <w:rsid w:val="00252251"/>
    <w:rsid w:val="00252AEE"/>
    <w:rsid w:val="00253CB9"/>
    <w:rsid w:val="0025423D"/>
    <w:rsid w:val="002549A5"/>
    <w:rsid w:val="00254C32"/>
    <w:rsid w:val="00255334"/>
    <w:rsid w:val="0026066D"/>
    <w:rsid w:val="0026157D"/>
    <w:rsid w:val="002634F2"/>
    <w:rsid w:val="00264DAB"/>
    <w:rsid w:val="002718C7"/>
    <w:rsid w:val="00271A25"/>
    <w:rsid w:val="00272564"/>
    <w:rsid w:val="00274259"/>
    <w:rsid w:val="00276682"/>
    <w:rsid w:val="0027771A"/>
    <w:rsid w:val="0028793B"/>
    <w:rsid w:val="00287F4B"/>
    <w:rsid w:val="00290010"/>
    <w:rsid w:val="0029132D"/>
    <w:rsid w:val="00293DB9"/>
    <w:rsid w:val="00293E1A"/>
    <w:rsid w:val="00295CCE"/>
    <w:rsid w:val="002962F8"/>
    <w:rsid w:val="002A0645"/>
    <w:rsid w:val="002A441A"/>
    <w:rsid w:val="002A601E"/>
    <w:rsid w:val="002A603B"/>
    <w:rsid w:val="002A6ADC"/>
    <w:rsid w:val="002B23D5"/>
    <w:rsid w:val="002B385F"/>
    <w:rsid w:val="002B5F63"/>
    <w:rsid w:val="002B61DC"/>
    <w:rsid w:val="002C5DC6"/>
    <w:rsid w:val="002C700F"/>
    <w:rsid w:val="002D1712"/>
    <w:rsid w:val="002D360B"/>
    <w:rsid w:val="002D3C38"/>
    <w:rsid w:val="002D40F9"/>
    <w:rsid w:val="002D51A4"/>
    <w:rsid w:val="002D53F5"/>
    <w:rsid w:val="002E19B8"/>
    <w:rsid w:val="002F09AC"/>
    <w:rsid w:val="002F1289"/>
    <w:rsid w:val="002F1AC3"/>
    <w:rsid w:val="00300F73"/>
    <w:rsid w:val="00303DEF"/>
    <w:rsid w:val="00303DFB"/>
    <w:rsid w:val="003053A1"/>
    <w:rsid w:val="003055AE"/>
    <w:rsid w:val="00306612"/>
    <w:rsid w:val="003115B2"/>
    <w:rsid w:val="00314F9F"/>
    <w:rsid w:val="00315F3A"/>
    <w:rsid w:val="00317F4C"/>
    <w:rsid w:val="0032426E"/>
    <w:rsid w:val="003302BC"/>
    <w:rsid w:val="003302C9"/>
    <w:rsid w:val="00330367"/>
    <w:rsid w:val="00340AB3"/>
    <w:rsid w:val="00341053"/>
    <w:rsid w:val="00341C20"/>
    <w:rsid w:val="003464E1"/>
    <w:rsid w:val="0034766B"/>
    <w:rsid w:val="00351260"/>
    <w:rsid w:val="00352F8A"/>
    <w:rsid w:val="00354C42"/>
    <w:rsid w:val="00355C72"/>
    <w:rsid w:val="003560C0"/>
    <w:rsid w:val="0035619D"/>
    <w:rsid w:val="00356E7A"/>
    <w:rsid w:val="00357DDF"/>
    <w:rsid w:val="00360040"/>
    <w:rsid w:val="0036320B"/>
    <w:rsid w:val="00367056"/>
    <w:rsid w:val="003678B6"/>
    <w:rsid w:val="00372553"/>
    <w:rsid w:val="00373858"/>
    <w:rsid w:val="00377077"/>
    <w:rsid w:val="0038052E"/>
    <w:rsid w:val="0038105E"/>
    <w:rsid w:val="00381A02"/>
    <w:rsid w:val="00381F49"/>
    <w:rsid w:val="00382C53"/>
    <w:rsid w:val="003830C2"/>
    <w:rsid w:val="00384500"/>
    <w:rsid w:val="00387117"/>
    <w:rsid w:val="00392AC2"/>
    <w:rsid w:val="00392B86"/>
    <w:rsid w:val="00393F3A"/>
    <w:rsid w:val="00395356"/>
    <w:rsid w:val="0039693C"/>
    <w:rsid w:val="003A03B8"/>
    <w:rsid w:val="003A1CD9"/>
    <w:rsid w:val="003A2328"/>
    <w:rsid w:val="003A2572"/>
    <w:rsid w:val="003A4297"/>
    <w:rsid w:val="003A6071"/>
    <w:rsid w:val="003A7E9C"/>
    <w:rsid w:val="003B0EDC"/>
    <w:rsid w:val="003B4079"/>
    <w:rsid w:val="003B48B7"/>
    <w:rsid w:val="003C0185"/>
    <w:rsid w:val="003C0540"/>
    <w:rsid w:val="003C11F6"/>
    <w:rsid w:val="003C32EA"/>
    <w:rsid w:val="003C6533"/>
    <w:rsid w:val="003D1BF2"/>
    <w:rsid w:val="003D7F3E"/>
    <w:rsid w:val="003E2E65"/>
    <w:rsid w:val="003E363C"/>
    <w:rsid w:val="003E6852"/>
    <w:rsid w:val="003E716D"/>
    <w:rsid w:val="003F0888"/>
    <w:rsid w:val="003F273C"/>
    <w:rsid w:val="003F2E4C"/>
    <w:rsid w:val="003F4176"/>
    <w:rsid w:val="003F58B7"/>
    <w:rsid w:val="003F65B8"/>
    <w:rsid w:val="004003FF"/>
    <w:rsid w:val="00400756"/>
    <w:rsid w:val="00400C1F"/>
    <w:rsid w:val="00402013"/>
    <w:rsid w:val="00402415"/>
    <w:rsid w:val="00403C04"/>
    <w:rsid w:val="00404BAD"/>
    <w:rsid w:val="004050C4"/>
    <w:rsid w:val="00406A73"/>
    <w:rsid w:val="0041093E"/>
    <w:rsid w:val="00411A5A"/>
    <w:rsid w:val="00413B9F"/>
    <w:rsid w:val="00414A82"/>
    <w:rsid w:val="00415940"/>
    <w:rsid w:val="00415E71"/>
    <w:rsid w:val="00420448"/>
    <w:rsid w:val="00426419"/>
    <w:rsid w:val="00426A98"/>
    <w:rsid w:val="00426E6D"/>
    <w:rsid w:val="004305E5"/>
    <w:rsid w:val="00431697"/>
    <w:rsid w:val="0043235D"/>
    <w:rsid w:val="004339EE"/>
    <w:rsid w:val="0043522E"/>
    <w:rsid w:val="00435388"/>
    <w:rsid w:val="004365FD"/>
    <w:rsid w:val="00440ADD"/>
    <w:rsid w:val="00442BEF"/>
    <w:rsid w:val="00444E6A"/>
    <w:rsid w:val="004505BD"/>
    <w:rsid w:val="00455448"/>
    <w:rsid w:val="00455A85"/>
    <w:rsid w:val="004563C3"/>
    <w:rsid w:val="00457B1D"/>
    <w:rsid w:val="00463610"/>
    <w:rsid w:val="004663B4"/>
    <w:rsid w:val="004708B9"/>
    <w:rsid w:val="004708EC"/>
    <w:rsid w:val="00475BF3"/>
    <w:rsid w:val="00480046"/>
    <w:rsid w:val="004814B2"/>
    <w:rsid w:val="00481D4E"/>
    <w:rsid w:val="00482E32"/>
    <w:rsid w:val="00486FF2"/>
    <w:rsid w:val="00487A4E"/>
    <w:rsid w:val="00487BD9"/>
    <w:rsid w:val="00487D00"/>
    <w:rsid w:val="00487EB7"/>
    <w:rsid w:val="00490117"/>
    <w:rsid w:val="00490EC5"/>
    <w:rsid w:val="00491719"/>
    <w:rsid w:val="004924CF"/>
    <w:rsid w:val="00492608"/>
    <w:rsid w:val="004940AB"/>
    <w:rsid w:val="00494B4A"/>
    <w:rsid w:val="00494E94"/>
    <w:rsid w:val="00495F0D"/>
    <w:rsid w:val="00495F2D"/>
    <w:rsid w:val="00496AC7"/>
    <w:rsid w:val="004A001F"/>
    <w:rsid w:val="004A0C7D"/>
    <w:rsid w:val="004B208A"/>
    <w:rsid w:val="004B2C72"/>
    <w:rsid w:val="004B35B9"/>
    <w:rsid w:val="004B608C"/>
    <w:rsid w:val="004C17A4"/>
    <w:rsid w:val="004C4FAC"/>
    <w:rsid w:val="004C536C"/>
    <w:rsid w:val="004C58CB"/>
    <w:rsid w:val="004C78A3"/>
    <w:rsid w:val="004C7AA5"/>
    <w:rsid w:val="004D045A"/>
    <w:rsid w:val="004D05A6"/>
    <w:rsid w:val="004D23C4"/>
    <w:rsid w:val="004D5120"/>
    <w:rsid w:val="004D5A38"/>
    <w:rsid w:val="004D63D1"/>
    <w:rsid w:val="004D6566"/>
    <w:rsid w:val="004D699F"/>
    <w:rsid w:val="004E093E"/>
    <w:rsid w:val="004E435E"/>
    <w:rsid w:val="004E4603"/>
    <w:rsid w:val="004E6135"/>
    <w:rsid w:val="004E7404"/>
    <w:rsid w:val="004F01A0"/>
    <w:rsid w:val="004F201A"/>
    <w:rsid w:val="004F3BD7"/>
    <w:rsid w:val="004F4136"/>
    <w:rsid w:val="0050064D"/>
    <w:rsid w:val="0050083F"/>
    <w:rsid w:val="0050088F"/>
    <w:rsid w:val="00502602"/>
    <w:rsid w:val="00502737"/>
    <w:rsid w:val="0050333D"/>
    <w:rsid w:val="00505857"/>
    <w:rsid w:val="005116D3"/>
    <w:rsid w:val="00514169"/>
    <w:rsid w:val="00520F5C"/>
    <w:rsid w:val="005230AF"/>
    <w:rsid w:val="00524EA0"/>
    <w:rsid w:val="0053087B"/>
    <w:rsid w:val="00534C79"/>
    <w:rsid w:val="00536183"/>
    <w:rsid w:val="005366E8"/>
    <w:rsid w:val="00541EE0"/>
    <w:rsid w:val="00543510"/>
    <w:rsid w:val="00543651"/>
    <w:rsid w:val="005454D7"/>
    <w:rsid w:val="005507D9"/>
    <w:rsid w:val="00553D3D"/>
    <w:rsid w:val="005565A9"/>
    <w:rsid w:val="00556FC4"/>
    <w:rsid w:val="0055721C"/>
    <w:rsid w:val="00560482"/>
    <w:rsid w:val="005630F4"/>
    <w:rsid w:val="005646DA"/>
    <w:rsid w:val="00565391"/>
    <w:rsid w:val="005703D0"/>
    <w:rsid w:val="00570B40"/>
    <w:rsid w:val="00572B5B"/>
    <w:rsid w:val="005772E7"/>
    <w:rsid w:val="00577A70"/>
    <w:rsid w:val="00582C32"/>
    <w:rsid w:val="005832AC"/>
    <w:rsid w:val="0058516B"/>
    <w:rsid w:val="00591743"/>
    <w:rsid w:val="00591DB3"/>
    <w:rsid w:val="00594588"/>
    <w:rsid w:val="005960A0"/>
    <w:rsid w:val="00597696"/>
    <w:rsid w:val="005A11C8"/>
    <w:rsid w:val="005A2A9F"/>
    <w:rsid w:val="005A30EF"/>
    <w:rsid w:val="005A57CF"/>
    <w:rsid w:val="005B0F5E"/>
    <w:rsid w:val="005B1CDB"/>
    <w:rsid w:val="005B260E"/>
    <w:rsid w:val="005B26C1"/>
    <w:rsid w:val="005B6CA0"/>
    <w:rsid w:val="005B7E5D"/>
    <w:rsid w:val="005C21EB"/>
    <w:rsid w:val="005C3863"/>
    <w:rsid w:val="005C408F"/>
    <w:rsid w:val="005D09CB"/>
    <w:rsid w:val="005D0E61"/>
    <w:rsid w:val="005D4FEA"/>
    <w:rsid w:val="005D6B6E"/>
    <w:rsid w:val="005E2F30"/>
    <w:rsid w:val="005E34B9"/>
    <w:rsid w:val="005E67E9"/>
    <w:rsid w:val="005E7857"/>
    <w:rsid w:val="005F19CD"/>
    <w:rsid w:val="005F1CC6"/>
    <w:rsid w:val="005F1F8E"/>
    <w:rsid w:val="005F2AF8"/>
    <w:rsid w:val="005F2E98"/>
    <w:rsid w:val="005F2F07"/>
    <w:rsid w:val="005F5F8A"/>
    <w:rsid w:val="005F6F96"/>
    <w:rsid w:val="005F7C63"/>
    <w:rsid w:val="00600180"/>
    <w:rsid w:val="00601AE8"/>
    <w:rsid w:val="00601C50"/>
    <w:rsid w:val="0060269F"/>
    <w:rsid w:val="0060443A"/>
    <w:rsid w:val="0060465A"/>
    <w:rsid w:val="00606F9F"/>
    <w:rsid w:val="006079FB"/>
    <w:rsid w:val="00610E9E"/>
    <w:rsid w:val="00611DE1"/>
    <w:rsid w:val="00615D00"/>
    <w:rsid w:val="00617A11"/>
    <w:rsid w:val="00620136"/>
    <w:rsid w:val="0062231E"/>
    <w:rsid w:val="006275F0"/>
    <w:rsid w:val="00627E77"/>
    <w:rsid w:val="00631314"/>
    <w:rsid w:val="00631890"/>
    <w:rsid w:val="006336A4"/>
    <w:rsid w:val="00635D05"/>
    <w:rsid w:val="006377EA"/>
    <w:rsid w:val="006426E5"/>
    <w:rsid w:val="00642AD0"/>
    <w:rsid w:val="00642C33"/>
    <w:rsid w:val="0064415C"/>
    <w:rsid w:val="00644C0A"/>
    <w:rsid w:val="00646FE8"/>
    <w:rsid w:val="00651E90"/>
    <w:rsid w:val="00654ACA"/>
    <w:rsid w:val="00661887"/>
    <w:rsid w:val="006632B7"/>
    <w:rsid w:val="00663483"/>
    <w:rsid w:val="006651C8"/>
    <w:rsid w:val="006654C3"/>
    <w:rsid w:val="0066662C"/>
    <w:rsid w:val="00667D77"/>
    <w:rsid w:val="00670C2D"/>
    <w:rsid w:val="006710EE"/>
    <w:rsid w:val="00671A70"/>
    <w:rsid w:val="006738EE"/>
    <w:rsid w:val="00681BEB"/>
    <w:rsid w:val="00684C3B"/>
    <w:rsid w:val="0068546C"/>
    <w:rsid w:val="006877B1"/>
    <w:rsid w:val="00687906"/>
    <w:rsid w:val="00690A93"/>
    <w:rsid w:val="006946B9"/>
    <w:rsid w:val="0069500A"/>
    <w:rsid w:val="00696BA9"/>
    <w:rsid w:val="006A0247"/>
    <w:rsid w:val="006A0980"/>
    <w:rsid w:val="006A0CAC"/>
    <w:rsid w:val="006A39FE"/>
    <w:rsid w:val="006A6574"/>
    <w:rsid w:val="006A747A"/>
    <w:rsid w:val="006B17A0"/>
    <w:rsid w:val="006B19F0"/>
    <w:rsid w:val="006B1D29"/>
    <w:rsid w:val="006B2D5F"/>
    <w:rsid w:val="006B6369"/>
    <w:rsid w:val="006B640D"/>
    <w:rsid w:val="006B64FB"/>
    <w:rsid w:val="006C2C4C"/>
    <w:rsid w:val="006C3AC1"/>
    <w:rsid w:val="006C3F95"/>
    <w:rsid w:val="006C4222"/>
    <w:rsid w:val="006C4278"/>
    <w:rsid w:val="006D47FE"/>
    <w:rsid w:val="006D5794"/>
    <w:rsid w:val="006D58A2"/>
    <w:rsid w:val="006D5ACB"/>
    <w:rsid w:val="006D6CA4"/>
    <w:rsid w:val="006E0168"/>
    <w:rsid w:val="006E1125"/>
    <w:rsid w:val="006E21DA"/>
    <w:rsid w:val="006E2B95"/>
    <w:rsid w:val="006E3368"/>
    <w:rsid w:val="006E7045"/>
    <w:rsid w:val="006E7CF1"/>
    <w:rsid w:val="006E7EA1"/>
    <w:rsid w:val="006F2F5A"/>
    <w:rsid w:val="006F5ED9"/>
    <w:rsid w:val="00703AF9"/>
    <w:rsid w:val="00704C08"/>
    <w:rsid w:val="007051A4"/>
    <w:rsid w:val="00707759"/>
    <w:rsid w:val="007105C0"/>
    <w:rsid w:val="0071137B"/>
    <w:rsid w:val="007124A7"/>
    <w:rsid w:val="007161B9"/>
    <w:rsid w:val="00720BBA"/>
    <w:rsid w:val="00722210"/>
    <w:rsid w:val="00723ADD"/>
    <w:rsid w:val="00723BB9"/>
    <w:rsid w:val="00723D49"/>
    <w:rsid w:val="007245F3"/>
    <w:rsid w:val="0072558A"/>
    <w:rsid w:val="00730092"/>
    <w:rsid w:val="00736C37"/>
    <w:rsid w:val="0073708E"/>
    <w:rsid w:val="00740F2B"/>
    <w:rsid w:val="00741909"/>
    <w:rsid w:val="00742F33"/>
    <w:rsid w:val="007462EB"/>
    <w:rsid w:val="00746F36"/>
    <w:rsid w:val="00751344"/>
    <w:rsid w:val="00753A4E"/>
    <w:rsid w:val="0075589A"/>
    <w:rsid w:val="00756A09"/>
    <w:rsid w:val="00760755"/>
    <w:rsid w:val="00764DB0"/>
    <w:rsid w:val="0076624D"/>
    <w:rsid w:val="0076647F"/>
    <w:rsid w:val="00766AFC"/>
    <w:rsid w:val="00767209"/>
    <w:rsid w:val="007713A8"/>
    <w:rsid w:val="00773DE8"/>
    <w:rsid w:val="00773FD0"/>
    <w:rsid w:val="007750E9"/>
    <w:rsid w:val="00776B9D"/>
    <w:rsid w:val="00784554"/>
    <w:rsid w:val="00784DC0"/>
    <w:rsid w:val="00790F9D"/>
    <w:rsid w:val="00793486"/>
    <w:rsid w:val="007A16F6"/>
    <w:rsid w:val="007A36B3"/>
    <w:rsid w:val="007A4ECE"/>
    <w:rsid w:val="007B0187"/>
    <w:rsid w:val="007B0B73"/>
    <w:rsid w:val="007B13A2"/>
    <w:rsid w:val="007B1CD7"/>
    <w:rsid w:val="007B33E7"/>
    <w:rsid w:val="007B3C6C"/>
    <w:rsid w:val="007B5E94"/>
    <w:rsid w:val="007B6208"/>
    <w:rsid w:val="007C55CB"/>
    <w:rsid w:val="007C5D83"/>
    <w:rsid w:val="007D0C34"/>
    <w:rsid w:val="007D0C93"/>
    <w:rsid w:val="007D1EDE"/>
    <w:rsid w:val="007D3B6E"/>
    <w:rsid w:val="007D5B23"/>
    <w:rsid w:val="007E0941"/>
    <w:rsid w:val="007E0C6C"/>
    <w:rsid w:val="007E11C3"/>
    <w:rsid w:val="007E1C33"/>
    <w:rsid w:val="007E65A9"/>
    <w:rsid w:val="007E7580"/>
    <w:rsid w:val="007F1F13"/>
    <w:rsid w:val="007F2262"/>
    <w:rsid w:val="007F5AFC"/>
    <w:rsid w:val="007F6666"/>
    <w:rsid w:val="007F6B27"/>
    <w:rsid w:val="007F70FC"/>
    <w:rsid w:val="008026F1"/>
    <w:rsid w:val="00802F42"/>
    <w:rsid w:val="0080596C"/>
    <w:rsid w:val="0080632C"/>
    <w:rsid w:val="00806816"/>
    <w:rsid w:val="008072D7"/>
    <w:rsid w:val="00810023"/>
    <w:rsid w:val="00810298"/>
    <w:rsid w:val="008106F5"/>
    <w:rsid w:val="00812014"/>
    <w:rsid w:val="0081272E"/>
    <w:rsid w:val="00812DAA"/>
    <w:rsid w:val="00813BDB"/>
    <w:rsid w:val="00813C30"/>
    <w:rsid w:val="00815318"/>
    <w:rsid w:val="008155C7"/>
    <w:rsid w:val="00815DAB"/>
    <w:rsid w:val="008164B2"/>
    <w:rsid w:val="00817264"/>
    <w:rsid w:val="0081781B"/>
    <w:rsid w:val="008210F3"/>
    <w:rsid w:val="00821638"/>
    <w:rsid w:val="008247D8"/>
    <w:rsid w:val="00826026"/>
    <w:rsid w:val="008266EE"/>
    <w:rsid w:val="00826B7D"/>
    <w:rsid w:val="00831F1B"/>
    <w:rsid w:val="00832789"/>
    <w:rsid w:val="00833C55"/>
    <w:rsid w:val="00840796"/>
    <w:rsid w:val="00843595"/>
    <w:rsid w:val="008436CF"/>
    <w:rsid w:val="0084488B"/>
    <w:rsid w:val="0084635B"/>
    <w:rsid w:val="008504A7"/>
    <w:rsid w:val="00850FAD"/>
    <w:rsid w:val="00852AAB"/>
    <w:rsid w:val="00852E60"/>
    <w:rsid w:val="008545FA"/>
    <w:rsid w:val="008572C6"/>
    <w:rsid w:val="00857EC3"/>
    <w:rsid w:val="00860B31"/>
    <w:rsid w:val="00863110"/>
    <w:rsid w:val="008667B1"/>
    <w:rsid w:val="00867CC4"/>
    <w:rsid w:val="00867EBC"/>
    <w:rsid w:val="00871F98"/>
    <w:rsid w:val="00873300"/>
    <w:rsid w:val="00877BA4"/>
    <w:rsid w:val="00880F72"/>
    <w:rsid w:val="00883E87"/>
    <w:rsid w:val="00886A1F"/>
    <w:rsid w:val="00886A8A"/>
    <w:rsid w:val="00890482"/>
    <w:rsid w:val="00890F64"/>
    <w:rsid w:val="008933ED"/>
    <w:rsid w:val="008966B5"/>
    <w:rsid w:val="008A0A48"/>
    <w:rsid w:val="008A0B06"/>
    <w:rsid w:val="008A0D75"/>
    <w:rsid w:val="008A0DE5"/>
    <w:rsid w:val="008A17B2"/>
    <w:rsid w:val="008A5BF5"/>
    <w:rsid w:val="008A63B3"/>
    <w:rsid w:val="008A64B5"/>
    <w:rsid w:val="008B0674"/>
    <w:rsid w:val="008B2389"/>
    <w:rsid w:val="008B2DE1"/>
    <w:rsid w:val="008B35CC"/>
    <w:rsid w:val="008B571D"/>
    <w:rsid w:val="008B7096"/>
    <w:rsid w:val="008C01A9"/>
    <w:rsid w:val="008C265F"/>
    <w:rsid w:val="008C2BD5"/>
    <w:rsid w:val="008C3826"/>
    <w:rsid w:val="008C3A48"/>
    <w:rsid w:val="008C3ABD"/>
    <w:rsid w:val="008C40FB"/>
    <w:rsid w:val="008C4F0D"/>
    <w:rsid w:val="008C6CC8"/>
    <w:rsid w:val="008C6D1A"/>
    <w:rsid w:val="008C7E25"/>
    <w:rsid w:val="008C7F53"/>
    <w:rsid w:val="008D4B0F"/>
    <w:rsid w:val="008D52F9"/>
    <w:rsid w:val="008D53D6"/>
    <w:rsid w:val="008E0E29"/>
    <w:rsid w:val="008E3057"/>
    <w:rsid w:val="008E3193"/>
    <w:rsid w:val="008E55D8"/>
    <w:rsid w:val="008E58F7"/>
    <w:rsid w:val="008F310D"/>
    <w:rsid w:val="008F4A24"/>
    <w:rsid w:val="00901482"/>
    <w:rsid w:val="0090493C"/>
    <w:rsid w:val="00907D9B"/>
    <w:rsid w:val="00911267"/>
    <w:rsid w:val="00912B06"/>
    <w:rsid w:val="0091372A"/>
    <w:rsid w:val="00914AB3"/>
    <w:rsid w:val="00915540"/>
    <w:rsid w:val="00915DA4"/>
    <w:rsid w:val="0091695D"/>
    <w:rsid w:val="00921FA8"/>
    <w:rsid w:val="00922FE6"/>
    <w:rsid w:val="0092680E"/>
    <w:rsid w:val="009268FC"/>
    <w:rsid w:val="00927990"/>
    <w:rsid w:val="009300D5"/>
    <w:rsid w:val="009302CD"/>
    <w:rsid w:val="00936276"/>
    <w:rsid w:val="00941AB3"/>
    <w:rsid w:val="00943283"/>
    <w:rsid w:val="00945C08"/>
    <w:rsid w:val="00946A44"/>
    <w:rsid w:val="00951E5E"/>
    <w:rsid w:val="00952C37"/>
    <w:rsid w:val="0095313B"/>
    <w:rsid w:val="00955FE4"/>
    <w:rsid w:val="0095723B"/>
    <w:rsid w:val="00962359"/>
    <w:rsid w:val="009630C3"/>
    <w:rsid w:val="009660D8"/>
    <w:rsid w:val="00967B1A"/>
    <w:rsid w:val="00970EED"/>
    <w:rsid w:val="00974AE9"/>
    <w:rsid w:val="009842F8"/>
    <w:rsid w:val="009859DE"/>
    <w:rsid w:val="0098640B"/>
    <w:rsid w:val="00986909"/>
    <w:rsid w:val="009927DF"/>
    <w:rsid w:val="00992F62"/>
    <w:rsid w:val="00993D1A"/>
    <w:rsid w:val="00997783"/>
    <w:rsid w:val="009A0939"/>
    <w:rsid w:val="009A0C0B"/>
    <w:rsid w:val="009A7320"/>
    <w:rsid w:val="009B5084"/>
    <w:rsid w:val="009B6056"/>
    <w:rsid w:val="009C2E31"/>
    <w:rsid w:val="009D09FE"/>
    <w:rsid w:val="009D2E77"/>
    <w:rsid w:val="009D499C"/>
    <w:rsid w:val="009D79AE"/>
    <w:rsid w:val="009E2415"/>
    <w:rsid w:val="009E2CA7"/>
    <w:rsid w:val="009E376A"/>
    <w:rsid w:val="009E622C"/>
    <w:rsid w:val="009E6C0C"/>
    <w:rsid w:val="009E6ED5"/>
    <w:rsid w:val="009F2FD3"/>
    <w:rsid w:val="009F5282"/>
    <w:rsid w:val="009F6495"/>
    <w:rsid w:val="009F6546"/>
    <w:rsid w:val="009F7233"/>
    <w:rsid w:val="009F7261"/>
    <w:rsid w:val="00A012DC"/>
    <w:rsid w:val="00A024D4"/>
    <w:rsid w:val="00A02A13"/>
    <w:rsid w:val="00A03A12"/>
    <w:rsid w:val="00A05663"/>
    <w:rsid w:val="00A05EF2"/>
    <w:rsid w:val="00A06655"/>
    <w:rsid w:val="00A10B19"/>
    <w:rsid w:val="00A17FDB"/>
    <w:rsid w:val="00A23BC4"/>
    <w:rsid w:val="00A240AA"/>
    <w:rsid w:val="00A31D52"/>
    <w:rsid w:val="00A34B42"/>
    <w:rsid w:val="00A368BE"/>
    <w:rsid w:val="00A4177C"/>
    <w:rsid w:val="00A4205A"/>
    <w:rsid w:val="00A421F2"/>
    <w:rsid w:val="00A4404C"/>
    <w:rsid w:val="00A46920"/>
    <w:rsid w:val="00A51F49"/>
    <w:rsid w:val="00A56373"/>
    <w:rsid w:val="00A60B55"/>
    <w:rsid w:val="00A61DF6"/>
    <w:rsid w:val="00A628A0"/>
    <w:rsid w:val="00A63F13"/>
    <w:rsid w:val="00A6441A"/>
    <w:rsid w:val="00A64D0A"/>
    <w:rsid w:val="00A674C1"/>
    <w:rsid w:val="00A7155D"/>
    <w:rsid w:val="00A72415"/>
    <w:rsid w:val="00A745C6"/>
    <w:rsid w:val="00A75355"/>
    <w:rsid w:val="00A77073"/>
    <w:rsid w:val="00A81287"/>
    <w:rsid w:val="00A84E07"/>
    <w:rsid w:val="00A85BB5"/>
    <w:rsid w:val="00A85C19"/>
    <w:rsid w:val="00A86877"/>
    <w:rsid w:val="00A87A58"/>
    <w:rsid w:val="00A9027F"/>
    <w:rsid w:val="00A91175"/>
    <w:rsid w:val="00A952EE"/>
    <w:rsid w:val="00AA0826"/>
    <w:rsid w:val="00AA1A8E"/>
    <w:rsid w:val="00AA26F9"/>
    <w:rsid w:val="00AA3F81"/>
    <w:rsid w:val="00AA50FD"/>
    <w:rsid w:val="00AA516A"/>
    <w:rsid w:val="00AA6B53"/>
    <w:rsid w:val="00AA7168"/>
    <w:rsid w:val="00AB4429"/>
    <w:rsid w:val="00AB6220"/>
    <w:rsid w:val="00AB65AA"/>
    <w:rsid w:val="00AB70D1"/>
    <w:rsid w:val="00AB79A3"/>
    <w:rsid w:val="00AC2136"/>
    <w:rsid w:val="00AC39A8"/>
    <w:rsid w:val="00AC4054"/>
    <w:rsid w:val="00AC4AE3"/>
    <w:rsid w:val="00AC740E"/>
    <w:rsid w:val="00AC7A67"/>
    <w:rsid w:val="00AC7AAC"/>
    <w:rsid w:val="00AD1656"/>
    <w:rsid w:val="00AD1BCC"/>
    <w:rsid w:val="00AD2B8C"/>
    <w:rsid w:val="00AD5DED"/>
    <w:rsid w:val="00AD6B63"/>
    <w:rsid w:val="00AD7686"/>
    <w:rsid w:val="00AE2137"/>
    <w:rsid w:val="00AE518E"/>
    <w:rsid w:val="00AE6D2C"/>
    <w:rsid w:val="00AE7396"/>
    <w:rsid w:val="00AF0858"/>
    <w:rsid w:val="00AF1A1A"/>
    <w:rsid w:val="00AF1F5F"/>
    <w:rsid w:val="00AF7060"/>
    <w:rsid w:val="00AF734F"/>
    <w:rsid w:val="00B00122"/>
    <w:rsid w:val="00B014AC"/>
    <w:rsid w:val="00B01C70"/>
    <w:rsid w:val="00B01EA5"/>
    <w:rsid w:val="00B026C9"/>
    <w:rsid w:val="00B04E87"/>
    <w:rsid w:val="00B062E4"/>
    <w:rsid w:val="00B066C8"/>
    <w:rsid w:val="00B0783C"/>
    <w:rsid w:val="00B11CD4"/>
    <w:rsid w:val="00B1215E"/>
    <w:rsid w:val="00B14A09"/>
    <w:rsid w:val="00B2378E"/>
    <w:rsid w:val="00B23E57"/>
    <w:rsid w:val="00B246A5"/>
    <w:rsid w:val="00B30767"/>
    <w:rsid w:val="00B32643"/>
    <w:rsid w:val="00B34A04"/>
    <w:rsid w:val="00B413F4"/>
    <w:rsid w:val="00B420D9"/>
    <w:rsid w:val="00B474A2"/>
    <w:rsid w:val="00B47720"/>
    <w:rsid w:val="00B47C82"/>
    <w:rsid w:val="00B500AB"/>
    <w:rsid w:val="00B51BEE"/>
    <w:rsid w:val="00B5220B"/>
    <w:rsid w:val="00B539FF"/>
    <w:rsid w:val="00B5501A"/>
    <w:rsid w:val="00B5735F"/>
    <w:rsid w:val="00B576FC"/>
    <w:rsid w:val="00B6316D"/>
    <w:rsid w:val="00B64A35"/>
    <w:rsid w:val="00B6797C"/>
    <w:rsid w:val="00B77E8A"/>
    <w:rsid w:val="00B840B5"/>
    <w:rsid w:val="00B904F1"/>
    <w:rsid w:val="00B9055B"/>
    <w:rsid w:val="00B9165B"/>
    <w:rsid w:val="00B9307F"/>
    <w:rsid w:val="00B94012"/>
    <w:rsid w:val="00B9427E"/>
    <w:rsid w:val="00B9482F"/>
    <w:rsid w:val="00B95CCB"/>
    <w:rsid w:val="00B96B09"/>
    <w:rsid w:val="00B96B58"/>
    <w:rsid w:val="00BA02A6"/>
    <w:rsid w:val="00BA16EC"/>
    <w:rsid w:val="00BA38B1"/>
    <w:rsid w:val="00BA598B"/>
    <w:rsid w:val="00BA5CCD"/>
    <w:rsid w:val="00BB07D6"/>
    <w:rsid w:val="00BB2353"/>
    <w:rsid w:val="00BB7708"/>
    <w:rsid w:val="00BB7773"/>
    <w:rsid w:val="00BC15C3"/>
    <w:rsid w:val="00BC1F59"/>
    <w:rsid w:val="00BC3221"/>
    <w:rsid w:val="00BC3EE7"/>
    <w:rsid w:val="00BC4322"/>
    <w:rsid w:val="00BC44FC"/>
    <w:rsid w:val="00BC7D16"/>
    <w:rsid w:val="00BD05B9"/>
    <w:rsid w:val="00BD092F"/>
    <w:rsid w:val="00BD1919"/>
    <w:rsid w:val="00BD5F3A"/>
    <w:rsid w:val="00BD6A97"/>
    <w:rsid w:val="00BE1073"/>
    <w:rsid w:val="00BE22B7"/>
    <w:rsid w:val="00BE2B62"/>
    <w:rsid w:val="00BE704E"/>
    <w:rsid w:val="00BE7630"/>
    <w:rsid w:val="00BE7880"/>
    <w:rsid w:val="00BF05A8"/>
    <w:rsid w:val="00BF3FCC"/>
    <w:rsid w:val="00BF439A"/>
    <w:rsid w:val="00BF4B62"/>
    <w:rsid w:val="00BF4EF3"/>
    <w:rsid w:val="00BF5FBF"/>
    <w:rsid w:val="00BF6D2B"/>
    <w:rsid w:val="00C00BED"/>
    <w:rsid w:val="00C01B66"/>
    <w:rsid w:val="00C0309A"/>
    <w:rsid w:val="00C044CF"/>
    <w:rsid w:val="00C06093"/>
    <w:rsid w:val="00C112BF"/>
    <w:rsid w:val="00C12F19"/>
    <w:rsid w:val="00C131D1"/>
    <w:rsid w:val="00C13B75"/>
    <w:rsid w:val="00C16E30"/>
    <w:rsid w:val="00C244F3"/>
    <w:rsid w:val="00C24E8A"/>
    <w:rsid w:val="00C25340"/>
    <w:rsid w:val="00C272F9"/>
    <w:rsid w:val="00C2748E"/>
    <w:rsid w:val="00C30865"/>
    <w:rsid w:val="00C30CDC"/>
    <w:rsid w:val="00C32177"/>
    <w:rsid w:val="00C3289E"/>
    <w:rsid w:val="00C33638"/>
    <w:rsid w:val="00C3586D"/>
    <w:rsid w:val="00C37103"/>
    <w:rsid w:val="00C41A96"/>
    <w:rsid w:val="00C41FB8"/>
    <w:rsid w:val="00C43CFB"/>
    <w:rsid w:val="00C45562"/>
    <w:rsid w:val="00C62438"/>
    <w:rsid w:val="00C629AE"/>
    <w:rsid w:val="00C65ADD"/>
    <w:rsid w:val="00C65F45"/>
    <w:rsid w:val="00C6691E"/>
    <w:rsid w:val="00C669AE"/>
    <w:rsid w:val="00C70C13"/>
    <w:rsid w:val="00C712C9"/>
    <w:rsid w:val="00C71344"/>
    <w:rsid w:val="00C748FA"/>
    <w:rsid w:val="00C74A57"/>
    <w:rsid w:val="00C74D3B"/>
    <w:rsid w:val="00C7583F"/>
    <w:rsid w:val="00C77BCF"/>
    <w:rsid w:val="00C77C8E"/>
    <w:rsid w:val="00C83DB3"/>
    <w:rsid w:val="00C85305"/>
    <w:rsid w:val="00C86A8F"/>
    <w:rsid w:val="00C870E3"/>
    <w:rsid w:val="00C92D31"/>
    <w:rsid w:val="00C92D63"/>
    <w:rsid w:val="00CA1B38"/>
    <w:rsid w:val="00CA2785"/>
    <w:rsid w:val="00CA363C"/>
    <w:rsid w:val="00CA3F55"/>
    <w:rsid w:val="00CA58F2"/>
    <w:rsid w:val="00CA7A5B"/>
    <w:rsid w:val="00CB6C46"/>
    <w:rsid w:val="00CB6FD1"/>
    <w:rsid w:val="00CC31FA"/>
    <w:rsid w:val="00CC32C4"/>
    <w:rsid w:val="00CC6E61"/>
    <w:rsid w:val="00CC75CB"/>
    <w:rsid w:val="00CD0B11"/>
    <w:rsid w:val="00CD21D4"/>
    <w:rsid w:val="00CD2AA0"/>
    <w:rsid w:val="00CD2E31"/>
    <w:rsid w:val="00CE070C"/>
    <w:rsid w:val="00CE1473"/>
    <w:rsid w:val="00CE2036"/>
    <w:rsid w:val="00CE3642"/>
    <w:rsid w:val="00CE4EE5"/>
    <w:rsid w:val="00CE685E"/>
    <w:rsid w:val="00CF3E5D"/>
    <w:rsid w:val="00CF45E8"/>
    <w:rsid w:val="00D00683"/>
    <w:rsid w:val="00D020A5"/>
    <w:rsid w:val="00D027C9"/>
    <w:rsid w:val="00D03F16"/>
    <w:rsid w:val="00D04541"/>
    <w:rsid w:val="00D10680"/>
    <w:rsid w:val="00D10D1C"/>
    <w:rsid w:val="00D112ED"/>
    <w:rsid w:val="00D117A7"/>
    <w:rsid w:val="00D11EE6"/>
    <w:rsid w:val="00D12731"/>
    <w:rsid w:val="00D140EA"/>
    <w:rsid w:val="00D15C65"/>
    <w:rsid w:val="00D16198"/>
    <w:rsid w:val="00D24043"/>
    <w:rsid w:val="00D26205"/>
    <w:rsid w:val="00D268F2"/>
    <w:rsid w:val="00D26948"/>
    <w:rsid w:val="00D313B4"/>
    <w:rsid w:val="00D31487"/>
    <w:rsid w:val="00D3158D"/>
    <w:rsid w:val="00D326DA"/>
    <w:rsid w:val="00D35BDC"/>
    <w:rsid w:val="00D3710E"/>
    <w:rsid w:val="00D40FA1"/>
    <w:rsid w:val="00D43341"/>
    <w:rsid w:val="00D4341E"/>
    <w:rsid w:val="00D44CB7"/>
    <w:rsid w:val="00D44DC1"/>
    <w:rsid w:val="00D456EB"/>
    <w:rsid w:val="00D4679E"/>
    <w:rsid w:val="00D47F4C"/>
    <w:rsid w:val="00D52D1E"/>
    <w:rsid w:val="00D56CCE"/>
    <w:rsid w:val="00D56F6F"/>
    <w:rsid w:val="00D60D1A"/>
    <w:rsid w:val="00D621CF"/>
    <w:rsid w:val="00D658B3"/>
    <w:rsid w:val="00D7061F"/>
    <w:rsid w:val="00D70B76"/>
    <w:rsid w:val="00D71537"/>
    <w:rsid w:val="00D73DC5"/>
    <w:rsid w:val="00D80F87"/>
    <w:rsid w:val="00D811C8"/>
    <w:rsid w:val="00D81487"/>
    <w:rsid w:val="00D84FBF"/>
    <w:rsid w:val="00D85B60"/>
    <w:rsid w:val="00D8728E"/>
    <w:rsid w:val="00D87624"/>
    <w:rsid w:val="00D90E27"/>
    <w:rsid w:val="00D93196"/>
    <w:rsid w:val="00D944DA"/>
    <w:rsid w:val="00D957C4"/>
    <w:rsid w:val="00DA1079"/>
    <w:rsid w:val="00DA15E9"/>
    <w:rsid w:val="00DA22C6"/>
    <w:rsid w:val="00DA387C"/>
    <w:rsid w:val="00DA3984"/>
    <w:rsid w:val="00DA39AC"/>
    <w:rsid w:val="00DA4088"/>
    <w:rsid w:val="00DA6017"/>
    <w:rsid w:val="00DA7A57"/>
    <w:rsid w:val="00DB194B"/>
    <w:rsid w:val="00DB1BAB"/>
    <w:rsid w:val="00DB2AD7"/>
    <w:rsid w:val="00DB2C34"/>
    <w:rsid w:val="00DB3C25"/>
    <w:rsid w:val="00DB5876"/>
    <w:rsid w:val="00DC1E71"/>
    <w:rsid w:val="00DC66D9"/>
    <w:rsid w:val="00DD28FA"/>
    <w:rsid w:val="00DD5AA7"/>
    <w:rsid w:val="00DD76D9"/>
    <w:rsid w:val="00DE3223"/>
    <w:rsid w:val="00DE55CE"/>
    <w:rsid w:val="00DE5B29"/>
    <w:rsid w:val="00DE5EFA"/>
    <w:rsid w:val="00DE668C"/>
    <w:rsid w:val="00DE7882"/>
    <w:rsid w:val="00DE7F8D"/>
    <w:rsid w:val="00DF01C5"/>
    <w:rsid w:val="00DF0CC7"/>
    <w:rsid w:val="00DF1515"/>
    <w:rsid w:val="00DF7960"/>
    <w:rsid w:val="00E008AA"/>
    <w:rsid w:val="00E015DA"/>
    <w:rsid w:val="00E02270"/>
    <w:rsid w:val="00E023C5"/>
    <w:rsid w:val="00E02F70"/>
    <w:rsid w:val="00E043DB"/>
    <w:rsid w:val="00E06C14"/>
    <w:rsid w:val="00E11D59"/>
    <w:rsid w:val="00E12A28"/>
    <w:rsid w:val="00E15B70"/>
    <w:rsid w:val="00E20B41"/>
    <w:rsid w:val="00E2219D"/>
    <w:rsid w:val="00E223E0"/>
    <w:rsid w:val="00E2321A"/>
    <w:rsid w:val="00E247B2"/>
    <w:rsid w:val="00E3050C"/>
    <w:rsid w:val="00E31218"/>
    <w:rsid w:val="00E34847"/>
    <w:rsid w:val="00E36782"/>
    <w:rsid w:val="00E419D7"/>
    <w:rsid w:val="00E41D1F"/>
    <w:rsid w:val="00E44B90"/>
    <w:rsid w:val="00E4560C"/>
    <w:rsid w:val="00E45F1D"/>
    <w:rsid w:val="00E47A9D"/>
    <w:rsid w:val="00E5006C"/>
    <w:rsid w:val="00E50455"/>
    <w:rsid w:val="00E5072F"/>
    <w:rsid w:val="00E50E20"/>
    <w:rsid w:val="00E572F3"/>
    <w:rsid w:val="00E60EC9"/>
    <w:rsid w:val="00E61806"/>
    <w:rsid w:val="00E62793"/>
    <w:rsid w:val="00E63DB3"/>
    <w:rsid w:val="00E65290"/>
    <w:rsid w:val="00E65AFE"/>
    <w:rsid w:val="00E65D15"/>
    <w:rsid w:val="00E65E00"/>
    <w:rsid w:val="00E663C5"/>
    <w:rsid w:val="00E664B0"/>
    <w:rsid w:val="00E6659D"/>
    <w:rsid w:val="00E70631"/>
    <w:rsid w:val="00E720EA"/>
    <w:rsid w:val="00E74054"/>
    <w:rsid w:val="00E7437C"/>
    <w:rsid w:val="00E752B5"/>
    <w:rsid w:val="00E763D3"/>
    <w:rsid w:val="00E774EC"/>
    <w:rsid w:val="00E84842"/>
    <w:rsid w:val="00E85F3D"/>
    <w:rsid w:val="00E86CE5"/>
    <w:rsid w:val="00E9275F"/>
    <w:rsid w:val="00E939D6"/>
    <w:rsid w:val="00E946B5"/>
    <w:rsid w:val="00E9626D"/>
    <w:rsid w:val="00EA3E64"/>
    <w:rsid w:val="00EA6396"/>
    <w:rsid w:val="00EB0C3E"/>
    <w:rsid w:val="00EB379B"/>
    <w:rsid w:val="00EB4988"/>
    <w:rsid w:val="00EB6485"/>
    <w:rsid w:val="00EC151E"/>
    <w:rsid w:val="00EC3828"/>
    <w:rsid w:val="00EC6772"/>
    <w:rsid w:val="00ED0C73"/>
    <w:rsid w:val="00ED1008"/>
    <w:rsid w:val="00ED14D1"/>
    <w:rsid w:val="00ED1D66"/>
    <w:rsid w:val="00ED3AAF"/>
    <w:rsid w:val="00ED5CE3"/>
    <w:rsid w:val="00ED68B0"/>
    <w:rsid w:val="00ED6A4A"/>
    <w:rsid w:val="00EE4300"/>
    <w:rsid w:val="00EF2999"/>
    <w:rsid w:val="00EF3768"/>
    <w:rsid w:val="00EF3870"/>
    <w:rsid w:val="00EF4136"/>
    <w:rsid w:val="00EF58F0"/>
    <w:rsid w:val="00EF68D4"/>
    <w:rsid w:val="00EF7C81"/>
    <w:rsid w:val="00F00A49"/>
    <w:rsid w:val="00F01208"/>
    <w:rsid w:val="00F0199E"/>
    <w:rsid w:val="00F023CB"/>
    <w:rsid w:val="00F06911"/>
    <w:rsid w:val="00F15DAE"/>
    <w:rsid w:val="00F203FC"/>
    <w:rsid w:val="00F21AFF"/>
    <w:rsid w:val="00F2506E"/>
    <w:rsid w:val="00F2509D"/>
    <w:rsid w:val="00F2718B"/>
    <w:rsid w:val="00F30421"/>
    <w:rsid w:val="00F32A9D"/>
    <w:rsid w:val="00F35436"/>
    <w:rsid w:val="00F35C7D"/>
    <w:rsid w:val="00F36ADE"/>
    <w:rsid w:val="00F36CA9"/>
    <w:rsid w:val="00F37F84"/>
    <w:rsid w:val="00F40442"/>
    <w:rsid w:val="00F414E7"/>
    <w:rsid w:val="00F41AE1"/>
    <w:rsid w:val="00F42006"/>
    <w:rsid w:val="00F43DFC"/>
    <w:rsid w:val="00F46A08"/>
    <w:rsid w:val="00F500CE"/>
    <w:rsid w:val="00F526C8"/>
    <w:rsid w:val="00F53D82"/>
    <w:rsid w:val="00F5674D"/>
    <w:rsid w:val="00F573F3"/>
    <w:rsid w:val="00F579D1"/>
    <w:rsid w:val="00F60D1F"/>
    <w:rsid w:val="00F65F81"/>
    <w:rsid w:val="00F66B84"/>
    <w:rsid w:val="00F674ED"/>
    <w:rsid w:val="00F67F23"/>
    <w:rsid w:val="00F71AB6"/>
    <w:rsid w:val="00F724A5"/>
    <w:rsid w:val="00F73BDA"/>
    <w:rsid w:val="00F77174"/>
    <w:rsid w:val="00F778C0"/>
    <w:rsid w:val="00F80103"/>
    <w:rsid w:val="00F828AC"/>
    <w:rsid w:val="00F837C2"/>
    <w:rsid w:val="00F8731C"/>
    <w:rsid w:val="00F902B4"/>
    <w:rsid w:val="00F907DE"/>
    <w:rsid w:val="00F93DED"/>
    <w:rsid w:val="00F949F8"/>
    <w:rsid w:val="00F959E8"/>
    <w:rsid w:val="00FA05BB"/>
    <w:rsid w:val="00FA61AE"/>
    <w:rsid w:val="00FA72DC"/>
    <w:rsid w:val="00FB0089"/>
    <w:rsid w:val="00FB0535"/>
    <w:rsid w:val="00FB05DB"/>
    <w:rsid w:val="00FB069B"/>
    <w:rsid w:val="00FB24C7"/>
    <w:rsid w:val="00FB3D2B"/>
    <w:rsid w:val="00FB4AAE"/>
    <w:rsid w:val="00FB7FF0"/>
    <w:rsid w:val="00FC2E72"/>
    <w:rsid w:val="00FC599B"/>
    <w:rsid w:val="00FC5FF5"/>
    <w:rsid w:val="00FC751F"/>
    <w:rsid w:val="00FC78A2"/>
    <w:rsid w:val="00FD03AA"/>
    <w:rsid w:val="00FD0C22"/>
    <w:rsid w:val="00FD181A"/>
    <w:rsid w:val="00FD36C6"/>
    <w:rsid w:val="00FD74F6"/>
    <w:rsid w:val="00FD772E"/>
    <w:rsid w:val="00FE1CED"/>
    <w:rsid w:val="00FE31F5"/>
    <w:rsid w:val="00FE32E9"/>
    <w:rsid w:val="00FE3E87"/>
    <w:rsid w:val="00FE6A97"/>
    <w:rsid w:val="00FE7A20"/>
    <w:rsid w:val="00FF18B5"/>
    <w:rsid w:val="00FF2AEE"/>
    <w:rsid w:val="00FF6E9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19A5"/>
    <w:rPr>
      <w:rFonts w:eastAsia="Times New Roman" w:cs="Times New Roman"/>
      <w:sz w:val="22"/>
    </w:rPr>
  </w:style>
  <w:style w:type="paragraph" w:styleId="Heading1">
    <w:name w:val="heading 1"/>
    <w:aliases w:val="numbered"/>
    <w:next w:val="Bodycopynumbered"/>
    <w:link w:val="Heading1Char"/>
    <w:uiPriority w:val="9"/>
    <w:qFormat/>
    <w:rsid w:val="00CA2785"/>
    <w:pPr>
      <w:keepNext/>
      <w:pageBreakBefore/>
      <w:widowControl w:val="0"/>
      <w:numPr>
        <w:numId w:val="7"/>
      </w:numPr>
      <w:spacing w:before="360" w:afterLines="100"/>
      <w:ind w:left="567" w:hanging="567"/>
      <w:outlineLvl w:val="0"/>
    </w:pPr>
    <w:rPr>
      <w:rFonts w:eastAsiaTheme="majorEastAsia" w:cstheme="majorBidi"/>
      <w:bCs/>
      <w:smallCaps/>
      <w:color w:val="000000" w:themeColor="text1"/>
      <w:sz w:val="44"/>
      <w:szCs w:val="44"/>
    </w:rPr>
  </w:style>
  <w:style w:type="paragraph" w:styleId="Heading2">
    <w:name w:val="heading 2"/>
    <w:next w:val="Bodycopynumbered"/>
    <w:link w:val="Heading2Char"/>
    <w:uiPriority w:val="9"/>
    <w:unhideWhenUsed/>
    <w:qFormat/>
    <w:rsid w:val="002D40F9"/>
    <w:pPr>
      <w:keepNext/>
      <w:widowControl w:val="0"/>
      <w:spacing w:beforeLines="150" w:afterLines="100"/>
      <w:outlineLvl w:val="1"/>
    </w:pPr>
    <w:rPr>
      <w:rFonts w:eastAsiaTheme="minorEastAsia" w:cstheme="majorHAnsi"/>
      <w:smallCaps/>
      <w:sz w:val="36"/>
      <w:szCs w:val="36"/>
    </w:rPr>
  </w:style>
  <w:style w:type="paragraph" w:styleId="Heading3">
    <w:name w:val="heading 3"/>
    <w:next w:val="Bodycopynumbered"/>
    <w:link w:val="Heading3Char"/>
    <w:qFormat/>
    <w:rsid w:val="00CA2785"/>
    <w:pPr>
      <w:keepNext/>
      <w:widowControl w:val="0"/>
      <w:spacing w:beforeLines="100" w:afterLines="100"/>
      <w:outlineLvl w:val="2"/>
    </w:pPr>
    <w:rPr>
      <w:rFonts w:eastAsia="Calibri" w:cstheme="majorHAnsi"/>
      <w:smallCaps/>
      <w:sz w:val="30"/>
      <w:szCs w:val="30"/>
    </w:rPr>
  </w:style>
  <w:style w:type="paragraph" w:styleId="Heading4">
    <w:name w:val="heading 4"/>
    <w:aliases w:val="Heading 4 numbered"/>
    <w:basedOn w:val="Heading1"/>
    <w:next w:val="Bodycopynumbered"/>
    <w:link w:val="Heading4Char"/>
    <w:qFormat/>
    <w:rsid w:val="00400756"/>
    <w:pPr>
      <w:pageBreakBefore w:val="0"/>
      <w:spacing w:after="100"/>
      <w:outlineLvl w:val="3"/>
    </w:pPr>
    <w:rPr>
      <w:b/>
      <w:sz w:val="26"/>
      <w:szCs w:val="26"/>
    </w:rPr>
  </w:style>
  <w:style w:type="paragraph" w:styleId="Heading5">
    <w:name w:val="heading 5"/>
    <w:next w:val="Bodycopynumbered"/>
    <w:link w:val="Heading5Char"/>
    <w:uiPriority w:val="9"/>
    <w:unhideWhenUsed/>
    <w:qFormat/>
    <w:rsid w:val="009D2E77"/>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numbered"/>
    <w:link w:val="Heading6Char"/>
    <w:uiPriority w:val="9"/>
    <w:semiHidden/>
    <w:unhideWhenUsed/>
    <w:qFormat/>
    <w:rsid w:val="00E65D15"/>
    <w:pPr>
      <w:keepNext/>
      <w:widowControl w:val="0"/>
      <w:spacing w:beforeLines="50" w:afterLines="50"/>
      <w:outlineLvl w:val="5"/>
    </w:pPr>
    <w:rPr>
      <w:rFonts w:asciiTheme="majorHAnsi" w:eastAsiaTheme="majorEastAsia" w:hAnsiTheme="majorHAnsi" w:cstheme="majorBidi"/>
      <w:i/>
      <w:iCs/>
      <w:smallCaps/>
      <w:sz w:val="22"/>
    </w:rPr>
  </w:style>
  <w:style w:type="paragraph" w:styleId="Heading7">
    <w:name w:val="heading 7"/>
    <w:basedOn w:val="Normal"/>
    <w:next w:val="Normal"/>
    <w:link w:val="Heading7Char"/>
    <w:uiPriority w:val="9"/>
    <w:semiHidden/>
    <w:unhideWhenUsed/>
    <w:qFormat/>
    <w:rsid w:val="002962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62F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2962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Char"/>
    <w:basedOn w:val="DefaultParagraphFont"/>
    <w:link w:val="Heading1"/>
    <w:uiPriority w:val="9"/>
    <w:rsid w:val="00CA2785"/>
    <w:rPr>
      <w:rFonts w:eastAsiaTheme="majorEastAsia" w:cstheme="majorBidi"/>
      <w:bCs/>
      <w:smallCaps/>
      <w:color w:val="000000" w:themeColor="text1"/>
      <w:sz w:val="44"/>
      <w:szCs w:val="44"/>
    </w:rPr>
  </w:style>
  <w:style w:type="character" w:customStyle="1" w:styleId="Heading3Char">
    <w:name w:val="Heading 3 Char"/>
    <w:basedOn w:val="DefaultParagraphFont"/>
    <w:link w:val="Heading3"/>
    <w:rsid w:val="00CA2785"/>
    <w:rPr>
      <w:rFonts w:eastAsia="Calibri" w:cstheme="majorHAnsi"/>
      <w:smallCaps/>
      <w:sz w:val="30"/>
      <w:szCs w:val="30"/>
    </w:rPr>
  </w:style>
  <w:style w:type="character" w:customStyle="1" w:styleId="Heading4Char">
    <w:name w:val="Heading 4 Char"/>
    <w:aliases w:val="Heading 4 numbered Char"/>
    <w:basedOn w:val="DefaultParagraphFont"/>
    <w:link w:val="Heading4"/>
    <w:rsid w:val="00400756"/>
    <w:rPr>
      <w:rFonts w:eastAsiaTheme="majorEastAsia" w:cstheme="majorBidi"/>
      <w:b/>
      <w:bCs/>
      <w:smallCaps/>
      <w:color w:val="000000" w:themeColor="text1"/>
      <w:sz w:val="26"/>
      <w:szCs w:val="26"/>
    </w:rPr>
  </w:style>
  <w:style w:type="paragraph" w:customStyle="1" w:styleId="Bodycopybulletlevel2">
    <w:name w:val="Body copy bullet level 2"/>
    <w:qFormat/>
    <w:rsid w:val="00642C33"/>
    <w:pPr>
      <w:keepNext/>
      <w:widowControl w:val="0"/>
      <w:numPr>
        <w:numId w:val="2"/>
      </w:numPr>
      <w:ind w:left="1701" w:hanging="567"/>
    </w:pPr>
    <w:rPr>
      <w:rFonts w:cstheme="minorHAnsi"/>
      <w:color w:val="000000"/>
      <w:sz w:val="22"/>
      <w:szCs w:val="20"/>
      <w:lang w:eastAsia="en-AU"/>
    </w:rPr>
  </w:style>
  <w:style w:type="numbering" w:customStyle="1" w:styleId="Style3">
    <w:name w:val="Style3"/>
    <w:uiPriority w:val="99"/>
    <w:rsid w:val="001C150A"/>
    <w:pPr>
      <w:numPr>
        <w:numId w:val="10"/>
      </w:numPr>
    </w:pPr>
  </w:style>
  <w:style w:type="character" w:styleId="Hyperlink">
    <w:name w:val="Hyperlink"/>
    <w:basedOn w:val="DefaultParagraphFont"/>
    <w:uiPriority w:val="99"/>
    <w:unhideWhenUsed/>
    <w:rsid w:val="00E65D15"/>
    <w:rPr>
      <w:color w:val="0000FF" w:themeColor="hyperlink"/>
      <w:u w:val="single"/>
    </w:rPr>
  </w:style>
  <w:style w:type="character" w:customStyle="1" w:styleId="Heading6Char">
    <w:name w:val="Heading 6 Char"/>
    <w:basedOn w:val="DefaultParagraphFont"/>
    <w:link w:val="Heading6"/>
    <w:uiPriority w:val="9"/>
    <w:semiHidden/>
    <w:rsid w:val="00E65D15"/>
    <w:rPr>
      <w:rFonts w:asciiTheme="majorHAnsi" w:eastAsiaTheme="majorEastAsia" w:hAnsiTheme="majorHAnsi" w:cstheme="majorBidi"/>
      <w:i/>
      <w:iCs/>
      <w:smallCaps/>
      <w:sz w:val="22"/>
    </w:rPr>
  </w:style>
  <w:style w:type="paragraph" w:customStyle="1" w:styleId="Titleheading">
    <w:name w:val="Title heading"/>
    <w:next w:val="Bodycopy"/>
    <w:rsid w:val="00CA363C"/>
    <w:pPr>
      <w:keepNext/>
      <w:pageBreakBefore/>
      <w:widowControl w:val="0"/>
      <w:tabs>
        <w:tab w:val="left" w:pos="9643"/>
      </w:tabs>
      <w:spacing w:afterLines="200"/>
      <w:outlineLvl w:val="0"/>
    </w:pPr>
    <w:rPr>
      <w:rFonts w:asciiTheme="majorHAnsi" w:eastAsiaTheme="minorEastAsia" w:hAnsiTheme="majorHAnsi" w:cstheme="majorHAnsi"/>
      <w:smallCaps/>
      <w:color w:val="000000"/>
      <w:sz w:val="60"/>
      <w:szCs w:val="60"/>
      <w:lang w:eastAsia="en-AU"/>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642C33"/>
    <w:pPr>
      <w:keepNext/>
      <w:widowControl w:val="0"/>
      <w:tabs>
        <w:tab w:val="left" w:pos="1276"/>
      </w:tabs>
      <w:spacing w:before="200" w:after="200" w:line="300" w:lineRule="exact"/>
    </w:pPr>
    <w:rPr>
      <w:rFonts w:cstheme="minorHAnsi"/>
      <w:color w:val="000000"/>
      <w:sz w:val="22"/>
      <w:szCs w:val="20"/>
      <w:lang w:eastAsia="en-AU"/>
    </w:rPr>
  </w:style>
  <w:style w:type="paragraph" w:customStyle="1" w:styleId="Bulletlistlevel1">
    <w:name w:val="Bullet list  level 1"/>
    <w:qFormat/>
    <w:rsid w:val="00642C33"/>
    <w:pPr>
      <w:keepNext/>
      <w:widowControl w:val="0"/>
      <w:numPr>
        <w:numId w:val="1"/>
      </w:numPr>
      <w:spacing w:before="120" w:after="120" w:line="300" w:lineRule="exact"/>
      <w:ind w:left="1134" w:hanging="567"/>
    </w:pPr>
    <w:rPr>
      <w:rFonts w:cstheme="minorHAnsi"/>
      <w:color w:val="000000"/>
      <w:sz w:val="22"/>
      <w:szCs w:val="20"/>
      <w:lang w:eastAsia="en-AU"/>
    </w:rPr>
  </w:style>
  <w:style w:type="paragraph" w:customStyle="1" w:styleId="Tableheading">
    <w:name w:val="Table heading"/>
    <w:qFormat/>
    <w:rsid w:val="00CA363C"/>
    <w:pPr>
      <w:keepNext/>
      <w:widowControl w:val="0"/>
      <w:spacing w:before="120" w:after="120"/>
    </w:pPr>
    <w:rPr>
      <w:rFonts w:asciiTheme="majorHAnsi" w:hAnsiTheme="majorHAnsi" w:cstheme="minorHAnsi"/>
      <w:b/>
      <w:bCs/>
      <w:smallCaps/>
      <w:color w:val="FFFFFF" w:themeColor="background1"/>
      <w:sz w:val="22"/>
      <w:szCs w:val="20"/>
      <w:lang w:eastAsia="en-AU"/>
    </w:rPr>
  </w:style>
  <w:style w:type="paragraph" w:customStyle="1" w:styleId="Tablebodycopy">
    <w:name w:val="Table body copy"/>
    <w:qFormat/>
    <w:rsid w:val="00CA363C"/>
    <w:pPr>
      <w:keepNext/>
      <w:widowControl w:val="0"/>
      <w:spacing w:before="120" w:after="120"/>
    </w:pPr>
    <w:rPr>
      <w:rFonts w:cstheme="minorHAnsi"/>
      <w:bCs/>
      <w:sz w:val="22"/>
      <w:szCs w:val="20"/>
      <w:lang w:eastAsia="en-AU"/>
    </w:rPr>
  </w:style>
  <w:style w:type="paragraph" w:customStyle="1" w:styleId="Bodycopynumbered">
    <w:name w:val="Body copy numbered"/>
    <w:qFormat/>
    <w:rsid w:val="002D40F9"/>
    <w:pPr>
      <w:keepNext/>
      <w:widowControl w:val="0"/>
      <w:numPr>
        <w:ilvl w:val="1"/>
        <w:numId w:val="3"/>
      </w:numPr>
      <w:spacing w:before="120" w:after="120" w:line="300" w:lineRule="exact"/>
      <w:ind w:left="567" w:hanging="567"/>
      <w:outlineLvl w:val="1"/>
    </w:pPr>
    <w:rPr>
      <w:rFonts w:eastAsia="Calibri" w:cs="Arial"/>
      <w:bCs/>
      <w:kern w:val="32"/>
      <w:sz w:val="22"/>
      <w:szCs w:val="20"/>
      <w:lang w:eastAsia="en-AU"/>
    </w:rPr>
  </w:style>
  <w:style w:type="paragraph" w:customStyle="1" w:styleId="Bulletlistquote">
    <w:name w:val="Bullet list quote"/>
    <w:qFormat/>
    <w:rsid w:val="00642C33"/>
    <w:pPr>
      <w:keepNext/>
      <w:widowControl w:val="0"/>
      <w:ind w:left="1701"/>
    </w:pPr>
    <w:rPr>
      <w:rFonts w:cstheme="minorHAnsi"/>
      <w:i/>
      <w:color w:val="000000"/>
      <w:sz w:val="22"/>
      <w:szCs w:val="20"/>
      <w:lang w:eastAsia="en-AU"/>
    </w:rPr>
  </w:style>
  <w:style w:type="character" w:customStyle="1" w:styleId="Heading2Char">
    <w:name w:val="Heading 2 Char"/>
    <w:basedOn w:val="DefaultParagraphFont"/>
    <w:link w:val="Heading2"/>
    <w:uiPriority w:val="9"/>
    <w:rsid w:val="002D40F9"/>
    <w:rPr>
      <w:rFonts w:eastAsiaTheme="minorEastAsia"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4"/>
      </w:numPr>
    </w:pPr>
  </w:style>
  <w:style w:type="character" w:customStyle="1" w:styleId="Heading5Char">
    <w:name w:val="Heading 5 Char"/>
    <w:basedOn w:val="DefaultParagraphFont"/>
    <w:link w:val="Heading5"/>
    <w:uiPriority w:val="9"/>
    <w:rsid w:val="009D2E77"/>
    <w:rPr>
      <w:rFonts w:asciiTheme="majorHAnsi" w:eastAsiaTheme="minorEastAsia" w:hAnsiTheme="majorHAnsi" w:cstheme="majorHAnsi"/>
      <w:i/>
      <w:smallCaps/>
    </w:rPr>
  </w:style>
  <w:style w:type="paragraph" w:styleId="Footer">
    <w:name w:val="footer"/>
    <w:link w:val="FooterChar"/>
    <w:unhideWhenUsed/>
    <w:rsid w:val="00610E9E"/>
    <w:pPr>
      <w:keepNext/>
      <w:widowControl w:val="0"/>
      <w:tabs>
        <w:tab w:val="center" w:pos="4513"/>
        <w:tab w:val="right" w:pos="9026"/>
      </w:tabs>
      <w:spacing w:before="40" w:after="40"/>
    </w:pPr>
    <w:rPr>
      <w:rFonts w:eastAsia="Times New Roman" w:cs="Times New Roman"/>
      <w:sz w:val="16"/>
      <w:szCs w:val="16"/>
    </w:rPr>
  </w:style>
  <w:style w:type="character" w:customStyle="1" w:styleId="FooterChar">
    <w:name w:val="Footer Char"/>
    <w:basedOn w:val="DefaultParagraphFont"/>
    <w:link w:val="Footer"/>
    <w:rsid w:val="00610E9E"/>
    <w:rPr>
      <w:rFonts w:eastAsia="Times New Roman" w:cs="Times New Roman"/>
      <w:sz w:val="16"/>
      <w:szCs w:val="16"/>
    </w:rPr>
  </w:style>
  <w:style w:type="paragraph" w:styleId="TOC4">
    <w:name w:val="toc 4"/>
    <w:basedOn w:val="Normal"/>
    <w:next w:val="Normal"/>
    <w:autoRedefine/>
    <w:uiPriority w:val="39"/>
    <w:rsid w:val="00183E91"/>
    <w:pPr>
      <w:tabs>
        <w:tab w:val="right" w:pos="9072"/>
      </w:tabs>
      <w:spacing w:beforeLines="100" w:afterLines="100"/>
      <w:ind w:left="1560"/>
    </w:pPr>
    <w:rPr>
      <w:rFonts w:asciiTheme="majorHAnsi" w:hAnsiTheme="majorHAnsi" w:cstheme="majorHAnsi"/>
      <w:noProof/>
      <w:sz w:val="24"/>
    </w:rPr>
  </w:style>
  <w:style w:type="paragraph" w:styleId="TOC1">
    <w:name w:val="toc 1"/>
    <w:next w:val="Recommendationbodycopynumbered"/>
    <w:autoRedefine/>
    <w:uiPriority w:val="39"/>
    <w:qFormat/>
    <w:rsid w:val="006B640D"/>
    <w:pPr>
      <w:keepNext/>
      <w:widowControl w:val="0"/>
      <w:tabs>
        <w:tab w:val="left" w:pos="567"/>
        <w:tab w:val="right" w:pos="9072"/>
      </w:tabs>
      <w:spacing w:beforeLines="100"/>
    </w:pPr>
    <w:rPr>
      <w:rFonts w:eastAsiaTheme="minorEastAsia" w:cstheme="majorHAnsi"/>
      <w:smallCaps/>
      <w:noProof/>
      <w:lang w:eastAsia="en-AU"/>
    </w:rPr>
  </w:style>
  <w:style w:type="paragraph" w:styleId="TOC2">
    <w:name w:val="toc 2"/>
    <w:autoRedefine/>
    <w:uiPriority w:val="39"/>
    <w:qFormat/>
    <w:rsid w:val="00FB4AAE"/>
    <w:pPr>
      <w:tabs>
        <w:tab w:val="right" w:pos="9072"/>
      </w:tabs>
      <w:spacing w:beforeLines="100" w:afterLines="100"/>
      <w:ind w:left="567" w:hanging="567"/>
    </w:pPr>
    <w:rPr>
      <w:rFonts w:eastAsiaTheme="minorEastAsia"/>
      <w:noProof/>
      <w:sz w:val="22"/>
      <w:szCs w:val="22"/>
      <w:lang w:eastAsia="en-AU"/>
    </w:rPr>
  </w:style>
  <w:style w:type="paragraph" w:styleId="FootnoteText">
    <w:name w:val="footnote text"/>
    <w:basedOn w:val="Normal"/>
    <w:link w:val="FootnoteTextChar"/>
    <w:uiPriority w:val="99"/>
    <w:semiHidden/>
    <w:rsid w:val="001231A4"/>
    <w:pPr>
      <w:spacing w:before="80" w:after="80" w:line="160" w:lineRule="exact"/>
      <w:ind w:left="170" w:hanging="170"/>
    </w:pPr>
    <w:rPr>
      <w:sz w:val="18"/>
      <w:szCs w:val="20"/>
    </w:rPr>
  </w:style>
  <w:style w:type="character" w:customStyle="1" w:styleId="FootnoteTextChar">
    <w:name w:val="Footnote Text Char"/>
    <w:basedOn w:val="DefaultParagraphFont"/>
    <w:link w:val="FootnoteText"/>
    <w:uiPriority w:val="99"/>
    <w:semiHidden/>
    <w:rsid w:val="001231A4"/>
    <w:rPr>
      <w:rFonts w:eastAsia="Times New Roman" w:cs="Times New Roman"/>
      <w:sz w:val="18"/>
      <w:szCs w:val="20"/>
    </w:rPr>
  </w:style>
  <w:style w:type="character" w:styleId="FootnoteReference">
    <w:name w:val="footnote reference"/>
    <w:basedOn w:val="DefaultParagraphFont"/>
    <w:uiPriority w:val="99"/>
    <w:semiHidden/>
    <w:rsid w:val="00103EB0"/>
    <w:rPr>
      <w:vertAlign w:val="superscript"/>
    </w:rPr>
  </w:style>
  <w:style w:type="paragraph" w:styleId="TOC3">
    <w:name w:val="toc 3"/>
    <w:basedOn w:val="TOC2"/>
    <w:next w:val="Normal"/>
    <w:autoRedefine/>
    <w:uiPriority w:val="39"/>
    <w:qFormat/>
    <w:rsid w:val="00103EB0"/>
    <w:pPr>
      <w:ind w:firstLine="0"/>
    </w:pPr>
  </w:style>
  <w:style w:type="paragraph" w:customStyle="1" w:styleId="TOCHeading1">
    <w:name w:val="TOC Heading1"/>
    <w:rsid w:val="00CA363C"/>
    <w:pPr>
      <w:keepNext/>
      <w:pageBreakBefore/>
      <w:widowControl w:val="0"/>
      <w:spacing w:after="480"/>
    </w:pPr>
    <w:rPr>
      <w:rFonts w:asciiTheme="majorHAnsi" w:eastAsiaTheme="minorEastAsia" w:hAnsiTheme="majorHAnsi" w:cstheme="majorHAnsi"/>
      <w:smallCaps/>
      <w:color w:val="000000"/>
      <w:sz w:val="60"/>
      <w:szCs w:val="60"/>
      <w:lang w:eastAsia="en-AU"/>
    </w:rPr>
  </w:style>
  <w:style w:type="paragraph" w:customStyle="1" w:styleId="Heading1nonumber">
    <w:name w:val="Heading 1 no number"/>
    <w:next w:val="Bodycopynumbered"/>
    <w:rsid w:val="00610E9E"/>
    <w:pPr>
      <w:keepNext/>
      <w:widowControl w:val="0"/>
      <w:spacing w:after="100"/>
    </w:pPr>
    <w:rPr>
      <w:rFonts w:asciiTheme="majorHAnsi" w:eastAsiaTheme="majorEastAsia" w:hAnsiTheme="majorHAnsi" w:cstheme="majorBidi"/>
      <w:bCs/>
      <w:smallCaps/>
      <w:color w:val="000000" w:themeColor="text1"/>
      <w:sz w:val="44"/>
      <w:szCs w:val="44"/>
    </w:rPr>
  </w:style>
  <w:style w:type="paragraph" w:customStyle="1" w:styleId="Bodycopynumbered2">
    <w:name w:val="Body copy numbered 2"/>
    <w:qFormat/>
    <w:rsid w:val="00642C33"/>
    <w:pPr>
      <w:keepNext/>
      <w:widowControl w:val="0"/>
      <w:numPr>
        <w:numId w:val="9"/>
      </w:numPr>
      <w:spacing w:before="120" w:after="120" w:line="300" w:lineRule="exact"/>
      <w:ind w:left="567" w:hanging="567"/>
    </w:pPr>
    <w:rPr>
      <w:rFonts w:cstheme="minorHAnsi"/>
      <w:color w:val="000000"/>
      <w:sz w:val="22"/>
      <w:szCs w:val="20"/>
      <w:lang w:eastAsia="en-AU"/>
    </w:rPr>
  </w:style>
  <w:style w:type="character" w:customStyle="1" w:styleId="Heading7Char">
    <w:name w:val="Heading 7 Char"/>
    <w:basedOn w:val="DefaultParagraphFont"/>
    <w:link w:val="Heading7"/>
    <w:uiPriority w:val="9"/>
    <w:semiHidden/>
    <w:rsid w:val="002962F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962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62F8"/>
    <w:rPr>
      <w:rFonts w:asciiTheme="majorHAnsi" w:eastAsiaTheme="majorEastAsia" w:hAnsiTheme="majorHAnsi" w:cstheme="majorBidi"/>
      <w:i/>
      <w:iCs/>
      <w:color w:val="404040" w:themeColor="text1" w:themeTint="BF"/>
      <w:sz w:val="20"/>
      <w:szCs w:val="20"/>
    </w:rPr>
  </w:style>
  <w:style w:type="paragraph" w:styleId="Caption">
    <w:name w:val="caption"/>
    <w:next w:val="Bodycopy"/>
    <w:qFormat/>
    <w:rsid w:val="00642C33"/>
    <w:pPr>
      <w:keepNext/>
      <w:widowControl w:val="0"/>
      <w:spacing w:before="100"/>
    </w:pPr>
    <w:rPr>
      <w:rFonts w:cstheme="minorHAnsi"/>
      <w:color w:val="000000"/>
      <w:sz w:val="22"/>
      <w:szCs w:val="20"/>
      <w:lang w:eastAsia="en-AU"/>
    </w:rPr>
  </w:style>
  <w:style w:type="paragraph" w:customStyle="1" w:styleId="Committeemembership">
    <w:name w:val="Committee membership"/>
    <w:next w:val="Bodycopy"/>
    <w:qFormat/>
    <w:rsid w:val="00642C33"/>
    <w:pPr>
      <w:keepNext/>
      <w:widowControl w:val="0"/>
      <w:spacing w:beforeLines="100" w:afterLines="100"/>
      <w:outlineLvl w:val="0"/>
    </w:pPr>
    <w:rPr>
      <w:rFonts w:asciiTheme="majorHAnsi" w:eastAsiaTheme="minorEastAsia" w:hAnsiTheme="majorHAnsi" w:cstheme="majorHAnsi"/>
      <w:smallCaps/>
      <w:sz w:val="44"/>
      <w:szCs w:val="44"/>
    </w:rPr>
  </w:style>
  <w:style w:type="paragraph" w:customStyle="1" w:styleId="Secretariat">
    <w:name w:val="Secretariat"/>
    <w:next w:val="Bodycopy"/>
    <w:link w:val="SecretariatChar"/>
    <w:qFormat/>
    <w:rsid w:val="00CA363C"/>
    <w:pPr>
      <w:spacing w:beforeLines="400" w:afterLines="100"/>
      <w:outlineLvl w:val="0"/>
    </w:pPr>
    <w:rPr>
      <w:rFonts w:asciiTheme="majorHAnsi" w:eastAsiaTheme="minorEastAsia" w:hAnsiTheme="majorHAnsi" w:cstheme="majorHAnsi"/>
      <w:smallCaps/>
      <w:sz w:val="44"/>
      <w:szCs w:val="44"/>
    </w:rPr>
  </w:style>
  <w:style w:type="paragraph" w:customStyle="1" w:styleId="Contactinformation">
    <w:name w:val="Contact information"/>
    <w:next w:val="Bodycopy"/>
    <w:link w:val="ContactinformationChar"/>
    <w:qFormat/>
    <w:rsid w:val="00642C33"/>
    <w:pPr>
      <w:spacing w:beforeLines="400" w:afterLines="100"/>
      <w:outlineLvl w:val="0"/>
    </w:pPr>
    <w:rPr>
      <w:rFonts w:asciiTheme="majorHAnsi" w:eastAsiaTheme="minorEastAsia" w:hAnsiTheme="majorHAnsi" w:cstheme="majorHAnsi"/>
      <w:smallCaps/>
      <w:sz w:val="44"/>
      <w:szCs w:val="44"/>
    </w:rPr>
  </w:style>
  <w:style w:type="paragraph" w:customStyle="1" w:styleId="Recommendationsheading">
    <w:name w:val="Recommendations heading"/>
    <w:next w:val="Recommendationbodycopy"/>
    <w:rsid w:val="00FB4AAE"/>
    <w:pPr>
      <w:keepNext/>
      <w:pageBreakBefore/>
      <w:widowControl w:val="0"/>
      <w:spacing w:after="240"/>
    </w:pPr>
    <w:rPr>
      <w:rFonts w:asciiTheme="majorHAnsi" w:eastAsiaTheme="majorEastAsia" w:hAnsiTheme="majorHAnsi" w:cstheme="majorBidi"/>
      <w:bCs/>
      <w:smallCaps/>
      <w:color w:val="000000" w:themeColor="text1"/>
      <w:sz w:val="44"/>
      <w:szCs w:val="44"/>
    </w:rPr>
  </w:style>
  <w:style w:type="character" w:styleId="PageNumber">
    <w:name w:val="page number"/>
    <w:basedOn w:val="DefaultParagraphFont"/>
    <w:rsid w:val="00355C72"/>
    <w:rPr>
      <w:rFonts w:asciiTheme="minorHAnsi" w:hAnsiTheme="minorHAnsi"/>
      <w:b/>
      <w:szCs w:val="18"/>
    </w:rPr>
  </w:style>
  <w:style w:type="numbering" w:customStyle="1" w:styleId="Style2">
    <w:name w:val="Style2"/>
    <w:uiPriority w:val="99"/>
    <w:rsid w:val="002D3C38"/>
    <w:pPr>
      <w:numPr>
        <w:numId w:val="6"/>
      </w:numPr>
    </w:pPr>
  </w:style>
  <w:style w:type="paragraph" w:customStyle="1" w:styleId="Recommendationbodycopy">
    <w:name w:val="Recommendation body copy"/>
    <w:rsid w:val="00E65D15"/>
    <w:pPr>
      <w:keepNext/>
      <w:widowControl w:val="0"/>
    </w:pPr>
    <w:rPr>
      <w:rFonts w:asciiTheme="majorHAnsi" w:eastAsia="Times New Roman" w:hAnsiTheme="majorHAnsi" w:cs="Arial"/>
      <w:bCs/>
      <w:kern w:val="32"/>
      <w:sz w:val="22"/>
      <w:szCs w:val="20"/>
    </w:rPr>
  </w:style>
  <w:style w:type="paragraph" w:customStyle="1" w:styleId="Recommendationbodycopynumbered">
    <w:name w:val="Recommendation body copy numbered"/>
    <w:qFormat/>
    <w:rsid w:val="00373858"/>
    <w:pPr>
      <w:keepNext/>
      <w:widowControl w:val="0"/>
      <w:spacing w:before="200" w:after="200"/>
      <w:outlineLvl w:val="7"/>
    </w:pPr>
    <w:rPr>
      <w:rFonts w:eastAsia="Times New Roman" w:cs="Arial"/>
      <w:b/>
      <w:bCs/>
      <w:kern w:val="32"/>
      <w:sz w:val="22"/>
      <w:szCs w:val="20"/>
      <w:lang w:eastAsia="en-AU"/>
    </w:rPr>
  </w:style>
  <w:style w:type="paragraph" w:customStyle="1" w:styleId="Recommendationheadingbody">
    <w:name w:val="Recommendation heading body"/>
    <w:next w:val="Recommendationbodycopynumbered"/>
    <w:qFormat/>
    <w:rsid w:val="00A240AA"/>
    <w:pPr>
      <w:keepNext/>
      <w:widowControl w:val="0"/>
      <w:spacing w:beforeLines="150" w:afterLines="100"/>
      <w:outlineLvl w:val="6"/>
    </w:pPr>
    <w:rPr>
      <w:rFonts w:asciiTheme="majorHAnsi" w:eastAsiaTheme="minorEastAsia" w:hAnsiTheme="majorHAnsi" w:cstheme="majorHAnsi"/>
      <w:b/>
      <w:smallCaps/>
      <w:sz w:val="30"/>
      <w:szCs w:val="30"/>
    </w:rPr>
  </w:style>
  <w:style w:type="paragraph" w:customStyle="1" w:styleId="Bodycopybulletlevel1alpha">
    <w:name w:val="Body copy bullet level 1 alpha"/>
    <w:qFormat/>
    <w:rsid w:val="00642C33"/>
    <w:pPr>
      <w:keepNext/>
      <w:widowControl w:val="0"/>
      <w:numPr>
        <w:numId w:val="5"/>
      </w:numPr>
      <w:ind w:left="851" w:hanging="284"/>
    </w:pPr>
    <w:rPr>
      <w:rFonts w:cstheme="minorHAnsi"/>
      <w:color w:val="000000"/>
      <w:sz w:val="22"/>
      <w:szCs w:val="20"/>
      <w:lang w:eastAsia="en-AU"/>
    </w:rPr>
  </w:style>
  <w:style w:type="paragraph" w:customStyle="1" w:styleId="Headereven">
    <w:name w:val="Header even"/>
    <w:rsid w:val="00610E9E"/>
    <w:pPr>
      <w:keepNext/>
      <w:widowControl w:val="0"/>
      <w:tabs>
        <w:tab w:val="center" w:pos="4513"/>
        <w:tab w:val="right" w:pos="9026"/>
      </w:tabs>
    </w:pPr>
    <w:rPr>
      <w:rFonts w:eastAsia="Times New Roman" w:cstheme="majorHAnsi"/>
      <w:smallCaps/>
      <w:sz w:val="22"/>
      <w:szCs w:val="20"/>
    </w:rPr>
  </w:style>
  <w:style w:type="paragraph" w:customStyle="1" w:styleId="Headerodd">
    <w:name w:val="Header odd"/>
    <w:rsid w:val="00610E9E"/>
    <w:pPr>
      <w:keepNext/>
      <w:widowControl w:val="0"/>
      <w:tabs>
        <w:tab w:val="center" w:pos="4513"/>
        <w:tab w:val="right" w:pos="9026"/>
      </w:tabs>
      <w:jc w:val="right"/>
    </w:pPr>
    <w:rPr>
      <w:rFonts w:eastAsia="Times New Roman" w:cstheme="majorHAnsi"/>
      <w:smallCaps/>
      <w:sz w:val="22"/>
      <w:szCs w:val="20"/>
    </w:rPr>
  </w:style>
  <w:style w:type="paragraph" w:customStyle="1" w:styleId="Reportcoverfooter">
    <w:name w:val="Report cover footer"/>
    <w:basedOn w:val="Headerodd"/>
    <w:rsid w:val="00495F0D"/>
    <w:rPr>
      <w:smallCaps w:val="0"/>
      <w:sz w:val="28"/>
      <w:szCs w:val="28"/>
    </w:rPr>
  </w:style>
  <w:style w:type="paragraph" w:customStyle="1" w:styleId="ReportTitle">
    <w:name w:val="Report Title"/>
    <w:rsid w:val="00CA363C"/>
    <w:pPr>
      <w:keepNext/>
      <w:widowControl w:val="0"/>
      <w:spacing w:after="480"/>
      <w:jc w:val="right"/>
    </w:pPr>
    <w:rPr>
      <w:rFonts w:asciiTheme="majorHAnsi" w:eastAsiaTheme="minorEastAsia" w:hAnsiTheme="majorHAnsi" w:cstheme="majorHAnsi"/>
      <w:smallCaps/>
      <w:sz w:val="56"/>
      <w:szCs w:val="56"/>
    </w:rPr>
  </w:style>
  <w:style w:type="paragraph" w:customStyle="1" w:styleId="CommitteeName">
    <w:name w:val="Committee Name"/>
    <w:rsid w:val="00642C33"/>
    <w:pPr>
      <w:keepNext/>
      <w:widowControl w:val="0"/>
      <w:spacing w:after="480"/>
      <w:jc w:val="right"/>
    </w:pPr>
    <w:rPr>
      <w:rFonts w:asciiTheme="majorHAnsi" w:eastAsiaTheme="minorEastAsia" w:hAnsiTheme="majorHAnsi" w:cstheme="majorHAnsi"/>
      <w:smallCaps/>
      <w:sz w:val="44"/>
      <w:szCs w:val="44"/>
    </w:rPr>
  </w:style>
  <w:style w:type="paragraph" w:customStyle="1" w:styleId="Bulletlistalpha">
    <w:name w:val="Bullet list alpha"/>
    <w:rsid w:val="00642C33"/>
    <w:pPr>
      <w:keepNext/>
      <w:widowControl w:val="0"/>
      <w:numPr>
        <w:ilvl w:val="1"/>
        <w:numId w:val="2"/>
      </w:numPr>
      <w:spacing w:beforeLines="120" w:afterLines="120" w:line="200" w:lineRule="exact"/>
      <w:ind w:left="1701" w:hanging="567"/>
    </w:pPr>
    <w:rPr>
      <w:rFonts w:cstheme="minorHAnsi"/>
      <w:color w:val="000000"/>
      <w:spacing w:val="-3"/>
      <w:sz w:val="22"/>
      <w:szCs w:val="20"/>
      <w:lang w:eastAsia="en-AU"/>
    </w:rPr>
  </w:style>
  <w:style w:type="paragraph" w:customStyle="1" w:styleId="Bulletlistroman">
    <w:name w:val="Bullet list roman"/>
    <w:rsid w:val="00642C33"/>
    <w:pPr>
      <w:keepNext/>
      <w:widowControl w:val="0"/>
      <w:numPr>
        <w:numId w:val="8"/>
      </w:numPr>
      <w:spacing w:beforeLines="120" w:afterLines="120" w:line="200" w:lineRule="exact"/>
      <w:ind w:left="2268" w:hanging="567"/>
    </w:pPr>
    <w:rPr>
      <w:rFonts w:cstheme="minorHAnsi"/>
      <w:color w:val="000000"/>
      <w:spacing w:val="-3"/>
      <w:sz w:val="22"/>
      <w:szCs w:val="20"/>
      <w:lang w:eastAsia="en-AU"/>
    </w:rPr>
  </w:style>
  <w:style w:type="paragraph" w:customStyle="1" w:styleId="Heading4nonumber">
    <w:name w:val="Heading 4 no number"/>
    <w:next w:val="Bodycopynumbered"/>
    <w:rsid w:val="005D6B6E"/>
    <w:pPr>
      <w:keepNext/>
      <w:widowControl w:val="0"/>
    </w:pPr>
    <w:rPr>
      <w:rFonts w:eastAsiaTheme="minorEastAsia" w:cstheme="majorHAnsi"/>
      <w:smallCaps/>
      <w:sz w:val="26"/>
      <w:szCs w:val="26"/>
    </w:rPr>
  </w:style>
  <w:style w:type="paragraph" w:customStyle="1" w:styleId="Prelimminorheading">
    <w:name w:val="Prelim minor heading"/>
    <w:basedOn w:val="Heading3"/>
    <w:link w:val="PrelimminorheadingChar"/>
    <w:rsid w:val="00BD6A97"/>
    <w:pPr>
      <w:numPr>
        <w:ilvl w:val="2"/>
      </w:numPr>
      <w:tabs>
        <w:tab w:val="left" w:pos="567"/>
        <w:tab w:val="num" w:pos="720"/>
      </w:tabs>
      <w:spacing w:beforeLines="0" w:afterLines="0" w:line="312" w:lineRule="auto"/>
      <w:ind w:left="720" w:hanging="720"/>
    </w:pPr>
    <w:rPr>
      <w:rFonts w:ascii="Arial Narrow" w:eastAsia="Times New Roman" w:hAnsi="Arial Narrow" w:cs="Arial"/>
      <w:bCs/>
      <w:iCs/>
      <w:spacing w:val="2"/>
      <w:sz w:val="28"/>
      <w:szCs w:val="28"/>
    </w:rPr>
  </w:style>
  <w:style w:type="paragraph" w:customStyle="1" w:styleId="Bodytextnonumbering">
    <w:name w:val="Body text no numbering"/>
    <w:basedOn w:val="Normal"/>
    <w:rsid w:val="00BD6A97"/>
    <w:pPr>
      <w:keepNext/>
      <w:spacing w:before="160" w:after="80" w:line="288" w:lineRule="auto"/>
      <w:outlineLvl w:val="1"/>
    </w:pPr>
    <w:rPr>
      <w:rFonts w:ascii="Calibri" w:hAnsi="Calibri" w:cs="Arial"/>
      <w:iCs/>
    </w:rPr>
  </w:style>
  <w:style w:type="paragraph" w:customStyle="1" w:styleId="StyleBodytextnonumberingBefore0ptAfter0ptLinesp">
    <w:name w:val="Style Body text no numbering + Before:  0 pt After:  0 pt Line sp..."/>
    <w:basedOn w:val="Bodytextnonumbering"/>
    <w:rsid w:val="00BD6A97"/>
    <w:pPr>
      <w:spacing w:before="0" w:after="0" w:line="240" w:lineRule="auto"/>
    </w:pPr>
    <w:rPr>
      <w:rFonts w:cs="Times New Roman"/>
      <w:iCs w:val="0"/>
      <w:szCs w:val="20"/>
    </w:rPr>
  </w:style>
  <w:style w:type="character" w:customStyle="1" w:styleId="PrelimminorheadingChar">
    <w:name w:val="Prelim minor heading Char"/>
    <w:basedOn w:val="Heading3Char"/>
    <w:link w:val="Prelimminorheading"/>
    <w:rsid w:val="00BD6A97"/>
    <w:rPr>
      <w:rFonts w:ascii="Arial Narrow" w:eastAsia="Times New Roman" w:hAnsi="Arial Narrow" w:cs="Arial"/>
      <w:bCs/>
      <w:iCs/>
      <w:smallCaps/>
      <w:spacing w:val="2"/>
      <w:sz w:val="28"/>
      <w:szCs w:val="28"/>
    </w:rPr>
  </w:style>
  <w:style w:type="character" w:customStyle="1" w:styleId="SecretariatChar">
    <w:name w:val="Secretariat Char"/>
    <w:basedOn w:val="PrelimminorheadingChar"/>
    <w:link w:val="Secretariat"/>
    <w:rsid w:val="00BD6A97"/>
    <w:rPr>
      <w:rFonts w:asciiTheme="majorHAnsi" w:eastAsiaTheme="minorEastAsia" w:hAnsiTheme="majorHAnsi" w:cstheme="majorHAnsi"/>
      <w:bCs/>
      <w:iCs/>
      <w:smallCaps/>
      <w:spacing w:val="2"/>
      <w:sz w:val="44"/>
      <w:szCs w:val="44"/>
    </w:rPr>
  </w:style>
  <w:style w:type="character" w:customStyle="1" w:styleId="ContactinformationChar">
    <w:name w:val="Contact information Char"/>
    <w:basedOn w:val="PrelimminorheadingChar"/>
    <w:link w:val="Contactinformation"/>
    <w:rsid w:val="00BD6A97"/>
    <w:rPr>
      <w:rFonts w:asciiTheme="majorHAnsi" w:eastAsiaTheme="minorEastAsia" w:hAnsiTheme="majorHAnsi" w:cstheme="majorHAnsi"/>
      <w:bCs/>
      <w:iCs/>
      <w:smallCaps/>
      <w:spacing w:val="2"/>
      <w:sz w:val="44"/>
      <w:szCs w:val="44"/>
    </w:rPr>
  </w:style>
  <w:style w:type="paragraph" w:customStyle="1" w:styleId="DPSEntryDetail">
    <w:name w:val="DPSEntryDetail"/>
    <w:link w:val="DPSEntryDetailChar"/>
    <w:rsid w:val="00377077"/>
    <w:pPr>
      <w:tabs>
        <w:tab w:val="left" w:pos="1197"/>
        <w:tab w:val="left" w:pos="1767"/>
      </w:tabs>
      <w:spacing w:before="120"/>
      <w:ind w:left="720"/>
      <w:jc w:val="both"/>
    </w:pPr>
    <w:rPr>
      <w:rFonts w:ascii="Times New Roman" w:eastAsia="Times New Roman" w:hAnsi="Times New Roman" w:cs="Times New Roman"/>
      <w:szCs w:val="20"/>
      <w:lang w:eastAsia="en-AU"/>
    </w:rPr>
  </w:style>
  <w:style w:type="character" w:customStyle="1" w:styleId="DPSEntryDetailChar">
    <w:name w:val="DPSEntryDetail Char"/>
    <w:basedOn w:val="DefaultParagraphFont"/>
    <w:link w:val="DPSEntryDetail"/>
    <w:rsid w:val="00377077"/>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1A7085"/>
    <w:rPr>
      <w:sz w:val="20"/>
      <w:szCs w:val="20"/>
    </w:rPr>
  </w:style>
  <w:style w:type="character" w:customStyle="1" w:styleId="EndnoteTextChar">
    <w:name w:val="Endnote Text Char"/>
    <w:basedOn w:val="DefaultParagraphFont"/>
    <w:link w:val="EndnoteText"/>
    <w:uiPriority w:val="99"/>
    <w:semiHidden/>
    <w:rsid w:val="001A7085"/>
    <w:rPr>
      <w:rFonts w:eastAsia="Times New Roman" w:cs="Times New Roman"/>
      <w:sz w:val="20"/>
      <w:szCs w:val="20"/>
    </w:rPr>
  </w:style>
  <w:style w:type="character" w:styleId="EndnoteReference">
    <w:name w:val="endnote reference"/>
    <w:basedOn w:val="DefaultParagraphFont"/>
    <w:uiPriority w:val="99"/>
    <w:semiHidden/>
    <w:unhideWhenUsed/>
    <w:rsid w:val="001A7085"/>
    <w:rPr>
      <w:vertAlign w:val="superscript"/>
    </w:rPr>
  </w:style>
  <w:style w:type="paragraph" w:customStyle="1" w:styleId="ActHead5">
    <w:name w:val="ActHead 5"/>
    <w:aliases w:val="s"/>
    <w:basedOn w:val="Normal"/>
    <w:next w:val="subsection"/>
    <w:qFormat/>
    <w:rsid w:val="00121E79"/>
    <w:pPr>
      <w:keepNext/>
      <w:keepLines/>
      <w:spacing w:before="280"/>
      <w:ind w:left="1134" w:hanging="1134"/>
      <w:outlineLvl w:val="4"/>
    </w:pPr>
    <w:rPr>
      <w:rFonts w:ascii="Times New Roman" w:hAnsi="Times New Roman"/>
      <w:b/>
      <w:kern w:val="28"/>
      <w:sz w:val="24"/>
      <w:szCs w:val="20"/>
      <w:lang w:eastAsia="en-AU"/>
    </w:rPr>
  </w:style>
  <w:style w:type="character" w:customStyle="1" w:styleId="CharSectno">
    <w:name w:val="CharSectno"/>
    <w:basedOn w:val="DefaultParagraphFont"/>
    <w:qFormat/>
    <w:rsid w:val="00121E79"/>
  </w:style>
  <w:style w:type="paragraph" w:customStyle="1" w:styleId="subsection">
    <w:name w:val="subsection"/>
    <w:aliases w:val="ss"/>
    <w:basedOn w:val="Normal"/>
    <w:rsid w:val="00121E79"/>
    <w:pPr>
      <w:tabs>
        <w:tab w:val="right" w:pos="1021"/>
      </w:tabs>
      <w:spacing w:before="180"/>
      <w:ind w:left="1134" w:hanging="1134"/>
    </w:pPr>
    <w:rPr>
      <w:rFonts w:ascii="Times New Roman" w:hAnsi="Times New Roman"/>
      <w:szCs w:val="20"/>
      <w:lang w:eastAsia="en-AU"/>
    </w:rPr>
  </w:style>
  <w:style w:type="paragraph" w:customStyle="1" w:styleId="Bulletlevel2">
    <w:name w:val="Bullet level 2"/>
    <w:basedOn w:val="Normal"/>
    <w:qFormat/>
    <w:rsid w:val="00570B40"/>
    <w:pPr>
      <w:keepNext/>
      <w:keepLines/>
      <w:numPr>
        <w:numId w:val="12"/>
      </w:numPr>
      <w:suppressAutoHyphens/>
      <w:spacing w:before="240" w:afterLines="15" w:line="264" w:lineRule="auto"/>
      <w:ind w:left="284" w:hanging="284"/>
    </w:pPr>
    <w:rPr>
      <w:rFonts w:ascii="Calibri" w:eastAsia="Calibri" w:hAnsi="Calibri" w:cs="Arial"/>
      <w:szCs w:val="22"/>
    </w:rPr>
  </w:style>
  <w:style w:type="paragraph" w:customStyle="1" w:styleId="Tabletext">
    <w:name w:val="Table text"/>
    <w:qFormat/>
    <w:rsid w:val="00570B40"/>
    <w:pPr>
      <w:keepNext/>
      <w:keepLines/>
      <w:suppressAutoHyphens/>
      <w:spacing w:beforeLines="30" w:afterLines="30"/>
    </w:pPr>
    <w:rPr>
      <w:rFonts w:ascii="Calibri" w:eastAsia="Calibri" w:hAnsi="Calibri" w:cs="Times New Roman"/>
      <w:sz w:val="20"/>
      <w:szCs w:val="20"/>
    </w:rPr>
  </w:style>
  <w:style w:type="paragraph" w:customStyle="1" w:styleId="TableHeading0">
    <w:name w:val="Table Heading"/>
    <w:basedOn w:val="Normal"/>
    <w:qFormat/>
    <w:rsid w:val="00570B40"/>
    <w:pPr>
      <w:keepNext/>
      <w:keepLines/>
      <w:suppressAutoHyphens/>
      <w:spacing w:beforeLines="30" w:afterLines="30" w:line="264" w:lineRule="auto"/>
    </w:pPr>
    <w:rPr>
      <w:rFonts w:ascii="Calibri" w:eastAsia="Calibri" w:hAnsi="Calibri"/>
      <w:color w:val="004990"/>
      <w:sz w:val="20"/>
      <w:szCs w:val="20"/>
    </w:rPr>
  </w:style>
  <w:style w:type="paragraph" w:styleId="Quote">
    <w:name w:val="Quote"/>
    <w:basedOn w:val="Normal"/>
    <w:next w:val="Normal"/>
    <w:link w:val="QuoteChar"/>
    <w:uiPriority w:val="29"/>
    <w:qFormat/>
    <w:rsid w:val="00524EA0"/>
    <w:pPr>
      <w:ind w:left="1276" w:right="1274"/>
    </w:pPr>
    <w:rPr>
      <w:rFonts w:eastAsia="Calibri"/>
      <w:iCs/>
      <w:color w:val="000000" w:themeColor="text1"/>
      <w:sz w:val="18"/>
      <w:szCs w:val="18"/>
      <w:lang w:eastAsia="en-AU"/>
    </w:rPr>
  </w:style>
  <w:style w:type="character" w:customStyle="1" w:styleId="QuoteChar">
    <w:name w:val="Quote Char"/>
    <w:basedOn w:val="DefaultParagraphFont"/>
    <w:link w:val="Quote"/>
    <w:uiPriority w:val="29"/>
    <w:rsid w:val="00524EA0"/>
    <w:rPr>
      <w:rFonts w:eastAsia="Calibri" w:cs="Times New Roman"/>
      <w:iCs/>
      <w:color w:val="000000" w:themeColor="text1"/>
      <w:sz w:val="18"/>
      <w:szCs w:val="18"/>
      <w:lang w:eastAsia="en-AU"/>
    </w:rPr>
  </w:style>
  <w:style w:type="paragraph" w:styleId="TOCHeading">
    <w:name w:val="TOC Heading"/>
    <w:basedOn w:val="Heading1"/>
    <w:next w:val="Normal"/>
    <w:uiPriority w:val="39"/>
    <w:semiHidden/>
    <w:unhideWhenUsed/>
    <w:qFormat/>
    <w:rsid w:val="009E622C"/>
    <w:pPr>
      <w:keepLines/>
      <w:pageBreakBefore w:val="0"/>
      <w:widowControl/>
      <w:numPr>
        <w:numId w:val="0"/>
      </w:numPr>
      <w:spacing w:before="480" w:afterLines="0" w:line="276" w:lineRule="auto"/>
      <w:outlineLvl w:val="9"/>
    </w:pPr>
    <w:rPr>
      <w:rFonts w:asciiTheme="majorHAnsi" w:hAnsiTheme="majorHAnsi"/>
      <w:b/>
      <w:smallCaps w:val="0"/>
      <w:color w:val="365F91" w:themeColor="accent1" w:themeShade="BF"/>
      <w:sz w:val="28"/>
      <w:szCs w:val="28"/>
      <w:lang w:val="en-US"/>
    </w:rPr>
  </w:style>
  <w:style w:type="character" w:styleId="FollowedHyperlink">
    <w:name w:val="FollowedHyperlink"/>
    <w:basedOn w:val="DefaultParagraphFont"/>
    <w:uiPriority w:val="99"/>
    <w:semiHidden/>
    <w:unhideWhenUsed/>
    <w:rsid w:val="008210F3"/>
    <w:rPr>
      <w:color w:val="800080" w:themeColor="followedHyperlink"/>
      <w:u w:val="single"/>
    </w:rPr>
  </w:style>
  <w:style w:type="paragraph" w:customStyle="1" w:styleId="Amain">
    <w:name w:val="A main"/>
    <w:basedOn w:val="Normal"/>
    <w:link w:val="AmainChar"/>
    <w:rsid w:val="006336A4"/>
    <w:pPr>
      <w:tabs>
        <w:tab w:val="right" w:pos="900"/>
        <w:tab w:val="left" w:pos="1100"/>
      </w:tabs>
      <w:spacing w:before="140"/>
      <w:ind w:left="1100" w:hanging="1100"/>
      <w:jc w:val="both"/>
      <w:outlineLvl w:val="5"/>
    </w:pPr>
    <w:rPr>
      <w:rFonts w:ascii="Times New Roman" w:hAnsi="Times New Roman"/>
      <w:sz w:val="24"/>
      <w:szCs w:val="20"/>
    </w:rPr>
  </w:style>
  <w:style w:type="paragraph" w:customStyle="1" w:styleId="Apara">
    <w:name w:val="A para"/>
    <w:basedOn w:val="Normal"/>
    <w:link w:val="AparaChar"/>
    <w:rsid w:val="006336A4"/>
    <w:pPr>
      <w:tabs>
        <w:tab w:val="right" w:pos="1400"/>
        <w:tab w:val="left" w:pos="1600"/>
      </w:tabs>
      <w:spacing w:before="140"/>
      <w:ind w:left="1600" w:hanging="1600"/>
      <w:jc w:val="both"/>
      <w:outlineLvl w:val="6"/>
    </w:pPr>
    <w:rPr>
      <w:rFonts w:ascii="Times New Roman" w:hAnsi="Times New Roman"/>
      <w:sz w:val="24"/>
      <w:szCs w:val="20"/>
    </w:rPr>
  </w:style>
  <w:style w:type="character" w:customStyle="1" w:styleId="AparaChar">
    <w:name w:val="A para Char"/>
    <w:basedOn w:val="DefaultParagraphFont"/>
    <w:link w:val="Apara"/>
    <w:locked/>
    <w:rsid w:val="006336A4"/>
    <w:rPr>
      <w:rFonts w:ascii="Times New Roman" w:eastAsia="Times New Roman" w:hAnsi="Times New Roman" w:cs="Times New Roman"/>
      <w:szCs w:val="20"/>
    </w:rPr>
  </w:style>
  <w:style w:type="character" w:customStyle="1" w:styleId="AmainChar">
    <w:name w:val="A main Char"/>
    <w:basedOn w:val="DefaultParagraphFont"/>
    <w:link w:val="Amain"/>
    <w:locked/>
    <w:rsid w:val="006336A4"/>
    <w:rPr>
      <w:rFonts w:ascii="Times New Roman" w:eastAsia="Times New Roman" w:hAnsi="Times New Roman" w:cs="Times New Roman"/>
      <w:szCs w:val="20"/>
    </w:rPr>
  </w:style>
  <w:style w:type="paragraph" w:customStyle="1" w:styleId="Default">
    <w:name w:val="Default"/>
    <w:rsid w:val="004F4136"/>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9C2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EA6396"/>
    <w:rPr>
      <w:rFonts w:ascii="Tahoma" w:hAnsi="Tahoma" w:cs="Tahoma"/>
      <w:sz w:val="16"/>
      <w:szCs w:val="16"/>
    </w:rPr>
  </w:style>
  <w:style w:type="character" w:customStyle="1" w:styleId="DocumentMapChar">
    <w:name w:val="Document Map Char"/>
    <w:basedOn w:val="DefaultParagraphFont"/>
    <w:link w:val="DocumentMap"/>
    <w:uiPriority w:val="99"/>
    <w:semiHidden/>
    <w:rsid w:val="00EA6396"/>
    <w:rPr>
      <w:rFonts w:ascii="Tahoma" w:eastAsia="Times New Roman" w:hAnsi="Tahoma" w:cs="Tahoma"/>
      <w:sz w:val="16"/>
      <w:szCs w:val="16"/>
    </w:rPr>
  </w:style>
  <w:style w:type="paragraph" w:customStyle="1" w:styleId="CM21">
    <w:name w:val="CM21"/>
    <w:basedOn w:val="Default"/>
    <w:next w:val="Default"/>
    <w:uiPriority w:val="99"/>
    <w:rsid w:val="00EB379B"/>
    <w:rPr>
      <w:rFonts w:ascii="Arial" w:hAnsi="Arial" w:cs="Arial"/>
      <w:color w:val="auto"/>
    </w:rPr>
  </w:style>
  <w:style w:type="paragraph" w:customStyle="1" w:styleId="CM7">
    <w:name w:val="CM7"/>
    <w:basedOn w:val="Default"/>
    <w:next w:val="Default"/>
    <w:uiPriority w:val="99"/>
    <w:rsid w:val="00EB379B"/>
    <w:pPr>
      <w:spacing w:line="300" w:lineRule="atLeast"/>
    </w:pPr>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w:divs>
    <w:div w:id="449131279">
      <w:bodyDiv w:val="1"/>
      <w:marLeft w:val="0"/>
      <w:marRight w:val="0"/>
      <w:marTop w:val="0"/>
      <w:marBottom w:val="0"/>
      <w:divBdr>
        <w:top w:val="none" w:sz="0" w:space="0" w:color="auto"/>
        <w:left w:val="none" w:sz="0" w:space="0" w:color="auto"/>
        <w:bottom w:val="none" w:sz="0" w:space="0" w:color="auto"/>
        <w:right w:val="none" w:sz="0" w:space="0" w:color="auto"/>
      </w:divBdr>
    </w:div>
    <w:div w:id="695154697">
      <w:bodyDiv w:val="1"/>
      <w:marLeft w:val="0"/>
      <w:marRight w:val="0"/>
      <w:marTop w:val="0"/>
      <w:marBottom w:val="0"/>
      <w:divBdr>
        <w:top w:val="none" w:sz="0" w:space="0" w:color="auto"/>
        <w:left w:val="none" w:sz="0" w:space="0" w:color="auto"/>
        <w:bottom w:val="none" w:sz="0" w:space="0" w:color="auto"/>
        <w:right w:val="none" w:sz="0" w:space="0" w:color="auto"/>
      </w:divBdr>
    </w:div>
    <w:div w:id="1126045634">
      <w:bodyDiv w:val="1"/>
      <w:marLeft w:val="0"/>
      <w:marRight w:val="0"/>
      <w:marTop w:val="0"/>
      <w:marBottom w:val="0"/>
      <w:divBdr>
        <w:top w:val="none" w:sz="0" w:space="0" w:color="auto"/>
        <w:left w:val="none" w:sz="0" w:space="0" w:color="auto"/>
        <w:bottom w:val="none" w:sz="0" w:space="0" w:color="auto"/>
        <w:right w:val="none" w:sz="0" w:space="0" w:color="auto"/>
      </w:divBdr>
    </w:div>
    <w:div w:id="1571889273">
      <w:bodyDiv w:val="1"/>
      <w:marLeft w:val="0"/>
      <w:marRight w:val="0"/>
      <w:marTop w:val="0"/>
      <w:marBottom w:val="0"/>
      <w:divBdr>
        <w:top w:val="none" w:sz="0" w:space="0" w:color="auto"/>
        <w:left w:val="none" w:sz="0" w:space="0" w:color="auto"/>
        <w:bottom w:val="none" w:sz="0" w:space="0" w:color="auto"/>
        <w:right w:val="none" w:sz="0" w:space="0" w:color="auto"/>
      </w:divBdr>
      <w:divsChild>
        <w:div w:id="1744642466">
          <w:marLeft w:val="0"/>
          <w:marRight w:val="0"/>
          <w:marTop w:val="0"/>
          <w:marBottom w:val="0"/>
          <w:divBdr>
            <w:top w:val="none" w:sz="0" w:space="0" w:color="auto"/>
            <w:left w:val="none" w:sz="0" w:space="0" w:color="auto"/>
            <w:bottom w:val="none" w:sz="0" w:space="0" w:color="auto"/>
            <w:right w:val="none" w:sz="0" w:space="0" w:color="auto"/>
          </w:divBdr>
          <w:divsChild>
            <w:div w:id="627010116">
              <w:marLeft w:val="0"/>
              <w:marRight w:val="0"/>
              <w:marTop w:val="0"/>
              <w:marBottom w:val="0"/>
              <w:divBdr>
                <w:top w:val="none" w:sz="0" w:space="0" w:color="auto"/>
                <w:left w:val="none" w:sz="0" w:space="0" w:color="auto"/>
                <w:bottom w:val="none" w:sz="0" w:space="0" w:color="auto"/>
                <w:right w:val="none" w:sz="0" w:space="0" w:color="auto"/>
              </w:divBdr>
              <w:divsChild>
                <w:div w:id="367997269">
                  <w:marLeft w:val="161"/>
                  <w:marRight w:val="161"/>
                  <w:marTop w:val="322"/>
                  <w:marBottom w:val="0"/>
                  <w:divBdr>
                    <w:top w:val="none" w:sz="0" w:space="0" w:color="auto"/>
                    <w:left w:val="none" w:sz="0" w:space="0" w:color="auto"/>
                    <w:bottom w:val="none" w:sz="0" w:space="0" w:color="auto"/>
                    <w:right w:val="none" w:sz="0" w:space="0" w:color="auto"/>
                  </w:divBdr>
                  <w:divsChild>
                    <w:div w:id="1983803837">
                      <w:marLeft w:val="0"/>
                      <w:marRight w:val="0"/>
                      <w:marTop w:val="0"/>
                      <w:marBottom w:val="0"/>
                      <w:divBdr>
                        <w:top w:val="none" w:sz="0" w:space="0" w:color="auto"/>
                        <w:left w:val="none" w:sz="0" w:space="0" w:color="auto"/>
                        <w:bottom w:val="none" w:sz="0" w:space="0" w:color="auto"/>
                        <w:right w:val="none" w:sz="0" w:space="0" w:color="auto"/>
                      </w:divBdr>
                      <w:divsChild>
                        <w:div w:id="1637561688">
                          <w:marLeft w:val="0"/>
                          <w:marRight w:val="0"/>
                          <w:marTop w:val="0"/>
                          <w:marBottom w:val="0"/>
                          <w:divBdr>
                            <w:top w:val="none" w:sz="0" w:space="0" w:color="auto"/>
                            <w:left w:val="none" w:sz="0" w:space="0" w:color="auto"/>
                            <w:bottom w:val="none" w:sz="0" w:space="0" w:color="auto"/>
                            <w:right w:val="none" w:sz="0" w:space="0" w:color="auto"/>
                          </w:divBdr>
                          <w:divsChild>
                            <w:div w:id="1222059877">
                              <w:marLeft w:val="0"/>
                              <w:marRight w:val="0"/>
                              <w:marTop w:val="0"/>
                              <w:marBottom w:val="0"/>
                              <w:divBdr>
                                <w:top w:val="none" w:sz="0" w:space="0" w:color="auto"/>
                                <w:left w:val="none" w:sz="0" w:space="0" w:color="auto"/>
                                <w:bottom w:val="none" w:sz="0" w:space="0" w:color="auto"/>
                                <w:right w:val="none" w:sz="0" w:space="0" w:color="auto"/>
                              </w:divBdr>
                              <w:divsChild>
                                <w:div w:id="469446765">
                                  <w:marLeft w:val="0"/>
                                  <w:marRight w:val="0"/>
                                  <w:marTop w:val="0"/>
                                  <w:marBottom w:val="107"/>
                                  <w:divBdr>
                                    <w:top w:val="none" w:sz="0" w:space="0" w:color="auto"/>
                                    <w:left w:val="none" w:sz="0" w:space="0" w:color="auto"/>
                                    <w:bottom w:val="none" w:sz="0" w:space="0" w:color="auto"/>
                                    <w:right w:val="none" w:sz="0" w:space="0" w:color="auto"/>
                                  </w:divBdr>
                                  <w:divsChild>
                                    <w:div w:id="940573240">
                                      <w:marLeft w:val="0"/>
                                      <w:marRight w:val="0"/>
                                      <w:marTop w:val="0"/>
                                      <w:marBottom w:val="0"/>
                                      <w:divBdr>
                                        <w:top w:val="none" w:sz="0" w:space="0" w:color="auto"/>
                                        <w:left w:val="none" w:sz="0" w:space="0" w:color="auto"/>
                                        <w:bottom w:val="none" w:sz="0" w:space="0" w:color="auto"/>
                                        <w:right w:val="none" w:sz="0" w:space="0" w:color="auto"/>
                                      </w:divBdr>
                                      <w:divsChild>
                                        <w:div w:id="581568781">
                                          <w:marLeft w:val="0"/>
                                          <w:marRight w:val="0"/>
                                          <w:marTop w:val="0"/>
                                          <w:marBottom w:val="0"/>
                                          <w:divBdr>
                                            <w:top w:val="none" w:sz="0" w:space="0" w:color="auto"/>
                                            <w:left w:val="none" w:sz="0" w:space="0" w:color="auto"/>
                                            <w:bottom w:val="none" w:sz="0" w:space="0" w:color="auto"/>
                                            <w:right w:val="none" w:sz="0" w:space="0" w:color="auto"/>
                                          </w:divBdr>
                                          <w:divsChild>
                                            <w:div w:id="1436053266">
                                              <w:marLeft w:val="0"/>
                                              <w:marRight w:val="0"/>
                                              <w:marTop w:val="0"/>
                                              <w:marBottom w:val="0"/>
                                              <w:divBdr>
                                                <w:top w:val="none" w:sz="0" w:space="0" w:color="auto"/>
                                                <w:left w:val="none" w:sz="0" w:space="0" w:color="auto"/>
                                                <w:bottom w:val="none" w:sz="0" w:space="0" w:color="auto"/>
                                                <w:right w:val="none" w:sz="0" w:space="0" w:color="auto"/>
                                              </w:divBdr>
                                              <w:divsChild>
                                                <w:div w:id="1241257844">
                                                  <w:marLeft w:val="0"/>
                                                  <w:marRight w:val="0"/>
                                                  <w:marTop w:val="0"/>
                                                  <w:marBottom w:val="0"/>
                                                  <w:divBdr>
                                                    <w:top w:val="none" w:sz="0" w:space="0" w:color="auto"/>
                                                    <w:left w:val="none" w:sz="0" w:space="0" w:color="auto"/>
                                                    <w:bottom w:val="none" w:sz="0" w:space="0" w:color="auto"/>
                                                    <w:right w:val="none" w:sz="0" w:space="0" w:color="auto"/>
                                                  </w:divBdr>
                                                  <w:divsChild>
                                                    <w:div w:id="7991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1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arliament.act.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www.parliament.act.gov.au/__data/assets/pdf_file/0004/698674/Budget-Protocols-for-the-Office-of-the-Legislative-Assembl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LA_report_rev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B57F-699E-42BC-9E50-1B32C8C5C572}"/>
</file>

<file path=customXml/itemProps2.xml><?xml version="1.0" encoding="utf-8"?>
<ds:datastoreItem xmlns:ds="http://schemas.openxmlformats.org/officeDocument/2006/customXml" ds:itemID="{424DBCFC-56B1-4872-8374-38FB45EBB1E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98986FE-A502-467D-B645-C53DD2E6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LA_report_rev7</Template>
  <TotalTime>13</TotalTime>
  <Pages>19</Pages>
  <Words>5415</Words>
  <Characters>29679</Characters>
  <Application>Microsoft Office Word</Application>
  <DocSecurity>0</DocSecurity>
  <Lines>529</Lines>
  <Paragraphs>259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skinner</dc:creator>
  <cp:lastModifiedBy>Janice Rafferty</cp:lastModifiedBy>
  <cp:revision>3</cp:revision>
  <cp:lastPrinted>2016-08-03T06:45:00Z</cp:lastPrinted>
  <dcterms:created xsi:type="dcterms:W3CDTF">2016-08-03T06:40:00Z</dcterms:created>
  <dcterms:modified xsi:type="dcterms:W3CDTF">2016-08-03T07:55:00Z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9799f0ad-4dd7-4a4f-8a1d-27e07ea7b30a</vt:lpwstr>
  </property>
  <property fmtid="{D5CDD505-2E9C-101B-9397-08002B2CF9AE}" pid="3" name="bjSaver">
    <vt:lpwstr>z6gaUQewXWo19zh3d8tGcLGqUprBBq7d</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