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572D4" w14:textId="1BF0BB96" w:rsidR="00AB5FCE" w:rsidRDefault="00AB5FCE"/>
    <w:sdt>
      <w:sdtPr>
        <w:id w:val="1399706619"/>
        <w:docPartObj>
          <w:docPartGallery w:val="Cover Pages"/>
          <w:docPartUnique/>
        </w:docPartObj>
      </w:sdtPr>
      <w:sdtContent>
        <w:p w14:paraId="34B572C3" w14:textId="6513E1AC" w:rsidR="00AB40E9" w:rsidRDefault="009A25E8">
          <w:r>
            <w:rPr>
              <w:rFonts w:ascii="Calibri" w:eastAsia="Times New Roman" w:hAnsi="Calibri"/>
              <w:noProof/>
              <w:color w:val="212121"/>
              <w:sz w:val="23"/>
              <w:szCs w:val="23"/>
              <w:lang w:eastAsia="en-AU"/>
            </w:rPr>
            <w:drawing>
              <wp:inline distT="0" distB="0" distL="0" distR="0" wp14:anchorId="59A8FF66" wp14:editId="435ABEDA">
                <wp:extent cx="1935480" cy="1428569"/>
                <wp:effectExtent l="0" t="0" r="7620" b="635"/>
                <wp:docPr id="27" name="Picture 27"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r w:rsidR="00161A65">
            <w:rPr>
              <w:noProof/>
              <w:lang w:eastAsia="en-AU"/>
            </w:rPr>
            <mc:AlternateContent>
              <mc:Choice Requires="wpg">
                <w:drawing>
                  <wp:anchor distT="0" distB="0" distL="114300" distR="114300" simplePos="0" relativeHeight="251658243" behindDoc="0" locked="0" layoutInCell="1" allowOverlap="1" wp14:anchorId="04AB09D7" wp14:editId="369EEF4E">
                    <wp:simplePos x="0" y="0"/>
                    <wp:positionH relativeFrom="page">
                      <wp:align>right</wp:align>
                    </wp:positionH>
                    <wp:positionV relativeFrom="page">
                      <wp:align>top</wp:align>
                    </wp:positionV>
                    <wp:extent cx="3016885" cy="10687685"/>
                    <wp:effectExtent l="0" t="0" r="5080" b="0"/>
                    <wp:wrapNone/>
                    <wp:docPr id="1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7685"/>
                              <a:chOff x="0" y="0"/>
                              <a:chExt cx="31136" cy="100584"/>
                            </a:xfrm>
                          </wpg:grpSpPr>
                          <wps:wsp>
                            <wps:cNvPr id="20" name="Rectangle 459" descr="Light vertical"/>
                            <wps:cNvSpPr>
                              <a:spLocks noChangeArrowheads="1"/>
                            </wps:cNvSpPr>
                            <wps:spPr bwMode="auto">
                              <a:xfrm>
                                <a:off x="0" y="0"/>
                                <a:ext cx="1385" cy="100584"/>
                              </a:xfrm>
                              <a:prstGeom prst="rect">
                                <a:avLst/>
                              </a:prstGeom>
                              <a:solidFill>
                                <a:srgbClr val="002060"/>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460"/>
                            <wps:cNvSpPr>
                              <a:spLocks noChangeArrowheads="1"/>
                            </wps:cNvSpPr>
                            <wps:spPr bwMode="auto">
                              <a:xfrm>
                                <a:off x="1246" y="0"/>
                                <a:ext cx="29718" cy="100584"/>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Content>
                                    <w:p w14:paraId="164B5763" w14:textId="5FBD20E4" w:rsidR="00A30ABA" w:rsidRDefault="00A30ABA">
                                      <w:pPr>
                                        <w:pStyle w:val="NoSpacing"/>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24"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694352C" w14:textId="3570E663" w:rsidR="00A30ABA" w:rsidRDefault="00A30ABA">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EC883EB" w14:textId="77777777" w:rsidR="00A30ABA" w:rsidRDefault="00A30ABA">
                                      <w:pPr>
                                        <w:pStyle w:val="NoSpacing"/>
                                        <w:spacing w:line="360" w:lineRule="auto"/>
                                        <w:rPr>
                                          <w:color w:val="FFFFFF" w:themeColor="background1"/>
                                        </w:rPr>
                                      </w:pPr>
                                      <w:r>
                                        <w:rPr>
                                          <w:color w:val="FFFFFF" w:themeColor="background1"/>
                                        </w:rPr>
                                        <w:t>Pegasus Economics</w:t>
                                      </w:r>
                                    </w:p>
                                  </w:sdtContent>
                                </w:sdt>
                                <w:p w14:paraId="7D79AB47" w14:textId="492D8803" w:rsidR="00A30ABA" w:rsidRDefault="00A30ABA">
                                  <w:pPr>
                                    <w:pStyle w:val="NoSpacing"/>
                                    <w:spacing w:line="360" w:lineRule="auto"/>
                                    <w:rPr>
                                      <w:color w:val="FFFFFF" w:themeColor="background1"/>
                                    </w:rPr>
                                  </w:pPr>
                                  <w:r>
                                    <w:rPr>
                                      <w:color w:val="FFFFFF" w:themeColor="background1"/>
                                    </w:rPr>
                                    <w:t>February 2021</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4AB09D7" id="Group 453" o:spid="_x0000_s1026" style="position:absolute;margin-left:186.35pt;margin-top:0;width:237.55pt;height:841.55pt;z-index:251658243;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" fillcolor="#002060"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Content>
                              <w:p w14:paraId="164B5763" w14:textId="5FBD20E4" w:rsidR="00A30ABA" w:rsidRDefault="00A30ABA">
                                <w:pPr>
                                  <w:pStyle w:val="NoSpacing"/>
                                  <w:rPr>
                                    <w:color w:val="FFFFFF" w:themeColor="background1"/>
                                    <w:sz w:val="96"/>
                                    <w:szCs w:val="96"/>
                                  </w:rPr>
                                </w:pPr>
                                <w:r>
                                  <w:rPr>
                                    <w:color w:val="FFFFFF" w:themeColor="background1"/>
                                    <w:sz w:val="96"/>
                                    <w:szCs w:val="96"/>
                                  </w:rPr>
                                  <w:t>2021</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694352C" w14:textId="3570E663" w:rsidR="00A30ABA" w:rsidRDefault="00A30ABA">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EC883EB" w14:textId="77777777" w:rsidR="00A30ABA" w:rsidRDefault="00A30ABA">
                                <w:pPr>
                                  <w:pStyle w:val="NoSpacing"/>
                                  <w:spacing w:line="360" w:lineRule="auto"/>
                                  <w:rPr>
                                    <w:color w:val="FFFFFF" w:themeColor="background1"/>
                                  </w:rPr>
                                </w:pPr>
                                <w:r>
                                  <w:rPr>
                                    <w:color w:val="FFFFFF" w:themeColor="background1"/>
                                  </w:rPr>
                                  <w:t>Pegasus Economics</w:t>
                                </w:r>
                              </w:p>
                            </w:sdtContent>
                          </w:sdt>
                          <w:p w14:paraId="7D79AB47" w14:textId="492D8803" w:rsidR="00A30ABA" w:rsidRDefault="00A30ABA">
                            <w:pPr>
                              <w:pStyle w:val="NoSpacing"/>
                              <w:spacing w:line="360" w:lineRule="auto"/>
                              <w:rPr>
                                <w:color w:val="FFFFFF" w:themeColor="background1"/>
                              </w:rPr>
                            </w:pPr>
                            <w:r>
                              <w:rPr>
                                <w:color w:val="FFFFFF" w:themeColor="background1"/>
                              </w:rPr>
                              <w:t>February 2021</w:t>
                            </w:r>
                          </w:p>
                        </w:txbxContent>
                      </v:textbox>
                    </v:rect>
                    <w10:wrap anchorx="page" anchory="page"/>
                  </v:group>
                </w:pict>
              </mc:Fallback>
            </mc:AlternateContent>
          </w:r>
          <w:r w:rsidR="00161A65">
            <w:rPr>
              <w:noProof/>
              <w:lang w:eastAsia="en-AU"/>
            </w:rPr>
            <mc:AlternateContent>
              <mc:Choice Requires="wps">
                <w:drawing>
                  <wp:anchor distT="0" distB="0" distL="114300" distR="114300" simplePos="0" relativeHeight="251658244" behindDoc="0" locked="0" layoutInCell="0" allowOverlap="1" wp14:anchorId="30A53CF2" wp14:editId="044D1E5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3754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37540"/>
                            </a:xfrm>
                            <a:prstGeom prst="rect">
                              <a:avLst/>
                            </a:prstGeom>
                            <a:solidFill>
                              <a:schemeClr val="tx1"/>
                            </a:solidFill>
                            <a:ln w="19050">
                              <a:solidFill>
                                <a:schemeClr val="tx1"/>
                              </a:solidFill>
                              <a:miter lim="800000"/>
                              <a:headEnd/>
                              <a:tailEnd/>
                            </a:ln>
                          </wps:spPr>
                          <wps:txbx>
                            <w:txbxContent>
                              <w:p w14:paraId="631A72DD" w14:textId="7AE3BD2A" w:rsidR="00A30ABA" w:rsidRPr="00DC33A9" w:rsidRDefault="00A30ABA">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Pr="00DC33A9">
                                      <w:rPr>
                                        <w:rFonts w:eastAsia="Times New Roman" w:cs="Times New Roman"/>
                                        <w:kern w:val="40"/>
                                        <w:sz w:val="68"/>
                                        <w:szCs w:val="68"/>
                                        <w:lang w:val="en-AU"/>
                                      </w:rPr>
                                      <w:t xml:space="preserve">Review of the ACT Budget </w:t>
                                    </w:r>
                                    <w:r>
                                      <w:rPr>
                                        <w:rFonts w:eastAsia="Times New Roman" w:cs="Times New Roman"/>
                                        <w:kern w:val="40"/>
                                        <w:sz w:val="68"/>
                                        <w:szCs w:val="68"/>
                                        <w:lang w:val="en-AU"/>
                                      </w:rPr>
                                      <w:t>2020-21</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A53CF2" id="Rectangle 16" o:spid="_x0000_s1031" style="position:absolute;margin-left:0;margin-top:0;width:533.6pt;height:50.2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" o:allowincell="f" fillcolor="black [3213]" strokecolor="black [3213]" strokeweight="1.5pt">
                    <v:textbox style="mso-fit-shape-to-text:t" inset="14.4pt,,14.4pt">
                      <w:txbxContent>
                        <w:p w14:paraId="631A72DD" w14:textId="7AE3BD2A" w:rsidR="00A30ABA" w:rsidRPr="00DC33A9" w:rsidRDefault="00A30ABA">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Pr="00DC33A9">
                                <w:rPr>
                                  <w:rFonts w:eastAsia="Times New Roman" w:cs="Times New Roman"/>
                                  <w:kern w:val="40"/>
                                  <w:sz w:val="68"/>
                                  <w:szCs w:val="68"/>
                                  <w:lang w:val="en-AU"/>
                                </w:rPr>
                                <w:t xml:space="preserve">Review of the ACT Budget </w:t>
                              </w:r>
                              <w:r>
                                <w:rPr>
                                  <w:rFonts w:eastAsia="Times New Roman" w:cs="Times New Roman"/>
                                  <w:kern w:val="40"/>
                                  <w:sz w:val="68"/>
                                  <w:szCs w:val="68"/>
                                  <w:lang w:val="en-AU"/>
                                </w:rPr>
                                <w:t>2020-21</w:t>
                              </w:r>
                            </w:sdtContent>
                          </w:sdt>
                        </w:p>
                      </w:txbxContent>
                    </v:textbox>
                    <w10:wrap anchorx="page" anchory="page"/>
                  </v:rect>
                </w:pict>
              </mc:Fallback>
            </mc:AlternateContent>
          </w:r>
        </w:p>
        <w:p w14:paraId="447E30DF" w14:textId="0BEBCA08" w:rsidR="00C65FCF" w:rsidRDefault="00C65FCF"/>
        <w:p w14:paraId="19FF7338" w14:textId="55A4577C" w:rsidR="00C65FCF" w:rsidRDefault="00C65FCF"/>
        <w:p w14:paraId="610E5797" w14:textId="6EA5392A" w:rsidR="00C65FCF" w:rsidRDefault="00C65FCF"/>
        <w:p w14:paraId="7087099B" w14:textId="0DDCE10F" w:rsidR="00C65FCF" w:rsidRDefault="00C65FCF"/>
        <w:p w14:paraId="232836E4" w14:textId="7A10A6B8" w:rsidR="00C65FCF" w:rsidRDefault="003F1412">
          <w:r w:rsidRPr="00C672E6">
            <w:rPr>
              <w:noProof/>
              <w:lang w:eastAsia="en-AU"/>
            </w:rPr>
            <w:drawing>
              <wp:inline distT="0" distB="0" distL="0" distR="0" wp14:anchorId="6BD8D368" wp14:editId="4DE127CC">
                <wp:extent cx="2724150" cy="44577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257" cy="4464421"/>
                        </a:xfrm>
                        <a:prstGeom prst="rect">
                          <a:avLst/>
                        </a:prstGeom>
                        <a:noFill/>
                        <a:ln>
                          <a:noFill/>
                        </a:ln>
                      </pic:spPr>
                    </pic:pic>
                  </a:graphicData>
                </a:graphic>
              </wp:inline>
            </w:drawing>
          </w:r>
        </w:p>
        <w:p w14:paraId="30007C3B" w14:textId="7E432247" w:rsidR="00AB40E9" w:rsidRDefault="00AB40E9">
          <w:r>
            <w:br w:type="page"/>
          </w:r>
        </w:p>
      </w:sdtContent>
    </w:sdt>
    <w:p w14:paraId="1DAAB1A9" w14:textId="05DEAB03" w:rsidR="00AB40E9" w:rsidRDefault="009A25E8">
      <w:r>
        <w:rPr>
          <w:rFonts w:ascii="Calibri" w:eastAsia="Times New Roman" w:hAnsi="Calibri"/>
          <w:noProof/>
          <w:color w:val="212121"/>
          <w:sz w:val="23"/>
          <w:szCs w:val="23"/>
          <w:lang w:eastAsia="en-AU"/>
        </w:rPr>
        <w:lastRenderedPageBreak/>
        <w:drawing>
          <wp:inline distT="0" distB="0" distL="0" distR="0" wp14:anchorId="35283D9B" wp14:editId="63D04610">
            <wp:extent cx="1935480" cy="1428569"/>
            <wp:effectExtent l="0" t="0" r="7620" b="635"/>
            <wp:docPr id="14" name="Picture 14"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p>
    <w:p w14:paraId="386E6C26" w14:textId="77777777" w:rsidR="00AB40E9" w:rsidRDefault="00AB40E9" w:rsidP="00DC3CC0">
      <w:pPr>
        <w:pStyle w:val="BodyText"/>
      </w:pPr>
      <w:r w:rsidRPr="001D0D4B">
        <w:t>Pegasus Economics • www.pegasus-economics.com.au • PO Box 449 Jamison Centre, Macquarie ACT 2614</w:t>
      </w:r>
    </w:p>
    <w:p w14:paraId="426CC4D1" w14:textId="77777777" w:rsidR="002F6974" w:rsidRPr="00775297" w:rsidRDefault="002F6974" w:rsidP="00F259F3">
      <w:pPr>
        <w:spacing w:before="240" w:after="181"/>
      </w:pPr>
      <w:r w:rsidRPr="00775297">
        <w:t xml:space="preserve">Pegasus Economics is a boutique economics and public policy consultancy firm that specialises in strategy and policy advice, economic analysis, trade practices, competition policy, regulatory instruments, accounting, financial management and organisation development.  </w:t>
      </w:r>
    </w:p>
    <w:p w14:paraId="61C76C0D" w14:textId="083409D4" w:rsidR="002F6974" w:rsidRDefault="002F6974" w:rsidP="002F6974">
      <w:r>
        <w:t xml:space="preserve">This report has been commissioned by </w:t>
      </w:r>
      <w:r w:rsidR="00C65FCF">
        <w:t xml:space="preserve">the </w:t>
      </w:r>
      <w:r w:rsidR="00F259F3">
        <w:t xml:space="preserve">ACT Legislative </w:t>
      </w:r>
      <w:r w:rsidR="00BA37ED" w:rsidRPr="0006230E">
        <w:t xml:space="preserve">Assembly’s </w:t>
      </w:r>
      <w:r w:rsidR="00BA37ED">
        <w:t>Standing Committee on Public Accounts</w:t>
      </w:r>
      <w:r w:rsidR="00BA37ED" w:rsidRPr="0006230E">
        <w:t xml:space="preserve"> </w:t>
      </w:r>
      <w:r>
        <w:t xml:space="preserve">to </w:t>
      </w:r>
      <w:r w:rsidR="00F259F3" w:rsidRPr="0006230E">
        <w:t>assist the Committee in its deliberations in relation to the 201</w:t>
      </w:r>
      <w:r w:rsidR="00C65FCF">
        <w:t>9</w:t>
      </w:r>
      <w:r w:rsidR="00F259F3" w:rsidRPr="0006230E">
        <w:t>-</w:t>
      </w:r>
      <w:r w:rsidR="00C65FCF">
        <w:t>20</w:t>
      </w:r>
      <w:r w:rsidR="00F259F3" w:rsidRPr="0006230E">
        <w:t xml:space="preserve"> ACT Budget</w:t>
      </w:r>
      <w:r>
        <w:t>.</w:t>
      </w:r>
    </w:p>
    <w:p w14:paraId="3A891EAB" w14:textId="40282125" w:rsidR="002F6974" w:rsidRDefault="002F6974" w:rsidP="002F6974">
      <w:r>
        <w:t>The views and opinions expressed in this report are those of the author</w:t>
      </w:r>
      <w:r w:rsidR="00F259F3">
        <w:t>s</w:t>
      </w:r>
      <w:r>
        <w:t>.</w:t>
      </w:r>
    </w:p>
    <w:p w14:paraId="633D98BA" w14:textId="046818EC" w:rsidR="00AB40E9" w:rsidRPr="00D902B5" w:rsidRDefault="00AB40E9" w:rsidP="00AB40E9">
      <w:r w:rsidRPr="00D902B5">
        <w:t>For information on this report please contact:</w:t>
      </w:r>
    </w:p>
    <w:p w14:paraId="4D18F42E" w14:textId="3FA1448E" w:rsidR="00AB40E9" w:rsidRDefault="00AB40E9" w:rsidP="00AB40E9">
      <w:r w:rsidRPr="00D902B5">
        <w:t xml:space="preserve">Name: </w:t>
      </w:r>
      <w:r w:rsidRPr="00D902B5">
        <w:tab/>
      </w:r>
      <w:r>
        <w:tab/>
        <w:t>Dr Alistair Davey</w:t>
      </w:r>
    </w:p>
    <w:p w14:paraId="740B5E30" w14:textId="77777777" w:rsidR="002F6974" w:rsidRDefault="002F6974" w:rsidP="002F6974">
      <w:pPr>
        <w:tabs>
          <w:tab w:val="center" w:pos="2181"/>
        </w:tabs>
        <w:ind w:left="-15"/>
      </w:pPr>
      <w:r>
        <w:t>Telephone:</w:t>
      </w:r>
      <w:r>
        <w:tab/>
      </w:r>
      <w:r>
        <w:rPr>
          <w:rFonts w:ascii="Calibri" w:hAnsi="Calibri" w:cs="Calibri"/>
        </w:rPr>
        <w:t>+ 61 2 6100 4090</w:t>
      </w:r>
    </w:p>
    <w:p w14:paraId="515C7608" w14:textId="77777777" w:rsidR="00AB40E9" w:rsidRPr="00D902B5" w:rsidRDefault="00AB40E9" w:rsidP="00AB40E9">
      <w:r>
        <w:t>Mobile:</w:t>
      </w:r>
      <w:r>
        <w:tab/>
      </w:r>
      <w:r>
        <w:tab/>
        <w:t>0422 211 110</w:t>
      </w:r>
    </w:p>
    <w:p w14:paraId="6328EB45" w14:textId="3D11683B" w:rsidR="00AB40E9" w:rsidRDefault="00AB40E9" w:rsidP="00AB40E9">
      <w:pPr>
        <w:spacing w:before="240"/>
      </w:pPr>
      <w:r>
        <w:t>Email:</w:t>
      </w:r>
      <w:r>
        <w:tab/>
      </w:r>
      <w:r>
        <w:tab/>
      </w:r>
      <w:hyperlink r:id="rId12" w:history="1">
        <w:r w:rsidR="00C65FCF" w:rsidRPr="009D2FFC">
          <w:rPr>
            <w:rStyle w:val="Hyperlink"/>
          </w:rPr>
          <w:t>adavey@pegasus-economics.com.au</w:t>
        </w:r>
      </w:hyperlink>
    </w:p>
    <w:p w14:paraId="126A35C6" w14:textId="5FD87EBE" w:rsidR="00C65FCF" w:rsidRDefault="00C65FCF" w:rsidP="00AB40E9">
      <w:pPr>
        <w:spacing w:before="240"/>
      </w:pPr>
    </w:p>
    <w:p w14:paraId="0F831AAA" w14:textId="606D4ECF" w:rsidR="00C65FCF" w:rsidRPr="00AB40E9" w:rsidRDefault="00C65FCF" w:rsidP="00FB5F08">
      <w:pPr>
        <w:spacing w:before="240"/>
      </w:pPr>
      <w:r>
        <w:t xml:space="preserve">Photograph on the front cover is taken from </w:t>
      </w:r>
      <w:r w:rsidR="00FB5F08">
        <w:t xml:space="preserve">the front cover of </w:t>
      </w:r>
      <w:r w:rsidR="00DA22D6" w:rsidRPr="00DA22D6">
        <w:rPr>
          <w:i/>
          <w:iCs/>
        </w:rPr>
        <w:t xml:space="preserve">Australian Capital Territory Budget 2020-21: Driving Canberra's Recovery </w:t>
      </w:r>
      <w:r w:rsidR="00DA22D6">
        <w:rPr>
          <w:i/>
          <w:iCs/>
        </w:rPr>
        <w:t>–</w:t>
      </w:r>
      <w:r w:rsidR="00DA22D6" w:rsidRPr="00DA22D6">
        <w:rPr>
          <w:i/>
          <w:iCs/>
        </w:rPr>
        <w:t xml:space="preserve"> </w:t>
      </w:r>
      <w:r w:rsidR="00DA22D6">
        <w:rPr>
          <w:i/>
          <w:iCs/>
        </w:rPr>
        <w:t xml:space="preserve">Budget </w:t>
      </w:r>
      <w:r w:rsidR="00DA22D6" w:rsidRPr="00DA22D6">
        <w:rPr>
          <w:i/>
          <w:iCs/>
        </w:rPr>
        <w:t>Outlook</w:t>
      </w:r>
      <w:r w:rsidR="00DA22D6" w:rsidRPr="00DA22D6">
        <w:t xml:space="preserve"> </w:t>
      </w:r>
      <w:r>
        <w:t>from the 20</w:t>
      </w:r>
      <w:r w:rsidR="00DA22D6">
        <w:t>20</w:t>
      </w:r>
      <w:r>
        <w:t>-2</w:t>
      </w:r>
      <w:r w:rsidR="00DA22D6">
        <w:t>1</w:t>
      </w:r>
      <w:r>
        <w:t xml:space="preserve"> ACT Budget.</w:t>
      </w:r>
    </w:p>
    <w:p w14:paraId="33D69228" w14:textId="77777777" w:rsidR="00AB40E9" w:rsidRDefault="00AB40E9">
      <w:r>
        <w:br w:type="page"/>
      </w:r>
    </w:p>
    <w:sdt>
      <w:sdtPr>
        <w:rPr>
          <w:rFonts w:asciiTheme="minorHAnsi" w:eastAsiaTheme="minorHAnsi" w:hAnsiTheme="minorHAnsi" w:cstheme="minorBidi"/>
          <w:color w:val="auto"/>
          <w:sz w:val="22"/>
          <w:szCs w:val="22"/>
          <w:lang w:val="en-AU"/>
        </w:rPr>
        <w:id w:val="418369371"/>
        <w:docPartObj>
          <w:docPartGallery w:val="Table of Contents"/>
          <w:docPartUnique/>
        </w:docPartObj>
      </w:sdtPr>
      <w:sdtEndPr>
        <w:rPr>
          <w:b/>
          <w:bCs/>
          <w:noProof/>
        </w:rPr>
      </w:sdtEndPr>
      <w:sdtContent>
        <w:p w14:paraId="49B1C513" w14:textId="77777777" w:rsidR="00F2715A" w:rsidRDefault="00F2715A">
          <w:pPr>
            <w:pStyle w:val="TOCHeading"/>
          </w:pPr>
          <w:r>
            <w:t>Table of Contents</w:t>
          </w:r>
        </w:p>
        <w:p w14:paraId="1C70E55B" w14:textId="3B781094" w:rsidR="00921C0A" w:rsidRDefault="00AF4AA5">
          <w:pPr>
            <w:pStyle w:val="TOC1"/>
            <w:tabs>
              <w:tab w:val="right" w:leader="dot" w:pos="9016"/>
            </w:tabs>
            <w:rPr>
              <w:rFonts w:asciiTheme="minorHAnsi" w:eastAsiaTheme="minorEastAsia" w:hAnsiTheme="minorHAnsi" w:cstheme="minorBidi"/>
              <w:b w:val="0"/>
              <w:noProof/>
              <w:color w:val="auto"/>
              <w:lang w:val="en-AU" w:eastAsia="en-AU"/>
            </w:rPr>
          </w:pPr>
          <w:r>
            <w:fldChar w:fldCharType="begin"/>
          </w:r>
          <w:r w:rsidR="00F2715A">
            <w:instrText xml:space="preserve"> TOC \o "1-3" \h \z \u </w:instrText>
          </w:r>
          <w:r>
            <w:fldChar w:fldCharType="separate"/>
          </w:r>
          <w:hyperlink w:anchor="_Toc64529012" w:history="1">
            <w:r w:rsidR="00921C0A" w:rsidRPr="00D875C3">
              <w:rPr>
                <w:rStyle w:val="Hyperlink"/>
                <w:noProof/>
              </w:rPr>
              <w:t>Executive Summary</w:t>
            </w:r>
            <w:r w:rsidR="00921C0A">
              <w:rPr>
                <w:noProof/>
                <w:webHidden/>
              </w:rPr>
              <w:tab/>
            </w:r>
            <w:r w:rsidR="00921C0A">
              <w:rPr>
                <w:noProof/>
                <w:webHidden/>
              </w:rPr>
              <w:fldChar w:fldCharType="begin"/>
            </w:r>
            <w:r w:rsidR="00921C0A">
              <w:rPr>
                <w:noProof/>
                <w:webHidden/>
              </w:rPr>
              <w:instrText xml:space="preserve"> PAGEREF _Toc64529012 \h </w:instrText>
            </w:r>
            <w:r w:rsidR="00921C0A">
              <w:rPr>
                <w:noProof/>
                <w:webHidden/>
              </w:rPr>
            </w:r>
            <w:r w:rsidR="00921C0A">
              <w:rPr>
                <w:noProof/>
                <w:webHidden/>
              </w:rPr>
              <w:fldChar w:fldCharType="separate"/>
            </w:r>
            <w:r w:rsidR="00AB7125">
              <w:rPr>
                <w:noProof/>
                <w:webHidden/>
              </w:rPr>
              <w:t>vi</w:t>
            </w:r>
            <w:r w:rsidR="00921C0A">
              <w:rPr>
                <w:noProof/>
                <w:webHidden/>
              </w:rPr>
              <w:fldChar w:fldCharType="end"/>
            </w:r>
          </w:hyperlink>
        </w:p>
        <w:p w14:paraId="321BA3DC" w14:textId="29FC87DF" w:rsidR="00921C0A" w:rsidRDefault="00921C0A">
          <w:pPr>
            <w:pStyle w:val="TOC2"/>
            <w:tabs>
              <w:tab w:val="right" w:leader="dot" w:pos="9016"/>
            </w:tabs>
            <w:rPr>
              <w:rFonts w:asciiTheme="minorHAnsi" w:eastAsiaTheme="minorEastAsia" w:hAnsiTheme="minorHAnsi" w:cstheme="minorBidi"/>
              <w:noProof/>
              <w:color w:val="auto"/>
              <w:lang w:val="en-AU" w:eastAsia="en-AU"/>
            </w:rPr>
          </w:pPr>
          <w:hyperlink w:anchor="_Toc64529013" w:history="1">
            <w:r w:rsidRPr="00D875C3">
              <w:rPr>
                <w:rStyle w:val="Hyperlink"/>
                <w:noProof/>
              </w:rPr>
              <w:t>Overview</w:t>
            </w:r>
            <w:r>
              <w:rPr>
                <w:noProof/>
                <w:webHidden/>
              </w:rPr>
              <w:tab/>
            </w:r>
            <w:r>
              <w:rPr>
                <w:noProof/>
                <w:webHidden/>
              </w:rPr>
              <w:fldChar w:fldCharType="begin"/>
            </w:r>
            <w:r>
              <w:rPr>
                <w:noProof/>
                <w:webHidden/>
              </w:rPr>
              <w:instrText xml:space="preserve"> PAGEREF _Toc64529013 \h </w:instrText>
            </w:r>
            <w:r>
              <w:rPr>
                <w:noProof/>
                <w:webHidden/>
              </w:rPr>
            </w:r>
            <w:r>
              <w:rPr>
                <w:noProof/>
                <w:webHidden/>
              </w:rPr>
              <w:fldChar w:fldCharType="separate"/>
            </w:r>
            <w:r w:rsidR="00AB7125">
              <w:rPr>
                <w:noProof/>
                <w:webHidden/>
              </w:rPr>
              <w:t>vi</w:t>
            </w:r>
            <w:r>
              <w:rPr>
                <w:noProof/>
                <w:webHidden/>
              </w:rPr>
              <w:fldChar w:fldCharType="end"/>
            </w:r>
          </w:hyperlink>
        </w:p>
        <w:p w14:paraId="6969F38E" w14:textId="776FE219" w:rsidR="00921C0A" w:rsidRDefault="00921C0A">
          <w:pPr>
            <w:pStyle w:val="TOC2"/>
            <w:tabs>
              <w:tab w:val="right" w:leader="dot" w:pos="9016"/>
            </w:tabs>
            <w:rPr>
              <w:rFonts w:asciiTheme="minorHAnsi" w:eastAsiaTheme="minorEastAsia" w:hAnsiTheme="minorHAnsi" w:cstheme="minorBidi"/>
              <w:noProof/>
              <w:color w:val="auto"/>
              <w:lang w:val="en-AU" w:eastAsia="en-AU"/>
            </w:rPr>
          </w:pPr>
          <w:hyperlink w:anchor="_Toc64529014" w:history="1">
            <w:r w:rsidRPr="00D875C3">
              <w:rPr>
                <w:rStyle w:val="Hyperlink"/>
                <w:noProof/>
              </w:rPr>
              <w:t>Limitation of Scope</w:t>
            </w:r>
            <w:r>
              <w:rPr>
                <w:noProof/>
                <w:webHidden/>
              </w:rPr>
              <w:tab/>
            </w:r>
            <w:r>
              <w:rPr>
                <w:noProof/>
                <w:webHidden/>
              </w:rPr>
              <w:fldChar w:fldCharType="begin"/>
            </w:r>
            <w:r>
              <w:rPr>
                <w:noProof/>
                <w:webHidden/>
              </w:rPr>
              <w:instrText xml:space="preserve"> PAGEREF _Toc64529014 \h </w:instrText>
            </w:r>
            <w:r>
              <w:rPr>
                <w:noProof/>
                <w:webHidden/>
              </w:rPr>
            </w:r>
            <w:r>
              <w:rPr>
                <w:noProof/>
                <w:webHidden/>
              </w:rPr>
              <w:fldChar w:fldCharType="separate"/>
            </w:r>
            <w:r w:rsidR="00AB7125">
              <w:rPr>
                <w:noProof/>
                <w:webHidden/>
              </w:rPr>
              <w:t>vii</w:t>
            </w:r>
            <w:r>
              <w:rPr>
                <w:noProof/>
                <w:webHidden/>
              </w:rPr>
              <w:fldChar w:fldCharType="end"/>
            </w:r>
          </w:hyperlink>
        </w:p>
        <w:p w14:paraId="20B1771D" w14:textId="6BFFEE44" w:rsidR="00921C0A" w:rsidRDefault="00921C0A">
          <w:pPr>
            <w:pStyle w:val="TOC2"/>
            <w:tabs>
              <w:tab w:val="right" w:leader="dot" w:pos="9016"/>
            </w:tabs>
            <w:rPr>
              <w:rFonts w:asciiTheme="minorHAnsi" w:eastAsiaTheme="minorEastAsia" w:hAnsiTheme="minorHAnsi" w:cstheme="minorBidi"/>
              <w:noProof/>
              <w:color w:val="auto"/>
              <w:lang w:val="en-AU" w:eastAsia="en-AU"/>
            </w:rPr>
          </w:pPr>
          <w:hyperlink w:anchor="_Toc64529015" w:history="1">
            <w:r w:rsidRPr="00D875C3">
              <w:rPr>
                <w:rStyle w:val="Hyperlink"/>
                <w:noProof/>
              </w:rPr>
              <w:t>Issues that may benefit from further investigation</w:t>
            </w:r>
            <w:r>
              <w:rPr>
                <w:noProof/>
                <w:webHidden/>
              </w:rPr>
              <w:tab/>
            </w:r>
            <w:r>
              <w:rPr>
                <w:noProof/>
                <w:webHidden/>
              </w:rPr>
              <w:fldChar w:fldCharType="begin"/>
            </w:r>
            <w:r>
              <w:rPr>
                <w:noProof/>
                <w:webHidden/>
              </w:rPr>
              <w:instrText xml:space="preserve"> PAGEREF _Toc64529015 \h </w:instrText>
            </w:r>
            <w:r>
              <w:rPr>
                <w:noProof/>
                <w:webHidden/>
              </w:rPr>
            </w:r>
            <w:r>
              <w:rPr>
                <w:noProof/>
                <w:webHidden/>
              </w:rPr>
              <w:fldChar w:fldCharType="separate"/>
            </w:r>
            <w:r w:rsidR="00AB7125">
              <w:rPr>
                <w:noProof/>
                <w:webHidden/>
              </w:rPr>
              <w:t>vii</w:t>
            </w:r>
            <w:r>
              <w:rPr>
                <w:noProof/>
                <w:webHidden/>
              </w:rPr>
              <w:fldChar w:fldCharType="end"/>
            </w:r>
          </w:hyperlink>
        </w:p>
        <w:p w14:paraId="533355EC" w14:textId="31F4202B"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16" w:history="1">
            <w:r w:rsidRPr="00D875C3">
              <w:rPr>
                <w:rStyle w:val="Hyperlink"/>
                <w:noProof/>
              </w:rPr>
              <w:t>1.</w:t>
            </w:r>
            <w:r>
              <w:rPr>
                <w:rFonts w:asciiTheme="minorHAnsi" w:eastAsiaTheme="minorEastAsia" w:hAnsiTheme="minorHAnsi" w:cstheme="minorBidi"/>
                <w:b w:val="0"/>
                <w:noProof/>
                <w:color w:val="auto"/>
                <w:lang w:val="en-AU" w:eastAsia="en-AU"/>
              </w:rPr>
              <w:tab/>
            </w:r>
            <w:r w:rsidRPr="00D875C3">
              <w:rPr>
                <w:rStyle w:val="Hyperlink"/>
                <w:noProof/>
              </w:rPr>
              <w:t>Introduction</w:t>
            </w:r>
            <w:r>
              <w:rPr>
                <w:noProof/>
                <w:webHidden/>
              </w:rPr>
              <w:tab/>
            </w:r>
            <w:r>
              <w:rPr>
                <w:noProof/>
                <w:webHidden/>
              </w:rPr>
              <w:fldChar w:fldCharType="begin"/>
            </w:r>
            <w:r>
              <w:rPr>
                <w:noProof/>
                <w:webHidden/>
              </w:rPr>
              <w:instrText xml:space="preserve"> PAGEREF _Toc64529016 \h </w:instrText>
            </w:r>
            <w:r>
              <w:rPr>
                <w:noProof/>
                <w:webHidden/>
              </w:rPr>
            </w:r>
            <w:r>
              <w:rPr>
                <w:noProof/>
                <w:webHidden/>
              </w:rPr>
              <w:fldChar w:fldCharType="separate"/>
            </w:r>
            <w:r w:rsidR="00AB7125">
              <w:rPr>
                <w:noProof/>
                <w:webHidden/>
              </w:rPr>
              <w:t>1</w:t>
            </w:r>
            <w:r>
              <w:rPr>
                <w:noProof/>
                <w:webHidden/>
              </w:rPr>
              <w:fldChar w:fldCharType="end"/>
            </w:r>
          </w:hyperlink>
        </w:p>
        <w:p w14:paraId="73741606" w14:textId="209E95EA"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17" w:history="1">
            <w:r w:rsidRPr="00D875C3">
              <w:rPr>
                <w:rStyle w:val="Hyperlink"/>
                <w:noProof/>
              </w:rPr>
              <w:t>1.1</w:t>
            </w:r>
            <w:r>
              <w:rPr>
                <w:rFonts w:asciiTheme="minorHAnsi" w:eastAsiaTheme="minorEastAsia" w:hAnsiTheme="minorHAnsi" w:cstheme="minorBidi"/>
                <w:noProof/>
                <w:color w:val="auto"/>
                <w:lang w:val="en-AU" w:eastAsia="en-AU"/>
              </w:rPr>
              <w:tab/>
            </w:r>
            <w:r w:rsidRPr="00D875C3">
              <w:rPr>
                <w:rStyle w:val="Hyperlink"/>
                <w:noProof/>
              </w:rPr>
              <w:t>Introduction</w:t>
            </w:r>
            <w:r>
              <w:rPr>
                <w:noProof/>
                <w:webHidden/>
              </w:rPr>
              <w:tab/>
            </w:r>
            <w:r>
              <w:rPr>
                <w:noProof/>
                <w:webHidden/>
              </w:rPr>
              <w:fldChar w:fldCharType="begin"/>
            </w:r>
            <w:r>
              <w:rPr>
                <w:noProof/>
                <w:webHidden/>
              </w:rPr>
              <w:instrText xml:space="preserve"> PAGEREF _Toc64529017 \h </w:instrText>
            </w:r>
            <w:r>
              <w:rPr>
                <w:noProof/>
                <w:webHidden/>
              </w:rPr>
            </w:r>
            <w:r>
              <w:rPr>
                <w:noProof/>
                <w:webHidden/>
              </w:rPr>
              <w:fldChar w:fldCharType="separate"/>
            </w:r>
            <w:r w:rsidR="00AB7125">
              <w:rPr>
                <w:noProof/>
                <w:webHidden/>
              </w:rPr>
              <w:t>1</w:t>
            </w:r>
            <w:r>
              <w:rPr>
                <w:noProof/>
                <w:webHidden/>
              </w:rPr>
              <w:fldChar w:fldCharType="end"/>
            </w:r>
          </w:hyperlink>
        </w:p>
        <w:p w14:paraId="477DD579" w14:textId="7162B1B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18" w:history="1">
            <w:r w:rsidRPr="00D875C3">
              <w:rPr>
                <w:rStyle w:val="Hyperlink"/>
                <w:noProof/>
              </w:rPr>
              <w:t>1.2</w:t>
            </w:r>
            <w:r>
              <w:rPr>
                <w:rFonts w:asciiTheme="minorHAnsi" w:eastAsiaTheme="minorEastAsia" w:hAnsiTheme="minorHAnsi" w:cstheme="minorBidi"/>
                <w:noProof/>
                <w:color w:val="auto"/>
                <w:lang w:val="en-AU" w:eastAsia="en-AU"/>
              </w:rPr>
              <w:tab/>
            </w:r>
            <w:r w:rsidRPr="00D875C3">
              <w:rPr>
                <w:rStyle w:val="Hyperlink"/>
                <w:noProof/>
              </w:rPr>
              <w:t>Background</w:t>
            </w:r>
            <w:r>
              <w:rPr>
                <w:noProof/>
                <w:webHidden/>
              </w:rPr>
              <w:tab/>
            </w:r>
            <w:r>
              <w:rPr>
                <w:noProof/>
                <w:webHidden/>
              </w:rPr>
              <w:fldChar w:fldCharType="begin"/>
            </w:r>
            <w:r>
              <w:rPr>
                <w:noProof/>
                <w:webHidden/>
              </w:rPr>
              <w:instrText xml:space="preserve"> PAGEREF _Toc64529018 \h </w:instrText>
            </w:r>
            <w:r>
              <w:rPr>
                <w:noProof/>
                <w:webHidden/>
              </w:rPr>
            </w:r>
            <w:r>
              <w:rPr>
                <w:noProof/>
                <w:webHidden/>
              </w:rPr>
              <w:fldChar w:fldCharType="separate"/>
            </w:r>
            <w:r w:rsidR="00AB7125">
              <w:rPr>
                <w:noProof/>
                <w:webHidden/>
              </w:rPr>
              <w:t>1</w:t>
            </w:r>
            <w:r>
              <w:rPr>
                <w:noProof/>
                <w:webHidden/>
              </w:rPr>
              <w:fldChar w:fldCharType="end"/>
            </w:r>
          </w:hyperlink>
        </w:p>
        <w:p w14:paraId="41734F02" w14:textId="4ADFB2B6"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19" w:history="1">
            <w:r w:rsidRPr="00D875C3">
              <w:rPr>
                <w:rStyle w:val="Hyperlink"/>
                <w:noProof/>
              </w:rPr>
              <w:t>1.3</w:t>
            </w:r>
            <w:r>
              <w:rPr>
                <w:rFonts w:asciiTheme="minorHAnsi" w:eastAsiaTheme="minorEastAsia" w:hAnsiTheme="minorHAnsi" w:cstheme="minorBidi"/>
                <w:noProof/>
                <w:color w:val="auto"/>
                <w:lang w:val="en-AU" w:eastAsia="en-AU"/>
              </w:rPr>
              <w:tab/>
            </w:r>
            <w:r w:rsidRPr="00D875C3">
              <w:rPr>
                <w:rStyle w:val="Hyperlink"/>
                <w:noProof/>
              </w:rPr>
              <w:t>Purpose</w:t>
            </w:r>
            <w:r>
              <w:rPr>
                <w:noProof/>
                <w:webHidden/>
              </w:rPr>
              <w:tab/>
            </w:r>
            <w:r>
              <w:rPr>
                <w:noProof/>
                <w:webHidden/>
              </w:rPr>
              <w:fldChar w:fldCharType="begin"/>
            </w:r>
            <w:r>
              <w:rPr>
                <w:noProof/>
                <w:webHidden/>
              </w:rPr>
              <w:instrText xml:space="preserve"> PAGEREF _Toc64529019 \h </w:instrText>
            </w:r>
            <w:r>
              <w:rPr>
                <w:noProof/>
                <w:webHidden/>
              </w:rPr>
            </w:r>
            <w:r>
              <w:rPr>
                <w:noProof/>
                <w:webHidden/>
              </w:rPr>
              <w:fldChar w:fldCharType="separate"/>
            </w:r>
            <w:r w:rsidR="00AB7125">
              <w:rPr>
                <w:noProof/>
                <w:webHidden/>
              </w:rPr>
              <w:t>1</w:t>
            </w:r>
            <w:r>
              <w:rPr>
                <w:noProof/>
                <w:webHidden/>
              </w:rPr>
              <w:fldChar w:fldCharType="end"/>
            </w:r>
          </w:hyperlink>
        </w:p>
        <w:p w14:paraId="7FAAE793" w14:textId="2A6E990F"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0" w:history="1">
            <w:r w:rsidRPr="00D875C3">
              <w:rPr>
                <w:rStyle w:val="Hyperlink"/>
                <w:noProof/>
              </w:rPr>
              <w:t>1.4</w:t>
            </w:r>
            <w:r>
              <w:rPr>
                <w:rFonts w:asciiTheme="minorHAnsi" w:eastAsiaTheme="minorEastAsia" w:hAnsiTheme="minorHAnsi" w:cstheme="minorBidi"/>
                <w:noProof/>
                <w:color w:val="auto"/>
                <w:lang w:val="en-AU" w:eastAsia="en-AU"/>
              </w:rPr>
              <w:tab/>
            </w:r>
            <w:r w:rsidRPr="00D875C3">
              <w:rPr>
                <w:rStyle w:val="Hyperlink"/>
                <w:noProof/>
              </w:rPr>
              <w:t>Approach</w:t>
            </w:r>
            <w:r>
              <w:rPr>
                <w:noProof/>
                <w:webHidden/>
              </w:rPr>
              <w:tab/>
            </w:r>
            <w:r>
              <w:rPr>
                <w:noProof/>
                <w:webHidden/>
              </w:rPr>
              <w:fldChar w:fldCharType="begin"/>
            </w:r>
            <w:r>
              <w:rPr>
                <w:noProof/>
                <w:webHidden/>
              </w:rPr>
              <w:instrText xml:space="preserve"> PAGEREF _Toc64529020 \h </w:instrText>
            </w:r>
            <w:r>
              <w:rPr>
                <w:noProof/>
                <w:webHidden/>
              </w:rPr>
            </w:r>
            <w:r>
              <w:rPr>
                <w:noProof/>
                <w:webHidden/>
              </w:rPr>
              <w:fldChar w:fldCharType="separate"/>
            </w:r>
            <w:r w:rsidR="00AB7125">
              <w:rPr>
                <w:noProof/>
                <w:webHidden/>
              </w:rPr>
              <w:t>1</w:t>
            </w:r>
            <w:r>
              <w:rPr>
                <w:noProof/>
                <w:webHidden/>
              </w:rPr>
              <w:fldChar w:fldCharType="end"/>
            </w:r>
          </w:hyperlink>
        </w:p>
        <w:p w14:paraId="5A82E92A" w14:textId="48DF1A8B"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1" w:history="1">
            <w:r w:rsidRPr="00D875C3">
              <w:rPr>
                <w:rStyle w:val="Hyperlink"/>
                <w:noProof/>
              </w:rPr>
              <w:t>1.5</w:t>
            </w:r>
            <w:r>
              <w:rPr>
                <w:rFonts w:asciiTheme="minorHAnsi" w:eastAsiaTheme="minorEastAsia" w:hAnsiTheme="minorHAnsi" w:cstheme="minorBidi"/>
                <w:noProof/>
                <w:color w:val="auto"/>
                <w:lang w:val="en-AU" w:eastAsia="en-AU"/>
              </w:rPr>
              <w:tab/>
            </w:r>
            <w:r w:rsidRPr="00D875C3">
              <w:rPr>
                <w:rStyle w:val="Hyperlink"/>
                <w:noProof/>
              </w:rPr>
              <w:t>Limitation of Scope</w:t>
            </w:r>
            <w:r>
              <w:rPr>
                <w:noProof/>
                <w:webHidden/>
              </w:rPr>
              <w:tab/>
            </w:r>
            <w:r>
              <w:rPr>
                <w:noProof/>
                <w:webHidden/>
              </w:rPr>
              <w:fldChar w:fldCharType="begin"/>
            </w:r>
            <w:r>
              <w:rPr>
                <w:noProof/>
                <w:webHidden/>
              </w:rPr>
              <w:instrText xml:space="preserve"> PAGEREF _Toc64529021 \h </w:instrText>
            </w:r>
            <w:r>
              <w:rPr>
                <w:noProof/>
                <w:webHidden/>
              </w:rPr>
            </w:r>
            <w:r>
              <w:rPr>
                <w:noProof/>
                <w:webHidden/>
              </w:rPr>
              <w:fldChar w:fldCharType="separate"/>
            </w:r>
            <w:r w:rsidR="00AB7125">
              <w:rPr>
                <w:noProof/>
                <w:webHidden/>
              </w:rPr>
              <w:t>1</w:t>
            </w:r>
            <w:r>
              <w:rPr>
                <w:noProof/>
                <w:webHidden/>
              </w:rPr>
              <w:fldChar w:fldCharType="end"/>
            </w:r>
          </w:hyperlink>
        </w:p>
        <w:p w14:paraId="6B37C659" w14:textId="4C44B55C"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22" w:history="1">
            <w:r w:rsidRPr="00D875C3">
              <w:rPr>
                <w:rStyle w:val="Hyperlink"/>
                <w:noProof/>
              </w:rPr>
              <w:t>2.</w:t>
            </w:r>
            <w:r>
              <w:rPr>
                <w:rFonts w:asciiTheme="minorHAnsi" w:eastAsiaTheme="minorEastAsia" w:hAnsiTheme="minorHAnsi" w:cstheme="minorBidi"/>
                <w:b w:val="0"/>
                <w:noProof/>
                <w:color w:val="auto"/>
                <w:lang w:val="en-AU" w:eastAsia="en-AU"/>
              </w:rPr>
              <w:tab/>
            </w:r>
            <w:r w:rsidRPr="00D875C3">
              <w:rPr>
                <w:rStyle w:val="Hyperlink"/>
                <w:noProof/>
              </w:rPr>
              <w:t>Economic Forecasts</w:t>
            </w:r>
            <w:r>
              <w:rPr>
                <w:noProof/>
                <w:webHidden/>
              </w:rPr>
              <w:tab/>
            </w:r>
            <w:r>
              <w:rPr>
                <w:noProof/>
                <w:webHidden/>
              </w:rPr>
              <w:fldChar w:fldCharType="begin"/>
            </w:r>
            <w:r>
              <w:rPr>
                <w:noProof/>
                <w:webHidden/>
              </w:rPr>
              <w:instrText xml:space="preserve"> PAGEREF _Toc64529022 \h </w:instrText>
            </w:r>
            <w:r>
              <w:rPr>
                <w:noProof/>
                <w:webHidden/>
              </w:rPr>
            </w:r>
            <w:r>
              <w:rPr>
                <w:noProof/>
                <w:webHidden/>
              </w:rPr>
              <w:fldChar w:fldCharType="separate"/>
            </w:r>
            <w:r w:rsidR="00AB7125">
              <w:rPr>
                <w:noProof/>
                <w:webHidden/>
              </w:rPr>
              <w:t>3</w:t>
            </w:r>
            <w:r>
              <w:rPr>
                <w:noProof/>
                <w:webHidden/>
              </w:rPr>
              <w:fldChar w:fldCharType="end"/>
            </w:r>
          </w:hyperlink>
        </w:p>
        <w:p w14:paraId="55C13938" w14:textId="0D417EC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3" w:history="1">
            <w:r w:rsidRPr="00D875C3">
              <w:rPr>
                <w:rStyle w:val="Hyperlink"/>
                <w:noProof/>
              </w:rPr>
              <w:t>2.1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_Toc64529023 \h </w:instrText>
            </w:r>
            <w:r>
              <w:rPr>
                <w:noProof/>
                <w:webHidden/>
              </w:rPr>
            </w:r>
            <w:r>
              <w:rPr>
                <w:noProof/>
                <w:webHidden/>
              </w:rPr>
              <w:fldChar w:fldCharType="separate"/>
            </w:r>
            <w:r w:rsidR="00AB7125">
              <w:rPr>
                <w:noProof/>
                <w:webHidden/>
              </w:rPr>
              <w:t>3</w:t>
            </w:r>
            <w:r>
              <w:rPr>
                <w:noProof/>
                <w:webHidden/>
              </w:rPr>
              <w:fldChar w:fldCharType="end"/>
            </w:r>
          </w:hyperlink>
        </w:p>
        <w:p w14:paraId="70BD00F8" w14:textId="7266E8C9"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4" w:history="1">
            <w:r w:rsidRPr="00D875C3">
              <w:rPr>
                <w:rStyle w:val="Hyperlink"/>
                <w:noProof/>
              </w:rPr>
              <w:t>2.2</w:t>
            </w:r>
            <w:r>
              <w:rPr>
                <w:rFonts w:asciiTheme="minorHAnsi" w:eastAsiaTheme="minorEastAsia" w:hAnsiTheme="minorHAnsi" w:cstheme="minorBidi"/>
                <w:noProof/>
                <w:color w:val="auto"/>
                <w:lang w:val="en-AU" w:eastAsia="en-AU"/>
              </w:rPr>
              <w:tab/>
            </w:r>
            <w:r w:rsidRPr="00D875C3">
              <w:rPr>
                <w:rStyle w:val="Hyperlink"/>
                <w:noProof/>
              </w:rPr>
              <w:t>ACT Final Demand</w:t>
            </w:r>
            <w:r>
              <w:rPr>
                <w:noProof/>
                <w:webHidden/>
              </w:rPr>
              <w:tab/>
            </w:r>
            <w:r>
              <w:rPr>
                <w:noProof/>
                <w:webHidden/>
              </w:rPr>
              <w:fldChar w:fldCharType="begin"/>
            </w:r>
            <w:r>
              <w:rPr>
                <w:noProof/>
                <w:webHidden/>
              </w:rPr>
              <w:instrText xml:space="preserve"> PAGEREF _Toc64529024 \h </w:instrText>
            </w:r>
            <w:r>
              <w:rPr>
                <w:noProof/>
                <w:webHidden/>
              </w:rPr>
            </w:r>
            <w:r>
              <w:rPr>
                <w:noProof/>
                <w:webHidden/>
              </w:rPr>
              <w:fldChar w:fldCharType="separate"/>
            </w:r>
            <w:r w:rsidR="00AB7125">
              <w:rPr>
                <w:noProof/>
                <w:webHidden/>
              </w:rPr>
              <w:t>3</w:t>
            </w:r>
            <w:r>
              <w:rPr>
                <w:noProof/>
                <w:webHidden/>
              </w:rPr>
              <w:fldChar w:fldCharType="end"/>
            </w:r>
          </w:hyperlink>
        </w:p>
        <w:p w14:paraId="1DDB0BF4" w14:textId="4158BAFE" w:rsidR="00921C0A" w:rsidRDefault="00921C0A">
          <w:pPr>
            <w:pStyle w:val="TOC3"/>
            <w:tabs>
              <w:tab w:val="left" w:pos="1320"/>
              <w:tab w:val="right" w:leader="dot" w:pos="9016"/>
            </w:tabs>
            <w:rPr>
              <w:rFonts w:eastAsiaTheme="minorEastAsia"/>
              <w:noProof/>
              <w:lang w:eastAsia="en-AU"/>
            </w:rPr>
          </w:pPr>
          <w:hyperlink w:anchor="_Toc64529025" w:history="1">
            <w:r w:rsidRPr="00D875C3">
              <w:rPr>
                <w:rStyle w:val="Hyperlink"/>
                <w:noProof/>
              </w:rPr>
              <w:t>2.2.1</w:t>
            </w:r>
            <w:r>
              <w:rPr>
                <w:rFonts w:eastAsiaTheme="minorEastAsia"/>
                <w:noProof/>
                <w:lang w:eastAsia="en-AU"/>
              </w:rPr>
              <w:tab/>
            </w:r>
            <w:r w:rsidRPr="00D875C3">
              <w:rPr>
                <w:rStyle w:val="Hyperlink"/>
                <w:noProof/>
              </w:rPr>
              <w:t>ACT Economy Public Sector Fiscal Stimulus During the COVID-19 Pandemic</w:t>
            </w:r>
            <w:r>
              <w:rPr>
                <w:noProof/>
                <w:webHidden/>
              </w:rPr>
              <w:tab/>
            </w:r>
            <w:r>
              <w:rPr>
                <w:noProof/>
                <w:webHidden/>
              </w:rPr>
              <w:fldChar w:fldCharType="begin"/>
            </w:r>
            <w:r>
              <w:rPr>
                <w:noProof/>
                <w:webHidden/>
              </w:rPr>
              <w:instrText xml:space="preserve"> PAGEREF _Toc64529025 \h </w:instrText>
            </w:r>
            <w:r>
              <w:rPr>
                <w:noProof/>
                <w:webHidden/>
              </w:rPr>
            </w:r>
            <w:r>
              <w:rPr>
                <w:noProof/>
                <w:webHidden/>
              </w:rPr>
              <w:fldChar w:fldCharType="separate"/>
            </w:r>
            <w:r w:rsidR="00AB7125">
              <w:rPr>
                <w:noProof/>
                <w:webHidden/>
              </w:rPr>
              <w:t>8</w:t>
            </w:r>
            <w:r>
              <w:rPr>
                <w:noProof/>
                <w:webHidden/>
              </w:rPr>
              <w:fldChar w:fldCharType="end"/>
            </w:r>
          </w:hyperlink>
        </w:p>
        <w:p w14:paraId="77664BCE" w14:textId="1FD846C3"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6" w:history="1">
            <w:r w:rsidRPr="00D875C3">
              <w:rPr>
                <w:rStyle w:val="Hyperlink"/>
                <w:noProof/>
              </w:rPr>
              <w:t>2.3</w:t>
            </w:r>
            <w:r>
              <w:rPr>
                <w:rFonts w:asciiTheme="minorHAnsi" w:eastAsiaTheme="minorEastAsia" w:hAnsiTheme="minorHAnsi" w:cstheme="minorBidi"/>
                <w:noProof/>
                <w:color w:val="auto"/>
                <w:lang w:val="en-AU" w:eastAsia="en-AU"/>
              </w:rPr>
              <w:tab/>
            </w:r>
            <w:r w:rsidRPr="00D875C3">
              <w:rPr>
                <w:rStyle w:val="Hyperlink"/>
                <w:noProof/>
              </w:rPr>
              <w:t>Employment</w:t>
            </w:r>
            <w:r>
              <w:rPr>
                <w:noProof/>
                <w:webHidden/>
              </w:rPr>
              <w:tab/>
            </w:r>
            <w:r>
              <w:rPr>
                <w:noProof/>
                <w:webHidden/>
              </w:rPr>
              <w:fldChar w:fldCharType="begin"/>
            </w:r>
            <w:r>
              <w:rPr>
                <w:noProof/>
                <w:webHidden/>
              </w:rPr>
              <w:instrText xml:space="preserve"> PAGEREF _Toc64529026 \h </w:instrText>
            </w:r>
            <w:r>
              <w:rPr>
                <w:noProof/>
                <w:webHidden/>
              </w:rPr>
            </w:r>
            <w:r>
              <w:rPr>
                <w:noProof/>
                <w:webHidden/>
              </w:rPr>
              <w:fldChar w:fldCharType="separate"/>
            </w:r>
            <w:r w:rsidR="00AB7125">
              <w:rPr>
                <w:noProof/>
                <w:webHidden/>
              </w:rPr>
              <w:t>10</w:t>
            </w:r>
            <w:r>
              <w:rPr>
                <w:noProof/>
                <w:webHidden/>
              </w:rPr>
              <w:fldChar w:fldCharType="end"/>
            </w:r>
          </w:hyperlink>
        </w:p>
        <w:p w14:paraId="2A771892" w14:textId="1D173637"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7" w:history="1">
            <w:r w:rsidRPr="00D875C3">
              <w:rPr>
                <w:rStyle w:val="Hyperlink"/>
                <w:noProof/>
              </w:rPr>
              <w:t>2.4</w:t>
            </w:r>
            <w:r>
              <w:rPr>
                <w:rFonts w:asciiTheme="minorHAnsi" w:eastAsiaTheme="minorEastAsia" w:hAnsiTheme="minorHAnsi" w:cstheme="minorBidi"/>
                <w:noProof/>
                <w:color w:val="auto"/>
                <w:lang w:val="en-AU" w:eastAsia="en-AU"/>
              </w:rPr>
              <w:tab/>
            </w:r>
            <w:r w:rsidRPr="00D875C3">
              <w:rPr>
                <w:rStyle w:val="Hyperlink"/>
                <w:noProof/>
              </w:rPr>
              <w:t>Wage price index</w:t>
            </w:r>
            <w:r>
              <w:rPr>
                <w:noProof/>
                <w:webHidden/>
              </w:rPr>
              <w:tab/>
            </w:r>
            <w:r>
              <w:rPr>
                <w:noProof/>
                <w:webHidden/>
              </w:rPr>
              <w:fldChar w:fldCharType="begin"/>
            </w:r>
            <w:r>
              <w:rPr>
                <w:noProof/>
                <w:webHidden/>
              </w:rPr>
              <w:instrText xml:space="preserve"> PAGEREF _Toc64529027 \h </w:instrText>
            </w:r>
            <w:r>
              <w:rPr>
                <w:noProof/>
                <w:webHidden/>
              </w:rPr>
            </w:r>
            <w:r>
              <w:rPr>
                <w:noProof/>
                <w:webHidden/>
              </w:rPr>
              <w:fldChar w:fldCharType="separate"/>
            </w:r>
            <w:r w:rsidR="00AB7125">
              <w:rPr>
                <w:noProof/>
                <w:webHidden/>
              </w:rPr>
              <w:t>11</w:t>
            </w:r>
            <w:r>
              <w:rPr>
                <w:noProof/>
                <w:webHidden/>
              </w:rPr>
              <w:fldChar w:fldCharType="end"/>
            </w:r>
          </w:hyperlink>
        </w:p>
        <w:p w14:paraId="35F660E5" w14:textId="53CAB3D4"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8" w:history="1">
            <w:r w:rsidRPr="00D875C3">
              <w:rPr>
                <w:rStyle w:val="Hyperlink"/>
                <w:noProof/>
              </w:rPr>
              <w:t>2.5</w:t>
            </w:r>
            <w:r>
              <w:rPr>
                <w:rFonts w:asciiTheme="minorHAnsi" w:eastAsiaTheme="minorEastAsia" w:hAnsiTheme="minorHAnsi" w:cstheme="minorBidi"/>
                <w:noProof/>
                <w:color w:val="auto"/>
                <w:lang w:val="en-AU" w:eastAsia="en-AU"/>
              </w:rPr>
              <w:tab/>
            </w:r>
            <w:r w:rsidRPr="00D875C3">
              <w:rPr>
                <w:rStyle w:val="Hyperlink"/>
                <w:noProof/>
              </w:rPr>
              <w:t>Consumer price index</w:t>
            </w:r>
            <w:r>
              <w:rPr>
                <w:noProof/>
                <w:webHidden/>
              </w:rPr>
              <w:tab/>
            </w:r>
            <w:r>
              <w:rPr>
                <w:noProof/>
                <w:webHidden/>
              </w:rPr>
              <w:fldChar w:fldCharType="begin"/>
            </w:r>
            <w:r>
              <w:rPr>
                <w:noProof/>
                <w:webHidden/>
              </w:rPr>
              <w:instrText xml:space="preserve"> PAGEREF _Toc64529028 \h </w:instrText>
            </w:r>
            <w:r>
              <w:rPr>
                <w:noProof/>
                <w:webHidden/>
              </w:rPr>
            </w:r>
            <w:r>
              <w:rPr>
                <w:noProof/>
                <w:webHidden/>
              </w:rPr>
              <w:fldChar w:fldCharType="separate"/>
            </w:r>
            <w:r w:rsidR="00AB7125">
              <w:rPr>
                <w:noProof/>
                <w:webHidden/>
              </w:rPr>
              <w:t>11</w:t>
            </w:r>
            <w:r>
              <w:rPr>
                <w:noProof/>
                <w:webHidden/>
              </w:rPr>
              <w:fldChar w:fldCharType="end"/>
            </w:r>
          </w:hyperlink>
        </w:p>
        <w:p w14:paraId="47F01273" w14:textId="16C2D8A1"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29" w:history="1">
            <w:r w:rsidRPr="00D875C3">
              <w:rPr>
                <w:rStyle w:val="Hyperlink"/>
                <w:noProof/>
              </w:rPr>
              <w:t>2.6</w:t>
            </w:r>
            <w:r>
              <w:rPr>
                <w:rFonts w:asciiTheme="minorHAnsi" w:eastAsiaTheme="minorEastAsia" w:hAnsiTheme="minorHAnsi" w:cstheme="minorBidi"/>
                <w:noProof/>
                <w:color w:val="auto"/>
                <w:lang w:val="en-AU" w:eastAsia="en-AU"/>
              </w:rPr>
              <w:tab/>
            </w:r>
            <w:r w:rsidRPr="00D875C3">
              <w:rPr>
                <w:rStyle w:val="Hyperlink"/>
                <w:noProof/>
              </w:rPr>
              <w:t>Population growth</w:t>
            </w:r>
            <w:r>
              <w:rPr>
                <w:noProof/>
                <w:webHidden/>
              </w:rPr>
              <w:tab/>
            </w:r>
            <w:r>
              <w:rPr>
                <w:noProof/>
                <w:webHidden/>
              </w:rPr>
              <w:fldChar w:fldCharType="begin"/>
            </w:r>
            <w:r>
              <w:rPr>
                <w:noProof/>
                <w:webHidden/>
              </w:rPr>
              <w:instrText xml:space="preserve"> PAGEREF _Toc64529029 \h </w:instrText>
            </w:r>
            <w:r>
              <w:rPr>
                <w:noProof/>
                <w:webHidden/>
              </w:rPr>
            </w:r>
            <w:r>
              <w:rPr>
                <w:noProof/>
                <w:webHidden/>
              </w:rPr>
              <w:fldChar w:fldCharType="separate"/>
            </w:r>
            <w:r w:rsidR="00AB7125">
              <w:rPr>
                <w:noProof/>
                <w:webHidden/>
              </w:rPr>
              <w:t>12</w:t>
            </w:r>
            <w:r>
              <w:rPr>
                <w:noProof/>
                <w:webHidden/>
              </w:rPr>
              <w:fldChar w:fldCharType="end"/>
            </w:r>
          </w:hyperlink>
        </w:p>
        <w:p w14:paraId="600096C6" w14:textId="5306E9FC"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30" w:history="1">
            <w:r w:rsidRPr="00D875C3">
              <w:rPr>
                <w:rStyle w:val="Hyperlink"/>
                <w:noProof/>
              </w:rPr>
              <w:t>3.</w:t>
            </w:r>
            <w:r>
              <w:rPr>
                <w:rFonts w:asciiTheme="minorHAnsi" w:eastAsiaTheme="minorEastAsia" w:hAnsiTheme="minorHAnsi" w:cstheme="minorBidi"/>
                <w:b w:val="0"/>
                <w:noProof/>
                <w:color w:val="auto"/>
                <w:lang w:val="en-AU" w:eastAsia="en-AU"/>
              </w:rPr>
              <w:tab/>
            </w:r>
            <w:r w:rsidRPr="00D875C3">
              <w:rPr>
                <w:rStyle w:val="Hyperlink"/>
                <w:noProof/>
              </w:rPr>
              <w:t>Fiscal Position</w:t>
            </w:r>
            <w:r>
              <w:rPr>
                <w:noProof/>
                <w:webHidden/>
              </w:rPr>
              <w:tab/>
            </w:r>
            <w:r>
              <w:rPr>
                <w:noProof/>
                <w:webHidden/>
              </w:rPr>
              <w:fldChar w:fldCharType="begin"/>
            </w:r>
            <w:r>
              <w:rPr>
                <w:noProof/>
                <w:webHidden/>
              </w:rPr>
              <w:instrText xml:space="preserve"> PAGEREF _Toc64529030 \h </w:instrText>
            </w:r>
            <w:r>
              <w:rPr>
                <w:noProof/>
                <w:webHidden/>
              </w:rPr>
            </w:r>
            <w:r>
              <w:rPr>
                <w:noProof/>
                <w:webHidden/>
              </w:rPr>
              <w:fldChar w:fldCharType="separate"/>
            </w:r>
            <w:r w:rsidR="00AB7125">
              <w:rPr>
                <w:noProof/>
                <w:webHidden/>
              </w:rPr>
              <w:t>13</w:t>
            </w:r>
            <w:r>
              <w:rPr>
                <w:noProof/>
                <w:webHidden/>
              </w:rPr>
              <w:fldChar w:fldCharType="end"/>
            </w:r>
          </w:hyperlink>
        </w:p>
        <w:p w14:paraId="11A51155" w14:textId="1FD471EF"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1" w:history="1">
            <w:r w:rsidRPr="00D875C3">
              <w:rPr>
                <w:rStyle w:val="Hyperlink"/>
                <w:noProof/>
              </w:rPr>
              <w:t>3.1</w:t>
            </w:r>
            <w:r>
              <w:rPr>
                <w:rFonts w:asciiTheme="minorHAnsi" w:eastAsiaTheme="minorEastAsia" w:hAnsiTheme="minorHAnsi" w:cstheme="minorBidi"/>
                <w:noProof/>
                <w:color w:val="auto"/>
                <w:lang w:val="en-AU" w:eastAsia="en-AU"/>
              </w:rPr>
              <w:tab/>
            </w:r>
            <w:r w:rsidRPr="00D875C3">
              <w:rPr>
                <w:rStyle w:val="Hyperlink"/>
                <w:noProof/>
              </w:rPr>
              <w:t>Operating Statement - Headline Operating Balance</w:t>
            </w:r>
            <w:r>
              <w:rPr>
                <w:noProof/>
                <w:webHidden/>
              </w:rPr>
              <w:tab/>
            </w:r>
            <w:r>
              <w:rPr>
                <w:noProof/>
                <w:webHidden/>
              </w:rPr>
              <w:fldChar w:fldCharType="begin"/>
            </w:r>
            <w:r>
              <w:rPr>
                <w:noProof/>
                <w:webHidden/>
              </w:rPr>
              <w:instrText xml:space="preserve"> PAGEREF _Toc64529031 \h </w:instrText>
            </w:r>
            <w:r>
              <w:rPr>
                <w:noProof/>
                <w:webHidden/>
              </w:rPr>
            </w:r>
            <w:r>
              <w:rPr>
                <w:noProof/>
                <w:webHidden/>
              </w:rPr>
              <w:fldChar w:fldCharType="separate"/>
            </w:r>
            <w:r w:rsidR="00AB7125">
              <w:rPr>
                <w:noProof/>
                <w:webHidden/>
              </w:rPr>
              <w:t>13</w:t>
            </w:r>
            <w:r>
              <w:rPr>
                <w:noProof/>
                <w:webHidden/>
              </w:rPr>
              <w:fldChar w:fldCharType="end"/>
            </w:r>
          </w:hyperlink>
        </w:p>
        <w:p w14:paraId="0496B6D6" w14:textId="568C65FC"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2" w:history="1">
            <w:r w:rsidRPr="00D875C3">
              <w:rPr>
                <w:rStyle w:val="Hyperlink"/>
                <w:noProof/>
              </w:rPr>
              <w:t>3.2</w:t>
            </w:r>
            <w:r>
              <w:rPr>
                <w:rFonts w:asciiTheme="minorHAnsi" w:eastAsiaTheme="minorEastAsia" w:hAnsiTheme="minorHAnsi" w:cstheme="minorBidi"/>
                <w:noProof/>
                <w:color w:val="auto"/>
                <w:lang w:val="en-AU" w:eastAsia="en-AU"/>
              </w:rPr>
              <w:tab/>
            </w:r>
            <w:r w:rsidRPr="00D875C3">
              <w:rPr>
                <w:rStyle w:val="Hyperlink"/>
                <w:noProof/>
              </w:rPr>
              <w:t>Medium term forecasts</w:t>
            </w:r>
            <w:r>
              <w:rPr>
                <w:noProof/>
                <w:webHidden/>
              </w:rPr>
              <w:tab/>
            </w:r>
            <w:r>
              <w:rPr>
                <w:noProof/>
                <w:webHidden/>
              </w:rPr>
              <w:fldChar w:fldCharType="begin"/>
            </w:r>
            <w:r>
              <w:rPr>
                <w:noProof/>
                <w:webHidden/>
              </w:rPr>
              <w:instrText xml:space="preserve"> PAGEREF _Toc64529032 \h </w:instrText>
            </w:r>
            <w:r>
              <w:rPr>
                <w:noProof/>
                <w:webHidden/>
              </w:rPr>
            </w:r>
            <w:r>
              <w:rPr>
                <w:noProof/>
                <w:webHidden/>
              </w:rPr>
              <w:fldChar w:fldCharType="separate"/>
            </w:r>
            <w:r w:rsidR="00AB7125">
              <w:rPr>
                <w:noProof/>
                <w:webHidden/>
              </w:rPr>
              <w:t>15</w:t>
            </w:r>
            <w:r>
              <w:rPr>
                <w:noProof/>
                <w:webHidden/>
              </w:rPr>
              <w:fldChar w:fldCharType="end"/>
            </w:r>
          </w:hyperlink>
        </w:p>
        <w:p w14:paraId="24F0D1C3" w14:textId="76BE3071"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3" w:history="1">
            <w:r w:rsidRPr="00D875C3">
              <w:rPr>
                <w:rStyle w:val="Hyperlink"/>
                <w:noProof/>
              </w:rPr>
              <w:t>3.3</w:t>
            </w:r>
            <w:r>
              <w:rPr>
                <w:rFonts w:asciiTheme="minorHAnsi" w:eastAsiaTheme="minorEastAsia" w:hAnsiTheme="minorHAnsi" w:cstheme="minorBidi"/>
                <w:noProof/>
                <w:color w:val="auto"/>
                <w:lang w:val="en-AU" w:eastAsia="en-AU"/>
              </w:rPr>
              <w:tab/>
            </w:r>
            <w:r w:rsidRPr="00D875C3">
              <w:rPr>
                <w:rStyle w:val="Hyperlink"/>
                <w:noProof/>
              </w:rPr>
              <w:t>Measures of the ACT Government’s balance sheet</w:t>
            </w:r>
            <w:r>
              <w:rPr>
                <w:noProof/>
                <w:webHidden/>
              </w:rPr>
              <w:tab/>
            </w:r>
            <w:r>
              <w:rPr>
                <w:noProof/>
                <w:webHidden/>
              </w:rPr>
              <w:fldChar w:fldCharType="begin"/>
            </w:r>
            <w:r>
              <w:rPr>
                <w:noProof/>
                <w:webHidden/>
              </w:rPr>
              <w:instrText xml:space="preserve"> PAGEREF _Toc64529033 \h </w:instrText>
            </w:r>
            <w:r>
              <w:rPr>
                <w:noProof/>
                <w:webHidden/>
              </w:rPr>
            </w:r>
            <w:r>
              <w:rPr>
                <w:noProof/>
                <w:webHidden/>
              </w:rPr>
              <w:fldChar w:fldCharType="separate"/>
            </w:r>
            <w:r w:rsidR="00AB7125">
              <w:rPr>
                <w:noProof/>
                <w:webHidden/>
              </w:rPr>
              <w:t>16</w:t>
            </w:r>
            <w:r>
              <w:rPr>
                <w:noProof/>
                <w:webHidden/>
              </w:rPr>
              <w:fldChar w:fldCharType="end"/>
            </w:r>
          </w:hyperlink>
        </w:p>
        <w:p w14:paraId="45ABEB26" w14:textId="5B62104A"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4" w:history="1">
            <w:r w:rsidRPr="00D875C3">
              <w:rPr>
                <w:rStyle w:val="Hyperlink"/>
                <w:noProof/>
              </w:rPr>
              <w:t>3.4</w:t>
            </w:r>
            <w:r>
              <w:rPr>
                <w:rFonts w:asciiTheme="minorHAnsi" w:eastAsiaTheme="minorEastAsia" w:hAnsiTheme="minorHAnsi" w:cstheme="minorBidi"/>
                <w:noProof/>
                <w:color w:val="auto"/>
                <w:lang w:val="en-AU" w:eastAsia="en-AU"/>
              </w:rPr>
              <w:tab/>
            </w:r>
            <w:r w:rsidRPr="00D875C3">
              <w:rPr>
                <w:rStyle w:val="Hyperlink"/>
                <w:noProof/>
              </w:rPr>
              <w:t>Other fiscal indicators</w:t>
            </w:r>
            <w:r>
              <w:rPr>
                <w:noProof/>
                <w:webHidden/>
              </w:rPr>
              <w:tab/>
            </w:r>
            <w:r>
              <w:rPr>
                <w:noProof/>
                <w:webHidden/>
              </w:rPr>
              <w:fldChar w:fldCharType="begin"/>
            </w:r>
            <w:r>
              <w:rPr>
                <w:noProof/>
                <w:webHidden/>
              </w:rPr>
              <w:instrText xml:space="preserve"> PAGEREF _Toc64529034 \h </w:instrText>
            </w:r>
            <w:r>
              <w:rPr>
                <w:noProof/>
                <w:webHidden/>
              </w:rPr>
            </w:r>
            <w:r>
              <w:rPr>
                <w:noProof/>
                <w:webHidden/>
              </w:rPr>
              <w:fldChar w:fldCharType="separate"/>
            </w:r>
            <w:r w:rsidR="00AB7125">
              <w:rPr>
                <w:noProof/>
                <w:webHidden/>
              </w:rPr>
              <w:t>17</w:t>
            </w:r>
            <w:r>
              <w:rPr>
                <w:noProof/>
                <w:webHidden/>
              </w:rPr>
              <w:fldChar w:fldCharType="end"/>
            </w:r>
          </w:hyperlink>
        </w:p>
        <w:p w14:paraId="6F68EB51" w14:textId="18E42CE1"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5" w:history="1">
            <w:r w:rsidRPr="00D875C3">
              <w:rPr>
                <w:rStyle w:val="Hyperlink"/>
                <w:noProof/>
              </w:rPr>
              <w:t>3.5</w:t>
            </w:r>
            <w:r>
              <w:rPr>
                <w:rFonts w:asciiTheme="minorHAnsi" w:eastAsiaTheme="minorEastAsia" w:hAnsiTheme="minorHAnsi" w:cstheme="minorBidi"/>
                <w:noProof/>
                <w:color w:val="auto"/>
                <w:lang w:val="en-AU" w:eastAsia="en-AU"/>
              </w:rPr>
              <w:tab/>
            </w:r>
            <w:r w:rsidRPr="00D875C3">
              <w:rPr>
                <w:rStyle w:val="Hyperlink"/>
                <w:noProof/>
              </w:rPr>
              <w:t>Strategies for fiscal recovery</w:t>
            </w:r>
            <w:r>
              <w:rPr>
                <w:noProof/>
                <w:webHidden/>
              </w:rPr>
              <w:tab/>
            </w:r>
            <w:r>
              <w:rPr>
                <w:noProof/>
                <w:webHidden/>
              </w:rPr>
              <w:fldChar w:fldCharType="begin"/>
            </w:r>
            <w:r>
              <w:rPr>
                <w:noProof/>
                <w:webHidden/>
              </w:rPr>
              <w:instrText xml:space="preserve"> PAGEREF _Toc64529035 \h </w:instrText>
            </w:r>
            <w:r>
              <w:rPr>
                <w:noProof/>
                <w:webHidden/>
              </w:rPr>
            </w:r>
            <w:r>
              <w:rPr>
                <w:noProof/>
                <w:webHidden/>
              </w:rPr>
              <w:fldChar w:fldCharType="separate"/>
            </w:r>
            <w:r w:rsidR="00AB7125">
              <w:rPr>
                <w:noProof/>
                <w:webHidden/>
              </w:rPr>
              <w:t>18</w:t>
            </w:r>
            <w:r>
              <w:rPr>
                <w:noProof/>
                <w:webHidden/>
              </w:rPr>
              <w:fldChar w:fldCharType="end"/>
            </w:r>
          </w:hyperlink>
        </w:p>
        <w:p w14:paraId="27186C73" w14:textId="32D8364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6" w:history="1">
            <w:r w:rsidRPr="00D875C3">
              <w:rPr>
                <w:rStyle w:val="Hyperlink"/>
                <w:noProof/>
              </w:rPr>
              <w:t>3.5</w:t>
            </w:r>
            <w:r>
              <w:rPr>
                <w:rFonts w:asciiTheme="minorHAnsi" w:eastAsiaTheme="minorEastAsia" w:hAnsiTheme="minorHAnsi" w:cstheme="minorBidi"/>
                <w:noProof/>
                <w:color w:val="auto"/>
                <w:lang w:val="en-AU" w:eastAsia="en-AU"/>
              </w:rPr>
              <w:tab/>
            </w:r>
            <w:r w:rsidRPr="00D875C3">
              <w:rPr>
                <w:rStyle w:val="Hyperlink"/>
                <w:noProof/>
              </w:rPr>
              <w:t>Conclusion</w:t>
            </w:r>
            <w:r>
              <w:rPr>
                <w:noProof/>
                <w:webHidden/>
              </w:rPr>
              <w:tab/>
            </w:r>
            <w:r>
              <w:rPr>
                <w:noProof/>
                <w:webHidden/>
              </w:rPr>
              <w:fldChar w:fldCharType="begin"/>
            </w:r>
            <w:r>
              <w:rPr>
                <w:noProof/>
                <w:webHidden/>
              </w:rPr>
              <w:instrText xml:space="preserve"> PAGEREF _Toc64529036 \h </w:instrText>
            </w:r>
            <w:r>
              <w:rPr>
                <w:noProof/>
                <w:webHidden/>
              </w:rPr>
            </w:r>
            <w:r>
              <w:rPr>
                <w:noProof/>
                <w:webHidden/>
              </w:rPr>
              <w:fldChar w:fldCharType="separate"/>
            </w:r>
            <w:r w:rsidR="00AB7125">
              <w:rPr>
                <w:noProof/>
                <w:webHidden/>
              </w:rPr>
              <w:t>19</w:t>
            </w:r>
            <w:r>
              <w:rPr>
                <w:noProof/>
                <w:webHidden/>
              </w:rPr>
              <w:fldChar w:fldCharType="end"/>
            </w:r>
          </w:hyperlink>
        </w:p>
        <w:p w14:paraId="6F055283" w14:textId="244BDE92"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37" w:history="1">
            <w:r w:rsidRPr="00D875C3">
              <w:rPr>
                <w:rStyle w:val="Hyperlink"/>
                <w:noProof/>
              </w:rPr>
              <w:t>4.</w:t>
            </w:r>
            <w:r>
              <w:rPr>
                <w:rFonts w:asciiTheme="minorHAnsi" w:eastAsiaTheme="minorEastAsia" w:hAnsiTheme="minorHAnsi" w:cstheme="minorBidi"/>
                <w:b w:val="0"/>
                <w:noProof/>
                <w:color w:val="auto"/>
                <w:lang w:val="en-AU" w:eastAsia="en-AU"/>
              </w:rPr>
              <w:tab/>
            </w:r>
            <w:r w:rsidRPr="00D875C3">
              <w:rPr>
                <w:rStyle w:val="Hyperlink"/>
                <w:noProof/>
              </w:rPr>
              <w:t>Revenue</w:t>
            </w:r>
            <w:r>
              <w:rPr>
                <w:noProof/>
                <w:webHidden/>
              </w:rPr>
              <w:tab/>
            </w:r>
            <w:r>
              <w:rPr>
                <w:noProof/>
                <w:webHidden/>
              </w:rPr>
              <w:fldChar w:fldCharType="begin"/>
            </w:r>
            <w:r>
              <w:rPr>
                <w:noProof/>
                <w:webHidden/>
              </w:rPr>
              <w:instrText xml:space="preserve"> PAGEREF _Toc64529037 \h </w:instrText>
            </w:r>
            <w:r>
              <w:rPr>
                <w:noProof/>
                <w:webHidden/>
              </w:rPr>
            </w:r>
            <w:r>
              <w:rPr>
                <w:noProof/>
                <w:webHidden/>
              </w:rPr>
              <w:fldChar w:fldCharType="separate"/>
            </w:r>
            <w:r w:rsidR="00AB7125">
              <w:rPr>
                <w:noProof/>
                <w:webHidden/>
              </w:rPr>
              <w:t>20</w:t>
            </w:r>
            <w:r>
              <w:rPr>
                <w:noProof/>
                <w:webHidden/>
              </w:rPr>
              <w:fldChar w:fldCharType="end"/>
            </w:r>
          </w:hyperlink>
        </w:p>
        <w:p w14:paraId="3A3B6A85" w14:textId="4010C9BE"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8" w:history="1">
            <w:r w:rsidRPr="00D875C3">
              <w:rPr>
                <w:rStyle w:val="Hyperlink"/>
                <w:noProof/>
              </w:rPr>
              <w:t>4.1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_Toc64529038 \h </w:instrText>
            </w:r>
            <w:r>
              <w:rPr>
                <w:noProof/>
                <w:webHidden/>
              </w:rPr>
            </w:r>
            <w:r>
              <w:rPr>
                <w:noProof/>
                <w:webHidden/>
              </w:rPr>
              <w:fldChar w:fldCharType="separate"/>
            </w:r>
            <w:r w:rsidR="00AB7125">
              <w:rPr>
                <w:noProof/>
                <w:webHidden/>
              </w:rPr>
              <w:t>20</w:t>
            </w:r>
            <w:r>
              <w:rPr>
                <w:noProof/>
                <w:webHidden/>
              </w:rPr>
              <w:fldChar w:fldCharType="end"/>
            </w:r>
          </w:hyperlink>
        </w:p>
        <w:p w14:paraId="14723EC5" w14:textId="4309954E"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39" w:history="1">
            <w:r w:rsidRPr="00D875C3">
              <w:rPr>
                <w:rStyle w:val="Hyperlink"/>
                <w:noProof/>
              </w:rPr>
              <w:t>4.2</w:t>
            </w:r>
            <w:r>
              <w:rPr>
                <w:rFonts w:asciiTheme="minorHAnsi" w:eastAsiaTheme="minorEastAsia" w:hAnsiTheme="minorHAnsi" w:cstheme="minorBidi"/>
                <w:noProof/>
                <w:color w:val="auto"/>
                <w:lang w:val="en-AU" w:eastAsia="en-AU"/>
              </w:rPr>
              <w:tab/>
            </w:r>
            <w:r w:rsidRPr="00D875C3">
              <w:rPr>
                <w:rStyle w:val="Hyperlink"/>
                <w:noProof/>
              </w:rPr>
              <w:t>Vertical fiscal imbalance</w:t>
            </w:r>
            <w:r>
              <w:rPr>
                <w:noProof/>
                <w:webHidden/>
              </w:rPr>
              <w:tab/>
            </w:r>
            <w:r>
              <w:rPr>
                <w:noProof/>
                <w:webHidden/>
              </w:rPr>
              <w:fldChar w:fldCharType="begin"/>
            </w:r>
            <w:r>
              <w:rPr>
                <w:noProof/>
                <w:webHidden/>
              </w:rPr>
              <w:instrText xml:space="preserve"> PAGEREF _Toc64529039 \h </w:instrText>
            </w:r>
            <w:r>
              <w:rPr>
                <w:noProof/>
                <w:webHidden/>
              </w:rPr>
            </w:r>
            <w:r>
              <w:rPr>
                <w:noProof/>
                <w:webHidden/>
              </w:rPr>
              <w:fldChar w:fldCharType="separate"/>
            </w:r>
            <w:r w:rsidR="00AB7125">
              <w:rPr>
                <w:noProof/>
                <w:webHidden/>
              </w:rPr>
              <w:t>22</w:t>
            </w:r>
            <w:r>
              <w:rPr>
                <w:noProof/>
                <w:webHidden/>
              </w:rPr>
              <w:fldChar w:fldCharType="end"/>
            </w:r>
          </w:hyperlink>
        </w:p>
        <w:p w14:paraId="7DDEC5DB" w14:textId="75998AB1"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0" w:history="1">
            <w:r w:rsidRPr="00D875C3">
              <w:rPr>
                <w:rStyle w:val="Hyperlink"/>
                <w:noProof/>
              </w:rPr>
              <w:t>4.3</w:t>
            </w:r>
            <w:r>
              <w:rPr>
                <w:rFonts w:asciiTheme="minorHAnsi" w:eastAsiaTheme="minorEastAsia" w:hAnsiTheme="minorHAnsi" w:cstheme="minorBidi"/>
                <w:noProof/>
                <w:color w:val="auto"/>
                <w:lang w:val="en-AU" w:eastAsia="en-AU"/>
              </w:rPr>
              <w:tab/>
            </w:r>
            <w:r w:rsidRPr="00D875C3">
              <w:rPr>
                <w:rStyle w:val="Hyperlink"/>
                <w:noProof/>
              </w:rPr>
              <w:t>Tax reform</w:t>
            </w:r>
            <w:r>
              <w:rPr>
                <w:noProof/>
                <w:webHidden/>
              </w:rPr>
              <w:tab/>
            </w:r>
            <w:r>
              <w:rPr>
                <w:noProof/>
                <w:webHidden/>
              </w:rPr>
              <w:fldChar w:fldCharType="begin"/>
            </w:r>
            <w:r>
              <w:rPr>
                <w:noProof/>
                <w:webHidden/>
              </w:rPr>
              <w:instrText xml:space="preserve"> PAGEREF _Toc64529040 \h </w:instrText>
            </w:r>
            <w:r>
              <w:rPr>
                <w:noProof/>
                <w:webHidden/>
              </w:rPr>
            </w:r>
            <w:r>
              <w:rPr>
                <w:noProof/>
                <w:webHidden/>
              </w:rPr>
              <w:fldChar w:fldCharType="separate"/>
            </w:r>
            <w:r w:rsidR="00AB7125">
              <w:rPr>
                <w:noProof/>
                <w:webHidden/>
              </w:rPr>
              <w:t>24</w:t>
            </w:r>
            <w:r>
              <w:rPr>
                <w:noProof/>
                <w:webHidden/>
              </w:rPr>
              <w:fldChar w:fldCharType="end"/>
            </w:r>
          </w:hyperlink>
        </w:p>
        <w:p w14:paraId="66596EE6" w14:textId="7CACB029"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1" w:history="1">
            <w:r w:rsidRPr="00D875C3">
              <w:rPr>
                <w:rStyle w:val="Hyperlink"/>
                <w:noProof/>
              </w:rPr>
              <w:t>4.4</w:t>
            </w:r>
            <w:r>
              <w:rPr>
                <w:rFonts w:asciiTheme="minorHAnsi" w:eastAsiaTheme="minorEastAsia" w:hAnsiTheme="minorHAnsi" w:cstheme="minorBidi"/>
                <w:noProof/>
                <w:color w:val="auto"/>
                <w:lang w:val="en-AU" w:eastAsia="en-AU"/>
              </w:rPr>
              <w:tab/>
            </w:r>
            <w:r w:rsidRPr="00D875C3">
              <w:rPr>
                <w:rStyle w:val="Hyperlink"/>
                <w:noProof/>
              </w:rPr>
              <w:t>Dividends and Income Tax Equivalents</w:t>
            </w:r>
            <w:r>
              <w:rPr>
                <w:noProof/>
                <w:webHidden/>
              </w:rPr>
              <w:tab/>
            </w:r>
            <w:r>
              <w:rPr>
                <w:noProof/>
                <w:webHidden/>
              </w:rPr>
              <w:fldChar w:fldCharType="begin"/>
            </w:r>
            <w:r>
              <w:rPr>
                <w:noProof/>
                <w:webHidden/>
              </w:rPr>
              <w:instrText xml:space="preserve"> PAGEREF _Toc64529041 \h </w:instrText>
            </w:r>
            <w:r>
              <w:rPr>
                <w:noProof/>
                <w:webHidden/>
              </w:rPr>
            </w:r>
            <w:r>
              <w:rPr>
                <w:noProof/>
                <w:webHidden/>
              </w:rPr>
              <w:fldChar w:fldCharType="separate"/>
            </w:r>
            <w:r w:rsidR="00AB7125">
              <w:rPr>
                <w:noProof/>
                <w:webHidden/>
              </w:rPr>
              <w:t>26</w:t>
            </w:r>
            <w:r>
              <w:rPr>
                <w:noProof/>
                <w:webHidden/>
              </w:rPr>
              <w:fldChar w:fldCharType="end"/>
            </w:r>
          </w:hyperlink>
        </w:p>
        <w:p w14:paraId="10004FA4" w14:textId="76ECF5B9"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42" w:history="1">
            <w:r w:rsidRPr="00D875C3">
              <w:rPr>
                <w:rStyle w:val="Hyperlink"/>
                <w:noProof/>
              </w:rPr>
              <w:t>5.</w:t>
            </w:r>
            <w:r>
              <w:rPr>
                <w:rFonts w:asciiTheme="minorHAnsi" w:eastAsiaTheme="minorEastAsia" w:hAnsiTheme="minorHAnsi" w:cstheme="minorBidi"/>
                <w:b w:val="0"/>
                <w:noProof/>
                <w:color w:val="auto"/>
                <w:lang w:val="en-AU" w:eastAsia="en-AU"/>
              </w:rPr>
              <w:tab/>
            </w:r>
            <w:r w:rsidRPr="00D875C3">
              <w:rPr>
                <w:rStyle w:val="Hyperlink"/>
                <w:noProof/>
              </w:rPr>
              <w:t>Expenditure</w:t>
            </w:r>
            <w:r>
              <w:rPr>
                <w:noProof/>
                <w:webHidden/>
              </w:rPr>
              <w:tab/>
            </w:r>
            <w:r>
              <w:rPr>
                <w:noProof/>
                <w:webHidden/>
              </w:rPr>
              <w:fldChar w:fldCharType="begin"/>
            </w:r>
            <w:r>
              <w:rPr>
                <w:noProof/>
                <w:webHidden/>
              </w:rPr>
              <w:instrText xml:space="preserve"> PAGEREF _Toc64529042 \h </w:instrText>
            </w:r>
            <w:r>
              <w:rPr>
                <w:noProof/>
                <w:webHidden/>
              </w:rPr>
            </w:r>
            <w:r>
              <w:rPr>
                <w:noProof/>
                <w:webHidden/>
              </w:rPr>
              <w:fldChar w:fldCharType="separate"/>
            </w:r>
            <w:r w:rsidR="00AB7125">
              <w:rPr>
                <w:noProof/>
                <w:webHidden/>
              </w:rPr>
              <w:t>29</w:t>
            </w:r>
            <w:r>
              <w:rPr>
                <w:noProof/>
                <w:webHidden/>
              </w:rPr>
              <w:fldChar w:fldCharType="end"/>
            </w:r>
          </w:hyperlink>
        </w:p>
        <w:p w14:paraId="76FBF122" w14:textId="20E938DB"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3" w:history="1">
            <w:r w:rsidRPr="00D875C3">
              <w:rPr>
                <w:rStyle w:val="Hyperlink"/>
                <w:noProof/>
              </w:rPr>
              <w:t>5.1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_Toc64529043 \h </w:instrText>
            </w:r>
            <w:r>
              <w:rPr>
                <w:noProof/>
                <w:webHidden/>
              </w:rPr>
            </w:r>
            <w:r>
              <w:rPr>
                <w:noProof/>
                <w:webHidden/>
              </w:rPr>
              <w:fldChar w:fldCharType="separate"/>
            </w:r>
            <w:r w:rsidR="00AB7125">
              <w:rPr>
                <w:noProof/>
                <w:webHidden/>
              </w:rPr>
              <w:t>29</w:t>
            </w:r>
            <w:r>
              <w:rPr>
                <w:noProof/>
                <w:webHidden/>
              </w:rPr>
              <w:fldChar w:fldCharType="end"/>
            </w:r>
          </w:hyperlink>
        </w:p>
        <w:p w14:paraId="3A5EAC26" w14:textId="0C59D675"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4" w:history="1">
            <w:r w:rsidRPr="00D875C3">
              <w:rPr>
                <w:rStyle w:val="Hyperlink"/>
                <w:noProof/>
              </w:rPr>
              <w:t>5.2</w:t>
            </w:r>
            <w:r>
              <w:rPr>
                <w:rFonts w:asciiTheme="minorHAnsi" w:eastAsiaTheme="minorEastAsia" w:hAnsiTheme="minorHAnsi" w:cstheme="minorBidi"/>
                <w:noProof/>
                <w:color w:val="auto"/>
                <w:lang w:val="en-AU" w:eastAsia="en-AU"/>
              </w:rPr>
              <w:tab/>
            </w:r>
            <w:r w:rsidRPr="00D875C3">
              <w:rPr>
                <w:rStyle w:val="Hyperlink"/>
                <w:noProof/>
              </w:rPr>
              <w:t>Expenses by function</w:t>
            </w:r>
            <w:r>
              <w:rPr>
                <w:noProof/>
                <w:webHidden/>
              </w:rPr>
              <w:tab/>
            </w:r>
            <w:r>
              <w:rPr>
                <w:noProof/>
                <w:webHidden/>
              </w:rPr>
              <w:fldChar w:fldCharType="begin"/>
            </w:r>
            <w:r>
              <w:rPr>
                <w:noProof/>
                <w:webHidden/>
              </w:rPr>
              <w:instrText xml:space="preserve"> PAGEREF _Toc64529044 \h </w:instrText>
            </w:r>
            <w:r>
              <w:rPr>
                <w:noProof/>
                <w:webHidden/>
              </w:rPr>
            </w:r>
            <w:r>
              <w:rPr>
                <w:noProof/>
                <w:webHidden/>
              </w:rPr>
              <w:fldChar w:fldCharType="separate"/>
            </w:r>
            <w:r w:rsidR="00AB7125">
              <w:rPr>
                <w:noProof/>
                <w:webHidden/>
              </w:rPr>
              <w:t>30</w:t>
            </w:r>
            <w:r>
              <w:rPr>
                <w:noProof/>
                <w:webHidden/>
              </w:rPr>
              <w:fldChar w:fldCharType="end"/>
            </w:r>
          </w:hyperlink>
        </w:p>
        <w:p w14:paraId="5CFEFEF3" w14:textId="2451030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5" w:history="1">
            <w:r w:rsidRPr="00D875C3">
              <w:rPr>
                <w:rStyle w:val="Hyperlink"/>
                <w:noProof/>
              </w:rPr>
              <w:t>5.3</w:t>
            </w:r>
            <w:r>
              <w:rPr>
                <w:rFonts w:asciiTheme="minorHAnsi" w:eastAsiaTheme="minorEastAsia" w:hAnsiTheme="minorHAnsi" w:cstheme="minorBidi"/>
                <w:noProof/>
                <w:color w:val="auto"/>
                <w:lang w:val="en-AU" w:eastAsia="en-AU"/>
              </w:rPr>
              <w:tab/>
            </w:r>
            <w:r w:rsidRPr="00D875C3">
              <w:rPr>
                <w:rStyle w:val="Hyperlink"/>
                <w:noProof/>
              </w:rPr>
              <w:t>Trends in Operating Expenses</w:t>
            </w:r>
            <w:r>
              <w:rPr>
                <w:noProof/>
                <w:webHidden/>
              </w:rPr>
              <w:tab/>
            </w:r>
            <w:r>
              <w:rPr>
                <w:noProof/>
                <w:webHidden/>
              </w:rPr>
              <w:fldChar w:fldCharType="begin"/>
            </w:r>
            <w:r>
              <w:rPr>
                <w:noProof/>
                <w:webHidden/>
              </w:rPr>
              <w:instrText xml:space="preserve"> PAGEREF _Toc64529045 \h </w:instrText>
            </w:r>
            <w:r>
              <w:rPr>
                <w:noProof/>
                <w:webHidden/>
              </w:rPr>
            </w:r>
            <w:r>
              <w:rPr>
                <w:noProof/>
                <w:webHidden/>
              </w:rPr>
              <w:fldChar w:fldCharType="separate"/>
            </w:r>
            <w:r w:rsidR="00AB7125">
              <w:rPr>
                <w:noProof/>
                <w:webHidden/>
              </w:rPr>
              <w:t>30</w:t>
            </w:r>
            <w:r>
              <w:rPr>
                <w:noProof/>
                <w:webHidden/>
              </w:rPr>
              <w:fldChar w:fldCharType="end"/>
            </w:r>
          </w:hyperlink>
        </w:p>
        <w:p w14:paraId="3D87A59E" w14:textId="70AAC901"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6" w:history="1">
            <w:r w:rsidRPr="00D875C3">
              <w:rPr>
                <w:rStyle w:val="Hyperlink"/>
                <w:noProof/>
              </w:rPr>
              <w:t>5.4</w:t>
            </w:r>
            <w:r>
              <w:rPr>
                <w:rFonts w:asciiTheme="minorHAnsi" w:eastAsiaTheme="minorEastAsia" w:hAnsiTheme="minorHAnsi" w:cstheme="minorBidi"/>
                <w:noProof/>
                <w:color w:val="auto"/>
                <w:lang w:val="en-AU" w:eastAsia="en-AU"/>
              </w:rPr>
              <w:tab/>
            </w:r>
            <w:r w:rsidRPr="00D875C3">
              <w:rPr>
                <w:rStyle w:val="Hyperlink"/>
                <w:noProof/>
              </w:rPr>
              <w:t>New initiatives</w:t>
            </w:r>
            <w:r>
              <w:rPr>
                <w:noProof/>
                <w:webHidden/>
              </w:rPr>
              <w:tab/>
            </w:r>
            <w:r>
              <w:rPr>
                <w:noProof/>
                <w:webHidden/>
              </w:rPr>
              <w:fldChar w:fldCharType="begin"/>
            </w:r>
            <w:r>
              <w:rPr>
                <w:noProof/>
                <w:webHidden/>
              </w:rPr>
              <w:instrText xml:space="preserve"> PAGEREF _Toc64529046 \h </w:instrText>
            </w:r>
            <w:r>
              <w:rPr>
                <w:noProof/>
                <w:webHidden/>
              </w:rPr>
            </w:r>
            <w:r>
              <w:rPr>
                <w:noProof/>
                <w:webHidden/>
              </w:rPr>
              <w:fldChar w:fldCharType="separate"/>
            </w:r>
            <w:r w:rsidR="00AB7125">
              <w:rPr>
                <w:noProof/>
                <w:webHidden/>
              </w:rPr>
              <w:t>31</w:t>
            </w:r>
            <w:r>
              <w:rPr>
                <w:noProof/>
                <w:webHidden/>
              </w:rPr>
              <w:fldChar w:fldCharType="end"/>
            </w:r>
          </w:hyperlink>
        </w:p>
        <w:p w14:paraId="17E9631C" w14:textId="621C18AF"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47" w:history="1">
            <w:r w:rsidRPr="00D875C3">
              <w:rPr>
                <w:rStyle w:val="Hyperlink"/>
                <w:noProof/>
              </w:rPr>
              <w:t>6.</w:t>
            </w:r>
            <w:r>
              <w:rPr>
                <w:rFonts w:asciiTheme="minorHAnsi" w:eastAsiaTheme="minorEastAsia" w:hAnsiTheme="minorHAnsi" w:cstheme="minorBidi"/>
                <w:b w:val="0"/>
                <w:noProof/>
                <w:color w:val="auto"/>
                <w:lang w:val="en-AU" w:eastAsia="en-AU"/>
              </w:rPr>
              <w:tab/>
            </w:r>
            <w:r w:rsidRPr="00D875C3">
              <w:rPr>
                <w:rStyle w:val="Hyperlink"/>
                <w:noProof/>
              </w:rPr>
              <w:t>Capital Works and Infrastructure</w:t>
            </w:r>
            <w:r>
              <w:rPr>
                <w:noProof/>
                <w:webHidden/>
              </w:rPr>
              <w:tab/>
            </w:r>
            <w:r>
              <w:rPr>
                <w:noProof/>
                <w:webHidden/>
              </w:rPr>
              <w:fldChar w:fldCharType="begin"/>
            </w:r>
            <w:r>
              <w:rPr>
                <w:noProof/>
                <w:webHidden/>
              </w:rPr>
              <w:instrText xml:space="preserve"> PAGEREF _Toc64529047 \h </w:instrText>
            </w:r>
            <w:r>
              <w:rPr>
                <w:noProof/>
                <w:webHidden/>
              </w:rPr>
            </w:r>
            <w:r>
              <w:rPr>
                <w:noProof/>
                <w:webHidden/>
              </w:rPr>
              <w:fldChar w:fldCharType="separate"/>
            </w:r>
            <w:r w:rsidR="00AB7125">
              <w:rPr>
                <w:noProof/>
                <w:webHidden/>
              </w:rPr>
              <w:t>32</w:t>
            </w:r>
            <w:r>
              <w:rPr>
                <w:noProof/>
                <w:webHidden/>
              </w:rPr>
              <w:fldChar w:fldCharType="end"/>
            </w:r>
          </w:hyperlink>
        </w:p>
        <w:p w14:paraId="6F8BF24D" w14:textId="7751205A"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8" w:history="1">
            <w:r w:rsidRPr="00D875C3">
              <w:rPr>
                <w:rStyle w:val="Hyperlink"/>
                <w:noProof/>
              </w:rPr>
              <w:t>6.1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_Toc64529048 \h </w:instrText>
            </w:r>
            <w:r>
              <w:rPr>
                <w:noProof/>
                <w:webHidden/>
              </w:rPr>
            </w:r>
            <w:r>
              <w:rPr>
                <w:noProof/>
                <w:webHidden/>
              </w:rPr>
              <w:fldChar w:fldCharType="separate"/>
            </w:r>
            <w:r w:rsidR="00AB7125">
              <w:rPr>
                <w:noProof/>
                <w:webHidden/>
              </w:rPr>
              <w:t>32</w:t>
            </w:r>
            <w:r>
              <w:rPr>
                <w:noProof/>
                <w:webHidden/>
              </w:rPr>
              <w:fldChar w:fldCharType="end"/>
            </w:r>
          </w:hyperlink>
        </w:p>
        <w:p w14:paraId="66DB5899" w14:textId="543B044D"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49" w:history="1">
            <w:r w:rsidRPr="00D875C3">
              <w:rPr>
                <w:rStyle w:val="Hyperlink"/>
                <w:noProof/>
              </w:rPr>
              <w:t>6.2</w:t>
            </w:r>
            <w:r>
              <w:rPr>
                <w:rFonts w:asciiTheme="minorHAnsi" w:eastAsiaTheme="minorEastAsia" w:hAnsiTheme="minorHAnsi" w:cstheme="minorBidi"/>
                <w:noProof/>
                <w:color w:val="auto"/>
                <w:lang w:val="en-AU" w:eastAsia="en-AU"/>
              </w:rPr>
              <w:tab/>
            </w:r>
            <w:r w:rsidRPr="00D875C3">
              <w:rPr>
                <w:rStyle w:val="Hyperlink"/>
                <w:noProof/>
              </w:rPr>
              <w:t>Capital Works Program</w:t>
            </w:r>
            <w:r>
              <w:rPr>
                <w:noProof/>
                <w:webHidden/>
              </w:rPr>
              <w:tab/>
            </w:r>
            <w:r>
              <w:rPr>
                <w:noProof/>
                <w:webHidden/>
              </w:rPr>
              <w:fldChar w:fldCharType="begin"/>
            </w:r>
            <w:r>
              <w:rPr>
                <w:noProof/>
                <w:webHidden/>
              </w:rPr>
              <w:instrText xml:space="preserve"> PAGEREF _Toc64529049 \h </w:instrText>
            </w:r>
            <w:r>
              <w:rPr>
                <w:noProof/>
                <w:webHidden/>
              </w:rPr>
            </w:r>
            <w:r>
              <w:rPr>
                <w:noProof/>
                <w:webHidden/>
              </w:rPr>
              <w:fldChar w:fldCharType="separate"/>
            </w:r>
            <w:r w:rsidR="00AB7125">
              <w:rPr>
                <w:noProof/>
                <w:webHidden/>
              </w:rPr>
              <w:t>33</w:t>
            </w:r>
            <w:r>
              <w:rPr>
                <w:noProof/>
                <w:webHidden/>
              </w:rPr>
              <w:fldChar w:fldCharType="end"/>
            </w:r>
          </w:hyperlink>
        </w:p>
        <w:p w14:paraId="07E2E3B1" w14:textId="45A76E55"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0" w:history="1">
            <w:r w:rsidRPr="00D875C3">
              <w:rPr>
                <w:rStyle w:val="Hyperlink"/>
                <w:noProof/>
              </w:rPr>
              <w:t>6.3</w:t>
            </w:r>
            <w:r>
              <w:rPr>
                <w:rFonts w:asciiTheme="minorHAnsi" w:eastAsiaTheme="minorEastAsia" w:hAnsiTheme="minorHAnsi" w:cstheme="minorBidi"/>
                <w:noProof/>
                <w:color w:val="auto"/>
                <w:lang w:val="en-AU" w:eastAsia="en-AU"/>
              </w:rPr>
              <w:tab/>
            </w:r>
            <w:r w:rsidRPr="00D875C3">
              <w:rPr>
                <w:rStyle w:val="Hyperlink"/>
                <w:noProof/>
              </w:rPr>
              <w:t>Public Private Partnerships</w:t>
            </w:r>
            <w:r>
              <w:rPr>
                <w:noProof/>
                <w:webHidden/>
              </w:rPr>
              <w:tab/>
            </w:r>
            <w:r>
              <w:rPr>
                <w:noProof/>
                <w:webHidden/>
              </w:rPr>
              <w:fldChar w:fldCharType="begin"/>
            </w:r>
            <w:r>
              <w:rPr>
                <w:noProof/>
                <w:webHidden/>
              </w:rPr>
              <w:instrText xml:space="preserve"> PAGEREF _Toc64529050 \h </w:instrText>
            </w:r>
            <w:r>
              <w:rPr>
                <w:noProof/>
                <w:webHidden/>
              </w:rPr>
            </w:r>
            <w:r>
              <w:rPr>
                <w:noProof/>
                <w:webHidden/>
              </w:rPr>
              <w:fldChar w:fldCharType="separate"/>
            </w:r>
            <w:r w:rsidR="00AB7125">
              <w:rPr>
                <w:noProof/>
                <w:webHidden/>
              </w:rPr>
              <w:t>34</w:t>
            </w:r>
            <w:r>
              <w:rPr>
                <w:noProof/>
                <w:webHidden/>
              </w:rPr>
              <w:fldChar w:fldCharType="end"/>
            </w:r>
          </w:hyperlink>
        </w:p>
        <w:p w14:paraId="2645A550" w14:textId="1F77341A"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51" w:history="1">
            <w:r w:rsidRPr="00D875C3">
              <w:rPr>
                <w:rStyle w:val="Hyperlink"/>
                <w:noProof/>
              </w:rPr>
              <w:t>7.</w:t>
            </w:r>
            <w:r>
              <w:rPr>
                <w:rFonts w:asciiTheme="minorHAnsi" w:eastAsiaTheme="minorEastAsia" w:hAnsiTheme="minorHAnsi" w:cstheme="minorBidi"/>
                <w:b w:val="0"/>
                <w:noProof/>
                <w:color w:val="auto"/>
                <w:lang w:val="en-AU" w:eastAsia="en-AU"/>
              </w:rPr>
              <w:tab/>
            </w:r>
            <w:r w:rsidRPr="00D875C3">
              <w:rPr>
                <w:rStyle w:val="Hyperlink"/>
                <w:noProof/>
              </w:rPr>
              <w:t>Assets and Liabilities</w:t>
            </w:r>
            <w:r>
              <w:rPr>
                <w:noProof/>
                <w:webHidden/>
              </w:rPr>
              <w:tab/>
            </w:r>
            <w:r>
              <w:rPr>
                <w:noProof/>
                <w:webHidden/>
              </w:rPr>
              <w:fldChar w:fldCharType="begin"/>
            </w:r>
            <w:r>
              <w:rPr>
                <w:noProof/>
                <w:webHidden/>
              </w:rPr>
              <w:instrText xml:space="preserve"> PAGEREF _Toc64529051 \h </w:instrText>
            </w:r>
            <w:r>
              <w:rPr>
                <w:noProof/>
                <w:webHidden/>
              </w:rPr>
            </w:r>
            <w:r>
              <w:rPr>
                <w:noProof/>
                <w:webHidden/>
              </w:rPr>
              <w:fldChar w:fldCharType="separate"/>
            </w:r>
            <w:r w:rsidR="00AB7125">
              <w:rPr>
                <w:noProof/>
                <w:webHidden/>
              </w:rPr>
              <w:t>36</w:t>
            </w:r>
            <w:r>
              <w:rPr>
                <w:noProof/>
                <w:webHidden/>
              </w:rPr>
              <w:fldChar w:fldCharType="end"/>
            </w:r>
          </w:hyperlink>
        </w:p>
        <w:p w14:paraId="58E3C7C0" w14:textId="6CA5CEA8"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2" w:history="1">
            <w:r w:rsidRPr="00D875C3">
              <w:rPr>
                <w:rStyle w:val="Hyperlink"/>
                <w:noProof/>
              </w:rPr>
              <w:t>7.1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_Toc64529052 \h </w:instrText>
            </w:r>
            <w:r>
              <w:rPr>
                <w:noProof/>
                <w:webHidden/>
              </w:rPr>
            </w:r>
            <w:r>
              <w:rPr>
                <w:noProof/>
                <w:webHidden/>
              </w:rPr>
              <w:fldChar w:fldCharType="separate"/>
            </w:r>
            <w:r w:rsidR="00AB7125">
              <w:rPr>
                <w:noProof/>
                <w:webHidden/>
              </w:rPr>
              <w:t>36</w:t>
            </w:r>
            <w:r>
              <w:rPr>
                <w:noProof/>
                <w:webHidden/>
              </w:rPr>
              <w:fldChar w:fldCharType="end"/>
            </w:r>
          </w:hyperlink>
        </w:p>
        <w:p w14:paraId="3572FAD9" w14:textId="0ADE727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3" w:history="1">
            <w:r w:rsidRPr="00D875C3">
              <w:rPr>
                <w:rStyle w:val="Hyperlink"/>
                <w:noProof/>
              </w:rPr>
              <w:t>7.2</w:t>
            </w:r>
            <w:r>
              <w:rPr>
                <w:rFonts w:asciiTheme="minorHAnsi" w:eastAsiaTheme="minorEastAsia" w:hAnsiTheme="minorHAnsi" w:cstheme="minorBidi"/>
                <w:noProof/>
                <w:color w:val="auto"/>
                <w:lang w:val="en-AU" w:eastAsia="en-AU"/>
              </w:rPr>
              <w:tab/>
            </w:r>
            <w:r w:rsidRPr="00D875C3">
              <w:rPr>
                <w:rStyle w:val="Hyperlink"/>
                <w:noProof/>
              </w:rPr>
              <w:t>Net Debt</w:t>
            </w:r>
            <w:r>
              <w:rPr>
                <w:noProof/>
                <w:webHidden/>
              </w:rPr>
              <w:tab/>
            </w:r>
            <w:r>
              <w:rPr>
                <w:noProof/>
                <w:webHidden/>
              </w:rPr>
              <w:fldChar w:fldCharType="begin"/>
            </w:r>
            <w:r>
              <w:rPr>
                <w:noProof/>
                <w:webHidden/>
              </w:rPr>
              <w:instrText xml:space="preserve"> PAGEREF _Toc64529053 \h </w:instrText>
            </w:r>
            <w:r>
              <w:rPr>
                <w:noProof/>
                <w:webHidden/>
              </w:rPr>
            </w:r>
            <w:r>
              <w:rPr>
                <w:noProof/>
                <w:webHidden/>
              </w:rPr>
              <w:fldChar w:fldCharType="separate"/>
            </w:r>
            <w:r w:rsidR="00AB7125">
              <w:rPr>
                <w:noProof/>
                <w:webHidden/>
              </w:rPr>
              <w:t>36</w:t>
            </w:r>
            <w:r>
              <w:rPr>
                <w:noProof/>
                <w:webHidden/>
              </w:rPr>
              <w:fldChar w:fldCharType="end"/>
            </w:r>
          </w:hyperlink>
        </w:p>
        <w:p w14:paraId="170E3877" w14:textId="31CFC302"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4" w:history="1">
            <w:r w:rsidRPr="00D875C3">
              <w:rPr>
                <w:rStyle w:val="Hyperlink"/>
                <w:noProof/>
              </w:rPr>
              <w:t>7.3</w:t>
            </w:r>
            <w:r>
              <w:rPr>
                <w:rFonts w:asciiTheme="minorHAnsi" w:eastAsiaTheme="minorEastAsia" w:hAnsiTheme="minorHAnsi" w:cstheme="minorBidi"/>
                <w:noProof/>
                <w:color w:val="auto"/>
                <w:lang w:val="en-AU" w:eastAsia="en-AU"/>
              </w:rPr>
              <w:tab/>
            </w:r>
            <w:r w:rsidRPr="00D875C3">
              <w:rPr>
                <w:rStyle w:val="Hyperlink"/>
                <w:noProof/>
              </w:rPr>
              <w:t>Net financial liabilities</w:t>
            </w:r>
            <w:r>
              <w:rPr>
                <w:noProof/>
                <w:webHidden/>
              </w:rPr>
              <w:tab/>
            </w:r>
            <w:r>
              <w:rPr>
                <w:noProof/>
                <w:webHidden/>
              </w:rPr>
              <w:fldChar w:fldCharType="begin"/>
            </w:r>
            <w:r>
              <w:rPr>
                <w:noProof/>
                <w:webHidden/>
              </w:rPr>
              <w:instrText xml:space="preserve"> PAGEREF _Toc64529054 \h </w:instrText>
            </w:r>
            <w:r>
              <w:rPr>
                <w:noProof/>
                <w:webHidden/>
              </w:rPr>
            </w:r>
            <w:r>
              <w:rPr>
                <w:noProof/>
                <w:webHidden/>
              </w:rPr>
              <w:fldChar w:fldCharType="separate"/>
            </w:r>
            <w:r w:rsidR="00AB7125">
              <w:rPr>
                <w:noProof/>
                <w:webHidden/>
              </w:rPr>
              <w:t>38</w:t>
            </w:r>
            <w:r>
              <w:rPr>
                <w:noProof/>
                <w:webHidden/>
              </w:rPr>
              <w:fldChar w:fldCharType="end"/>
            </w:r>
          </w:hyperlink>
        </w:p>
        <w:p w14:paraId="1798FAB6" w14:textId="5F25CF87"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5" w:history="1">
            <w:r w:rsidRPr="00D875C3">
              <w:rPr>
                <w:rStyle w:val="Hyperlink"/>
                <w:noProof/>
              </w:rPr>
              <w:t>7.4</w:t>
            </w:r>
            <w:r>
              <w:rPr>
                <w:rFonts w:asciiTheme="minorHAnsi" w:eastAsiaTheme="minorEastAsia" w:hAnsiTheme="minorHAnsi" w:cstheme="minorBidi"/>
                <w:noProof/>
                <w:color w:val="auto"/>
                <w:lang w:val="en-AU" w:eastAsia="en-AU"/>
              </w:rPr>
              <w:tab/>
            </w:r>
            <w:r w:rsidRPr="00D875C3">
              <w:rPr>
                <w:rStyle w:val="Hyperlink"/>
                <w:noProof/>
              </w:rPr>
              <w:t>Net worth</w:t>
            </w:r>
            <w:r>
              <w:rPr>
                <w:noProof/>
                <w:webHidden/>
              </w:rPr>
              <w:tab/>
            </w:r>
            <w:r>
              <w:rPr>
                <w:noProof/>
                <w:webHidden/>
              </w:rPr>
              <w:fldChar w:fldCharType="begin"/>
            </w:r>
            <w:r>
              <w:rPr>
                <w:noProof/>
                <w:webHidden/>
              </w:rPr>
              <w:instrText xml:space="preserve"> PAGEREF _Toc64529055 \h </w:instrText>
            </w:r>
            <w:r>
              <w:rPr>
                <w:noProof/>
                <w:webHidden/>
              </w:rPr>
            </w:r>
            <w:r>
              <w:rPr>
                <w:noProof/>
                <w:webHidden/>
              </w:rPr>
              <w:fldChar w:fldCharType="separate"/>
            </w:r>
            <w:r w:rsidR="00AB7125">
              <w:rPr>
                <w:noProof/>
                <w:webHidden/>
              </w:rPr>
              <w:t>39</w:t>
            </w:r>
            <w:r>
              <w:rPr>
                <w:noProof/>
                <w:webHidden/>
              </w:rPr>
              <w:fldChar w:fldCharType="end"/>
            </w:r>
          </w:hyperlink>
        </w:p>
        <w:p w14:paraId="62D6C48C" w14:textId="6F90908E"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6" w:history="1">
            <w:r w:rsidRPr="00D875C3">
              <w:rPr>
                <w:rStyle w:val="Hyperlink"/>
                <w:noProof/>
              </w:rPr>
              <w:t>7.5</w:t>
            </w:r>
            <w:r>
              <w:rPr>
                <w:rFonts w:asciiTheme="minorHAnsi" w:eastAsiaTheme="minorEastAsia" w:hAnsiTheme="minorHAnsi" w:cstheme="minorBidi"/>
                <w:noProof/>
                <w:color w:val="auto"/>
                <w:lang w:val="en-AU" w:eastAsia="en-AU"/>
              </w:rPr>
              <w:tab/>
            </w:r>
            <w:r w:rsidRPr="00D875C3">
              <w:rPr>
                <w:rStyle w:val="Hyperlink"/>
                <w:noProof/>
              </w:rPr>
              <w:t>Superannuation</w:t>
            </w:r>
            <w:r>
              <w:rPr>
                <w:noProof/>
                <w:webHidden/>
              </w:rPr>
              <w:tab/>
            </w:r>
            <w:r>
              <w:rPr>
                <w:noProof/>
                <w:webHidden/>
              </w:rPr>
              <w:fldChar w:fldCharType="begin"/>
            </w:r>
            <w:r>
              <w:rPr>
                <w:noProof/>
                <w:webHidden/>
              </w:rPr>
              <w:instrText xml:space="preserve"> PAGEREF _Toc64529056 \h </w:instrText>
            </w:r>
            <w:r>
              <w:rPr>
                <w:noProof/>
                <w:webHidden/>
              </w:rPr>
            </w:r>
            <w:r>
              <w:rPr>
                <w:noProof/>
                <w:webHidden/>
              </w:rPr>
              <w:fldChar w:fldCharType="separate"/>
            </w:r>
            <w:r w:rsidR="00AB7125">
              <w:rPr>
                <w:noProof/>
                <w:webHidden/>
              </w:rPr>
              <w:t>40</w:t>
            </w:r>
            <w:r>
              <w:rPr>
                <w:noProof/>
                <w:webHidden/>
              </w:rPr>
              <w:fldChar w:fldCharType="end"/>
            </w:r>
          </w:hyperlink>
        </w:p>
        <w:p w14:paraId="643F240C" w14:textId="4D1CF308"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57" w:history="1">
            <w:r w:rsidRPr="00D875C3">
              <w:rPr>
                <w:rStyle w:val="Hyperlink"/>
                <w:noProof/>
              </w:rPr>
              <w:t>8.</w:t>
            </w:r>
            <w:r>
              <w:rPr>
                <w:rFonts w:asciiTheme="minorHAnsi" w:eastAsiaTheme="minorEastAsia" w:hAnsiTheme="minorHAnsi" w:cstheme="minorBidi"/>
                <w:b w:val="0"/>
                <w:noProof/>
                <w:color w:val="auto"/>
                <w:lang w:val="en-AU" w:eastAsia="en-AU"/>
              </w:rPr>
              <w:tab/>
            </w:r>
            <w:r w:rsidRPr="00D875C3">
              <w:rPr>
                <w:rStyle w:val="Hyperlink"/>
                <w:noProof/>
              </w:rPr>
              <w:t>Risks</w:t>
            </w:r>
            <w:r>
              <w:rPr>
                <w:noProof/>
                <w:webHidden/>
              </w:rPr>
              <w:tab/>
            </w:r>
            <w:r>
              <w:rPr>
                <w:noProof/>
                <w:webHidden/>
              </w:rPr>
              <w:fldChar w:fldCharType="begin"/>
            </w:r>
            <w:r>
              <w:rPr>
                <w:noProof/>
                <w:webHidden/>
              </w:rPr>
              <w:instrText xml:space="preserve"> PAGEREF _Toc64529057 \h </w:instrText>
            </w:r>
            <w:r>
              <w:rPr>
                <w:noProof/>
                <w:webHidden/>
              </w:rPr>
            </w:r>
            <w:r>
              <w:rPr>
                <w:noProof/>
                <w:webHidden/>
              </w:rPr>
              <w:fldChar w:fldCharType="separate"/>
            </w:r>
            <w:r w:rsidR="00AB7125">
              <w:rPr>
                <w:noProof/>
                <w:webHidden/>
              </w:rPr>
              <w:t>44</w:t>
            </w:r>
            <w:r>
              <w:rPr>
                <w:noProof/>
                <w:webHidden/>
              </w:rPr>
              <w:fldChar w:fldCharType="end"/>
            </w:r>
          </w:hyperlink>
        </w:p>
        <w:p w14:paraId="6556BD7E" w14:textId="3F5E1ED7"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8" w:history="1">
            <w:r w:rsidRPr="00D875C3">
              <w:rPr>
                <w:rStyle w:val="Hyperlink"/>
                <w:rFonts w:eastAsia="Times New Roman"/>
                <w:noProof/>
              </w:rPr>
              <w:t>8.1</w:t>
            </w:r>
            <w:r>
              <w:rPr>
                <w:rFonts w:asciiTheme="minorHAnsi" w:eastAsiaTheme="minorEastAsia" w:hAnsiTheme="minorHAnsi" w:cstheme="minorBidi"/>
                <w:noProof/>
                <w:color w:val="auto"/>
                <w:lang w:val="en-AU" w:eastAsia="en-AU"/>
              </w:rPr>
              <w:tab/>
            </w:r>
            <w:r w:rsidRPr="00D875C3">
              <w:rPr>
                <w:rStyle w:val="Hyperlink"/>
                <w:rFonts w:eastAsia="Times New Roman"/>
                <w:noProof/>
              </w:rPr>
              <w:t>Overview</w:t>
            </w:r>
            <w:r>
              <w:rPr>
                <w:noProof/>
                <w:webHidden/>
              </w:rPr>
              <w:tab/>
            </w:r>
            <w:r>
              <w:rPr>
                <w:noProof/>
                <w:webHidden/>
              </w:rPr>
              <w:fldChar w:fldCharType="begin"/>
            </w:r>
            <w:r>
              <w:rPr>
                <w:noProof/>
                <w:webHidden/>
              </w:rPr>
              <w:instrText xml:space="preserve"> PAGEREF _Toc64529058 \h </w:instrText>
            </w:r>
            <w:r>
              <w:rPr>
                <w:noProof/>
                <w:webHidden/>
              </w:rPr>
            </w:r>
            <w:r>
              <w:rPr>
                <w:noProof/>
                <w:webHidden/>
              </w:rPr>
              <w:fldChar w:fldCharType="separate"/>
            </w:r>
            <w:r w:rsidR="00AB7125">
              <w:rPr>
                <w:noProof/>
                <w:webHidden/>
              </w:rPr>
              <w:t>44</w:t>
            </w:r>
            <w:r>
              <w:rPr>
                <w:noProof/>
                <w:webHidden/>
              </w:rPr>
              <w:fldChar w:fldCharType="end"/>
            </w:r>
          </w:hyperlink>
        </w:p>
        <w:p w14:paraId="4BB08282" w14:textId="4A5E2DDF"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59" w:history="1">
            <w:r w:rsidRPr="00D875C3">
              <w:rPr>
                <w:rStyle w:val="Hyperlink"/>
                <w:rFonts w:eastAsia="Times New Roman"/>
                <w:noProof/>
              </w:rPr>
              <w:t>8.2</w:t>
            </w:r>
            <w:r>
              <w:rPr>
                <w:rFonts w:asciiTheme="minorHAnsi" w:eastAsiaTheme="minorEastAsia" w:hAnsiTheme="minorHAnsi" w:cstheme="minorBidi"/>
                <w:noProof/>
                <w:color w:val="auto"/>
                <w:lang w:val="en-AU" w:eastAsia="en-AU"/>
              </w:rPr>
              <w:tab/>
            </w:r>
            <w:r w:rsidRPr="00D875C3">
              <w:rPr>
                <w:rStyle w:val="Hyperlink"/>
                <w:rFonts w:eastAsia="Times New Roman"/>
                <w:noProof/>
              </w:rPr>
              <w:t>Risks to the economic outlook</w:t>
            </w:r>
            <w:r>
              <w:rPr>
                <w:noProof/>
                <w:webHidden/>
              </w:rPr>
              <w:tab/>
            </w:r>
            <w:r>
              <w:rPr>
                <w:noProof/>
                <w:webHidden/>
              </w:rPr>
              <w:fldChar w:fldCharType="begin"/>
            </w:r>
            <w:r>
              <w:rPr>
                <w:noProof/>
                <w:webHidden/>
              </w:rPr>
              <w:instrText xml:space="preserve"> PAGEREF _Toc64529059 \h </w:instrText>
            </w:r>
            <w:r>
              <w:rPr>
                <w:noProof/>
                <w:webHidden/>
              </w:rPr>
            </w:r>
            <w:r>
              <w:rPr>
                <w:noProof/>
                <w:webHidden/>
              </w:rPr>
              <w:fldChar w:fldCharType="separate"/>
            </w:r>
            <w:r w:rsidR="00AB7125">
              <w:rPr>
                <w:noProof/>
                <w:webHidden/>
              </w:rPr>
              <w:t>44</w:t>
            </w:r>
            <w:r>
              <w:rPr>
                <w:noProof/>
                <w:webHidden/>
              </w:rPr>
              <w:fldChar w:fldCharType="end"/>
            </w:r>
          </w:hyperlink>
        </w:p>
        <w:p w14:paraId="4D8B991B" w14:textId="55B4B795"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0" w:history="1">
            <w:r w:rsidRPr="00D875C3">
              <w:rPr>
                <w:rStyle w:val="Hyperlink"/>
                <w:rFonts w:eastAsia="Times New Roman"/>
                <w:noProof/>
              </w:rPr>
              <w:t>8.3</w:t>
            </w:r>
            <w:r>
              <w:rPr>
                <w:rFonts w:asciiTheme="minorHAnsi" w:eastAsiaTheme="minorEastAsia" w:hAnsiTheme="minorHAnsi" w:cstheme="minorBidi"/>
                <w:noProof/>
                <w:color w:val="auto"/>
                <w:lang w:val="en-AU" w:eastAsia="en-AU"/>
              </w:rPr>
              <w:tab/>
            </w:r>
            <w:r w:rsidRPr="00D875C3">
              <w:rPr>
                <w:rStyle w:val="Hyperlink"/>
                <w:rFonts w:eastAsia="Times New Roman"/>
                <w:noProof/>
              </w:rPr>
              <w:t>Fiscal risks</w:t>
            </w:r>
            <w:r>
              <w:rPr>
                <w:noProof/>
                <w:webHidden/>
              </w:rPr>
              <w:tab/>
            </w:r>
            <w:r>
              <w:rPr>
                <w:noProof/>
                <w:webHidden/>
              </w:rPr>
              <w:fldChar w:fldCharType="begin"/>
            </w:r>
            <w:r>
              <w:rPr>
                <w:noProof/>
                <w:webHidden/>
              </w:rPr>
              <w:instrText xml:space="preserve"> PAGEREF _Toc64529060 \h </w:instrText>
            </w:r>
            <w:r>
              <w:rPr>
                <w:noProof/>
                <w:webHidden/>
              </w:rPr>
            </w:r>
            <w:r>
              <w:rPr>
                <w:noProof/>
                <w:webHidden/>
              </w:rPr>
              <w:fldChar w:fldCharType="separate"/>
            </w:r>
            <w:r w:rsidR="00AB7125">
              <w:rPr>
                <w:noProof/>
                <w:webHidden/>
              </w:rPr>
              <w:t>45</w:t>
            </w:r>
            <w:r>
              <w:rPr>
                <w:noProof/>
                <w:webHidden/>
              </w:rPr>
              <w:fldChar w:fldCharType="end"/>
            </w:r>
          </w:hyperlink>
        </w:p>
        <w:p w14:paraId="7F7D7F84" w14:textId="72B3B514" w:rsidR="00921C0A" w:rsidRDefault="00921C0A">
          <w:pPr>
            <w:pStyle w:val="TOC1"/>
            <w:tabs>
              <w:tab w:val="left" w:pos="441"/>
              <w:tab w:val="right" w:leader="dot" w:pos="9016"/>
            </w:tabs>
            <w:rPr>
              <w:rFonts w:asciiTheme="minorHAnsi" w:eastAsiaTheme="minorEastAsia" w:hAnsiTheme="minorHAnsi" w:cstheme="minorBidi"/>
              <w:b w:val="0"/>
              <w:noProof/>
              <w:color w:val="auto"/>
              <w:lang w:val="en-AU" w:eastAsia="en-AU"/>
            </w:rPr>
          </w:pPr>
          <w:hyperlink w:anchor="_Toc64529061" w:history="1">
            <w:r w:rsidRPr="00D875C3">
              <w:rPr>
                <w:rStyle w:val="Hyperlink"/>
                <w:noProof/>
              </w:rPr>
              <w:t>9.</w:t>
            </w:r>
            <w:r>
              <w:rPr>
                <w:rFonts w:asciiTheme="minorHAnsi" w:eastAsiaTheme="minorEastAsia" w:hAnsiTheme="minorHAnsi" w:cstheme="minorBidi"/>
                <w:b w:val="0"/>
                <w:noProof/>
                <w:color w:val="auto"/>
                <w:lang w:val="en-AU" w:eastAsia="en-AU"/>
              </w:rPr>
              <w:tab/>
            </w:r>
            <w:r w:rsidRPr="00D875C3">
              <w:rPr>
                <w:rStyle w:val="Hyperlink"/>
                <w:noProof/>
              </w:rPr>
              <w:t>Budget accounting, classification and valuation issues</w:t>
            </w:r>
            <w:r>
              <w:rPr>
                <w:noProof/>
                <w:webHidden/>
              </w:rPr>
              <w:tab/>
            </w:r>
            <w:r>
              <w:rPr>
                <w:noProof/>
                <w:webHidden/>
              </w:rPr>
              <w:fldChar w:fldCharType="begin"/>
            </w:r>
            <w:r>
              <w:rPr>
                <w:noProof/>
                <w:webHidden/>
              </w:rPr>
              <w:instrText xml:space="preserve"> PAGEREF _Toc64529061 \h </w:instrText>
            </w:r>
            <w:r>
              <w:rPr>
                <w:noProof/>
                <w:webHidden/>
              </w:rPr>
            </w:r>
            <w:r>
              <w:rPr>
                <w:noProof/>
                <w:webHidden/>
              </w:rPr>
              <w:fldChar w:fldCharType="separate"/>
            </w:r>
            <w:r w:rsidR="00AB7125">
              <w:rPr>
                <w:noProof/>
                <w:webHidden/>
              </w:rPr>
              <w:t>46</w:t>
            </w:r>
            <w:r>
              <w:rPr>
                <w:noProof/>
                <w:webHidden/>
              </w:rPr>
              <w:fldChar w:fldCharType="end"/>
            </w:r>
          </w:hyperlink>
        </w:p>
        <w:p w14:paraId="0C91DB93" w14:textId="11F661CC"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2" w:history="1">
            <w:r w:rsidRPr="00D875C3">
              <w:rPr>
                <w:rStyle w:val="Hyperlink"/>
                <w:noProof/>
              </w:rPr>
              <w:t>9.1</w:t>
            </w:r>
            <w:r>
              <w:rPr>
                <w:rFonts w:asciiTheme="minorHAnsi" w:eastAsiaTheme="minorEastAsia" w:hAnsiTheme="minorHAnsi" w:cstheme="minorBidi"/>
                <w:noProof/>
                <w:color w:val="auto"/>
                <w:lang w:val="en-AU" w:eastAsia="en-AU"/>
              </w:rPr>
              <w:tab/>
            </w:r>
            <w:r w:rsidRPr="00D875C3">
              <w:rPr>
                <w:rStyle w:val="Hyperlink"/>
                <w:noProof/>
              </w:rPr>
              <w:t>Overview</w:t>
            </w:r>
            <w:r>
              <w:rPr>
                <w:noProof/>
                <w:webHidden/>
              </w:rPr>
              <w:tab/>
            </w:r>
            <w:r>
              <w:rPr>
                <w:noProof/>
                <w:webHidden/>
              </w:rPr>
              <w:fldChar w:fldCharType="begin"/>
            </w:r>
            <w:r>
              <w:rPr>
                <w:noProof/>
                <w:webHidden/>
              </w:rPr>
              <w:instrText xml:space="preserve"> PAGEREF _Toc64529062 \h </w:instrText>
            </w:r>
            <w:r>
              <w:rPr>
                <w:noProof/>
                <w:webHidden/>
              </w:rPr>
            </w:r>
            <w:r>
              <w:rPr>
                <w:noProof/>
                <w:webHidden/>
              </w:rPr>
              <w:fldChar w:fldCharType="separate"/>
            </w:r>
            <w:r w:rsidR="00AB7125">
              <w:rPr>
                <w:noProof/>
                <w:webHidden/>
              </w:rPr>
              <w:t>46</w:t>
            </w:r>
            <w:r>
              <w:rPr>
                <w:noProof/>
                <w:webHidden/>
              </w:rPr>
              <w:fldChar w:fldCharType="end"/>
            </w:r>
          </w:hyperlink>
        </w:p>
        <w:p w14:paraId="52A14A2D" w14:textId="44598F7A"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3" w:history="1">
            <w:r w:rsidRPr="00D875C3">
              <w:rPr>
                <w:rStyle w:val="Hyperlink"/>
                <w:noProof/>
              </w:rPr>
              <w:t>9.2</w:t>
            </w:r>
            <w:r>
              <w:rPr>
                <w:rFonts w:asciiTheme="minorHAnsi" w:eastAsiaTheme="minorEastAsia" w:hAnsiTheme="minorHAnsi" w:cstheme="minorBidi"/>
                <w:noProof/>
                <w:color w:val="auto"/>
                <w:lang w:val="en-AU" w:eastAsia="en-AU"/>
              </w:rPr>
              <w:tab/>
            </w:r>
            <w:r w:rsidRPr="00D875C3">
              <w:rPr>
                <w:rStyle w:val="Hyperlink"/>
                <w:noProof/>
              </w:rPr>
              <w:t>Disclosure of Key Accounting Policies</w:t>
            </w:r>
            <w:r>
              <w:rPr>
                <w:noProof/>
                <w:webHidden/>
              </w:rPr>
              <w:tab/>
            </w:r>
            <w:r>
              <w:rPr>
                <w:noProof/>
                <w:webHidden/>
              </w:rPr>
              <w:fldChar w:fldCharType="begin"/>
            </w:r>
            <w:r>
              <w:rPr>
                <w:noProof/>
                <w:webHidden/>
              </w:rPr>
              <w:instrText xml:space="preserve"> PAGEREF _Toc64529063 \h </w:instrText>
            </w:r>
            <w:r>
              <w:rPr>
                <w:noProof/>
                <w:webHidden/>
              </w:rPr>
            </w:r>
            <w:r>
              <w:rPr>
                <w:noProof/>
                <w:webHidden/>
              </w:rPr>
              <w:fldChar w:fldCharType="separate"/>
            </w:r>
            <w:r w:rsidR="00AB7125">
              <w:rPr>
                <w:noProof/>
                <w:webHidden/>
              </w:rPr>
              <w:t>46</w:t>
            </w:r>
            <w:r>
              <w:rPr>
                <w:noProof/>
                <w:webHidden/>
              </w:rPr>
              <w:fldChar w:fldCharType="end"/>
            </w:r>
          </w:hyperlink>
        </w:p>
        <w:p w14:paraId="10A78DE5" w14:textId="0CBA69EF"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4" w:history="1">
            <w:r w:rsidRPr="00D875C3">
              <w:rPr>
                <w:rStyle w:val="Hyperlink"/>
                <w:noProof/>
              </w:rPr>
              <w:t>9.3</w:t>
            </w:r>
            <w:r>
              <w:rPr>
                <w:rFonts w:asciiTheme="minorHAnsi" w:eastAsiaTheme="minorEastAsia" w:hAnsiTheme="minorHAnsi" w:cstheme="minorBidi"/>
                <w:noProof/>
                <w:color w:val="auto"/>
                <w:lang w:val="en-AU" w:eastAsia="en-AU"/>
              </w:rPr>
              <w:tab/>
            </w:r>
            <w:r w:rsidRPr="00D875C3">
              <w:rPr>
                <w:rStyle w:val="Hyperlink"/>
                <w:noProof/>
              </w:rPr>
              <w:t>Superannuation return adjustment</w:t>
            </w:r>
            <w:r>
              <w:rPr>
                <w:noProof/>
                <w:webHidden/>
              </w:rPr>
              <w:tab/>
            </w:r>
            <w:r>
              <w:rPr>
                <w:noProof/>
                <w:webHidden/>
              </w:rPr>
              <w:fldChar w:fldCharType="begin"/>
            </w:r>
            <w:r>
              <w:rPr>
                <w:noProof/>
                <w:webHidden/>
              </w:rPr>
              <w:instrText xml:space="preserve"> PAGEREF _Toc64529064 \h </w:instrText>
            </w:r>
            <w:r>
              <w:rPr>
                <w:noProof/>
                <w:webHidden/>
              </w:rPr>
            </w:r>
            <w:r>
              <w:rPr>
                <w:noProof/>
                <w:webHidden/>
              </w:rPr>
              <w:fldChar w:fldCharType="separate"/>
            </w:r>
            <w:r w:rsidR="00AB7125">
              <w:rPr>
                <w:noProof/>
                <w:webHidden/>
              </w:rPr>
              <w:t>47</w:t>
            </w:r>
            <w:r>
              <w:rPr>
                <w:noProof/>
                <w:webHidden/>
              </w:rPr>
              <w:fldChar w:fldCharType="end"/>
            </w:r>
          </w:hyperlink>
        </w:p>
        <w:p w14:paraId="06FB531A" w14:textId="2596309C"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5" w:history="1">
            <w:r w:rsidRPr="00D875C3">
              <w:rPr>
                <w:rStyle w:val="Hyperlink"/>
                <w:noProof/>
              </w:rPr>
              <w:t>9.4</w:t>
            </w:r>
            <w:r>
              <w:rPr>
                <w:rFonts w:asciiTheme="minorHAnsi" w:eastAsiaTheme="minorEastAsia" w:hAnsiTheme="minorHAnsi" w:cstheme="minorBidi"/>
                <w:noProof/>
                <w:color w:val="auto"/>
                <w:lang w:val="en-AU" w:eastAsia="en-AU"/>
              </w:rPr>
              <w:tab/>
            </w:r>
            <w:r w:rsidRPr="00D875C3">
              <w:rPr>
                <w:rStyle w:val="Hyperlink"/>
                <w:noProof/>
              </w:rPr>
              <w:t>Superannuation liability valuation and service costs</w:t>
            </w:r>
            <w:r>
              <w:rPr>
                <w:noProof/>
                <w:webHidden/>
              </w:rPr>
              <w:tab/>
            </w:r>
            <w:r>
              <w:rPr>
                <w:noProof/>
                <w:webHidden/>
              </w:rPr>
              <w:fldChar w:fldCharType="begin"/>
            </w:r>
            <w:r>
              <w:rPr>
                <w:noProof/>
                <w:webHidden/>
              </w:rPr>
              <w:instrText xml:space="preserve"> PAGEREF _Toc64529065 \h </w:instrText>
            </w:r>
            <w:r>
              <w:rPr>
                <w:noProof/>
                <w:webHidden/>
              </w:rPr>
            </w:r>
            <w:r>
              <w:rPr>
                <w:noProof/>
                <w:webHidden/>
              </w:rPr>
              <w:fldChar w:fldCharType="separate"/>
            </w:r>
            <w:r w:rsidR="00AB7125">
              <w:rPr>
                <w:noProof/>
                <w:webHidden/>
              </w:rPr>
              <w:t>48</w:t>
            </w:r>
            <w:r>
              <w:rPr>
                <w:noProof/>
                <w:webHidden/>
              </w:rPr>
              <w:fldChar w:fldCharType="end"/>
            </w:r>
          </w:hyperlink>
        </w:p>
        <w:p w14:paraId="72AFB5CE" w14:textId="0A588B40"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6" w:history="1">
            <w:r w:rsidRPr="00D875C3">
              <w:rPr>
                <w:rStyle w:val="Hyperlink"/>
                <w:noProof/>
              </w:rPr>
              <w:t>9.5</w:t>
            </w:r>
            <w:r>
              <w:rPr>
                <w:rFonts w:asciiTheme="minorHAnsi" w:eastAsiaTheme="minorEastAsia" w:hAnsiTheme="minorHAnsi" w:cstheme="minorBidi"/>
                <w:noProof/>
                <w:color w:val="auto"/>
                <w:lang w:val="en-AU" w:eastAsia="en-AU"/>
              </w:rPr>
              <w:tab/>
            </w:r>
            <w:r w:rsidRPr="00D875C3">
              <w:rPr>
                <w:rStyle w:val="Hyperlink"/>
                <w:noProof/>
              </w:rPr>
              <w:t>Public Private Partnerships</w:t>
            </w:r>
            <w:r>
              <w:rPr>
                <w:noProof/>
                <w:webHidden/>
              </w:rPr>
              <w:tab/>
            </w:r>
            <w:r>
              <w:rPr>
                <w:noProof/>
                <w:webHidden/>
              </w:rPr>
              <w:fldChar w:fldCharType="begin"/>
            </w:r>
            <w:r>
              <w:rPr>
                <w:noProof/>
                <w:webHidden/>
              </w:rPr>
              <w:instrText xml:space="preserve"> PAGEREF _Toc64529066 \h </w:instrText>
            </w:r>
            <w:r>
              <w:rPr>
                <w:noProof/>
                <w:webHidden/>
              </w:rPr>
            </w:r>
            <w:r>
              <w:rPr>
                <w:noProof/>
                <w:webHidden/>
              </w:rPr>
              <w:fldChar w:fldCharType="separate"/>
            </w:r>
            <w:r w:rsidR="00AB7125">
              <w:rPr>
                <w:noProof/>
                <w:webHidden/>
              </w:rPr>
              <w:t>49</w:t>
            </w:r>
            <w:r>
              <w:rPr>
                <w:noProof/>
                <w:webHidden/>
              </w:rPr>
              <w:fldChar w:fldCharType="end"/>
            </w:r>
          </w:hyperlink>
        </w:p>
        <w:p w14:paraId="59DE83DD" w14:textId="75D1A5AF" w:rsidR="00921C0A" w:rsidRDefault="00921C0A">
          <w:pPr>
            <w:pStyle w:val="TOC2"/>
            <w:tabs>
              <w:tab w:val="left" w:pos="1100"/>
              <w:tab w:val="right" w:leader="dot" w:pos="9016"/>
            </w:tabs>
            <w:rPr>
              <w:rFonts w:asciiTheme="minorHAnsi" w:eastAsiaTheme="minorEastAsia" w:hAnsiTheme="minorHAnsi" w:cstheme="minorBidi"/>
              <w:noProof/>
              <w:color w:val="auto"/>
              <w:lang w:val="en-AU" w:eastAsia="en-AU"/>
            </w:rPr>
          </w:pPr>
          <w:hyperlink w:anchor="_Toc64529067" w:history="1">
            <w:r w:rsidRPr="00D875C3">
              <w:rPr>
                <w:rStyle w:val="Hyperlink"/>
                <w:noProof/>
                <w:lang w:val="en-US"/>
              </w:rPr>
              <w:t>9.6</w:t>
            </w:r>
            <w:r>
              <w:rPr>
                <w:rFonts w:asciiTheme="minorHAnsi" w:eastAsiaTheme="minorEastAsia" w:hAnsiTheme="minorHAnsi" w:cstheme="minorBidi"/>
                <w:noProof/>
                <w:color w:val="auto"/>
                <w:lang w:val="en-AU" w:eastAsia="en-AU"/>
              </w:rPr>
              <w:tab/>
            </w:r>
            <w:r w:rsidRPr="00D875C3">
              <w:rPr>
                <w:rStyle w:val="Hyperlink"/>
                <w:noProof/>
                <w:lang w:val="en-US"/>
              </w:rPr>
              <w:t>Concessional Loans</w:t>
            </w:r>
            <w:r>
              <w:rPr>
                <w:noProof/>
                <w:webHidden/>
              </w:rPr>
              <w:tab/>
            </w:r>
            <w:r>
              <w:rPr>
                <w:noProof/>
                <w:webHidden/>
              </w:rPr>
              <w:fldChar w:fldCharType="begin"/>
            </w:r>
            <w:r>
              <w:rPr>
                <w:noProof/>
                <w:webHidden/>
              </w:rPr>
              <w:instrText xml:space="preserve"> PAGEREF _Toc64529067 \h </w:instrText>
            </w:r>
            <w:r>
              <w:rPr>
                <w:noProof/>
                <w:webHidden/>
              </w:rPr>
            </w:r>
            <w:r>
              <w:rPr>
                <w:noProof/>
                <w:webHidden/>
              </w:rPr>
              <w:fldChar w:fldCharType="separate"/>
            </w:r>
            <w:r w:rsidR="00AB7125">
              <w:rPr>
                <w:noProof/>
                <w:webHidden/>
              </w:rPr>
              <w:t>51</w:t>
            </w:r>
            <w:r>
              <w:rPr>
                <w:noProof/>
                <w:webHidden/>
              </w:rPr>
              <w:fldChar w:fldCharType="end"/>
            </w:r>
          </w:hyperlink>
        </w:p>
        <w:p w14:paraId="4875A202" w14:textId="2FAAAD31" w:rsidR="00921C0A" w:rsidRDefault="00921C0A">
          <w:pPr>
            <w:pStyle w:val="TOC1"/>
            <w:tabs>
              <w:tab w:val="right" w:leader="dot" w:pos="9016"/>
            </w:tabs>
            <w:rPr>
              <w:rFonts w:asciiTheme="minorHAnsi" w:eastAsiaTheme="minorEastAsia" w:hAnsiTheme="minorHAnsi" w:cstheme="minorBidi"/>
              <w:b w:val="0"/>
              <w:noProof/>
              <w:color w:val="auto"/>
              <w:lang w:val="en-AU" w:eastAsia="en-AU"/>
            </w:rPr>
          </w:pPr>
          <w:hyperlink w:anchor="_Toc64529068" w:history="1">
            <w:r w:rsidRPr="00D875C3">
              <w:rPr>
                <w:rStyle w:val="Hyperlink"/>
                <w:noProof/>
              </w:rPr>
              <w:t>Bibliography</w:t>
            </w:r>
            <w:r>
              <w:rPr>
                <w:noProof/>
                <w:webHidden/>
              </w:rPr>
              <w:tab/>
            </w:r>
            <w:r>
              <w:rPr>
                <w:noProof/>
                <w:webHidden/>
              </w:rPr>
              <w:fldChar w:fldCharType="begin"/>
            </w:r>
            <w:r>
              <w:rPr>
                <w:noProof/>
                <w:webHidden/>
              </w:rPr>
              <w:instrText xml:space="preserve"> PAGEREF _Toc64529068 \h </w:instrText>
            </w:r>
            <w:r>
              <w:rPr>
                <w:noProof/>
                <w:webHidden/>
              </w:rPr>
            </w:r>
            <w:r>
              <w:rPr>
                <w:noProof/>
                <w:webHidden/>
              </w:rPr>
              <w:fldChar w:fldCharType="separate"/>
            </w:r>
            <w:r w:rsidR="00AB7125">
              <w:rPr>
                <w:noProof/>
                <w:webHidden/>
              </w:rPr>
              <w:t>52</w:t>
            </w:r>
            <w:r>
              <w:rPr>
                <w:noProof/>
                <w:webHidden/>
              </w:rPr>
              <w:fldChar w:fldCharType="end"/>
            </w:r>
          </w:hyperlink>
        </w:p>
        <w:p w14:paraId="1AC0F466" w14:textId="63D4EFB4" w:rsidR="00F2715A" w:rsidRDefault="00AF4AA5">
          <w:r>
            <w:rPr>
              <w:b/>
              <w:bCs/>
              <w:noProof/>
            </w:rPr>
            <w:fldChar w:fldCharType="end"/>
          </w:r>
        </w:p>
      </w:sdtContent>
    </w:sdt>
    <w:p w14:paraId="4F1287B7" w14:textId="732365C6" w:rsidR="00921C0A" w:rsidRDefault="00AF4AA5">
      <w:pPr>
        <w:pStyle w:val="TableofFigures"/>
        <w:tabs>
          <w:tab w:val="right" w:leader="dot" w:pos="9016"/>
        </w:tabs>
        <w:rPr>
          <w:rFonts w:eastAsiaTheme="minorEastAsia"/>
          <w:noProof/>
          <w:lang w:eastAsia="en-AU"/>
        </w:rPr>
      </w:pPr>
      <w:r>
        <w:fldChar w:fldCharType="begin"/>
      </w:r>
      <w:r w:rsidR="00F2715A">
        <w:instrText xml:space="preserve"> TOC \h \z \c "Table" </w:instrText>
      </w:r>
      <w:r>
        <w:fldChar w:fldCharType="separate"/>
      </w:r>
      <w:hyperlink w:anchor="_Toc64529081" w:history="1">
        <w:r w:rsidR="00921C0A" w:rsidRPr="007319BA">
          <w:rPr>
            <w:rStyle w:val="Hyperlink"/>
            <w:noProof/>
          </w:rPr>
          <w:t>Table 1: Current outcomes and economic estimates and forecasts in the 2020-21 ACT Budget, percentage change</w:t>
        </w:r>
        <w:r w:rsidR="00921C0A">
          <w:rPr>
            <w:noProof/>
            <w:webHidden/>
          </w:rPr>
          <w:tab/>
        </w:r>
        <w:r w:rsidR="00921C0A">
          <w:rPr>
            <w:noProof/>
            <w:webHidden/>
          </w:rPr>
          <w:fldChar w:fldCharType="begin"/>
        </w:r>
        <w:r w:rsidR="00921C0A">
          <w:rPr>
            <w:noProof/>
            <w:webHidden/>
          </w:rPr>
          <w:instrText xml:space="preserve"> PAGEREF _Toc64529081 \h </w:instrText>
        </w:r>
        <w:r w:rsidR="00921C0A">
          <w:rPr>
            <w:noProof/>
            <w:webHidden/>
          </w:rPr>
        </w:r>
        <w:r w:rsidR="00921C0A">
          <w:rPr>
            <w:noProof/>
            <w:webHidden/>
          </w:rPr>
          <w:fldChar w:fldCharType="separate"/>
        </w:r>
        <w:r w:rsidR="00AB7125">
          <w:rPr>
            <w:noProof/>
            <w:webHidden/>
          </w:rPr>
          <w:t>3</w:t>
        </w:r>
        <w:r w:rsidR="00921C0A">
          <w:rPr>
            <w:noProof/>
            <w:webHidden/>
          </w:rPr>
          <w:fldChar w:fldCharType="end"/>
        </w:r>
      </w:hyperlink>
    </w:p>
    <w:p w14:paraId="14ED4F73" w14:textId="325054DB" w:rsidR="00921C0A" w:rsidRDefault="00921C0A">
      <w:pPr>
        <w:pStyle w:val="TableofFigures"/>
        <w:tabs>
          <w:tab w:val="right" w:leader="dot" w:pos="9016"/>
        </w:tabs>
        <w:rPr>
          <w:rFonts w:eastAsiaTheme="minorEastAsia"/>
          <w:noProof/>
          <w:lang w:eastAsia="en-AU"/>
        </w:rPr>
      </w:pPr>
      <w:hyperlink w:anchor="_Toc64529082" w:history="1">
        <w:r w:rsidRPr="007319BA">
          <w:rPr>
            <w:rStyle w:val="Hyperlink"/>
            <w:noProof/>
          </w:rPr>
          <w:t>Table 2: General Government Sector Headline Net Operating Balance</w:t>
        </w:r>
        <w:r>
          <w:rPr>
            <w:noProof/>
            <w:webHidden/>
          </w:rPr>
          <w:tab/>
        </w:r>
        <w:r>
          <w:rPr>
            <w:noProof/>
            <w:webHidden/>
          </w:rPr>
          <w:fldChar w:fldCharType="begin"/>
        </w:r>
        <w:r>
          <w:rPr>
            <w:noProof/>
            <w:webHidden/>
          </w:rPr>
          <w:instrText xml:space="preserve"> PAGEREF _Toc64529082 \h </w:instrText>
        </w:r>
        <w:r>
          <w:rPr>
            <w:noProof/>
            <w:webHidden/>
          </w:rPr>
        </w:r>
        <w:r>
          <w:rPr>
            <w:noProof/>
            <w:webHidden/>
          </w:rPr>
          <w:fldChar w:fldCharType="separate"/>
        </w:r>
        <w:r w:rsidR="00AB7125">
          <w:rPr>
            <w:noProof/>
            <w:webHidden/>
          </w:rPr>
          <w:t>13</w:t>
        </w:r>
        <w:r>
          <w:rPr>
            <w:noProof/>
            <w:webHidden/>
          </w:rPr>
          <w:fldChar w:fldCharType="end"/>
        </w:r>
      </w:hyperlink>
    </w:p>
    <w:p w14:paraId="6F0DABB1" w14:textId="3BB85E69" w:rsidR="00921C0A" w:rsidRDefault="00921C0A">
      <w:pPr>
        <w:pStyle w:val="TableofFigures"/>
        <w:tabs>
          <w:tab w:val="right" w:leader="dot" w:pos="9016"/>
        </w:tabs>
        <w:rPr>
          <w:rFonts w:eastAsiaTheme="minorEastAsia"/>
          <w:noProof/>
          <w:lang w:eastAsia="en-AU"/>
        </w:rPr>
      </w:pPr>
      <w:hyperlink w:anchor="_Toc64529083" w:history="1">
        <w:r w:rsidRPr="007319BA">
          <w:rPr>
            <w:rStyle w:val="Hyperlink"/>
            <w:noProof/>
          </w:rPr>
          <w:t>Table 3: General Government Sector Key Balance Sheet Measures</w:t>
        </w:r>
        <w:r>
          <w:rPr>
            <w:noProof/>
            <w:webHidden/>
          </w:rPr>
          <w:tab/>
        </w:r>
        <w:r>
          <w:rPr>
            <w:noProof/>
            <w:webHidden/>
          </w:rPr>
          <w:fldChar w:fldCharType="begin"/>
        </w:r>
        <w:r>
          <w:rPr>
            <w:noProof/>
            <w:webHidden/>
          </w:rPr>
          <w:instrText xml:space="preserve"> PAGEREF _Toc64529083 \h </w:instrText>
        </w:r>
        <w:r>
          <w:rPr>
            <w:noProof/>
            <w:webHidden/>
          </w:rPr>
        </w:r>
        <w:r>
          <w:rPr>
            <w:noProof/>
            <w:webHidden/>
          </w:rPr>
          <w:fldChar w:fldCharType="separate"/>
        </w:r>
        <w:r w:rsidR="00AB7125">
          <w:rPr>
            <w:noProof/>
            <w:webHidden/>
          </w:rPr>
          <w:t>16</w:t>
        </w:r>
        <w:r>
          <w:rPr>
            <w:noProof/>
            <w:webHidden/>
          </w:rPr>
          <w:fldChar w:fldCharType="end"/>
        </w:r>
      </w:hyperlink>
    </w:p>
    <w:p w14:paraId="7A8098FD" w14:textId="54F76E6F" w:rsidR="00921C0A" w:rsidRDefault="00921C0A">
      <w:pPr>
        <w:pStyle w:val="TableofFigures"/>
        <w:tabs>
          <w:tab w:val="right" w:leader="dot" w:pos="9016"/>
        </w:tabs>
        <w:rPr>
          <w:rFonts w:eastAsiaTheme="minorEastAsia"/>
          <w:noProof/>
          <w:lang w:eastAsia="en-AU"/>
        </w:rPr>
      </w:pPr>
      <w:hyperlink w:anchor="_Toc64529084" w:history="1">
        <w:r w:rsidRPr="007319BA">
          <w:rPr>
            <w:rStyle w:val="Hyperlink"/>
            <w:noProof/>
          </w:rPr>
          <w:t>Table 4: General Government Sector Revenue</w:t>
        </w:r>
        <w:r>
          <w:rPr>
            <w:noProof/>
            <w:webHidden/>
          </w:rPr>
          <w:tab/>
        </w:r>
        <w:r>
          <w:rPr>
            <w:noProof/>
            <w:webHidden/>
          </w:rPr>
          <w:fldChar w:fldCharType="begin"/>
        </w:r>
        <w:r>
          <w:rPr>
            <w:noProof/>
            <w:webHidden/>
          </w:rPr>
          <w:instrText xml:space="preserve"> PAGEREF _Toc64529084 \h </w:instrText>
        </w:r>
        <w:r>
          <w:rPr>
            <w:noProof/>
            <w:webHidden/>
          </w:rPr>
        </w:r>
        <w:r>
          <w:rPr>
            <w:noProof/>
            <w:webHidden/>
          </w:rPr>
          <w:fldChar w:fldCharType="separate"/>
        </w:r>
        <w:r w:rsidR="00AB7125">
          <w:rPr>
            <w:noProof/>
            <w:webHidden/>
          </w:rPr>
          <w:t>22</w:t>
        </w:r>
        <w:r>
          <w:rPr>
            <w:noProof/>
            <w:webHidden/>
          </w:rPr>
          <w:fldChar w:fldCharType="end"/>
        </w:r>
      </w:hyperlink>
    </w:p>
    <w:p w14:paraId="327A0D22" w14:textId="4C670781" w:rsidR="00921C0A" w:rsidRDefault="00921C0A">
      <w:pPr>
        <w:pStyle w:val="TableofFigures"/>
        <w:tabs>
          <w:tab w:val="right" w:leader="dot" w:pos="9016"/>
        </w:tabs>
        <w:rPr>
          <w:rFonts w:eastAsiaTheme="minorEastAsia"/>
          <w:noProof/>
          <w:lang w:eastAsia="en-AU"/>
        </w:rPr>
      </w:pPr>
      <w:hyperlink w:anchor="_Toc64529085" w:history="1">
        <w:r w:rsidRPr="007319BA">
          <w:rPr>
            <w:rStyle w:val="Hyperlink"/>
            <w:noProof/>
          </w:rPr>
          <w:t>Table 5: Dividends from ACT Public Trading Enterprises</w:t>
        </w:r>
        <w:r>
          <w:rPr>
            <w:noProof/>
            <w:webHidden/>
          </w:rPr>
          <w:tab/>
        </w:r>
        <w:r>
          <w:rPr>
            <w:noProof/>
            <w:webHidden/>
          </w:rPr>
          <w:fldChar w:fldCharType="begin"/>
        </w:r>
        <w:r>
          <w:rPr>
            <w:noProof/>
            <w:webHidden/>
          </w:rPr>
          <w:instrText xml:space="preserve"> PAGEREF _Toc64529085 \h </w:instrText>
        </w:r>
        <w:r>
          <w:rPr>
            <w:noProof/>
            <w:webHidden/>
          </w:rPr>
        </w:r>
        <w:r>
          <w:rPr>
            <w:noProof/>
            <w:webHidden/>
          </w:rPr>
          <w:fldChar w:fldCharType="separate"/>
        </w:r>
        <w:r w:rsidR="00AB7125">
          <w:rPr>
            <w:noProof/>
            <w:webHidden/>
          </w:rPr>
          <w:t>27</w:t>
        </w:r>
        <w:r>
          <w:rPr>
            <w:noProof/>
            <w:webHidden/>
          </w:rPr>
          <w:fldChar w:fldCharType="end"/>
        </w:r>
      </w:hyperlink>
    </w:p>
    <w:p w14:paraId="0F56A87F" w14:textId="021267B2" w:rsidR="00921C0A" w:rsidRDefault="00921C0A">
      <w:pPr>
        <w:pStyle w:val="TableofFigures"/>
        <w:tabs>
          <w:tab w:val="right" w:leader="dot" w:pos="9016"/>
        </w:tabs>
        <w:rPr>
          <w:rFonts w:eastAsiaTheme="minorEastAsia"/>
          <w:noProof/>
          <w:lang w:eastAsia="en-AU"/>
        </w:rPr>
      </w:pPr>
      <w:hyperlink w:anchor="_Toc64529086" w:history="1">
        <w:r w:rsidRPr="007319BA">
          <w:rPr>
            <w:rStyle w:val="Hyperlink"/>
            <w:noProof/>
          </w:rPr>
          <w:t>Table 6: Budget and forecast expenses, 2019-20, 2020-21 and 2021-22 to 2023-24</w:t>
        </w:r>
        <w:r>
          <w:rPr>
            <w:noProof/>
            <w:webHidden/>
          </w:rPr>
          <w:tab/>
        </w:r>
        <w:r>
          <w:rPr>
            <w:noProof/>
            <w:webHidden/>
          </w:rPr>
          <w:fldChar w:fldCharType="begin"/>
        </w:r>
        <w:r>
          <w:rPr>
            <w:noProof/>
            <w:webHidden/>
          </w:rPr>
          <w:instrText xml:space="preserve"> PAGEREF _Toc64529086 \h </w:instrText>
        </w:r>
        <w:r>
          <w:rPr>
            <w:noProof/>
            <w:webHidden/>
          </w:rPr>
        </w:r>
        <w:r>
          <w:rPr>
            <w:noProof/>
            <w:webHidden/>
          </w:rPr>
          <w:fldChar w:fldCharType="separate"/>
        </w:r>
        <w:r w:rsidR="00AB7125">
          <w:rPr>
            <w:noProof/>
            <w:webHidden/>
          </w:rPr>
          <w:t>29</w:t>
        </w:r>
        <w:r>
          <w:rPr>
            <w:noProof/>
            <w:webHidden/>
          </w:rPr>
          <w:fldChar w:fldCharType="end"/>
        </w:r>
      </w:hyperlink>
    </w:p>
    <w:p w14:paraId="0A8ACD22" w14:textId="61FE0027" w:rsidR="00921C0A" w:rsidRDefault="00921C0A">
      <w:pPr>
        <w:pStyle w:val="TableofFigures"/>
        <w:tabs>
          <w:tab w:val="right" w:leader="dot" w:pos="9016"/>
        </w:tabs>
        <w:rPr>
          <w:rFonts w:eastAsiaTheme="minorEastAsia"/>
          <w:noProof/>
          <w:lang w:eastAsia="en-AU"/>
        </w:rPr>
      </w:pPr>
      <w:hyperlink w:anchor="_Toc64529087" w:history="1">
        <w:r w:rsidRPr="007319BA">
          <w:rPr>
            <w:rStyle w:val="Hyperlink"/>
            <w:noProof/>
          </w:rPr>
          <w:t>Table 7: Summary of investment and capital works program – 2020-21 to 2023-24</w:t>
        </w:r>
        <w:r>
          <w:rPr>
            <w:noProof/>
            <w:webHidden/>
          </w:rPr>
          <w:tab/>
        </w:r>
        <w:r>
          <w:rPr>
            <w:noProof/>
            <w:webHidden/>
          </w:rPr>
          <w:fldChar w:fldCharType="begin"/>
        </w:r>
        <w:r>
          <w:rPr>
            <w:noProof/>
            <w:webHidden/>
          </w:rPr>
          <w:instrText xml:space="preserve"> PAGEREF _Toc64529087 \h </w:instrText>
        </w:r>
        <w:r>
          <w:rPr>
            <w:noProof/>
            <w:webHidden/>
          </w:rPr>
        </w:r>
        <w:r>
          <w:rPr>
            <w:noProof/>
            <w:webHidden/>
          </w:rPr>
          <w:fldChar w:fldCharType="separate"/>
        </w:r>
        <w:r w:rsidR="00AB7125">
          <w:rPr>
            <w:noProof/>
            <w:webHidden/>
          </w:rPr>
          <w:t>32</w:t>
        </w:r>
        <w:r>
          <w:rPr>
            <w:noProof/>
            <w:webHidden/>
          </w:rPr>
          <w:fldChar w:fldCharType="end"/>
        </w:r>
      </w:hyperlink>
    </w:p>
    <w:p w14:paraId="09EC3F49" w14:textId="316C1D77" w:rsidR="00921C0A" w:rsidRDefault="00921C0A">
      <w:pPr>
        <w:pStyle w:val="TableofFigures"/>
        <w:tabs>
          <w:tab w:val="right" w:leader="dot" w:pos="9016"/>
        </w:tabs>
        <w:rPr>
          <w:rFonts w:eastAsiaTheme="minorEastAsia"/>
          <w:noProof/>
          <w:lang w:eastAsia="en-AU"/>
        </w:rPr>
      </w:pPr>
      <w:hyperlink w:anchor="_Toc64529088" w:history="1">
        <w:r w:rsidRPr="007319BA">
          <w:rPr>
            <w:rStyle w:val="Hyperlink"/>
            <w:noProof/>
          </w:rPr>
          <w:t>Table 8: Public Private Partnerships – Light Rail Stage 1 and Light Rail Stage 2 and 2A – Capital Expenditure Schedule</w:t>
        </w:r>
        <w:r>
          <w:rPr>
            <w:noProof/>
            <w:webHidden/>
          </w:rPr>
          <w:tab/>
        </w:r>
        <w:r>
          <w:rPr>
            <w:noProof/>
            <w:webHidden/>
          </w:rPr>
          <w:fldChar w:fldCharType="begin"/>
        </w:r>
        <w:r>
          <w:rPr>
            <w:noProof/>
            <w:webHidden/>
          </w:rPr>
          <w:instrText xml:space="preserve"> PAGEREF _Toc64529088 \h </w:instrText>
        </w:r>
        <w:r>
          <w:rPr>
            <w:noProof/>
            <w:webHidden/>
          </w:rPr>
        </w:r>
        <w:r>
          <w:rPr>
            <w:noProof/>
            <w:webHidden/>
          </w:rPr>
          <w:fldChar w:fldCharType="separate"/>
        </w:r>
        <w:r w:rsidR="00AB7125">
          <w:rPr>
            <w:noProof/>
            <w:webHidden/>
          </w:rPr>
          <w:t>34</w:t>
        </w:r>
        <w:r>
          <w:rPr>
            <w:noProof/>
            <w:webHidden/>
          </w:rPr>
          <w:fldChar w:fldCharType="end"/>
        </w:r>
      </w:hyperlink>
    </w:p>
    <w:p w14:paraId="47449442" w14:textId="419848F5" w:rsidR="00921C0A" w:rsidRDefault="00921C0A">
      <w:pPr>
        <w:pStyle w:val="TableofFigures"/>
        <w:tabs>
          <w:tab w:val="right" w:leader="dot" w:pos="9016"/>
        </w:tabs>
        <w:rPr>
          <w:rFonts w:eastAsiaTheme="minorEastAsia"/>
          <w:noProof/>
          <w:lang w:eastAsia="en-AU"/>
        </w:rPr>
      </w:pPr>
      <w:hyperlink w:anchor="_Toc64529089" w:history="1">
        <w:r w:rsidRPr="007319BA">
          <w:rPr>
            <w:rStyle w:val="Hyperlink"/>
            <w:noProof/>
          </w:rPr>
          <w:t>Table 9: Defined Benefit Superannuation Liability</w:t>
        </w:r>
        <w:r>
          <w:rPr>
            <w:noProof/>
            <w:webHidden/>
          </w:rPr>
          <w:tab/>
        </w:r>
        <w:r>
          <w:rPr>
            <w:noProof/>
            <w:webHidden/>
          </w:rPr>
          <w:fldChar w:fldCharType="begin"/>
        </w:r>
        <w:r>
          <w:rPr>
            <w:noProof/>
            <w:webHidden/>
          </w:rPr>
          <w:instrText xml:space="preserve"> PAGEREF _Toc64529089 \h </w:instrText>
        </w:r>
        <w:r>
          <w:rPr>
            <w:noProof/>
            <w:webHidden/>
          </w:rPr>
        </w:r>
        <w:r>
          <w:rPr>
            <w:noProof/>
            <w:webHidden/>
          </w:rPr>
          <w:fldChar w:fldCharType="separate"/>
        </w:r>
        <w:r w:rsidR="00AB7125">
          <w:rPr>
            <w:noProof/>
            <w:webHidden/>
          </w:rPr>
          <w:t>41</w:t>
        </w:r>
        <w:r>
          <w:rPr>
            <w:noProof/>
            <w:webHidden/>
          </w:rPr>
          <w:fldChar w:fldCharType="end"/>
        </w:r>
      </w:hyperlink>
    </w:p>
    <w:p w14:paraId="2CF87F6B" w14:textId="7E2CFDCB" w:rsidR="00921C0A" w:rsidRDefault="00921C0A">
      <w:pPr>
        <w:pStyle w:val="TableofFigures"/>
        <w:tabs>
          <w:tab w:val="right" w:leader="dot" w:pos="9016"/>
        </w:tabs>
        <w:rPr>
          <w:rFonts w:eastAsiaTheme="minorEastAsia"/>
          <w:noProof/>
          <w:lang w:eastAsia="en-AU"/>
        </w:rPr>
      </w:pPr>
      <w:hyperlink w:anchor="_Toc64529090" w:history="1">
        <w:r w:rsidRPr="007319BA">
          <w:rPr>
            <w:rStyle w:val="Hyperlink"/>
            <w:noProof/>
          </w:rPr>
          <w:t>Table 10: Defined Benefit Superannuation Liability Funding</w:t>
        </w:r>
        <w:r>
          <w:rPr>
            <w:noProof/>
            <w:webHidden/>
          </w:rPr>
          <w:tab/>
        </w:r>
        <w:r>
          <w:rPr>
            <w:noProof/>
            <w:webHidden/>
          </w:rPr>
          <w:fldChar w:fldCharType="begin"/>
        </w:r>
        <w:r>
          <w:rPr>
            <w:noProof/>
            <w:webHidden/>
          </w:rPr>
          <w:instrText xml:space="preserve"> PAGEREF _Toc64529090 \h </w:instrText>
        </w:r>
        <w:r>
          <w:rPr>
            <w:noProof/>
            <w:webHidden/>
          </w:rPr>
        </w:r>
        <w:r>
          <w:rPr>
            <w:noProof/>
            <w:webHidden/>
          </w:rPr>
          <w:fldChar w:fldCharType="separate"/>
        </w:r>
        <w:r w:rsidR="00AB7125">
          <w:rPr>
            <w:noProof/>
            <w:webHidden/>
          </w:rPr>
          <w:t>42</w:t>
        </w:r>
        <w:r>
          <w:rPr>
            <w:noProof/>
            <w:webHidden/>
          </w:rPr>
          <w:fldChar w:fldCharType="end"/>
        </w:r>
      </w:hyperlink>
    </w:p>
    <w:p w14:paraId="543D04BC" w14:textId="7379A81D" w:rsidR="00921C0A" w:rsidRDefault="00921C0A">
      <w:pPr>
        <w:pStyle w:val="TableofFigures"/>
        <w:tabs>
          <w:tab w:val="right" w:leader="dot" w:pos="9016"/>
        </w:tabs>
        <w:rPr>
          <w:rFonts w:eastAsiaTheme="minorEastAsia"/>
          <w:noProof/>
          <w:lang w:eastAsia="en-AU"/>
        </w:rPr>
      </w:pPr>
      <w:hyperlink w:anchor="_Toc64529091" w:history="1">
        <w:r w:rsidRPr="007319BA">
          <w:rPr>
            <w:rStyle w:val="Hyperlink"/>
            <w:noProof/>
          </w:rPr>
          <w:t>Table 11: Impact of a 1 percentage point decrease in the discount rate on superannuation liability</w:t>
        </w:r>
        <w:r>
          <w:rPr>
            <w:noProof/>
            <w:webHidden/>
          </w:rPr>
          <w:tab/>
        </w:r>
        <w:r>
          <w:rPr>
            <w:noProof/>
            <w:webHidden/>
          </w:rPr>
          <w:fldChar w:fldCharType="begin"/>
        </w:r>
        <w:r>
          <w:rPr>
            <w:noProof/>
            <w:webHidden/>
          </w:rPr>
          <w:instrText xml:space="preserve"> PAGEREF _Toc64529091 \h </w:instrText>
        </w:r>
        <w:r>
          <w:rPr>
            <w:noProof/>
            <w:webHidden/>
          </w:rPr>
        </w:r>
        <w:r>
          <w:rPr>
            <w:noProof/>
            <w:webHidden/>
          </w:rPr>
          <w:fldChar w:fldCharType="separate"/>
        </w:r>
        <w:r w:rsidR="00AB7125">
          <w:rPr>
            <w:noProof/>
            <w:webHidden/>
          </w:rPr>
          <w:t>48</w:t>
        </w:r>
        <w:r>
          <w:rPr>
            <w:noProof/>
            <w:webHidden/>
          </w:rPr>
          <w:fldChar w:fldCharType="end"/>
        </w:r>
      </w:hyperlink>
    </w:p>
    <w:p w14:paraId="43EB8A78" w14:textId="54080761" w:rsidR="00921C0A" w:rsidRDefault="00921C0A">
      <w:pPr>
        <w:pStyle w:val="TableofFigures"/>
        <w:tabs>
          <w:tab w:val="right" w:leader="dot" w:pos="9016"/>
        </w:tabs>
        <w:rPr>
          <w:rFonts w:eastAsiaTheme="minorEastAsia"/>
          <w:noProof/>
          <w:lang w:eastAsia="en-AU"/>
        </w:rPr>
      </w:pPr>
      <w:hyperlink w:anchor="_Toc64529092" w:history="1">
        <w:r w:rsidRPr="007319BA">
          <w:rPr>
            <w:rStyle w:val="Hyperlink"/>
            <w:noProof/>
          </w:rPr>
          <w:t>Table 12: Impact of a 1 percentage point decrease in the discount rate on superannuation expense</w:t>
        </w:r>
        <w:r>
          <w:rPr>
            <w:noProof/>
            <w:webHidden/>
          </w:rPr>
          <w:tab/>
        </w:r>
        <w:r>
          <w:rPr>
            <w:noProof/>
            <w:webHidden/>
          </w:rPr>
          <w:fldChar w:fldCharType="begin"/>
        </w:r>
        <w:r>
          <w:rPr>
            <w:noProof/>
            <w:webHidden/>
          </w:rPr>
          <w:instrText xml:space="preserve"> PAGEREF _Toc64529092 \h </w:instrText>
        </w:r>
        <w:r>
          <w:rPr>
            <w:noProof/>
            <w:webHidden/>
          </w:rPr>
        </w:r>
        <w:r>
          <w:rPr>
            <w:noProof/>
            <w:webHidden/>
          </w:rPr>
          <w:fldChar w:fldCharType="separate"/>
        </w:r>
        <w:r w:rsidR="00AB7125">
          <w:rPr>
            <w:noProof/>
            <w:webHidden/>
          </w:rPr>
          <w:t>49</w:t>
        </w:r>
        <w:r>
          <w:rPr>
            <w:noProof/>
            <w:webHidden/>
          </w:rPr>
          <w:fldChar w:fldCharType="end"/>
        </w:r>
      </w:hyperlink>
    </w:p>
    <w:p w14:paraId="6E488523" w14:textId="3E2C0632" w:rsidR="005E4723" w:rsidRDefault="00AF4AA5">
      <w:r>
        <w:fldChar w:fldCharType="end"/>
      </w:r>
    </w:p>
    <w:p w14:paraId="5E77407A" w14:textId="25BFE058" w:rsidR="00921C0A" w:rsidRDefault="00AF4AA5">
      <w:pPr>
        <w:pStyle w:val="TableofFigures"/>
        <w:tabs>
          <w:tab w:val="right" w:leader="dot" w:pos="9016"/>
        </w:tabs>
        <w:rPr>
          <w:rFonts w:eastAsiaTheme="minorEastAsia"/>
          <w:noProof/>
          <w:lang w:eastAsia="en-AU"/>
        </w:rPr>
      </w:pPr>
      <w:r>
        <w:fldChar w:fldCharType="begin"/>
      </w:r>
      <w:r w:rsidR="00F2715A">
        <w:instrText xml:space="preserve"> TOC \h \z \c "Figure" </w:instrText>
      </w:r>
      <w:r>
        <w:fldChar w:fldCharType="separate"/>
      </w:r>
      <w:hyperlink w:anchor="_Toc64529093" w:history="1">
        <w:r w:rsidR="00921C0A" w:rsidRPr="00BF327E">
          <w:rPr>
            <w:rStyle w:val="Hyperlink"/>
            <w:noProof/>
          </w:rPr>
          <w:t>Figure 1: Retail Turnover for the ACT Economy, March Quarter 2019 to the September Quarter 2020 ($ million, constant 2018-19 dollars)</w:t>
        </w:r>
        <w:r w:rsidR="00921C0A">
          <w:rPr>
            <w:noProof/>
            <w:webHidden/>
          </w:rPr>
          <w:tab/>
        </w:r>
        <w:r w:rsidR="00921C0A">
          <w:rPr>
            <w:noProof/>
            <w:webHidden/>
          </w:rPr>
          <w:fldChar w:fldCharType="begin"/>
        </w:r>
        <w:r w:rsidR="00921C0A">
          <w:rPr>
            <w:noProof/>
            <w:webHidden/>
          </w:rPr>
          <w:instrText xml:space="preserve"> PAGEREF _Toc64529093 \h </w:instrText>
        </w:r>
        <w:r w:rsidR="00921C0A">
          <w:rPr>
            <w:noProof/>
            <w:webHidden/>
          </w:rPr>
        </w:r>
        <w:r w:rsidR="00921C0A">
          <w:rPr>
            <w:noProof/>
            <w:webHidden/>
          </w:rPr>
          <w:fldChar w:fldCharType="separate"/>
        </w:r>
        <w:r w:rsidR="00AB7125">
          <w:rPr>
            <w:noProof/>
            <w:webHidden/>
          </w:rPr>
          <w:t>4</w:t>
        </w:r>
        <w:r w:rsidR="00921C0A">
          <w:rPr>
            <w:noProof/>
            <w:webHidden/>
          </w:rPr>
          <w:fldChar w:fldCharType="end"/>
        </w:r>
      </w:hyperlink>
    </w:p>
    <w:p w14:paraId="1FF17E7C" w14:textId="3A2C7C55" w:rsidR="00921C0A" w:rsidRDefault="00921C0A">
      <w:pPr>
        <w:pStyle w:val="TableofFigures"/>
        <w:tabs>
          <w:tab w:val="right" w:leader="dot" w:pos="9016"/>
        </w:tabs>
        <w:rPr>
          <w:rFonts w:eastAsiaTheme="minorEastAsia"/>
          <w:noProof/>
          <w:lang w:eastAsia="en-AU"/>
        </w:rPr>
      </w:pPr>
      <w:hyperlink w:anchor="_Toc64529094" w:history="1">
        <w:r w:rsidRPr="00BF327E">
          <w:rPr>
            <w:rStyle w:val="Hyperlink"/>
            <w:noProof/>
          </w:rPr>
          <w:t>Figure 2: Components of Final Demand for the New South Wales economy, year ended September 2020</w:t>
        </w:r>
        <w:r>
          <w:rPr>
            <w:noProof/>
            <w:webHidden/>
          </w:rPr>
          <w:tab/>
        </w:r>
        <w:r>
          <w:rPr>
            <w:noProof/>
            <w:webHidden/>
          </w:rPr>
          <w:fldChar w:fldCharType="begin"/>
        </w:r>
        <w:r>
          <w:rPr>
            <w:noProof/>
            <w:webHidden/>
          </w:rPr>
          <w:instrText xml:space="preserve"> PAGEREF _Toc64529094 \h </w:instrText>
        </w:r>
        <w:r>
          <w:rPr>
            <w:noProof/>
            <w:webHidden/>
          </w:rPr>
        </w:r>
        <w:r>
          <w:rPr>
            <w:noProof/>
            <w:webHidden/>
          </w:rPr>
          <w:fldChar w:fldCharType="separate"/>
        </w:r>
        <w:r w:rsidR="00AB7125">
          <w:rPr>
            <w:noProof/>
            <w:webHidden/>
          </w:rPr>
          <w:t>5</w:t>
        </w:r>
        <w:r>
          <w:rPr>
            <w:noProof/>
            <w:webHidden/>
          </w:rPr>
          <w:fldChar w:fldCharType="end"/>
        </w:r>
      </w:hyperlink>
    </w:p>
    <w:p w14:paraId="0E8E1FAF" w14:textId="47E961C0" w:rsidR="00921C0A" w:rsidRDefault="00921C0A">
      <w:pPr>
        <w:pStyle w:val="TableofFigures"/>
        <w:tabs>
          <w:tab w:val="right" w:leader="dot" w:pos="9016"/>
        </w:tabs>
        <w:rPr>
          <w:rFonts w:eastAsiaTheme="minorEastAsia"/>
          <w:noProof/>
          <w:lang w:eastAsia="en-AU"/>
        </w:rPr>
      </w:pPr>
      <w:hyperlink w:anchor="_Toc64529095" w:history="1">
        <w:r w:rsidRPr="00BF327E">
          <w:rPr>
            <w:rStyle w:val="Hyperlink"/>
            <w:noProof/>
          </w:rPr>
          <w:t>Figure 3: Components of Final Demand for the ACT economy, year ended September 2020</w:t>
        </w:r>
        <w:r>
          <w:rPr>
            <w:noProof/>
            <w:webHidden/>
          </w:rPr>
          <w:tab/>
        </w:r>
        <w:r>
          <w:rPr>
            <w:noProof/>
            <w:webHidden/>
          </w:rPr>
          <w:fldChar w:fldCharType="begin"/>
        </w:r>
        <w:r>
          <w:rPr>
            <w:noProof/>
            <w:webHidden/>
          </w:rPr>
          <w:instrText xml:space="preserve"> PAGEREF _Toc64529095 \h </w:instrText>
        </w:r>
        <w:r>
          <w:rPr>
            <w:noProof/>
            <w:webHidden/>
          </w:rPr>
        </w:r>
        <w:r>
          <w:rPr>
            <w:noProof/>
            <w:webHidden/>
          </w:rPr>
          <w:fldChar w:fldCharType="separate"/>
        </w:r>
        <w:r w:rsidR="00AB7125">
          <w:rPr>
            <w:noProof/>
            <w:webHidden/>
          </w:rPr>
          <w:t>5</w:t>
        </w:r>
        <w:r>
          <w:rPr>
            <w:noProof/>
            <w:webHidden/>
          </w:rPr>
          <w:fldChar w:fldCharType="end"/>
        </w:r>
      </w:hyperlink>
    </w:p>
    <w:p w14:paraId="7D623EBC" w14:textId="46D65420" w:rsidR="00921C0A" w:rsidRDefault="00921C0A">
      <w:pPr>
        <w:pStyle w:val="TableofFigures"/>
        <w:tabs>
          <w:tab w:val="right" w:leader="dot" w:pos="9016"/>
        </w:tabs>
        <w:rPr>
          <w:rFonts w:eastAsiaTheme="minorEastAsia"/>
          <w:noProof/>
          <w:lang w:eastAsia="en-AU"/>
        </w:rPr>
      </w:pPr>
      <w:hyperlink w:anchor="_Toc64529096" w:history="1">
        <w:r w:rsidRPr="00BF327E">
          <w:rPr>
            <w:rStyle w:val="Hyperlink"/>
            <w:noProof/>
          </w:rPr>
          <w:t>Figure 4: Relative shares of ACT Final Demand – 1995-96 to 2019-20</w:t>
        </w:r>
        <w:r>
          <w:rPr>
            <w:noProof/>
            <w:webHidden/>
          </w:rPr>
          <w:tab/>
        </w:r>
        <w:r>
          <w:rPr>
            <w:noProof/>
            <w:webHidden/>
          </w:rPr>
          <w:fldChar w:fldCharType="begin"/>
        </w:r>
        <w:r>
          <w:rPr>
            <w:noProof/>
            <w:webHidden/>
          </w:rPr>
          <w:instrText xml:space="preserve"> PAGEREF _Toc64529096 \h </w:instrText>
        </w:r>
        <w:r>
          <w:rPr>
            <w:noProof/>
            <w:webHidden/>
          </w:rPr>
        </w:r>
        <w:r>
          <w:rPr>
            <w:noProof/>
            <w:webHidden/>
          </w:rPr>
          <w:fldChar w:fldCharType="separate"/>
        </w:r>
        <w:r w:rsidR="00AB7125">
          <w:rPr>
            <w:noProof/>
            <w:webHidden/>
          </w:rPr>
          <w:t>6</w:t>
        </w:r>
        <w:r>
          <w:rPr>
            <w:noProof/>
            <w:webHidden/>
          </w:rPr>
          <w:fldChar w:fldCharType="end"/>
        </w:r>
      </w:hyperlink>
    </w:p>
    <w:p w14:paraId="3D0D9B0C" w14:textId="14E730B1" w:rsidR="00921C0A" w:rsidRDefault="00921C0A">
      <w:pPr>
        <w:pStyle w:val="TableofFigures"/>
        <w:tabs>
          <w:tab w:val="right" w:leader="dot" w:pos="9016"/>
        </w:tabs>
        <w:rPr>
          <w:rFonts w:eastAsiaTheme="minorEastAsia"/>
          <w:noProof/>
          <w:lang w:eastAsia="en-AU"/>
        </w:rPr>
      </w:pPr>
      <w:hyperlink w:anchor="_Toc64529097" w:history="1">
        <w:r w:rsidRPr="00BF327E">
          <w:rPr>
            <w:rStyle w:val="Hyperlink"/>
            <w:noProof/>
          </w:rPr>
          <w:t>Figure 5: ACT Final Demand and the contribution of the Commonwealth Government and Household Consumption – 1995-96 to 2019-20 ($ million, constant 2018-19 dollars)</w:t>
        </w:r>
        <w:r>
          <w:rPr>
            <w:noProof/>
            <w:webHidden/>
          </w:rPr>
          <w:tab/>
        </w:r>
        <w:r>
          <w:rPr>
            <w:noProof/>
            <w:webHidden/>
          </w:rPr>
          <w:fldChar w:fldCharType="begin"/>
        </w:r>
        <w:r>
          <w:rPr>
            <w:noProof/>
            <w:webHidden/>
          </w:rPr>
          <w:instrText xml:space="preserve"> PAGEREF _Toc64529097 \h </w:instrText>
        </w:r>
        <w:r>
          <w:rPr>
            <w:noProof/>
            <w:webHidden/>
          </w:rPr>
        </w:r>
        <w:r>
          <w:rPr>
            <w:noProof/>
            <w:webHidden/>
          </w:rPr>
          <w:fldChar w:fldCharType="separate"/>
        </w:r>
        <w:r w:rsidR="00AB7125">
          <w:rPr>
            <w:noProof/>
            <w:webHidden/>
          </w:rPr>
          <w:t>7</w:t>
        </w:r>
        <w:r>
          <w:rPr>
            <w:noProof/>
            <w:webHidden/>
          </w:rPr>
          <w:fldChar w:fldCharType="end"/>
        </w:r>
      </w:hyperlink>
    </w:p>
    <w:p w14:paraId="4E01F2CD" w14:textId="329E6B6C" w:rsidR="00921C0A" w:rsidRDefault="00921C0A">
      <w:pPr>
        <w:pStyle w:val="TableofFigures"/>
        <w:tabs>
          <w:tab w:val="right" w:leader="dot" w:pos="9016"/>
        </w:tabs>
        <w:rPr>
          <w:rFonts w:eastAsiaTheme="minorEastAsia"/>
          <w:noProof/>
          <w:lang w:eastAsia="en-AU"/>
        </w:rPr>
      </w:pPr>
      <w:hyperlink w:anchor="_Toc64529098" w:history="1">
        <w:r w:rsidRPr="00BF327E">
          <w:rPr>
            <w:rStyle w:val="Hyperlink"/>
            <w:noProof/>
          </w:rPr>
          <w:t>Figure 6: Percentage Growth in ACT Final Demand, Commonwealth Expenditure and Household Consumption – 1996-97 to 2017-18</w:t>
        </w:r>
        <w:r>
          <w:rPr>
            <w:noProof/>
            <w:webHidden/>
          </w:rPr>
          <w:tab/>
        </w:r>
        <w:r>
          <w:rPr>
            <w:noProof/>
            <w:webHidden/>
          </w:rPr>
          <w:fldChar w:fldCharType="begin"/>
        </w:r>
        <w:r>
          <w:rPr>
            <w:noProof/>
            <w:webHidden/>
          </w:rPr>
          <w:instrText xml:space="preserve"> PAGEREF _Toc64529098 \h </w:instrText>
        </w:r>
        <w:r>
          <w:rPr>
            <w:noProof/>
            <w:webHidden/>
          </w:rPr>
        </w:r>
        <w:r>
          <w:rPr>
            <w:noProof/>
            <w:webHidden/>
          </w:rPr>
          <w:fldChar w:fldCharType="separate"/>
        </w:r>
        <w:r w:rsidR="00AB7125">
          <w:rPr>
            <w:noProof/>
            <w:webHidden/>
          </w:rPr>
          <w:t>7</w:t>
        </w:r>
        <w:r>
          <w:rPr>
            <w:noProof/>
            <w:webHidden/>
          </w:rPr>
          <w:fldChar w:fldCharType="end"/>
        </w:r>
      </w:hyperlink>
    </w:p>
    <w:p w14:paraId="3BCC7B57" w14:textId="4C7E10A2" w:rsidR="00921C0A" w:rsidRDefault="00921C0A">
      <w:pPr>
        <w:pStyle w:val="TableofFigures"/>
        <w:tabs>
          <w:tab w:val="right" w:leader="dot" w:pos="9016"/>
        </w:tabs>
        <w:rPr>
          <w:rFonts w:eastAsiaTheme="minorEastAsia"/>
          <w:noProof/>
          <w:lang w:eastAsia="en-AU"/>
        </w:rPr>
      </w:pPr>
      <w:hyperlink w:anchor="_Toc64529099" w:history="1">
        <w:r w:rsidRPr="00BF327E">
          <w:rPr>
            <w:rStyle w:val="Hyperlink"/>
            <w:noProof/>
          </w:rPr>
          <w:t>Figure 7: Quarterly Commonwealth Government and ACT Government Consumption and Investment Expenditure – June 2019 to September 2020 ($ million, constant 2018-19 dollars)</w:t>
        </w:r>
        <w:r>
          <w:rPr>
            <w:noProof/>
            <w:webHidden/>
          </w:rPr>
          <w:tab/>
        </w:r>
        <w:r>
          <w:rPr>
            <w:noProof/>
            <w:webHidden/>
          </w:rPr>
          <w:fldChar w:fldCharType="begin"/>
        </w:r>
        <w:r>
          <w:rPr>
            <w:noProof/>
            <w:webHidden/>
          </w:rPr>
          <w:instrText xml:space="preserve"> PAGEREF _Toc64529099 \h </w:instrText>
        </w:r>
        <w:r>
          <w:rPr>
            <w:noProof/>
            <w:webHidden/>
          </w:rPr>
        </w:r>
        <w:r>
          <w:rPr>
            <w:noProof/>
            <w:webHidden/>
          </w:rPr>
          <w:fldChar w:fldCharType="separate"/>
        </w:r>
        <w:r w:rsidR="00AB7125">
          <w:rPr>
            <w:noProof/>
            <w:webHidden/>
          </w:rPr>
          <w:t>9</w:t>
        </w:r>
        <w:r>
          <w:rPr>
            <w:noProof/>
            <w:webHidden/>
          </w:rPr>
          <w:fldChar w:fldCharType="end"/>
        </w:r>
      </w:hyperlink>
    </w:p>
    <w:p w14:paraId="2EA47C6B" w14:textId="0D596605" w:rsidR="00921C0A" w:rsidRDefault="00921C0A">
      <w:pPr>
        <w:pStyle w:val="TableofFigures"/>
        <w:tabs>
          <w:tab w:val="right" w:leader="dot" w:pos="9016"/>
        </w:tabs>
        <w:rPr>
          <w:rFonts w:eastAsiaTheme="minorEastAsia"/>
          <w:noProof/>
          <w:lang w:eastAsia="en-AU"/>
        </w:rPr>
      </w:pPr>
      <w:hyperlink w:anchor="_Toc64529100" w:history="1">
        <w:r w:rsidRPr="00BF327E">
          <w:rPr>
            <w:rStyle w:val="Hyperlink"/>
            <w:noProof/>
          </w:rPr>
          <w:t>Figure 8: Percentage Increase in Commonwealth Government and ACT Government Consumption and Investment Expenditure – June 2019 to September 2020</w:t>
        </w:r>
        <w:r>
          <w:rPr>
            <w:noProof/>
            <w:webHidden/>
          </w:rPr>
          <w:tab/>
        </w:r>
        <w:r>
          <w:rPr>
            <w:noProof/>
            <w:webHidden/>
          </w:rPr>
          <w:fldChar w:fldCharType="begin"/>
        </w:r>
        <w:r>
          <w:rPr>
            <w:noProof/>
            <w:webHidden/>
          </w:rPr>
          <w:instrText xml:space="preserve"> PAGEREF _Toc64529100 \h </w:instrText>
        </w:r>
        <w:r>
          <w:rPr>
            <w:noProof/>
            <w:webHidden/>
          </w:rPr>
        </w:r>
        <w:r>
          <w:rPr>
            <w:noProof/>
            <w:webHidden/>
          </w:rPr>
          <w:fldChar w:fldCharType="separate"/>
        </w:r>
        <w:r w:rsidR="00AB7125">
          <w:rPr>
            <w:noProof/>
            <w:webHidden/>
          </w:rPr>
          <w:t>9</w:t>
        </w:r>
        <w:r>
          <w:rPr>
            <w:noProof/>
            <w:webHidden/>
          </w:rPr>
          <w:fldChar w:fldCharType="end"/>
        </w:r>
      </w:hyperlink>
    </w:p>
    <w:p w14:paraId="7745D71B" w14:textId="03A8AAA1" w:rsidR="00921C0A" w:rsidRDefault="00921C0A">
      <w:pPr>
        <w:pStyle w:val="TableofFigures"/>
        <w:tabs>
          <w:tab w:val="right" w:leader="dot" w:pos="9016"/>
        </w:tabs>
        <w:rPr>
          <w:rFonts w:eastAsiaTheme="minorEastAsia"/>
          <w:noProof/>
          <w:lang w:eastAsia="en-AU"/>
        </w:rPr>
      </w:pPr>
      <w:hyperlink w:anchor="_Toc64529101" w:history="1">
        <w:r w:rsidRPr="00BF327E">
          <w:rPr>
            <w:rStyle w:val="Hyperlink"/>
            <w:noProof/>
          </w:rPr>
          <w:t>Figure 9: ACT Employment – January 2010 to December 2020 (‘000)</w:t>
        </w:r>
        <w:r>
          <w:rPr>
            <w:noProof/>
            <w:webHidden/>
          </w:rPr>
          <w:tab/>
        </w:r>
        <w:r>
          <w:rPr>
            <w:noProof/>
            <w:webHidden/>
          </w:rPr>
          <w:fldChar w:fldCharType="begin"/>
        </w:r>
        <w:r>
          <w:rPr>
            <w:noProof/>
            <w:webHidden/>
          </w:rPr>
          <w:instrText xml:space="preserve"> PAGEREF _Toc64529101 \h </w:instrText>
        </w:r>
        <w:r>
          <w:rPr>
            <w:noProof/>
            <w:webHidden/>
          </w:rPr>
        </w:r>
        <w:r>
          <w:rPr>
            <w:noProof/>
            <w:webHidden/>
          </w:rPr>
          <w:fldChar w:fldCharType="separate"/>
        </w:r>
        <w:r w:rsidR="00AB7125">
          <w:rPr>
            <w:noProof/>
            <w:webHidden/>
          </w:rPr>
          <w:t>10</w:t>
        </w:r>
        <w:r>
          <w:rPr>
            <w:noProof/>
            <w:webHidden/>
          </w:rPr>
          <w:fldChar w:fldCharType="end"/>
        </w:r>
      </w:hyperlink>
    </w:p>
    <w:p w14:paraId="4D5A1687" w14:textId="29557C18" w:rsidR="00921C0A" w:rsidRDefault="00921C0A">
      <w:pPr>
        <w:pStyle w:val="TableofFigures"/>
        <w:tabs>
          <w:tab w:val="right" w:leader="dot" w:pos="9016"/>
        </w:tabs>
        <w:rPr>
          <w:rFonts w:eastAsiaTheme="minorEastAsia"/>
          <w:noProof/>
          <w:lang w:eastAsia="en-AU"/>
        </w:rPr>
      </w:pPr>
      <w:hyperlink w:anchor="_Toc64529102" w:history="1">
        <w:r w:rsidRPr="00BF327E">
          <w:rPr>
            <w:rStyle w:val="Hyperlink"/>
            <w:noProof/>
          </w:rPr>
          <w:t>Figure 10: Percentage Change in the ACT Wage Price Index for the Private and Public Sectors from Corresponding Quarter of Previous Year (Total hourly rates of pay excluding bonuses) – March quarter 2007 to September quarter 2020</w:t>
        </w:r>
        <w:r>
          <w:rPr>
            <w:noProof/>
            <w:webHidden/>
          </w:rPr>
          <w:tab/>
        </w:r>
        <w:r>
          <w:rPr>
            <w:noProof/>
            <w:webHidden/>
          </w:rPr>
          <w:fldChar w:fldCharType="begin"/>
        </w:r>
        <w:r>
          <w:rPr>
            <w:noProof/>
            <w:webHidden/>
          </w:rPr>
          <w:instrText xml:space="preserve"> PAGEREF _Toc64529102 \h </w:instrText>
        </w:r>
        <w:r>
          <w:rPr>
            <w:noProof/>
            <w:webHidden/>
          </w:rPr>
        </w:r>
        <w:r>
          <w:rPr>
            <w:noProof/>
            <w:webHidden/>
          </w:rPr>
          <w:fldChar w:fldCharType="separate"/>
        </w:r>
        <w:r w:rsidR="00AB7125">
          <w:rPr>
            <w:noProof/>
            <w:webHidden/>
          </w:rPr>
          <w:t>11</w:t>
        </w:r>
        <w:r>
          <w:rPr>
            <w:noProof/>
            <w:webHidden/>
          </w:rPr>
          <w:fldChar w:fldCharType="end"/>
        </w:r>
      </w:hyperlink>
    </w:p>
    <w:p w14:paraId="141F0C4B" w14:textId="7414183E" w:rsidR="00921C0A" w:rsidRDefault="00921C0A">
      <w:pPr>
        <w:pStyle w:val="TableofFigures"/>
        <w:tabs>
          <w:tab w:val="right" w:leader="dot" w:pos="9016"/>
        </w:tabs>
        <w:rPr>
          <w:rFonts w:eastAsiaTheme="minorEastAsia"/>
          <w:noProof/>
          <w:lang w:eastAsia="en-AU"/>
        </w:rPr>
      </w:pPr>
      <w:hyperlink w:anchor="_Toc64529103" w:history="1">
        <w:r w:rsidRPr="00BF327E">
          <w:rPr>
            <w:rStyle w:val="Hyperlink"/>
            <w:noProof/>
          </w:rPr>
          <w:t>Figure 11: Forecast returns to surplus ($ million)</w:t>
        </w:r>
        <w:r>
          <w:rPr>
            <w:noProof/>
            <w:webHidden/>
          </w:rPr>
          <w:tab/>
        </w:r>
        <w:r>
          <w:rPr>
            <w:noProof/>
            <w:webHidden/>
          </w:rPr>
          <w:fldChar w:fldCharType="begin"/>
        </w:r>
        <w:r>
          <w:rPr>
            <w:noProof/>
            <w:webHidden/>
          </w:rPr>
          <w:instrText xml:space="preserve"> PAGEREF _Toc64529103 \h </w:instrText>
        </w:r>
        <w:r>
          <w:rPr>
            <w:noProof/>
            <w:webHidden/>
          </w:rPr>
        </w:r>
        <w:r>
          <w:rPr>
            <w:noProof/>
            <w:webHidden/>
          </w:rPr>
          <w:fldChar w:fldCharType="separate"/>
        </w:r>
        <w:r w:rsidR="00AB7125">
          <w:rPr>
            <w:noProof/>
            <w:webHidden/>
          </w:rPr>
          <w:t>16</w:t>
        </w:r>
        <w:r>
          <w:rPr>
            <w:noProof/>
            <w:webHidden/>
          </w:rPr>
          <w:fldChar w:fldCharType="end"/>
        </w:r>
      </w:hyperlink>
    </w:p>
    <w:p w14:paraId="06274528" w14:textId="1F9D4F46" w:rsidR="00921C0A" w:rsidRDefault="00921C0A">
      <w:pPr>
        <w:pStyle w:val="TableofFigures"/>
        <w:tabs>
          <w:tab w:val="right" w:leader="dot" w:pos="9016"/>
        </w:tabs>
        <w:rPr>
          <w:rFonts w:eastAsiaTheme="minorEastAsia"/>
          <w:noProof/>
          <w:lang w:eastAsia="en-AU"/>
        </w:rPr>
      </w:pPr>
      <w:hyperlink w:anchor="_Toc64529104" w:history="1">
        <w:r w:rsidRPr="00BF327E">
          <w:rPr>
            <w:rStyle w:val="Hyperlink"/>
            <w:noProof/>
          </w:rPr>
          <w:t>Figure 12: Assets and Liabilities</w:t>
        </w:r>
        <w:r>
          <w:rPr>
            <w:noProof/>
            <w:webHidden/>
          </w:rPr>
          <w:tab/>
        </w:r>
        <w:r>
          <w:rPr>
            <w:noProof/>
            <w:webHidden/>
          </w:rPr>
          <w:fldChar w:fldCharType="begin"/>
        </w:r>
        <w:r>
          <w:rPr>
            <w:noProof/>
            <w:webHidden/>
          </w:rPr>
          <w:instrText xml:space="preserve"> PAGEREF _Toc64529104 \h </w:instrText>
        </w:r>
        <w:r>
          <w:rPr>
            <w:noProof/>
            <w:webHidden/>
          </w:rPr>
        </w:r>
        <w:r>
          <w:rPr>
            <w:noProof/>
            <w:webHidden/>
          </w:rPr>
          <w:fldChar w:fldCharType="separate"/>
        </w:r>
        <w:r w:rsidR="00AB7125">
          <w:rPr>
            <w:noProof/>
            <w:webHidden/>
          </w:rPr>
          <w:t>17</w:t>
        </w:r>
        <w:r>
          <w:rPr>
            <w:noProof/>
            <w:webHidden/>
          </w:rPr>
          <w:fldChar w:fldCharType="end"/>
        </w:r>
      </w:hyperlink>
    </w:p>
    <w:p w14:paraId="2B94D3F1" w14:textId="4AC2EAC1" w:rsidR="00921C0A" w:rsidRDefault="00921C0A">
      <w:pPr>
        <w:pStyle w:val="TableofFigures"/>
        <w:tabs>
          <w:tab w:val="right" w:leader="dot" w:pos="9016"/>
        </w:tabs>
        <w:rPr>
          <w:rFonts w:eastAsiaTheme="minorEastAsia"/>
          <w:noProof/>
          <w:lang w:eastAsia="en-AU"/>
        </w:rPr>
      </w:pPr>
      <w:hyperlink w:anchor="_Toc64529105" w:history="1">
        <w:r w:rsidRPr="00BF327E">
          <w:rPr>
            <w:rStyle w:val="Hyperlink"/>
            <w:noProof/>
          </w:rPr>
          <w:t>Figure 13: Forecast ACT Budget Revenue in the 2019-20 ACT Budget and the 2020-21 ACT Budget – 2020-21 to 2023-24 ($’000)</w:t>
        </w:r>
        <w:r>
          <w:rPr>
            <w:noProof/>
            <w:webHidden/>
          </w:rPr>
          <w:tab/>
        </w:r>
        <w:r>
          <w:rPr>
            <w:noProof/>
            <w:webHidden/>
          </w:rPr>
          <w:fldChar w:fldCharType="begin"/>
        </w:r>
        <w:r>
          <w:rPr>
            <w:noProof/>
            <w:webHidden/>
          </w:rPr>
          <w:instrText xml:space="preserve"> PAGEREF _Toc64529105 \h </w:instrText>
        </w:r>
        <w:r>
          <w:rPr>
            <w:noProof/>
            <w:webHidden/>
          </w:rPr>
        </w:r>
        <w:r>
          <w:rPr>
            <w:noProof/>
            <w:webHidden/>
          </w:rPr>
          <w:fldChar w:fldCharType="separate"/>
        </w:r>
        <w:r w:rsidR="00AB7125">
          <w:rPr>
            <w:noProof/>
            <w:webHidden/>
          </w:rPr>
          <w:t>20</w:t>
        </w:r>
        <w:r>
          <w:rPr>
            <w:noProof/>
            <w:webHidden/>
          </w:rPr>
          <w:fldChar w:fldCharType="end"/>
        </w:r>
      </w:hyperlink>
    </w:p>
    <w:p w14:paraId="0793982D" w14:textId="5D592273" w:rsidR="00921C0A" w:rsidRDefault="00921C0A">
      <w:pPr>
        <w:pStyle w:val="TableofFigures"/>
        <w:tabs>
          <w:tab w:val="right" w:leader="dot" w:pos="9016"/>
        </w:tabs>
        <w:rPr>
          <w:rFonts w:eastAsiaTheme="minorEastAsia"/>
          <w:noProof/>
          <w:lang w:eastAsia="en-AU"/>
        </w:rPr>
      </w:pPr>
      <w:hyperlink w:anchor="_Toc64529106" w:history="1">
        <w:r w:rsidRPr="00BF327E">
          <w:rPr>
            <w:rStyle w:val="Hyperlink"/>
            <w:noProof/>
          </w:rPr>
          <w:t>Figure 14: Forecast ACT Budget Revenue for 2020-21 in the 2019-20 ACT Budget and the 2020-21 ACT Budget ($’000)</w:t>
        </w:r>
        <w:r>
          <w:rPr>
            <w:noProof/>
            <w:webHidden/>
          </w:rPr>
          <w:tab/>
        </w:r>
        <w:r>
          <w:rPr>
            <w:noProof/>
            <w:webHidden/>
          </w:rPr>
          <w:fldChar w:fldCharType="begin"/>
        </w:r>
        <w:r>
          <w:rPr>
            <w:noProof/>
            <w:webHidden/>
          </w:rPr>
          <w:instrText xml:space="preserve"> PAGEREF _Toc64529106 \h </w:instrText>
        </w:r>
        <w:r>
          <w:rPr>
            <w:noProof/>
            <w:webHidden/>
          </w:rPr>
        </w:r>
        <w:r>
          <w:rPr>
            <w:noProof/>
            <w:webHidden/>
          </w:rPr>
          <w:fldChar w:fldCharType="separate"/>
        </w:r>
        <w:r w:rsidR="00AB7125">
          <w:rPr>
            <w:noProof/>
            <w:webHidden/>
          </w:rPr>
          <w:t>21</w:t>
        </w:r>
        <w:r>
          <w:rPr>
            <w:noProof/>
            <w:webHidden/>
          </w:rPr>
          <w:fldChar w:fldCharType="end"/>
        </w:r>
      </w:hyperlink>
    </w:p>
    <w:p w14:paraId="44419EBC" w14:textId="63121465" w:rsidR="00921C0A" w:rsidRDefault="00921C0A">
      <w:pPr>
        <w:pStyle w:val="TableofFigures"/>
        <w:tabs>
          <w:tab w:val="right" w:leader="dot" w:pos="9016"/>
        </w:tabs>
        <w:rPr>
          <w:rFonts w:eastAsiaTheme="minorEastAsia"/>
          <w:noProof/>
          <w:lang w:eastAsia="en-AU"/>
        </w:rPr>
      </w:pPr>
      <w:hyperlink w:anchor="_Toc64529107" w:history="1">
        <w:r w:rsidRPr="00BF327E">
          <w:rPr>
            <w:rStyle w:val="Hyperlink"/>
            <w:noProof/>
          </w:rPr>
          <w:t>Figure 15: Percentage of ACT Government Revenue from Own-Source Taxation – 2019-20 to 2022-23</w:t>
        </w:r>
        <w:r>
          <w:rPr>
            <w:noProof/>
            <w:webHidden/>
          </w:rPr>
          <w:tab/>
        </w:r>
        <w:r>
          <w:rPr>
            <w:noProof/>
            <w:webHidden/>
          </w:rPr>
          <w:fldChar w:fldCharType="begin"/>
        </w:r>
        <w:r>
          <w:rPr>
            <w:noProof/>
            <w:webHidden/>
          </w:rPr>
          <w:instrText xml:space="preserve"> PAGEREF _Toc64529107 \h </w:instrText>
        </w:r>
        <w:r>
          <w:rPr>
            <w:noProof/>
            <w:webHidden/>
          </w:rPr>
        </w:r>
        <w:r>
          <w:rPr>
            <w:noProof/>
            <w:webHidden/>
          </w:rPr>
          <w:fldChar w:fldCharType="separate"/>
        </w:r>
        <w:r w:rsidR="00AB7125">
          <w:rPr>
            <w:noProof/>
            <w:webHidden/>
          </w:rPr>
          <w:t>23</w:t>
        </w:r>
        <w:r>
          <w:rPr>
            <w:noProof/>
            <w:webHidden/>
          </w:rPr>
          <w:fldChar w:fldCharType="end"/>
        </w:r>
      </w:hyperlink>
    </w:p>
    <w:p w14:paraId="24736877" w14:textId="2EF6360A" w:rsidR="00921C0A" w:rsidRDefault="00921C0A">
      <w:pPr>
        <w:pStyle w:val="TableofFigures"/>
        <w:tabs>
          <w:tab w:val="right" w:leader="dot" w:pos="9016"/>
        </w:tabs>
        <w:rPr>
          <w:rFonts w:eastAsiaTheme="minorEastAsia"/>
          <w:noProof/>
          <w:lang w:eastAsia="en-AU"/>
        </w:rPr>
      </w:pPr>
      <w:hyperlink w:anchor="_Toc64529108" w:history="1">
        <w:r w:rsidRPr="00BF327E">
          <w:rPr>
            <w:rStyle w:val="Hyperlink"/>
            <w:noProof/>
          </w:rPr>
          <w:t>Figure 16: Percentage of Increased ACT Government Revenue Funded by the Commonwealth Government – 2020-21 to 2023-24</w:t>
        </w:r>
        <w:r>
          <w:rPr>
            <w:noProof/>
            <w:webHidden/>
          </w:rPr>
          <w:tab/>
        </w:r>
        <w:r>
          <w:rPr>
            <w:noProof/>
            <w:webHidden/>
          </w:rPr>
          <w:fldChar w:fldCharType="begin"/>
        </w:r>
        <w:r>
          <w:rPr>
            <w:noProof/>
            <w:webHidden/>
          </w:rPr>
          <w:instrText xml:space="preserve"> PAGEREF _Toc64529108 \h </w:instrText>
        </w:r>
        <w:r>
          <w:rPr>
            <w:noProof/>
            <w:webHidden/>
          </w:rPr>
        </w:r>
        <w:r>
          <w:rPr>
            <w:noProof/>
            <w:webHidden/>
          </w:rPr>
          <w:fldChar w:fldCharType="separate"/>
        </w:r>
        <w:r w:rsidR="00AB7125">
          <w:rPr>
            <w:noProof/>
            <w:webHidden/>
          </w:rPr>
          <w:t>23</w:t>
        </w:r>
        <w:r>
          <w:rPr>
            <w:noProof/>
            <w:webHidden/>
          </w:rPr>
          <w:fldChar w:fldCharType="end"/>
        </w:r>
      </w:hyperlink>
    </w:p>
    <w:p w14:paraId="7A7B72B8" w14:textId="7B9D9DF5" w:rsidR="00921C0A" w:rsidRDefault="00921C0A">
      <w:pPr>
        <w:pStyle w:val="TableofFigures"/>
        <w:tabs>
          <w:tab w:val="right" w:leader="dot" w:pos="9016"/>
        </w:tabs>
        <w:rPr>
          <w:rFonts w:eastAsiaTheme="minorEastAsia"/>
          <w:noProof/>
          <w:lang w:eastAsia="en-AU"/>
        </w:rPr>
      </w:pPr>
      <w:hyperlink w:anchor="_Toc64529109" w:history="1">
        <w:r w:rsidRPr="00BF327E">
          <w:rPr>
            <w:rStyle w:val="Hyperlink"/>
            <w:noProof/>
          </w:rPr>
          <w:t>Figure 17: ACT Government Revenue from Commercial, Residential and Rural General Rates – 2019-20 to 2023-24 ($’000)</w:t>
        </w:r>
        <w:r>
          <w:rPr>
            <w:noProof/>
            <w:webHidden/>
          </w:rPr>
          <w:tab/>
        </w:r>
        <w:r>
          <w:rPr>
            <w:noProof/>
            <w:webHidden/>
          </w:rPr>
          <w:fldChar w:fldCharType="begin"/>
        </w:r>
        <w:r>
          <w:rPr>
            <w:noProof/>
            <w:webHidden/>
          </w:rPr>
          <w:instrText xml:space="preserve"> PAGEREF _Toc64529109 \h </w:instrText>
        </w:r>
        <w:r>
          <w:rPr>
            <w:noProof/>
            <w:webHidden/>
          </w:rPr>
        </w:r>
        <w:r>
          <w:rPr>
            <w:noProof/>
            <w:webHidden/>
          </w:rPr>
          <w:fldChar w:fldCharType="separate"/>
        </w:r>
        <w:r w:rsidR="00AB7125">
          <w:rPr>
            <w:noProof/>
            <w:webHidden/>
          </w:rPr>
          <w:t>25</w:t>
        </w:r>
        <w:r>
          <w:rPr>
            <w:noProof/>
            <w:webHidden/>
          </w:rPr>
          <w:fldChar w:fldCharType="end"/>
        </w:r>
      </w:hyperlink>
    </w:p>
    <w:p w14:paraId="6CED06B6" w14:textId="6DB7EED3" w:rsidR="00921C0A" w:rsidRDefault="00921C0A">
      <w:pPr>
        <w:pStyle w:val="TableofFigures"/>
        <w:tabs>
          <w:tab w:val="right" w:leader="dot" w:pos="9016"/>
        </w:tabs>
        <w:rPr>
          <w:rFonts w:eastAsiaTheme="minorEastAsia"/>
          <w:noProof/>
          <w:lang w:eastAsia="en-AU"/>
        </w:rPr>
      </w:pPr>
      <w:hyperlink w:anchor="_Toc64529110" w:history="1">
        <w:r w:rsidRPr="00BF327E">
          <w:rPr>
            <w:rStyle w:val="Hyperlink"/>
            <w:noProof/>
          </w:rPr>
          <w:t>Figure 18: ACT Government Revenue from Residential Conveyances - 2019-20 to 2023-24 ($’000)</w:t>
        </w:r>
        <w:r>
          <w:rPr>
            <w:noProof/>
            <w:webHidden/>
          </w:rPr>
          <w:tab/>
        </w:r>
        <w:r>
          <w:rPr>
            <w:noProof/>
            <w:webHidden/>
          </w:rPr>
          <w:fldChar w:fldCharType="begin"/>
        </w:r>
        <w:r>
          <w:rPr>
            <w:noProof/>
            <w:webHidden/>
          </w:rPr>
          <w:instrText xml:space="preserve"> PAGEREF _Toc64529110 \h </w:instrText>
        </w:r>
        <w:r>
          <w:rPr>
            <w:noProof/>
            <w:webHidden/>
          </w:rPr>
        </w:r>
        <w:r>
          <w:rPr>
            <w:noProof/>
            <w:webHidden/>
          </w:rPr>
          <w:fldChar w:fldCharType="separate"/>
        </w:r>
        <w:r w:rsidR="00AB7125">
          <w:rPr>
            <w:noProof/>
            <w:webHidden/>
          </w:rPr>
          <w:t>26</w:t>
        </w:r>
        <w:r>
          <w:rPr>
            <w:noProof/>
            <w:webHidden/>
          </w:rPr>
          <w:fldChar w:fldCharType="end"/>
        </w:r>
      </w:hyperlink>
    </w:p>
    <w:p w14:paraId="5C275659" w14:textId="1895AE4F" w:rsidR="00921C0A" w:rsidRDefault="00921C0A">
      <w:pPr>
        <w:pStyle w:val="TableofFigures"/>
        <w:tabs>
          <w:tab w:val="right" w:leader="dot" w:pos="9016"/>
        </w:tabs>
        <w:rPr>
          <w:rFonts w:eastAsiaTheme="minorEastAsia"/>
          <w:noProof/>
          <w:lang w:eastAsia="en-AU"/>
        </w:rPr>
      </w:pPr>
      <w:hyperlink w:anchor="_Toc64529111" w:history="1">
        <w:r w:rsidRPr="00BF327E">
          <w:rPr>
            <w:rStyle w:val="Hyperlink"/>
            <w:noProof/>
          </w:rPr>
          <w:t xml:space="preserve">Figure 19: Forecast Revenue from Dividends and Income Tax Equivalent Payments from the 2019-20 ACT Budget, </w:t>
        </w:r>
        <w:r w:rsidRPr="00BF327E">
          <w:rPr>
            <w:rStyle w:val="Hyperlink"/>
            <w:noProof/>
            <w:lang w:val="en-NZ" w:eastAsia="en-NZ"/>
          </w:rPr>
          <w:t xml:space="preserve">August 2020 Economic and Fiscal Update (EEU) and 2020-21 ACT Budget – 2020-21 to 2023-23 </w:t>
        </w:r>
        <w:r w:rsidRPr="00BF327E">
          <w:rPr>
            <w:rStyle w:val="Hyperlink"/>
            <w:noProof/>
          </w:rPr>
          <w:t>($’000)</w:t>
        </w:r>
        <w:r>
          <w:rPr>
            <w:noProof/>
            <w:webHidden/>
          </w:rPr>
          <w:tab/>
        </w:r>
        <w:r>
          <w:rPr>
            <w:noProof/>
            <w:webHidden/>
          </w:rPr>
          <w:fldChar w:fldCharType="begin"/>
        </w:r>
        <w:r>
          <w:rPr>
            <w:noProof/>
            <w:webHidden/>
          </w:rPr>
          <w:instrText xml:space="preserve"> PAGEREF _Toc64529111 \h </w:instrText>
        </w:r>
        <w:r>
          <w:rPr>
            <w:noProof/>
            <w:webHidden/>
          </w:rPr>
        </w:r>
        <w:r>
          <w:rPr>
            <w:noProof/>
            <w:webHidden/>
          </w:rPr>
          <w:fldChar w:fldCharType="separate"/>
        </w:r>
        <w:r w:rsidR="00AB7125">
          <w:rPr>
            <w:noProof/>
            <w:webHidden/>
          </w:rPr>
          <w:t>27</w:t>
        </w:r>
        <w:r>
          <w:rPr>
            <w:noProof/>
            <w:webHidden/>
          </w:rPr>
          <w:fldChar w:fldCharType="end"/>
        </w:r>
      </w:hyperlink>
    </w:p>
    <w:p w14:paraId="6C287344" w14:textId="3C6642A0" w:rsidR="00921C0A" w:rsidRDefault="00921C0A">
      <w:pPr>
        <w:pStyle w:val="TableofFigures"/>
        <w:tabs>
          <w:tab w:val="right" w:leader="dot" w:pos="9016"/>
        </w:tabs>
        <w:rPr>
          <w:rFonts w:eastAsiaTheme="minorEastAsia"/>
          <w:noProof/>
          <w:lang w:eastAsia="en-AU"/>
        </w:rPr>
      </w:pPr>
      <w:hyperlink w:anchor="_Toc64529112" w:history="1">
        <w:r w:rsidRPr="00BF327E">
          <w:rPr>
            <w:rStyle w:val="Hyperlink"/>
            <w:noProof/>
          </w:rPr>
          <w:t xml:space="preserve">Figure 20: Forecast Revenue from Dividends from the </w:t>
        </w:r>
        <w:r w:rsidRPr="00BF327E">
          <w:rPr>
            <w:rStyle w:val="Hyperlink"/>
            <w:noProof/>
            <w:lang w:val="en-NZ" w:eastAsia="en-NZ"/>
          </w:rPr>
          <w:t xml:space="preserve">Suburban Land Agency* and the City Renewal Authority and Tax Equivalent Payments from the </w:t>
        </w:r>
        <w:r w:rsidRPr="00BF327E">
          <w:rPr>
            <w:rStyle w:val="Hyperlink"/>
            <w:noProof/>
          </w:rPr>
          <w:t xml:space="preserve">2019-20 ACT Budget, </w:t>
        </w:r>
        <w:r w:rsidRPr="00BF327E">
          <w:rPr>
            <w:rStyle w:val="Hyperlink"/>
            <w:noProof/>
            <w:lang w:val="en-NZ" w:eastAsia="en-NZ"/>
          </w:rPr>
          <w:t xml:space="preserve">August 2020 Economic and Fiscal Update (EEU) and 2020-21 ACT Budget – 2020-21 </w:t>
        </w:r>
        <w:r w:rsidRPr="00BF327E">
          <w:rPr>
            <w:rStyle w:val="Hyperlink"/>
            <w:noProof/>
          </w:rPr>
          <w:t>($’000)</w:t>
        </w:r>
        <w:r>
          <w:rPr>
            <w:noProof/>
            <w:webHidden/>
          </w:rPr>
          <w:tab/>
        </w:r>
        <w:r>
          <w:rPr>
            <w:noProof/>
            <w:webHidden/>
          </w:rPr>
          <w:fldChar w:fldCharType="begin"/>
        </w:r>
        <w:r>
          <w:rPr>
            <w:noProof/>
            <w:webHidden/>
          </w:rPr>
          <w:instrText xml:space="preserve"> PAGEREF _Toc64529112 \h </w:instrText>
        </w:r>
        <w:r>
          <w:rPr>
            <w:noProof/>
            <w:webHidden/>
          </w:rPr>
        </w:r>
        <w:r>
          <w:rPr>
            <w:noProof/>
            <w:webHidden/>
          </w:rPr>
          <w:fldChar w:fldCharType="separate"/>
        </w:r>
        <w:r w:rsidR="00AB7125">
          <w:rPr>
            <w:noProof/>
            <w:webHidden/>
          </w:rPr>
          <w:t>28</w:t>
        </w:r>
        <w:r>
          <w:rPr>
            <w:noProof/>
            <w:webHidden/>
          </w:rPr>
          <w:fldChar w:fldCharType="end"/>
        </w:r>
      </w:hyperlink>
    </w:p>
    <w:p w14:paraId="66DAD6DC" w14:textId="19891BA7" w:rsidR="00921C0A" w:rsidRDefault="00921C0A">
      <w:pPr>
        <w:pStyle w:val="TableofFigures"/>
        <w:tabs>
          <w:tab w:val="right" w:leader="dot" w:pos="9016"/>
        </w:tabs>
        <w:rPr>
          <w:rFonts w:eastAsiaTheme="minorEastAsia"/>
          <w:noProof/>
          <w:lang w:eastAsia="en-AU"/>
        </w:rPr>
      </w:pPr>
      <w:hyperlink w:anchor="_Toc64529113" w:history="1">
        <w:r w:rsidRPr="00BF327E">
          <w:rPr>
            <w:rStyle w:val="Hyperlink"/>
            <w:noProof/>
          </w:rPr>
          <w:t>Figure 21: Capital Works Program Forecasts – 2016-17 to 2023-24 ($’000)</w:t>
        </w:r>
        <w:r>
          <w:rPr>
            <w:noProof/>
            <w:webHidden/>
          </w:rPr>
          <w:tab/>
        </w:r>
        <w:r>
          <w:rPr>
            <w:noProof/>
            <w:webHidden/>
          </w:rPr>
          <w:fldChar w:fldCharType="begin"/>
        </w:r>
        <w:r>
          <w:rPr>
            <w:noProof/>
            <w:webHidden/>
          </w:rPr>
          <w:instrText xml:space="preserve"> PAGEREF _Toc64529113 \h </w:instrText>
        </w:r>
        <w:r>
          <w:rPr>
            <w:noProof/>
            <w:webHidden/>
          </w:rPr>
        </w:r>
        <w:r>
          <w:rPr>
            <w:noProof/>
            <w:webHidden/>
          </w:rPr>
          <w:fldChar w:fldCharType="separate"/>
        </w:r>
        <w:r w:rsidR="00AB7125">
          <w:rPr>
            <w:noProof/>
            <w:webHidden/>
          </w:rPr>
          <w:t>34</w:t>
        </w:r>
        <w:r>
          <w:rPr>
            <w:noProof/>
            <w:webHidden/>
          </w:rPr>
          <w:fldChar w:fldCharType="end"/>
        </w:r>
      </w:hyperlink>
    </w:p>
    <w:p w14:paraId="7471AA22" w14:textId="7E56A6D2" w:rsidR="00921C0A" w:rsidRDefault="00921C0A">
      <w:pPr>
        <w:pStyle w:val="TableofFigures"/>
        <w:tabs>
          <w:tab w:val="right" w:leader="dot" w:pos="9016"/>
        </w:tabs>
        <w:rPr>
          <w:rFonts w:eastAsiaTheme="minorEastAsia"/>
          <w:noProof/>
          <w:lang w:eastAsia="en-AU"/>
        </w:rPr>
      </w:pPr>
      <w:hyperlink w:anchor="_Toc64529114" w:history="1">
        <w:r w:rsidRPr="00BF327E">
          <w:rPr>
            <w:rStyle w:val="Hyperlink"/>
            <w:noProof/>
          </w:rPr>
          <w:t>Figure 22: Net debt as a proportion of Gross State Product – 2010-11 to 2023-24 (per cent)</w:t>
        </w:r>
        <w:r>
          <w:rPr>
            <w:noProof/>
            <w:webHidden/>
          </w:rPr>
          <w:tab/>
        </w:r>
        <w:r>
          <w:rPr>
            <w:noProof/>
            <w:webHidden/>
          </w:rPr>
          <w:fldChar w:fldCharType="begin"/>
        </w:r>
        <w:r>
          <w:rPr>
            <w:noProof/>
            <w:webHidden/>
          </w:rPr>
          <w:instrText xml:space="preserve"> PAGEREF _Toc64529114 \h </w:instrText>
        </w:r>
        <w:r>
          <w:rPr>
            <w:noProof/>
            <w:webHidden/>
          </w:rPr>
        </w:r>
        <w:r>
          <w:rPr>
            <w:noProof/>
            <w:webHidden/>
          </w:rPr>
          <w:fldChar w:fldCharType="separate"/>
        </w:r>
        <w:r w:rsidR="00AB7125">
          <w:rPr>
            <w:noProof/>
            <w:webHidden/>
          </w:rPr>
          <w:t>37</w:t>
        </w:r>
        <w:r>
          <w:rPr>
            <w:noProof/>
            <w:webHidden/>
          </w:rPr>
          <w:fldChar w:fldCharType="end"/>
        </w:r>
      </w:hyperlink>
    </w:p>
    <w:p w14:paraId="4798CFFD" w14:textId="1A87EC1C" w:rsidR="00921C0A" w:rsidRDefault="00921C0A">
      <w:pPr>
        <w:pStyle w:val="TableofFigures"/>
        <w:tabs>
          <w:tab w:val="right" w:leader="dot" w:pos="9016"/>
        </w:tabs>
        <w:rPr>
          <w:rFonts w:eastAsiaTheme="minorEastAsia"/>
          <w:noProof/>
          <w:lang w:eastAsia="en-AU"/>
        </w:rPr>
      </w:pPr>
      <w:hyperlink w:anchor="_Toc64529115" w:history="1">
        <w:r w:rsidRPr="00BF327E">
          <w:rPr>
            <w:rStyle w:val="Hyperlink"/>
            <w:noProof/>
          </w:rPr>
          <w:t>Figure 23: Net financial liabilities as a proportion of Gross State Product – 2010-11 to 2023-24 (per cent)</w:t>
        </w:r>
        <w:r>
          <w:rPr>
            <w:noProof/>
            <w:webHidden/>
          </w:rPr>
          <w:tab/>
        </w:r>
        <w:r>
          <w:rPr>
            <w:noProof/>
            <w:webHidden/>
          </w:rPr>
          <w:fldChar w:fldCharType="begin"/>
        </w:r>
        <w:r>
          <w:rPr>
            <w:noProof/>
            <w:webHidden/>
          </w:rPr>
          <w:instrText xml:space="preserve"> PAGEREF _Toc64529115 \h </w:instrText>
        </w:r>
        <w:r>
          <w:rPr>
            <w:noProof/>
            <w:webHidden/>
          </w:rPr>
        </w:r>
        <w:r>
          <w:rPr>
            <w:noProof/>
            <w:webHidden/>
          </w:rPr>
          <w:fldChar w:fldCharType="separate"/>
        </w:r>
        <w:r w:rsidR="00AB7125">
          <w:rPr>
            <w:noProof/>
            <w:webHidden/>
          </w:rPr>
          <w:t>39</w:t>
        </w:r>
        <w:r>
          <w:rPr>
            <w:noProof/>
            <w:webHidden/>
          </w:rPr>
          <w:fldChar w:fldCharType="end"/>
        </w:r>
      </w:hyperlink>
    </w:p>
    <w:p w14:paraId="4C6FFDA4" w14:textId="35BF3D85" w:rsidR="00921C0A" w:rsidRDefault="00921C0A">
      <w:pPr>
        <w:pStyle w:val="TableofFigures"/>
        <w:tabs>
          <w:tab w:val="right" w:leader="dot" w:pos="9016"/>
        </w:tabs>
        <w:rPr>
          <w:rFonts w:eastAsiaTheme="minorEastAsia"/>
          <w:noProof/>
          <w:lang w:eastAsia="en-AU"/>
        </w:rPr>
      </w:pPr>
      <w:hyperlink w:anchor="_Toc64529116" w:history="1">
        <w:r w:rsidRPr="00BF327E">
          <w:rPr>
            <w:rStyle w:val="Hyperlink"/>
            <w:noProof/>
          </w:rPr>
          <w:t>Figure 24: Net worth as a proportion of Gross State Product – 2010-11 to 2023-24 (per cent)</w:t>
        </w:r>
        <w:r>
          <w:rPr>
            <w:noProof/>
            <w:webHidden/>
          </w:rPr>
          <w:tab/>
        </w:r>
        <w:r>
          <w:rPr>
            <w:noProof/>
            <w:webHidden/>
          </w:rPr>
          <w:fldChar w:fldCharType="begin"/>
        </w:r>
        <w:r>
          <w:rPr>
            <w:noProof/>
            <w:webHidden/>
          </w:rPr>
          <w:instrText xml:space="preserve"> PAGEREF _Toc64529116 \h </w:instrText>
        </w:r>
        <w:r>
          <w:rPr>
            <w:noProof/>
            <w:webHidden/>
          </w:rPr>
        </w:r>
        <w:r>
          <w:rPr>
            <w:noProof/>
            <w:webHidden/>
          </w:rPr>
          <w:fldChar w:fldCharType="separate"/>
        </w:r>
        <w:r w:rsidR="00AB7125">
          <w:rPr>
            <w:noProof/>
            <w:webHidden/>
          </w:rPr>
          <w:t>40</w:t>
        </w:r>
        <w:r>
          <w:rPr>
            <w:noProof/>
            <w:webHidden/>
          </w:rPr>
          <w:fldChar w:fldCharType="end"/>
        </w:r>
      </w:hyperlink>
    </w:p>
    <w:p w14:paraId="7F626985" w14:textId="36EA3F16" w:rsidR="00921C0A" w:rsidRDefault="00921C0A">
      <w:pPr>
        <w:pStyle w:val="TableofFigures"/>
        <w:tabs>
          <w:tab w:val="right" w:leader="dot" w:pos="9016"/>
        </w:tabs>
        <w:rPr>
          <w:rFonts w:eastAsiaTheme="minorEastAsia"/>
          <w:noProof/>
          <w:lang w:eastAsia="en-AU"/>
        </w:rPr>
      </w:pPr>
      <w:hyperlink w:anchor="_Toc64529117" w:history="1">
        <w:r w:rsidRPr="00BF327E">
          <w:rPr>
            <w:rStyle w:val="Hyperlink"/>
            <w:noProof/>
          </w:rPr>
          <w:t>Figure 25: Defined Benefit Superannuation Unfunded Liability and Investment Assets</w:t>
        </w:r>
        <w:r>
          <w:rPr>
            <w:noProof/>
            <w:webHidden/>
          </w:rPr>
          <w:tab/>
        </w:r>
        <w:r>
          <w:rPr>
            <w:noProof/>
            <w:webHidden/>
          </w:rPr>
          <w:fldChar w:fldCharType="begin"/>
        </w:r>
        <w:r>
          <w:rPr>
            <w:noProof/>
            <w:webHidden/>
          </w:rPr>
          <w:instrText xml:space="preserve"> PAGEREF _Toc64529117 \h </w:instrText>
        </w:r>
        <w:r>
          <w:rPr>
            <w:noProof/>
            <w:webHidden/>
          </w:rPr>
        </w:r>
        <w:r>
          <w:rPr>
            <w:noProof/>
            <w:webHidden/>
          </w:rPr>
          <w:fldChar w:fldCharType="separate"/>
        </w:r>
        <w:r w:rsidR="00AB7125">
          <w:rPr>
            <w:noProof/>
            <w:webHidden/>
          </w:rPr>
          <w:t>42</w:t>
        </w:r>
        <w:r>
          <w:rPr>
            <w:noProof/>
            <w:webHidden/>
          </w:rPr>
          <w:fldChar w:fldCharType="end"/>
        </w:r>
      </w:hyperlink>
    </w:p>
    <w:p w14:paraId="6FE35E50" w14:textId="7D771790" w:rsidR="00F2715A" w:rsidRDefault="00AF4AA5">
      <w:r>
        <w:fldChar w:fldCharType="end"/>
      </w:r>
    </w:p>
    <w:p w14:paraId="00A60659" w14:textId="77777777" w:rsidR="005E4723" w:rsidRDefault="005E4723"/>
    <w:p w14:paraId="7C4E2B5E" w14:textId="77777777" w:rsidR="009830B1" w:rsidRDefault="009830B1" w:rsidP="00DC3CC0">
      <w:pPr>
        <w:pStyle w:val="BodyText"/>
        <w:rPr>
          <w:rFonts w:eastAsiaTheme="majorEastAsia"/>
        </w:rPr>
      </w:pPr>
      <w:bookmarkStart w:id="0" w:name="_Toc453495100"/>
      <w:bookmarkStart w:id="1" w:name="_Toc453516099"/>
      <w:r>
        <w:br w:type="page"/>
      </w:r>
    </w:p>
    <w:p w14:paraId="7357AA9E" w14:textId="77777777" w:rsidR="006C458F" w:rsidRPr="007F2757" w:rsidRDefault="006C458F" w:rsidP="006C458F">
      <w:pPr>
        <w:pStyle w:val="Heading1"/>
        <w:rPr>
          <w:color w:val="5B9BD5" w:themeColor="accent1"/>
        </w:rPr>
      </w:pPr>
      <w:bookmarkStart w:id="2" w:name="_Toc64529012"/>
      <w:bookmarkEnd w:id="0"/>
      <w:bookmarkEnd w:id="1"/>
      <w:r w:rsidRPr="007F2757">
        <w:rPr>
          <w:color w:val="5B9BD5" w:themeColor="accent1"/>
        </w:rPr>
        <w:lastRenderedPageBreak/>
        <w:t>Executive Summary</w:t>
      </w:r>
      <w:bookmarkEnd w:id="2"/>
    </w:p>
    <w:p w14:paraId="5CA8AFAC" w14:textId="77777777" w:rsidR="006C458F" w:rsidRDefault="006C458F" w:rsidP="00BB6383">
      <w:pPr>
        <w:pStyle w:val="Heading2"/>
        <w:spacing w:after="240"/>
      </w:pPr>
      <w:bookmarkStart w:id="3" w:name="_Toc64529013"/>
      <w:r w:rsidRPr="00133FEF">
        <w:t>Overview</w:t>
      </w:r>
      <w:bookmarkEnd w:id="3"/>
    </w:p>
    <w:p w14:paraId="1EA0AD5C" w14:textId="3A48C0C7" w:rsidR="00CD44A4" w:rsidRPr="006967FF" w:rsidRDefault="00CD44A4" w:rsidP="00CD44A4">
      <w:pPr>
        <w:pStyle w:val="BodyText"/>
      </w:pPr>
      <w:r w:rsidRPr="006967FF">
        <w:t xml:space="preserve">This report has been prepared by Pegasus Economics to assist the ACT Legislative Assembly’s </w:t>
      </w:r>
      <w:r w:rsidR="001B4FF2" w:rsidRPr="006967FF">
        <w:t>Standing Committee on Public Accounts</w:t>
      </w:r>
      <w:r w:rsidRPr="006967FF">
        <w:t xml:space="preserve"> in its consideration and review of the 20</w:t>
      </w:r>
      <w:r w:rsidR="001B4FF2" w:rsidRPr="006967FF">
        <w:t>20</w:t>
      </w:r>
      <w:r w:rsidRPr="006967FF">
        <w:t>-2</w:t>
      </w:r>
      <w:r w:rsidR="001B4FF2" w:rsidRPr="006967FF">
        <w:t>1</w:t>
      </w:r>
      <w:r w:rsidRPr="006967FF">
        <w:t xml:space="preserve"> ACT Budget. The draft report was required to be produced within </w:t>
      </w:r>
      <w:r w:rsidR="001B4FF2" w:rsidRPr="006967FF">
        <w:t>six days</w:t>
      </w:r>
      <w:r w:rsidRPr="006967FF">
        <w:t xml:space="preserve"> of the presentation of the Budget to the </w:t>
      </w:r>
      <w:r w:rsidR="00BA37ED" w:rsidRPr="006967FF">
        <w:t xml:space="preserve">Legislative </w:t>
      </w:r>
      <w:r w:rsidRPr="006967FF">
        <w:t>Assembly. It is based on a desk-top review of the available documentation</w:t>
      </w:r>
      <w:r w:rsidR="001A3191" w:rsidRPr="006967FF">
        <w:t>.</w:t>
      </w:r>
    </w:p>
    <w:p w14:paraId="0DA3FE9C" w14:textId="7DFC5486" w:rsidR="002866B9" w:rsidRDefault="002866B9" w:rsidP="001B4FF2">
      <w:pPr>
        <w:pStyle w:val="BodyText"/>
      </w:pPr>
      <w:r>
        <w:t>The Budget represents a measured and responsible approach to management of the impacts of the COVID</w:t>
      </w:r>
      <w:r w:rsidR="00AC6727">
        <w:t>-19</w:t>
      </w:r>
      <w:r>
        <w:t xml:space="preserve"> pandemic on the ACT economy.</w:t>
      </w:r>
    </w:p>
    <w:p w14:paraId="4897D2BC" w14:textId="045628C2" w:rsidR="001B4FF2" w:rsidRPr="00EC4DDE" w:rsidRDefault="001B4FF2" w:rsidP="001B4FF2">
      <w:pPr>
        <w:pStyle w:val="BodyText"/>
        <w:rPr>
          <w:rStyle w:val="BbodytextChar"/>
          <w:sz w:val="22"/>
          <w:szCs w:val="22"/>
        </w:rPr>
      </w:pPr>
      <w:r w:rsidRPr="006967FF">
        <w:t xml:space="preserve">Most of the ACT Budget economic forecasts for 2020-21 and 2021-22 appear </w:t>
      </w:r>
      <w:r w:rsidR="005B6E11">
        <w:t xml:space="preserve">to be </w:t>
      </w:r>
      <w:r w:rsidRPr="006967FF">
        <w:t xml:space="preserve">reasonable. The major exception is growth in the consumer price index in </w:t>
      </w:r>
      <w:r w:rsidR="00D82A5E">
        <w:t xml:space="preserve">both 2020-21 and </w:t>
      </w:r>
      <w:r w:rsidRPr="006967FF">
        <w:t xml:space="preserve">2021-22 </w:t>
      </w:r>
      <w:r w:rsidR="00D82A5E">
        <w:t xml:space="preserve">that </w:t>
      </w:r>
      <w:r w:rsidR="0070080F">
        <w:t xml:space="preserve">may be a little </w:t>
      </w:r>
      <w:r w:rsidRPr="006967FF">
        <w:t>on the low side</w:t>
      </w:r>
      <w:r w:rsidR="00171AC0">
        <w:t>.</w:t>
      </w:r>
      <w:r w:rsidR="00EC4DDE">
        <w:t xml:space="preserve"> </w:t>
      </w:r>
      <w:r w:rsidR="00EC4DDE" w:rsidRPr="00EC4DDE">
        <w:rPr>
          <w:rStyle w:val="BbodytextChar"/>
          <w:sz w:val="22"/>
          <w:szCs w:val="22"/>
        </w:rPr>
        <w:t>The main source of fiscal stimulus to support the ACT economy during the COVID-19 pandemic came from the Commonwealth Government, while it is difficult to discern any evidence of a major stimulus provided by the ACT</w:t>
      </w:r>
      <w:r w:rsidR="007A48F2">
        <w:rPr>
          <w:rStyle w:val="BbodytextChar"/>
          <w:sz w:val="22"/>
          <w:szCs w:val="22"/>
        </w:rPr>
        <w:t> </w:t>
      </w:r>
      <w:r w:rsidR="00EC4DDE" w:rsidRPr="00EC4DDE">
        <w:rPr>
          <w:rStyle w:val="BbodytextChar"/>
          <w:sz w:val="22"/>
          <w:szCs w:val="22"/>
        </w:rPr>
        <w:t>Government.</w:t>
      </w:r>
    </w:p>
    <w:p w14:paraId="004A913F" w14:textId="35C4A3F2" w:rsidR="002D0480" w:rsidRPr="006967FF" w:rsidRDefault="002D0480" w:rsidP="002D0480">
      <w:pPr>
        <w:pStyle w:val="BodyText"/>
      </w:pPr>
      <w:r w:rsidRPr="006967FF">
        <w:t xml:space="preserve">The Budget Papers present a headline net operating balance of -$603.1 million in 2020-21 and continuing deficits over the outyears. This represents an improvement relative to the </w:t>
      </w:r>
      <w:r w:rsidR="00BA37ED" w:rsidRPr="006967FF">
        <w:t>August 2020 Economic and Fiscal Update</w:t>
      </w:r>
      <w:r w:rsidRPr="006967FF">
        <w:t xml:space="preserve"> but a significant deterioration in the fiscal outlook relative to the forecasts shown in previous Budgets. The Budget is now expected to be in deep deficit for the foreseeable future.</w:t>
      </w:r>
    </w:p>
    <w:p w14:paraId="72DEE4FD" w14:textId="4DCF8356" w:rsidR="002D0480" w:rsidRPr="006967FF" w:rsidRDefault="002D0480" w:rsidP="002D0480">
      <w:pPr>
        <w:pStyle w:val="BodyText"/>
      </w:pPr>
      <w:r w:rsidRPr="006967FF">
        <w:t>Indicators of the sustainability of the fiscal position such as net debt and net worth have deteriorated relative to previous Budgets</w:t>
      </w:r>
      <w:r w:rsidR="0070080F">
        <w:t>. The budget deficit and levels of debt</w:t>
      </w:r>
      <w:r w:rsidRPr="006967FF">
        <w:t xml:space="preserve"> will require corrective action in the future</w:t>
      </w:r>
      <w:r w:rsidR="0070080F">
        <w:t>, a point acknowledged in the Budget Papers by the ACT Government</w:t>
      </w:r>
      <w:r w:rsidR="00AC6727">
        <w:t xml:space="preserve"> </w:t>
      </w:r>
      <w:sdt>
        <w:sdtPr>
          <w:id w:val="-560099868"/>
          <w:citation/>
        </w:sdtPr>
        <w:sdtContent>
          <w:r w:rsidR="00AC6727">
            <w:fldChar w:fldCharType="begin"/>
          </w:r>
          <w:r w:rsidR="00AC6727">
            <w:instrText xml:space="preserve">CITATION ACT21 \p 53 \n  \t  \l 3081 </w:instrText>
          </w:r>
          <w:r w:rsidR="00AC6727">
            <w:fldChar w:fldCharType="separate"/>
          </w:r>
          <w:r w:rsidR="00AC6727">
            <w:rPr>
              <w:noProof/>
            </w:rPr>
            <w:t>(2021, p. 53)</w:t>
          </w:r>
          <w:r w:rsidR="00AC6727">
            <w:fldChar w:fldCharType="end"/>
          </w:r>
        </w:sdtContent>
      </w:sdt>
      <w:r w:rsidRPr="006967FF">
        <w:t>.</w:t>
      </w:r>
    </w:p>
    <w:p w14:paraId="713BCFF1" w14:textId="78A1F7F0" w:rsidR="001B4FF2" w:rsidRPr="006967FF" w:rsidRDefault="001B4FF2" w:rsidP="001B4FF2">
      <w:pPr>
        <w:pStyle w:val="BodyText"/>
      </w:pPr>
      <w:r w:rsidRPr="006967FF">
        <w:t>ACT Budget revenue in 2020-21 is expected to be almost $200 million lower than previously forecast at the time of the 2019-20 ACT Budget, falling from around $6.2 billion to around $6 billion</w:t>
      </w:r>
      <w:r w:rsidR="00237089">
        <w:t>, l</w:t>
      </w:r>
      <w:r w:rsidR="00237089" w:rsidRPr="006967FF">
        <w:t xml:space="preserve">argely </w:t>
      </w:r>
      <w:r w:rsidR="00237089">
        <w:t xml:space="preserve">due to </w:t>
      </w:r>
      <w:r w:rsidR="00237089" w:rsidRPr="006967FF">
        <w:t>the decline in economic activity associated with the COVID-19 pandemic</w:t>
      </w:r>
      <w:r w:rsidRPr="006967FF">
        <w:t xml:space="preserve">. While the ACT Government is gradually moving towards ameliorating the extent of vertical fiscal imbalance in future years through assuming greater responsibility for raising its own source taxation, it is still heavily dependent on the Commonwealth Government to fund increases in its revenue. The situation where the ACT Government is reliant on the Commonwealth to fund a significant proportion of its revenue increase contains an element of moral hazard and may provide an explanation for the relative inefficiency of the ACT Government in relation to the provision of public health and education services. One curious feature of the ACT Government’s tax reform is that with an expected buoyant ACT residential property market, residential conveyances </w:t>
      </w:r>
      <w:r w:rsidR="0070080F">
        <w:t xml:space="preserve">are forecast to </w:t>
      </w:r>
      <w:r w:rsidRPr="006967FF">
        <w:t>become an increasing tax base for the ACT Government over the years ahead. It appears incongruous for the ACT Government to be collecting more revenue from both residential conveyances and general rates wh</w:t>
      </w:r>
      <w:r w:rsidR="0070080F">
        <w:t xml:space="preserve">en </w:t>
      </w:r>
      <w:r w:rsidRPr="006967FF">
        <w:t xml:space="preserve">it is supposedly more than midway </w:t>
      </w:r>
      <w:r w:rsidR="00235922" w:rsidRPr="006967FF">
        <w:t xml:space="preserve">through </w:t>
      </w:r>
      <w:r w:rsidRPr="006967FF">
        <w:t xml:space="preserve">its </w:t>
      </w:r>
      <w:r w:rsidR="0070080F">
        <w:t>transition from transaction-based taxes to land-based taxes.</w:t>
      </w:r>
    </w:p>
    <w:p w14:paraId="178C759C" w14:textId="1DA677E0" w:rsidR="00F93BC0" w:rsidRPr="006967FF" w:rsidRDefault="00F93BC0" w:rsidP="00F93BC0">
      <w:pPr>
        <w:pStyle w:val="BodyText"/>
      </w:pPr>
      <w:r w:rsidRPr="006967FF">
        <w:t xml:space="preserve">Expenses </w:t>
      </w:r>
      <w:r w:rsidR="00237089">
        <w:t xml:space="preserve">in 2020-21 </w:t>
      </w:r>
      <w:r w:rsidRPr="006967FF">
        <w:t>are f</w:t>
      </w:r>
      <w:r w:rsidR="00237089">
        <w:t xml:space="preserve">orecast to be around $400m higher than estimated at the time of the 2019-20 Budget and are expected </w:t>
      </w:r>
      <w:r w:rsidRPr="006967FF">
        <w:t>to grow over the budget and forward estimates from $6.7 billion in 2020-21 to $7.1 billion in 202</w:t>
      </w:r>
      <w:r w:rsidR="00237089">
        <w:t>3</w:t>
      </w:r>
      <w:r w:rsidRPr="006967FF">
        <w:t>-2</w:t>
      </w:r>
      <w:r w:rsidR="00237089">
        <w:t>4</w:t>
      </w:r>
      <w:r w:rsidRPr="006967FF">
        <w:t>. This is relatively modest in terms of historical rates of growth.</w:t>
      </w:r>
    </w:p>
    <w:p w14:paraId="02889B39" w14:textId="77777777" w:rsidR="00F93BC0" w:rsidRPr="006967FF" w:rsidRDefault="00F93BC0" w:rsidP="00F93BC0">
      <w:pPr>
        <w:pStyle w:val="BodyText"/>
      </w:pPr>
      <w:r w:rsidRPr="006967FF">
        <w:t xml:space="preserve">Growth in spending is driven mainly by new initiatives, most of which were announced in the August 2020 Economic and Fiscal Update. </w:t>
      </w:r>
    </w:p>
    <w:p w14:paraId="12B6DF27" w14:textId="77777777" w:rsidR="00237089" w:rsidRPr="006967FF" w:rsidRDefault="00237089" w:rsidP="00237089">
      <w:pPr>
        <w:pStyle w:val="BodyText"/>
      </w:pPr>
      <w:r w:rsidRPr="006967FF">
        <w:t>New policy decisions will add some $298.7 million in expenses and $447.0 million in capital across the Budget and forward estimates. However, these amounts are partially offset by savings measures and other provisions.</w:t>
      </w:r>
    </w:p>
    <w:p w14:paraId="4DB77A00" w14:textId="77777777" w:rsidR="00F93BC0" w:rsidRPr="006967FF" w:rsidRDefault="00F93BC0" w:rsidP="00F93BC0">
      <w:pPr>
        <w:pStyle w:val="BodyText"/>
      </w:pPr>
      <w:r w:rsidRPr="006967FF">
        <w:t>The main areas of growth are in general public services, education and health.</w:t>
      </w:r>
    </w:p>
    <w:p w14:paraId="3F823FCA" w14:textId="121F573E" w:rsidR="00CD44A4" w:rsidRPr="006967FF" w:rsidRDefault="001B4FF2" w:rsidP="001B4FF2">
      <w:pPr>
        <w:pStyle w:val="BodyText"/>
      </w:pPr>
      <w:r w:rsidRPr="006967FF">
        <w:lastRenderedPageBreak/>
        <w:t xml:space="preserve">The Budget includes the largest-ever infrastructure and capital works program across the Budget and forward years. The ACT Government will invest $4.3 billion in infrastructure and capital in the ACT over the next four years. $1.7 billion of the proposed program over the four years is in provisions, with detailed estimates not for publication. </w:t>
      </w:r>
      <w:r w:rsidR="00237089">
        <w:t>T</w:t>
      </w:r>
      <w:r w:rsidRPr="006967FF">
        <w:t xml:space="preserve">he key projects for 2020-21 include investments in health (SPIRE), new schools in Gungahlin, the big battery, road and bridge works in Molonglo, a new CIT campus for Woden, public housing renewal and Light Rail stage 2A. The peak year for infrastructure spending is 2021-22 ($1.3 billion), falling to $695 million in 2023-24; however, experience suggests new capital projects are likely to be proposed </w:t>
      </w:r>
      <w:r w:rsidR="00237089">
        <w:t xml:space="preserve">in future Budgets. </w:t>
      </w:r>
    </w:p>
    <w:p w14:paraId="537DD3E3" w14:textId="2CEE50C9" w:rsidR="00CD44A4" w:rsidRPr="001B4FF2" w:rsidRDefault="001B4FF2" w:rsidP="001B4FF2">
      <w:pPr>
        <w:pStyle w:val="BodyText"/>
      </w:pPr>
      <w:r w:rsidRPr="006967FF">
        <w:t>The Territory’s balance sheet is sound but has deteriorated over recent years. This decline has accelerated from 2019-20 du</w:t>
      </w:r>
      <w:r w:rsidR="003376F0" w:rsidRPr="006967FF">
        <w:t>e</w:t>
      </w:r>
      <w:r w:rsidRPr="006967FF">
        <w:t xml:space="preserve"> to </w:t>
      </w:r>
      <w:r w:rsidR="003376F0" w:rsidRPr="006967FF">
        <w:t xml:space="preserve">the </w:t>
      </w:r>
      <w:r w:rsidRPr="006967FF">
        <w:t>COVID</w:t>
      </w:r>
      <w:r w:rsidR="003376F0" w:rsidRPr="006967FF">
        <w:t>-19 pandemic</w:t>
      </w:r>
      <w:r w:rsidRPr="006967FF">
        <w:t xml:space="preserve"> and other factors. Net worth is now in decline in absolute terms and as a proportion of Gross State Product (GSP) while net debt and net financial liabilities are rising. The Territory’s projected defined benefit superannuation liabilities are increasing slightly in nominal terms</w:t>
      </w:r>
      <w:r w:rsidR="00AC6727">
        <w:t>,</w:t>
      </w:r>
      <w:r w:rsidRPr="006967FF">
        <w:t xml:space="preserve"> but this is more than offset by projected increases in the Superannuation Provision Account. The unfunded superannuation liability is forecast to decline.</w:t>
      </w:r>
    </w:p>
    <w:p w14:paraId="68E66279" w14:textId="20B67F17" w:rsidR="00F93BC0" w:rsidRPr="00C43143" w:rsidRDefault="00281C57" w:rsidP="00C43143">
      <w:pPr>
        <w:pStyle w:val="BodyText"/>
      </w:pPr>
      <w:r w:rsidRPr="00C43143">
        <w:t>There are a number of risks and uncertainties attached to the Budget estimates. These include economic and fiscal risks. The Budget is based on assumptions about the future level of Commonwealth spending in the ACT and about the level of Commonwealth Government grants to the ACT that have some attached risk. The speed and strength of the recovery from the COVID</w:t>
      </w:r>
      <w:r w:rsidR="00AC6727">
        <w:t>-19</w:t>
      </w:r>
      <w:r w:rsidRPr="00C43143">
        <w:t xml:space="preserve"> pandemic will have a significant bearing on the fiscal outlook</w:t>
      </w:r>
      <w:r w:rsidR="00C43143" w:rsidRPr="00C43143">
        <w:t>.</w:t>
      </w:r>
    </w:p>
    <w:p w14:paraId="6C063CBB" w14:textId="0F1B034D" w:rsidR="00CD44A4" w:rsidRDefault="00CD44A4" w:rsidP="00CD44A4">
      <w:pPr>
        <w:pStyle w:val="BodyText"/>
      </w:pPr>
      <w:r w:rsidRPr="006967FF">
        <w:t>Valuation effects, accounting treatments and timing issues continue to have large impacts on the budget aggregates and on the reported budget balance.</w:t>
      </w:r>
    </w:p>
    <w:p w14:paraId="3A12CAAE" w14:textId="77777777" w:rsidR="00DB3531" w:rsidRDefault="00DB3531" w:rsidP="00DB3531">
      <w:pPr>
        <w:pStyle w:val="Heading2"/>
      </w:pPr>
      <w:bookmarkStart w:id="4" w:name="_Toc64529014"/>
      <w:r w:rsidRPr="006967FF">
        <w:t>Limitation of Scope</w:t>
      </w:r>
      <w:bookmarkEnd w:id="4"/>
    </w:p>
    <w:p w14:paraId="13B81AEA" w14:textId="276821B5" w:rsidR="005B6E11" w:rsidRDefault="005B6E11" w:rsidP="00DB3531">
      <w:pPr>
        <w:pStyle w:val="BodyText"/>
      </w:pPr>
      <w:r w:rsidRPr="00DB3531">
        <w:t xml:space="preserve">In performing </w:t>
      </w:r>
      <w:r>
        <w:t>its role in</w:t>
      </w:r>
      <w:r w:rsidR="00DB3531" w:rsidRPr="00DB3531">
        <w:t xml:space="preserve"> assist</w:t>
      </w:r>
      <w:r>
        <w:t>ing</w:t>
      </w:r>
      <w:r w:rsidR="00DB3531" w:rsidRPr="00DB3531">
        <w:t xml:space="preserve"> the ACT Legislative Assembly’s </w:t>
      </w:r>
      <w:r w:rsidR="00DB3531" w:rsidRPr="00235922">
        <w:t xml:space="preserve">Standing Committee on Public Accounts </w:t>
      </w:r>
      <w:r w:rsidR="00DB3531" w:rsidRPr="00DB3531">
        <w:t>in its review of the 2020-21 Budget</w:t>
      </w:r>
      <w:r>
        <w:t xml:space="preserve">, </w:t>
      </w:r>
      <w:r w:rsidR="00DB3531" w:rsidRPr="00DB3531">
        <w:t>Pegasus relies on the details contained in the Budget Papers</w:t>
      </w:r>
      <w:r>
        <w:t>,</w:t>
      </w:r>
      <w:r w:rsidR="00DB3531" w:rsidRPr="00DB3531">
        <w:t xml:space="preserve"> our independent research and analysis and other sources.</w:t>
      </w:r>
      <w:r>
        <w:t xml:space="preserve">  </w:t>
      </w:r>
    </w:p>
    <w:p w14:paraId="27205EAC" w14:textId="0571B891" w:rsidR="00DB3531" w:rsidRPr="00DB3531" w:rsidRDefault="005B6E11" w:rsidP="00DB3531">
      <w:pPr>
        <w:pStyle w:val="BodyText"/>
      </w:pPr>
      <w:r>
        <w:t xml:space="preserve">Access </w:t>
      </w:r>
      <w:r w:rsidRPr="00DB3531">
        <w:t>to Treasury officials</w:t>
      </w:r>
      <w:r>
        <w:t xml:space="preserve"> was limited. Pegasus attended the</w:t>
      </w:r>
      <w:r w:rsidR="00DB3531" w:rsidRPr="00DB3531">
        <w:t xml:space="preserve"> </w:t>
      </w:r>
      <w:r w:rsidR="00DB3531">
        <w:t>B</w:t>
      </w:r>
      <w:r w:rsidR="00DB3531" w:rsidRPr="00DB3531">
        <w:t>udget lock</w:t>
      </w:r>
      <w:r w:rsidR="00DB3531">
        <w:t>-</w:t>
      </w:r>
      <w:r w:rsidR="00DB3531" w:rsidRPr="00DB3531">
        <w:t>up</w:t>
      </w:r>
      <w:r>
        <w:t>, which involved</w:t>
      </w:r>
      <w:r w:rsidR="00DB3531" w:rsidRPr="00DB3531">
        <w:t xml:space="preserve"> a curtailed virtual presentation and question and answer session, with a brief presentation from the Chief Minister’s office. The Chief Minister did not attend and instead the session was chaired by the Deputy Under Treasurer. Pegasus presented a list of written questions to both the Chief Minister’s Office and the Deputy Under Treasurer. Those questions remain unanswered.</w:t>
      </w:r>
    </w:p>
    <w:p w14:paraId="4AAC7300" w14:textId="163DD584" w:rsidR="005B6E11" w:rsidRPr="00DB3531" w:rsidRDefault="005B6E11" w:rsidP="005B6E11">
      <w:pPr>
        <w:pStyle w:val="BodyText"/>
      </w:pPr>
      <w:r>
        <w:t>T</w:t>
      </w:r>
      <w:r w:rsidRPr="00DB3531">
        <w:t>he level of detail ordinar</w:t>
      </w:r>
      <w:r>
        <w:t xml:space="preserve">ily </w:t>
      </w:r>
      <w:r w:rsidRPr="00DB3531">
        <w:t>contained in the Budget Papers was not evident for 2020-21.</w:t>
      </w:r>
    </w:p>
    <w:p w14:paraId="1FDCB970" w14:textId="77777777" w:rsidR="00DB3531" w:rsidRPr="00DB3531" w:rsidRDefault="00DB3531" w:rsidP="00DB3531">
      <w:pPr>
        <w:pStyle w:val="BodyText"/>
      </w:pPr>
      <w:r w:rsidRPr="00DB3531">
        <w:t>These matters have limited Pegasus’ ability to perform a full and complete review.</w:t>
      </w:r>
    </w:p>
    <w:p w14:paraId="2D2B7E35" w14:textId="7D55DBEB" w:rsidR="006C458F" w:rsidRDefault="006C458F" w:rsidP="00BB6383">
      <w:pPr>
        <w:pStyle w:val="Heading2"/>
        <w:spacing w:after="240"/>
      </w:pPr>
      <w:bookmarkStart w:id="5" w:name="_Toc64529015"/>
      <w:r w:rsidRPr="006967FF">
        <w:t xml:space="preserve">Issues </w:t>
      </w:r>
      <w:r w:rsidR="00A9487A" w:rsidRPr="006967FF">
        <w:t xml:space="preserve">that may benefit from </w:t>
      </w:r>
      <w:r w:rsidRPr="006967FF">
        <w:t>further investigation</w:t>
      </w:r>
      <w:bookmarkEnd w:id="5"/>
    </w:p>
    <w:p w14:paraId="2231FF8A" w14:textId="4F957575" w:rsidR="002866B9" w:rsidRPr="002866B9" w:rsidRDefault="002866B9" w:rsidP="00D84FDE">
      <w:pPr>
        <w:pStyle w:val="ListParagraph"/>
        <w:numPr>
          <w:ilvl w:val="0"/>
          <w:numId w:val="24"/>
        </w:numPr>
        <w:ind w:left="714" w:hanging="357"/>
        <w:contextualSpacing w:val="0"/>
      </w:pPr>
      <w:r>
        <w:t xml:space="preserve">Details and timing of the Government’s strategy for restoring the fiscal position and reducing net debt levels.  </w:t>
      </w:r>
    </w:p>
    <w:p w14:paraId="61E2C261" w14:textId="26BD77D3" w:rsidR="004E3171" w:rsidRPr="006967FF" w:rsidRDefault="004E3171" w:rsidP="00D84FDE">
      <w:pPr>
        <w:pStyle w:val="ListParagraph"/>
        <w:numPr>
          <w:ilvl w:val="0"/>
          <w:numId w:val="24"/>
        </w:numPr>
        <w:ind w:left="714" w:hanging="357"/>
        <w:contextualSpacing w:val="0"/>
      </w:pPr>
      <w:r w:rsidRPr="006967FF">
        <w:rPr>
          <w:szCs w:val="24"/>
        </w:rPr>
        <w:t xml:space="preserve">The </w:t>
      </w:r>
      <w:r w:rsidR="002866B9">
        <w:rPr>
          <w:szCs w:val="24"/>
        </w:rPr>
        <w:t xml:space="preserve">nature and </w:t>
      </w:r>
      <w:r w:rsidRPr="006967FF">
        <w:rPr>
          <w:szCs w:val="24"/>
        </w:rPr>
        <w:t xml:space="preserve">reasons for </w:t>
      </w:r>
      <w:r w:rsidR="002866B9">
        <w:rPr>
          <w:szCs w:val="24"/>
        </w:rPr>
        <w:t xml:space="preserve">the </w:t>
      </w:r>
      <w:r w:rsidRPr="006967FF">
        <w:rPr>
          <w:szCs w:val="24"/>
        </w:rPr>
        <w:t xml:space="preserve">technical adjustments to revenue and expenses since the </w:t>
      </w:r>
      <w:r w:rsidRPr="006967FF">
        <w:t>August 2020 Economic and Fiscal Update.</w:t>
      </w:r>
    </w:p>
    <w:p w14:paraId="22AC639B" w14:textId="38763057" w:rsidR="001B40E1" w:rsidRPr="006967FF" w:rsidRDefault="002866B9" w:rsidP="00D84FDE">
      <w:pPr>
        <w:pStyle w:val="ListParagraph"/>
        <w:numPr>
          <w:ilvl w:val="0"/>
          <w:numId w:val="24"/>
        </w:numPr>
        <w:ind w:left="714" w:hanging="357"/>
        <w:contextualSpacing w:val="0"/>
        <w:rPr>
          <w:lang w:val="en-NZ" w:eastAsia="en-NZ"/>
        </w:rPr>
      </w:pPr>
      <w:r>
        <w:t>Information on the</w:t>
      </w:r>
      <w:r w:rsidR="001B40E1" w:rsidRPr="006967FF">
        <w:t xml:space="preserve"> ACT Governmen</w:t>
      </w:r>
      <w:r w:rsidR="00D65728" w:rsidRPr="006967FF">
        <w:t>t</w:t>
      </w:r>
      <w:r>
        <w:t xml:space="preserve">’s policy on </w:t>
      </w:r>
      <w:r w:rsidR="001B40E1" w:rsidRPr="006967FF">
        <w:t xml:space="preserve">dividends </w:t>
      </w:r>
      <w:r>
        <w:t xml:space="preserve">payable by ACT Public Trading Enterprises </w:t>
      </w:r>
      <w:r w:rsidR="001B40E1" w:rsidRPr="006967FF">
        <w:t>and any parameters that are set.</w:t>
      </w:r>
    </w:p>
    <w:p w14:paraId="1C8AFFA3" w14:textId="2E9BCECF" w:rsidR="00D65728" w:rsidRPr="006967FF" w:rsidRDefault="002866B9" w:rsidP="001B40E1">
      <w:pPr>
        <w:pStyle w:val="ListParagraph"/>
        <w:numPr>
          <w:ilvl w:val="0"/>
          <w:numId w:val="24"/>
        </w:numPr>
        <w:rPr>
          <w:lang w:val="en-NZ" w:eastAsia="en-NZ"/>
        </w:rPr>
      </w:pPr>
      <w:r>
        <w:t xml:space="preserve">The </w:t>
      </w:r>
      <w:r w:rsidR="00D65728" w:rsidRPr="006967FF">
        <w:t>processes for reporting usage of the Capital Works Reserve, including:</w:t>
      </w:r>
    </w:p>
    <w:p w14:paraId="262235CD" w14:textId="50C64E65" w:rsidR="00D65728" w:rsidRPr="006967FF" w:rsidRDefault="00D65728" w:rsidP="00D65728">
      <w:pPr>
        <w:pStyle w:val="ListParagraph"/>
        <w:numPr>
          <w:ilvl w:val="2"/>
          <w:numId w:val="31"/>
        </w:numPr>
        <w:spacing w:before="0" w:after="160" w:line="256" w:lineRule="auto"/>
      </w:pPr>
      <w:r w:rsidRPr="006967FF">
        <w:t>criteria established to assess claims on the reserve</w:t>
      </w:r>
    </w:p>
    <w:p w14:paraId="0976AFF3" w14:textId="21E8B27A" w:rsidR="00D65728" w:rsidRPr="006967FF" w:rsidRDefault="00D65728" w:rsidP="00D65728">
      <w:pPr>
        <w:pStyle w:val="ListParagraph"/>
        <w:numPr>
          <w:ilvl w:val="2"/>
          <w:numId w:val="31"/>
        </w:numPr>
        <w:spacing w:before="0" w:after="160" w:line="256" w:lineRule="auto"/>
      </w:pPr>
      <w:r w:rsidRPr="006967FF">
        <w:t>authority to approve such claims</w:t>
      </w:r>
    </w:p>
    <w:p w14:paraId="2948B2C7" w14:textId="77777777" w:rsidR="00D65728" w:rsidRPr="006967FF" w:rsidRDefault="00D65728" w:rsidP="00D65728">
      <w:pPr>
        <w:pStyle w:val="ListParagraph"/>
        <w:numPr>
          <w:ilvl w:val="2"/>
          <w:numId w:val="31"/>
        </w:numPr>
        <w:spacing w:before="0" w:after="160" w:line="256" w:lineRule="auto"/>
      </w:pPr>
      <w:r w:rsidRPr="006967FF">
        <w:t>Assembly assurance over the usage of the appropriation.</w:t>
      </w:r>
    </w:p>
    <w:p w14:paraId="608B953B" w14:textId="463EFC0B" w:rsidR="00B34F76" w:rsidRPr="006967FF" w:rsidRDefault="00D839C9" w:rsidP="00B34F76">
      <w:pPr>
        <w:pStyle w:val="BodyText"/>
        <w:numPr>
          <w:ilvl w:val="0"/>
          <w:numId w:val="24"/>
        </w:numPr>
        <w:rPr>
          <w:lang w:val="en-US"/>
        </w:rPr>
      </w:pPr>
      <w:r w:rsidRPr="006967FF">
        <w:rPr>
          <w:lang w:val="en-US"/>
        </w:rPr>
        <w:t xml:space="preserve">How </w:t>
      </w:r>
      <w:r w:rsidRPr="006967FF">
        <w:t>far into the future the planning timeframe for the capital works program extends.</w:t>
      </w:r>
    </w:p>
    <w:p w14:paraId="7957F9A0" w14:textId="7185BB18" w:rsidR="00D839C9" w:rsidRPr="006967FF" w:rsidRDefault="002866B9" w:rsidP="00B34F76">
      <w:pPr>
        <w:pStyle w:val="BodyText"/>
        <w:numPr>
          <w:ilvl w:val="0"/>
          <w:numId w:val="24"/>
        </w:numPr>
        <w:rPr>
          <w:lang w:val="en-US"/>
        </w:rPr>
      </w:pPr>
      <w:r>
        <w:lastRenderedPageBreak/>
        <w:t>An explanation of the large fluctuation in reported levels of net financial liabilities between 2018-19 and 2020-21. Was this a valuatio</w:t>
      </w:r>
      <w:r w:rsidR="008B5480">
        <w:t xml:space="preserve">n effect in 2019-20 or a real change in the level of liabilities? Is the data comparable across years? </w:t>
      </w:r>
    </w:p>
    <w:p w14:paraId="26D865CD" w14:textId="592C8F30" w:rsidR="00A92B50" w:rsidRPr="006967FF" w:rsidRDefault="00A92B50" w:rsidP="00A92B50">
      <w:pPr>
        <w:pStyle w:val="ListParagraph"/>
        <w:numPr>
          <w:ilvl w:val="0"/>
          <w:numId w:val="24"/>
        </w:numPr>
        <w:rPr>
          <w:rFonts w:cstheme="minorHAnsi"/>
          <w:lang w:val="en-US"/>
        </w:rPr>
      </w:pPr>
      <w:r w:rsidRPr="006967FF">
        <w:rPr>
          <w:rFonts w:cstheme="minorHAnsi"/>
          <w:lang w:val="en-US"/>
        </w:rPr>
        <w:t>There are a number of issues in relation to the non-disclosure of key accounting policies and assumptions and key balance sheet items, including:</w:t>
      </w:r>
    </w:p>
    <w:p w14:paraId="1D7E1475" w14:textId="7D6B511E" w:rsidR="00A92B50" w:rsidRPr="006967FF" w:rsidRDefault="00A92B50" w:rsidP="00A92B50">
      <w:pPr>
        <w:pStyle w:val="ListParagraph"/>
        <w:numPr>
          <w:ilvl w:val="2"/>
          <w:numId w:val="24"/>
        </w:numPr>
        <w:rPr>
          <w:rFonts w:cstheme="minorHAnsi"/>
          <w:lang w:val="en-US"/>
        </w:rPr>
      </w:pPr>
      <w:r w:rsidRPr="006967FF">
        <w:rPr>
          <w:rFonts w:cstheme="minorHAnsi"/>
          <w:lang w:val="en-US"/>
        </w:rPr>
        <w:t>Was AASB 1049 adopted as the basis of accounting and presentation in preparing the budget financial statements?</w:t>
      </w:r>
    </w:p>
    <w:p w14:paraId="1913D89F" w14:textId="4A381D47" w:rsidR="00A92B50" w:rsidRPr="006967FF" w:rsidRDefault="00A92B50" w:rsidP="00A92B50">
      <w:pPr>
        <w:pStyle w:val="ListParagraph"/>
        <w:numPr>
          <w:ilvl w:val="2"/>
          <w:numId w:val="24"/>
        </w:numPr>
        <w:rPr>
          <w:rFonts w:cstheme="minorHAnsi"/>
          <w:lang w:val="en-US"/>
        </w:rPr>
      </w:pPr>
      <w:r w:rsidRPr="006967FF">
        <w:rPr>
          <w:rFonts w:cstheme="minorHAnsi"/>
          <w:lang w:val="en-US"/>
        </w:rPr>
        <w:t>Why, unlike other Australian jurisdictions, are the bases of accounting, key accounting policies and a disaggregation of key assets and liabilities not disclosed in notes accompanying the financial statement?</w:t>
      </w:r>
    </w:p>
    <w:p w14:paraId="45AA06EC" w14:textId="4F9E77B1" w:rsidR="00A92B50" w:rsidRPr="006967FF" w:rsidRDefault="00331AFD" w:rsidP="00B34F76">
      <w:pPr>
        <w:pStyle w:val="BodyText"/>
        <w:numPr>
          <w:ilvl w:val="0"/>
          <w:numId w:val="24"/>
        </w:numPr>
        <w:rPr>
          <w:lang w:val="en-US"/>
        </w:rPr>
      </w:pPr>
      <w:r w:rsidRPr="006967FF">
        <w:rPr>
          <w:rFonts w:cstheme="minorHAnsi"/>
          <w:lang w:val="en-US"/>
        </w:rPr>
        <w:t>The accounting treatment in the Budget for Public Private Partnerships, including:</w:t>
      </w:r>
    </w:p>
    <w:p w14:paraId="5B14BA56" w14:textId="44BCC41E" w:rsidR="00331AFD" w:rsidRPr="006967FF" w:rsidRDefault="00331AFD" w:rsidP="00331AFD">
      <w:pPr>
        <w:pStyle w:val="BodyText"/>
        <w:numPr>
          <w:ilvl w:val="2"/>
          <w:numId w:val="24"/>
        </w:numPr>
        <w:rPr>
          <w:lang w:val="en-US"/>
        </w:rPr>
      </w:pPr>
      <w:r w:rsidRPr="006967FF">
        <w:rPr>
          <w:rFonts w:cstheme="minorHAnsi"/>
          <w:lang w:val="en-US"/>
        </w:rPr>
        <w:t xml:space="preserve">Why has </w:t>
      </w:r>
      <w:r w:rsidRPr="006967FF">
        <w:rPr>
          <w:rFonts w:cstheme="minorHAnsi"/>
          <w:i/>
          <w:iCs/>
          <w:lang w:val="en-US"/>
        </w:rPr>
        <w:t>AASB 1059 Service Concession Arrangements: Grantors</w:t>
      </w:r>
      <w:r w:rsidRPr="006967FF">
        <w:rPr>
          <w:rFonts w:cstheme="minorHAnsi"/>
          <w:lang w:val="en-US"/>
        </w:rPr>
        <w:t xml:space="preserve"> not been adopted for the Light Rail Stage 1 and the Law Courts PPP projects, particularly given it was adopted by NSW in its budget forward years and fully by Victoria?</w:t>
      </w:r>
    </w:p>
    <w:p w14:paraId="17D89B47" w14:textId="4FB6BB89" w:rsidR="00331AFD" w:rsidRPr="006967FF" w:rsidRDefault="00331AFD" w:rsidP="00331AFD">
      <w:pPr>
        <w:pStyle w:val="BodyText"/>
        <w:numPr>
          <w:ilvl w:val="2"/>
          <w:numId w:val="24"/>
        </w:numPr>
        <w:rPr>
          <w:lang w:val="en-US"/>
        </w:rPr>
      </w:pPr>
      <w:r w:rsidRPr="006967FF">
        <w:rPr>
          <w:rFonts w:cstheme="minorHAnsi"/>
          <w:lang w:val="en-US"/>
        </w:rPr>
        <w:t>Why has AASB 1059 not been adopted in respect to the Budget forward years?</w:t>
      </w:r>
    </w:p>
    <w:p w14:paraId="304566CA" w14:textId="17D5C727" w:rsidR="00331AFD" w:rsidRPr="006967FF" w:rsidRDefault="00331AFD" w:rsidP="00331AFD">
      <w:pPr>
        <w:pStyle w:val="BodyText"/>
        <w:numPr>
          <w:ilvl w:val="2"/>
          <w:numId w:val="24"/>
        </w:numPr>
        <w:rPr>
          <w:lang w:val="en-US"/>
        </w:rPr>
      </w:pPr>
      <w:r w:rsidRPr="006967FF">
        <w:rPr>
          <w:rFonts w:cstheme="minorHAnsi"/>
          <w:lang w:val="en-US"/>
        </w:rPr>
        <w:t>Why has IPSASB 32 not been adopted?</w:t>
      </w:r>
    </w:p>
    <w:p w14:paraId="71C260F1" w14:textId="1486736B" w:rsidR="00414637" w:rsidRPr="004B18C6" w:rsidRDefault="00331AFD" w:rsidP="00743F9E">
      <w:pPr>
        <w:pStyle w:val="BodyText"/>
        <w:numPr>
          <w:ilvl w:val="2"/>
          <w:numId w:val="24"/>
        </w:numPr>
        <w:rPr>
          <w:lang w:val="en-US"/>
        </w:rPr>
      </w:pPr>
      <w:r w:rsidRPr="006967FF">
        <w:rPr>
          <w:rFonts w:cstheme="minorHAnsi"/>
          <w:lang w:val="en-US"/>
        </w:rPr>
        <w:t>What would be the impact on the Budget balances had AASB 1059 been adopted?</w:t>
      </w:r>
    </w:p>
    <w:p w14:paraId="6E056F3F" w14:textId="77777777" w:rsidR="003E60D1" w:rsidRPr="00500589" w:rsidRDefault="003E60D1" w:rsidP="003E60D1">
      <w:pPr>
        <w:pStyle w:val="BodyText"/>
        <w:numPr>
          <w:ilvl w:val="0"/>
          <w:numId w:val="24"/>
        </w:numPr>
        <w:rPr>
          <w:lang w:val="en-US"/>
        </w:rPr>
      </w:pPr>
      <w:r>
        <w:rPr>
          <w:lang w:val="en-US"/>
        </w:rPr>
        <w:t xml:space="preserve">The dollar impact on reported levels of net debt from 2019-20 arising from the impact of changes to AASB 16 </w:t>
      </w:r>
      <w:r w:rsidRPr="00500589">
        <w:rPr>
          <w:i/>
          <w:iCs/>
          <w:lang w:val="en-US"/>
        </w:rPr>
        <w:t>Leases</w:t>
      </w:r>
      <w:r>
        <w:rPr>
          <w:lang w:val="en-US"/>
        </w:rPr>
        <w:t>.</w:t>
      </w:r>
      <w:r w:rsidRPr="00500589">
        <w:rPr>
          <w:lang w:val="en-US"/>
        </w:rPr>
        <w:t xml:space="preserve"> </w:t>
      </w:r>
    </w:p>
    <w:p w14:paraId="26DCDE62" w14:textId="2E1EA40D" w:rsidR="009830B1" w:rsidRPr="00D84FDE" w:rsidRDefault="009830B1">
      <w:pPr>
        <w:rPr>
          <w:lang w:val="en-US"/>
        </w:rPr>
        <w:sectPr w:rsidR="009830B1" w:rsidRPr="00D84FDE">
          <w:footerReference w:type="default" r:id="rId13"/>
          <w:pgSz w:w="11906" w:h="16838"/>
          <w:pgMar w:top="1440" w:right="1440" w:bottom="1440" w:left="1440" w:header="708" w:footer="708" w:gutter="0"/>
          <w:pgNumType w:fmt="lowerRoman" w:start="0"/>
          <w:cols w:space="708"/>
          <w:docGrid w:linePitch="360"/>
        </w:sectPr>
      </w:pPr>
    </w:p>
    <w:p w14:paraId="024C282D" w14:textId="18E61481" w:rsidR="00DF3E69" w:rsidRDefault="00CC1223" w:rsidP="00DF3E69">
      <w:pPr>
        <w:pStyle w:val="Heading1"/>
      </w:pPr>
      <w:bookmarkStart w:id="6" w:name="_Toc453495101"/>
      <w:bookmarkStart w:id="7" w:name="_Toc453516100"/>
      <w:bookmarkStart w:id="8" w:name="_Toc64529016"/>
      <w:r>
        <w:rPr>
          <w:noProof/>
          <w:lang w:eastAsia="en-AU"/>
        </w:rPr>
        <w:lastRenderedPageBreak/>
        <mc:AlternateContent>
          <mc:Choice Requires="wps">
            <w:drawing>
              <wp:anchor distT="91440" distB="91440" distL="114300" distR="114300" simplePos="0" relativeHeight="251650048" behindDoc="0" locked="0" layoutInCell="1" allowOverlap="1" wp14:anchorId="7E5A47F7" wp14:editId="67035166">
                <wp:simplePos x="0" y="0"/>
                <wp:positionH relativeFrom="page">
                  <wp:posOffset>947738</wp:posOffset>
                </wp:positionH>
                <wp:positionV relativeFrom="page">
                  <wp:posOffset>1376362</wp:posOffset>
                </wp:positionV>
                <wp:extent cx="5558790" cy="1576387"/>
                <wp:effectExtent l="0" t="0" r="0" b="508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1576387"/>
                        </a:xfrm>
                        <a:prstGeom prst="rect">
                          <a:avLst/>
                        </a:prstGeom>
                        <a:noFill/>
                        <a:ln w="9525">
                          <a:noFill/>
                          <a:miter lim="800000"/>
                          <a:headEnd/>
                          <a:tailEnd/>
                        </a:ln>
                      </wps:spPr>
                      <wps:txbx>
                        <w:txbxContent>
                          <w:p w14:paraId="331D44CE" w14:textId="0556AB52" w:rsidR="00A30ABA" w:rsidRDefault="00A30ABA" w:rsidP="00E35BB5">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This draft report has been prepared by Pegasus Economics to assist the </w:t>
                            </w:r>
                            <w:r w:rsidRPr="00D476AF">
                              <w:rPr>
                                <w:i/>
                                <w:iCs/>
                                <w:color w:val="5B9BD5" w:themeColor="accent1"/>
                                <w:sz w:val="24"/>
                                <w:szCs w:val="24"/>
                              </w:rPr>
                              <w:t xml:space="preserve">ACT Legislative Assembly’s </w:t>
                            </w:r>
                            <w:r>
                              <w:rPr>
                                <w:i/>
                                <w:iCs/>
                                <w:color w:val="5B9BD5" w:themeColor="accent1"/>
                                <w:sz w:val="24"/>
                                <w:szCs w:val="24"/>
                              </w:rPr>
                              <w:t>Standing Committee on Public Accounts</w:t>
                            </w:r>
                            <w:r w:rsidRPr="00D476AF">
                              <w:rPr>
                                <w:i/>
                                <w:iCs/>
                                <w:color w:val="5B9BD5" w:themeColor="accent1"/>
                                <w:sz w:val="24"/>
                                <w:szCs w:val="24"/>
                              </w:rPr>
                              <w:t xml:space="preserve"> </w:t>
                            </w:r>
                            <w:r>
                              <w:rPr>
                                <w:i/>
                                <w:iCs/>
                                <w:color w:val="5B9BD5" w:themeColor="accent1"/>
                                <w:sz w:val="24"/>
                                <w:szCs w:val="24"/>
                              </w:rPr>
                              <w:t>in its consideration and review of the 2020-21 ACT Budget. The draft report was required to be produced within 6 days of the presentation of the Budget to the Assembly. It is based on a desk-top review of the available documentation. There has been limited opportunity to consult with the ACT Treasury.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A47F7" id="_x0000_t202" coordsize="21600,21600" o:spt="202" path="m,l,21600r21600,l21600,xe">
                <v:stroke joinstyle="miter"/>
                <v:path gradientshapeok="t" o:connecttype="rect"/>
              </v:shapetype>
              <v:shape id="Text Box 2" o:spid="_x0000_s1032" type="#_x0000_t202" style="position:absolute;margin-left:74.65pt;margin-top:108.35pt;width:437.7pt;height:124.1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" filled="f" stroked="f">
                <v:textbox>
                  <w:txbxContent>
                    <w:p w14:paraId="331D44CE" w14:textId="0556AB52" w:rsidR="00A30ABA" w:rsidRDefault="00A30ABA" w:rsidP="00E35BB5">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This draft report has been prepared by Pegasus Economics to assist the </w:t>
                      </w:r>
                      <w:r w:rsidRPr="00D476AF">
                        <w:rPr>
                          <w:i/>
                          <w:iCs/>
                          <w:color w:val="5B9BD5" w:themeColor="accent1"/>
                          <w:sz w:val="24"/>
                          <w:szCs w:val="24"/>
                        </w:rPr>
                        <w:t xml:space="preserve">ACT Legislative Assembly’s </w:t>
                      </w:r>
                      <w:r>
                        <w:rPr>
                          <w:i/>
                          <w:iCs/>
                          <w:color w:val="5B9BD5" w:themeColor="accent1"/>
                          <w:sz w:val="24"/>
                          <w:szCs w:val="24"/>
                        </w:rPr>
                        <w:t>Standing Committee on Public Accounts</w:t>
                      </w:r>
                      <w:r w:rsidRPr="00D476AF">
                        <w:rPr>
                          <w:i/>
                          <w:iCs/>
                          <w:color w:val="5B9BD5" w:themeColor="accent1"/>
                          <w:sz w:val="24"/>
                          <w:szCs w:val="24"/>
                        </w:rPr>
                        <w:t xml:space="preserve"> </w:t>
                      </w:r>
                      <w:r>
                        <w:rPr>
                          <w:i/>
                          <w:iCs/>
                          <w:color w:val="5B9BD5" w:themeColor="accent1"/>
                          <w:sz w:val="24"/>
                          <w:szCs w:val="24"/>
                        </w:rPr>
                        <w:t>in its consideration and review of the 2020-21 ACT Budget. The draft report was required to be produced within 6 days of the presentation of the Budget to the Assembly. It is based on a desk-top review of the available documentation. There has been limited opportunity to consult with the ACT Treasury.</w:t>
                      </w:r>
                    </w:p>
                  </w:txbxContent>
                </v:textbox>
                <w10:wrap type="topAndBottom" anchorx="page" anchory="page"/>
              </v:shape>
            </w:pict>
          </mc:Fallback>
        </mc:AlternateContent>
      </w:r>
      <w:r w:rsidR="009830B1">
        <w:t>1</w:t>
      </w:r>
      <w:r w:rsidR="00F917F6">
        <w:t>.</w:t>
      </w:r>
      <w:r w:rsidR="00DF3E69">
        <w:tab/>
      </w:r>
      <w:r w:rsidR="00DF3E69" w:rsidRPr="006967FF">
        <w:t>Introduction</w:t>
      </w:r>
      <w:bookmarkEnd w:id="6"/>
      <w:bookmarkEnd w:id="7"/>
      <w:bookmarkEnd w:id="8"/>
    </w:p>
    <w:p w14:paraId="3EAE0045" w14:textId="62F98166" w:rsidR="00E278FD" w:rsidRDefault="009830B1" w:rsidP="0006230E">
      <w:pPr>
        <w:pStyle w:val="Heading2"/>
        <w:spacing w:after="240"/>
      </w:pPr>
      <w:bookmarkStart w:id="9" w:name="_Toc453495102"/>
      <w:bookmarkStart w:id="10" w:name="_Toc453516101"/>
      <w:bookmarkStart w:id="11" w:name="_Toc64529017"/>
      <w:r>
        <w:t>1</w:t>
      </w:r>
      <w:r w:rsidR="00950064">
        <w:t>.1</w:t>
      </w:r>
      <w:r w:rsidR="00950064">
        <w:tab/>
      </w:r>
      <w:r w:rsidR="00E278FD">
        <w:t>Introduction</w:t>
      </w:r>
      <w:bookmarkEnd w:id="9"/>
      <w:bookmarkEnd w:id="10"/>
      <w:bookmarkEnd w:id="11"/>
    </w:p>
    <w:p w14:paraId="344D1A35" w14:textId="03F99DC1" w:rsidR="0006230E" w:rsidRPr="0006230E" w:rsidRDefault="0006230E" w:rsidP="0006230E">
      <w:r w:rsidRPr="0006230E">
        <w:t xml:space="preserve">This report has been prepared for the ACT Legislative Assembly’s </w:t>
      </w:r>
      <w:r w:rsidR="005457DD">
        <w:t>Standing Committee on Public</w:t>
      </w:r>
      <w:r w:rsidR="008F784F">
        <w:t xml:space="preserve"> Accounts</w:t>
      </w:r>
      <w:r w:rsidRPr="0006230E">
        <w:t xml:space="preserve"> to assist the Committee in its deliberations in relation to the 20</w:t>
      </w:r>
      <w:r w:rsidR="005457DD">
        <w:t>20</w:t>
      </w:r>
      <w:r w:rsidRPr="0006230E">
        <w:t>-</w:t>
      </w:r>
      <w:r w:rsidR="0091714E">
        <w:t>2</w:t>
      </w:r>
      <w:r w:rsidR="005457DD">
        <w:t>1</w:t>
      </w:r>
      <w:r w:rsidRPr="0006230E">
        <w:t xml:space="preserve"> ACT Budget.</w:t>
      </w:r>
    </w:p>
    <w:p w14:paraId="0CF32425" w14:textId="77777777" w:rsidR="00E278FD" w:rsidRDefault="009830B1" w:rsidP="00D701F3">
      <w:pPr>
        <w:pStyle w:val="Heading2"/>
        <w:spacing w:after="240"/>
      </w:pPr>
      <w:bookmarkStart w:id="12" w:name="_Toc453495103"/>
      <w:bookmarkStart w:id="13" w:name="_Toc453516102"/>
      <w:bookmarkStart w:id="14" w:name="_Toc64529018"/>
      <w:r>
        <w:t>1</w:t>
      </w:r>
      <w:r w:rsidR="00950064">
        <w:t>.2</w:t>
      </w:r>
      <w:r w:rsidR="00950064">
        <w:tab/>
      </w:r>
      <w:r w:rsidR="00E278FD">
        <w:t>Background</w:t>
      </w:r>
      <w:bookmarkEnd w:id="12"/>
      <w:bookmarkEnd w:id="13"/>
      <w:bookmarkEnd w:id="14"/>
    </w:p>
    <w:p w14:paraId="66BE5E74" w14:textId="67D8ED12" w:rsidR="00E278FD" w:rsidRPr="00E278FD" w:rsidRDefault="00D701F3" w:rsidP="00E278FD">
      <w:r>
        <w:t>Pegasus Economics</w:t>
      </w:r>
      <w:r w:rsidR="0016506B">
        <w:t xml:space="preserve"> (Pegasus)</w:t>
      </w:r>
      <w:r>
        <w:t xml:space="preserve"> was </w:t>
      </w:r>
      <w:r w:rsidR="0094261F">
        <w:t xml:space="preserve">engaged by the </w:t>
      </w:r>
      <w:r w:rsidR="008B5480">
        <w:t>Standing Committee on Public Accounts</w:t>
      </w:r>
      <w:r w:rsidR="008B5480" w:rsidRPr="0006230E">
        <w:t xml:space="preserve"> </w:t>
      </w:r>
      <w:r w:rsidR="0094261F">
        <w:t xml:space="preserve">on </w:t>
      </w:r>
      <w:r w:rsidR="008F784F">
        <w:t>27</w:t>
      </w:r>
      <w:r w:rsidR="00743F9E">
        <w:t> </w:t>
      </w:r>
      <w:r w:rsidR="008F784F">
        <w:t>January 2021</w:t>
      </w:r>
      <w:r w:rsidR="0016506B">
        <w:t xml:space="preserve"> </w:t>
      </w:r>
      <w:r w:rsidR="0094261F">
        <w:t xml:space="preserve">to assist the </w:t>
      </w:r>
      <w:r w:rsidR="008F784F">
        <w:t xml:space="preserve">Committee </w:t>
      </w:r>
      <w:r w:rsidR="003B71A7">
        <w:t>in</w:t>
      </w:r>
      <w:r w:rsidR="0094261F">
        <w:t xml:space="preserve"> its assessment of the </w:t>
      </w:r>
      <w:r w:rsidR="008114FD">
        <w:t>20</w:t>
      </w:r>
      <w:r w:rsidR="008F784F">
        <w:t>20</w:t>
      </w:r>
      <w:r w:rsidR="008114FD">
        <w:t>-2</w:t>
      </w:r>
      <w:r w:rsidR="008F784F">
        <w:t>1</w:t>
      </w:r>
      <w:r w:rsidR="008114FD">
        <w:t xml:space="preserve"> ACT </w:t>
      </w:r>
      <w:r w:rsidR="0094261F">
        <w:t>Bu</w:t>
      </w:r>
      <w:r w:rsidR="0016506B">
        <w:t>dget.</w:t>
      </w:r>
      <w:r w:rsidR="0094261F">
        <w:t xml:space="preserve"> Pegasus was required to prepare a </w:t>
      </w:r>
      <w:r w:rsidR="00513198">
        <w:t xml:space="preserve">draft </w:t>
      </w:r>
      <w:r w:rsidR="0094261F">
        <w:t xml:space="preserve">report on the Budget within </w:t>
      </w:r>
      <w:r w:rsidR="005457DD">
        <w:t>six</w:t>
      </w:r>
      <w:r w:rsidR="0094261F">
        <w:t xml:space="preserve"> days of its presentation to the Assembly and to be available as required to assist the Committee in its subsequent deliberations.</w:t>
      </w:r>
    </w:p>
    <w:p w14:paraId="303A7F21" w14:textId="77777777" w:rsidR="00E278FD" w:rsidRDefault="009830B1" w:rsidP="00E278FD">
      <w:pPr>
        <w:pStyle w:val="Heading2"/>
        <w:spacing w:after="240"/>
      </w:pPr>
      <w:bookmarkStart w:id="15" w:name="_Toc453495104"/>
      <w:bookmarkStart w:id="16" w:name="_Toc453516103"/>
      <w:bookmarkStart w:id="17" w:name="_Toc64529019"/>
      <w:r>
        <w:t>1</w:t>
      </w:r>
      <w:r w:rsidR="00950064">
        <w:t>.3</w:t>
      </w:r>
      <w:r w:rsidR="00950064">
        <w:tab/>
      </w:r>
      <w:r w:rsidR="00E278FD">
        <w:t>Purpose</w:t>
      </w:r>
      <w:bookmarkEnd w:id="15"/>
      <w:bookmarkEnd w:id="16"/>
      <w:bookmarkEnd w:id="17"/>
    </w:p>
    <w:p w14:paraId="761BA2EB" w14:textId="172BC1ED" w:rsidR="009E5811" w:rsidRDefault="00E278FD" w:rsidP="00E278FD">
      <w:r w:rsidRPr="00E278FD">
        <w:t>This report</w:t>
      </w:r>
      <w:r>
        <w:t xml:space="preserve"> has been produced to assist </w:t>
      </w:r>
      <w:r w:rsidR="008F784F">
        <w:t>the Standing Committee on Public Accounts</w:t>
      </w:r>
      <w:r w:rsidR="008F784F" w:rsidRPr="0006230E">
        <w:t xml:space="preserve"> </w:t>
      </w:r>
      <w:r>
        <w:t>in its consideration of the 20</w:t>
      </w:r>
      <w:r w:rsidR="005457DD">
        <w:t>20</w:t>
      </w:r>
      <w:r>
        <w:t>-</w:t>
      </w:r>
      <w:r w:rsidR="0091714E">
        <w:t>2</w:t>
      </w:r>
      <w:r w:rsidR="005457DD">
        <w:t>1</w:t>
      </w:r>
      <w:r>
        <w:t xml:space="preserve"> Budget.</w:t>
      </w:r>
    </w:p>
    <w:p w14:paraId="4F2BD98C" w14:textId="17098B64" w:rsidR="00E278FD" w:rsidRDefault="00E278FD" w:rsidP="00E278FD">
      <w:r>
        <w:t>The report does not provide a complete or comprehensive summary of the 20</w:t>
      </w:r>
      <w:r w:rsidR="005457DD">
        <w:t>20</w:t>
      </w:r>
      <w:r>
        <w:t>-</w:t>
      </w:r>
      <w:r w:rsidR="0091714E">
        <w:t>2</w:t>
      </w:r>
      <w:r w:rsidR="005457DD">
        <w:t>1</w:t>
      </w:r>
      <w:r>
        <w:t xml:space="preserve"> Budget, </w:t>
      </w:r>
      <w:r w:rsidR="00BA2D58">
        <w:t>n</w:t>
      </w:r>
      <w:r>
        <w:t xml:space="preserve">or </w:t>
      </w:r>
      <w:r w:rsidR="001F4869">
        <w:t xml:space="preserve">does it </w:t>
      </w:r>
      <w:r>
        <w:t xml:space="preserve">attempt to provide an assessment of the appropriateness of the </w:t>
      </w:r>
      <w:r w:rsidR="001F4869">
        <w:t xml:space="preserve">individual </w:t>
      </w:r>
      <w:r>
        <w:t>spending, revenue and investment decisions reflected in the document.</w:t>
      </w:r>
    </w:p>
    <w:p w14:paraId="6045B16A" w14:textId="72939311" w:rsidR="00400487" w:rsidRDefault="00E278FD" w:rsidP="00E278FD">
      <w:r>
        <w:t xml:space="preserve">Rather, the report seeks to explicate elements of the Budget and points to areas that the Committee may wish to explore or to seek further </w:t>
      </w:r>
      <w:r w:rsidR="00401BE8">
        <w:t xml:space="preserve">information </w:t>
      </w:r>
      <w:r>
        <w:t>in its consideration of the Budget.</w:t>
      </w:r>
    </w:p>
    <w:p w14:paraId="6CB41C60" w14:textId="77777777" w:rsidR="001263B0" w:rsidRDefault="009830B1" w:rsidP="00E278FD">
      <w:pPr>
        <w:pStyle w:val="Heading2"/>
        <w:spacing w:after="240"/>
      </w:pPr>
      <w:bookmarkStart w:id="18" w:name="_Toc453495105"/>
      <w:bookmarkStart w:id="19" w:name="_Toc453516104"/>
      <w:bookmarkStart w:id="20" w:name="_Toc64529020"/>
      <w:r>
        <w:t>1</w:t>
      </w:r>
      <w:r w:rsidR="00950064">
        <w:t>.4</w:t>
      </w:r>
      <w:r w:rsidR="00950064">
        <w:tab/>
      </w:r>
      <w:r w:rsidR="00E278FD">
        <w:t>Approach</w:t>
      </w:r>
      <w:bookmarkEnd w:id="18"/>
      <w:bookmarkEnd w:id="19"/>
      <w:bookmarkEnd w:id="20"/>
    </w:p>
    <w:p w14:paraId="04BF3168" w14:textId="117E3202" w:rsidR="00160E16" w:rsidRDefault="00160E16" w:rsidP="00160E16">
      <w:r w:rsidRPr="0006230E">
        <w:t xml:space="preserve">The range of matters covered in this report relates to subjects raised by Committee members at a meeting with </w:t>
      </w:r>
      <w:r>
        <w:t xml:space="preserve">Pegasus </w:t>
      </w:r>
      <w:r w:rsidRPr="0006230E">
        <w:t xml:space="preserve">consultants on </w:t>
      </w:r>
      <w:r w:rsidR="008F784F">
        <w:t>Wednesday 3 February 2021</w:t>
      </w:r>
      <w:r w:rsidRPr="0006230E">
        <w:t>.</w:t>
      </w:r>
      <w:r>
        <w:t xml:space="preserve"> </w:t>
      </w:r>
    </w:p>
    <w:p w14:paraId="54B18C27" w14:textId="0DF40C97" w:rsidR="001B3122" w:rsidRDefault="0094261F" w:rsidP="00DC3CC0">
      <w:r>
        <w:t>Th</w:t>
      </w:r>
      <w:r w:rsidR="00160E16">
        <w:t>e</w:t>
      </w:r>
      <w:r>
        <w:t xml:space="preserve"> report </w:t>
      </w:r>
      <w:r w:rsidR="00BD7B34">
        <w:t>is based on a desk-top review of the ACT Budget documentation presented to the Assembly on</w:t>
      </w:r>
      <w:r w:rsidR="008F784F">
        <w:t xml:space="preserve"> Tuesday 9 February 2021</w:t>
      </w:r>
      <w:r w:rsidR="00BD7B34">
        <w:t>.</w:t>
      </w:r>
      <w:r w:rsidR="00156B29">
        <w:t xml:space="preserve"> </w:t>
      </w:r>
      <w:r w:rsidR="00513198">
        <w:rPr>
          <w:rStyle w:val="BodyTextChar"/>
          <w:rFonts w:eastAsiaTheme="minorHAnsi"/>
        </w:rPr>
        <w:t xml:space="preserve">We have also </w:t>
      </w:r>
      <w:r w:rsidR="00156B29">
        <w:t xml:space="preserve">consulted other documentation in the public domain including </w:t>
      </w:r>
      <w:r w:rsidR="00513198" w:rsidRPr="00A0737F">
        <w:t xml:space="preserve">Commonwealth Government Budget Papers, </w:t>
      </w:r>
      <w:r w:rsidR="00994506" w:rsidRPr="00A0737F">
        <w:t xml:space="preserve">previous ACT Budget documents, </w:t>
      </w:r>
      <w:r w:rsidR="00156B29" w:rsidRPr="00A0737F">
        <w:t xml:space="preserve">reports of the ACT Auditor-General, various Ministerial statements, </w:t>
      </w:r>
      <w:r w:rsidR="00651092" w:rsidRPr="00A0737F">
        <w:t>Departmental re</w:t>
      </w:r>
      <w:r w:rsidR="0016506B" w:rsidRPr="00A0737F">
        <w:t xml:space="preserve">ports and </w:t>
      </w:r>
      <w:r w:rsidR="00A0737F" w:rsidRPr="00A0737F">
        <w:t xml:space="preserve">other </w:t>
      </w:r>
      <w:r w:rsidR="0016506B" w:rsidRPr="00A0737F">
        <w:t>research literature.</w:t>
      </w:r>
    </w:p>
    <w:p w14:paraId="3EB17DF1" w14:textId="2B101412" w:rsidR="00DB3531" w:rsidRDefault="00DB3531" w:rsidP="00DB3531">
      <w:pPr>
        <w:pStyle w:val="Heading2"/>
      </w:pPr>
      <w:bookmarkStart w:id="21" w:name="_Toc64529021"/>
      <w:r>
        <w:t>1.5</w:t>
      </w:r>
      <w:r>
        <w:tab/>
        <w:t>Limitation of Scope</w:t>
      </w:r>
      <w:bookmarkEnd w:id="21"/>
    </w:p>
    <w:p w14:paraId="3A395633" w14:textId="77777777" w:rsidR="00DB3531" w:rsidRPr="00DB3531" w:rsidRDefault="00DB3531" w:rsidP="00DB3531">
      <w:pPr>
        <w:pStyle w:val="BodyText"/>
      </w:pPr>
      <w:r w:rsidRPr="00DB3531">
        <w:t xml:space="preserve">As indicated above, Pegasus Economics has been engaged to assist the ACT Legislative Assembly’s </w:t>
      </w:r>
      <w:r w:rsidRPr="00E21A90">
        <w:t xml:space="preserve">Standing Committee on Public Accounts </w:t>
      </w:r>
      <w:r w:rsidRPr="00DB3531">
        <w:t>in its review of the 2020-21 Budget. In performing this role Pegasus relies on the details contained in the Budget Papers, some access to Treasury officials, our independent research and analysis and other sources.</w:t>
      </w:r>
    </w:p>
    <w:p w14:paraId="44ACBF97" w14:textId="080BB39E" w:rsidR="00DB3531" w:rsidRPr="00DB3531" w:rsidRDefault="00DB3531" w:rsidP="00DB3531">
      <w:pPr>
        <w:pStyle w:val="BodyText"/>
      </w:pPr>
      <w:r w:rsidRPr="00DB3531">
        <w:lastRenderedPageBreak/>
        <w:t>The level of detail ordinar</w:t>
      </w:r>
      <w:r>
        <w:t xml:space="preserve">ily </w:t>
      </w:r>
      <w:r w:rsidRPr="00DB3531">
        <w:t xml:space="preserve">contained in the Budget Papers was not evident for 2020-21. </w:t>
      </w:r>
      <w:r w:rsidR="001F4869">
        <w:t>It was not possible, for example, for Pegasus to form a view about the nature of many of the technical adjustments to the Budget figures or to follow some transactions through the documents provided.</w:t>
      </w:r>
    </w:p>
    <w:p w14:paraId="323ECE43" w14:textId="43F67357" w:rsidR="00DB3531" w:rsidRPr="00DB3531" w:rsidRDefault="001F4869" w:rsidP="00DB3531">
      <w:pPr>
        <w:pStyle w:val="BodyText"/>
      </w:pPr>
      <w:r>
        <w:t xml:space="preserve">In light of </w:t>
      </w:r>
      <w:r w:rsidR="00331AFD">
        <w:t>COVID-</w:t>
      </w:r>
      <w:r w:rsidR="00DB3531" w:rsidRPr="00DB3531">
        <w:t xml:space="preserve">19 </w:t>
      </w:r>
      <w:r w:rsidR="00DB3531">
        <w:t xml:space="preserve">pandemic </w:t>
      </w:r>
      <w:r w:rsidR="00DB3531" w:rsidRPr="00DB3531">
        <w:t xml:space="preserve">restrictions, the </w:t>
      </w:r>
      <w:r w:rsidR="00DB3531">
        <w:t>B</w:t>
      </w:r>
      <w:r w:rsidR="00DB3531" w:rsidRPr="00DB3531">
        <w:t>udget lock</w:t>
      </w:r>
      <w:r w:rsidR="00DB3531">
        <w:t>-</w:t>
      </w:r>
      <w:r w:rsidR="00DB3531" w:rsidRPr="00DB3531">
        <w:t>up was a curtailed virtual presentation and question and answer session, with a brief presentation from the Chief Minister’s office. The Chief Minister did not attend and instead the session was chaired by the Deputy Under Treasurer. As permitted, Pegasus presented a list of written questions to both the Chief Minister’s Office and the Deputy Under Treasurer. Those questions remain unanswered.</w:t>
      </w:r>
    </w:p>
    <w:p w14:paraId="2E7BA1FA" w14:textId="77777777" w:rsidR="00DB3531" w:rsidRPr="00DB3531" w:rsidRDefault="00DB3531" w:rsidP="00DB3531">
      <w:pPr>
        <w:pStyle w:val="BodyText"/>
      </w:pPr>
      <w:r w:rsidRPr="00DB3531">
        <w:t>These matters have limited Pegasus’ ability to perform a full and complete review.</w:t>
      </w:r>
    </w:p>
    <w:p w14:paraId="31A915AE" w14:textId="77777777" w:rsidR="00DB3531" w:rsidRDefault="00DB3531" w:rsidP="00DC3CC0"/>
    <w:p w14:paraId="0F197B6D" w14:textId="08771169" w:rsidR="008962AD" w:rsidRDefault="008962AD">
      <w:pPr>
        <w:rPr>
          <w:rStyle w:val="BodyTextChar"/>
          <w:rFonts w:eastAsiaTheme="minorHAnsi"/>
        </w:rPr>
      </w:pPr>
      <w:r>
        <w:rPr>
          <w:rStyle w:val="BodyTextChar"/>
          <w:rFonts w:eastAsiaTheme="minorHAnsi"/>
        </w:rPr>
        <w:br w:type="page"/>
      </w:r>
    </w:p>
    <w:p w14:paraId="12486F16" w14:textId="28E2B0AE" w:rsidR="00F62C32" w:rsidRPr="00A00081" w:rsidRDefault="00161A65" w:rsidP="00F62C32">
      <w:pPr>
        <w:pStyle w:val="Heading1"/>
      </w:pPr>
      <w:bookmarkStart w:id="22" w:name="_Toc453495106"/>
      <w:bookmarkStart w:id="23" w:name="_Toc453516105"/>
      <w:bookmarkStart w:id="24" w:name="_Toc64529022"/>
      <w:r>
        <w:rPr>
          <w:noProof/>
          <w:lang w:eastAsia="en-AU"/>
        </w:rPr>
        <w:lastRenderedPageBreak/>
        <mc:AlternateContent>
          <mc:Choice Requires="wps">
            <w:drawing>
              <wp:anchor distT="91440" distB="91440" distL="114300" distR="114300" simplePos="0" relativeHeight="251644928" behindDoc="0" locked="0" layoutInCell="1" allowOverlap="1" wp14:anchorId="6887BB39" wp14:editId="38D7D28F">
                <wp:simplePos x="0" y="0"/>
                <wp:positionH relativeFrom="page">
                  <wp:posOffset>942975</wp:posOffset>
                </wp:positionH>
                <wp:positionV relativeFrom="page">
                  <wp:posOffset>1319213</wp:posOffset>
                </wp:positionV>
                <wp:extent cx="5683250" cy="15906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590675"/>
                        </a:xfrm>
                        <a:prstGeom prst="rect">
                          <a:avLst/>
                        </a:prstGeom>
                        <a:noFill/>
                        <a:ln w="9525">
                          <a:noFill/>
                          <a:miter lim="800000"/>
                          <a:headEnd/>
                          <a:tailEnd/>
                        </a:ln>
                      </wps:spPr>
                      <wps:txbx>
                        <w:txbxContent>
                          <w:p w14:paraId="6E61F338" w14:textId="448A1084" w:rsidR="00A30ABA" w:rsidRPr="001D32C6" w:rsidRDefault="00A30ABA">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Most of the ACT Budget </w:t>
                            </w:r>
                            <w:r w:rsidRPr="00B85564">
                              <w:rPr>
                                <w:i/>
                                <w:iCs/>
                                <w:color w:val="5B9BD5" w:themeColor="accent1"/>
                                <w:sz w:val="24"/>
                                <w:szCs w:val="24"/>
                              </w:rPr>
                              <w:t xml:space="preserve">economic </w:t>
                            </w:r>
                            <w:r>
                              <w:rPr>
                                <w:i/>
                                <w:iCs/>
                                <w:color w:val="5B9BD5" w:themeColor="accent1"/>
                                <w:sz w:val="24"/>
                                <w:szCs w:val="24"/>
                              </w:rPr>
                              <w:t>forecasts</w:t>
                            </w:r>
                            <w:r w:rsidRPr="00B85564">
                              <w:rPr>
                                <w:i/>
                                <w:iCs/>
                                <w:color w:val="5B9BD5" w:themeColor="accent1"/>
                                <w:sz w:val="24"/>
                                <w:szCs w:val="24"/>
                              </w:rPr>
                              <w:t xml:space="preserve"> for 20</w:t>
                            </w:r>
                            <w:r>
                              <w:rPr>
                                <w:i/>
                                <w:iCs/>
                                <w:color w:val="5B9BD5" w:themeColor="accent1"/>
                                <w:sz w:val="24"/>
                                <w:szCs w:val="24"/>
                              </w:rPr>
                              <w:t>20-21 and 2021-22</w:t>
                            </w:r>
                            <w:r w:rsidRPr="00B85564">
                              <w:rPr>
                                <w:i/>
                                <w:iCs/>
                                <w:color w:val="5B9BD5" w:themeColor="accent1"/>
                                <w:sz w:val="24"/>
                                <w:szCs w:val="24"/>
                              </w:rPr>
                              <w:t xml:space="preserve"> appear </w:t>
                            </w:r>
                            <w:r>
                              <w:rPr>
                                <w:i/>
                                <w:iCs/>
                                <w:color w:val="5B9BD5" w:themeColor="accent1"/>
                                <w:sz w:val="24"/>
                                <w:szCs w:val="24"/>
                              </w:rPr>
                              <w:t>r</w:t>
                            </w:r>
                            <w:r w:rsidRPr="00B85564">
                              <w:rPr>
                                <w:i/>
                                <w:iCs/>
                                <w:color w:val="5B9BD5" w:themeColor="accent1"/>
                                <w:sz w:val="24"/>
                                <w:szCs w:val="24"/>
                              </w:rPr>
                              <w:t>easonable</w:t>
                            </w:r>
                            <w:r>
                              <w:rPr>
                                <w:i/>
                                <w:iCs/>
                                <w:color w:val="5B9BD5" w:themeColor="accent1"/>
                                <w:sz w:val="24"/>
                                <w:szCs w:val="24"/>
                              </w:rPr>
                              <w:t xml:space="preserve">. The major exception is growth in the consumer price index in </w:t>
                            </w:r>
                            <w:r w:rsidR="00D82A5E">
                              <w:rPr>
                                <w:i/>
                                <w:iCs/>
                                <w:color w:val="5B9BD5" w:themeColor="accent1"/>
                                <w:sz w:val="24"/>
                                <w:szCs w:val="24"/>
                              </w:rPr>
                              <w:t xml:space="preserve">both 2020-21 and </w:t>
                            </w:r>
                            <w:r>
                              <w:rPr>
                                <w:i/>
                                <w:iCs/>
                                <w:color w:val="5B9BD5" w:themeColor="accent1"/>
                                <w:sz w:val="24"/>
                                <w:szCs w:val="24"/>
                              </w:rPr>
                              <w:t>2021-22, which appears to be a little on the low side</w:t>
                            </w:r>
                            <w:r w:rsidRPr="00B85564">
                              <w:rPr>
                                <w:i/>
                                <w:iCs/>
                                <w:color w:val="5B9BD5" w:themeColor="accent1"/>
                                <w:sz w:val="24"/>
                                <w:szCs w:val="24"/>
                              </w:rPr>
                              <w:t>.</w:t>
                            </w:r>
                            <w:r>
                              <w:rPr>
                                <w:i/>
                                <w:iCs/>
                                <w:color w:val="5B9BD5" w:themeColor="accent1"/>
                                <w:sz w:val="24"/>
                                <w:szCs w:val="24"/>
                              </w:rPr>
                              <w:t xml:space="preserve"> The main source of fiscal stimulus to support the ACT economy during the COVID-19 pandemic came from the Commonwealth Government, while it is difficult to discern any evidence of a major stimulus provided by the ACT 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7BB39" id="_x0000_s1033" type="#_x0000_t202" style="position:absolute;margin-left:74.25pt;margin-top:103.9pt;width:447.5pt;height:125.25pt;z-index:25164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" filled="f" stroked="f">
                <v:textbox>
                  <w:txbxContent>
                    <w:p w14:paraId="6E61F338" w14:textId="448A1084" w:rsidR="00A30ABA" w:rsidRPr="001D32C6" w:rsidRDefault="00A30ABA">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Most of the ACT Budget </w:t>
                      </w:r>
                      <w:r w:rsidRPr="00B85564">
                        <w:rPr>
                          <w:i/>
                          <w:iCs/>
                          <w:color w:val="5B9BD5" w:themeColor="accent1"/>
                          <w:sz w:val="24"/>
                          <w:szCs w:val="24"/>
                        </w:rPr>
                        <w:t xml:space="preserve">economic </w:t>
                      </w:r>
                      <w:r>
                        <w:rPr>
                          <w:i/>
                          <w:iCs/>
                          <w:color w:val="5B9BD5" w:themeColor="accent1"/>
                          <w:sz w:val="24"/>
                          <w:szCs w:val="24"/>
                        </w:rPr>
                        <w:t>forecasts</w:t>
                      </w:r>
                      <w:r w:rsidRPr="00B85564">
                        <w:rPr>
                          <w:i/>
                          <w:iCs/>
                          <w:color w:val="5B9BD5" w:themeColor="accent1"/>
                          <w:sz w:val="24"/>
                          <w:szCs w:val="24"/>
                        </w:rPr>
                        <w:t xml:space="preserve"> for 20</w:t>
                      </w:r>
                      <w:r>
                        <w:rPr>
                          <w:i/>
                          <w:iCs/>
                          <w:color w:val="5B9BD5" w:themeColor="accent1"/>
                          <w:sz w:val="24"/>
                          <w:szCs w:val="24"/>
                        </w:rPr>
                        <w:t>20-21 and 2021-22</w:t>
                      </w:r>
                      <w:r w:rsidRPr="00B85564">
                        <w:rPr>
                          <w:i/>
                          <w:iCs/>
                          <w:color w:val="5B9BD5" w:themeColor="accent1"/>
                          <w:sz w:val="24"/>
                          <w:szCs w:val="24"/>
                        </w:rPr>
                        <w:t xml:space="preserve"> appear </w:t>
                      </w:r>
                      <w:r>
                        <w:rPr>
                          <w:i/>
                          <w:iCs/>
                          <w:color w:val="5B9BD5" w:themeColor="accent1"/>
                          <w:sz w:val="24"/>
                          <w:szCs w:val="24"/>
                        </w:rPr>
                        <w:t>r</w:t>
                      </w:r>
                      <w:r w:rsidRPr="00B85564">
                        <w:rPr>
                          <w:i/>
                          <w:iCs/>
                          <w:color w:val="5B9BD5" w:themeColor="accent1"/>
                          <w:sz w:val="24"/>
                          <w:szCs w:val="24"/>
                        </w:rPr>
                        <w:t>easonable</w:t>
                      </w:r>
                      <w:r>
                        <w:rPr>
                          <w:i/>
                          <w:iCs/>
                          <w:color w:val="5B9BD5" w:themeColor="accent1"/>
                          <w:sz w:val="24"/>
                          <w:szCs w:val="24"/>
                        </w:rPr>
                        <w:t xml:space="preserve">. The major exception is growth in the consumer price index in </w:t>
                      </w:r>
                      <w:r w:rsidR="00D82A5E">
                        <w:rPr>
                          <w:i/>
                          <w:iCs/>
                          <w:color w:val="5B9BD5" w:themeColor="accent1"/>
                          <w:sz w:val="24"/>
                          <w:szCs w:val="24"/>
                        </w:rPr>
                        <w:t xml:space="preserve">both 2020-21 and </w:t>
                      </w:r>
                      <w:r>
                        <w:rPr>
                          <w:i/>
                          <w:iCs/>
                          <w:color w:val="5B9BD5" w:themeColor="accent1"/>
                          <w:sz w:val="24"/>
                          <w:szCs w:val="24"/>
                        </w:rPr>
                        <w:t>2021-22, which appears to be a little on the low side</w:t>
                      </w:r>
                      <w:r w:rsidRPr="00B85564">
                        <w:rPr>
                          <w:i/>
                          <w:iCs/>
                          <w:color w:val="5B9BD5" w:themeColor="accent1"/>
                          <w:sz w:val="24"/>
                          <w:szCs w:val="24"/>
                        </w:rPr>
                        <w:t>.</w:t>
                      </w:r>
                      <w:r>
                        <w:rPr>
                          <w:i/>
                          <w:iCs/>
                          <w:color w:val="5B9BD5" w:themeColor="accent1"/>
                          <w:sz w:val="24"/>
                          <w:szCs w:val="24"/>
                        </w:rPr>
                        <w:t xml:space="preserve"> The main source of fiscal stimulus to support the ACT economy during the COVID-19 pandemic came from the Commonwealth Government, while it is difficult to discern any evidence of a major stimulus provided by the ACT Government. </w:t>
                      </w:r>
                    </w:p>
                  </w:txbxContent>
                </v:textbox>
                <w10:wrap type="topAndBottom" anchorx="page" anchory="page"/>
              </v:shape>
            </w:pict>
          </mc:Fallback>
        </mc:AlternateContent>
      </w:r>
      <w:r w:rsidR="004733C7">
        <w:t>2</w:t>
      </w:r>
      <w:r w:rsidR="008962AD">
        <w:t>.</w:t>
      </w:r>
      <w:r w:rsidR="00F62C32">
        <w:tab/>
      </w:r>
      <w:r w:rsidR="00F62C32" w:rsidRPr="006967FF">
        <w:t>Economic Forecasts</w:t>
      </w:r>
      <w:bookmarkEnd w:id="22"/>
      <w:bookmarkEnd w:id="23"/>
      <w:bookmarkEnd w:id="24"/>
    </w:p>
    <w:p w14:paraId="0639C35B" w14:textId="7FF89866" w:rsidR="003B71A7" w:rsidRDefault="003B71A7" w:rsidP="003B71A7">
      <w:pPr>
        <w:pStyle w:val="Heading2"/>
      </w:pPr>
      <w:bookmarkStart w:id="25" w:name="_Toc64529023"/>
      <w:r>
        <w:t>2.1</w:t>
      </w:r>
      <w:r>
        <w:tab/>
        <w:t>Overview</w:t>
      </w:r>
      <w:bookmarkEnd w:id="25"/>
    </w:p>
    <w:p w14:paraId="7FDA5AA2" w14:textId="6038F7F5" w:rsidR="00F62C32" w:rsidRPr="00A00081" w:rsidRDefault="00F62C32">
      <w:r w:rsidRPr="00A00081">
        <w:t>A summary of current economic trends alongside the economic estimates and forecasts contained in the 20</w:t>
      </w:r>
      <w:r w:rsidR="003C5854">
        <w:t>20</w:t>
      </w:r>
      <w:r w:rsidRPr="00A00081">
        <w:t>-</w:t>
      </w:r>
      <w:r w:rsidR="00806654">
        <w:t>2</w:t>
      </w:r>
      <w:r w:rsidR="003C5854">
        <w:t>1</w:t>
      </w:r>
      <w:r w:rsidRPr="00A00081">
        <w:t xml:space="preserve"> ACT Budget are provided in </w:t>
      </w:r>
      <w:r w:rsidR="000035C8">
        <w:fldChar w:fldCharType="begin"/>
      </w:r>
      <w:r w:rsidR="000035C8">
        <w:instrText xml:space="preserve"> REF _Ref453489411 \h  \* MERGEFORMAT </w:instrText>
      </w:r>
      <w:r w:rsidR="000035C8">
        <w:fldChar w:fldCharType="separate"/>
      </w:r>
      <w:r w:rsidR="00AB7125" w:rsidRPr="00A00081">
        <w:t xml:space="preserve">Table </w:t>
      </w:r>
      <w:r w:rsidR="00AB7125">
        <w:t>1</w:t>
      </w:r>
      <w:r w:rsidR="000035C8">
        <w:fldChar w:fldCharType="end"/>
      </w:r>
      <w:r w:rsidR="00821781" w:rsidRPr="00A00081">
        <w:t xml:space="preserve"> </w:t>
      </w:r>
      <w:r w:rsidRPr="00A00081">
        <w:t>below.</w:t>
      </w:r>
    </w:p>
    <w:p w14:paraId="76D3E92B" w14:textId="0959FA8B" w:rsidR="00970786" w:rsidRPr="00A00081" w:rsidRDefault="00970786" w:rsidP="00B12EFE">
      <w:pPr>
        <w:pStyle w:val="Caption"/>
      </w:pPr>
      <w:bookmarkStart w:id="26" w:name="_Ref453489411"/>
      <w:bookmarkStart w:id="27" w:name="_Toc453495086"/>
      <w:bookmarkStart w:id="28" w:name="_Toc453516085"/>
      <w:bookmarkStart w:id="29" w:name="_Toc64529081"/>
      <w:r w:rsidRPr="00A00081">
        <w:t xml:space="preserve">Table </w:t>
      </w:r>
      <w:r w:rsidR="00AF4AA5" w:rsidRPr="00A00081">
        <w:fldChar w:fldCharType="begin"/>
      </w:r>
      <w:r w:rsidRPr="00A00081">
        <w:instrText xml:space="preserve"> SEQ Table \* ARABIC </w:instrText>
      </w:r>
      <w:r w:rsidR="00AF4AA5" w:rsidRPr="00A00081">
        <w:fldChar w:fldCharType="separate"/>
      </w:r>
      <w:r w:rsidR="00AB7125">
        <w:rPr>
          <w:noProof/>
        </w:rPr>
        <w:t>1</w:t>
      </w:r>
      <w:r w:rsidR="00AF4AA5" w:rsidRPr="00A00081">
        <w:fldChar w:fldCharType="end"/>
      </w:r>
      <w:bookmarkEnd w:id="26"/>
      <w:r w:rsidRPr="00A00081">
        <w:t>: Current outcomes and economic estimates and forecasts in the 20</w:t>
      </w:r>
      <w:r w:rsidR="00B92402">
        <w:t>20</w:t>
      </w:r>
      <w:r w:rsidRPr="00A00081">
        <w:t>-</w:t>
      </w:r>
      <w:r w:rsidR="00B92402">
        <w:t>21</w:t>
      </w:r>
      <w:r w:rsidRPr="00A00081">
        <w:t xml:space="preserve"> ACT Budget, </w:t>
      </w:r>
      <w:r w:rsidRPr="00B12EFE">
        <w:t>percentage</w:t>
      </w:r>
      <w:r w:rsidRPr="00A00081">
        <w:t xml:space="preserve"> change</w:t>
      </w:r>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1474BF" w:rsidRPr="00A00081" w14:paraId="75418E5E" w14:textId="77777777">
        <w:tc>
          <w:tcPr>
            <w:tcW w:w="2254" w:type="dxa"/>
            <w:tcBorders>
              <w:top w:val="single" w:sz="4" w:space="0" w:color="auto"/>
              <w:bottom w:val="single" w:sz="4" w:space="0" w:color="auto"/>
            </w:tcBorders>
          </w:tcPr>
          <w:p w14:paraId="3AA4FB40" w14:textId="77777777" w:rsidR="001474BF" w:rsidRPr="004511FF" w:rsidRDefault="001474BF">
            <w:r w:rsidRPr="004511FF">
              <w:t>Indicator</w:t>
            </w:r>
          </w:p>
        </w:tc>
        <w:tc>
          <w:tcPr>
            <w:tcW w:w="2254" w:type="dxa"/>
            <w:tcBorders>
              <w:top w:val="single" w:sz="4" w:space="0" w:color="auto"/>
              <w:bottom w:val="single" w:sz="4" w:space="0" w:color="auto"/>
            </w:tcBorders>
          </w:tcPr>
          <w:p w14:paraId="66479DFD" w14:textId="2FAF1465" w:rsidR="001474BF" w:rsidRPr="004511FF" w:rsidRDefault="001474BF" w:rsidP="00246C35">
            <w:r w:rsidRPr="004511FF">
              <w:t xml:space="preserve">Current outcomes to the end of </w:t>
            </w:r>
            <w:r w:rsidR="00B92402">
              <w:t>September</w:t>
            </w:r>
            <w:r w:rsidRPr="004511FF">
              <w:t xml:space="preserve"> 20</w:t>
            </w:r>
            <w:r w:rsidR="00B92402">
              <w:t>20</w:t>
            </w:r>
            <w:r w:rsidR="00246C35" w:rsidRPr="004511FF">
              <w:rPr>
                <w:vertAlign w:val="superscript"/>
              </w:rPr>
              <w:t>1</w:t>
            </w:r>
          </w:p>
        </w:tc>
        <w:tc>
          <w:tcPr>
            <w:tcW w:w="2254" w:type="dxa"/>
            <w:tcBorders>
              <w:top w:val="single" w:sz="4" w:space="0" w:color="auto"/>
              <w:bottom w:val="single" w:sz="4" w:space="0" w:color="auto"/>
            </w:tcBorders>
          </w:tcPr>
          <w:p w14:paraId="6484E7A6" w14:textId="18572821" w:rsidR="001474BF" w:rsidRPr="004511FF" w:rsidRDefault="001474BF">
            <w:r w:rsidRPr="004511FF">
              <w:t>ACT Budget 20</w:t>
            </w:r>
            <w:r w:rsidR="00B90396">
              <w:t>20</w:t>
            </w:r>
            <w:r w:rsidRPr="004511FF">
              <w:t>-</w:t>
            </w:r>
            <w:r w:rsidR="00B90396">
              <w:t>21</w:t>
            </w:r>
            <w:r w:rsidRPr="004511FF">
              <w:t xml:space="preserve"> estimates</w:t>
            </w:r>
          </w:p>
        </w:tc>
        <w:tc>
          <w:tcPr>
            <w:tcW w:w="2254" w:type="dxa"/>
            <w:tcBorders>
              <w:top w:val="single" w:sz="4" w:space="0" w:color="auto"/>
              <w:bottom w:val="single" w:sz="4" w:space="0" w:color="auto"/>
            </w:tcBorders>
          </w:tcPr>
          <w:p w14:paraId="59B7A4FE" w14:textId="231F4A73" w:rsidR="001474BF" w:rsidRPr="004511FF" w:rsidRDefault="001474BF">
            <w:r w:rsidRPr="004511FF">
              <w:t>ACT Budget 20</w:t>
            </w:r>
            <w:r w:rsidR="00B90396">
              <w:t>21</w:t>
            </w:r>
            <w:r w:rsidRPr="004511FF">
              <w:t>-</w:t>
            </w:r>
            <w:r w:rsidR="00144F75">
              <w:t>2</w:t>
            </w:r>
            <w:r w:rsidR="00B90396">
              <w:t>2</w:t>
            </w:r>
            <w:r w:rsidRPr="004511FF">
              <w:t xml:space="preserve"> </w:t>
            </w:r>
            <w:r w:rsidR="00755C02" w:rsidRPr="004511FF">
              <w:t>forecasts</w:t>
            </w:r>
          </w:p>
        </w:tc>
      </w:tr>
      <w:tr w:rsidR="005A0C24" w:rsidRPr="00A00081" w14:paraId="689272A4" w14:textId="77777777">
        <w:tc>
          <w:tcPr>
            <w:tcW w:w="2254" w:type="dxa"/>
            <w:tcBorders>
              <w:top w:val="single" w:sz="4" w:space="0" w:color="auto"/>
            </w:tcBorders>
          </w:tcPr>
          <w:p w14:paraId="6EFFB424" w14:textId="77777777" w:rsidR="005A0C24" w:rsidRPr="004511FF" w:rsidRDefault="005A0C24" w:rsidP="005A0C24">
            <w:pPr>
              <w:rPr>
                <w:vertAlign w:val="superscript"/>
              </w:rPr>
            </w:pPr>
            <w:r w:rsidRPr="004511FF">
              <w:t>State Final Demand</w:t>
            </w:r>
            <w:r w:rsidRPr="004511FF">
              <w:rPr>
                <w:vertAlign w:val="superscript"/>
              </w:rPr>
              <w:t>2</w:t>
            </w:r>
          </w:p>
        </w:tc>
        <w:tc>
          <w:tcPr>
            <w:tcW w:w="2254" w:type="dxa"/>
            <w:tcBorders>
              <w:top w:val="single" w:sz="4" w:space="0" w:color="auto"/>
            </w:tcBorders>
          </w:tcPr>
          <w:p w14:paraId="62AEBCFE" w14:textId="4232971E" w:rsidR="005A0C24" w:rsidRPr="007235CD" w:rsidRDefault="00B92402" w:rsidP="00971349">
            <w:pPr>
              <w:ind w:left="897"/>
            </w:pPr>
            <w:r w:rsidRPr="007235CD">
              <w:t>3.1</w:t>
            </w:r>
          </w:p>
        </w:tc>
        <w:tc>
          <w:tcPr>
            <w:tcW w:w="2254" w:type="dxa"/>
            <w:tcBorders>
              <w:top w:val="single" w:sz="4" w:space="0" w:color="auto"/>
            </w:tcBorders>
          </w:tcPr>
          <w:p w14:paraId="6495361C" w14:textId="1ED66B11" w:rsidR="005A0C24" w:rsidRPr="004511FF" w:rsidRDefault="00D97B30" w:rsidP="00183E51">
            <w:pPr>
              <w:ind w:left="629" w:right="-11"/>
            </w:pPr>
            <w:r>
              <w:t xml:space="preserve">3¼ </w:t>
            </w:r>
          </w:p>
        </w:tc>
        <w:tc>
          <w:tcPr>
            <w:tcW w:w="2254" w:type="dxa"/>
            <w:tcBorders>
              <w:top w:val="single" w:sz="4" w:space="0" w:color="auto"/>
            </w:tcBorders>
          </w:tcPr>
          <w:p w14:paraId="4B49C835" w14:textId="5DEA5F50" w:rsidR="00D97B30" w:rsidRPr="004511FF" w:rsidRDefault="00D97B30" w:rsidP="00D97B30">
            <w:pPr>
              <w:ind w:left="787" w:right="-22"/>
            </w:pPr>
            <w:r>
              <w:t>2¼</w:t>
            </w:r>
          </w:p>
        </w:tc>
      </w:tr>
      <w:tr w:rsidR="005A0C24" w:rsidRPr="00A00081" w14:paraId="596090C9" w14:textId="77777777">
        <w:tc>
          <w:tcPr>
            <w:tcW w:w="2254" w:type="dxa"/>
          </w:tcPr>
          <w:p w14:paraId="5544F22A" w14:textId="77777777" w:rsidR="005A0C24" w:rsidRPr="00183E51" w:rsidRDefault="005A0C24" w:rsidP="005A0C24">
            <w:pPr>
              <w:rPr>
                <w:vertAlign w:val="superscript"/>
              </w:rPr>
            </w:pPr>
            <w:r w:rsidRPr="00183E51">
              <w:t>Employment</w:t>
            </w:r>
            <w:r w:rsidRPr="00183E51">
              <w:rPr>
                <w:vertAlign w:val="superscript"/>
              </w:rPr>
              <w:t>3</w:t>
            </w:r>
          </w:p>
        </w:tc>
        <w:tc>
          <w:tcPr>
            <w:tcW w:w="2254" w:type="dxa"/>
          </w:tcPr>
          <w:p w14:paraId="510B275F" w14:textId="29DC3DB4" w:rsidR="005A0C24" w:rsidRPr="007235CD" w:rsidRDefault="00D97B30" w:rsidP="0080260C">
            <w:pPr>
              <w:ind w:left="897" w:right="289"/>
            </w:pPr>
            <w:r w:rsidRPr="007235CD">
              <w:t>3.2</w:t>
            </w:r>
          </w:p>
        </w:tc>
        <w:tc>
          <w:tcPr>
            <w:tcW w:w="2254" w:type="dxa"/>
          </w:tcPr>
          <w:p w14:paraId="33F259DA" w14:textId="03576572" w:rsidR="005A0C24" w:rsidRPr="004511FF" w:rsidRDefault="00D97B30" w:rsidP="00183E51">
            <w:pPr>
              <w:ind w:left="629" w:right="-11"/>
            </w:pPr>
            <w:r>
              <w:t>4</w:t>
            </w:r>
          </w:p>
        </w:tc>
        <w:tc>
          <w:tcPr>
            <w:tcW w:w="2254" w:type="dxa"/>
          </w:tcPr>
          <w:p w14:paraId="736DE113" w14:textId="1E095371" w:rsidR="00D97B30" w:rsidRPr="004511FF" w:rsidRDefault="00D97B30" w:rsidP="00D97B30">
            <w:pPr>
              <w:ind w:left="787" w:right="-22"/>
            </w:pPr>
            <w:r>
              <w:t>½</w:t>
            </w:r>
          </w:p>
        </w:tc>
      </w:tr>
      <w:tr w:rsidR="005A0C24" w:rsidRPr="00A00081" w14:paraId="570031A4" w14:textId="77777777">
        <w:tc>
          <w:tcPr>
            <w:tcW w:w="2254" w:type="dxa"/>
          </w:tcPr>
          <w:p w14:paraId="689F44A9" w14:textId="33F2F69D" w:rsidR="005A0C24" w:rsidRPr="00183E51" w:rsidRDefault="005A0C24" w:rsidP="005A0C24">
            <w:r w:rsidRPr="00183E51">
              <w:t>Wage Price Index</w:t>
            </w:r>
            <w:r w:rsidR="00B92402" w:rsidRPr="00B92402">
              <w:rPr>
                <w:vertAlign w:val="superscript"/>
              </w:rPr>
              <w:t>4</w:t>
            </w:r>
          </w:p>
        </w:tc>
        <w:tc>
          <w:tcPr>
            <w:tcW w:w="2254" w:type="dxa"/>
          </w:tcPr>
          <w:p w14:paraId="4119F8D6" w14:textId="0137FA23" w:rsidR="005A0C24" w:rsidRPr="007235CD" w:rsidRDefault="00D97B30" w:rsidP="0080260C">
            <w:pPr>
              <w:ind w:left="897" w:right="289"/>
            </w:pPr>
            <w:r w:rsidRPr="007235CD">
              <w:t>1.4</w:t>
            </w:r>
          </w:p>
        </w:tc>
        <w:tc>
          <w:tcPr>
            <w:tcW w:w="2254" w:type="dxa"/>
          </w:tcPr>
          <w:p w14:paraId="1C6C03BC" w14:textId="02895EDA" w:rsidR="00D97B30" w:rsidRPr="004511FF" w:rsidRDefault="00D97B30" w:rsidP="00D97B30">
            <w:pPr>
              <w:ind w:left="629" w:right="-11"/>
            </w:pPr>
            <w:r>
              <w:t>1½</w:t>
            </w:r>
          </w:p>
        </w:tc>
        <w:tc>
          <w:tcPr>
            <w:tcW w:w="2254" w:type="dxa"/>
          </w:tcPr>
          <w:p w14:paraId="76D7FC8A" w14:textId="0D52FC34" w:rsidR="00D97B30" w:rsidRPr="004511FF" w:rsidRDefault="00D97B30" w:rsidP="00D97B30">
            <w:pPr>
              <w:ind w:left="787" w:right="-22"/>
            </w:pPr>
            <w:r>
              <w:t>1¾</w:t>
            </w:r>
          </w:p>
        </w:tc>
      </w:tr>
      <w:tr w:rsidR="005A0C24" w:rsidRPr="00A00081" w14:paraId="4827A4D8" w14:textId="77777777">
        <w:tc>
          <w:tcPr>
            <w:tcW w:w="2254" w:type="dxa"/>
          </w:tcPr>
          <w:p w14:paraId="3D7D55FE" w14:textId="0AEBB97C" w:rsidR="005A0C24" w:rsidRPr="00183E51" w:rsidRDefault="005A0C24" w:rsidP="005A0C24">
            <w:r w:rsidRPr="00183E51">
              <w:t>Consumer Price Index</w:t>
            </w:r>
            <w:r w:rsidR="00B92402" w:rsidRPr="00B92402">
              <w:rPr>
                <w:vertAlign w:val="superscript"/>
              </w:rPr>
              <w:t>5</w:t>
            </w:r>
          </w:p>
        </w:tc>
        <w:tc>
          <w:tcPr>
            <w:tcW w:w="2254" w:type="dxa"/>
          </w:tcPr>
          <w:p w14:paraId="0C58BCF4" w14:textId="5B83B8BA" w:rsidR="005A0C24" w:rsidRPr="007235CD" w:rsidRDefault="005A0C24" w:rsidP="0080260C">
            <w:pPr>
              <w:ind w:left="897" w:right="289"/>
            </w:pPr>
            <w:r w:rsidRPr="007235CD">
              <w:t>1.</w:t>
            </w:r>
            <w:r w:rsidR="00D97B30" w:rsidRPr="007235CD">
              <w:t>1</w:t>
            </w:r>
          </w:p>
        </w:tc>
        <w:tc>
          <w:tcPr>
            <w:tcW w:w="2254" w:type="dxa"/>
          </w:tcPr>
          <w:p w14:paraId="4355A1A6" w14:textId="43A21A7A" w:rsidR="005A0C24" w:rsidRPr="004511FF" w:rsidRDefault="00D97B30" w:rsidP="00183E51">
            <w:pPr>
              <w:ind w:left="629" w:right="-11"/>
            </w:pPr>
            <w:r>
              <w:t>3</w:t>
            </w:r>
          </w:p>
        </w:tc>
        <w:tc>
          <w:tcPr>
            <w:tcW w:w="2254" w:type="dxa"/>
          </w:tcPr>
          <w:p w14:paraId="4727424F" w14:textId="499FF875" w:rsidR="00D97B30" w:rsidRPr="004511FF" w:rsidRDefault="00D97B30" w:rsidP="00D97B30">
            <w:pPr>
              <w:ind w:left="787" w:right="-22"/>
            </w:pPr>
            <w:r>
              <w:t>1¼</w:t>
            </w:r>
          </w:p>
        </w:tc>
      </w:tr>
      <w:tr w:rsidR="005A0C24" w:rsidRPr="00A00081" w14:paraId="40C251E0" w14:textId="77777777">
        <w:tc>
          <w:tcPr>
            <w:tcW w:w="2254" w:type="dxa"/>
            <w:tcBorders>
              <w:bottom w:val="single" w:sz="4" w:space="0" w:color="auto"/>
            </w:tcBorders>
          </w:tcPr>
          <w:p w14:paraId="33EBCBA2" w14:textId="4448E142" w:rsidR="005A0C24" w:rsidRPr="00183E51" w:rsidRDefault="005A0C24" w:rsidP="005A0C24">
            <w:r w:rsidRPr="00183E51">
              <w:t>Population</w:t>
            </w:r>
          </w:p>
        </w:tc>
        <w:tc>
          <w:tcPr>
            <w:tcW w:w="2254" w:type="dxa"/>
            <w:tcBorders>
              <w:bottom w:val="single" w:sz="4" w:space="0" w:color="auto"/>
            </w:tcBorders>
          </w:tcPr>
          <w:p w14:paraId="77EFE588" w14:textId="67529142" w:rsidR="005A0C24" w:rsidRPr="007235CD" w:rsidRDefault="005A0C24" w:rsidP="0080260C">
            <w:pPr>
              <w:ind w:left="897" w:right="289"/>
            </w:pPr>
            <w:r w:rsidRPr="007235CD">
              <w:t>1.</w:t>
            </w:r>
            <w:r w:rsidR="00D97B30" w:rsidRPr="007235CD">
              <w:t>1</w:t>
            </w:r>
          </w:p>
        </w:tc>
        <w:tc>
          <w:tcPr>
            <w:tcW w:w="2254" w:type="dxa"/>
            <w:tcBorders>
              <w:bottom w:val="single" w:sz="4" w:space="0" w:color="auto"/>
            </w:tcBorders>
          </w:tcPr>
          <w:p w14:paraId="494590E3" w14:textId="4B7FD0F5" w:rsidR="00397633" w:rsidRPr="004511FF" w:rsidRDefault="00397633" w:rsidP="00183E51">
            <w:pPr>
              <w:ind w:left="629" w:right="-11"/>
            </w:pPr>
            <w:r>
              <w:t>¼</w:t>
            </w:r>
          </w:p>
        </w:tc>
        <w:tc>
          <w:tcPr>
            <w:tcW w:w="2254" w:type="dxa"/>
            <w:tcBorders>
              <w:bottom w:val="single" w:sz="4" w:space="0" w:color="auto"/>
            </w:tcBorders>
          </w:tcPr>
          <w:p w14:paraId="0CD41F52" w14:textId="018019CE" w:rsidR="005A0C24" w:rsidRPr="004511FF" w:rsidRDefault="00397633" w:rsidP="00183E51">
            <w:pPr>
              <w:ind w:left="787" w:right="-22"/>
            </w:pPr>
            <w:r>
              <w:t>¼</w:t>
            </w:r>
          </w:p>
        </w:tc>
      </w:tr>
    </w:tbl>
    <w:p w14:paraId="35715CEA" w14:textId="1F39A7C1" w:rsidR="00F4156B" w:rsidRPr="00B34092" w:rsidRDefault="001A116B" w:rsidP="007F19CA">
      <w:pPr>
        <w:spacing w:before="0"/>
        <w:rPr>
          <w:sz w:val="20"/>
          <w:szCs w:val="20"/>
        </w:rPr>
      </w:pPr>
      <w:r w:rsidRPr="00B34092">
        <w:rPr>
          <w:sz w:val="20"/>
          <w:szCs w:val="20"/>
        </w:rPr>
        <w:t>1</w:t>
      </w:r>
      <w:r w:rsidR="00F62C32" w:rsidRPr="00B34092">
        <w:rPr>
          <w:sz w:val="20"/>
          <w:szCs w:val="20"/>
        </w:rPr>
        <w:t>.</w:t>
      </w:r>
      <w:r w:rsidR="00246C35" w:rsidRPr="00B34092">
        <w:rPr>
          <w:sz w:val="20"/>
          <w:szCs w:val="20"/>
        </w:rPr>
        <w:t xml:space="preserve"> </w:t>
      </w:r>
      <w:r w:rsidR="00DD6929" w:rsidRPr="00B34092">
        <w:rPr>
          <w:sz w:val="20"/>
          <w:szCs w:val="20"/>
        </w:rPr>
        <w:t xml:space="preserve">Year to the end of </w:t>
      </w:r>
      <w:r w:rsidR="00B92402" w:rsidRPr="00B34092">
        <w:rPr>
          <w:sz w:val="20"/>
          <w:szCs w:val="20"/>
        </w:rPr>
        <w:t>September</w:t>
      </w:r>
      <w:r w:rsidR="00DD6929" w:rsidRPr="00B34092">
        <w:rPr>
          <w:sz w:val="20"/>
          <w:szCs w:val="20"/>
        </w:rPr>
        <w:t xml:space="preserve"> 20</w:t>
      </w:r>
      <w:r w:rsidR="00B92402" w:rsidRPr="00B34092">
        <w:rPr>
          <w:sz w:val="20"/>
          <w:szCs w:val="20"/>
        </w:rPr>
        <w:t>20</w:t>
      </w:r>
      <w:r w:rsidR="00DD6929" w:rsidRPr="00B34092">
        <w:rPr>
          <w:sz w:val="20"/>
          <w:szCs w:val="20"/>
        </w:rPr>
        <w:t xml:space="preserve"> and t</w:t>
      </w:r>
      <w:r w:rsidR="00246C35" w:rsidRPr="00B34092">
        <w:rPr>
          <w:sz w:val="20"/>
          <w:szCs w:val="20"/>
        </w:rPr>
        <w:t>hrough t</w:t>
      </w:r>
      <w:r w:rsidR="00C831A0" w:rsidRPr="00B34092">
        <w:rPr>
          <w:sz w:val="20"/>
          <w:szCs w:val="20"/>
        </w:rPr>
        <w:t>he year unless otherwise stated</w:t>
      </w:r>
      <w:r w:rsidR="007F19CA" w:rsidRPr="00B34092">
        <w:rPr>
          <w:sz w:val="20"/>
          <w:szCs w:val="20"/>
        </w:rPr>
        <w:t>.</w:t>
      </w:r>
      <w:r w:rsidR="00246C35" w:rsidRPr="00B34092">
        <w:rPr>
          <w:sz w:val="20"/>
          <w:szCs w:val="20"/>
        </w:rPr>
        <w:br/>
        <w:t xml:space="preserve">2. </w:t>
      </w:r>
      <w:r w:rsidR="000164A7" w:rsidRPr="00B34092">
        <w:rPr>
          <w:sz w:val="20"/>
          <w:szCs w:val="20"/>
        </w:rPr>
        <w:t xml:space="preserve">In </w:t>
      </w:r>
      <w:r w:rsidR="00C831A0" w:rsidRPr="00B34092">
        <w:rPr>
          <w:sz w:val="20"/>
          <w:szCs w:val="20"/>
        </w:rPr>
        <w:t xml:space="preserve">year average </w:t>
      </w:r>
      <w:r w:rsidR="006A67A0" w:rsidRPr="00B34092">
        <w:rPr>
          <w:sz w:val="20"/>
          <w:szCs w:val="20"/>
        </w:rPr>
        <w:t>seasonally adjusted terms</w:t>
      </w:r>
      <w:r w:rsidR="007F19CA" w:rsidRPr="00B34092">
        <w:rPr>
          <w:sz w:val="20"/>
          <w:szCs w:val="20"/>
        </w:rPr>
        <w:t>.</w:t>
      </w:r>
      <w:r w:rsidR="000164A7" w:rsidRPr="00B34092">
        <w:rPr>
          <w:sz w:val="20"/>
          <w:szCs w:val="20"/>
        </w:rPr>
        <w:br/>
        <w:t>3.</w:t>
      </w:r>
      <w:r w:rsidR="00670392" w:rsidRPr="00B34092">
        <w:rPr>
          <w:sz w:val="20"/>
          <w:szCs w:val="20"/>
        </w:rPr>
        <w:t xml:space="preserve"> T</w:t>
      </w:r>
      <w:r w:rsidR="001364C8" w:rsidRPr="00B34092">
        <w:rPr>
          <w:sz w:val="20"/>
          <w:szCs w:val="20"/>
        </w:rPr>
        <w:t>h</w:t>
      </w:r>
      <w:r w:rsidR="008B60FD">
        <w:rPr>
          <w:sz w:val="20"/>
          <w:szCs w:val="20"/>
        </w:rPr>
        <w:t>r</w:t>
      </w:r>
      <w:r w:rsidR="001364C8" w:rsidRPr="00B34092">
        <w:rPr>
          <w:sz w:val="20"/>
          <w:szCs w:val="20"/>
        </w:rPr>
        <w:t>ough the year t</w:t>
      </w:r>
      <w:r w:rsidR="000164A7" w:rsidRPr="00B34092">
        <w:rPr>
          <w:sz w:val="20"/>
          <w:szCs w:val="20"/>
        </w:rPr>
        <w:t xml:space="preserve">o the end of </w:t>
      </w:r>
      <w:r w:rsidR="00B92402" w:rsidRPr="00B34092">
        <w:rPr>
          <w:sz w:val="20"/>
          <w:szCs w:val="20"/>
        </w:rPr>
        <w:t>December</w:t>
      </w:r>
      <w:r w:rsidR="00B2552E" w:rsidRPr="00B34092">
        <w:rPr>
          <w:sz w:val="20"/>
          <w:szCs w:val="20"/>
        </w:rPr>
        <w:t xml:space="preserve"> </w:t>
      </w:r>
      <w:r w:rsidR="000164A7" w:rsidRPr="00B34092">
        <w:rPr>
          <w:sz w:val="20"/>
          <w:szCs w:val="20"/>
        </w:rPr>
        <w:t>20</w:t>
      </w:r>
      <w:r w:rsidR="00B92402" w:rsidRPr="00B34092">
        <w:rPr>
          <w:sz w:val="20"/>
          <w:szCs w:val="20"/>
        </w:rPr>
        <w:t>20</w:t>
      </w:r>
      <w:r w:rsidR="001364C8" w:rsidRPr="00B34092">
        <w:rPr>
          <w:sz w:val="20"/>
          <w:szCs w:val="20"/>
        </w:rPr>
        <w:t xml:space="preserve"> in </w:t>
      </w:r>
      <w:r w:rsidR="00B92402" w:rsidRPr="00B34092">
        <w:rPr>
          <w:sz w:val="20"/>
          <w:szCs w:val="20"/>
        </w:rPr>
        <w:t xml:space="preserve">seasonally adjusted </w:t>
      </w:r>
      <w:r w:rsidR="00805D83" w:rsidRPr="00B34092">
        <w:rPr>
          <w:sz w:val="20"/>
          <w:szCs w:val="20"/>
        </w:rPr>
        <w:t>terms</w:t>
      </w:r>
      <w:r w:rsidR="007F19CA" w:rsidRPr="00B34092">
        <w:rPr>
          <w:sz w:val="20"/>
          <w:szCs w:val="20"/>
        </w:rPr>
        <w:t>.</w:t>
      </w:r>
      <w:r w:rsidR="001C239B" w:rsidRPr="00B34092">
        <w:rPr>
          <w:sz w:val="20"/>
          <w:szCs w:val="20"/>
        </w:rPr>
        <w:br/>
        <w:t>4. Through the year to the end of September 20</w:t>
      </w:r>
      <w:r w:rsidR="00B92402" w:rsidRPr="00B34092">
        <w:rPr>
          <w:sz w:val="20"/>
          <w:szCs w:val="20"/>
        </w:rPr>
        <w:t>20</w:t>
      </w:r>
      <w:r w:rsidR="007F19CA" w:rsidRPr="00B34092">
        <w:rPr>
          <w:sz w:val="20"/>
          <w:szCs w:val="20"/>
        </w:rPr>
        <w:t>.</w:t>
      </w:r>
      <w:r w:rsidR="00B92402" w:rsidRPr="00B34092">
        <w:rPr>
          <w:sz w:val="20"/>
          <w:szCs w:val="20"/>
        </w:rPr>
        <w:br/>
        <w:t>5. Through the year to the end of December 2020.</w:t>
      </w:r>
      <w:r w:rsidR="00B92402" w:rsidRPr="00B34092">
        <w:rPr>
          <w:sz w:val="20"/>
          <w:szCs w:val="20"/>
        </w:rPr>
        <w:br/>
        <w:t xml:space="preserve">6. Through the year to the end of </w:t>
      </w:r>
      <w:r w:rsidR="00D97B30" w:rsidRPr="00B34092">
        <w:rPr>
          <w:sz w:val="20"/>
          <w:szCs w:val="20"/>
        </w:rPr>
        <w:t>June</w:t>
      </w:r>
      <w:r w:rsidR="00B92402" w:rsidRPr="00B34092">
        <w:rPr>
          <w:sz w:val="20"/>
          <w:szCs w:val="20"/>
        </w:rPr>
        <w:t xml:space="preserve"> 2020.</w:t>
      </w:r>
      <w:r w:rsidR="00B92402" w:rsidRPr="00B34092">
        <w:rPr>
          <w:sz w:val="20"/>
          <w:szCs w:val="20"/>
        </w:rPr>
        <w:br/>
        <w:t xml:space="preserve">Sources: </w:t>
      </w:r>
      <w:r w:rsidR="00AB05D0" w:rsidRPr="00B34092">
        <w:rPr>
          <w:sz w:val="20"/>
          <w:szCs w:val="20"/>
        </w:rPr>
        <w:t xml:space="preserve">ACT Government </w:t>
      </w:r>
      <w:sdt>
        <w:sdtPr>
          <w:rPr>
            <w:sz w:val="20"/>
            <w:szCs w:val="20"/>
          </w:rPr>
          <w:id w:val="-1952615159"/>
          <w:citation/>
        </w:sdtPr>
        <w:sdtContent>
          <w:r w:rsidR="00AB05D0" w:rsidRPr="00B34092">
            <w:rPr>
              <w:sz w:val="20"/>
              <w:szCs w:val="20"/>
            </w:rPr>
            <w:fldChar w:fldCharType="begin"/>
          </w:r>
          <w:r w:rsidR="00DA22D6" w:rsidRPr="00B34092">
            <w:rPr>
              <w:sz w:val="20"/>
              <w:szCs w:val="20"/>
            </w:rPr>
            <w:instrText xml:space="preserve">CITATION ACT21 \n  \t  \l 3081 </w:instrText>
          </w:r>
          <w:r w:rsidR="00AB05D0" w:rsidRPr="00B34092">
            <w:rPr>
              <w:sz w:val="20"/>
              <w:szCs w:val="20"/>
            </w:rPr>
            <w:fldChar w:fldCharType="separate"/>
          </w:r>
          <w:r w:rsidR="00DA22D6" w:rsidRPr="00B34092">
            <w:rPr>
              <w:noProof/>
              <w:sz w:val="20"/>
              <w:szCs w:val="20"/>
            </w:rPr>
            <w:t>(2021)</w:t>
          </w:r>
          <w:r w:rsidR="00AB05D0" w:rsidRPr="00B34092">
            <w:rPr>
              <w:sz w:val="20"/>
              <w:szCs w:val="20"/>
            </w:rPr>
            <w:fldChar w:fldCharType="end"/>
          </w:r>
        </w:sdtContent>
      </w:sdt>
      <w:r w:rsidR="00AB05D0" w:rsidRPr="00B34092">
        <w:rPr>
          <w:sz w:val="20"/>
          <w:szCs w:val="20"/>
        </w:rPr>
        <w:t xml:space="preserve">, </w:t>
      </w:r>
      <w:r w:rsidR="00B92402" w:rsidRPr="00B34092">
        <w:rPr>
          <w:sz w:val="20"/>
          <w:szCs w:val="20"/>
        </w:rPr>
        <w:t>Australian Bureau of Statistics (ABS)</w:t>
      </w:r>
      <w:r w:rsidR="007235CD" w:rsidRPr="00B34092">
        <w:rPr>
          <w:sz w:val="20"/>
          <w:szCs w:val="20"/>
        </w:rPr>
        <w:t xml:space="preserve"> </w:t>
      </w:r>
      <w:r w:rsidR="00F4156B" w:rsidRPr="00B34092">
        <w:rPr>
          <w:sz w:val="20"/>
          <w:szCs w:val="20"/>
        </w:rPr>
        <w:t>(2020, 2020d, 2021, 2021a).</w:t>
      </w:r>
    </w:p>
    <w:p w14:paraId="192A6A93" w14:textId="7301CD01" w:rsidR="001B4F63" w:rsidRPr="00A00081" w:rsidRDefault="004733C7" w:rsidP="00326DE1">
      <w:pPr>
        <w:pStyle w:val="Heading2"/>
        <w:spacing w:after="240"/>
      </w:pPr>
      <w:bookmarkStart w:id="30" w:name="_Ref453164292"/>
      <w:bookmarkStart w:id="31" w:name="_Toc453495107"/>
      <w:bookmarkStart w:id="32" w:name="_Toc453516106"/>
      <w:bookmarkStart w:id="33" w:name="_Toc64529024"/>
      <w:r w:rsidRPr="00F4156B">
        <w:t>2</w:t>
      </w:r>
      <w:r w:rsidR="002223A7" w:rsidRPr="00F4156B">
        <w:t>.</w:t>
      </w:r>
      <w:r w:rsidR="00F4156B" w:rsidRPr="00F4156B">
        <w:t>2</w:t>
      </w:r>
      <w:r w:rsidR="002223A7" w:rsidRPr="00F4156B">
        <w:tab/>
        <w:t>ACT Final Demand</w:t>
      </w:r>
      <w:bookmarkEnd w:id="30"/>
      <w:bookmarkEnd w:id="31"/>
      <w:bookmarkEnd w:id="32"/>
      <w:bookmarkEnd w:id="33"/>
    </w:p>
    <w:p w14:paraId="0B473C95" w14:textId="4CA18003" w:rsidR="002223A7" w:rsidRDefault="002223A7" w:rsidP="002223A7">
      <w:r w:rsidRPr="00A00081">
        <w:t>The best and most immediate indicator of economic activity</w:t>
      </w:r>
      <w:r w:rsidR="003F7D4D" w:rsidRPr="00A00081">
        <w:t xml:space="preserve"> within the ACT is</w:t>
      </w:r>
      <w:r w:rsidRPr="00A00081">
        <w:t xml:space="preserve"> final demand. </w:t>
      </w:r>
      <w:r w:rsidR="00B5095E" w:rsidRPr="00A00081">
        <w:t>E</w:t>
      </w:r>
      <w:r w:rsidRPr="00A00081">
        <w:t xml:space="preserve">stimates of gross state product (GSP) are only published </w:t>
      </w:r>
      <w:r w:rsidR="00612899" w:rsidRPr="00A00081">
        <w:t xml:space="preserve">annually </w:t>
      </w:r>
      <w:r w:rsidRPr="00A00081">
        <w:t xml:space="preserve">with a significant time </w:t>
      </w:r>
      <w:r w:rsidR="00612899" w:rsidRPr="00A00081">
        <w:t>delay</w:t>
      </w:r>
      <w:r w:rsidRPr="00A00081">
        <w:t xml:space="preserve"> following the end of the financial year and quarterly estimates are not available. </w:t>
      </w:r>
      <w:r w:rsidR="00F509B9" w:rsidRPr="00A00081">
        <w:t xml:space="preserve">Because there is no timely way to get </w:t>
      </w:r>
      <w:r w:rsidR="00B56FC0">
        <w:t xml:space="preserve">a </w:t>
      </w:r>
      <w:r w:rsidR="00F509B9" w:rsidRPr="00A00081">
        <w:t>gauge on GSP, it will not be considered further.</w:t>
      </w:r>
    </w:p>
    <w:p w14:paraId="6AB8C18A" w14:textId="35422E0B" w:rsidR="003C5854" w:rsidRPr="00A00081" w:rsidRDefault="003C5854" w:rsidP="002223A7">
      <w:r>
        <w:t xml:space="preserve">The most recent national accounts released by the </w:t>
      </w:r>
      <w:r w:rsidRPr="00A00081">
        <w:t>Australian Bureau of Statistics</w:t>
      </w:r>
      <w:r>
        <w:t xml:space="preserve"> (ABS) </w:t>
      </w:r>
      <w:sdt>
        <w:sdtPr>
          <w:id w:val="-1717037279"/>
          <w:citation/>
        </w:sdtPr>
        <w:sdtContent>
          <w:r>
            <w:fldChar w:fldCharType="begin"/>
          </w:r>
          <w:r w:rsidR="00C85D3E">
            <w:instrText xml:space="preserve">CITATION Aus16 \l 3081 </w:instrText>
          </w:r>
          <w:r>
            <w:fldChar w:fldCharType="separate"/>
          </w:r>
          <w:r w:rsidR="00C85D3E">
            <w:rPr>
              <w:noProof/>
            </w:rPr>
            <w:t>(Australian Bureau of Statistics, 2020)</w:t>
          </w:r>
          <w:r>
            <w:fldChar w:fldCharType="end"/>
          </w:r>
        </w:sdtContent>
      </w:sdt>
      <w:r>
        <w:t xml:space="preserve"> relates to the September quarter 2020. </w:t>
      </w:r>
      <w:r w:rsidR="0055503F">
        <w:t xml:space="preserve">ACT final demand contracted by 1.7 per cent in June quarter 2020 as parts of the economy were shut down due to the COVID-19 pandemic, driven by an 11.8 per cent fall in household consumption. However, ACT final demand partially recovered during the September quarter 2020 growing by 2.0 per cent, with household consumption growing by 8.7 per cent </w:t>
      </w:r>
      <w:r w:rsidR="0005285B">
        <w:t>during</w:t>
      </w:r>
      <w:r w:rsidR="0055503F">
        <w:t xml:space="preserve"> the quarter.</w:t>
      </w:r>
    </w:p>
    <w:p w14:paraId="2F90F197" w14:textId="546E2C41" w:rsidR="0005285B" w:rsidRDefault="0055503F" w:rsidP="002223A7">
      <w:r>
        <w:lastRenderedPageBreak/>
        <w:t>G</w:t>
      </w:r>
      <w:r w:rsidR="00B5095E" w:rsidRPr="008C4A90">
        <w:t>rowth in final demand</w:t>
      </w:r>
      <w:r w:rsidR="00EC186F" w:rsidRPr="008C4A90">
        <w:t xml:space="preserve"> </w:t>
      </w:r>
      <w:r w:rsidR="00705D8D">
        <w:t xml:space="preserve">for the year ending </w:t>
      </w:r>
      <w:r>
        <w:t>September</w:t>
      </w:r>
      <w:r w:rsidR="00705D8D">
        <w:t xml:space="preserve"> 20</w:t>
      </w:r>
      <w:r>
        <w:t>20</w:t>
      </w:r>
      <w:r w:rsidR="00705D8D">
        <w:t xml:space="preserve"> was </w:t>
      </w:r>
      <w:r>
        <w:t>3.1</w:t>
      </w:r>
      <w:r w:rsidR="00705D8D">
        <w:t xml:space="preserve"> per cent, </w:t>
      </w:r>
      <w:r>
        <w:t xml:space="preserve">which is </w:t>
      </w:r>
      <w:r w:rsidR="00705D8D">
        <w:t>consistent with</w:t>
      </w:r>
      <w:r w:rsidR="0068231D">
        <w:t xml:space="preserve"> </w:t>
      </w:r>
      <w:r w:rsidR="00EC186F" w:rsidRPr="008C4A90">
        <w:t>the Bud</w:t>
      </w:r>
      <w:r w:rsidR="00806654">
        <w:t>get estimate</w:t>
      </w:r>
      <w:r w:rsidR="004D5F03" w:rsidRPr="008C4A90">
        <w:t xml:space="preserve"> </w:t>
      </w:r>
      <w:r w:rsidR="00705D8D">
        <w:t xml:space="preserve">for an increase in ACT final demand of </w:t>
      </w:r>
      <w:r>
        <w:t>3</w:t>
      </w:r>
      <w:r w:rsidR="00705D8D">
        <w:t>¼ </w:t>
      </w:r>
      <w:r w:rsidR="0068231D">
        <w:t>per</w:t>
      </w:r>
      <w:r w:rsidR="00705D8D">
        <w:t> </w:t>
      </w:r>
      <w:r w:rsidR="0068231D">
        <w:t xml:space="preserve">cent </w:t>
      </w:r>
      <w:r w:rsidR="004D5F03" w:rsidRPr="008C4A90">
        <w:t>for 20</w:t>
      </w:r>
      <w:r>
        <w:t>20</w:t>
      </w:r>
      <w:r w:rsidR="004D5F03" w:rsidRPr="008C4A90">
        <w:t>-</w:t>
      </w:r>
      <w:r>
        <w:t>21</w:t>
      </w:r>
      <w:r w:rsidR="0005285B">
        <w:t xml:space="preserve"> assuming the recent strength observed in household consumption continues.</w:t>
      </w:r>
    </w:p>
    <w:p w14:paraId="498E9010" w14:textId="66FBB0A9" w:rsidR="00705D8D" w:rsidRDefault="0058165A" w:rsidP="002223A7">
      <w:r>
        <w:t xml:space="preserve">The available evidence suggests that household consumption in the ACT has </w:t>
      </w:r>
      <w:r w:rsidR="0005285B">
        <w:t>now more than</w:t>
      </w:r>
      <w:r>
        <w:t xml:space="preserve"> recovered from its COVID-19 pandemic induced slump</w:t>
      </w:r>
      <w:r w:rsidR="007F6920">
        <w:t>. In the December quarter 2020, retail turnover (that makes up just over one third of household consumption), was 8.6 per cent higher (in seasonally adjusted terms) than it was during December quarter 2019. Retail turnover for the ACT economy is outlined in Figure 1 below.</w:t>
      </w:r>
    </w:p>
    <w:p w14:paraId="783CFB95" w14:textId="09CE3FCA" w:rsidR="007F6920" w:rsidRDefault="007F6920" w:rsidP="007F6920">
      <w:pPr>
        <w:pStyle w:val="Caption"/>
      </w:pPr>
      <w:bookmarkStart w:id="34" w:name="_Toc64529093"/>
      <w:r>
        <w:t xml:space="preserve">Figure </w:t>
      </w:r>
      <w:fldSimple w:instr=" SEQ Figure \* ARABIC ">
        <w:r w:rsidR="00AB7125">
          <w:rPr>
            <w:noProof/>
          </w:rPr>
          <w:t>1</w:t>
        </w:r>
      </w:fldSimple>
      <w:r>
        <w:t xml:space="preserve">: Retail Turnover for the ACT Economy, March Quarter 2019 to the September Quarter 2020 </w:t>
      </w:r>
      <w:r w:rsidRPr="0070630A">
        <w:t>($ million, constant 201</w:t>
      </w:r>
      <w:r>
        <w:t>8</w:t>
      </w:r>
      <w:r w:rsidRPr="0070630A">
        <w:t>-1</w:t>
      </w:r>
      <w:r>
        <w:t>9</w:t>
      </w:r>
      <w:r w:rsidRPr="0070630A">
        <w:t xml:space="preserve"> dollars)</w:t>
      </w:r>
      <w:bookmarkEnd w:id="34"/>
    </w:p>
    <w:p w14:paraId="22EECA2E" w14:textId="75554868" w:rsidR="007F6920" w:rsidRDefault="0017329E" w:rsidP="0017329E">
      <w:pPr>
        <w:spacing w:before="0" w:after="0"/>
      </w:pPr>
      <w:r>
        <w:rPr>
          <w:noProof/>
          <w:lang w:eastAsia="en-AU"/>
        </w:rPr>
        <w:drawing>
          <wp:inline distT="0" distB="0" distL="0" distR="0" wp14:anchorId="237AEE61" wp14:editId="3B0CCCE7">
            <wp:extent cx="5704840" cy="3033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193" cy="3045089"/>
                    </a:xfrm>
                    <a:prstGeom prst="rect">
                      <a:avLst/>
                    </a:prstGeom>
                    <a:noFill/>
                  </pic:spPr>
                </pic:pic>
              </a:graphicData>
            </a:graphic>
          </wp:inline>
        </w:drawing>
      </w:r>
      <w:r>
        <w:br/>
      </w:r>
      <w:r w:rsidRPr="00B34092">
        <w:rPr>
          <w:sz w:val="20"/>
          <w:szCs w:val="20"/>
        </w:rPr>
        <w:t xml:space="preserve">Source: ABS </w:t>
      </w:r>
      <w:sdt>
        <w:sdtPr>
          <w:rPr>
            <w:sz w:val="20"/>
            <w:szCs w:val="20"/>
          </w:rPr>
          <w:id w:val="207386129"/>
          <w:citation/>
        </w:sdtPr>
        <w:sdtContent>
          <w:r w:rsidRPr="00B34092">
            <w:rPr>
              <w:sz w:val="20"/>
              <w:szCs w:val="20"/>
            </w:rPr>
            <w:fldChar w:fldCharType="begin"/>
          </w:r>
          <w:r w:rsidRPr="00B34092">
            <w:rPr>
              <w:sz w:val="20"/>
              <w:szCs w:val="20"/>
            </w:rPr>
            <w:instrText xml:space="preserve">CITATION Aus1b \n  \t  \l 3081 </w:instrText>
          </w:r>
          <w:r w:rsidRPr="00B34092">
            <w:rPr>
              <w:sz w:val="20"/>
              <w:szCs w:val="20"/>
            </w:rPr>
            <w:fldChar w:fldCharType="separate"/>
          </w:r>
          <w:r w:rsidRPr="00B34092">
            <w:rPr>
              <w:noProof/>
              <w:sz w:val="20"/>
              <w:szCs w:val="20"/>
            </w:rPr>
            <w:t>(2021b)</w:t>
          </w:r>
          <w:r w:rsidRPr="00B34092">
            <w:rPr>
              <w:sz w:val="20"/>
              <w:szCs w:val="20"/>
            </w:rPr>
            <w:fldChar w:fldCharType="end"/>
          </w:r>
        </w:sdtContent>
      </w:sdt>
      <w:r w:rsidRPr="00B34092">
        <w:rPr>
          <w:sz w:val="20"/>
          <w:szCs w:val="20"/>
        </w:rPr>
        <w:t>.</w:t>
      </w:r>
    </w:p>
    <w:p w14:paraId="21AA9BE4" w14:textId="0BA7F3AD" w:rsidR="0005285B" w:rsidRDefault="0005285B" w:rsidP="002223A7">
      <w:r>
        <w:t xml:space="preserve">Pegasus has no reason to query the forecasts of ACT final demand of growth of </w:t>
      </w:r>
      <w:r w:rsidR="0039782F">
        <w:t>3¼ per cent in 2020-21, moderating to 2¼ per cent in 2021-22.</w:t>
      </w:r>
    </w:p>
    <w:p w14:paraId="2FFFD718" w14:textId="60B52DCB" w:rsidR="00BA2056" w:rsidRDefault="00142EF4" w:rsidP="002223A7">
      <w:r w:rsidRPr="00A00081">
        <w:t xml:space="preserve">Economic forecasting in a modern mixed economy </w:t>
      </w:r>
      <w:r w:rsidR="00193A0D">
        <w:t xml:space="preserve">is </w:t>
      </w:r>
      <w:r w:rsidRPr="00A00081">
        <w:t>usually focuse</w:t>
      </w:r>
      <w:r w:rsidR="00FD5AF7" w:rsidRPr="00A00081">
        <w:t>d</w:t>
      </w:r>
      <w:r w:rsidRPr="00A00081">
        <w:t xml:space="preserve"> on the largest components </w:t>
      </w:r>
      <w:r w:rsidR="00193A0D">
        <w:t xml:space="preserve">of economic activity, </w:t>
      </w:r>
      <w:r w:rsidRPr="00A00081">
        <w:t xml:space="preserve">which are generally </w:t>
      </w:r>
      <w:r w:rsidR="00FD5AF7" w:rsidRPr="00A00081">
        <w:t xml:space="preserve">composed of </w:t>
      </w:r>
      <w:r w:rsidRPr="00A00081">
        <w:t xml:space="preserve">household consumption and private investment. </w:t>
      </w:r>
      <w:r w:rsidR="00BA2056">
        <w:t>This can be seen in Figure 2 below that presents the four main components of the New South Wales (NSW) economy.</w:t>
      </w:r>
    </w:p>
    <w:p w14:paraId="16E3A3C1" w14:textId="360DD9BD" w:rsidR="00BA2056" w:rsidRDefault="00BA2056">
      <w:r>
        <w:br w:type="page"/>
      </w:r>
    </w:p>
    <w:p w14:paraId="28EA602F" w14:textId="1E3DF1EC" w:rsidR="00BA2056" w:rsidRDefault="00BA2056" w:rsidP="00BA2056">
      <w:pPr>
        <w:pStyle w:val="Caption"/>
      </w:pPr>
      <w:bookmarkStart w:id="35" w:name="_Toc64529094"/>
      <w:r>
        <w:lastRenderedPageBreak/>
        <w:t xml:space="preserve">Figure </w:t>
      </w:r>
      <w:fldSimple w:instr=" SEQ Figure \* ARABIC ">
        <w:r w:rsidR="00AB7125">
          <w:rPr>
            <w:noProof/>
          </w:rPr>
          <w:t>2</w:t>
        </w:r>
      </w:fldSimple>
      <w:r>
        <w:t xml:space="preserve">: </w:t>
      </w:r>
      <w:r w:rsidRPr="00BC63CC">
        <w:t>Components of</w:t>
      </w:r>
      <w:r>
        <w:t xml:space="preserve"> Fi</w:t>
      </w:r>
      <w:r w:rsidRPr="00BC63CC">
        <w:t xml:space="preserve">nal </w:t>
      </w:r>
      <w:r>
        <w:t>D</w:t>
      </w:r>
      <w:r w:rsidRPr="00BC63CC">
        <w:t xml:space="preserve">emand for the </w:t>
      </w:r>
      <w:r>
        <w:t>New South Wales</w:t>
      </w:r>
      <w:r w:rsidRPr="00BC63CC">
        <w:t xml:space="preserve"> economy, year ended </w:t>
      </w:r>
      <w:r>
        <w:t>September</w:t>
      </w:r>
      <w:r w:rsidRPr="00BC63CC">
        <w:t xml:space="preserve"> 20</w:t>
      </w:r>
      <w:r>
        <w:t>20</w:t>
      </w:r>
      <w:bookmarkEnd w:id="35"/>
    </w:p>
    <w:p w14:paraId="0939F337" w14:textId="76421881" w:rsidR="00BA2056" w:rsidRDefault="00BA2056" w:rsidP="00AB05D0">
      <w:pPr>
        <w:spacing w:before="0"/>
      </w:pPr>
      <w:r>
        <w:rPr>
          <w:noProof/>
          <w:lang w:eastAsia="en-AU"/>
        </w:rPr>
        <w:drawing>
          <wp:inline distT="0" distB="0" distL="0" distR="0" wp14:anchorId="756AD25A" wp14:editId="028E4E71">
            <wp:extent cx="5303520" cy="2750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2750820"/>
                    </a:xfrm>
                    <a:prstGeom prst="rect">
                      <a:avLst/>
                    </a:prstGeom>
                    <a:noFill/>
                  </pic:spPr>
                </pic:pic>
              </a:graphicData>
            </a:graphic>
          </wp:inline>
        </w:drawing>
      </w:r>
      <w:r w:rsidR="00AB05D0">
        <w:br/>
      </w:r>
      <w:r w:rsidR="00AB05D0" w:rsidRPr="00A00081">
        <w:rPr>
          <w:sz w:val="20"/>
          <w:szCs w:val="20"/>
        </w:rPr>
        <w:t xml:space="preserve">Source: ABS </w:t>
      </w:r>
      <w:sdt>
        <w:sdtPr>
          <w:rPr>
            <w:sz w:val="20"/>
            <w:szCs w:val="20"/>
          </w:rPr>
          <w:id w:val="-857810928"/>
          <w:citation/>
        </w:sdtPr>
        <w:sdtContent>
          <w:r w:rsidR="00AB05D0" w:rsidRPr="00A00081">
            <w:rPr>
              <w:sz w:val="20"/>
              <w:szCs w:val="20"/>
            </w:rPr>
            <w:fldChar w:fldCharType="begin"/>
          </w:r>
          <w:r w:rsidR="00C85D3E">
            <w:rPr>
              <w:sz w:val="20"/>
              <w:szCs w:val="20"/>
            </w:rPr>
            <w:instrText xml:space="preserve">CITATION Aus16 \n  \t  \l 3081 </w:instrText>
          </w:r>
          <w:r w:rsidR="00AB05D0" w:rsidRPr="00A00081">
            <w:rPr>
              <w:sz w:val="20"/>
              <w:szCs w:val="20"/>
            </w:rPr>
            <w:fldChar w:fldCharType="separate"/>
          </w:r>
          <w:r w:rsidR="00C85D3E" w:rsidRPr="00C85D3E">
            <w:rPr>
              <w:noProof/>
              <w:sz w:val="20"/>
              <w:szCs w:val="20"/>
            </w:rPr>
            <w:t>(2020)</w:t>
          </w:r>
          <w:r w:rsidR="00AB05D0" w:rsidRPr="00A00081">
            <w:rPr>
              <w:sz w:val="20"/>
              <w:szCs w:val="20"/>
            </w:rPr>
            <w:fldChar w:fldCharType="end"/>
          </w:r>
        </w:sdtContent>
      </w:sdt>
      <w:r w:rsidR="00AB05D0">
        <w:rPr>
          <w:sz w:val="20"/>
          <w:szCs w:val="20"/>
        </w:rPr>
        <w:t>.</w:t>
      </w:r>
    </w:p>
    <w:p w14:paraId="5BE33FA6" w14:textId="20CA3AAE" w:rsidR="0023467A" w:rsidRDefault="00142EF4" w:rsidP="002223A7">
      <w:r w:rsidRPr="00A00081">
        <w:t xml:space="preserve">However, the ACT, as the </w:t>
      </w:r>
      <w:r w:rsidR="00193A0D">
        <w:t xml:space="preserve">seat </w:t>
      </w:r>
      <w:r w:rsidR="00137E13" w:rsidRPr="00A00081">
        <w:t>of</w:t>
      </w:r>
      <w:r w:rsidRPr="00A00081">
        <w:t xml:space="preserve"> the Commonwealth Government, is </w:t>
      </w:r>
      <w:r w:rsidR="001C12AF" w:rsidRPr="00A00081">
        <w:t>heavily dependent</w:t>
      </w:r>
      <w:r w:rsidRPr="00A00081">
        <w:t xml:space="preserve"> </w:t>
      </w:r>
      <w:r w:rsidR="001C12AF" w:rsidRPr="00A00081">
        <w:t>on</w:t>
      </w:r>
      <w:r w:rsidRPr="00A00081">
        <w:t xml:space="preserve"> the consumption</w:t>
      </w:r>
      <w:r w:rsidR="001C12AF" w:rsidRPr="00A00081">
        <w:t xml:space="preserve"> and </w:t>
      </w:r>
      <w:r w:rsidR="00C7280D" w:rsidRPr="00A00081">
        <w:t>i</w:t>
      </w:r>
      <w:r w:rsidR="001C12AF" w:rsidRPr="00A00081">
        <w:t xml:space="preserve">nvestment </w:t>
      </w:r>
      <w:r w:rsidRPr="00A00081">
        <w:t>decisions of the Commonwealth</w:t>
      </w:r>
      <w:r w:rsidR="00C7280D" w:rsidRPr="00A00081">
        <w:t xml:space="preserve"> Government</w:t>
      </w:r>
      <w:r w:rsidR="003A6702">
        <w:t>.</w:t>
      </w:r>
    </w:p>
    <w:p w14:paraId="607ACEF8" w14:textId="15702AAD" w:rsidR="0017329E" w:rsidRDefault="003A6702" w:rsidP="002223A7">
      <w:r>
        <w:t>I</w:t>
      </w:r>
      <w:r w:rsidR="001D15F1">
        <w:t>n</w:t>
      </w:r>
      <w:r w:rsidR="00142EF4" w:rsidRPr="00A00081">
        <w:t xml:space="preserve"> the year to the end of </w:t>
      </w:r>
      <w:r w:rsidR="0017329E">
        <w:t>September</w:t>
      </w:r>
      <w:r w:rsidR="00142EF4" w:rsidRPr="00A00081">
        <w:t xml:space="preserve"> 20</w:t>
      </w:r>
      <w:r w:rsidR="0017329E">
        <w:t>20</w:t>
      </w:r>
      <w:r w:rsidR="00142EF4" w:rsidRPr="00A00081">
        <w:t>, the Commonwealth</w:t>
      </w:r>
      <w:r w:rsidR="001D15F1">
        <w:t xml:space="preserve"> </w:t>
      </w:r>
      <w:r w:rsidR="00142EF4" w:rsidRPr="00A00081">
        <w:t>represented</w:t>
      </w:r>
      <w:r w:rsidR="00D06BC4">
        <w:t xml:space="preserve"> </w:t>
      </w:r>
      <w:r w:rsidR="00C12411">
        <w:t>4</w:t>
      </w:r>
      <w:r w:rsidR="0017329E">
        <w:t>3</w:t>
      </w:r>
      <w:r w:rsidR="00C12411">
        <w:t>.</w:t>
      </w:r>
      <w:r w:rsidR="0017329E">
        <w:t>8</w:t>
      </w:r>
      <w:r w:rsidR="00142EF4" w:rsidRPr="00A00081">
        <w:t xml:space="preserve"> per cent of total demand in the ACT economy, compared to household consumption that mad</w:t>
      </w:r>
      <w:r w:rsidR="00F509B9" w:rsidRPr="00A00081">
        <w:t xml:space="preserve">e up </w:t>
      </w:r>
      <w:r w:rsidR="00C12411">
        <w:t>3</w:t>
      </w:r>
      <w:r w:rsidR="0017329E">
        <w:t>4</w:t>
      </w:r>
      <w:r w:rsidR="00C12411">
        <w:t>.</w:t>
      </w:r>
      <w:r w:rsidR="0017329E">
        <w:t>9</w:t>
      </w:r>
      <w:r w:rsidR="00C00B65">
        <w:t> </w:t>
      </w:r>
      <w:r w:rsidR="00F509B9" w:rsidRPr="00A00081">
        <w:t>per</w:t>
      </w:r>
      <w:r w:rsidR="00C00B65">
        <w:t> </w:t>
      </w:r>
      <w:r w:rsidR="00F509B9" w:rsidRPr="00A00081">
        <w:t>cent</w:t>
      </w:r>
      <w:r w:rsidR="00142EF4" w:rsidRPr="00A00081">
        <w:t xml:space="preserve">, </w:t>
      </w:r>
      <w:r w:rsidR="00137E13" w:rsidRPr="00A00081">
        <w:t>private investment of</w:t>
      </w:r>
      <w:r w:rsidR="00142EF4" w:rsidRPr="00A00081">
        <w:t xml:space="preserve"> </w:t>
      </w:r>
      <w:r w:rsidR="00C12411">
        <w:t>11.2</w:t>
      </w:r>
      <w:r w:rsidR="00142EF4" w:rsidRPr="00A00081">
        <w:t xml:space="preserve"> per cent, and </w:t>
      </w:r>
      <w:r w:rsidR="0017329E">
        <w:t>10.2</w:t>
      </w:r>
      <w:r w:rsidR="00142EF4" w:rsidRPr="00A00081">
        <w:t xml:space="preserve"> </w:t>
      </w:r>
      <w:r w:rsidR="00996AC1" w:rsidRPr="00A00081">
        <w:t xml:space="preserve">per cent for the ACT Government as illustrated in </w:t>
      </w:r>
      <w:r w:rsidR="000035C8">
        <w:fldChar w:fldCharType="begin"/>
      </w:r>
      <w:r w:rsidR="000035C8">
        <w:instrText xml:space="preserve"> REF _Ref453488250 \h  \* MERGEFORMAT </w:instrText>
      </w:r>
      <w:r w:rsidR="000035C8">
        <w:fldChar w:fldCharType="separate"/>
      </w:r>
      <w:r w:rsidR="00AB7125" w:rsidRPr="00BC63CC">
        <w:t xml:space="preserve">Figure </w:t>
      </w:r>
      <w:r w:rsidR="00AB7125">
        <w:rPr>
          <w:noProof/>
        </w:rPr>
        <w:t>3</w:t>
      </w:r>
      <w:r w:rsidR="000035C8">
        <w:fldChar w:fldCharType="end"/>
      </w:r>
      <w:r w:rsidR="00AB05D0">
        <w:t>3</w:t>
      </w:r>
      <w:r w:rsidR="00996AC1" w:rsidRPr="00A00081">
        <w:t xml:space="preserve"> below.</w:t>
      </w:r>
    </w:p>
    <w:p w14:paraId="6262F32F" w14:textId="261CF0EA" w:rsidR="00C831A0" w:rsidRPr="00A00081" w:rsidRDefault="00C831A0" w:rsidP="0021457E">
      <w:pPr>
        <w:pStyle w:val="Caption"/>
        <w:spacing w:before="0"/>
      </w:pPr>
      <w:bookmarkStart w:id="36" w:name="_Ref453488250"/>
      <w:bookmarkStart w:id="37" w:name="_Toc453495069"/>
      <w:bookmarkStart w:id="38" w:name="_Toc453516068"/>
      <w:bookmarkStart w:id="39" w:name="_Toc64529095"/>
      <w:r w:rsidRPr="00BC63CC">
        <w:t xml:space="preserve">Figure </w:t>
      </w:r>
      <w:r w:rsidR="00AF4AA5" w:rsidRPr="00BC63CC">
        <w:fldChar w:fldCharType="begin"/>
      </w:r>
      <w:r w:rsidRPr="00BC63CC">
        <w:instrText xml:space="preserve"> SEQ Figure \* ARABIC </w:instrText>
      </w:r>
      <w:r w:rsidR="00AF4AA5" w:rsidRPr="00BC63CC">
        <w:fldChar w:fldCharType="separate"/>
      </w:r>
      <w:r w:rsidR="00AB7125">
        <w:rPr>
          <w:noProof/>
        </w:rPr>
        <w:t>3</w:t>
      </w:r>
      <w:r w:rsidR="00AF4AA5" w:rsidRPr="00BC63CC">
        <w:fldChar w:fldCharType="end"/>
      </w:r>
      <w:bookmarkEnd w:id="36"/>
      <w:r w:rsidRPr="00BC63CC">
        <w:t>: Components of</w:t>
      </w:r>
      <w:r w:rsidR="00C73A68">
        <w:t xml:space="preserve"> Fi</w:t>
      </w:r>
      <w:r w:rsidRPr="00BC63CC">
        <w:t xml:space="preserve">nal </w:t>
      </w:r>
      <w:r w:rsidR="00C73A68">
        <w:t>D</w:t>
      </w:r>
      <w:r w:rsidRPr="00BC63CC">
        <w:t xml:space="preserve">emand for the ACT economy, year ended </w:t>
      </w:r>
      <w:r w:rsidR="0017329E">
        <w:t>September</w:t>
      </w:r>
      <w:r w:rsidRPr="00BC63CC">
        <w:t xml:space="preserve"> 20</w:t>
      </w:r>
      <w:bookmarkEnd w:id="37"/>
      <w:bookmarkEnd w:id="38"/>
      <w:r w:rsidR="0017329E">
        <w:t>20</w:t>
      </w:r>
      <w:bookmarkEnd w:id="39"/>
    </w:p>
    <w:p w14:paraId="09182BEB" w14:textId="4ED91248" w:rsidR="003F7D4D" w:rsidRPr="00A00081" w:rsidRDefault="0017329E" w:rsidP="0021457E">
      <w:pPr>
        <w:spacing w:before="0" w:after="0"/>
      </w:pPr>
      <w:r>
        <w:rPr>
          <w:noProof/>
          <w:lang w:eastAsia="en-AU"/>
        </w:rPr>
        <w:drawing>
          <wp:inline distT="0" distB="0" distL="0" distR="0" wp14:anchorId="1175FE61" wp14:editId="2DA205DB">
            <wp:extent cx="5255581" cy="27508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409" cy="2757011"/>
                    </a:xfrm>
                    <a:prstGeom prst="rect">
                      <a:avLst/>
                    </a:prstGeom>
                    <a:noFill/>
                  </pic:spPr>
                </pic:pic>
              </a:graphicData>
            </a:graphic>
          </wp:inline>
        </w:drawing>
      </w:r>
    </w:p>
    <w:p w14:paraId="7F5981AD" w14:textId="6FE8896E" w:rsidR="003F7D4D" w:rsidRPr="00A00081" w:rsidRDefault="003F7D4D" w:rsidP="0021457E">
      <w:pPr>
        <w:spacing w:before="0"/>
        <w:rPr>
          <w:sz w:val="20"/>
          <w:szCs w:val="20"/>
        </w:rPr>
      </w:pPr>
      <w:r w:rsidRPr="00A00081">
        <w:rPr>
          <w:sz w:val="20"/>
          <w:szCs w:val="20"/>
        </w:rPr>
        <w:t xml:space="preserve">Source: ABS </w:t>
      </w:r>
      <w:sdt>
        <w:sdtPr>
          <w:rPr>
            <w:sz w:val="20"/>
            <w:szCs w:val="20"/>
          </w:rPr>
          <w:id w:val="1605774454"/>
          <w:citation/>
        </w:sdtPr>
        <w:sdtContent>
          <w:r w:rsidR="00AF4AA5" w:rsidRPr="00A00081">
            <w:rPr>
              <w:sz w:val="20"/>
              <w:szCs w:val="20"/>
            </w:rPr>
            <w:fldChar w:fldCharType="begin"/>
          </w:r>
          <w:r w:rsidR="00C85D3E">
            <w:rPr>
              <w:sz w:val="20"/>
              <w:szCs w:val="20"/>
            </w:rPr>
            <w:instrText xml:space="preserve">CITATION Aus16 \n  \t  \l 3081 </w:instrText>
          </w:r>
          <w:r w:rsidR="00AF4AA5" w:rsidRPr="00A00081">
            <w:rPr>
              <w:sz w:val="20"/>
              <w:szCs w:val="20"/>
            </w:rPr>
            <w:fldChar w:fldCharType="separate"/>
          </w:r>
          <w:r w:rsidR="00C85D3E" w:rsidRPr="00C85D3E">
            <w:rPr>
              <w:noProof/>
              <w:sz w:val="20"/>
              <w:szCs w:val="20"/>
            </w:rPr>
            <w:t>(2020)</w:t>
          </w:r>
          <w:r w:rsidR="00AF4AA5" w:rsidRPr="00A00081">
            <w:rPr>
              <w:sz w:val="20"/>
              <w:szCs w:val="20"/>
            </w:rPr>
            <w:fldChar w:fldCharType="end"/>
          </w:r>
        </w:sdtContent>
      </w:sdt>
      <w:r w:rsidR="0021457E">
        <w:rPr>
          <w:sz w:val="20"/>
          <w:szCs w:val="20"/>
        </w:rPr>
        <w:t>.</w:t>
      </w:r>
    </w:p>
    <w:p w14:paraId="49E70B1D" w14:textId="350F029A" w:rsidR="0099324A" w:rsidRDefault="003A6702">
      <w:r>
        <w:t xml:space="preserve">The </w:t>
      </w:r>
      <w:r w:rsidR="00B148EA">
        <w:t xml:space="preserve">historical relative shares of ACT </w:t>
      </w:r>
      <w:r w:rsidR="00F55A03">
        <w:t>f</w:t>
      </w:r>
      <w:r w:rsidR="00B148EA">
        <w:t xml:space="preserve">inal </w:t>
      </w:r>
      <w:r w:rsidR="00F55A03">
        <w:t>d</w:t>
      </w:r>
      <w:r w:rsidR="00B148EA">
        <w:t xml:space="preserve">emand are provided in Figure </w:t>
      </w:r>
      <w:r w:rsidR="00AB05D0">
        <w:t>4</w:t>
      </w:r>
      <w:r w:rsidR="00B148EA">
        <w:t xml:space="preserve"> below.</w:t>
      </w:r>
    </w:p>
    <w:p w14:paraId="086C12E7" w14:textId="77777777" w:rsidR="00AB05D0" w:rsidRDefault="00AB05D0" w:rsidP="00AB05D0">
      <w:pPr>
        <w:pStyle w:val="BodyText"/>
      </w:pPr>
      <w:r>
        <w:br w:type="page"/>
      </w:r>
    </w:p>
    <w:p w14:paraId="2D2C8555" w14:textId="290391D8" w:rsidR="00B148EA" w:rsidRDefault="009B3070" w:rsidP="00AF207D">
      <w:pPr>
        <w:pStyle w:val="Caption"/>
        <w:spacing w:before="0"/>
      </w:pPr>
      <w:bookmarkStart w:id="40" w:name="_Toc64529096"/>
      <w:r>
        <w:lastRenderedPageBreak/>
        <w:t xml:space="preserve">Figure </w:t>
      </w:r>
      <w:r w:rsidR="001B4FE9">
        <w:rPr>
          <w:noProof/>
        </w:rPr>
        <w:fldChar w:fldCharType="begin"/>
      </w:r>
      <w:r w:rsidR="001B4FE9">
        <w:rPr>
          <w:noProof/>
        </w:rPr>
        <w:instrText xml:space="preserve"> SEQ Figure \* ARABIC </w:instrText>
      </w:r>
      <w:r w:rsidR="001B4FE9">
        <w:rPr>
          <w:noProof/>
        </w:rPr>
        <w:fldChar w:fldCharType="separate"/>
      </w:r>
      <w:r w:rsidR="00AB7125">
        <w:rPr>
          <w:noProof/>
        </w:rPr>
        <w:t>4</w:t>
      </w:r>
      <w:r w:rsidR="001B4FE9">
        <w:rPr>
          <w:noProof/>
        </w:rPr>
        <w:fldChar w:fldCharType="end"/>
      </w:r>
      <w:r>
        <w:t xml:space="preserve">: Relative shares of ACT </w:t>
      </w:r>
      <w:r w:rsidR="00C73A68">
        <w:t>F</w:t>
      </w:r>
      <w:r>
        <w:t xml:space="preserve">inal </w:t>
      </w:r>
      <w:r w:rsidR="00C73A68">
        <w:t>D</w:t>
      </w:r>
      <w:r>
        <w:t>emand – 1995-96 to 201</w:t>
      </w:r>
      <w:r w:rsidR="00E16313">
        <w:t>9</w:t>
      </w:r>
      <w:r>
        <w:t>-</w:t>
      </w:r>
      <w:r w:rsidR="00E16313">
        <w:t>20</w:t>
      </w:r>
      <w:bookmarkEnd w:id="40"/>
    </w:p>
    <w:p w14:paraId="6B2CBAF6" w14:textId="77777777" w:rsidR="00B34092" w:rsidRDefault="0017329E" w:rsidP="00B34092">
      <w:pPr>
        <w:rPr>
          <w:sz w:val="20"/>
          <w:szCs w:val="20"/>
        </w:rPr>
      </w:pPr>
      <w:r>
        <w:rPr>
          <w:noProof/>
          <w:sz w:val="20"/>
          <w:szCs w:val="20"/>
          <w:lang w:eastAsia="en-AU"/>
        </w:rPr>
        <w:drawing>
          <wp:inline distT="0" distB="0" distL="0" distR="0" wp14:anchorId="1CD95234" wp14:editId="6B584A50">
            <wp:extent cx="5686425" cy="379476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1853" cy="3798382"/>
                    </a:xfrm>
                    <a:prstGeom prst="rect">
                      <a:avLst/>
                    </a:prstGeom>
                    <a:noFill/>
                  </pic:spPr>
                </pic:pic>
              </a:graphicData>
            </a:graphic>
          </wp:inline>
        </w:drawing>
      </w:r>
      <w:r w:rsidR="007F7AEF">
        <w:br/>
      </w:r>
      <w:r w:rsidR="007F7AEF" w:rsidRPr="007F7AEF">
        <w:rPr>
          <w:sz w:val="20"/>
          <w:szCs w:val="20"/>
        </w:rPr>
        <w:t xml:space="preserve">Source: </w:t>
      </w:r>
      <w:r w:rsidR="007F7AEF" w:rsidRPr="00A00081">
        <w:rPr>
          <w:sz w:val="20"/>
          <w:szCs w:val="20"/>
        </w:rPr>
        <w:t xml:space="preserve">ABS </w:t>
      </w:r>
      <w:r w:rsidR="00B34092" w:rsidRPr="00C85D3E">
        <w:rPr>
          <w:noProof/>
          <w:sz w:val="20"/>
          <w:szCs w:val="20"/>
        </w:rPr>
        <w:t>(2020</w:t>
      </w:r>
      <w:r w:rsidR="00B34092">
        <w:rPr>
          <w:noProof/>
          <w:sz w:val="20"/>
          <w:szCs w:val="20"/>
        </w:rPr>
        <w:t>; 2020a</w:t>
      </w:r>
      <w:r w:rsidR="00B34092" w:rsidRPr="00C85D3E">
        <w:rPr>
          <w:noProof/>
          <w:sz w:val="20"/>
          <w:szCs w:val="20"/>
        </w:rPr>
        <w:t>)</w:t>
      </w:r>
      <w:r w:rsidR="00410A3F">
        <w:rPr>
          <w:sz w:val="20"/>
          <w:szCs w:val="20"/>
        </w:rPr>
        <w:t>.</w:t>
      </w:r>
    </w:p>
    <w:p w14:paraId="511A3753" w14:textId="550ABF82" w:rsidR="00EF500B" w:rsidRDefault="003A6702" w:rsidP="00B34092">
      <w:r>
        <w:t>H</w:t>
      </w:r>
      <w:r w:rsidR="00DC3619">
        <w:t xml:space="preserve">ousehold consumption </w:t>
      </w:r>
      <w:r w:rsidR="00E16313">
        <w:t xml:space="preserve">was </w:t>
      </w:r>
      <w:r w:rsidR="00DC3619">
        <w:t xml:space="preserve">the largest component of ACT </w:t>
      </w:r>
      <w:r w:rsidR="00672265">
        <w:t>f</w:t>
      </w:r>
      <w:r w:rsidR="00DC3619">
        <w:t xml:space="preserve">inal </w:t>
      </w:r>
      <w:r w:rsidR="00672265">
        <w:t>d</w:t>
      </w:r>
      <w:r w:rsidR="00DC3619">
        <w:t xml:space="preserve">emand up until </w:t>
      </w:r>
      <w:r w:rsidR="00D43D8F">
        <w:t>2005-06 when</w:t>
      </w:r>
      <w:r w:rsidR="00C42526">
        <w:t xml:space="preserve"> it was </w:t>
      </w:r>
      <w:r w:rsidR="001F4869">
        <w:t xml:space="preserve">overtaken </w:t>
      </w:r>
      <w:r w:rsidR="00C42526">
        <w:t xml:space="preserve">by </w:t>
      </w:r>
      <w:r w:rsidR="001C4241">
        <w:t xml:space="preserve">the </w:t>
      </w:r>
      <w:r w:rsidR="00D43D8F">
        <w:t>Common</w:t>
      </w:r>
      <w:r w:rsidR="00C42526">
        <w:t>wealth</w:t>
      </w:r>
      <w:r w:rsidR="001C4241">
        <w:t xml:space="preserve"> Government. </w:t>
      </w:r>
      <w:r w:rsidR="00B90E34">
        <w:t xml:space="preserve">The contribution of the </w:t>
      </w:r>
      <w:r w:rsidR="00FD7407">
        <w:t>ACT Government</w:t>
      </w:r>
      <w:r w:rsidR="00D525D7">
        <w:t xml:space="preserve"> to</w:t>
      </w:r>
      <w:r w:rsidR="00FD7407">
        <w:t xml:space="preserve"> </w:t>
      </w:r>
      <w:r w:rsidR="009A598A">
        <w:t>f</w:t>
      </w:r>
      <w:r w:rsidR="00EF533A">
        <w:t xml:space="preserve">inal </w:t>
      </w:r>
      <w:r w:rsidR="009A598A">
        <w:t>d</w:t>
      </w:r>
      <w:r w:rsidR="00EF533A">
        <w:t xml:space="preserve">emand </w:t>
      </w:r>
      <w:r w:rsidR="00FD7407">
        <w:t xml:space="preserve">has been hovering </w:t>
      </w:r>
      <w:r w:rsidR="00D525D7">
        <w:t xml:space="preserve">at </w:t>
      </w:r>
      <w:r w:rsidR="00FD7407">
        <w:t xml:space="preserve">around </w:t>
      </w:r>
      <w:r w:rsidR="00E16313">
        <w:t>10</w:t>
      </w:r>
      <w:r w:rsidR="00310B39">
        <w:t xml:space="preserve"> </w:t>
      </w:r>
      <w:r w:rsidR="00EF533A">
        <w:t xml:space="preserve">per cent </w:t>
      </w:r>
      <w:r w:rsidR="00F02440">
        <w:t xml:space="preserve">on average </w:t>
      </w:r>
      <w:r w:rsidR="00805F43">
        <w:t>since 20</w:t>
      </w:r>
      <w:r w:rsidR="00E16313">
        <w:t>10</w:t>
      </w:r>
      <w:r w:rsidR="00805F43">
        <w:t>-1</w:t>
      </w:r>
      <w:r w:rsidR="00E16313">
        <w:t>1</w:t>
      </w:r>
      <w:r w:rsidR="00805F43">
        <w:t xml:space="preserve">, </w:t>
      </w:r>
      <w:r w:rsidR="00E545AA">
        <w:t xml:space="preserve">while private investment has </w:t>
      </w:r>
      <w:r w:rsidR="001F4869">
        <w:t xml:space="preserve">stabilised </w:t>
      </w:r>
      <w:r w:rsidR="00F02440">
        <w:t xml:space="preserve">at </w:t>
      </w:r>
      <w:r w:rsidR="00E545AA">
        <w:t>around 10</w:t>
      </w:r>
      <w:r w:rsidR="00E16313">
        <w:t xml:space="preserve">½ </w:t>
      </w:r>
      <w:r w:rsidR="00E545AA">
        <w:t xml:space="preserve">per cent </w:t>
      </w:r>
      <w:r w:rsidR="00B7514C">
        <w:t xml:space="preserve">on average </w:t>
      </w:r>
      <w:r w:rsidR="00E545AA">
        <w:t>over the same period.</w:t>
      </w:r>
      <w:r w:rsidR="00421DFF">
        <w:t xml:space="preserve"> </w:t>
      </w:r>
      <w:r w:rsidR="00B7514C">
        <w:t xml:space="preserve">Overall, </w:t>
      </w:r>
      <w:r w:rsidR="007C2D1B">
        <w:t xml:space="preserve">there is no evidence to suggest there has been a dramatic shift </w:t>
      </w:r>
      <w:r w:rsidR="00B51DE9">
        <w:t xml:space="preserve">in the drivers of ACT </w:t>
      </w:r>
      <w:r w:rsidR="009A598A">
        <w:t>f</w:t>
      </w:r>
      <w:r w:rsidR="00B51DE9">
        <w:t xml:space="preserve">inal </w:t>
      </w:r>
      <w:r w:rsidR="009A598A">
        <w:t>d</w:t>
      </w:r>
      <w:r w:rsidR="00B51DE9">
        <w:t xml:space="preserve">emand </w:t>
      </w:r>
      <w:r w:rsidR="00D3736C">
        <w:t xml:space="preserve">over recent years, </w:t>
      </w:r>
      <w:r w:rsidR="00571888">
        <w:t xml:space="preserve">with the </w:t>
      </w:r>
      <w:r w:rsidR="00741C0D">
        <w:t xml:space="preserve">combined </w:t>
      </w:r>
      <w:r w:rsidR="00571888">
        <w:t>public sector (composed of both the Commonwealth Government and the ACT Government</w:t>
      </w:r>
      <w:r w:rsidR="00741C0D">
        <w:t>)</w:t>
      </w:r>
      <w:r w:rsidR="00571888">
        <w:t xml:space="preserve"> still </w:t>
      </w:r>
      <w:r w:rsidR="00FA3CF5">
        <w:t>account</w:t>
      </w:r>
      <w:r w:rsidR="00310B39">
        <w:t>ing</w:t>
      </w:r>
      <w:r w:rsidR="00741C0D">
        <w:t xml:space="preserve"> </w:t>
      </w:r>
      <w:r w:rsidR="00FA3CF5">
        <w:t xml:space="preserve">for </w:t>
      </w:r>
      <w:r w:rsidR="00741C0D">
        <w:t xml:space="preserve">in excess of 50 per cent of </w:t>
      </w:r>
      <w:r w:rsidR="009A598A">
        <w:t>f</w:t>
      </w:r>
      <w:r w:rsidR="00741C0D">
        <w:t xml:space="preserve">inal </w:t>
      </w:r>
      <w:r w:rsidR="009A598A">
        <w:t>d</w:t>
      </w:r>
      <w:r w:rsidR="00741C0D">
        <w:t>emand.</w:t>
      </w:r>
    </w:p>
    <w:p w14:paraId="27D0C99A" w14:textId="3996BB7A" w:rsidR="00AB05D0" w:rsidRDefault="00612899">
      <w:r w:rsidRPr="00A00081">
        <w:t>T</w:t>
      </w:r>
      <w:r w:rsidR="00F509B9" w:rsidRPr="00A00081">
        <w:t xml:space="preserve">here </w:t>
      </w:r>
      <w:r w:rsidR="00341D9E" w:rsidRPr="00A00081">
        <w:t>is a close relationship between ACT final demand</w:t>
      </w:r>
      <w:r w:rsidR="00F07034">
        <w:t>,</w:t>
      </w:r>
      <w:r w:rsidR="00341D9E" w:rsidRPr="00A00081">
        <w:t xml:space="preserve"> </w:t>
      </w:r>
      <w:r w:rsidR="00137E13" w:rsidRPr="00C33B50">
        <w:t xml:space="preserve">Commonwealth Government </w:t>
      </w:r>
      <w:r w:rsidR="00F07034">
        <w:t>expenditure and household consumption</w:t>
      </w:r>
      <w:r w:rsidR="00341D9E" w:rsidRPr="00C33B50">
        <w:t xml:space="preserve">, </w:t>
      </w:r>
      <w:r w:rsidR="00341D9E" w:rsidRPr="00A00081">
        <w:t xml:space="preserve">as outlined in </w:t>
      </w:r>
      <w:r w:rsidR="00E16313">
        <w:t xml:space="preserve">Figure </w:t>
      </w:r>
      <w:r w:rsidR="00AB05D0">
        <w:t>5</w:t>
      </w:r>
      <w:r w:rsidR="00824A64" w:rsidRPr="00A00081">
        <w:t xml:space="preserve"> </w:t>
      </w:r>
      <w:r w:rsidR="00341D9E" w:rsidRPr="00A00081">
        <w:t xml:space="preserve">below, as well as between growth in ACT final </w:t>
      </w:r>
      <w:r w:rsidR="00137E13" w:rsidRPr="00A00081">
        <w:t xml:space="preserve">demand </w:t>
      </w:r>
      <w:r w:rsidR="00341D9E" w:rsidRPr="00A00081">
        <w:t xml:space="preserve">and the growth of Commonwealth </w:t>
      </w:r>
      <w:r w:rsidR="00137E13" w:rsidRPr="00A00081">
        <w:t>Government</w:t>
      </w:r>
      <w:r w:rsidR="00341D9E" w:rsidRPr="00A00081">
        <w:t xml:space="preserve"> expenditure </w:t>
      </w:r>
      <w:r w:rsidR="00943B8D">
        <w:t>and household consumption</w:t>
      </w:r>
      <w:r w:rsidR="00341D9E" w:rsidRPr="00A00081">
        <w:t>, as outlined in</w:t>
      </w:r>
      <w:r w:rsidR="00466758" w:rsidRPr="00A00081">
        <w:t xml:space="preserve"> Figure </w:t>
      </w:r>
      <w:r w:rsidR="00AB05D0">
        <w:t>6</w:t>
      </w:r>
      <w:r w:rsidR="00730E74" w:rsidRPr="00A00081">
        <w:t>.</w:t>
      </w:r>
    </w:p>
    <w:p w14:paraId="66A2F822" w14:textId="77777777" w:rsidR="00AB05D0" w:rsidRDefault="00AB05D0">
      <w:r>
        <w:br w:type="page"/>
      </w:r>
    </w:p>
    <w:p w14:paraId="0FD2E740" w14:textId="2FCB62E2" w:rsidR="00090CC3" w:rsidRPr="00A00081" w:rsidRDefault="00090CC3" w:rsidP="00B12EFE">
      <w:pPr>
        <w:pStyle w:val="Caption"/>
      </w:pPr>
      <w:bookmarkStart w:id="41" w:name="_Ref453488354"/>
      <w:bookmarkStart w:id="42" w:name="_Toc453495071"/>
      <w:bookmarkStart w:id="43" w:name="_Toc453516070"/>
      <w:bookmarkStart w:id="44" w:name="_Toc64529097"/>
      <w:r w:rsidRPr="0070630A">
        <w:lastRenderedPageBreak/>
        <w:t xml:space="preserve">Figure </w:t>
      </w:r>
      <w:r w:rsidR="00AF4AA5" w:rsidRPr="0070630A">
        <w:fldChar w:fldCharType="begin"/>
      </w:r>
      <w:r w:rsidRPr="0070630A">
        <w:instrText xml:space="preserve"> SEQ Figure \* ARABIC </w:instrText>
      </w:r>
      <w:r w:rsidR="00AF4AA5" w:rsidRPr="0070630A">
        <w:fldChar w:fldCharType="separate"/>
      </w:r>
      <w:r w:rsidR="00AB7125">
        <w:rPr>
          <w:noProof/>
        </w:rPr>
        <w:t>5</w:t>
      </w:r>
      <w:r w:rsidR="00AF4AA5" w:rsidRPr="0070630A">
        <w:fldChar w:fldCharType="end"/>
      </w:r>
      <w:bookmarkEnd w:id="41"/>
      <w:r w:rsidRPr="0070630A">
        <w:t xml:space="preserve">: ACT </w:t>
      </w:r>
      <w:r w:rsidR="00C73A68">
        <w:t>F</w:t>
      </w:r>
      <w:r w:rsidRPr="0070630A">
        <w:t xml:space="preserve">inal </w:t>
      </w:r>
      <w:r w:rsidR="00C73A68">
        <w:t>D</w:t>
      </w:r>
      <w:r w:rsidRPr="0070630A">
        <w:t xml:space="preserve">emand and </w:t>
      </w:r>
      <w:r w:rsidR="00943B8D">
        <w:t xml:space="preserve">the contribution of the </w:t>
      </w:r>
      <w:r w:rsidRPr="0070630A">
        <w:t xml:space="preserve">Commonwealth </w:t>
      </w:r>
      <w:r w:rsidR="00943B8D">
        <w:t>Government and Household Consumption</w:t>
      </w:r>
      <w:r w:rsidRPr="0070630A">
        <w:t xml:space="preserve"> – 199</w:t>
      </w:r>
      <w:r w:rsidR="00E16313">
        <w:t>5</w:t>
      </w:r>
      <w:r w:rsidRPr="0070630A">
        <w:t>-9</w:t>
      </w:r>
      <w:r w:rsidR="00E16313">
        <w:t>6</w:t>
      </w:r>
      <w:r w:rsidRPr="0070630A">
        <w:t xml:space="preserve"> to 201</w:t>
      </w:r>
      <w:r w:rsidR="00E16313">
        <w:t>9</w:t>
      </w:r>
      <w:r w:rsidRPr="0070630A">
        <w:t>-</w:t>
      </w:r>
      <w:r w:rsidR="00E16313">
        <w:t>20</w:t>
      </w:r>
      <w:r w:rsidRPr="0070630A">
        <w:t xml:space="preserve"> ($ million, constant 201</w:t>
      </w:r>
      <w:r w:rsidR="003C77DE">
        <w:t>8</w:t>
      </w:r>
      <w:r w:rsidRPr="0070630A">
        <w:t>-</w:t>
      </w:r>
      <w:r w:rsidR="003C77DE">
        <w:t>19</w:t>
      </w:r>
      <w:r w:rsidRPr="0070630A">
        <w:t xml:space="preserve"> dollars)</w:t>
      </w:r>
      <w:bookmarkEnd w:id="42"/>
      <w:bookmarkEnd w:id="43"/>
      <w:bookmarkEnd w:id="44"/>
    </w:p>
    <w:p w14:paraId="28FE2E9C" w14:textId="5C54E421" w:rsidR="00341D9E" w:rsidRPr="00A00081" w:rsidRDefault="00E16313" w:rsidP="00410A3F">
      <w:pPr>
        <w:spacing w:before="0" w:after="0"/>
      </w:pPr>
      <w:r>
        <w:rPr>
          <w:noProof/>
          <w:lang w:eastAsia="en-AU"/>
        </w:rPr>
        <w:drawing>
          <wp:inline distT="0" distB="0" distL="0" distR="0" wp14:anchorId="409DA2A1" wp14:editId="4262091D">
            <wp:extent cx="5643239" cy="273113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8653" cy="2743434"/>
                    </a:xfrm>
                    <a:prstGeom prst="rect">
                      <a:avLst/>
                    </a:prstGeom>
                    <a:noFill/>
                  </pic:spPr>
                </pic:pic>
              </a:graphicData>
            </a:graphic>
          </wp:inline>
        </w:drawing>
      </w:r>
    </w:p>
    <w:p w14:paraId="3A4EDE87" w14:textId="4F8946F6" w:rsidR="003F7D4D" w:rsidRPr="00A00081" w:rsidRDefault="00341D9E" w:rsidP="00410A3F">
      <w:pPr>
        <w:spacing w:before="0"/>
        <w:rPr>
          <w:sz w:val="20"/>
          <w:szCs w:val="20"/>
        </w:rPr>
      </w:pPr>
      <w:r w:rsidRPr="00A00081">
        <w:rPr>
          <w:sz w:val="20"/>
          <w:szCs w:val="20"/>
        </w:rPr>
        <w:t xml:space="preserve">Sources: ABS </w:t>
      </w:r>
      <w:sdt>
        <w:sdtPr>
          <w:rPr>
            <w:sz w:val="20"/>
            <w:szCs w:val="20"/>
          </w:rPr>
          <w:id w:val="-1792048480"/>
          <w:citation/>
        </w:sdtPr>
        <w:sdtContent>
          <w:r w:rsidR="00AF4AA5" w:rsidRPr="00A00081">
            <w:rPr>
              <w:sz w:val="20"/>
              <w:szCs w:val="20"/>
            </w:rPr>
            <w:fldChar w:fldCharType="begin"/>
          </w:r>
          <w:r w:rsidR="00C85D3E">
            <w:rPr>
              <w:noProof/>
              <w:sz w:val="20"/>
              <w:szCs w:val="20"/>
            </w:rPr>
            <w:instrText xml:space="preserve">CITATION Aus16 \n  \t  \l 3081 </w:instrText>
          </w:r>
          <w:r w:rsidR="00AF4AA5" w:rsidRPr="00A00081">
            <w:rPr>
              <w:sz w:val="20"/>
              <w:szCs w:val="20"/>
            </w:rPr>
            <w:fldChar w:fldCharType="separate"/>
          </w:r>
          <w:r w:rsidR="00C85D3E" w:rsidRPr="00C85D3E">
            <w:rPr>
              <w:noProof/>
              <w:sz w:val="20"/>
              <w:szCs w:val="20"/>
            </w:rPr>
            <w:t>(2020)</w:t>
          </w:r>
          <w:r w:rsidR="00AF4AA5" w:rsidRPr="00A00081">
            <w:rPr>
              <w:sz w:val="20"/>
              <w:szCs w:val="20"/>
            </w:rPr>
            <w:fldChar w:fldCharType="end"/>
          </w:r>
        </w:sdtContent>
      </w:sdt>
      <w:r w:rsidR="00410A3F">
        <w:rPr>
          <w:sz w:val="20"/>
          <w:szCs w:val="20"/>
        </w:rPr>
        <w:t>.</w:t>
      </w:r>
    </w:p>
    <w:p w14:paraId="0419D4F9" w14:textId="333B5805" w:rsidR="00090CC3" w:rsidRPr="00A00081" w:rsidRDefault="00090CC3" w:rsidP="00B12EFE">
      <w:pPr>
        <w:pStyle w:val="Caption"/>
      </w:pPr>
      <w:bookmarkStart w:id="45" w:name="_Toc64529098"/>
      <w:r w:rsidRPr="0047039A">
        <w:t xml:space="preserve">Figure </w:t>
      </w:r>
      <w:r w:rsidR="00AF4AA5" w:rsidRPr="0047039A">
        <w:fldChar w:fldCharType="begin"/>
      </w:r>
      <w:r w:rsidRPr="0047039A">
        <w:instrText xml:space="preserve"> SEQ Figure \* ARABIC </w:instrText>
      </w:r>
      <w:r w:rsidR="00AF4AA5" w:rsidRPr="0047039A">
        <w:fldChar w:fldCharType="separate"/>
      </w:r>
      <w:r w:rsidR="00AB7125">
        <w:rPr>
          <w:noProof/>
        </w:rPr>
        <w:t>6</w:t>
      </w:r>
      <w:r w:rsidR="00AF4AA5" w:rsidRPr="0047039A">
        <w:fldChar w:fldCharType="end"/>
      </w:r>
      <w:r w:rsidRPr="0047039A">
        <w:t xml:space="preserve">: Percentage Growth in ACT </w:t>
      </w:r>
      <w:r w:rsidR="00C73A68">
        <w:t>F</w:t>
      </w:r>
      <w:r w:rsidRPr="0047039A">
        <w:t xml:space="preserve">inal </w:t>
      </w:r>
      <w:r w:rsidR="00C73A68">
        <w:t>D</w:t>
      </w:r>
      <w:r w:rsidRPr="0047039A">
        <w:t>emand</w:t>
      </w:r>
      <w:r w:rsidR="007F6E14">
        <w:t>,</w:t>
      </w:r>
      <w:r w:rsidRPr="0047039A">
        <w:t xml:space="preserve"> Commonwealth </w:t>
      </w:r>
      <w:r w:rsidR="00474240" w:rsidRPr="0047039A">
        <w:t>Expenditure</w:t>
      </w:r>
      <w:r w:rsidR="007F6E14">
        <w:t xml:space="preserve"> and Household Consumption</w:t>
      </w:r>
      <w:r w:rsidR="00474240" w:rsidRPr="0047039A">
        <w:t xml:space="preserve"> – 199</w:t>
      </w:r>
      <w:r w:rsidR="0047039A" w:rsidRPr="0047039A">
        <w:t>6</w:t>
      </w:r>
      <w:r w:rsidR="009517F1" w:rsidRPr="0047039A">
        <w:t>-9</w:t>
      </w:r>
      <w:r w:rsidR="0047039A" w:rsidRPr="0047039A">
        <w:t>7</w:t>
      </w:r>
      <w:r w:rsidR="009517F1" w:rsidRPr="0047039A">
        <w:t xml:space="preserve"> to 201</w:t>
      </w:r>
      <w:r w:rsidR="003A6702">
        <w:t>7</w:t>
      </w:r>
      <w:r w:rsidRPr="0047039A">
        <w:t>-1</w:t>
      </w:r>
      <w:r w:rsidR="003A6702">
        <w:t>8</w:t>
      </w:r>
      <w:bookmarkEnd w:id="45"/>
    </w:p>
    <w:p w14:paraId="6E0C1591" w14:textId="70F0A0AC" w:rsidR="00341D9E" w:rsidRPr="00A00081" w:rsidRDefault="00E16313" w:rsidP="00410A3F">
      <w:pPr>
        <w:spacing w:before="0" w:after="0"/>
      </w:pPr>
      <w:r>
        <w:rPr>
          <w:noProof/>
          <w:lang w:eastAsia="en-AU"/>
        </w:rPr>
        <w:drawing>
          <wp:inline distT="0" distB="0" distL="0" distR="0" wp14:anchorId="5A9A0FF1" wp14:editId="7A721946">
            <wp:extent cx="5642479" cy="3104225"/>
            <wp:effectExtent l="0" t="0" r="0"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395" cy="3112431"/>
                    </a:xfrm>
                    <a:prstGeom prst="rect">
                      <a:avLst/>
                    </a:prstGeom>
                    <a:noFill/>
                  </pic:spPr>
                </pic:pic>
              </a:graphicData>
            </a:graphic>
          </wp:inline>
        </w:drawing>
      </w:r>
    </w:p>
    <w:p w14:paraId="60A455F5" w14:textId="57600906" w:rsidR="00341D9E" w:rsidRPr="00A00081" w:rsidRDefault="00341D9E" w:rsidP="00410A3F">
      <w:pPr>
        <w:spacing w:before="0"/>
        <w:rPr>
          <w:sz w:val="20"/>
          <w:szCs w:val="20"/>
        </w:rPr>
      </w:pPr>
      <w:r w:rsidRPr="00A00081">
        <w:rPr>
          <w:sz w:val="20"/>
          <w:szCs w:val="20"/>
        </w:rPr>
        <w:t xml:space="preserve">Sources: ABS </w:t>
      </w:r>
      <w:sdt>
        <w:sdtPr>
          <w:rPr>
            <w:sz w:val="20"/>
            <w:szCs w:val="20"/>
          </w:rPr>
          <w:id w:val="1942868378"/>
          <w:citation/>
        </w:sdtPr>
        <w:sdtContent>
          <w:r w:rsidR="00AF4AA5" w:rsidRPr="00A00081">
            <w:rPr>
              <w:sz w:val="20"/>
              <w:szCs w:val="20"/>
            </w:rPr>
            <w:fldChar w:fldCharType="begin"/>
          </w:r>
          <w:r w:rsidR="00C85D3E">
            <w:rPr>
              <w:sz w:val="20"/>
              <w:szCs w:val="20"/>
            </w:rPr>
            <w:instrText xml:space="preserve">CITATION Aus16 \n  \t  \l 3081 </w:instrText>
          </w:r>
          <w:r w:rsidR="00AF4AA5" w:rsidRPr="00A00081">
            <w:rPr>
              <w:sz w:val="20"/>
              <w:szCs w:val="20"/>
            </w:rPr>
            <w:fldChar w:fldCharType="separate"/>
          </w:r>
          <w:r w:rsidR="00C85D3E" w:rsidRPr="00C85D3E">
            <w:rPr>
              <w:noProof/>
              <w:sz w:val="20"/>
              <w:szCs w:val="20"/>
            </w:rPr>
            <w:t>(2020)</w:t>
          </w:r>
          <w:r w:rsidR="00AF4AA5" w:rsidRPr="00A00081">
            <w:rPr>
              <w:sz w:val="20"/>
              <w:szCs w:val="20"/>
            </w:rPr>
            <w:fldChar w:fldCharType="end"/>
          </w:r>
        </w:sdtContent>
      </w:sdt>
      <w:r w:rsidR="00410A3F">
        <w:rPr>
          <w:sz w:val="20"/>
          <w:szCs w:val="20"/>
        </w:rPr>
        <w:t>.</w:t>
      </w:r>
    </w:p>
    <w:p w14:paraId="42D665E2" w14:textId="6409BD11" w:rsidR="0005285B" w:rsidRPr="0005285B" w:rsidRDefault="00116BCE" w:rsidP="004B3AF4">
      <w:r w:rsidRPr="0005285B">
        <w:t>T</w:t>
      </w:r>
      <w:r w:rsidR="00D41DC0" w:rsidRPr="0005285B">
        <w:t xml:space="preserve">he </w:t>
      </w:r>
      <w:r w:rsidR="002B5D2C" w:rsidRPr="0005285B">
        <w:t>ACT Budget papers</w:t>
      </w:r>
      <w:r w:rsidR="00E80D99" w:rsidRPr="0005285B">
        <w:t xml:space="preserve"> </w:t>
      </w:r>
      <w:r w:rsidR="004B3AF4" w:rsidRPr="0005285B">
        <w:t xml:space="preserve">previously </w:t>
      </w:r>
      <w:r w:rsidR="00E80D99" w:rsidRPr="0005285B">
        <w:t>contain</w:t>
      </w:r>
      <w:r w:rsidR="004B3AF4" w:rsidRPr="0005285B">
        <w:t>ed</w:t>
      </w:r>
      <w:r w:rsidR="002B5D2C" w:rsidRPr="0005285B">
        <w:t xml:space="preserve"> projections for ACT final demand </w:t>
      </w:r>
      <w:r w:rsidR="00E80D99" w:rsidRPr="0005285B">
        <w:t>that converge</w:t>
      </w:r>
      <w:r w:rsidR="004B3AF4" w:rsidRPr="0005285B">
        <w:t>d</w:t>
      </w:r>
      <w:r w:rsidR="00E80D99" w:rsidRPr="0005285B">
        <w:t xml:space="preserve"> back towards a long-run trend rate of growth </w:t>
      </w:r>
      <w:r w:rsidR="00785CBF" w:rsidRPr="0005285B">
        <w:t>in excess of</w:t>
      </w:r>
      <w:r w:rsidR="00D8261F" w:rsidRPr="0005285B">
        <w:t xml:space="preserve"> </w:t>
      </w:r>
      <w:r w:rsidR="00316C74" w:rsidRPr="0005285B">
        <w:t>3</w:t>
      </w:r>
      <w:r w:rsidR="002B5D2C" w:rsidRPr="0005285B">
        <w:t xml:space="preserve"> per cent in the out years</w:t>
      </w:r>
      <w:r w:rsidR="00FD1C4C" w:rsidRPr="0005285B">
        <w:t xml:space="preserve"> </w:t>
      </w:r>
      <w:sdt>
        <w:sdtPr>
          <w:id w:val="-1001733260"/>
          <w:citation/>
        </w:sdtPr>
        <w:sdtContent>
          <w:r w:rsidR="00FD1C4C" w:rsidRPr="0005285B">
            <w:fldChar w:fldCharType="begin"/>
          </w:r>
          <w:r w:rsidR="00FD1C4C" w:rsidRPr="0005285B">
            <w:instrText xml:space="preserve">CITATION ACT19 \p 12 \t  \l 3081 </w:instrText>
          </w:r>
          <w:r w:rsidR="00FD1C4C" w:rsidRPr="0005285B">
            <w:fldChar w:fldCharType="separate"/>
          </w:r>
          <w:r w:rsidR="00FD1C4C" w:rsidRPr="0005285B">
            <w:rPr>
              <w:noProof/>
            </w:rPr>
            <w:t>(ACT Government, 2019, p. 12)</w:t>
          </w:r>
          <w:r w:rsidR="00FD1C4C" w:rsidRPr="0005285B">
            <w:fldChar w:fldCharType="end"/>
          </w:r>
        </w:sdtContent>
      </w:sdt>
      <w:r w:rsidR="002B5D2C" w:rsidRPr="0005285B">
        <w:t xml:space="preserve">. </w:t>
      </w:r>
      <w:r w:rsidR="0005285B" w:rsidRPr="0005285B">
        <w:t xml:space="preserve">According to the ACT Government </w:t>
      </w:r>
      <w:sdt>
        <w:sdtPr>
          <w:id w:val="-1293367022"/>
          <w:citation/>
        </w:sdtPr>
        <w:sdtContent>
          <w:r w:rsidR="0005285B" w:rsidRPr="0005285B">
            <w:fldChar w:fldCharType="begin"/>
          </w:r>
          <w:r w:rsidR="00DA22D6">
            <w:instrText xml:space="preserve">CITATION ACT21 \p 17 \n  \t  \l 3081 </w:instrText>
          </w:r>
          <w:r w:rsidR="0005285B" w:rsidRPr="0005285B">
            <w:fldChar w:fldCharType="separate"/>
          </w:r>
          <w:r w:rsidR="00DA22D6">
            <w:rPr>
              <w:noProof/>
            </w:rPr>
            <w:t>(2021, p. 17)</w:t>
          </w:r>
          <w:r w:rsidR="0005285B" w:rsidRPr="0005285B">
            <w:fldChar w:fldCharType="end"/>
          </w:r>
        </w:sdtContent>
      </w:sdt>
      <w:r w:rsidR="0005285B" w:rsidRPr="0005285B">
        <w:t>:</w:t>
      </w:r>
    </w:p>
    <w:p w14:paraId="7EB2F330" w14:textId="198ACA3E" w:rsidR="004B3AF4" w:rsidRPr="004B3AF4" w:rsidRDefault="004B3AF4" w:rsidP="0005285B">
      <w:pPr>
        <w:pStyle w:val="Style1"/>
      </w:pPr>
      <w:r w:rsidRPr="004B3AF4">
        <w:t>The ACT Budget normally adopts a technical assumption for the final year of growth to reflect a return to average growth</w:t>
      </w:r>
      <w:r w:rsidR="0005285B">
        <w:t xml:space="preserve"> …</w:t>
      </w:r>
    </w:p>
    <w:p w14:paraId="0566EBFA" w14:textId="26FC5310" w:rsidR="0039782F" w:rsidRDefault="00845C1C" w:rsidP="0039782F">
      <w:r w:rsidRPr="00FD1C4C">
        <w:t xml:space="preserve">Pegasus </w:t>
      </w:r>
      <w:r w:rsidR="004B3AF4">
        <w:t xml:space="preserve">had </w:t>
      </w:r>
      <w:r w:rsidR="00B34092">
        <w:t xml:space="preserve">previously </w:t>
      </w:r>
      <w:r w:rsidR="004B3AF4">
        <w:t xml:space="preserve">expressed </w:t>
      </w:r>
      <w:r w:rsidRPr="00FD1C4C">
        <w:t xml:space="preserve">reservations </w:t>
      </w:r>
      <w:r w:rsidR="00481719" w:rsidRPr="00FD1C4C">
        <w:t xml:space="preserve">as to whether it </w:t>
      </w:r>
      <w:r w:rsidR="004B3AF4">
        <w:t>was</w:t>
      </w:r>
      <w:r w:rsidR="00481719" w:rsidRPr="00FD1C4C">
        <w:t xml:space="preserve"> feasible to assume </w:t>
      </w:r>
      <w:r w:rsidRPr="00FD1C4C">
        <w:t>that ACT final demand w</w:t>
      </w:r>
      <w:r w:rsidR="004B3AF4">
        <w:t>ould</w:t>
      </w:r>
      <w:r w:rsidRPr="00FD1C4C">
        <w:t xml:space="preserve"> </w:t>
      </w:r>
      <w:r w:rsidR="00E80D99" w:rsidRPr="00FD1C4C">
        <w:t xml:space="preserve">eventually </w:t>
      </w:r>
      <w:r w:rsidRPr="00FD1C4C">
        <w:t>return to long</w:t>
      </w:r>
      <w:r w:rsidR="00E80D99" w:rsidRPr="00FD1C4C">
        <w:t>-</w:t>
      </w:r>
      <w:r w:rsidRPr="00FD1C4C">
        <w:t xml:space="preserve">run trend growth </w:t>
      </w:r>
      <w:r w:rsidR="005C3B46" w:rsidRPr="00FD1C4C">
        <w:t>in excess of 3</w:t>
      </w:r>
      <w:r w:rsidRPr="00FD1C4C">
        <w:t xml:space="preserve"> per </w:t>
      </w:r>
      <w:r w:rsidR="00785CBF" w:rsidRPr="00FD1C4C">
        <w:t>cent</w:t>
      </w:r>
      <w:r w:rsidR="00B34092">
        <w:t xml:space="preserve"> </w:t>
      </w:r>
      <w:sdt>
        <w:sdtPr>
          <w:id w:val="-821418761"/>
          <w:citation/>
        </w:sdtPr>
        <w:sdtContent>
          <w:r w:rsidR="00B34092">
            <w:fldChar w:fldCharType="begin"/>
          </w:r>
          <w:r w:rsidR="00B34092">
            <w:instrText xml:space="preserve">CITATION Dav17 \p 6 \t  \l 3081 </w:instrText>
          </w:r>
          <w:r w:rsidR="00B34092">
            <w:fldChar w:fldCharType="separate"/>
          </w:r>
          <w:r w:rsidR="00B34092">
            <w:rPr>
              <w:noProof/>
            </w:rPr>
            <w:t>(Davey &amp; Fisher, 2017, p. 6)</w:t>
          </w:r>
          <w:r w:rsidR="00B34092">
            <w:fldChar w:fldCharType="end"/>
          </w:r>
        </w:sdtContent>
      </w:sdt>
      <w:r w:rsidR="004B3AF4">
        <w:t>.</w:t>
      </w:r>
    </w:p>
    <w:p w14:paraId="35DAE70D" w14:textId="1861B1ED" w:rsidR="0005285B" w:rsidRPr="0005285B" w:rsidRDefault="0039782F" w:rsidP="0039782F">
      <w:r>
        <w:lastRenderedPageBreak/>
        <w:t>T</w:t>
      </w:r>
      <w:r w:rsidR="0005285B">
        <w:t xml:space="preserve">he ACT Government </w:t>
      </w:r>
      <w:sdt>
        <w:sdtPr>
          <w:id w:val="-1371910847"/>
          <w:citation/>
        </w:sdtPr>
        <w:sdtContent>
          <w:r w:rsidR="0005285B">
            <w:fldChar w:fldCharType="begin"/>
          </w:r>
          <w:r w:rsidR="00DA22D6">
            <w:instrText xml:space="preserve">CITATION ACT21 \p 17 \n  \t  \l 3081 </w:instrText>
          </w:r>
          <w:r w:rsidR="0005285B">
            <w:fldChar w:fldCharType="separate"/>
          </w:r>
          <w:r w:rsidR="00DA22D6">
            <w:rPr>
              <w:noProof/>
            </w:rPr>
            <w:t>(2021, p. 17)</w:t>
          </w:r>
          <w:r w:rsidR="0005285B">
            <w:fldChar w:fldCharType="end"/>
          </w:r>
        </w:sdtContent>
      </w:sdt>
      <w:r w:rsidR="0005285B">
        <w:t xml:space="preserve"> has now decided to </w:t>
      </w:r>
      <w:r w:rsidR="0005285B" w:rsidRPr="0005285B">
        <w:t xml:space="preserve">incorporate the impact of historically low population growth rather than adopting the assumption of a return to long-term growth. </w:t>
      </w:r>
      <w:r w:rsidR="0005285B">
        <w:t>As such</w:t>
      </w:r>
      <w:r w:rsidR="001F4869">
        <w:t>,</w:t>
      </w:r>
      <w:r w:rsidR="0005285B">
        <w:t xml:space="preserve"> Pegasus is much more comfortable with the </w:t>
      </w:r>
      <w:r>
        <w:t>long</w:t>
      </w:r>
      <w:r w:rsidR="00FA3CF5">
        <w:t>-</w:t>
      </w:r>
      <w:r>
        <w:t xml:space="preserve">term projections for growth in ACT final demand presented in the ACT Budget. These projections have a much more solid foundation than </w:t>
      </w:r>
      <w:r w:rsidR="00B34092">
        <w:t>reversion to a</w:t>
      </w:r>
      <w:r>
        <w:t xml:space="preserve"> </w:t>
      </w:r>
      <w:r w:rsidR="00B34092">
        <w:t>historical trend</w:t>
      </w:r>
      <w:r w:rsidR="00FA3CF5">
        <w:t xml:space="preserve"> that may not be realised.</w:t>
      </w:r>
    </w:p>
    <w:p w14:paraId="3694C114" w14:textId="5FF54AA8" w:rsidR="0005285B" w:rsidRDefault="004733C7" w:rsidP="00715911">
      <w:pPr>
        <w:pStyle w:val="Heading3"/>
      </w:pPr>
      <w:bookmarkStart w:id="46" w:name="_Toc64529025"/>
      <w:r>
        <w:t>2</w:t>
      </w:r>
      <w:r w:rsidR="00715911">
        <w:t>.</w:t>
      </w:r>
      <w:r w:rsidR="00F4156B">
        <w:t>2</w:t>
      </w:r>
      <w:r w:rsidR="00715911">
        <w:t>.1</w:t>
      </w:r>
      <w:r w:rsidR="00715911">
        <w:tab/>
        <w:t xml:space="preserve">ACT Economy </w:t>
      </w:r>
      <w:r w:rsidR="007E2AF4">
        <w:t xml:space="preserve">Public Sector </w:t>
      </w:r>
      <w:r w:rsidR="00715911">
        <w:t>Fiscal Stimulus During the COVID-19 Pandemic</w:t>
      </w:r>
      <w:bookmarkEnd w:id="46"/>
    </w:p>
    <w:p w14:paraId="3E49F364" w14:textId="6E791700" w:rsidR="003E60D1" w:rsidRDefault="003E60D1" w:rsidP="00715911">
      <w:pPr>
        <w:rPr>
          <w:lang w:val="en-NZ" w:eastAsia="en-NZ"/>
        </w:rPr>
      </w:pPr>
      <w:r>
        <w:rPr>
          <w:lang w:val="en-NZ" w:eastAsia="en-NZ"/>
        </w:rPr>
        <w:t xml:space="preserve">The ACT Government makes a number of claims in the Budget </w:t>
      </w:r>
      <w:r w:rsidR="00A756BC">
        <w:rPr>
          <w:lang w:val="en-NZ" w:eastAsia="en-NZ"/>
        </w:rPr>
        <w:t>P</w:t>
      </w:r>
      <w:r>
        <w:rPr>
          <w:lang w:val="en-NZ" w:eastAsia="en-NZ"/>
        </w:rPr>
        <w:t>apers about its role in supporting the ACT economy through the COVID pandemic.</w:t>
      </w:r>
    </w:p>
    <w:p w14:paraId="7D69F337" w14:textId="772AC163" w:rsidR="00715911" w:rsidRDefault="007E2AF4" w:rsidP="00715911">
      <w:pPr>
        <w:rPr>
          <w:lang w:val="en-NZ" w:eastAsia="en-NZ"/>
        </w:rPr>
      </w:pPr>
      <w:r>
        <w:rPr>
          <w:lang w:val="en-NZ" w:eastAsia="en-NZ"/>
        </w:rPr>
        <w:t>According to the ACT Government:</w:t>
      </w:r>
    </w:p>
    <w:p w14:paraId="1D84B635" w14:textId="5EB70BB7" w:rsidR="007E2AF4" w:rsidRPr="007E2AF4" w:rsidRDefault="007E2AF4" w:rsidP="007E2AF4">
      <w:pPr>
        <w:pStyle w:val="Style1"/>
      </w:pPr>
      <w:r w:rsidRPr="007E2AF4">
        <w:t xml:space="preserve">Supported by effective health and economic policies locally and nationally, the ACT economy has emerged from the COVID-19 pandemic in a stronger position than previously expected, with economic growth of 2.4 per cent </w:t>
      </w:r>
      <w:r>
        <w:t xml:space="preserve">[in gross state product] </w:t>
      </w:r>
      <w:r w:rsidRPr="007E2AF4">
        <w:t xml:space="preserve">in 2019-20. </w:t>
      </w:r>
      <w:sdt>
        <w:sdtPr>
          <w:id w:val="-667865656"/>
          <w:citation/>
        </w:sdtPr>
        <w:sdtContent>
          <w:r w:rsidR="00FB67A7">
            <w:fldChar w:fldCharType="begin"/>
          </w:r>
          <w:r w:rsidR="00DA22D6">
            <w:instrText xml:space="preserve">CITATION ACT21 \p 8 \t  \l 3081 </w:instrText>
          </w:r>
          <w:r w:rsidR="00FB67A7">
            <w:fldChar w:fldCharType="separate"/>
          </w:r>
          <w:r w:rsidR="00DA22D6">
            <w:rPr>
              <w:noProof/>
            </w:rPr>
            <w:t>(ACT Government, 2021, p. 8)</w:t>
          </w:r>
          <w:r w:rsidR="00FB67A7">
            <w:fldChar w:fldCharType="end"/>
          </w:r>
        </w:sdtContent>
      </w:sdt>
    </w:p>
    <w:p w14:paraId="5DB89A59" w14:textId="531C4272" w:rsidR="007E2AF4" w:rsidRDefault="00FB67A7" w:rsidP="00715911">
      <w:pPr>
        <w:rPr>
          <w:lang w:val="en-NZ" w:eastAsia="en-NZ"/>
        </w:rPr>
      </w:pPr>
      <w:r>
        <w:rPr>
          <w:lang w:val="en-NZ" w:eastAsia="en-NZ"/>
        </w:rPr>
        <w:t>and</w:t>
      </w:r>
    </w:p>
    <w:p w14:paraId="5F0652AE" w14:textId="2CE6A3FE" w:rsidR="00FB67A7" w:rsidRPr="00FB67A7" w:rsidRDefault="00FB67A7" w:rsidP="00FB67A7">
      <w:pPr>
        <w:pStyle w:val="Style1"/>
      </w:pPr>
      <w:r w:rsidRPr="00FB67A7">
        <w:t xml:space="preserve">The recent performance of the ACT economy has been stronger than expected at the time of the August 2020 EFU. This positive outcome reflects the combination of our highly effective public health response to the COVID-19 pandemic, the substantial economic policy actions locally and nationally and our resilient business and community sectors. In addition, our secure public sector base has provided a significant economic buffer, offsetting the significant declines in private sector activity. </w:t>
      </w:r>
      <w:sdt>
        <w:sdtPr>
          <w:id w:val="1873409156"/>
          <w:citation/>
        </w:sdtPr>
        <w:sdtContent>
          <w:r w:rsidR="00353E1F">
            <w:fldChar w:fldCharType="begin"/>
          </w:r>
          <w:r w:rsidR="00353E1F">
            <w:instrText xml:space="preserve">CITATION ACT21 \p 13 \t  \l 3081 </w:instrText>
          </w:r>
          <w:r w:rsidR="00353E1F">
            <w:fldChar w:fldCharType="separate"/>
          </w:r>
          <w:r w:rsidR="00353E1F">
            <w:rPr>
              <w:noProof/>
            </w:rPr>
            <w:t>(ACT Government, 2021, p. 13)</w:t>
          </w:r>
          <w:r w:rsidR="00353E1F">
            <w:fldChar w:fldCharType="end"/>
          </w:r>
        </w:sdtContent>
      </w:sdt>
    </w:p>
    <w:p w14:paraId="7E2DEF3E" w14:textId="422949AE" w:rsidR="00FB67A7" w:rsidRDefault="00DC10B0" w:rsidP="00715911">
      <w:pPr>
        <w:rPr>
          <w:lang w:val="en-NZ" w:eastAsia="en-NZ"/>
        </w:rPr>
      </w:pPr>
      <w:r>
        <w:rPr>
          <w:lang w:val="en-NZ" w:eastAsia="en-NZ"/>
        </w:rPr>
        <w:t xml:space="preserve">The available evidence suggests the main source of fiscal stimulus to support the ACT economy during the COVID-19 pandemic came from the Commonwealth Government. </w:t>
      </w:r>
      <w:r w:rsidR="003E60D1">
        <w:rPr>
          <w:lang w:val="en-NZ" w:eastAsia="en-NZ"/>
        </w:rPr>
        <w:t>I</w:t>
      </w:r>
      <w:r>
        <w:rPr>
          <w:lang w:val="en-NZ" w:eastAsia="en-NZ"/>
        </w:rPr>
        <w:t xml:space="preserve">t is difficult to </w:t>
      </w:r>
      <w:r w:rsidR="004E229D">
        <w:rPr>
          <w:lang w:val="en-NZ" w:eastAsia="en-NZ"/>
        </w:rPr>
        <w:t>discern</w:t>
      </w:r>
      <w:r>
        <w:rPr>
          <w:lang w:val="en-NZ" w:eastAsia="en-NZ"/>
        </w:rPr>
        <w:t xml:space="preserve"> evidence of a</w:t>
      </w:r>
      <w:r w:rsidR="004E229D">
        <w:rPr>
          <w:lang w:val="en-NZ" w:eastAsia="en-NZ"/>
        </w:rPr>
        <w:t>ny</w:t>
      </w:r>
      <w:r>
        <w:rPr>
          <w:lang w:val="en-NZ" w:eastAsia="en-NZ"/>
        </w:rPr>
        <w:t xml:space="preserve"> </w:t>
      </w:r>
      <w:r w:rsidR="00B85564">
        <w:rPr>
          <w:lang w:val="en-NZ" w:eastAsia="en-NZ"/>
        </w:rPr>
        <w:t xml:space="preserve">major </w:t>
      </w:r>
      <w:r>
        <w:rPr>
          <w:lang w:val="en-NZ" w:eastAsia="en-NZ"/>
        </w:rPr>
        <w:t xml:space="preserve">stimulus provided to the ACT economy </w:t>
      </w:r>
      <w:r w:rsidR="00B34092">
        <w:rPr>
          <w:lang w:val="en-NZ" w:eastAsia="en-NZ"/>
        </w:rPr>
        <w:t xml:space="preserve">by </w:t>
      </w:r>
      <w:r>
        <w:rPr>
          <w:lang w:val="en-NZ" w:eastAsia="en-NZ"/>
        </w:rPr>
        <w:t xml:space="preserve">the ACT </w:t>
      </w:r>
      <w:r w:rsidR="00B34092">
        <w:rPr>
          <w:lang w:val="en-NZ" w:eastAsia="en-NZ"/>
        </w:rPr>
        <w:t>Government</w:t>
      </w:r>
      <w:r>
        <w:rPr>
          <w:lang w:val="en-NZ" w:eastAsia="en-NZ"/>
        </w:rPr>
        <w:t xml:space="preserve">. </w:t>
      </w:r>
    </w:p>
    <w:p w14:paraId="40B3FAA4" w14:textId="3A03EDE3" w:rsidR="00DC10B0" w:rsidRDefault="00DC10B0" w:rsidP="00715911">
      <w:pPr>
        <w:rPr>
          <w:lang w:val="en-NZ" w:eastAsia="en-NZ"/>
        </w:rPr>
      </w:pPr>
      <w:r>
        <w:rPr>
          <w:lang w:val="en-NZ" w:eastAsia="en-NZ"/>
        </w:rPr>
        <w:t>In the 2019 calendar year</w:t>
      </w:r>
      <w:r w:rsidR="00E81E83">
        <w:rPr>
          <w:lang w:val="en-NZ" w:eastAsia="en-NZ"/>
        </w:rPr>
        <w:t>,</w:t>
      </w:r>
      <w:r>
        <w:rPr>
          <w:lang w:val="en-NZ" w:eastAsia="en-NZ"/>
        </w:rPr>
        <w:t xml:space="preserve"> prior to any impact associated COVID-19, the ACT Government’s share of the </w:t>
      </w:r>
      <w:r w:rsidR="003C77DE">
        <w:rPr>
          <w:lang w:val="en-NZ" w:eastAsia="en-NZ"/>
        </w:rPr>
        <w:t xml:space="preserve">ACT </w:t>
      </w:r>
      <w:r>
        <w:rPr>
          <w:lang w:val="en-NZ" w:eastAsia="en-NZ"/>
        </w:rPr>
        <w:t>economy was 10.2 per cent. In the year to September 2020, incorporating three quarters impacted by</w:t>
      </w:r>
      <w:r w:rsidR="00B34092">
        <w:rPr>
          <w:lang w:val="en-NZ" w:eastAsia="en-NZ"/>
        </w:rPr>
        <w:t xml:space="preserve"> the</w:t>
      </w:r>
      <w:r>
        <w:rPr>
          <w:lang w:val="en-NZ" w:eastAsia="en-NZ"/>
        </w:rPr>
        <w:t xml:space="preserve"> </w:t>
      </w:r>
      <w:r w:rsidR="003C77DE">
        <w:rPr>
          <w:lang w:val="en-NZ" w:eastAsia="en-NZ"/>
        </w:rPr>
        <w:t>COVID-19</w:t>
      </w:r>
      <w:r w:rsidR="00B34092">
        <w:rPr>
          <w:lang w:val="en-NZ" w:eastAsia="en-NZ"/>
        </w:rPr>
        <w:t xml:space="preserve"> pandemic</w:t>
      </w:r>
      <w:r w:rsidR="003C77DE">
        <w:rPr>
          <w:lang w:val="en-NZ" w:eastAsia="en-NZ"/>
        </w:rPr>
        <w:t>, the ACT Government’s share of the ACT economy was still sitting at 10.2 per cent.</w:t>
      </w:r>
    </w:p>
    <w:p w14:paraId="5CA9781A" w14:textId="20ADD10E" w:rsidR="003C77DE" w:rsidRDefault="00B34092" w:rsidP="00715911">
      <w:pPr>
        <w:rPr>
          <w:lang w:val="en-NZ" w:eastAsia="en-NZ"/>
        </w:rPr>
      </w:pPr>
      <w:r>
        <w:rPr>
          <w:lang w:val="en-NZ" w:eastAsia="en-NZ"/>
        </w:rPr>
        <w:t>Examination of</w:t>
      </w:r>
      <w:r w:rsidR="003C77DE">
        <w:rPr>
          <w:lang w:val="en-NZ" w:eastAsia="en-NZ"/>
        </w:rPr>
        <w:t xml:space="preserve"> quarterly public sector consumption and investment expenditure and growth rates</w:t>
      </w:r>
      <w:r>
        <w:rPr>
          <w:lang w:val="en-NZ" w:eastAsia="en-NZ"/>
        </w:rPr>
        <w:t xml:space="preserve"> reveals</w:t>
      </w:r>
      <w:r w:rsidR="00870DAF">
        <w:rPr>
          <w:lang w:val="en-NZ" w:eastAsia="en-NZ"/>
        </w:rPr>
        <w:t xml:space="preserve"> </w:t>
      </w:r>
      <w:r w:rsidR="003C77DE">
        <w:rPr>
          <w:lang w:val="en-NZ" w:eastAsia="en-NZ"/>
        </w:rPr>
        <w:t xml:space="preserve">that ACT Government spending appears relatively flat </w:t>
      </w:r>
      <w:r w:rsidR="004E229D">
        <w:rPr>
          <w:lang w:val="en-NZ" w:eastAsia="en-NZ"/>
        </w:rPr>
        <w:t>overall and oscillates significantly between quarters, but quarterly growth never rises above 2.2 per cent. ACT</w:t>
      </w:r>
      <w:r w:rsidR="00870DAF">
        <w:rPr>
          <w:lang w:val="en-NZ" w:eastAsia="en-NZ"/>
        </w:rPr>
        <w:t> </w:t>
      </w:r>
      <w:r w:rsidR="004E229D">
        <w:rPr>
          <w:lang w:val="en-NZ" w:eastAsia="en-NZ"/>
        </w:rPr>
        <w:t xml:space="preserve">Government spending </w:t>
      </w:r>
      <w:r w:rsidR="000228A8">
        <w:rPr>
          <w:lang w:val="en-NZ" w:eastAsia="en-NZ"/>
        </w:rPr>
        <w:t xml:space="preserve">actually </w:t>
      </w:r>
      <w:r w:rsidR="004E229D">
        <w:rPr>
          <w:lang w:val="en-NZ" w:eastAsia="en-NZ"/>
        </w:rPr>
        <w:t xml:space="preserve">contracted by 3.4 per cent during the September quarter 2020. On the other hand, </w:t>
      </w:r>
      <w:r w:rsidR="003C77DE">
        <w:rPr>
          <w:lang w:val="en-NZ" w:eastAsia="en-NZ"/>
        </w:rPr>
        <w:t>Commonwealth Government spending increased significantly</w:t>
      </w:r>
      <w:r w:rsidR="004E229D">
        <w:rPr>
          <w:lang w:val="en-NZ" w:eastAsia="en-NZ"/>
        </w:rPr>
        <w:t xml:space="preserve"> during the March and June quarters in 2020</w:t>
      </w:r>
      <w:r w:rsidR="003C77DE">
        <w:rPr>
          <w:lang w:val="en-NZ" w:eastAsia="en-NZ"/>
        </w:rPr>
        <w:t xml:space="preserve">. This </w:t>
      </w:r>
      <w:r w:rsidR="004E229D">
        <w:rPr>
          <w:lang w:val="en-NZ" w:eastAsia="en-NZ"/>
        </w:rPr>
        <w:t>is outlined</w:t>
      </w:r>
      <w:r w:rsidR="003C77DE">
        <w:rPr>
          <w:lang w:val="en-NZ" w:eastAsia="en-NZ"/>
        </w:rPr>
        <w:t xml:space="preserve"> in Figures 7 and 8 below.</w:t>
      </w:r>
    </w:p>
    <w:p w14:paraId="631D53A3" w14:textId="22E8B59E" w:rsidR="003C77DE" w:rsidRDefault="003C77DE">
      <w:pPr>
        <w:rPr>
          <w:lang w:val="en-NZ" w:eastAsia="en-NZ"/>
        </w:rPr>
      </w:pPr>
      <w:r>
        <w:rPr>
          <w:lang w:val="en-NZ" w:eastAsia="en-NZ"/>
        </w:rPr>
        <w:br w:type="page"/>
      </w:r>
    </w:p>
    <w:p w14:paraId="6576A07F" w14:textId="4921B655" w:rsidR="003C77DE" w:rsidRDefault="003C77DE" w:rsidP="003C77DE">
      <w:pPr>
        <w:pStyle w:val="Caption"/>
        <w:rPr>
          <w:lang w:val="en-NZ" w:eastAsia="en-NZ"/>
        </w:rPr>
      </w:pPr>
      <w:bookmarkStart w:id="47" w:name="_Toc64529099"/>
      <w:r>
        <w:lastRenderedPageBreak/>
        <w:t xml:space="preserve">Figure </w:t>
      </w:r>
      <w:fldSimple w:instr=" SEQ Figure \* ARABIC ">
        <w:r w:rsidR="00AB7125">
          <w:rPr>
            <w:noProof/>
          </w:rPr>
          <w:t>7</w:t>
        </w:r>
      </w:fldSimple>
      <w:r>
        <w:t xml:space="preserve">: Quarterly Commonwealth Government and ACT Government Consumption and Investment Expenditure – June 2019 to September 2020 </w:t>
      </w:r>
      <w:r w:rsidRPr="0070630A">
        <w:t>($ million, constant 201</w:t>
      </w:r>
      <w:r>
        <w:t>8</w:t>
      </w:r>
      <w:r w:rsidRPr="0070630A">
        <w:t>-</w:t>
      </w:r>
      <w:r>
        <w:t>19</w:t>
      </w:r>
      <w:r w:rsidRPr="0070630A">
        <w:t xml:space="preserve"> dollars)</w:t>
      </w:r>
      <w:bookmarkEnd w:id="47"/>
    </w:p>
    <w:p w14:paraId="509CF2AF" w14:textId="7E1D1830" w:rsidR="00DC10B0" w:rsidRDefault="003C77DE" w:rsidP="003C77DE">
      <w:pPr>
        <w:spacing w:before="0"/>
        <w:rPr>
          <w:lang w:val="en-NZ" w:eastAsia="en-NZ"/>
        </w:rPr>
      </w:pPr>
      <w:r>
        <w:rPr>
          <w:noProof/>
          <w:lang w:eastAsia="en-AU"/>
        </w:rPr>
        <w:drawing>
          <wp:inline distT="0" distB="0" distL="0" distR="0" wp14:anchorId="5C760B04" wp14:editId="11FEC161">
            <wp:extent cx="5605145" cy="3038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876" cy="3043750"/>
                    </a:xfrm>
                    <a:prstGeom prst="rect">
                      <a:avLst/>
                    </a:prstGeom>
                    <a:noFill/>
                  </pic:spPr>
                </pic:pic>
              </a:graphicData>
            </a:graphic>
          </wp:inline>
        </w:drawing>
      </w:r>
      <w:r>
        <w:rPr>
          <w:lang w:val="en-NZ" w:eastAsia="en-NZ"/>
        </w:rPr>
        <w:br/>
        <w:t xml:space="preserve">Source: </w:t>
      </w:r>
      <w:r w:rsidRPr="00A00081">
        <w:rPr>
          <w:sz w:val="20"/>
          <w:szCs w:val="20"/>
        </w:rPr>
        <w:t xml:space="preserve">ABS </w:t>
      </w:r>
      <w:sdt>
        <w:sdtPr>
          <w:rPr>
            <w:sz w:val="20"/>
            <w:szCs w:val="20"/>
          </w:rPr>
          <w:id w:val="250398470"/>
          <w:citation/>
        </w:sdtPr>
        <w:sdtContent>
          <w:r w:rsidRPr="00A00081">
            <w:rPr>
              <w:sz w:val="20"/>
              <w:szCs w:val="20"/>
            </w:rPr>
            <w:fldChar w:fldCharType="begin"/>
          </w:r>
          <w:r w:rsidR="00C85D3E">
            <w:rPr>
              <w:sz w:val="20"/>
              <w:szCs w:val="20"/>
            </w:rPr>
            <w:instrText xml:space="preserve">CITATION Aus16 \n  \t  \l 3081 </w:instrText>
          </w:r>
          <w:r w:rsidRPr="00A00081">
            <w:rPr>
              <w:sz w:val="20"/>
              <w:szCs w:val="20"/>
            </w:rPr>
            <w:fldChar w:fldCharType="separate"/>
          </w:r>
          <w:r w:rsidR="00C85D3E" w:rsidRPr="00C85D3E">
            <w:rPr>
              <w:noProof/>
              <w:sz w:val="20"/>
              <w:szCs w:val="20"/>
            </w:rPr>
            <w:t>(2020)</w:t>
          </w:r>
          <w:r w:rsidRPr="00A00081">
            <w:rPr>
              <w:sz w:val="20"/>
              <w:szCs w:val="20"/>
            </w:rPr>
            <w:fldChar w:fldCharType="end"/>
          </w:r>
        </w:sdtContent>
      </w:sdt>
      <w:r>
        <w:rPr>
          <w:sz w:val="20"/>
          <w:szCs w:val="20"/>
        </w:rPr>
        <w:t>.</w:t>
      </w:r>
    </w:p>
    <w:p w14:paraId="0F688104" w14:textId="7D98B3DB" w:rsidR="003C77DE" w:rsidRPr="00715911" w:rsidRDefault="004E229D" w:rsidP="004E229D">
      <w:pPr>
        <w:pStyle w:val="Caption"/>
        <w:rPr>
          <w:lang w:val="en-NZ" w:eastAsia="en-NZ"/>
        </w:rPr>
      </w:pPr>
      <w:bookmarkStart w:id="48" w:name="_Toc64529100"/>
      <w:r>
        <w:t xml:space="preserve">Figure </w:t>
      </w:r>
      <w:fldSimple w:instr=" SEQ Figure \* ARABIC ">
        <w:r w:rsidR="00AB7125">
          <w:rPr>
            <w:noProof/>
          </w:rPr>
          <w:t>8</w:t>
        </w:r>
      </w:fldSimple>
      <w:r>
        <w:t>: Percentage Increase in Commonwealth Government and ACT Government Consumption and Investment Expenditure – June 2019 to September 2020</w:t>
      </w:r>
      <w:bookmarkEnd w:id="48"/>
    </w:p>
    <w:p w14:paraId="163D9BE7" w14:textId="373E51B3" w:rsidR="004E229D" w:rsidRDefault="004E229D" w:rsidP="004E229D">
      <w:pPr>
        <w:spacing w:before="0"/>
        <w:rPr>
          <w:sz w:val="20"/>
          <w:szCs w:val="20"/>
        </w:rPr>
      </w:pPr>
      <w:r>
        <w:rPr>
          <w:noProof/>
          <w:lang w:eastAsia="en-AU"/>
        </w:rPr>
        <w:drawing>
          <wp:inline distT="0" distB="0" distL="0" distR="0" wp14:anchorId="16D2A35E" wp14:editId="6670659D">
            <wp:extent cx="5605145" cy="3324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357" cy="3329688"/>
                    </a:xfrm>
                    <a:prstGeom prst="rect">
                      <a:avLst/>
                    </a:prstGeom>
                    <a:noFill/>
                  </pic:spPr>
                </pic:pic>
              </a:graphicData>
            </a:graphic>
          </wp:inline>
        </w:drawing>
      </w:r>
      <w:r>
        <w:br/>
      </w:r>
      <w:r>
        <w:rPr>
          <w:lang w:val="en-NZ" w:eastAsia="en-NZ"/>
        </w:rPr>
        <w:t xml:space="preserve">Source: </w:t>
      </w:r>
      <w:r w:rsidRPr="00A00081">
        <w:rPr>
          <w:sz w:val="20"/>
          <w:szCs w:val="20"/>
        </w:rPr>
        <w:t xml:space="preserve">ABS </w:t>
      </w:r>
      <w:sdt>
        <w:sdtPr>
          <w:rPr>
            <w:sz w:val="20"/>
            <w:szCs w:val="20"/>
          </w:rPr>
          <w:id w:val="1720706675"/>
          <w:citation/>
        </w:sdtPr>
        <w:sdtContent>
          <w:r w:rsidRPr="00A00081">
            <w:rPr>
              <w:sz w:val="20"/>
              <w:szCs w:val="20"/>
            </w:rPr>
            <w:fldChar w:fldCharType="begin"/>
          </w:r>
          <w:r w:rsidR="00C85D3E">
            <w:rPr>
              <w:sz w:val="20"/>
              <w:szCs w:val="20"/>
            </w:rPr>
            <w:instrText xml:space="preserve">CITATION Aus16 \n  \t  \l 3081 </w:instrText>
          </w:r>
          <w:r w:rsidRPr="00A00081">
            <w:rPr>
              <w:sz w:val="20"/>
              <w:szCs w:val="20"/>
            </w:rPr>
            <w:fldChar w:fldCharType="separate"/>
          </w:r>
          <w:r w:rsidR="00C85D3E" w:rsidRPr="00C85D3E">
            <w:rPr>
              <w:noProof/>
              <w:sz w:val="20"/>
              <w:szCs w:val="20"/>
            </w:rPr>
            <w:t>(2020)</w:t>
          </w:r>
          <w:r w:rsidRPr="00A00081">
            <w:rPr>
              <w:sz w:val="20"/>
              <w:szCs w:val="20"/>
            </w:rPr>
            <w:fldChar w:fldCharType="end"/>
          </w:r>
        </w:sdtContent>
      </w:sdt>
      <w:r>
        <w:rPr>
          <w:sz w:val="20"/>
          <w:szCs w:val="20"/>
        </w:rPr>
        <w:t>.</w:t>
      </w:r>
    </w:p>
    <w:p w14:paraId="4C711E6B" w14:textId="4739D762" w:rsidR="00973CC2" w:rsidRDefault="00973CC2" w:rsidP="00973CC2">
      <w:pPr>
        <w:pStyle w:val="BodyText"/>
      </w:pPr>
      <w:r w:rsidRPr="00973CC2">
        <w:t>The traditional theory of fiscal federalism lays out a general normative framework for the assignment of functions to different levels of government and the appropriate fiscal instruments for carrying out these functions</w:t>
      </w:r>
      <w:r>
        <w:t xml:space="preserve"> </w:t>
      </w:r>
      <w:sdt>
        <w:sdtPr>
          <w:id w:val="-1968423615"/>
          <w:citation/>
        </w:sdtPr>
        <w:sdtContent>
          <w:r w:rsidR="0096267F">
            <w:fldChar w:fldCharType="begin"/>
          </w:r>
          <w:r w:rsidR="0096267F">
            <w:instrText xml:space="preserve">CITATION Oat99 \p 1121 \t  \l 3081 </w:instrText>
          </w:r>
          <w:r w:rsidR="0096267F">
            <w:fldChar w:fldCharType="separate"/>
          </w:r>
          <w:r w:rsidR="0096267F">
            <w:rPr>
              <w:noProof/>
            </w:rPr>
            <w:t>(Oates, 1999, p. 1121)</w:t>
          </w:r>
          <w:r w:rsidR="0096267F">
            <w:fldChar w:fldCharType="end"/>
          </w:r>
        </w:sdtContent>
      </w:sdt>
      <w:r w:rsidRPr="00973CC2">
        <w:t>.</w:t>
      </w:r>
      <w:r w:rsidR="0096267F">
        <w:t xml:space="preserve"> Th</w:t>
      </w:r>
      <w:r w:rsidR="00870DAF">
        <w:t>at</w:t>
      </w:r>
      <w:r w:rsidR="0096267F">
        <w:t xml:space="preserve"> theory suggests that responsibility for economic stabilisation</w:t>
      </w:r>
      <w:r w:rsidR="00870DAF">
        <w:t>,</w:t>
      </w:r>
      <w:r w:rsidR="0096267F">
        <w:t xml:space="preserve"> and </w:t>
      </w:r>
      <w:r w:rsidR="00870DAF">
        <w:t>thus</w:t>
      </w:r>
      <w:r w:rsidR="0096267F">
        <w:t xml:space="preserve"> fiscal stimulus when required</w:t>
      </w:r>
      <w:r w:rsidR="00870DAF">
        <w:t>,</w:t>
      </w:r>
      <w:r w:rsidR="0096267F">
        <w:t xml:space="preserve"> should reside with the central government. According to one of the leading proponents of this theory, distinguished American economist Wallace E. Oates </w:t>
      </w:r>
      <w:sdt>
        <w:sdtPr>
          <w:id w:val="-544593489"/>
          <w:citation/>
        </w:sdtPr>
        <w:sdtContent>
          <w:r w:rsidR="0096267F">
            <w:fldChar w:fldCharType="begin"/>
          </w:r>
          <w:r w:rsidR="0096267F">
            <w:instrText xml:space="preserve">CITATION Oat72 \p 30 \n  \t  \l 3081 </w:instrText>
          </w:r>
          <w:r w:rsidR="0096267F">
            <w:fldChar w:fldCharType="separate"/>
          </w:r>
          <w:r w:rsidR="0096267F">
            <w:rPr>
              <w:noProof/>
            </w:rPr>
            <w:t>(1972, p. 30)</w:t>
          </w:r>
          <w:r w:rsidR="0096267F">
            <w:fldChar w:fldCharType="end"/>
          </w:r>
        </w:sdtContent>
      </w:sdt>
      <w:r w:rsidR="0096267F">
        <w:t>:</w:t>
      </w:r>
    </w:p>
    <w:p w14:paraId="7D862DA6" w14:textId="36540889" w:rsidR="0096267F" w:rsidRPr="00973CC2" w:rsidRDefault="0096267F" w:rsidP="0096267F">
      <w:pPr>
        <w:pStyle w:val="Style1"/>
      </w:pPr>
      <w:r>
        <w:lastRenderedPageBreak/>
        <w:t>The case for having the central government assume primary responsibility for the stabilisation function appears, therefore, to rest on a firm economic foundation … local government cannot use conventional stabilization tools to much effect and must instead rely mainly on beggar-thy-neighbor policies, which from a national standpoint are likely to produce far from the desired results. The central government, on the other hand, is free to adopt monetary policies and fiscal programs involving deficit finance; consequently, the stabilisation problem must be resolved primarily at the central government level.</w:t>
      </w:r>
    </w:p>
    <w:p w14:paraId="433E07CA" w14:textId="63C161B4" w:rsidR="00870DAF" w:rsidRPr="00870DAF" w:rsidRDefault="0096267F" w:rsidP="00870DAF">
      <w:pPr>
        <w:pStyle w:val="BodyText"/>
      </w:pPr>
      <w:r>
        <w:rPr>
          <w:lang w:val="en-NZ"/>
        </w:rPr>
        <w:t xml:space="preserve">While there isn’t anything necessarily wrong with the </w:t>
      </w:r>
      <w:r w:rsidR="000228A8">
        <w:rPr>
          <w:lang w:val="en-NZ"/>
        </w:rPr>
        <w:t xml:space="preserve">approach taken by the </w:t>
      </w:r>
      <w:r>
        <w:rPr>
          <w:lang w:val="en-NZ"/>
        </w:rPr>
        <w:t>ACT Government</w:t>
      </w:r>
      <w:r w:rsidR="00870DAF">
        <w:rPr>
          <w:lang w:val="en-NZ"/>
        </w:rPr>
        <w:t xml:space="preserve">, </w:t>
      </w:r>
      <w:r w:rsidR="00F911BD">
        <w:rPr>
          <w:lang w:val="en-NZ"/>
        </w:rPr>
        <w:t>by the same t</w:t>
      </w:r>
      <w:r w:rsidR="00210C4D">
        <w:rPr>
          <w:lang w:val="en-NZ"/>
        </w:rPr>
        <w:t>o</w:t>
      </w:r>
      <w:r w:rsidR="00F911BD">
        <w:rPr>
          <w:lang w:val="en-NZ"/>
        </w:rPr>
        <w:t>ken</w:t>
      </w:r>
      <w:r w:rsidR="00870DAF">
        <w:rPr>
          <w:lang w:val="en-NZ"/>
        </w:rPr>
        <w:t xml:space="preserve"> </w:t>
      </w:r>
      <w:r w:rsidR="00870DAF" w:rsidRPr="00870DAF">
        <w:t>perhaps it shouldn’t be trying to take some credit for an economic stimulus that it didn’t really contribute all that much towards.</w:t>
      </w:r>
    </w:p>
    <w:p w14:paraId="214AEEE9" w14:textId="469F10B2" w:rsidR="00E94C73" w:rsidRPr="00A00081" w:rsidRDefault="004733C7" w:rsidP="00326DE1">
      <w:pPr>
        <w:pStyle w:val="Heading2"/>
        <w:spacing w:after="240"/>
      </w:pPr>
      <w:bookmarkStart w:id="49" w:name="_Toc453495108"/>
      <w:bookmarkStart w:id="50" w:name="_Toc453516107"/>
      <w:bookmarkStart w:id="51" w:name="_Toc64529026"/>
      <w:r w:rsidRPr="00F4156B">
        <w:t>2</w:t>
      </w:r>
      <w:r w:rsidR="00F866EF" w:rsidRPr="00F4156B">
        <w:t>.</w:t>
      </w:r>
      <w:r w:rsidR="00F4156B" w:rsidRPr="00F4156B">
        <w:t>3</w:t>
      </w:r>
      <w:r w:rsidR="00F866EF" w:rsidRPr="00F4156B">
        <w:tab/>
        <w:t>Employment</w:t>
      </w:r>
      <w:bookmarkEnd w:id="49"/>
      <w:bookmarkEnd w:id="50"/>
      <w:bookmarkEnd w:id="51"/>
    </w:p>
    <w:p w14:paraId="56899378" w14:textId="482C921F" w:rsidR="007B3D84" w:rsidRDefault="00246C35" w:rsidP="00F866EF">
      <w:r w:rsidRPr="00A00081">
        <w:t>E</w:t>
      </w:r>
      <w:r w:rsidR="00F866EF" w:rsidRPr="00A00081">
        <w:t xml:space="preserve">mployment growth </w:t>
      </w:r>
      <w:r w:rsidRPr="00A00081">
        <w:t xml:space="preserve">through the year </w:t>
      </w:r>
      <w:r w:rsidR="00F866EF" w:rsidRPr="00A00081">
        <w:t xml:space="preserve">to the </w:t>
      </w:r>
      <w:r w:rsidRPr="00A00081">
        <w:t xml:space="preserve">end of </w:t>
      </w:r>
      <w:r w:rsidR="009D34FD">
        <w:t>December</w:t>
      </w:r>
      <w:r w:rsidR="009526B9" w:rsidRPr="00A00081">
        <w:t xml:space="preserve"> 20</w:t>
      </w:r>
      <w:r w:rsidR="009D34FD">
        <w:t>20</w:t>
      </w:r>
      <w:r w:rsidR="00F866EF" w:rsidRPr="00A00081">
        <w:t xml:space="preserve"> for the ACT was </w:t>
      </w:r>
      <w:r w:rsidR="009526B9" w:rsidRPr="00A00081">
        <w:t>running at</w:t>
      </w:r>
      <w:r w:rsidR="004060A4">
        <w:t xml:space="preserve"> </w:t>
      </w:r>
      <w:r w:rsidR="009D34FD">
        <w:t>3.2</w:t>
      </w:r>
      <w:r w:rsidR="00D84FDE">
        <w:t> </w:t>
      </w:r>
      <w:r w:rsidR="00F866EF" w:rsidRPr="00A00081">
        <w:t>per</w:t>
      </w:r>
      <w:r w:rsidR="009526B9" w:rsidRPr="00A00081">
        <w:t> </w:t>
      </w:r>
      <w:r w:rsidR="00F866EF" w:rsidRPr="00A00081">
        <w:t>cent</w:t>
      </w:r>
      <w:r w:rsidR="009F62FF" w:rsidRPr="00A00081">
        <w:t xml:space="preserve"> in </w:t>
      </w:r>
      <w:r w:rsidR="009D34FD">
        <w:t xml:space="preserve">both original and seasonally adjusted </w:t>
      </w:r>
      <w:r w:rsidR="009F62FF" w:rsidRPr="00A00081">
        <w:t>terms</w:t>
      </w:r>
      <w:r w:rsidR="009526B9" w:rsidRPr="00A00081">
        <w:t xml:space="preserve"> </w:t>
      </w:r>
      <w:sdt>
        <w:sdtPr>
          <w:id w:val="-579204051"/>
          <w:citation/>
        </w:sdtPr>
        <w:sdtContent>
          <w:r w:rsidR="00AF4AA5" w:rsidRPr="00A00081">
            <w:fldChar w:fldCharType="begin"/>
          </w:r>
          <w:r w:rsidR="00C85D3E">
            <w:instrText xml:space="preserve">CITATION Aus7c \l 3081 </w:instrText>
          </w:r>
          <w:r w:rsidR="00AF4AA5" w:rsidRPr="00A00081">
            <w:fldChar w:fldCharType="separate"/>
          </w:r>
          <w:r w:rsidR="00C85D3E">
            <w:rPr>
              <w:noProof/>
            </w:rPr>
            <w:t>(Australian Bureau of Statistics, 2021a)</w:t>
          </w:r>
          <w:r w:rsidR="00AF4AA5" w:rsidRPr="00A00081">
            <w:fldChar w:fldCharType="end"/>
          </w:r>
        </w:sdtContent>
      </w:sdt>
      <w:r w:rsidR="00F866EF" w:rsidRPr="00A00081">
        <w:t xml:space="preserve">. </w:t>
      </w:r>
      <w:r w:rsidR="009D34FD">
        <w:t xml:space="preserve">While the ACT lost just over 10,000 jobs during April and May 2020 at the height of the </w:t>
      </w:r>
      <w:r w:rsidR="009D34FD">
        <w:rPr>
          <w:lang w:val="en-NZ" w:eastAsia="en-NZ"/>
        </w:rPr>
        <w:t xml:space="preserve">COVID-19 pandemic, </w:t>
      </w:r>
      <w:r w:rsidR="00870DAF">
        <w:rPr>
          <w:lang w:val="en-NZ" w:eastAsia="en-NZ"/>
        </w:rPr>
        <w:t xml:space="preserve">the available evidence </w:t>
      </w:r>
      <w:r w:rsidR="00FA3CF5">
        <w:rPr>
          <w:lang w:val="en-NZ" w:eastAsia="en-NZ"/>
        </w:rPr>
        <w:t xml:space="preserve">suggests </w:t>
      </w:r>
      <w:r w:rsidR="009D34FD">
        <w:rPr>
          <w:lang w:val="en-NZ" w:eastAsia="en-NZ"/>
        </w:rPr>
        <w:t>those jobs have now been recovered.</w:t>
      </w:r>
    </w:p>
    <w:p w14:paraId="202908B7" w14:textId="2A238DB3" w:rsidR="007C042E" w:rsidRDefault="005655A9" w:rsidP="00F866EF">
      <w:r>
        <w:t>In the 20</w:t>
      </w:r>
      <w:r w:rsidR="009D34FD">
        <w:t>20</w:t>
      </w:r>
      <w:r>
        <w:t>-2</w:t>
      </w:r>
      <w:r w:rsidR="009D34FD">
        <w:t>1</w:t>
      </w:r>
      <w:r>
        <w:t xml:space="preserve"> ACT Budget</w:t>
      </w:r>
      <w:r w:rsidR="000228A8">
        <w:t>,</w:t>
      </w:r>
      <w:r>
        <w:t xml:space="preserve"> the ACT Government is </w:t>
      </w:r>
      <w:r w:rsidR="00DB1179">
        <w:t>estima</w:t>
      </w:r>
      <w:r>
        <w:t xml:space="preserve">ting employment growth of </w:t>
      </w:r>
      <w:r w:rsidR="009D34FD">
        <w:t>4</w:t>
      </w:r>
      <w:r>
        <w:t xml:space="preserve"> per cent in 20</w:t>
      </w:r>
      <w:r w:rsidR="009D34FD">
        <w:t>20</w:t>
      </w:r>
      <w:r>
        <w:t>-</w:t>
      </w:r>
      <w:r w:rsidR="009D34FD">
        <w:t>21</w:t>
      </w:r>
      <w:r>
        <w:t xml:space="preserve">, </w:t>
      </w:r>
      <w:r w:rsidR="009D34FD">
        <w:t>followed by</w:t>
      </w:r>
      <w:r w:rsidR="00DB1179">
        <w:t xml:space="preserve"> employment growth of</w:t>
      </w:r>
      <w:r>
        <w:t xml:space="preserve"> </w:t>
      </w:r>
      <w:r w:rsidR="009D34FD">
        <w:t xml:space="preserve">just </w:t>
      </w:r>
      <w:r>
        <w:t>½ per cent in 20</w:t>
      </w:r>
      <w:r w:rsidR="009D34FD">
        <w:t>21</w:t>
      </w:r>
      <w:r>
        <w:t>-2</w:t>
      </w:r>
      <w:r w:rsidR="009D34FD">
        <w:t xml:space="preserve">2. </w:t>
      </w:r>
      <w:r w:rsidR="000228A8">
        <w:t xml:space="preserve">As the </w:t>
      </w:r>
      <w:r w:rsidR="009D34FD">
        <w:t xml:space="preserve">economic recovery from the </w:t>
      </w:r>
      <w:r w:rsidR="009D34FD">
        <w:rPr>
          <w:lang w:val="en-NZ" w:eastAsia="en-NZ"/>
        </w:rPr>
        <w:t xml:space="preserve">COVID-19 pandemic </w:t>
      </w:r>
      <w:r w:rsidR="000228A8">
        <w:rPr>
          <w:lang w:val="en-NZ" w:eastAsia="en-NZ"/>
        </w:rPr>
        <w:t xml:space="preserve">is underway, </w:t>
      </w:r>
      <w:r w:rsidR="009D34FD">
        <w:rPr>
          <w:lang w:val="en-NZ" w:eastAsia="en-NZ"/>
        </w:rPr>
        <w:t xml:space="preserve">the forecast of employment growth of 4 per cent in </w:t>
      </w:r>
      <w:r w:rsidR="007C042E">
        <w:rPr>
          <w:lang w:val="en-NZ" w:eastAsia="en-NZ"/>
        </w:rPr>
        <w:t xml:space="preserve">2020-21 </w:t>
      </w:r>
      <w:r w:rsidR="007C042E" w:rsidRPr="00870DAF">
        <w:rPr>
          <w:lang w:val="en-NZ" w:eastAsia="en-NZ"/>
        </w:rPr>
        <w:t xml:space="preserve">appears </w:t>
      </w:r>
      <w:r w:rsidR="00870DAF" w:rsidRPr="00870DAF">
        <w:rPr>
          <w:lang w:val="en-NZ" w:eastAsia="en-NZ"/>
        </w:rPr>
        <w:t>reasonable</w:t>
      </w:r>
      <w:r w:rsidR="007C042E" w:rsidRPr="00870DAF">
        <w:rPr>
          <w:lang w:val="en-NZ" w:eastAsia="en-NZ"/>
        </w:rPr>
        <w:t>.</w:t>
      </w:r>
      <w:r w:rsidR="000228A8">
        <w:rPr>
          <w:lang w:val="en-NZ" w:eastAsia="en-NZ"/>
        </w:rPr>
        <w:t xml:space="preserve"> The lower forecast for 2012-22 also appears reasonable given the </w:t>
      </w:r>
      <w:r w:rsidR="007C042E">
        <w:rPr>
          <w:lang w:val="en-NZ" w:eastAsia="en-NZ"/>
        </w:rPr>
        <w:t xml:space="preserve">significant reduction in population growth </w:t>
      </w:r>
      <w:r w:rsidR="000228A8">
        <w:rPr>
          <w:lang w:val="en-NZ" w:eastAsia="en-NZ"/>
        </w:rPr>
        <w:t xml:space="preserve">in 2020-21 </w:t>
      </w:r>
      <w:r w:rsidR="007C042E">
        <w:rPr>
          <w:lang w:val="en-NZ" w:eastAsia="en-NZ"/>
        </w:rPr>
        <w:t xml:space="preserve">driven by a </w:t>
      </w:r>
      <w:r w:rsidR="000228A8">
        <w:rPr>
          <w:lang w:val="en-NZ" w:eastAsia="en-NZ"/>
        </w:rPr>
        <w:t xml:space="preserve">decline </w:t>
      </w:r>
      <w:r w:rsidR="007C042E">
        <w:rPr>
          <w:lang w:val="en-NZ" w:eastAsia="en-NZ"/>
        </w:rPr>
        <w:t xml:space="preserve">in net overseas immigration </w:t>
      </w:r>
      <w:sdt>
        <w:sdtPr>
          <w:rPr>
            <w:lang w:val="en-NZ" w:eastAsia="en-NZ"/>
          </w:rPr>
          <w:id w:val="-1949531684"/>
          <w:citation/>
        </w:sdtPr>
        <w:sdtContent>
          <w:r w:rsidR="007C042E">
            <w:rPr>
              <w:lang w:val="en-NZ" w:eastAsia="en-NZ"/>
            </w:rPr>
            <w:fldChar w:fldCharType="begin"/>
          </w:r>
          <w:r w:rsidR="00DA22D6">
            <w:rPr>
              <w:lang w:eastAsia="en-NZ"/>
            </w:rPr>
            <w:instrText xml:space="preserve">CITATION ACT21 \p 8 \t  \l 3081 </w:instrText>
          </w:r>
          <w:r w:rsidR="007C042E">
            <w:rPr>
              <w:lang w:val="en-NZ" w:eastAsia="en-NZ"/>
            </w:rPr>
            <w:fldChar w:fldCharType="separate"/>
          </w:r>
          <w:r w:rsidR="00DA22D6">
            <w:rPr>
              <w:noProof/>
              <w:lang w:eastAsia="en-NZ"/>
            </w:rPr>
            <w:t>(ACT Government, 2021, p. 8)</w:t>
          </w:r>
          <w:r w:rsidR="007C042E">
            <w:rPr>
              <w:lang w:val="en-NZ" w:eastAsia="en-NZ"/>
            </w:rPr>
            <w:fldChar w:fldCharType="end"/>
          </w:r>
        </w:sdtContent>
      </w:sdt>
      <w:r w:rsidR="007C042E">
        <w:rPr>
          <w:lang w:val="en-NZ" w:eastAsia="en-NZ"/>
        </w:rPr>
        <w:t xml:space="preserve">. </w:t>
      </w:r>
    </w:p>
    <w:p w14:paraId="14188789" w14:textId="76D48E0E" w:rsidR="00210C4D" w:rsidRDefault="00F34BFF" w:rsidP="00F866EF">
      <w:r>
        <w:t>The level of employment in</w:t>
      </w:r>
      <w:r w:rsidR="00743F6D">
        <w:t xml:space="preserve"> both </w:t>
      </w:r>
      <w:r w:rsidR="007C042E">
        <w:t>o</w:t>
      </w:r>
      <w:r w:rsidR="00743F6D">
        <w:t xml:space="preserve">riginal and </w:t>
      </w:r>
      <w:r w:rsidR="007C042E">
        <w:t>seasonally</w:t>
      </w:r>
      <w:r w:rsidR="00743F6D">
        <w:t xml:space="preserve"> </w:t>
      </w:r>
      <w:r w:rsidR="00870DAF">
        <w:t xml:space="preserve">adjusted terms </w:t>
      </w:r>
      <w:r w:rsidR="00743F6D">
        <w:t>for</w:t>
      </w:r>
      <w:r>
        <w:t xml:space="preserve"> the ACT is provided in Figure </w:t>
      </w:r>
      <w:r w:rsidR="007C042E">
        <w:t>9</w:t>
      </w:r>
      <w:r>
        <w:t xml:space="preserve"> below.</w:t>
      </w:r>
    </w:p>
    <w:p w14:paraId="6CAF7EBC" w14:textId="606F27E2" w:rsidR="00F34BFF" w:rsidRDefault="00F34BFF" w:rsidP="00B12EFE">
      <w:pPr>
        <w:pStyle w:val="Caption"/>
      </w:pPr>
      <w:bookmarkStart w:id="52" w:name="_Toc64529101"/>
      <w:r w:rsidRPr="00DB0A54">
        <w:t xml:space="preserve">Figure </w:t>
      </w:r>
      <w:r w:rsidR="001B4FE9">
        <w:rPr>
          <w:noProof/>
        </w:rPr>
        <w:fldChar w:fldCharType="begin"/>
      </w:r>
      <w:r w:rsidR="001B4FE9">
        <w:rPr>
          <w:noProof/>
        </w:rPr>
        <w:instrText xml:space="preserve"> SEQ Figure \* ARABIC </w:instrText>
      </w:r>
      <w:r w:rsidR="001B4FE9">
        <w:rPr>
          <w:noProof/>
        </w:rPr>
        <w:fldChar w:fldCharType="separate"/>
      </w:r>
      <w:r w:rsidR="00AB7125">
        <w:rPr>
          <w:noProof/>
        </w:rPr>
        <w:t>9</w:t>
      </w:r>
      <w:r w:rsidR="001B4FE9">
        <w:rPr>
          <w:noProof/>
        </w:rPr>
        <w:fldChar w:fldCharType="end"/>
      </w:r>
      <w:r w:rsidRPr="00DB0A54">
        <w:t xml:space="preserve">: </w:t>
      </w:r>
      <w:r w:rsidR="002A07CA" w:rsidRPr="00DB0A54">
        <w:t xml:space="preserve">ACT Employment – January 2010 to </w:t>
      </w:r>
      <w:r w:rsidR="007C042E">
        <w:t>December</w:t>
      </w:r>
      <w:r w:rsidR="002A07CA" w:rsidRPr="00DB0A54">
        <w:t xml:space="preserve"> 20</w:t>
      </w:r>
      <w:r w:rsidR="007C042E">
        <w:t>20 (‘000)</w:t>
      </w:r>
      <w:bookmarkEnd w:id="52"/>
    </w:p>
    <w:p w14:paraId="10C7ABB0" w14:textId="29B8F058" w:rsidR="002A07CA" w:rsidRPr="004733C7" w:rsidRDefault="007C042E" w:rsidP="00AB3510">
      <w:pPr>
        <w:spacing w:before="0"/>
      </w:pPr>
      <w:r w:rsidRPr="004733C7">
        <w:rPr>
          <w:noProof/>
          <w:lang w:eastAsia="en-AU"/>
        </w:rPr>
        <w:drawing>
          <wp:inline distT="0" distB="0" distL="0" distR="0" wp14:anchorId="34D3F322" wp14:editId="287B8572">
            <wp:extent cx="5695949" cy="3405188"/>
            <wp:effectExtent l="0" t="0" r="635"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7082" cy="3411844"/>
                    </a:xfrm>
                    <a:prstGeom prst="rect">
                      <a:avLst/>
                    </a:prstGeom>
                    <a:noFill/>
                  </pic:spPr>
                </pic:pic>
              </a:graphicData>
            </a:graphic>
          </wp:inline>
        </w:drawing>
      </w:r>
      <w:r w:rsidR="002C1F58" w:rsidRPr="004733C7">
        <w:br/>
      </w:r>
      <w:r w:rsidR="002C1F58" w:rsidRPr="00870DAF">
        <w:rPr>
          <w:sz w:val="20"/>
          <w:szCs w:val="20"/>
        </w:rPr>
        <w:t xml:space="preserve">Source: ABS </w:t>
      </w:r>
      <w:sdt>
        <w:sdtPr>
          <w:rPr>
            <w:sz w:val="20"/>
            <w:szCs w:val="20"/>
          </w:rPr>
          <w:id w:val="637844149"/>
          <w:citation/>
        </w:sdtPr>
        <w:sdtContent>
          <w:r w:rsidR="002C1F58" w:rsidRPr="00870DAF">
            <w:rPr>
              <w:sz w:val="20"/>
              <w:szCs w:val="20"/>
            </w:rPr>
            <w:fldChar w:fldCharType="begin"/>
          </w:r>
          <w:r w:rsidR="00C85D3E" w:rsidRPr="00870DAF">
            <w:rPr>
              <w:sz w:val="20"/>
              <w:szCs w:val="20"/>
            </w:rPr>
            <w:instrText xml:space="preserve">CITATION Aus7c \n  \t  \l 3081 </w:instrText>
          </w:r>
          <w:r w:rsidR="002C1F58" w:rsidRPr="00870DAF">
            <w:rPr>
              <w:sz w:val="20"/>
              <w:szCs w:val="20"/>
            </w:rPr>
            <w:fldChar w:fldCharType="separate"/>
          </w:r>
          <w:r w:rsidR="00C85D3E" w:rsidRPr="00870DAF">
            <w:rPr>
              <w:noProof/>
              <w:sz w:val="20"/>
              <w:szCs w:val="20"/>
            </w:rPr>
            <w:t>(2021a)</w:t>
          </w:r>
          <w:r w:rsidR="002C1F58" w:rsidRPr="00870DAF">
            <w:rPr>
              <w:sz w:val="20"/>
              <w:szCs w:val="20"/>
            </w:rPr>
            <w:fldChar w:fldCharType="end"/>
          </w:r>
        </w:sdtContent>
      </w:sdt>
      <w:r w:rsidR="002C1F58" w:rsidRPr="00870DAF">
        <w:rPr>
          <w:sz w:val="20"/>
          <w:szCs w:val="20"/>
        </w:rPr>
        <w:t>.</w:t>
      </w:r>
    </w:p>
    <w:p w14:paraId="4A17D5CA" w14:textId="26F3F178" w:rsidR="00A53241" w:rsidRPr="00A00081" w:rsidRDefault="004733C7" w:rsidP="00BB6383">
      <w:pPr>
        <w:pStyle w:val="Heading2"/>
        <w:spacing w:after="240"/>
      </w:pPr>
      <w:bookmarkStart w:id="53" w:name="_Toc453495109"/>
      <w:bookmarkStart w:id="54" w:name="_Toc453516108"/>
      <w:bookmarkStart w:id="55" w:name="_Toc64529027"/>
      <w:r w:rsidRPr="00F4156B">
        <w:lastRenderedPageBreak/>
        <w:t>2</w:t>
      </w:r>
      <w:r w:rsidR="00A53241" w:rsidRPr="00F4156B">
        <w:t>.</w:t>
      </w:r>
      <w:r w:rsidR="00F4156B" w:rsidRPr="00F4156B">
        <w:t>4</w:t>
      </w:r>
      <w:r w:rsidR="00A53241" w:rsidRPr="00F4156B">
        <w:tab/>
        <w:t>Wage price index</w:t>
      </w:r>
      <w:bookmarkEnd w:id="53"/>
      <w:bookmarkEnd w:id="54"/>
      <w:bookmarkEnd w:id="55"/>
    </w:p>
    <w:p w14:paraId="0F7192BB" w14:textId="78FB852A" w:rsidR="00981635" w:rsidRPr="00A00081" w:rsidRDefault="004731D9">
      <w:r w:rsidRPr="00A00081">
        <w:t>The W</w:t>
      </w:r>
      <w:r w:rsidR="005F60B8" w:rsidRPr="00A00081">
        <w:t xml:space="preserve">age </w:t>
      </w:r>
      <w:r w:rsidRPr="00A00081">
        <w:t>P</w:t>
      </w:r>
      <w:r w:rsidR="005F60B8" w:rsidRPr="00A00081">
        <w:t xml:space="preserve">rice </w:t>
      </w:r>
      <w:r w:rsidRPr="00A00081">
        <w:t>I</w:t>
      </w:r>
      <w:r w:rsidR="005F60B8" w:rsidRPr="00A00081">
        <w:t>ndex</w:t>
      </w:r>
      <w:r w:rsidRPr="00A00081">
        <w:t xml:space="preserve"> (WPI)</w:t>
      </w:r>
      <w:r w:rsidR="005F60B8" w:rsidRPr="00A00081">
        <w:t xml:space="preserve"> is currently running at </w:t>
      </w:r>
      <w:r w:rsidR="00E01F7E">
        <w:t>1.4</w:t>
      </w:r>
      <w:r w:rsidR="005F60B8" w:rsidRPr="00A00081">
        <w:t xml:space="preserve"> per cent </w:t>
      </w:r>
      <w:r w:rsidR="00246C35" w:rsidRPr="00A00081">
        <w:t xml:space="preserve">through the year </w:t>
      </w:r>
      <w:r w:rsidR="005F60B8" w:rsidRPr="00A00081">
        <w:t xml:space="preserve">to the end of the </w:t>
      </w:r>
      <w:r w:rsidR="007C042E">
        <w:t>September</w:t>
      </w:r>
      <w:r w:rsidR="005F60B8" w:rsidRPr="00A00081">
        <w:t xml:space="preserve"> quarter 20</w:t>
      </w:r>
      <w:r w:rsidR="007C042E">
        <w:t>20</w:t>
      </w:r>
      <w:r w:rsidR="005F60B8" w:rsidRPr="00A00081">
        <w:t xml:space="preserve"> </w:t>
      </w:r>
      <w:sdt>
        <w:sdtPr>
          <w:id w:val="-2040724747"/>
          <w:citation/>
        </w:sdtPr>
        <w:sdtContent>
          <w:r w:rsidR="00AF4AA5" w:rsidRPr="00A00081">
            <w:fldChar w:fldCharType="begin"/>
          </w:r>
          <w:r w:rsidR="00F4156B">
            <w:instrText xml:space="preserve">CITATION Aus6c \l 3081 </w:instrText>
          </w:r>
          <w:r w:rsidR="00AF4AA5" w:rsidRPr="00A00081">
            <w:fldChar w:fldCharType="separate"/>
          </w:r>
          <w:r w:rsidR="00F4156B">
            <w:rPr>
              <w:noProof/>
            </w:rPr>
            <w:t>(Australian Bureau of Statistics, 2020d)</w:t>
          </w:r>
          <w:r w:rsidR="00AF4AA5" w:rsidRPr="00A00081">
            <w:fldChar w:fldCharType="end"/>
          </w:r>
        </w:sdtContent>
      </w:sdt>
      <w:r w:rsidR="005F60B8" w:rsidRPr="00A00081">
        <w:t xml:space="preserve">, which is </w:t>
      </w:r>
      <w:r w:rsidR="00B974BD">
        <w:t>consistent</w:t>
      </w:r>
      <w:r w:rsidR="005F60B8" w:rsidRPr="00A00081">
        <w:t xml:space="preserve"> with the ACT Budget estimate of </w:t>
      </w:r>
      <w:r w:rsidR="00E01F7E">
        <w:t xml:space="preserve">1½ </w:t>
      </w:r>
      <w:r w:rsidR="005F60B8" w:rsidRPr="00A00081">
        <w:t>per cent for 20</w:t>
      </w:r>
      <w:r w:rsidR="007C042E">
        <w:t>20</w:t>
      </w:r>
      <w:r w:rsidR="005F60B8" w:rsidRPr="00A00081">
        <w:t>-</w:t>
      </w:r>
      <w:r w:rsidR="007C042E">
        <w:t>21</w:t>
      </w:r>
      <w:r w:rsidR="00FD5AF7" w:rsidRPr="00A00081">
        <w:t>.</w:t>
      </w:r>
    </w:p>
    <w:p w14:paraId="6F13799E" w14:textId="0D28BDA4" w:rsidR="00E01F7E" w:rsidRDefault="00223D2A">
      <w:r>
        <w:t>Since 2013</w:t>
      </w:r>
      <w:r w:rsidR="000228A8">
        <w:t>,</w:t>
      </w:r>
      <w:r>
        <w:t xml:space="preserve"> </w:t>
      </w:r>
      <w:r w:rsidR="00065959" w:rsidRPr="00A00081">
        <w:t xml:space="preserve">wages growth in the private sector has </w:t>
      </w:r>
      <w:r w:rsidR="006A31C7" w:rsidRPr="00A00081">
        <w:t xml:space="preserve">generally </w:t>
      </w:r>
      <w:r w:rsidR="009C37F8">
        <w:t>outstripped</w:t>
      </w:r>
      <w:r w:rsidR="00065959" w:rsidRPr="00A00081">
        <w:t xml:space="preserve"> that recorded within the public sector within the ACT</w:t>
      </w:r>
      <w:r w:rsidR="003E2F43">
        <w:t xml:space="preserve"> </w:t>
      </w:r>
      <w:r w:rsidR="00FD5AF7" w:rsidRPr="00A00081">
        <w:t xml:space="preserve">as outlined in </w:t>
      </w:r>
      <w:r w:rsidR="000035C8">
        <w:fldChar w:fldCharType="begin"/>
      </w:r>
      <w:r w:rsidR="000035C8">
        <w:instrText xml:space="preserve"> REF _Ref484620576 \h  \* MERGEFORMAT </w:instrText>
      </w:r>
      <w:r w:rsidR="000035C8">
        <w:fldChar w:fldCharType="separate"/>
      </w:r>
      <w:r w:rsidR="00AB7125" w:rsidRPr="00A00081">
        <w:t xml:space="preserve">Figure </w:t>
      </w:r>
      <w:r w:rsidR="00AB7125">
        <w:rPr>
          <w:noProof/>
        </w:rPr>
        <w:t>10</w:t>
      </w:r>
      <w:r w:rsidR="000035C8">
        <w:fldChar w:fldCharType="end"/>
      </w:r>
      <w:r w:rsidR="00E01F7E">
        <w:t>10</w:t>
      </w:r>
      <w:r w:rsidR="006A31C7" w:rsidRPr="00A00081">
        <w:t xml:space="preserve"> below.</w:t>
      </w:r>
    </w:p>
    <w:p w14:paraId="4764B873" w14:textId="39FD6979" w:rsidR="006A31C7" w:rsidRPr="00A00081" w:rsidRDefault="00FD5AF7" w:rsidP="00B12EFE">
      <w:pPr>
        <w:pStyle w:val="Caption"/>
      </w:pPr>
      <w:bookmarkStart w:id="56" w:name="_Ref484620576"/>
      <w:bookmarkStart w:id="57" w:name="_Toc64529102"/>
      <w:r w:rsidRPr="00A00081">
        <w:t xml:space="preserve">Figure </w:t>
      </w:r>
      <w:r w:rsidR="00AF4AA5">
        <w:fldChar w:fldCharType="begin"/>
      </w:r>
      <w:r w:rsidR="00193A0D">
        <w:instrText xml:space="preserve"> SEQ Figure \* ARABIC </w:instrText>
      </w:r>
      <w:r w:rsidR="00AF4AA5">
        <w:fldChar w:fldCharType="separate"/>
      </w:r>
      <w:r w:rsidR="00AB7125">
        <w:rPr>
          <w:noProof/>
        </w:rPr>
        <w:t>10</w:t>
      </w:r>
      <w:r w:rsidR="00AF4AA5">
        <w:rPr>
          <w:noProof/>
        </w:rPr>
        <w:fldChar w:fldCharType="end"/>
      </w:r>
      <w:bookmarkEnd w:id="56"/>
      <w:r w:rsidRPr="00A00081">
        <w:t xml:space="preserve">: Percentage Change in the ACT Wage Price Index for the Private and Public Sectors from Corresponding Quarter of Previous Year (Total hourly rates of pay excluding bonuses) – </w:t>
      </w:r>
      <w:r w:rsidR="00E01F7E">
        <w:t>March</w:t>
      </w:r>
      <w:r w:rsidRPr="00A00081">
        <w:t xml:space="preserve"> quarter 200</w:t>
      </w:r>
      <w:r w:rsidR="003B3AE2">
        <w:t>7</w:t>
      </w:r>
      <w:r w:rsidR="00E55E96">
        <w:t xml:space="preserve"> </w:t>
      </w:r>
      <w:r w:rsidRPr="00A00081">
        <w:t xml:space="preserve">to </w:t>
      </w:r>
      <w:r w:rsidR="00E01F7E">
        <w:t>September</w:t>
      </w:r>
      <w:r w:rsidRPr="00A00081">
        <w:t xml:space="preserve"> quarter 20</w:t>
      </w:r>
      <w:r w:rsidR="00E01F7E">
        <w:t>20</w:t>
      </w:r>
      <w:bookmarkEnd w:id="57"/>
    </w:p>
    <w:p w14:paraId="7E04F388" w14:textId="72958EB2" w:rsidR="006A31C7" w:rsidRPr="00A00081" w:rsidRDefault="00927DE8" w:rsidP="00FA6B67">
      <w:pPr>
        <w:spacing w:before="0"/>
        <w:rPr>
          <w:sz w:val="20"/>
          <w:szCs w:val="20"/>
        </w:rPr>
      </w:pPr>
      <w:r>
        <w:rPr>
          <w:noProof/>
          <w:sz w:val="20"/>
          <w:szCs w:val="20"/>
          <w:lang w:eastAsia="en-AU"/>
        </w:rPr>
        <w:drawing>
          <wp:inline distT="0" distB="0" distL="0" distR="0" wp14:anchorId="09DDA2E7" wp14:editId="0D08D9AC">
            <wp:extent cx="5534025" cy="3328987"/>
            <wp:effectExtent l="0" t="0" r="0" b="508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0973" cy="3333166"/>
                    </a:xfrm>
                    <a:prstGeom prst="rect">
                      <a:avLst/>
                    </a:prstGeom>
                    <a:noFill/>
                  </pic:spPr>
                </pic:pic>
              </a:graphicData>
            </a:graphic>
          </wp:inline>
        </w:drawing>
      </w:r>
      <w:r w:rsidR="006A31C7" w:rsidRPr="00A00081">
        <w:br/>
      </w:r>
      <w:r w:rsidR="006A31C7" w:rsidRPr="00A00081">
        <w:rPr>
          <w:sz w:val="20"/>
          <w:szCs w:val="20"/>
        </w:rPr>
        <w:t>Source: A</w:t>
      </w:r>
      <w:r w:rsidR="00870DAF">
        <w:rPr>
          <w:sz w:val="20"/>
          <w:szCs w:val="20"/>
        </w:rPr>
        <w:t>BS</w:t>
      </w:r>
      <w:r w:rsidR="006A31C7" w:rsidRPr="00A00081">
        <w:rPr>
          <w:sz w:val="20"/>
          <w:szCs w:val="20"/>
        </w:rPr>
        <w:t xml:space="preserve"> </w:t>
      </w:r>
      <w:sdt>
        <w:sdtPr>
          <w:rPr>
            <w:sz w:val="20"/>
            <w:szCs w:val="20"/>
          </w:rPr>
          <w:id w:val="-1091391378"/>
          <w:citation/>
        </w:sdtPr>
        <w:sdtContent>
          <w:r w:rsidR="00AF4AA5" w:rsidRPr="00A00081">
            <w:rPr>
              <w:sz w:val="20"/>
              <w:szCs w:val="20"/>
            </w:rPr>
            <w:fldChar w:fldCharType="begin"/>
          </w:r>
          <w:r w:rsidR="00F4156B">
            <w:rPr>
              <w:sz w:val="20"/>
              <w:szCs w:val="20"/>
            </w:rPr>
            <w:instrText xml:space="preserve">CITATION Aus6c \n  \t  \l 3081 </w:instrText>
          </w:r>
          <w:r w:rsidR="00AF4AA5" w:rsidRPr="00A00081">
            <w:rPr>
              <w:sz w:val="20"/>
              <w:szCs w:val="20"/>
            </w:rPr>
            <w:fldChar w:fldCharType="separate"/>
          </w:r>
          <w:r w:rsidR="00F4156B" w:rsidRPr="00F4156B">
            <w:rPr>
              <w:noProof/>
              <w:sz w:val="20"/>
              <w:szCs w:val="20"/>
            </w:rPr>
            <w:t>(2020d)</w:t>
          </w:r>
          <w:r w:rsidR="00AF4AA5" w:rsidRPr="00A00081">
            <w:rPr>
              <w:sz w:val="20"/>
              <w:szCs w:val="20"/>
            </w:rPr>
            <w:fldChar w:fldCharType="end"/>
          </w:r>
        </w:sdtContent>
      </w:sdt>
      <w:r w:rsidR="00FA6B67">
        <w:rPr>
          <w:sz w:val="20"/>
          <w:szCs w:val="20"/>
        </w:rPr>
        <w:t>.</w:t>
      </w:r>
    </w:p>
    <w:p w14:paraId="3DD38334" w14:textId="2B4C1FA8" w:rsidR="007846B1" w:rsidRPr="007846B1" w:rsidRDefault="00870DAF">
      <w:pPr>
        <w:rPr>
          <w:rStyle w:val="BodyTextChar"/>
          <w:rFonts w:asciiTheme="minorHAnsi" w:eastAsiaTheme="minorHAnsi" w:hAnsiTheme="minorHAnsi" w:cstheme="minorHAnsi"/>
          <w:szCs w:val="22"/>
        </w:rPr>
      </w:pPr>
      <w:r>
        <w:rPr>
          <w:rStyle w:val="BodyTextChar"/>
          <w:rFonts w:asciiTheme="minorHAnsi" w:eastAsiaTheme="minorHAnsi" w:hAnsiTheme="minorHAnsi" w:cstheme="minorHAnsi"/>
          <w:szCs w:val="22"/>
        </w:rPr>
        <w:t>I</w:t>
      </w:r>
      <w:r w:rsidR="007846B1" w:rsidRPr="007846B1">
        <w:rPr>
          <w:rStyle w:val="BodyTextChar"/>
          <w:rFonts w:asciiTheme="minorHAnsi" w:eastAsiaTheme="minorHAnsi" w:hAnsiTheme="minorHAnsi" w:cstheme="minorHAnsi"/>
          <w:szCs w:val="22"/>
        </w:rPr>
        <w:t xml:space="preserve">n November 2020 the Commonwealth Government announced a new wages policy for its public servants </w:t>
      </w:r>
      <w:sdt>
        <w:sdtPr>
          <w:rPr>
            <w:rStyle w:val="BodyTextChar"/>
            <w:rFonts w:asciiTheme="minorHAnsi" w:eastAsiaTheme="minorHAnsi" w:hAnsiTheme="minorHAnsi" w:cstheme="minorHAnsi"/>
            <w:szCs w:val="22"/>
          </w:rPr>
          <w:id w:val="1060059333"/>
          <w:citation/>
        </w:sdtPr>
        <w:sdtContent>
          <w:r w:rsidR="007846B1" w:rsidRPr="007846B1">
            <w:rPr>
              <w:rStyle w:val="BodyTextChar"/>
              <w:rFonts w:asciiTheme="minorHAnsi" w:eastAsiaTheme="minorHAnsi" w:hAnsiTheme="minorHAnsi" w:cstheme="minorHAnsi"/>
              <w:szCs w:val="22"/>
            </w:rPr>
            <w:fldChar w:fldCharType="begin"/>
          </w:r>
          <w:r w:rsidR="007846B1" w:rsidRPr="007846B1">
            <w:rPr>
              <w:rStyle w:val="BodyTextChar"/>
              <w:rFonts w:asciiTheme="minorHAnsi" w:eastAsiaTheme="minorHAnsi" w:hAnsiTheme="minorHAnsi" w:cstheme="minorHAnsi"/>
              <w:szCs w:val="22"/>
            </w:rPr>
            <w:instrText xml:space="preserve"> CITATION Mor20 \l 3081 </w:instrText>
          </w:r>
          <w:r w:rsidR="007846B1" w:rsidRPr="007846B1">
            <w:rPr>
              <w:rStyle w:val="BodyTextChar"/>
              <w:rFonts w:asciiTheme="minorHAnsi" w:eastAsiaTheme="minorHAnsi" w:hAnsiTheme="minorHAnsi" w:cstheme="minorHAnsi"/>
              <w:szCs w:val="22"/>
            </w:rPr>
            <w:fldChar w:fldCharType="separate"/>
          </w:r>
          <w:r w:rsidR="007846B1" w:rsidRPr="007846B1">
            <w:rPr>
              <w:rFonts w:cstheme="minorHAnsi"/>
              <w:noProof/>
              <w:lang w:eastAsia="en-AU"/>
            </w:rPr>
            <w:t>(Moreton, 2020)</w:t>
          </w:r>
          <w:r w:rsidR="007846B1" w:rsidRPr="007846B1">
            <w:rPr>
              <w:rStyle w:val="BodyTextChar"/>
              <w:rFonts w:asciiTheme="minorHAnsi" w:eastAsiaTheme="minorHAnsi" w:hAnsiTheme="minorHAnsi" w:cstheme="minorHAnsi"/>
              <w:szCs w:val="22"/>
            </w:rPr>
            <w:fldChar w:fldCharType="end"/>
          </w:r>
        </w:sdtContent>
      </w:sdt>
      <w:r w:rsidR="007846B1" w:rsidRPr="007846B1">
        <w:rPr>
          <w:rStyle w:val="BodyTextChar"/>
          <w:rFonts w:asciiTheme="minorHAnsi" w:eastAsiaTheme="minorHAnsi" w:hAnsiTheme="minorHAnsi" w:cstheme="minorHAnsi"/>
          <w:szCs w:val="22"/>
        </w:rPr>
        <w:t xml:space="preserve">. Under this policy, the Commonwealth removed its </w:t>
      </w:r>
      <w:r w:rsidR="007846B1" w:rsidRPr="007846B1">
        <w:rPr>
          <w:rFonts w:cstheme="minorHAnsi"/>
          <w:color w:val="212529"/>
          <w:shd w:val="clear" w:color="auto" w:fill="FFFFFF"/>
        </w:rPr>
        <w:t>2 per cent wages cap and will now cap future wage adjustments for Commonwealth public servants to wage adjustments in the private sector.</w:t>
      </w:r>
    </w:p>
    <w:p w14:paraId="22ACF0AC" w14:textId="24777A7B" w:rsidR="007846B1" w:rsidRPr="007846B1" w:rsidRDefault="007846B1" w:rsidP="007846B1">
      <w:r w:rsidRPr="007846B1">
        <w:t>Given the widespread imposition of wage freezes and ongoing excess capacity in the labour market nationwide, wage growth in the private sector for Australia is anticipated to remain modest for some time</w:t>
      </w:r>
      <w:r>
        <w:t xml:space="preserve"> </w:t>
      </w:r>
      <w:sdt>
        <w:sdtPr>
          <w:id w:val="-1997105905"/>
          <w:citation/>
        </w:sdtPr>
        <w:sdtContent>
          <w:r>
            <w:fldChar w:fldCharType="begin"/>
          </w:r>
          <w:r w:rsidR="00DA22D6">
            <w:instrText xml:space="preserve">CITATION ACT21 \p 33 \t  \l 3081 </w:instrText>
          </w:r>
          <w:r>
            <w:fldChar w:fldCharType="separate"/>
          </w:r>
          <w:r w:rsidR="00DA22D6">
            <w:rPr>
              <w:noProof/>
            </w:rPr>
            <w:t>(ACT Government, 2021, p. 33)</w:t>
          </w:r>
          <w:r>
            <w:fldChar w:fldCharType="end"/>
          </w:r>
        </w:sdtContent>
      </w:sdt>
      <w:r w:rsidRPr="007846B1">
        <w:t xml:space="preserve">. </w:t>
      </w:r>
      <w:r>
        <w:t>On this basis, forecasts and projections for wages growth in the vicinity of 2 per cent and under appear reasonable.</w:t>
      </w:r>
    </w:p>
    <w:p w14:paraId="523325B1" w14:textId="04D75FD9" w:rsidR="00345E9F" w:rsidRPr="00A00081" w:rsidRDefault="004733C7" w:rsidP="00345E9F">
      <w:pPr>
        <w:pStyle w:val="Heading2"/>
        <w:spacing w:after="240"/>
      </w:pPr>
      <w:bookmarkStart w:id="58" w:name="_Toc453495110"/>
      <w:bookmarkStart w:id="59" w:name="_Toc453516109"/>
      <w:bookmarkStart w:id="60" w:name="_Toc453495111"/>
      <w:bookmarkStart w:id="61" w:name="_Toc453516110"/>
      <w:bookmarkStart w:id="62" w:name="_Toc64529028"/>
      <w:r w:rsidRPr="00F4156B">
        <w:t>2</w:t>
      </w:r>
      <w:r w:rsidR="00345E9F" w:rsidRPr="00F4156B">
        <w:t>.</w:t>
      </w:r>
      <w:r w:rsidR="00F4156B" w:rsidRPr="00F4156B">
        <w:t>5</w:t>
      </w:r>
      <w:r w:rsidR="00345E9F" w:rsidRPr="00F4156B">
        <w:tab/>
        <w:t>Consumer price index</w:t>
      </w:r>
      <w:bookmarkEnd w:id="58"/>
      <w:bookmarkEnd w:id="59"/>
      <w:bookmarkEnd w:id="62"/>
    </w:p>
    <w:p w14:paraId="0F39E8F8" w14:textId="63AE4AFB" w:rsidR="00345E9F" w:rsidRDefault="00345E9F" w:rsidP="00345E9F">
      <w:r w:rsidRPr="00A00081">
        <w:t xml:space="preserve">The Consumer Price Index (CPI) percentage change through the year to the end of the </w:t>
      </w:r>
      <w:r>
        <w:t xml:space="preserve">December </w:t>
      </w:r>
      <w:r w:rsidRPr="00A00081">
        <w:t>quarter 20</w:t>
      </w:r>
      <w:r>
        <w:t>20</w:t>
      </w:r>
      <w:r w:rsidRPr="00A00081">
        <w:t xml:space="preserve"> for </w:t>
      </w:r>
      <w:r>
        <w:t>Canberra</w:t>
      </w:r>
      <w:r w:rsidRPr="00A00081">
        <w:t xml:space="preserve"> was </w:t>
      </w:r>
      <w:r>
        <w:t>1.1</w:t>
      </w:r>
      <w:r w:rsidRPr="00A00081">
        <w:t xml:space="preserve"> per cent </w:t>
      </w:r>
      <w:sdt>
        <w:sdtPr>
          <w:id w:val="1934166712"/>
          <w:citation/>
        </w:sdtPr>
        <w:sdtContent>
          <w:r w:rsidRPr="00A00081">
            <w:fldChar w:fldCharType="begin"/>
          </w:r>
          <w:r w:rsidR="00C85D3E">
            <w:instrText xml:space="preserve">CITATION Aus6a1 \l 3081 </w:instrText>
          </w:r>
          <w:r w:rsidRPr="00A00081">
            <w:fldChar w:fldCharType="separate"/>
          </w:r>
          <w:r w:rsidR="00C85D3E">
            <w:rPr>
              <w:noProof/>
            </w:rPr>
            <w:t>(Australian Bureau of Statistics, 2021)</w:t>
          </w:r>
          <w:r w:rsidRPr="00A00081">
            <w:fldChar w:fldCharType="end"/>
          </w:r>
        </w:sdtContent>
      </w:sdt>
      <w:r>
        <w:t>.</w:t>
      </w:r>
      <w:r w:rsidRPr="00A00081">
        <w:t xml:space="preserve"> </w:t>
      </w:r>
      <w:r>
        <w:t xml:space="preserve">The ACT Government </w:t>
      </w:r>
      <w:sdt>
        <w:sdtPr>
          <w:id w:val="-271702734"/>
          <w:citation/>
        </w:sdtPr>
        <w:sdtContent>
          <w:r>
            <w:fldChar w:fldCharType="begin"/>
          </w:r>
          <w:r w:rsidR="00DA22D6">
            <w:instrText xml:space="preserve">CITATION ACT21 \n  \t  \l 3081 </w:instrText>
          </w:r>
          <w:r>
            <w:fldChar w:fldCharType="separate"/>
          </w:r>
          <w:r w:rsidR="00DA22D6">
            <w:rPr>
              <w:noProof/>
            </w:rPr>
            <w:t>(2021)</w:t>
          </w:r>
          <w:r>
            <w:fldChar w:fldCharType="end"/>
          </w:r>
        </w:sdtContent>
      </w:sdt>
      <w:r>
        <w:t xml:space="preserve"> is forecasting the CPI will increase by 3 per cent through the year to the end of June 2021, before moderating to 1¼ per cent in 2021-22.</w:t>
      </w:r>
    </w:p>
    <w:p w14:paraId="234366E8" w14:textId="30FFC580" w:rsidR="00160615" w:rsidRDefault="00345E9F" w:rsidP="00345E9F">
      <w:r>
        <w:t xml:space="preserve">On face value the CPI forecast for 2020-21 may appear to be too high, especially as the Commonwealth Government </w:t>
      </w:r>
      <w:sdt>
        <w:sdtPr>
          <w:id w:val="1715071115"/>
          <w:citation/>
        </w:sdtPr>
        <w:sdtContent>
          <w:r>
            <w:fldChar w:fldCharType="begin"/>
          </w:r>
          <w:r>
            <w:instrText xml:space="preserve">CITATION Com20 \p 19 \n  \t  \l 3081 </w:instrText>
          </w:r>
          <w:r>
            <w:fldChar w:fldCharType="separate"/>
          </w:r>
          <w:r>
            <w:rPr>
              <w:noProof/>
            </w:rPr>
            <w:t>(2020, p. 19)</w:t>
          </w:r>
          <w:r>
            <w:fldChar w:fldCharType="end"/>
          </w:r>
        </w:sdtContent>
      </w:sdt>
      <w:r>
        <w:t xml:space="preserve"> is forecasting growth in the CPI nationally of only 2¼ per cent in 2020-21. However, the forecast is being driven by the large fall in the CPI for Canberra in the </w:t>
      </w:r>
      <w:r>
        <w:lastRenderedPageBreak/>
        <w:t>June quarter 2020, when it fell by 2.</w:t>
      </w:r>
      <w:r w:rsidR="00160615">
        <w:t>3</w:t>
      </w:r>
      <w:r>
        <w:t xml:space="preserve"> per cent for </w:t>
      </w:r>
      <w:r w:rsidR="00160615">
        <w:t xml:space="preserve">the </w:t>
      </w:r>
      <w:r>
        <w:t>quarter during the height of the COVID-19 pandemic</w:t>
      </w:r>
      <w:r w:rsidR="00160615">
        <w:t xml:space="preserve"> when childcare was free for most of the quarter </w:t>
      </w:r>
      <w:sdt>
        <w:sdtPr>
          <w:id w:val="-45688828"/>
          <w:citation/>
        </w:sdtPr>
        <w:sdtContent>
          <w:r w:rsidR="00160615">
            <w:fldChar w:fldCharType="begin"/>
          </w:r>
          <w:r w:rsidR="00DA22D6">
            <w:instrText xml:space="preserve">CITATION ACT21 \p 34 \t  \l 3081 </w:instrText>
          </w:r>
          <w:r w:rsidR="00160615">
            <w:fldChar w:fldCharType="separate"/>
          </w:r>
          <w:r w:rsidR="00DA22D6">
            <w:rPr>
              <w:noProof/>
            </w:rPr>
            <w:t>(ACT Government, 2021, p. 34)</w:t>
          </w:r>
          <w:r w:rsidR="00160615">
            <w:fldChar w:fldCharType="end"/>
          </w:r>
        </w:sdtContent>
      </w:sdt>
      <w:r w:rsidR="00160615">
        <w:t>.</w:t>
      </w:r>
    </w:p>
    <w:p w14:paraId="3BAB3AA0" w14:textId="5F487F30" w:rsidR="00345E9F" w:rsidRDefault="00160615" w:rsidP="00345E9F">
      <w:r>
        <w:t xml:space="preserve">The 3 per cent forecast </w:t>
      </w:r>
      <w:r w:rsidR="00870DAF">
        <w:t xml:space="preserve">arguably </w:t>
      </w:r>
      <w:r>
        <w:t xml:space="preserve">falls into the category of a statistical anomaly and taking a year average result may provide a better indication of </w:t>
      </w:r>
      <w:r w:rsidR="00870DAF">
        <w:t xml:space="preserve">actual </w:t>
      </w:r>
      <w:r>
        <w:t xml:space="preserve">consumer </w:t>
      </w:r>
      <w:r w:rsidR="00870DAF">
        <w:t>price inflation</w:t>
      </w:r>
      <w:r>
        <w:t xml:space="preserve">. This is acknowledged by the ACT Government </w:t>
      </w:r>
      <w:sdt>
        <w:sdtPr>
          <w:id w:val="761731528"/>
          <w:citation/>
        </w:sdtPr>
        <w:sdtContent>
          <w:r>
            <w:fldChar w:fldCharType="begin"/>
          </w:r>
          <w:r w:rsidR="00DA22D6">
            <w:instrText xml:space="preserve">CITATION ACT21 \p 34 \n  \t  \l 3081 </w:instrText>
          </w:r>
          <w:r>
            <w:fldChar w:fldCharType="separate"/>
          </w:r>
          <w:r w:rsidR="00DA22D6">
            <w:rPr>
              <w:noProof/>
            </w:rPr>
            <w:t>(2021, p. 34)</w:t>
          </w:r>
          <w:r>
            <w:fldChar w:fldCharType="end"/>
          </w:r>
        </w:sdtContent>
      </w:sdt>
      <w:r>
        <w:t xml:space="preserve"> when it comments:</w:t>
      </w:r>
    </w:p>
    <w:p w14:paraId="360CCEEA" w14:textId="76E25B67" w:rsidR="00160615" w:rsidRPr="00160615" w:rsidRDefault="00160615" w:rsidP="00160615">
      <w:pPr>
        <w:pStyle w:val="Style1"/>
      </w:pPr>
      <w:r w:rsidRPr="00160615">
        <w:t xml:space="preserve">For indexation purposes, a rate of 1½ per cent for 2020-21 is being used, which looks through the significant fall (-2.3 per cent) in Canberra’s CPI in the June quarter 2020 </w:t>
      </w:r>
      <w:r>
        <w:t xml:space="preserve">… </w:t>
      </w:r>
    </w:p>
    <w:p w14:paraId="32F4DF5F" w14:textId="7B443D69" w:rsidR="00345E9F" w:rsidRDefault="00160615" w:rsidP="00345E9F">
      <w:r>
        <w:t xml:space="preserve">If anything, the 3 per cent forecast for 2020-21 may </w:t>
      </w:r>
      <w:r w:rsidR="001B001B">
        <w:t xml:space="preserve">actually </w:t>
      </w:r>
      <w:r>
        <w:t xml:space="preserve">be </w:t>
      </w:r>
      <w:r w:rsidR="001B001B">
        <w:t xml:space="preserve">on </w:t>
      </w:r>
      <w:r>
        <w:t>low side as it requires some modest reduction in the CPI in the March and June quarters 2021 to actually be achieved.</w:t>
      </w:r>
    </w:p>
    <w:p w14:paraId="1C8BCECD" w14:textId="12A97BD6" w:rsidR="001B001B" w:rsidRDefault="00345E9F" w:rsidP="00345E9F">
      <w:r>
        <w:t xml:space="preserve">While </w:t>
      </w:r>
      <w:r w:rsidR="001B001B">
        <w:t xml:space="preserve">the CPI forecast of 1¼ per cent </w:t>
      </w:r>
      <w:r w:rsidR="007126B2">
        <w:t xml:space="preserve">growth for the ACT in </w:t>
      </w:r>
      <w:r w:rsidR="001B001B">
        <w:t>2021-22 does not appear unreasonable, Pegasus su</w:t>
      </w:r>
      <w:r w:rsidR="007126B2">
        <w:t>spects</w:t>
      </w:r>
      <w:r w:rsidR="001B001B">
        <w:t xml:space="preserve"> that it may actually be ½ per cent on the low side. This is on the basis that forecasts for the ACT should </w:t>
      </w:r>
      <w:r w:rsidR="007126B2">
        <w:t xml:space="preserve">probably </w:t>
      </w:r>
      <w:r w:rsidR="001B001B">
        <w:t xml:space="preserve">be </w:t>
      </w:r>
      <w:r w:rsidR="007126B2">
        <w:t xml:space="preserve">around ¼ per cent higher than national forecasts for the CPI that are currently for growth of around 1½ per cent in 2021-22 </w:t>
      </w:r>
      <w:sdt>
        <w:sdtPr>
          <w:id w:val="-1265304515"/>
          <w:citation/>
        </w:sdtPr>
        <w:sdtContent>
          <w:r w:rsidR="007126B2">
            <w:fldChar w:fldCharType="begin"/>
          </w:r>
          <w:r w:rsidR="007126B2">
            <w:instrText xml:space="preserve">CITATION Com20 \p 19 \t  \l 3081 </w:instrText>
          </w:r>
          <w:r w:rsidR="007126B2">
            <w:fldChar w:fldCharType="separate"/>
          </w:r>
          <w:r w:rsidR="007126B2">
            <w:rPr>
              <w:noProof/>
            </w:rPr>
            <w:t>(Commonwealth of Australia, 2020, p. 19)</w:t>
          </w:r>
          <w:r w:rsidR="007126B2">
            <w:fldChar w:fldCharType="end"/>
          </w:r>
        </w:sdtContent>
      </w:sdt>
      <w:r w:rsidR="007126B2">
        <w:t xml:space="preserve">. </w:t>
      </w:r>
      <w:r w:rsidR="001B001B" w:rsidRPr="007229C2">
        <w:t xml:space="preserve">Pegasus </w:t>
      </w:r>
      <w:r w:rsidR="001B001B">
        <w:t>has previously suggested</w:t>
      </w:r>
      <w:r w:rsidR="001B001B" w:rsidRPr="007229C2">
        <w:t xml:space="preserve"> that ACT Government policies and practices may have locked in slightly higher inflation for the ACT than experienced in the other capital cities</w:t>
      </w:r>
      <w:r w:rsidR="001B001B">
        <w:t xml:space="preserve"> through tax reform and inefficient service delivery</w:t>
      </w:r>
      <w:r w:rsidR="00963FF7">
        <w:t xml:space="preserve"> </w:t>
      </w:r>
      <w:sdt>
        <w:sdtPr>
          <w:id w:val="-57012823"/>
          <w:citation/>
        </w:sdtPr>
        <w:sdtContent>
          <w:r w:rsidR="00963FF7">
            <w:fldChar w:fldCharType="begin"/>
          </w:r>
          <w:r w:rsidR="00963FF7">
            <w:instrText xml:space="preserve">CITATION Dav17 \p 11 \t  \l 3081 </w:instrText>
          </w:r>
          <w:r w:rsidR="00963FF7">
            <w:fldChar w:fldCharType="separate"/>
          </w:r>
          <w:r w:rsidR="00963FF7">
            <w:rPr>
              <w:noProof/>
            </w:rPr>
            <w:t>(Davey &amp; Fisher, 2017, p. 11)</w:t>
          </w:r>
          <w:r w:rsidR="00963FF7">
            <w:fldChar w:fldCharType="end"/>
          </w:r>
        </w:sdtContent>
      </w:sdt>
      <w:r w:rsidR="001B001B" w:rsidRPr="007229C2">
        <w:t>.</w:t>
      </w:r>
    </w:p>
    <w:p w14:paraId="20AAEE2B" w14:textId="5EFEA3C9" w:rsidR="00DD351E" w:rsidRPr="00A00081" w:rsidRDefault="004733C7" w:rsidP="00BB6383">
      <w:pPr>
        <w:pStyle w:val="Heading2"/>
        <w:spacing w:after="240"/>
      </w:pPr>
      <w:bookmarkStart w:id="63" w:name="_Toc64529029"/>
      <w:r w:rsidRPr="00F4156B">
        <w:t>2</w:t>
      </w:r>
      <w:r w:rsidR="00246C35" w:rsidRPr="00F4156B">
        <w:t>.</w:t>
      </w:r>
      <w:r w:rsidR="00F4156B" w:rsidRPr="00F4156B">
        <w:t>6</w:t>
      </w:r>
      <w:r w:rsidR="00246C35" w:rsidRPr="00F4156B">
        <w:tab/>
        <w:t>Population growth</w:t>
      </w:r>
      <w:bookmarkEnd w:id="60"/>
      <w:bookmarkEnd w:id="61"/>
      <w:bookmarkEnd w:id="63"/>
    </w:p>
    <w:p w14:paraId="587FA01E" w14:textId="78EA1F2A" w:rsidR="001850C8" w:rsidRDefault="007126B2" w:rsidP="001850C8">
      <w:r>
        <w:t>There is no</w:t>
      </w:r>
      <w:r w:rsidR="00246C35" w:rsidRPr="004A01F0">
        <w:t xml:space="preserve"> quarter of </w:t>
      </w:r>
      <w:r w:rsidR="00C40AB2">
        <w:t>p</w:t>
      </w:r>
      <w:r w:rsidR="00C40AB2" w:rsidRPr="004A01F0">
        <w:t xml:space="preserve">opulation </w:t>
      </w:r>
      <w:r w:rsidR="00246C35" w:rsidRPr="004A01F0">
        <w:t xml:space="preserve">data </w:t>
      </w:r>
      <w:r w:rsidR="00EB19C8">
        <w:t xml:space="preserve">currently </w:t>
      </w:r>
      <w:r w:rsidR="00246C35" w:rsidRPr="004A01F0">
        <w:t xml:space="preserve">available </w:t>
      </w:r>
      <w:r w:rsidR="00963FF7">
        <w:t xml:space="preserve">so far </w:t>
      </w:r>
      <w:r w:rsidR="00246C35" w:rsidRPr="004A01F0">
        <w:t>for the 20</w:t>
      </w:r>
      <w:r w:rsidR="000127B5">
        <w:t>20</w:t>
      </w:r>
      <w:r w:rsidR="00246C35" w:rsidRPr="004A01F0">
        <w:t>-</w:t>
      </w:r>
      <w:r>
        <w:t>2</w:t>
      </w:r>
      <w:r w:rsidR="000127B5">
        <w:t>1</w:t>
      </w:r>
      <w:r w:rsidR="00246C35" w:rsidRPr="004A01F0">
        <w:t xml:space="preserve"> financial year.</w:t>
      </w:r>
      <w:r w:rsidR="00C85D3E">
        <w:rPr>
          <w:rStyle w:val="FootnoteReference"/>
        </w:rPr>
        <w:footnoteReference w:id="2"/>
      </w:r>
      <w:r w:rsidR="00246C35" w:rsidRPr="004A01F0">
        <w:t xml:space="preserve"> </w:t>
      </w:r>
      <w:r w:rsidR="00EB19C8">
        <w:t xml:space="preserve">With the exception of 2020-21, the population forecasts and projections contained in the ACT Budget are consistent with those produced by the Commonwealth Government Centre for Population </w:t>
      </w:r>
      <w:sdt>
        <w:sdtPr>
          <w:id w:val="-696080006"/>
          <w:citation/>
        </w:sdtPr>
        <w:sdtContent>
          <w:r w:rsidR="00EB19C8">
            <w:fldChar w:fldCharType="begin"/>
          </w:r>
          <w:r w:rsidR="00EB19C8">
            <w:instrText xml:space="preserve">CITATION Cen20 \n  \t  \l 3081 </w:instrText>
          </w:r>
          <w:r w:rsidR="00EB19C8">
            <w:fldChar w:fldCharType="separate"/>
          </w:r>
          <w:r w:rsidR="00EB19C8">
            <w:rPr>
              <w:noProof/>
            </w:rPr>
            <w:t>(2020)</w:t>
          </w:r>
          <w:r w:rsidR="00EB19C8">
            <w:fldChar w:fldCharType="end"/>
          </w:r>
        </w:sdtContent>
      </w:sdt>
      <w:r w:rsidR="00EB19C8">
        <w:t xml:space="preserve">. However, the Centre for Population </w:t>
      </w:r>
      <w:sdt>
        <w:sdtPr>
          <w:id w:val="-1235538458"/>
          <w:citation/>
        </w:sdtPr>
        <w:sdtContent>
          <w:r w:rsidR="00EB19C8">
            <w:fldChar w:fldCharType="begin"/>
          </w:r>
          <w:r w:rsidR="00EB19C8">
            <w:instrText xml:space="preserve">CITATION Cen20 \n  \t  \l 3081 </w:instrText>
          </w:r>
          <w:r w:rsidR="00EB19C8">
            <w:fldChar w:fldCharType="separate"/>
          </w:r>
          <w:r w:rsidR="00EB19C8">
            <w:rPr>
              <w:noProof/>
            </w:rPr>
            <w:t>(2020)</w:t>
          </w:r>
          <w:r w:rsidR="00EB19C8">
            <w:fldChar w:fldCharType="end"/>
          </w:r>
        </w:sdtContent>
      </w:sdt>
      <w:r w:rsidR="00EB19C8">
        <w:t xml:space="preserve"> is forecasting negative population growth of 0.3 per cent in 2020-21, that would be consistent with a population growth forecast of –¼ per cent in 2020-21, whereas the ACT Government has forecast population growth of ¼ per cent for 2020-21. This small difference is unlikely to have a material impact on any of the other ACT Budget </w:t>
      </w:r>
      <w:r w:rsidR="000127B5">
        <w:t xml:space="preserve">economic </w:t>
      </w:r>
      <w:r w:rsidR="00EB19C8">
        <w:t>forecasts for 2020-21.</w:t>
      </w:r>
    </w:p>
    <w:p w14:paraId="731A089C" w14:textId="4454D7E2" w:rsidR="00A10711" w:rsidRDefault="00A10711" w:rsidP="00DC3CC0">
      <w:pPr>
        <w:pStyle w:val="BodyText"/>
      </w:pPr>
      <w:r>
        <w:br w:type="page"/>
      </w:r>
    </w:p>
    <w:p w14:paraId="71680B03" w14:textId="3B13A30C" w:rsidR="0091766E" w:rsidRDefault="0091766E" w:rsidP="0091766E">
      <w:pPr>
        <w:pStyle w:val="Heading1"/>
      </w:pPr>
      <w:bookmarkStart w:id="64" w:name="_Toc453495113"/>
      <w:bookmarkStart w:id="65" w:name="_Toc453516112"/>
      <w:bookmarkStart w:id="66" w:name="_Toc485570985"/>
      <w:bookmarkStart w:id="67" w:name="_Toc64529030"/>
      <w:r>
        <w:rPr>
          <w:noProof/>
          <w:lang w:eastAsia="en-AU"/>
        </w:rPr>
        <w:lastRenderedPageBreak/>
        <mc:AlternateContent>
          <mc:Choice Requires="wps">
            <w:drawing>
              <wp:anchor distT="91440" distB="91440" distL="114300" distR="114300" simplePos="0" relativeHeight="251660288" behindDoc="0" locked="0" layoutInCell="1" allowOverlap="1" wp14:anchorId="1C5FD794" wp14:editId="10D5CC9B">
                <wp:simplePos x="0" y="0"/>
                <wp:positionH relativeFrom="margin">
                  <wp:posOffset>0</wp:posOffset>
                </wp:positionH>
                <wp:positionV relativeFrom="page">
                  <wp:posOffset>1280795</wp:posOffset>
                </wp:positionV>
                <wp:extent cx="5683250" cy="271462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714625"/>
                        </a:xfrm>
                        <a:prstGeom prst="rect">
                          <a:avLst/>
                        </a:prstGeom>
                        <a:noFill/>
                        <a:ln w="9525">
                          <a:noFill/>
                          <a:miter lim="800000"/>
                          <a:headEnd/>
                          <a:tailEnd/>
                        </a:ln>
                      </wps:spPr>
                      <wps:txbx>
                        <w:txbxContent>
                          <w:p w14:paraId="44F9BB7F" w14:textId="4D31D97B" w:rsidR="00A30ABA" w:rsidRPr="0035792F" w:rsidRDefault="00A30ABA" w:rsidP="00553362">
                            <w:pPr>
                              <w:pBdr>
                                <w:top w:val="single" w:sz="24" w:space="8" w:color="5B9BD5" w:themeColor="accent1"/>
                                <w:bottom w:val="single" w:sz="24" w:space="8" w:color="5B9BD5" w:themeColor="accent1"/>
                              </w:pBdr>
                              <w:spacing w:after="0"/>
                              <w:rPr>
                                <w:i/>
                                <w:iCs/>
                                <w:color w:val="5B9BD5" w:themeColor="accent1"/>
                                <w:sz w:val="24"/>
                                <w:szCs w:val="24"/>
                              </w:rPr>
                            </w:pPr>
                            <w:r w:rsidRPr="0035792F">
                              <w:rPr>
                                <w:i/>
                                <w:iCs/>
                                <w:color w:val="5B9BD5" w:themeColor="accent1"/>
                                <w:sz w:val="24"/>
                                <w:szCs w:val="24"/>
                              </w:rPr>
                              <w:t xml:space="preserve">The Budget Papers present a headline net operating balance of $603.1 million in 2020-21 and continuing deficits over the outyears. This represents an improvement relative to the </w:t>
                            </w:r>
                            <w:r w:rsidRPr="00BA37ED">
                              <w:rPr>
                                <w:i/>
                                <w:iCs/>
                                <w:color w:val="5B9BD5" w:themeColor="accent1"/>
                                <w:sz w:val="24"/>
                                <w:szCs w:val="24"/>
                              </w:rPr>
                              <w:t>August 2020 Economic and Fiscal Update</w:t>
                            </w:r>
                            <w:r w:rsidRPr="00BA37ED">
                              <w:rPr>
                                <w:color w:val="5B9BD5" w:themeColor="accent1"/>
                              </w:rPr>
                              <w:t xml:space="preserve"> </w:t>
                            </w:r>
                            <w:r w:rsidRPr="0035792F">
                              <w:rPr>
                                <w:i/>
                                <w:iCs/>
                                <w:color w:val="5B9BD5" w:themeColor="accent1"/>
                                <w:sz w:val="24"/>
                                <w:szCs w:val="24"/>
                              </w:rPr>
                              <w:t xml:space="preserve">but a significant deterioration in the fiscal outlook relative to the forecasts shown in previous Budgets. The </w:t>
                            </w:r>
                            <w:r w:rsidRPr="00C20FA0">
                              <w:rPr>
                                <w:i/>
                                <w:iCs/>
                                <w:color w:val="5B9BD5" w:themeColor="accent1"/>
                                <w:sz w:val="24"/>
                                <w:szCs w:val="24"/>
                              </w:rPr>
                              <w:t>Budget is now expected to be in deep deficit for the foreseeable future.</w:t>
                            </w:r>
                          </w:p>
                          <w:p w14:paraId="2CEBE975" w14:textId="58A7DAA7" w:rsidR="00A30ABA" w:rsidRDefault="00A30ABA" w:rsidP="00553362">
                            <w:pPr>
                              <w:pBdr>
                                <w:top w:val="single" w:sz="24" w:space="8" w:color="5B9BD5" w:themeColor="accent1"/>
                                <w:bottom w:val="single" w:sz="24" w:space="8" w:color="5B9BD5" w:themeColor="accent1"/>
                              </w:pBdr>
                              <w:spacing w:after="0"/>
                              <w:rPr>
                                <w:i/>
                                <w:iCs/>
                                <w:color w:val="5B9BD5" w:themeColor="accent1"/>
                                <w:sz w:val="24"/>
                                <w:szCs w:val="24"/>
                              </w:rPr>
                            </w:pPr>
                            <w:r w:rsidRPr="0035792F">
                              <w:rPr>
                                <w:i/>
                                <w:iCs/>
                                <w:color w:val="5B9BD5" w:themeColor="accent1"/>
                                <w:sz w:val="24"/>
                                <w:szCs w:val="24"/>
                              </w:rPr>
                              <w:t>Indicators of the sustainability of the fiscal position such as net debt and net worth have</w:t>
                            </w:r>
                            <w:r>
                              <w:rPr>
                                <w:i/>
                                <w:iCs/>
                                <w:color w:val="5B9BD5" w:themeColor="accent1"/>
                                <w:sz w:val="24"/>
                                <w:szCs w:val="24"/>
                              </w:rPr>
                              <w:t xml:space="preserve"> </w:t>
                            </w:r>
                            <w:r w:rsidRPr="0035792F">
                              <w:rPr>
                                <w:i/>
                                <w:iCs/>
                                <w:color w:val="5B9BD5" w:themeColor="accent1"/>
                                <w:sz w:val="24"/>
                                <w:szCs w:val="24"/>
                              </w:rPr>
                              <w:t>deteriorated relative to previous Budgets.</w:t>
                            </w:r>
                          </w:p>
                          <w:p w14:paraId="4AC3C57A" w14:textId="087B1339" w:rsidR="00A30ABA" w:rsidRDefault="00A30ABA" w:rsidP="00553362">
                            <w:pPr>
                              <w:pBdr>
                                <w:top w:val="single" w:sz="24" w:space="8" w:color="5B9BD5" w:themeColor="accent1"/>
                                <w:bottom w:val="single" w:sz="24" w:space="8" w:color="5B9BD5" w:themeColor="accent1"/>
                              </w:pBdr>
                              <w:spacing w:after="0"/>
                              <w:rPr>
                                <w:i/>
                                <w:iCs/>
                                <w:color w:val="5B9BD5" w:themeColor="accent1"/>
                                <w:sz w:val="24"/>
                              </w:rPr>
                            </w:pPr>
                            <w:r w:rsidRPr="00725603">
                              <w:rPr>
                                <w:i/>
                                <w:iCs/>
                                <w:color w:val="5B9BD5" w:themeColor="accent1"/>
                                <w:sz w:val="24"/>
                              </w:rPr>
                              <w:t>The</w:t>
                            </w:r>
                            <w:r>
                              <w:rPr>
                                <w:i/>
                                <w:iCs/>
                                <w:color w:val="5B9BD5" w:themeColor="accent1"/>
                                <w:sz w:val="24"/>
                              </w:rPr>
                              <w:t xml:space="preserve"> </w:t>
                            </w:r>
                            <w:r w:rsidRPr="00725603">
                              <w:rPr>
                                <w:i/>
                                <w:iCs/>
                                <w:color w:val="5B9BD5" w:themeColor="accent1"/>
                                <w:sz w:val="24"/>
                              </w:rPr>
                              <w:t xml:space="preserve">Government </w:t>
                            </w:r>
                            <w:r>
                              <w:rPr>
                                <w:i/>
                                <w:iCs/>
                                <w:color w:val="5B9BD5" w:themeColor="accent1"/>
                                <w:sz w:val="24"/>
                              </w:rPr>
                              <w:t xml:space="preserve">is well positioned </w:t>
                            </w:r>
                            <w:r w:rsidRPr="00725603">
                              <w:rPr>
                                <w:i/>
                                <w:iCs/>
                                <w:color w:val="5B9BD5" w:themeColor="accent1"/>
                                <w:sz w:val="24"/>
                              </w:rPr>
                              <w:t>to meet its immediate financial obligations.  However, the current trajectory cannot be sustained indefinitely. The ACT Government will need at some point to develop strategies to restore its fiscal position</w:t>
                            </w:r>
                            <w:r>
                              <w:rPr>
                                <w:i/>
                                <w:iCs/>
                                <w:color w:val="5B9BD5" w:themeColor="accent1"/>
                                <w:sz w:val="24"/>
                              </w:rPr>
                              <w:t xml:space="preserve"> and reduce debt levels</w:t>
                            </w:r>
                            <w:r w:rsidRPr="00725603">
                              <w:rPr>
                                <w:i/>
                                <w:iCs/>
                                <w:color w:val="5B9BD5" w:themeColor="accent1"/>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D794" id="_x0000_s1034" type="#_x0000_t202" style="position:absolute;margin-left:0;margin-top:100.85pt;width:447.5pt;height:213.7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" filled="f" stroked="f">
                <v:textbox>
                  <w:txbxContent>
                    <w:p w14:paraId="44F9BB7F" w14:textId="4D31D97B" w:rsidR="00A30ABA" w:rsidRPr="0035792F" w:rsidRDefault="00A30ABA" w:rsidP="00553362">
                      <w:pPr>
                        <w:pBdr>
                          <w:top w:val="single" w:sz="24" w:space="8" w:color="5B9BD5" w:themeColor="accent1"/>
                          <w:bottom w:val="single" w:sz="24" w:space="8" w:color="5B9BD5" w:themeColor="accent1"/>
                        </w:pBdr>
                        <w:spacing w:after="0"/>
                        <w:rPr>
                          <w:i/>
                          <w:iCs/>
                          <w:color w:val="5B9BD5" w:themeColor="accent1"/>
                          <w:sz w:val="24"/>
                          <w:szCs w:val="24"/>
                        </w:rPr>
                      </w:pPr>
                      <w:r w:rsidRPr="0035792F">
                        <w:rPr>
                          <w:i/>
                          <w:iCs/>
                          <w:color w:val="5B9BD5" w:themeColor="accent1"/>
                          <w:sz w:val="24"/>
                          <w:szCs w:val="24"/>
                        </w:rPr>
                        <w:t xml:space="preserve">The Budget Papers present a headline net operating balance of $603.1 million in 2020-21 and continuing deficits over the outyears. This represents an improvement relative to the </w:t>
                      </w:r>
                      <w:r w:rsidRPr="00BA37ED">
                        <w:rPr>
                          <w:i/>
                          <w:iCs/>
                          <w:color w:val="5B9BD5" w:themeColor="accent1"/>
                          <w:sz w:val="24"/>
                          <w:szCs w:val="24"/>
                        </w:rPr>
                        <w:t>August 2020 Economic and Fiscal Update</w:t>
                      </w:r>
                      <w:r w:rsidRPr="00BA37ED">
                        <w:rPr>
                          <w:color w:val="5B9BD5" w:themeColor="accent1"/>
                        </w:rPr>
                        <w:t xml:space="preserve"> </w:t>
                      </w:r>
                      <w:r w:rsidRPr="0035792F">
                        <w:rPr>
                          <w:i/>
                          <w:iCs/>
                          <w:color w:val="5B9BD5" w:themeColor="accent1"/>
                          <w:sz w:val="24"/>
                          <w:szCs w:val="24"/>
                        </w:rPr>
                        <w:t xml:space="preserve">but a significant deterioration in the fiscal outlook relative to the forecasts shown in previous Budgets. The </w:t>
                      </w:r>
                      <w:r w:rsidRPr="00C20FA0">
                        <w:rPr>
                          <w:i/>
                          <w:iCs/>
                          <w:color w:val="5B9BD5" w:themeColor="accent1"/>
                          <w:sz w:val="24"/>
                          <w:szCs w:val="24"/>
                        </w:rPr>
                        <w:t>Budget is now expected to be in deep deficit for the foreseeable future.</w:t>
                      </w:r>
                    </w:p>
                    <w:p w14:paraId="2CEBE975" w14:textId="58A7DAA7" w:rsidR="00A30ABA" w:rsidRDefault="00A30ABA" w:rsidP="00553362">
                      <w:pPr>
                        <w:pBdr>
                          <w:top w:val="single" w:sz="24" w:space="8" w:color="5B9BD5" w:themeColor="accent1"/>
                          <w:bottom w:val="single" w:sz="24" w:space="8" w:color="5B9BD5" w:themeColor="accent1"/>
                        </w:pBdr>
                        <w:spacing w:after="0"/>
                        <w:rPr>
                          <w:i/>
                          <w:iCs/>
                          <w:color w:val="5B9BD5" w:themeColor="accent1"/>
                          <w:sz w:val="24"/>
                          <w:szCs w:val="24"/>
                        </w:rPr>
                      </w:pPr>
                      <w:r w:rsidRPr="0035792F">
                        <w:rPr>
                          <w:i/>
                          <w:iCs/>
                          <w:color w:val="5B9BD5" w:themeColor="accent1"/>
                          <w:sz w:val="24"/>
                          <w:szCs w:val="24"/>
                        </w:rPr>
                        <w:t>Indicators of the sustainability of the fiscal position such as net debt and net worth have</w:t>
                      </w:r>
                      <w:r>
                        <w:rPr>
                          <w:i/>
                          <w:iCs/>
                          <w:color w:val="5B9BD5" w:themeColor="accent1"/>
                          <w:sz w:val="24"/>
                          <w:szCs w:val="24"/>
                        </w:rPr>
                        <w:t xml:space="preserve"> </w:t>
                      </w:r>
                      <w:r w:rsidRPr="0035792F">
                        <w:rPr>
                          <w:i/>
                          <w:iCs/>
                          <w:color w:val="5B9BD5" w:themeColor="accent1"/>
                          <w:sz w:val="24"/>
                          <w:szCs w:val="24"/>
                        </w:rPr>
                        <w:t>deteriorated relative to previous Budgets.</w:t>
                      </w:r>
                    </w:p>
                    <w:p w14:paraId="4AC3C57A" w14:textId="087B1339" w:rsidR="00A30ABA" w:rsidRDefault="00A30ABA" w:rsidP="00553362">
                      <w:pPr>
                        <w:pBdr>
                          <w:top w:val="single" w:sz="24" w:space="8" w:color="5B9BD5" w:themeColor="accent1"/>
                          <w:bottom w:val="single" w:sz="24" w:space="8" w:color="5B9BD5" w:themeColor="accent1"/>
                        </w:pBdr>
                        <w:spacing w:after="0"/>
                        <w:rPr>
                          <w:i/>
                          <w:iCs/>
                          <w:color w:val="5B9BD5" w:themeColor="accent1"/>
                          <w:sz w:val="24"/>
                        </w:rPr>
                      </w:pPr>
                      <w:r w:rsidRPr="00725603">
                        <w:rPr>
                          <w:i/>
                          <w:iCs/>
                          <w:color w:val="5B9BD5" w:themeColor="accent1"/>
                          <w:sz w:val="24"/>
                        </w:rPr>
                        <w:t>The</w:t>
                      </w:r>
                      <w:r>
                        <w:rPr>
                          <w:i/>
                          <w:iCs/>
                          <w:color w:val="5B9BD5" w:themeColor="accent1"/>
                          <w:sz w:val="24"/>
                        </w:rPr>
                        <w:t xml:space="preserve"> </w:t>
                      </w:r>
                      <w:r w:rsidRPr="00725603">
                        <w:rPr>
                          <w:i/>
                          <w:iCs/>
                          <w:color w:val="5B9BD5" w:themeColor="accent1"/>
                          <w:sz w:val="24"/>
                        </w:rPr>
                        <w:t xml:space="preserve">Government </w:t>
                      </w:r>
                      <w:r>
                        <w:rPr>
                          <w:i/>
                          <w:iCs/>
                          <w:color w:val="5B9BD5" w:themeColor="accent1"/>
                          <w:sz w:val="24"/>
                        </w:rPr>
                        <w:t xml:space="preserve">is well positioned </w:t>
                      </w:r>
                      <w:r w:rsidRPr="00725603">
                        <w:rPr>
                          <w:i/>
                          <w:iCs/>
                          <w:color w:val="5B9BD5" w:themeColor="accent1"/>
                          <w:sz w:val="24"/>
                        </w:rPr>
                        <w:t>to meet its immediate financial obligations.  However, the current trajectory cannot be sustained indefinitely. The ACT Government will need at some point to develop strategies to restore its fiscal position</w:t>
                      </w:r>
                      <w:r>
                        <w:rPr>
                          <w:i/>
                          <w:iCs/>
                          <w:color w:val="5B9BD5" w:themeColor="accent1"/>
                          <w:sz w:val="24"/>
                        </w:rPr>
                        <w:t xml:space="preserve"> and reduce debt levels</w:t>
                      </w:r>
                      <w:r w:rsidRPr="00725603">
                        <w:rPr>
                          <w:i/>
                          <w:iCs/>
                          <w:color w:val="5B9BD5" w:themeColor="accent1"/>
                          <w:sz w:val="24"/>
                        </w:rPr>
                        <w:t xml:space="preserve">. </w:t>
                      </w:r>
                    </w:p>
                  </w:txbxContent>
                </v:textbox>
                <w10:wrap type="topAndBottom" anchorx="margin" anchory="page"/>
              </v:shape>
            </w:pict>
          </mc:Fallback>
        </mc:AlternateContent>
      </w:r>
      <w:r w:rsidR="002D0480">
        <w:t>3</w:t>
      </w:r>
      <w:r w:rsidR="00F917F6">
        <w:t>.</w:t>
      </w:r>
      <w:r>
        <w:tab/>
      </w:r>
      <w:r w:rsidRPr="006967FF">
        <w:t xml:space="preserve">Fiscal </w:t>
      </w:r>
      <w:r w:rsidR="00F44034" w:rsidRPr="006967FF">
        <w:t>Position</w:t>
      </w:r>
      <w:bookmarkEnd w:id="64"/>
      <w:bookmarkEnd w:id="65"/>
      <w:bookmarkEnd w:id="66"/>
      <w:bookmarkEnd w:id="67"/>
    </w:p>
    <w:p w14:paraId="3F7B664E" w14:textId="19E3E9AD" w:rsidR="0091766E" w:rsidRDefault="002D0480" w:rsidP="0091766E">
      <w:pPr>
        <w:pStyle w:val="Heading2"/>
      </w:pPr>
      <w:bookmarkStart w:id="68" w:name="_Toc484807068"/>
      <w:bookmarkStart w:id="69" w:name="_Toc453516113"/>
      <w:bookmarkStart w:id="70" w:name="_Toc453495114"/>
      <w:bookmarkStart w:id="71" w:name="_Toc485570986"/>
      <w:bookmarkStart w:id="72" w:name="_Toc64529031"/>
      <w:r>
        <w:t>3</w:t>
      </w:r>
      <w:r w:rsidR="0091766E">
        <w:t>.1</w:t>
      </w:r>
      <w:r w:rsidR="0091766E">
        <w:tab/>
      </w:r>
      <w:r w:rsidR="00F44034">
        <w:t xml:space="preserve">Operating Statement - </w:t>
      </w:r>
      <w:r w:rsidR="00DE41AF">
        <w:t>Headline Operating Balance</w:t>
      </w:r>
      <w:bookmarkEnd w:id="68"/>
      <w:bookmarkEnd w:id="69"/>
      <w:bookmarkEnd w:id="70"/>
      <w:bookmarkEnd w:id="71"/>
      <w:bookmarkEnd w:id="72"/>
    </w:p>
    <w:p w14:paraId="0ADBA46A" w14:textId="5854CE69" w:rsidR="00553362" w:rsidRDefault="00553362" w:rsidP="00553362">
      <w:pPr>
        <w:spacing w:before="200" w:after="200"/>
      </w:pPr>
      <w:r>
        <w:t>The Budget Papers present a headline net operating balance of -$603.1 million in 2020-21 and reducing deficits over the outyears. The reported deficit is reduced by the superannuation adjustment.</w:t>
      </w:r>
    </w:p>
    <w:p w14:paraId="273F2A96" w14:textId="4C9EED19" w:rsidR="00553362" w:rsidRDefault="00553362" w:rsidP="00553362">
      <w:pPr>
        <w:pStyle w:val="Caption"/>
      </w:pPr>
      <w:bookmarkStart w:id="73" w:name="_Toc453669092"/>
      <w:bookmarkStart w:id="74" w:name="_Toc453516086"/>
      <w:bookmarkStart w:id="75" w:name="_Toc453495087"/>
      <w:bookmarkStart w:id="76" w:name="_Toc485647917"/>
      <w:bookmarkStart w:id="77" w:name="_Toc64529082"/>
      <w:r>
        <w:t xml:space="preserve">Table </w:t>
      </w:r>
      <w:fldSimple w:instr=" SEQ Table \* ARABIC ">
        <w:r w:rsidR="00AB7125">
          <w:rPr>
            <w:noProof/>
          </w:rPr>
          <w:t>2</w:t>
        </w:r>
      </w:fldSimple>
      <w:r>
        <w:t>: General Government Sector Headline Net Operating Balance</w:t>
      </w:r>
      <w:bookmarkEnd w:id="73"/>
      <w:bookmarkEnd w:id="74"/>
      <w:bookmarkEnd w:id="75"/>
      <w:bookmarkEnd w:id="76"/>
      <w:bookmarkEnd w:id="77"/>
    </w:p>
    <w:tbl>
      <w:tblPr>
        <w:tblW w:w="9225" w:type="dxa"/>
        <w:tblLayout w:type="fixed"/>
        <w:tblLook w:val="01E0" w:firstRow="1" w:lastRow="1" w:firstColumn="1" w:lastColumn="1" w:noHBand="0" w:noVBand="0"/>
      </w:tblPr>
      <w:tblGrid>
        <w:gridCol w:w="3139"/>
        <w:gridCol w:w="1218"/>
        <w:gridCol w:w="1217"/>
        <w:gridCol w:w="1217"/>
        <w:gridCol w:w="1217"/>
        <w:gridCol w:w="1217"/>
      </w:tblGrid>
      <w:tr w:rsidR="00553362" w14:paraId="64846937" w14:textId="77777777" w:rsidTr="00904995">
        <w:trPr>
          <w:cantSplit/>
          <w:trHeight w:val="169"/>
        </w:trPr>
        <w:tc>
          <w:tcPr>
            <w:tcW w:w="3139" w:type="dxa"/>
            <w:tcBorders>
              <w:top w:val="single" w:sz="4" w:space="0" w:color="auto"/>
              <w:left w:val="nil"/>
              <w:bottom w:val="nil"/>
              <w:right w:val="nil"/>
            </w:tcBorders>
            <w:hideMark/>
          </w:tcPr>
          <w:p w14:paraId="3D51792F" w14:textId="77777777" w:rsidR="00553362" w:rsidRDefault="00553362" w:rsidP="00EA67B3">
            <w:pPr>
              <w:keepNext/>
              <w:spacing w:after="0"/>
              <w:jc w:val="right"/>
              <w:rPr>
                <w:rFonts w:ascii="Calibri" w:eastAsia="Times New Roman" w:hAnsi="Calibri" w:cs="Calibri"/>
                <w:color w:val="FFFFFF"/>
                <w:sz w:val="12"/>
                <w:szCs w:val="20"/>
              </w:rPr>
            </w:pPr>
            <w:r>
              <w:rPr>
                <w:rFonts w:ascii="Calibri" w:eastAsia="Times New Roman" w:hAnsi="Calibri" w:cs="Calibri"/>
                <w:color w:val="FFFFFF"/>
                <w:sz w:val="12"/>
                <w:szCs w:val="20"/>
              </w:rPr>
              <w:t>Empty Cell</w:t>
            </w:r>
          </w:p>
        </w:tc>
        <w:tc>
          <w:tcPr>
            <w:tcW w:w="1218" w:type="dxa"/>
            <w:tcBorders>
              <w:top w:val="single" w:sz="4" w:space="0" w:color="auto"/>
              <w:left w:val="nil"/>
              <w:bottom w:val="nil"/>
              <w:right w:val="nil"/>
            </w:tcBorders>
            <w:hideMark/>
          </w:tcPr>
          <w:p w14:paraId="79A2DEDB"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2019-20</w:t>
            </w:r>
          </w:p>
          <w:p w14:paraId="784C6F24"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Audited Outcome</w:t>
            </w:r>
          </w:p>
        </w:tc>
        <w:tc>
          <w:tcPr>
            <w:tcW w:w="1217" w:type="dxa"/>
            <w:tcBorders>
              <w:top w:val="single" w:sz="4" w:space="0" w:color="auto"/>
              <w:left w:val="nil"/>
              <w:bottom w:val="nil"/>
              <w:right w:val="nil"/>
            </w:tcBorders>
            <w:hideMark/>
          </w:tcPr>
          <w:p w14:paraId="2750B463"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2020-21</w:t>
            </w:r>
          </w:p>
          <w:p w14:paraId="5E24FAA0"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Budget</w:t>
            </w:r>
          </w:p>
        </w:tc>
        <w:tc>
          <w:tcPr>
            <w:tcW w:w="1217" w:type="dxa"/>
            <w:tcBorders>
              <w:top w:val="single" w:sz="4" w:space="0" w:color="auto"/>
              <w:left w:val="nil"/>
              <w:bottom w:val="nil"/>
              <w:right w:val="nil"/>
            </w:tcBorders>
            <w:hideMark/>
          </w:tcPr>
          <w:p w14:paraId="4BAFC2F6"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2021-22</w:t>
            </w:r>
          </w:p>
          <w:p w14:paraId="30D7345B"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c>
          <w:tcPr>
            <w:tcW w:w="1217" w:type="dxa"/>
            <w:tcBorders>
              <w:top w:val="single" w:sz="4" w:space="0" w:color="auto"/>
              <w:left w:val="nil"/>
              <w:bottom w:val="nil"/>
              <w:right w:val="nil"/>
            </w:tcBorders>
            <w:hideMark/>
          </w:tcPr>
          <w:p w14:paraId="4B004A7E"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2022-23</w:t>
            </w:r>
          </w:p>
          <w:p w14:paraId="6536AFE5"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c>
          <w:tcPr>
            <w:tcW w:w="1217" w:type="dxa"/>
            <w:tcBorders>
              <w:top w:val="single" w:sz="4" w:space="0" w:color="auto"/>
              <w:left w:val="nil"/>
              <w:bottom w:val="nil"/>
              <w:right w:val="nil"/>
            </w:tcBorders>
            <w:hideMark/>
          </w:tcPr>
          <w:p w14:paraId="7E06C226"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2023-24</w:t>
            </w:r>
          </w:p>
          <w:p w14:paraId="64532377" w14:textId="77777777" w:rsidR="00553362" w:rsidRDefault="00553362" w:rsidP="00EA67B3">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r>
      <w:tr w:rsidR="00904995" w14:paraId="2FDE79BB" w14:textId="77777777" w:rsidTr="00904995">
        <w:trPr>
          <w:cantSplit/>
          <w:trHeight w:val="169"/>
        </w:trPr>
        <w:tc>
          <w:tcPr>
            <w:tcW w:w="3139" w:type="dxa"/>
            <w:tcBorders>
              <w:top w:val="nil"/>
              <w:left w:val="nil"/>
              <w:bottom w:val="single" w:sz="4" w:space="0" w:color="auto"/>
              <w:right w:val="nil"/>
            </w:tcBorders>
            <w:hideMark/>
          </w:tcPr>
          <w:p w14:paraId="46C54CC7" w14:textId="77777777" w:rsidR="00904995" w:rsidRDefault="00904995" w:rsidP="00904995">
            <w:pPr>
              <w:keepNext/>
              <w:spacing w:after="0"/>
              <w:jc w:val="right"/>
              <w:rPr>
                <w:rFonts w:ascii="Calibri" w:eastAsia="Times New Roman" w:hAnsi="Calibri" w:cs="Calibri"/>
                <w:color w:val="FFFFFF"/>
                <w:sz w:val="12"/>
                <w:szCs w:val="20"/>
              </w:rPr>
            </w:pPr>
            <w:r>
              <w:rPr>
                <w:rFonts w:ascii="Calibri" w:eastAsia="Times New Roman" w:hAnsi="Calibri" w:cs="Calibri"/>
                <w:color w:val="FFFFFF"/>
                <w:sz w:val="12"/>
                <w:szCs w:val="20"/>
              </w:rPr>
              <w:t>Empty Cell</w:t>
            </w:r>
          </w:p>
        </w:tc>
        <w:tc>
          <w:tcPr>
            <w:tcW w:w="1218" w:type="dxa"/>
            <w:tcBorders>
              <w:top w:val="nil"/>
              <w:left w:val="nil"/>
              <w:bottom w:val="single" w:sz="4" w:space="0" w:color="auto"/>
              <w:right w:val="nil"/>
            </w:tcBorders>
          </w:tcPr>
          <w:p w14:paraId="1A1F5A6B" w14:textId="6F9A45B7" w:rsidR="00904995" w:rsidRDefault="00904995" w:rsidP="00904995">
            <w:pPr>
              <w:keepNext/>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c>
          <w:tcPr>
            <w:tcW w:w="1217" w:type="dxa"/>
            <w:tcBorders>
              <w:top w:val="nil"/>
              <w:left w:val="nil"/>
              <w:bottom w:val="single" w:sz="4" w:space="0" w:color="auto"/>
              <w:right w:val="nil"/>
            </w:tcBorders>
          </w:tcPr>
          <w:p w14:paraId="3FDC7278" w14:textId="0C716988" w:rsidR="00904995" w:rsidRDefault="00904995" w:rsidP="00904995">
            <w:pPr>
              <w:keepNext/>
              <w:spacing w:after="0"/>
              <w:jc w:val="right"/>
              <w:rPr>
                <w:rFonts w:ascii="Calibri" w:eastAsia="Times New Roman" w:hAnsi="Calibri" w:cs="Calibri"/>
                <w:b/>
                <w:sz w:val="20"/>
                <w:szCs w:val="20"/>
              </w:rPr>
            </w:pPr>
            <w:r>
              <w:rPr>
                <w:rFonts w:ascii="Calibri" w:eastAsia="Times New Roman" w:hAnsi="Calibri" w:cs="Calibri"/>
                <w:b/>
                <w:sz w:val="20"/>
                <w:szCs w:val="20"/>
              </w:rPr>
              <w:t>$m</w:t>
            </w:r>
          </w:p>
        </w:tc>
        <w:tc>
          <w:tcPr>
            <w:tcW w:w="1217" w:type="dxa"/>
            <w:tcBorders>
              <w:top w:val="nil"/>
              <w:left w:val="nil"/>
              <w:bottom w:val="single" w:sz="4" w:space="0" w:color="auto"/>
              <w:right w:val="nil"/>
            </w:tcBorders>
          </w:tcPr>
          <w:p w14:paraId="072036E5" w14:textId="75EA372E" w:rsidR="00904995" w:rsidRDefault="00904995" w:rsidP="00904995">
            <w:pPr>
              <w:keepNext/>
              <w:spacing w:after="0"/>
              <w:jc w:val="right"/>
              <w:rPr>
                <w:rFonts w:ascii="Calibri" w:eastAsia="Times New Roman" w:hAnsi="Calibri" w:cs="Calibri"/>
                <w:b/>
                <w:sz w:val="20"/>
                <w:szCs w:val="20"/>
              </w:rPr>
            </w:pPr>
            <w:r>
              <w:rPr>
                <w:rFonts w:ascii="Calibri" w:eastAsia="Times New Roman" w:hAnsi="Calibri" w:cs="Calibri"/>
                <w:b/>
                <w:sz w:val="20"/>
                <w:szCs w:val="20"/>
              </w:rPr>
              <w:t>$m</w:t>
            </w:r>
          </w:p>
        </w:tc>
        <w:tc>
          <w:tcPr>
            <w:tcW w:w="1217" w:type="dxa"/>
            <w:tcBorders>
              <w:top w:val="nil"/>
              <w:left w:val="nil"/>
              <w:bottom w:val="single" w:sz="4" w:space="0" w:color="auto"/>
              <w:right w:val="nil"/>
            </w:tcBorders>
          </w:tcPr>
          <w:p w14:paraId="79E6A5BC" w14:textId="3553E96E" w:rsidR="00904995" w:rsidRDefault="00904995" w:rsidP="00904995">
            <w:pPr>
              <w:keepNext/>
              <w:spacing w:after="0"/>
              <w:jc w:val="right"/>
              <w:rPr>
                <w:rFonts w:ascii="Calibri" w:eastAsia="Times New Roman" w:hAnsi="Calibri" w:cs="Calibri"/>
                <w:b/>
                <w:sz w:val="20"/>
                <w:szCs w:val="20"/>
              </w:rPr>
            </w:pPr>
            <w:r>
              <w:rPr>
                <w:rFonts w:ascii="Calibri" w:eastAsia="Times New Roman" w:hAnsi="Calibri" w:cs="Calibri"/>
                <w:b/>
                <w:sz w:val="20"/>
                <w:szCs w:val="20"/>
              </w:rPr>
              <w:t>$m</w:t>
            </w:r>
          </w:p>
        </w:tc>
        <w:tc>
          <w:tcPr>
            <w:tcW w:w="1217" w:type="dxa"/>
            <w:tcBorders>
              <w:top w:val="nil"/>
              <w:left w:val="nil"/>
              <w:bottom w:val="single" w:sz="4" w:space="0" w:color="auto"/>
              <w:right w:val="nil"/>
            </w:tcBorders>
          </w:tcPr>
          <w:p w14:paraId="2071267E" w14:textId="6F2EF567" w:rsidR="00904995" w:rsidRDefault="00904995" w:rsidP="00904995">
            <w:pPr>
              <w:keepNext/>
              <w:spacing w:after="0"/>
              <w:jc w:val="right"/>
              <w:rPr>
                <w:rFonts w:ascii="Calibri" w:eastAsia="Times New Roman" w:hAnsi="Calibri" w:cs="Calibri"/>
                <w:b/>
                <w:sz w:val="20"/>
                <w:szCs w:val="20"/>
              </w:rPr>
            </w:pPr>
            <w:r>
              <w:rPr>
                <w:rFonts w:ascii="Calibri" w:eastAsia="Times New Roman" w:hAnsi="Calibri" w:cs="Calibri"/>
                <w:b/>
                <w:sz w:val="20"/>
                <w:szCs w:val="20"/>
              </w:rPr>
              <w:t>$m</w:t>
            </w:r>
          </w:p>
        </w:tc>
      </w:tr>
      <w:tr w:rsidR="00904995" w14:paraId="3E337654" w14:textId="77777777" w:rsidTr="00904995">
        <w:trPr>
          <w:cantSplit/>
          <w:trHeight w:val="169"/>
        </w:trPr>
        <w:tc>
          <w:tcPr>
            <w:tcW w:w="3139" w:type="dxa"/>
            <w:hideMark/>
          </w:tcPr>
          <w:p w14:paraId="04F0B921" w14:textId="77777777" w:rsidR="00904995" w:rsidRDefault="00904995" w:rsidP="00904995">
            <w:pPr>
              <w:keepNext/>
              <w:spacing w:after="0"/>
              <w:ind w:left="227" w:hanging="227"/>
              <w:rPr>
                <w:rFonts w:ascii="Calibri" w:eastAsia="Times New Roman" w:hAnsi="Calibri" w:cs="Times New Roman"/>
                <w:bCs/>
                <w:sz w:val="20"/>
                <w:lang w:eastAsia="en-AU"/>
              </w:rPr>
            </w:pPr>
            <w:r>
              <w:rPr>
                <w:rFonts w:ascii="Calibri" w:eastAsia="Times New Roman" w:hAnsi="Calibri" w:cs="Times New Roman"/>
                <w:bCs/>
                <w:sz w:val="20"/>
                <w:lang w:eastAsia="en-AU"/>
              </w:rPr>
              <w:t>Revenue</w:t>
            </w:r>
          </w:p>
        </w:tc>
        <w:tc>
          <w:tcPr>
            <w:tcW w:w="1218" w:type="dxa"/>
            <w:hideMark/>
          </w:tcPr>
          <w:p w14:paraId="21FAD153"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5,604.9</w:t>
            </w:r>
          </w:p>
        </w:tc>
        <w:tc>
          <w:tcPr>
            <w:tcW w:w="1217" w:type="dxa"/>
            <w:hideMark/>
          </w:tcPr>
          <w:p w14:paraId="2E3D28AE"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5,981.1</w:t>
            </w:r>
          </w:p>
        </w:tc>
        <w:tc>
          <w:tcPr>
            <w:tcW w:w="1217" w:type="dxa"/>
            <w:hideMark/>
          </w:tcPr>
          <w:p w14:paraId="7B4E78A5"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6, 171.9</w:t>
            </w:r>
          </w:p>
        </w:tc>
        <w:tc>
          <w:tcPr>
            <w:tcW w:w="1217" w:type="dxa"/>
            <w:hideMark/>
          </w:tcPr>
          <w:p w14:paraId="0C773F31"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6,330.5</w:t>
            </w:r>
          </w:p>
        </w:tc>
        <w:tc>
          <w:tcPr>
            <w:tcW w:w="1217" w:type="dxa"/>
            <w:hideMark/>
          </w:tcPr>
          <w:p w14:paraId="55BFE7FB"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6,560.1</w:t>
            </w:r>
          </w:p>
        </w:tc>
      </w:tr>
      <w:tr w:rsidR="00904995" w14:paraId="3E020001" w14:textId="77777777" w:rsidTr="00904995">
        <w:trPr>
          <w:cantSplit/>
          <w:trHeight w:val="169"/>
        </w:trPr>
        <w:tc>
          <w:tcPr>
            <w:tcW w:w="3139" w:type="dxa"/>
            <w:hideMark/>
          </w:tcPr>
          <w:p w14:paraId="574F4ECE" w14:textId="77777777" w:rsidR="00904995" w:rsidRDefault="00904995" w:rsidP="00904995">
            <w:pPr>
              <w:keepNext/>
              <w:spacing w:after="0"/>
              <w:ind w:left="227" w:hanging="227"/>
              <w:rPr>
                <w:rFonts w:ascii="Calibri" w:eastAsia="Times New Roman" w:hAnsi="Calibri" w:cs="Times New Roman"/>
                <w:bCs/>
                <w:sz w:val="20"/>
                <w:lang w:eastAsia="en-AU"/>
              </w:rPr>
            </w:pPr>
            <w:r>
              <w:rPr>
                <w:rFonts w:ascii="Calibri" w:eastAsia="Times New Roman" w:hAnsi="Calibri" w:cs="Times New Roman"/>
                <w:bCs/>
                <w:sz w:val="20"/>
                <w:lang w:eastAsia="en-AU"/>
              </w:rPr>
              <w:t>Expenses</w:t>
            </w:r>
          </w:p>
        </w:tc>
        <w:tc>
          <w:tcPr>
            <w:tcW w:w="1218" w:type="dxa"/>
            <w:hideMark/>
          </w:tcPr>
          <w:p w14:paraId="188F09F5"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-6, 517.6</w:t>
            </w:r>
          </w:p>
        </w:tc>
        <w:tc>
          <w:tcPr>
            <w:tcW w:w="1217" w:type="dxa"/>
            <w:hideMark/>
          </w:tcPr>
          <w:p w14:paraId="427DBCAB"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-6,749.7</w:t>
            </w:r>
          </w:p>
        </w:tc>
        <w:tc>
          <w:tcPr>
            <w:tcW w:w="1217" w:type="dxa"/>
            <w:hideMark/>
          </w:tcPr>
          <w:p w14:paraId="6CBBBC97" w14:textId="77777777" w:rsidR="00904995" w:rsidRDefault="00904995" w:rsidP="00904995">
            <w:pPr>
              <w:keepNext/>
              <w:spacing w:after="0"/>
              <w:ind w:left="227" w:hanging="227"/>
              <w:jc w:val="right"/>
              <w:rPr>
                <w:rFonts w:ascii="Calibri" w:eastAsia="Times New Roman" w:hAnsi="Calibri" w:cs="Times New Roman"/>
                <w:sz w:val="20"/>
                <w:highlight w:val="lightGray"/>
                <w:lang w:eastAsia="en-AU"/>
              </w:rPr>
            </w:pPr>
            <w:r>
              <w:rPr>
                <w:rFonts w:ascii="Calibri" w:eastAsia="Times New Roman" w:hAnsi="Calibri" w:cs="Times New Roman"/>
                <w:sz w:val="20"/>
                <w:lang w:eastAsia="en-AU"/>
              </w:rPr>
              <w:t>-6,839.1</w:t>
            </w:r>
          </w:p>
        </w:tc>
        <w:tc>
          <w:tcPr>
            <w:tcW w:w="1217" w:type="dxa"/>
            <w:hideMark/>
          </w:tcPr>
          <w:p w14:paraId="793EF034"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-6,941.8</w:t>
            </w:r>
          </w:p>
        </w:tc>
        <w:tc>
          <w:tcPr>
            <w:tcW w:w="1217" w:type="dxa"/>
            <w:hideMark/>
          </w:tcPr>
          <w:p w14:paraId="7E91E4C3"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-7,148.2</w:t>
            </w:r>
          </w:p>
        </w:tc>
      </w:tr>
      <w:tr w:rsidR="00904995" w14:paraId="510EDBD8" w14:textId="77777777" w:rsidTr="00904995">
        <w:trPr>
          <w:cantSplit/>
          <w:trHeight w:val="169"/>
        </w:trPr>
        <w:tc>
          <w:tcPr>
            <w:tcW w:w="3139" w:type="dxa"/>
            <w:hideMark/>
          </w:tcPr>
          <w:p w14:paraId="6DC7073E" w14:textId="77777777" w:rsidR="00904995" w:rsidRDefault="00904995" w:rsidP="00904995">
            <w:pPr>
              <w:keepNext/>
              <w:spacing w:after="0"/>
              <w:ind w:left="227" w:hanging="227"/>
              <w:rPr>
                <w:rFonts w:ascii="Calibri" w:eastAsia="Times New Roman" w:hAnsi="Calibri" w:cs="Times New Roman"/>
                <w:bCs/>
                <w:sz w:val="20"/>
                <w:szCs w:val="18"/>
                <w:lang w:eastAsia="en-AU"/>
              </w:rPr>
            </w:pPr>
            <w:r>
              <w:rPr>
                <w:rFonts w:ascii="Calibri" w:eastAsia="Times New Roman" w:hAnsi="Calibri" w:cs="Times New Roman"/>
                <w:bCs/>
                <w:sz w:val="20"/>
                <w:lang w:eastAsia="en-AU"/>
              </w:rPr>
              <w:t>Superannuation return adjustment</w:t>
            </w:r>
            <w:r>
              <w:rPr>
                <w:rFonts w:ascii="Calibri" w:eastAsia="Times New Roman" w:hAnsi="Calibri" w:cs="Times New Roman"/>
                <w:bCs/>
                <w:sz w:val="20"/>
                <w:szCs w:val="18"/>
                <w:lang w:eastAsia="en-AU"/>
              </w:rPr>
              <w:t xml:space="preserve"> </w:t>
            </w:r>
          </w:p>
        </w:tc>
        <w:tc>
          <w:tcPr>
            <w:tcW w:w="1218" w:type="dxa"/>
            <w:hideMark/>
          </w:tcPr>
          <w:p w14:paraId="076DD069"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231.5</w:t>
            </w:r>
          </w:p>
        </w:tc>
        <w:tc>
          <w:tcPr>
            <w:tcW w:w="1217" w:type="dxa"/>
            <w:hideMark/>
          </w:tcPr>
          <w:p w14:paraId="1AE0FB6D"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165.6</w:t>
            </w:r>
          </w:p>
        </w:tc>
        <w:tc>
          <w:tcPr>
            <w:tcW w:w="1217" w:type="dxa"/>
            <w:hideMark/>
          </w:tcPr>
          <w:p w14:paraId="441A4FAD"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192.4</w:t>
            </w:r>
          </w:p>
        </w:tc>
        <w:tc>
          <w:tcPr>
            <w:tcW w:w="1217" w:type="dxa"/>
            <w:hideMark/>
          </w:tcPr>
          <w:p w14:paraId="406F79D6"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205.3</w:t>
            </w:r>
          </w:p>
        </w:tc>
        <w:tc>
          <w:tcPr>
            <w:tcW w:w="1217" w:type="dxa"/>
            <w:hideMark/>
          </w:tcPr>
          <w:p w14:paraId="0FA1E65B" w14:textId="77777777" w:rsidR="00904995" w:rsidRDefault="00904995" w:rsidP="00904995">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219.0</w:t>
            </w:r>
          </w:p>
        </w:tc>
      </w:tr>
      <w:tr w:rsidR="00904995" w14:paraId="4B1A984E" w14:textId="77777777" w:rsidTr="00904995">
        <w:trPr>
          <w:cantSplit/>
          <w:trHeight w:val="169"/>
        </w:trPr>
        <w:tc>
          <w:tcPr>
            <w:tcW w:w="3139" w:type="dxa"/>
            <w:tcBorders>
              <w:top w:val="single" w:sz="4" w:space="0" w:color="auto"/>
              <w:left w:val="nil"/>
              <w:bottom w:val="single" w:sz="4" w:space="0" w:color="auto"/>
              <w:right w:val="nil"/>
            </w:tcBorders>
            <w:hideMark/>
          </w:tcPr>
          <w:p w14:paraId="4214BC72" w14:textId="77777777" w:rsidR="00904995" w:rsidRDefault="00904995" w:rsidP="00904995">
            <w:pPr>
              <w:keepNext/>
              <w:spacing w:after="0"/>
              <w:ind w:left="227" w:hanging="227"/>
              <w:rPr>
                <w:rFonts w:ascii="Calibri" w:eastAsia="Times New Roman" w:hAnsi="Calibri" w:cs="Times New Roman"/>
                <w:b/>
                <w:bCs/>
                <w:sz w:val="20"/>
                <w:lang w:eastAsia="en-AU"/>
              </w:rPr>
            </w:pPr>
            <w:r>
              <w:rPr>
                <w:rFonts w:ascii="Calibri" w:eastAsia="Times New Roman" w:hAnsi="Calibri" w:cs="Times New Roman"/>
                <w:b/>
                <w:bCs/>
                <w:sz w:val="20"/>
                <w:lang w:eastAsia="en-AU"/>
              </w:rPr>
              <w:t>HEADLINE NET OPERATING BALANCE</w:t>
            </w:r>
          </w:p>
        </w:tc>
        <w:tc>
          <w:tcPr>
            <w:tcW w:w="1218" w:type="dxa"/>
            <w:tcBorders>
              <w:top w:val="single" w:sz="4" w:space="0" w:color="auto"/>
              <w:left w:val="nil"/>
              <w:bottom w:val="single" w:sz="4" w:space="0" w:color="auto"/>
              <w:right w:val="nil"/>
            </w:tcBorders>
            <w:hideMark/>
          </w:tcPr>
          <w:p w14:paraId="308E2620" w14:textId="77777777" w:rsidR="00904995" w:rsidRDefault="00904995" w:rsidP="00904995">
            <w:pPr>
              <w:keepNext/>
              <w:spacing w:after="0"/>
              <w:ind w:left="227" w:hanging="227"/>
              <w:jc w:val="right"/>
              <w:rPr>
                <w:rFonts w:ascii="Calibri" w:eastAsia="Times New Roman" w:hAnsi="Calibri" w:cs="Times New Roman"/>
                <w:b/>
                <w:sz w:val="20"/>
                <w:lang w:eastAsia="en-AU"/>
              </w:rPr>
            </w:pPr>
            <w:r>
              <w:rPr>
                <w:rFonts w:ascii="Calibri" w:eastAsia="Times New Roman" w:hAnsi="Calibri" w:cs="Times New Roman"/>
                <w:b/>
                <w:sz w:val="20"/>
                <w:lang w:eastAsia="en-AU"/>
              </w:rPr>
              <w:t>-681.1</w:t>
            </w:r>
          </w:p>
        </w:tc>
        <w:tc>
          <w:tcPr>
            <w:tcW w:w="1217" w:type="dxa"/>
            <w:tcBorders>
              <w:top w:val="single" w:sz="4" w:space="0" w:color="auto"/>
              <w:left w:val="nil"/>
              <w:bottom w:val="single" w:sz="4" w:space="0" w:color="auto"/>
              <w:right w:val="nil"/>
            </w:tcBorders>
            <w:hideMark/>
          </w:tcPr>
          <w:p w14:paraId="585962C1" w14:textId="77777777" w:rsidR="00904995" w:rsidRDefault="00904995" w:rsidP="00904995">
            <w:pPr>
              <w:keepNext/>
              <w:spacing w:after="0"/>
              <w:ind w:left="227" w:hanging="227"/>
              <w:jc w:val="right"/>
              <w:rPr>
                <w:rFonts w:ascii="Calibri" w:eastAsia="Times New Roman" w:hAnsi="Calibri" w:cs="Times New Roman"/>
                <w:b/>
                <w:sz w:val="20"/>
                <w:lang w:eastAsia="en-AU"/>
              </w:rPr>
            </w:pPr>
            <w:r>
              <w:rPr>
                <w:rFonts w:ascii="Calibri" w:eastAsia="Times New Roman" w:hAnsi="Calibri" w:cs="Times New Roman"/>
                <w:b/>
                <w:sz w:val="20"/>
                <w:lang w:eastAsia="en-AU"/>
              </w:rPr>
              <w:t>-603.1</w:t>
            </w:r>
          </w:p>
        </w:tc>
        <w:tc>
          <w:tcPr>
            <w:tcW w:w="1217" w:type="dxa"/>
            <w:tcBorders>
              <w:top w:val="single" w:sz="4" w:space="0" w:color="auto"/>
              <w:left w:val="nil"/>
              <w:bottom w:val="single" w:sz="4" w:space="0" w:color="auto"/>
              <w:right w:val="nil"/>
            </w:tcBorders>
            <w:hideMark/>
          </w:tcPr>
          <w:p w14:paraId="782E6ABD" w14:textId="77777777" w:rsidR="00904995" w:rsidRDefault="00904995" w:rsidP="00904995">
            <w:pPr>
              <w:keepNext/>
              <w:spacing w:after="0"/>
              <w:ind w:left="227" w:hanging="227"/>
              <w:jc w:val="right"/>
              <w:rPr>
                <w:rFonts w:ascii="Calibri" w:eastAsia="Times New Roman" w:hAnsi="Calibri" w:cs="Times New Roman"/>
                <w:b/>
                <w:sz w:val="20"/>
                <w:lang w:eastAsia="en-AU"/>
              </w:rPr>
            </w:pPr>
            <w:r>
              <w:rPr>
                <w:rFonts w:ascii="Calibri" w:eastAsia="Times New Roman" w:hAnsi="Calibri" w:cs="Times New Roman"/>
                <w:b/>
                <w:sz w:val="20"/>
                <w:lang w:eastAsia="en-AU"/>
              </w:rPr>
              <w:t>-474.7</w:t>
            </w:r>
          </w:p>
        </w:tc>
        <w:tc>
          <w:tcPr>
            <w:tcW w:w="1217" w:type="dxa"/>
            <w:tcBorders>
              <w:top w:val="single" w:sz="4" w:space="0" w:color="auto"/>
              <w:left w:val="nil"/>
              <w:bottom w:val="single" w:sz="4" w:space="0" w:color="auto"/>
              <w:right w:val="nil"/>
            </w:tcBorders>
            <w:hideMark/>
          </w:tcPr>
          <w:p w14:paraId="27C1D2B1" w14:textId="77777777" w:rsidR="00904995" w:rsidRDefault="00904995" w:rsidP="00904995">
            <w:pPr>
              <w:keepNext/>
              <w:spacing w:after="0"/>
              <w:ind w:left="227" w:hanging="227"/>
              <w:jc w:val="right"/>
              <w:rPr>
                <w:rFonts w:ascii="Calibri" w:eastAsia="Times New Roman" w:hAnsi="Calibri" w:cs="Times New Roman"/>
                <w:b/>
                <w:sz w:val="20"/>
                <w:lang w:eastAsia="en-AU"/>
              </w:rPr>
            </w:pPr>
            <w:r>
              <w:rPr>
                <w:rFonts w:ascii="Calibri" w:eastAsia="Times New Roman" w:hAnsi="Calibri" w:cs="Times New Roman"/>
                <w:b/>
                <w:sz w:val="20"/>
                <w:lang w:eastAsia="en-AU"/>
              </w:rPr>
              <w:t>-406.0</w:t>
            </w:r>
          </w:p>
        </w:tc>
        <w:tc>
          <w:tcPr>
            <w:tcW w:w="1217" w:type="dxa"/>
            <w:tcBorders>
              <w:top w:val="single" w:sz="4" w:space="0" w:color="auto"/>
              <w:left w:val="nil"/>
              <w:bottom w:val="single" w:sz="4" w:space="0" w:color="auto"/>
              <w:right w:val="nil"/>
            </w:tcBorders>
            <w:hideMark/>
          </w:tcPr>
          <w:p w14:paraId="51BC97DB" w14:textId="77777777" w:rsidR="00904995" w:rsidRDefault="00904995" w:rsidP="00904995">
            <w:pPr>
              <w:keepNext/>
              <w:spacing w:after="0"/>
              <w:ind w:left="227" w:hanging="227"/>
              <w:jc w:val="right"/>
              <w:rPr>
                <w:rFonts w:ascii="Calibri" w:eastAsia="Times New Roman" w:hAnsi="Calibri" w:cs="Times New Roman"/>
                <w:b/>
                <w:sz w:val="20"/>
                <w:lang w:eastAsia="en-AU"/>
              </w:rPr>
            </w:pPr>
            <w:r>
              <w:rPr>
                <w:rFonts w:ascii="Calibri" w:eastAsia="Times New Roman" w:hAnsi="Calibri" w:cs="Times New Roman"/>
                <w:b/>
                <w:sz w:val="20"/>
                <w:lang w:eastAsia="en-AU"/>
              </w:rPr>
              <w:t>-369.1</w:t>
            </w:r>
          </w:p>
        </w:tc>
      </w:tr>
    </w:tbl>
    <w:p w14:paraId="5651C9D1" w14:textId="77777777" w:rsidR="00553362" w:rsidRDefault="00553362" w:rsidP="00553362">
      <w:pPr>
        <w:spacing w:before="0" w:after="200"/>
      </w:pPr>
      <w:r>
        <w:rPr>
          <w:sz w:val="20"/>
          <w:szCs w:val="20"/>
        </w:rPr>
        <w:t xml:space="preserve">Source: ACT Government </w:t>
      </w:r>
      <w:r w:rsidRPr="00986D14">
        <w:rPr>
          <w:noProof/>
          <w:sz w:val="20"/>
          <w:szCs w:val="20"/>
        </w:rPr>
        <w:t>(2021, p. 46)</w:t>
      </w:r>
    </w:p>
    <w:p w14:paraId="1AB83CD5" w14:textId="2AB9BFB8" w:rsidR="00553362" w:rsidRDefault="00553362" w:rsidP="00553362">
      <w:pPr>
        <w:spacing w:after="200"/>
      </w:pPr>
      <w:r>
        <w:t>Forecasts for the headline net operating balance show a significant deterioration in the fiscal outlook relative to the forecasts shown in previous Budgets. The headline net operating balance is now expected to be in deficit across all of the Budget and forward years.</w:t>
      </w:r>
    </w:p>
    <w:p w14:paraId="29026C0E" w14:textId="33B54AE6" w:rsidR="00553362" w:rsidRDefault="00553362" w:rsidP="00553362">
      <w:pPr>
        <w:spacing w:after="200"/>
      </w:pPr>
      <w:r>
        <w:t xml:space="preserve">There is some improvement against the forecasts shown in the </w:t>
      </w:r>
      <w:r w:rsidR="00904995">
        <w:t xml:space="preserve">August </w:t>
      </w:r>
      <w:r w:rsidR="00E75EF6">
        <w:t xml:space="preserve">2020 </w:t>
      </w:r>
      <w:r>
        <w:t>Economic and Fiscal Update at around the worst period of the COVID</w:t>
      </w:r>
      <w:r w:rsidR="00331AFD">
        <w:t>-19</w:t>
      </w:r>
      <w:r>
        <w:t xml:space="preserve"> pandemic in Australia but the Budget is now expected to be in deep deficit for the foreseeable future. </w:t>
      </w:r>
    </w:p>
    <w:p w14:paraId="25491E06" w14:textId="66DC4082" w:rsidR="001E732A" w:rsidRDefault="001E732A" w:rsidP="001E732A">
      <w:pPr>
        <w:spacing w:after="200"/>
      </w:pPr>
      <w:r>
        <w:t>The deterioration in the fiscal position has been driven by changes in the economy.</w:t>
      </w:r>
    </w:p>
    <w:p w14:paraId="01119D7B" w14:textId="77777777" w:rsidR="001E732A" w:rsidRDefault="001E732A" w:rsidP="001E732A">
      <w:pPr>
        <w:spacing w:before="200" w:after="200"/>
      </w:pPr>
      <w:r>
        <w:t xml:space="preserve">Since the 2019-20 Budget, changes in revenue forecasts driven the underlying economic parameters have added almost $1 billion to the deficit across 2020-21 and 2021-22 while policy decisions have only added around $260 million across these two years. </w:t>
      </w:r>
    </w:p>
    <w:p w14:paraId="1BD32E3C" w14:textId="0517A695" w:rsidR="001E732A" w:rsidRDefault="001E732A" w:rsidP="001E732A">
      <w:pPr>
        <w:spacing w:before="200" w:after="200"/>
      </w:pPr>
      <w:r>
        <w:lastRenderedPageBreak/>
        <w:t xml:space="preserve">Changes in the expense forecasts since the last Budget have been driven by discretionary policy changes but their overall impact on the Budget has been relatively minor. </w:t>
      </w:r>
      <w:r w:rsidRPr="00DE3C35">
        <w:t>Forecast expenses of $6.7 billion in 2020-21 represent an increase of $232.1 million, or 3.6 per cent, over the 2019-20 audited outcome</w:t>
      </w:r>
      <w:r>
        <w:t xml:space="preserve"> but growth in expenses over the budget and forward years represent an annual growth rate of only 2.7 per</w:t>
      </w:r>
      <w:r w:rsidR="009E51ED">
        <w:t xml:space="preserve"> </w:t>
      </w:r>
      <w:r>
        <w:t xml:space="preserve">cent. </w:t>
      </w:r>
    </w:p>
    <w:p w14:paraId="5CF82329" w14:textId="0A1AAE3C" w:rsidR="00553362" w:rsidRDefault="00553362" w:rsidP="00553362">
      <w:pPr>
        <w:spacing w:after="200"/>
      </w:pPr>
      <w:r>
        <w:t>To be fair, all Australian jurisdictions have reported a decline in their fiscal positions, and the relative deterioration in the ACT Government’s position is within the range of expected outcomes reported by other government</w:t>
      </w:r>
      <w:r w:rsidRPr="00D84FDE">
        <w:t>s (ACT Government, 2021, pp201-204)</w:t>
      </w:r>
      <w:r w:rsidR="005B6E11" w:rsidRPr="00D84FDE">
        <w:t>.</w:t>
      </w:r>
    </w:p>
    <w:p w14:paraId="3669C013" w14:textId="1EAFAE35" w:rsidR="00553362" w:rsidRDefault="00553362" w:rsidP="00553362">
      <w:pPr>
        <w:spacing w:after="200"/>
      </w:pPr>
      <w:r w:rsidRPr="00133295">
        <w:t>There are questions</w:t>
      </w:r>
      <w:r w:rsidR="0083086C">
        <w:t>,</w:t>
      </w:r>
      <w:r w:rsidRPr="00133295">
        <w:t xml:space="preserve"> </w:t>
      </w:r>
      <w:r>
        <w:t>however</w:t>
      </w:r>
      <w:r w:rsidR="0083086C">
        <w:t>,</w:t>
      </w:r>
      <w:r>
        <w:t xml:space="preserve"> </w:t>
      </w:r>
      <w:r w:rsidRPr="00133295">
        <w:t xml:space="preserve">about </w:t>
      </w:r>
      <w:r>
        <w:t xml:space="preserve">how </w:t>
      </w:r>
      <w:r w:rsidRPr="00133295">
        <w:t xml:space="preserve">the </w:t>
      </w:r>
      <w:r w:rsidR="005B6E11">
        <w:t xml:space="preserve">basis on which the </w:t>
      </w:r>
      <w:r w:rsidRPr="00133295">
        <w:t>reported fiscal position</w:t>
      </w:r>
      <w:r>
        <w:t xml:space="preserve"> </w:t>
      </w:r>
      <w:r w:rsidR="005B6E11">
        <w:t xml:space="preserve">has been constructed. </w:t>
      </w:r>
      <w:r w:rsidRPr="00133295">
        <w:t xml:space="preserve">While the ACT Government states that the financial statements included in the Budget papers are consistent with the requirements of the Uniform Presentation Framework agreed by the Heads of </w:t>
      </w:r>
      <w:r w:rsidRPr="00D84FDE">
        <w:t>Treasury (ACT Government, 2021, p.6), considerable</w:t>
      </w:r>
      <w:r w:rsidRPr="00133295">
        <w:t xml:space="preserve"> </w:t>
      </w:r>
      <w:r w:rsidR="0083086C">
        <w:t>discretion</w:t>
      </w:r>
      <w:r w:rsidRPr="00133295">
        <w:t xml:space="preserve"> has been exercised in the inclusion of </w:t>
      </w:r>
      <w:r>
        <w:t xml:space="preserve">certain </w:t>
      </w:r>
      <w:r w:rsidRPr="00133295">
        <w:t xml:space="preserve">transactions </w:t>
      </w:r>
      <w:r>
        <w:t>in the reported fiscal position</w:t>
      </w:r>
      <w:r w:rsidRPr="00133295">
        <w:t xml:space="preserve">. </w:t>
      </w:r>
    </w:p>
    <w:p w14:paraId="11FA6D20" w14:textId="54BADEC6" w:rsidR="00553362" w:rsidRPr="00133295" w:rsidRDefault="00D85C14" w:rsidP="00553362">
      <w:pPr>
        <w:spacing w:after="200"/>
      </w:pPr>
      <w:r>
        <w:t xml:space="preserve">Reporting on the basis </w:t>
      </w:r>
      <w:r w:rsidR="00553362">
        <w:t>of a headline net operating balance is unique to the ACT. Other jurisdictions generally report a net operating balance that is constructed on a different basis.</w:t>
      </w:r>
    </w:p>
    <w:p w14:paraId="5F067D6D" w14:textId="7B5CD214" w:rsidR="008B5480" w:rsidRDefault="005B6E11" w:rsidP="00D85C14">
      <w:r>
        <w:t xml:space="preserve">The concept of a superannuation return adjustment is not part of the Uniform </w:t>
      </w:r>
      <w:r w:rsidR="00D85C14">
        <w:t xml:space="preserve">Presentation Framework. There are issues about whether the net operating balance should be adjusted for superannuation returns and the way this adjustment has been calculated. We estimate that the use of the projected long-term investment return rather than the valuation discount rate in the superannuation return adjustment reduces the headline net operating balance by around $75 million. </w:t>
      </w:r>
      <w:r w:rsidR="00553362" w:rsidRPr="00133295">
        <w:t xml:space="preserve">Comments on the superannuation return adjustment are </w:t>
      </w:r>
      <w:r w:rsidR="00553362" w:rsidRPr="0083086C">
        <w:t xml:space="preserve">provided in </w:t>
      </w:r>
      <w:r w:rsidR="0083086C" w:rsidRPr="0083086C">
        <w:t>section</w:t>
      </w:r>
      <w:r w:rsidR="00553362" w:rsidRPr="0083086C">
        <w:t xml:space="preserve"> </w:t>
      </w:r>
      <w:r w:rsidR="0083086C" w:rsidRPr="0083086C">
        <w:t>9</w:t>
      </w:r>
      <w:r w:rsidR="00553362" w:rsidRPr="00133295">
        <w:t xml:space="preserve"> of this report.</w:t>
      </w:r>
    </w:p>
    <w:p w14:paraId="737E63DD" w14:textId="32F43BFB" w:rsidR="00D85C14" w:rsidRDefault="008B5480" w:rsidP="00D85C14">
      <w:r>
        <w:t xml:space="preserve">The ACT Budget also appears to have adopted some accounting policies that are different from those applied in other jurisdictions for comparable transactions. It is unclear to what extent these practices may have impacted on the reported headline net operating balance. A discussion of accounting and classification issues in the Budget is provided at </w:t>
      </w:r>
      <w:r w:rsidR="00D84FDE">
        <w:t>s</w:t>
      </w:r>
      <w:r>
        <w:t>ection 9 of this report.</w:t>
      </w:r>
    </w:p>
    <w:p w14:paraId="5D91556B" w14:textId="3DDEB0A1" w:rsidR="00C12100" w:rsidRDefault="00D85C14" w:rsidP="009E4BFD">
      <w:r>
        <w:t xml:space="preserve">The reported headline net operating balance across the Budget and forward years rely to an unusual extent </w:t>
      </w:r>
      <w:r w:rsidR="00553362">
        <w:t xml:space="preserve">on </w:t>
      </w:r>
      <w:r w:rsidR="00553362" w:rsidRPr="00133295">
        <w:t xml:space="preserve">contributed assets and dividends </w:t>
      </w:r>
      <w:r>
        <w:t xml:space="preserve">and taxation payments from Public Trading Enterprises. </w:t>
      </w:r>
      <w:r w:rsidR="00C12100">
        <w:t xml:space="preserve">Overall, the contribution to the budget in the form of dividends and tax equivalent payments from the ACT Public Trading Enterprises over the next four years far exceeds the consolidated net operating balance for these entities (ACT Government, 2021, pp.156, 243). </w:t>
      </w:r>
    </w:p>
    <w:p w14:paraId="5CF46A1A" w14:textId="2D3DA618" w:rsidR="00553362" w:rsidRDefault="00553362" w:rsidP="009E4BFD">
      <w:r>
        <w:t>The Budget estimate for dividends and tax equivalent payments from the Suburban Land Agency and City Renewal Authority are forecast to increase from $99 million in 2019-20 to $438</w:t>
      </w:r>
      <w:r w:rsidR="001F51D1">
        <w:t> </w:t>
      </w:r>
      <w:r>
        <w:t xml:space="preserve">million in 2020-21. Dividends for these agencies fall away to $14 million in 2022-23. This reflects a bring forward of land sales to the Budget </w:t>
      </w:r>
      <w:r w:rsidRPr="007A48F2">
        <w:t>year (ACT Government, 2021, p.157).</w:t>
      </w:r>
    </w:p>
    <w:p w14:paraId="27975524" w14:textId="3119B22C" w:rsidR="00553362" w:rsidRDefault="00553362" w:rsidP="00553362">
      <w:r w:rsidRPr="00947756">
        <w:t>There is a doubling in the estimate of gains from contributed assets in 2021-22 over the 2020-21 Budget associated with the expectation of increased land sales in 2020-21</w:t>
      </w:r>
      <w:r>
        <w:t xml:space="preserve"> (ACT Government, 2021, p.157). Revenue from contributed assets reflects the transfer of infrastructure assets such as roads and sewerage associated with land development. </w:t>
      </w:r>
    </w:p>
    <w:p w14:paraId="73AA1CEB" w14:textId="782ED169" w:rsidR="00553362" w:rsidRDefault="00553362" w:rsidP="00553362">
      <w:r>
        <w:t>These estimates point to the significance of the land sales program and other economic flows in supporting the ACT Government’s fiscal position over the next few years.</w:t>
      </w:r>
    </w:p>
    <w:p w14:paraId="025CEBEC" w14:textId="6905C572" w:rsidR="003B2DA2" w:rsidRPr="004E3171" w:rsidRDefault="003B2DA2" w:rsidP="003B2DA2">
      <w:pPr>
        <w:spacing w:before="200" w:after="200"/>
        <w:rPr>
          <w:szCs w:val="24"/>
        </w:rPr>
      </w:pPr>
      <w:r w:rsidRPr="004E3171">
        <w:rPr>
          <w:szCs w:val="24"/>
        </w:rPr>
        <w:t xml:space="preserve">The Committee should be aware the Budget Outlook discloses (ACT Government, 2021 p. 47) a series of technical adjustments to both revenue and expenses since the since the </w:t>
      </w:r>
      <w:r w:rsidR="004E3171" w:rsidRPr="004E3171">
        <w:t>August 2020 Economic and Fiscal Update</w:t>
      </w:r>
      <w:r w:rsidRPr="004E3171">
        <w:rPr>
          <w:szCs w:val="24"/>
        </w:rPr>
        <w:t>. The adjustments affect the Budget year and each of the forward years. In respect to 2020-21, adjustments to revenue totalled $406.</w:t>
      </w:r>
      <w:r w:rsidR="004E3171" w:rsidRPr="004E3171">
        <w:rPr>
          <w:szCs w:val="24"/>
        </w:rPr>
        <w:t>1</w:t>
      </w:r>
      <w:r w:rsidRPr="004E3171">
        <w:rPr>
          <w:szCs w:val="24"/>
        </w:rPr>
        <w:t xml:space="preserve"> million, primarily relating to dividends </w:t>
      </w:r>
      <w:r w:rsidRPr="004E3171">
        <w:rPr>
          <w:szCs w:val="24"/>
        </w:rPr>
        <w:lastRenderedPageBreak/>
        <w:t xml:space="preserve">and tax equivalents. </w:t>
      </w:r>
      <w:r w:rsidR="004E3171" w:rsidRPr="004E3171">
        <w:rPr>
          <w:szCs w:val="24"/>
        </w:rPr>
        <w:t xml:space="preserve">Technical adjustments to expenses in </w:t>
      </w:r>
      <w:r w:rsidRPr="004E3171">
        <w:rPr>
          <w:szCs w:val="24"/>
        </w:rPr>
        <w:t>2020-21</w:t>
      </w:r>
      <w:r w:rsidR="009E4BFD">
        <w:rPr>
          <w:szCs w:val="24"/>
        </w:rPr>
        <w:t xml:space="preserve"> </w:t>
      </w:r>
      <w:r w:rsidRPr="004E3171">
        <w:rPr>
          <w:szCs w:val="24"/>
        </w:rPr>
        <w:t xml:space="preserve">totalled </w:t>
      </w:r>
      <w:r w:rsidR="004E3171" w:rsidRPr="004E3171">
        <w:rPr>
          <w:szCs w:val="24"/>
        </w:rPr>
        <w:t xml:space="preserve">$ </w:t>
      </w:r>
      <w:r w:rsidRPr="004E3171">
        <w:rPr>
          <w:szCs w:val="24"/>
        </w:rPr>
        <w:t>7.6 million</w:t>
      </w:r>
      <w:r w:rsidR="004E3171" w:rsidRPr="004E3171">
        <w:rPr>
          <w:szCs w:val="24"/>
        </w:rPr>
        <w:t>,</w:t>
      </w:r>
      <w:r w:rsidRPr="004E3171">
        <w:rPr>
          <w:szCs w:val="24"/>
        </w:rPr>
        <w:t xml:space="preserve"> the more material of which relate to Commonwealth grant expense and other technical adjustments.</w:t>
      </w:r>
    </w:p>
    <w:p w14:paraId="6021FE9A" w14:textId="2717E525" w:rsidR="003B2DA2" w:rsidRDefault="003B2DA2" w:rsidP="00904995">
      <w:pPr>
        <w:spacing w:before="200" w:after="200"/>
      </w:pPr>
      <w:r w:rsidRPr="004E3171">
        <w:rPr>
          <w:szCs w:val="24"/>
        </w:rPr>
        <w:t xml:space="preserve">The Committee is encouraged to explore with </w:t>
      </w:r>
      <w:r w:rsidR="00C12100">
        <w:rPr>
          <w:szCs w:val="24"/>
        </w:rPr>
        <w:t>the ACT Government</w:t>
      </w:r>
      <w:r w:rsidRPr="004E3171">
        <w:rPr>
          <w:szCs w:val="24"/>
        </w:rPr>
        <w:t xml:space="preserve">, the underlying nature of, and reasons for these adjustments. </w:t>
      </w:r>
    </w:p>
    <w:p w14:paraId="6C4C8FE8" w14:textId="18EF5601" w:rsidR="00553362" w:rsidRDefault="002D0480" w:rsidP="00553362">
      <w:pPr>
        <w:pStyle w:val="Heading2"/>
        <w:spacing w:after="240"/>
      </w:pPr>
      <w:bookmarkStart w:id="78" w:name="_Toc484807070"/>
      <w:bookmarkStart w:id="79" w:name="_Toc453516115"/>
      <w:bookmarkStart w:id="80" w:name="_Toc453495116"/>
      <w:bookmarkStart w:id="81" w:name="_Toc485495357"/>
      <w:bookmarkStart w:id="82" w:name="_Toc64529032"/>
      <w:r>
        <w:t>3</w:t>
      </w:r>
      <w:r w:rsidR="00553362" w:rsidRPr="00F95D0F">
        <w:t>.2</w:t>
      </w:r>
      <w:r w:rsidR="00553362" w:rsidRPr="00F95D0F">
        <w:tab/>
        <w:t>Medium term forecasts</w:t>
      </w:r>
      <w:bookmarkEnd w:id="78"/>
      <w:bookmarkEnd w:id="79"/>
      <w:bookmarkEnd w:id="80"/>
      <w:bookmarkEnd w:id="81"/>
      <w:bookmarkEnd w:id="82"/>
    </w:p>
    <w:p w14:paraId="5039AAD2" w14:textId="50E83FA5" w:rsidR="00553362" w:rsidRDefault="00553362" w:rsidP="00553362">
      <w:r>
        <w:t>The ACT Government now expects that its fiscal position will remain in deficit across the Budget and forward years</w:t>
      </w:r>
      <w:r w:rsidR="00C12100">
        <w:t xml:space="preserve"> and that gross debt is expected to increase over the next four years (ACT Government, 2021, p.53)</w:t>
      </w:r>
      <w:r>
        <w:t>.</w:t>
      </w:r>
    </w:p>
    <w:p w14:paraId="4F5B17B9" w14:textId="77777777" w:rsidR="00553362" w:rsidRPr="00F95D0F" w:rsidRDefault="00553362" w:rsidP="00553362">
      <w:r w:rsidRPr="00F95D0F">
        <w:t>Expenses are forecast to continue to outpace the government's revenue</w:t>
      </w:r>
      <w:r>
        <w:t xml:space="preserve"> over the Budget and forward years</w:t>
      </w:r>
      <w:r w:rsidRPr="00F95D0F">
        <w:t xml:space="preserve">, despite significant increases in rates, taxes, fees and charges and increases in Commonwealth grants over recent years. </w:t>
      </w:r>
    </w:p>
    <w:p w14:paraId="74AA0173" w14:textId="363768E7" w:rsidR="00553362" w:rsidRDefault="00553362" w:rsidP="00553362">
      <w:pPr>
        <w:spacing w:after="240"/>
        <w:textAlignment w:val="baseline"/>
      </w:pPr>
      <w:r w:rsidRPr="00B41671">
        <w:t>The August 2020 Economic and Fiscal Update set out a range of policies and programs developed in response to the COVID</w:t>
      </w:r>
      <w:r w:rsidR="00331AFD">
        <w:t xml:space="preserve">-19 </w:t>
      </w:r>
      <w:r w:rsidRPr="00B41671">
        <w:t xml:space="preserve">pandemic. </w:t>
      </w:r>
      <w:r w:rsidR="00C12100">
        <w:t xml:space="preserve">However, measures </w:t>
      </w:r>
      <w:r w:rsidRPr="00B41671">
        <w:t xml:space="preserve">to support the Canberra pandemic through the pandemic have not </w:t>
      </w:r>
      <w:r w:rsidR="00C12100">
        <w:t xml:space="preserve">been the primary driver of the deterioration in </w:t>
      </w:r>
      <w:r w:rsidRPr="00B41671">
        <w:t xml:space="preserve">the Government’s medium-term fiscal position. </w:t>
      </w:r>
      <w:r w:rsidR="00B91CB9">
        <w:t xml:space="preserve">Rather, the decline in the fiscal outlook reflects structural weaknesses in the ACT Budget that have been exacerbated by </w:t>
      </w:r>
      <w:r w:rsidRPr="00B41671">
        <w:t>the dampening of economic activity</w:t>
      </w:r>
      <w:r w:rsidR="00B91CB9">
        <w:t xml:space="preserve"> precipitated by the COVID pandemic</w:t>
      </w:r>
      <w:r w:rsidRPr="00B41671">
        <w:t xml:space="preserve">. To the extent that increased land sales have been driven by stimulus measures, as implied by the </w:t>
      </w:r>
      <w:r w:rsidR="001F51D1">
        <w:t xml:space="preserve">ACT </w:t>
      </w:r>
      <w:r w:rsidRPr="00B41671">
        <w:t>Government (2021, p.155), those transactions have had significant positive impacts on the medium-term fiscal outlook.</w:t>
      </w:r>
    </w:p>
    <w:p w14:paraId="6B63A030" w14:textId="2A8B391E" w:rsidR="00B91CB9" w:rsidRDefault="00553362" w:rsidP="00553362">
      <w:r>
        <w:t xml:space="preserve">The </w:t>
      </w:r>
      <w:r w:rsidR="001F51D1">
        <w:t xml:space="preserve">ACT </w:t>
      </w:r>
      <w:r>
        <w:t xml:space="preserve">Government </w:t>
      </w:r>
      <w:r w:rsidR="00B91CB9">
        <w:t xml:space="preserve">has indicated that it recognises the importance of restoring public finances and reducing net debt (ACT Government, 2021, p.53). It is clear however that the Government considers that the task of restoring public finances should be pursued after the impact of COVID has passed (ACT Government, p.52).  </w:t>
      </w:r>
    </w:p>
    <w:p w14:paraId="2516163A" w14:textId="7732C163" w:rsidR="00553362" w:rsidRDefault="00B91CB9" w:rsidP="00553362">
      <w:r>
        <w:t xml:space="preserve">In our view, that is a sensible strategy.  We would however point to the challenges that will be involved in restoring public finances given the </w:t>
      </w:r>
      <w:r w:rsidR="00FE2985">
        <w:t xml:space="preserve">forecast fiscal outlook. </w:t>
      </w:r>
    </w:p>
    <w:p w14:paraId="5B5F6D1C" w14:textId="77777777" w:rsidR="00553362" w:rsidRPr="00E43948" w:rsidRDefault="00553362" w:rsidP="00553362">
      <w:pPr>
        <w:spacing w:after="240"/>
        <w:textAlignment w:val="baseline"/>
        <w:rPr>
          <w:rFonts w:ascii="inherit" w:eastAsia="Times New Roman" w:hAnsi="inherit" w:cs="Times New Roman"/>
          <w:highlight w:val="yellow"/>
          <w:lang w:eastAsia="en-GB"/>
        </w:rPr>
      </w:pPr>
      <w:r w:rsidRPr="0035057A">
        <w:t>A return to surplus had been announced and deferred in successive budgets between 2012-13 and 2017-18</w:t>
      </w:r>
      <w:r>
        <w:t xml:space="preserve"> and then again in 2019-20</w:t>
      </w:r>
      <w:r w:rsidRPr="0035057A">
        <w:t>.</w:t>
      </w:r>
      <w:r w:rsidRPr="00984C79">
        <w:rPr>
          <w:rFonts w:ascii="inherit" w:eastAsia="Times New Roman" w:hAnsi="inherit" w:cs="Times New Roman"/>
          <w:highlight w:val="yellow"/>
          <w:lang w:eastAsia="en-GB"/>
        </w:rPr>
        <w:t xml:space="preserve"> </w:t>
      </w:r>
    </w:p>
    <w:p w14:paraId="76E9B44B" w14:textId="7502326D" w:rsidR="00553362" w:rsidRDefault="00553362" w:rsidP="00553362">
      <w:r>
        <w:t xml:space="preserve">Figure </w:t>
      </w:r>
      <w:r w:rsidR="002A13BC">
        <w:t>11</w:t>
      </w:r>
      <w:r>
        <w:t xml:space="preserve"> compares the predicted trajectory of the fiscal balance presented in successive Budget Papers since 2010-11.</w:t>
      </w:r>
    </w:p>
    <w:p w14:paraId="020A343B" w14:textId="5C825ECC" w:rsidR="007A48F2" w:rsidRDefault="007A48F2">
      <w:pPr>
        <w:rPr>
          <w:sz w:val="24"/>
        </w:rPr>
      </w:pPr>
      <w:r>
        <w:br w:type="page"/>
      </w:r>
    </w:p>
    <w:p w14:paraId="7EB69B60" w14:textId="05ADE7AA" w:rsidR="00553362" w:rsidRDefault="00553362" w:rsidP="007A48F2">
      <w:pPr>
        <w:pStyle w:val="Caption"/>
      </w:pPr>
      <w:bookmarkStart w:id="83" w:name="_Toc64529103"/>
      <w:r w:rsidRPr="00454FAF">
        <w:lastRenderedPageBreak/>
        <w:t xml:space="preserve">Figure </w:t>
      </w:r>
      <w:r w:rsidRPr="00454FAF">
        <w:rPr>
          <w:noProof/>
        </w:rPr>
        <w:fldChar w:fldCharType="begin"/>
      </w:r>
      <w:r w:rsidRPr="00454FAF">
        <w:rPr>
          <w:noProof/>
        </w:rPr>
        <w:instrText xml:space="preserve"> SEQ Figure \* ARABIC </w:instrText>
      </w:r>
      <w:r w:rsidRPr="00454FAF">
        <w:rPr>
          <w:noProof/>
        </w:rPr>
        <w:fldChar w:fldCharType="separate"/>
      </w:r>
      <w:r w:rsidR="00AB7125">
        <w:rPr>
          <w:noProof/>
        </w:rPr>
        <w:t>11</w:t>
      </w:r>
      <w:r w:rsidRPr="00454FAF">
        <w:rPr>
          <w:noProof/>
        </w:rPr>
        <w:fldChar w:fldCharType="end"/>
      </w:r>
      <w:r w:rsidRPr="00454FAF">
        <w:t>: Forecast returns to surplus ($ million)</w:t>
      </w:r>
      <w:bookmarkEnd w:id="83"/>
    </w:p>
    <w:p w14:paraId="3E73B513" w14:textId="73D3CF53" w:rsidR="00553362" w:rsidRDefault="00553362" w:rsidP="00553362">
      <w:pPr>
        <w:spacing w:before="0"/>
      </w:pPr>
      <w:r>
        <w:rPr>
          <w:noProof/>
          <w:lang w:eastAsia="en-AU"/>
        </w:rPr>
        <w:drawing>
          <wp:inline distT="0" distB="0" distL="0" distR="0" wp14:anchorId="685D8D44" wp14:editId="68015419">
            <wp:extent cx="5731510" cy="2760345"/>
            <wp:effectExtent l="0" t="0" r="8890" b="8255"/>
            <wp:docPr id="6" name="Chart 6">
              <a:extLst xmlns:a="http://schemas.openxmlformats.org/drawingml/2006/main">
                <a:ext uri="{FF2B5EF4-FFF2-40B4-BE49-F238E27FC236}">
                  <a16:creationId xmlns:a16="http://schemas.microsoft.com/office/drawing/2014/main" id="{F9B2DB7E-2DE9-4410-B997-8B3D608CA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54FAF">
        <w:rPr>
          <w:sz w:val="20"/>
          <w:szCs w:val="20"/>
        </w:rPr>
        <w:t>Sources: ACT Government</w:t>
      </w:r>
      <w:r w:rsidRPr="00454FAF">
        <w:rPr>
          <w:noProof/>
          <w:sz w:val="20"/>
          <w:szCs w:val="20"/>
        </w:rPr>
        <w:t xml:space="preserve"> (2011, 2012, 2013, 2014, 2015, 2016, 2017, 2018a, 2019</w:t>
      </w:r>
      <w:r>
        <w:rPr>
          <w:noProof/>
          <w:sz w:val="20"/>
          <w:szCs w:val="20"/>
        </w:rPr>
        <w:t>, 2021</w:t>
      </w:r>
      <w:r w:rsidRPr="00454FAF">
        <w:rPr>
          <w:noProof/>
          <w:sz w:val="20"/>
          <w:szCs w:val="20"/>
        </w:rPr>
        <w:t>)</w:t>
      </w:r>
    </w:p>
    <w:p w14:paraId="77F675D6" w14:textId="5F3DB035" w:rsidR="00553362" w:rsidRDefault="001F51D1" w:rsidP="00553362">
      <w:pPr>
        <w:spacing w:before="240"/>
      </w:pPr>
      <w:r>
        <w:t>Figure 11</w:t>
      </w:r>
      <w:r w:rsidR="00553362">
        <w:t xml:space="preserve"> shows that over successive Budgets, forecast surpluses have tended to recede in time. </w:t>
      </w:r>
    </w:p>
    <w:p w14:paraId="45138E13" w14:textId="40ABA62E" w:rsidR="00553362" w:rsidRDefault="00553362" w:rsidP="00553362">
      <w:pPr>
        <w:spacing w:before="240"/>
      </w:pPr>
      <w:r>
        <w:t>A return to surplus for the ACT Government will require favourable economic circumstances and considerable fiscal discipline over a long period</w:t>
      </w:r>
      <w:r w:rsidR="00FE2985">
        <w:t xml:space="preserve"> of time</w:t>
      </w:r>
      <w:r>
        <w:t xml:space="preserve">.  </w:t>
      </w:r>
    </w:p>
    <w:p w14:paraId="499638EB" w14:textId="5D20963E" w:rsidR="009436B5" w:rsidRDefault="009436B5" w:rsidP="009436B5">
      <w:pPr>
        <w:pStyle w:val="Heading2"/>
      </w:pPr>
      <w:bookmarkStart w:id="84" w:name="_Toc64529033"/>
      <w:r>
        <w:t>3.3</w:t>
      </w:r>
      <w:r>
        <w:tab/>
        <w:t>Measures of the ACT Government’s balance sheet</w:t>
      </w:r>
      <w:bookmarkEnd w:id="84"/>
    </w:p>
    <w:p w14:paraId="17DBE6D8" w14:textId="77777777" w:rsidR="00CA735B" w:rsidRDefault="00CA735B" w:rsidP="00CA735B">
      <w:r>
        <w:t xml:space="preserve">The strength of the Government’s finances over the medium term can be assessed in terms of measures of net debt, net financial liabilities and net worth. </w:t>
      </w:r>
    </w:p>
    <w:p w14:paraId="6A33B752" w14:textId="0C830A1B" w:rsidR="00CA735B" w:rsidRDefault="00CA735B" w:rsidP="00CA735B">
      <w:r>
        <w:t xml:space="preserve">Table 3 presents these key balance sheet measures for the Budget and forward years. More detailed definitions of these measures and a discussion of longer-term trends is set out in section </w:t>
      </w:r>
      <w:r w:rsidR="001F51D1">
        <w:t>7</w:t>
      </w:r>
      <w:r>
        <w:t xml:space="preserve"> of this report. </w:t>
      </w:r>
    </w:p>
    <w:p w14:paraId="5D0CB03C" w14:textId="3B839574" w:rsidR="00CA735B" w:rsidRPr="0035057A" w:rsidRDefault="00CA735B" w:rsidP="00CA735B">
      <w:pPr>
        <w:pStyle w:val="Caption"/>
      </w:pPr>
      <w:bookmarkStart w:id="85" w:name="_Toc64529083"/>
      <w:r w:rsidRPr="00E97466">
        <w:t xml:space="preserve">Table </w:t>
      </w:r>
      <w:fldSimple w:instr=" SEQ Table \* ARABIC ">
        <w:r w:rsidR="00AB7125">
          <w:rPr>
            <w:noProof/>
          </w:rPr>
          <w:t>3</w:t>
        </w:r>
      </w:fldSimple>
      <w:r w:rsidRPr="00E97466">
        <w:t>: General Government Sector Key Balance Sheet Measures</w:t>
      </w:r>
      <w:r>
        <w:rPr>
          <w:rStyle w:val="FootnoteReference"/>
        </w:rPr>
        <w:footnoteReference w:id="3"/>
      </w:r>
      <w:bookmarkEnd w:id="85"/>
    </w:p>
    <w:tbl>
      <w:tblPr>
        <w:tblW w:w="8105" w:type="dxa"/>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2485"/>
        <w:gridCol w:w="1204"/>
        <w:gridCol w:w="1104"/>
        <w:gridCol w:w="1104"/>
        <w:gridCol w:w="1104"/>
        <w:gridCol w:w="1104"/>
      </w:tblGrid>
      <w:tr w:rsidR="00CA735B" w14:paraId="15200898" w14:textId="77777777" w:rsidTr="00EA67B3">
        <w:trPr>
          <w:trHeight w:val="57"/>
        </w:trPr>
        <w:tc>
          <w:tcPr>
            <w:tcW w:w="2485" w:type="dxa"/>
            <w:tcBorders>
              <w:top w:val="single" w:sz="4" w:space="0" w:color="auto"/>
              <w:left w:val="nil"/>
              <w:bottom w:val="nil"/>
              <w:right w:val="nil"/>
            </w:tcBorders>
            <w:hideMark/>
          </w:tcPr>
          <w:p w14:paraId="4AD1D9C5" w14:textId="77777777" w:rsidR="00CA735B" w:rsidRDefault="00CA735B" w:rsidP="00EA67B3">
            <w:pPr>
              <w:spacing w:after="0"/>
              <w:jc w:val="right"/>
              <w:rPr>
                <w:rFonts w:ascii="Calibri" w:eastAsia="Times New Roman" w:hAnsi="Calibri" w:cs="Calibri"/>
                <w:color w:val="FFFFFF"/>
                <w:sz w:val="12"/>
                <w:szCs w:val="20"/>
              </w:rPr>
            </w:pPr>
          </w:p>
        </w:tc>
        <w:tc>
          <w:tcPr>
            <w:tcW w:w="1204" w:type="dxa"/>
            <w:tcBorders>
              <w:top w:val="single" w:sz="4" w:space="0" w:color="auto"/>
              <w:left w:val="nil"/>
              <w:bottom w:val="nil"/>
              <w:right w:val="nil"/>
            </w:tcBorders>
            <w:hideMark/>
          </w:tcPr>
          <w:p w14:paraId="6F9C2A96"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2019-20</w:t>
            </w:r>
          </w:p>
          <w:p w14:paraId="551ABC65"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Outcome</w:t>
            </w:r>
          </w:p>
        </w:tc>
        <w:tc>
          <w:tcPr>
            <w:tcW w:w="1104" w:type="dxa"/>
            <w:tcBorders>
              <w:top w:val="single" w:sz="4" w:space="0" w:color="auto"/>
              <w:left w:val="nil"/>
              <w:bottom w:val="nil"/>
              <w:right w:val="nil"/>
            </w:tcBorders>
            <w:hideMark/>
          </w:tcPr>
          <w:p w14:paraId="7DBA4AED"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2020-21</w:t>
            </w:r>
          </w:p>
          <w:p w14:paraId="6ED956F0"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Budget</w:t>
            </w:r>
          </w:p>
        </w:tc>
        <w:tc>
          <w:tcPr>
            <w:tcW w:w="1104" w:type="dxa"/>
            <w:tcBorders>
              <w:top w:val="single" w:sz="4" w:space="0" w:color="auto"/>
              <w:left w:val="nil"/>
              <w:bottom w:val="nil"/>
              <w:right w:val="nil"/>
            </w:tcBorders>
            <w:hideMark/>
          </w:tcPr>
          <w:p w14:paraId="22E9244F"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2021-22</w:t>
            </w:r>
          </w:p>
          <w:p w14:paraId="6522AC8F"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c>
          <w:tcPr>
            <w:tcW w:w="1104" w:type="dxa"/>
            <w:tcBorders>
              <w:top w:val="single" w:sz="4" w:space="0" w:color="auto"/>
              <w:left w:val="nil"/>
              <w:bottom w:val="nil"/>
              <w:right w:val="nil"/>
            </w:tcBorders>
            <w:hideMark/>
          </w:tcPr>
          <w:p w14:paraId="7E42DD2F"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2022-23</w:t>
            </w:r>
          </w:p>
          <w:p w14:paraId="662C6236"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c>
          <w:tcPr>
            <w:tcW w:w="1104" w:type="dxa"/>
            <w:tcBorders>
              <w:top w:val="single" w:sz="4" w:space="0" w:color="auto"/>
              <w:left w:val="nil"/>
              <w:bottom w:val="nil"/>
              <w:right w:val="nil"/>
            </w:tcBorders>
            <w:hideMark/>
          </w:tcPr>
          <w:p w14:paraId="4FC0A17C"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2023-24</w:t>
            </w:r>
          </w:p>
          <w:p w14:paraId="2BFFF328"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Estimate</w:t>
            </w:r>
          </w:p>
        </w:tc>
      </w:tr>
      <w:tr w:rsidR="00CA735B" w14:paraId="43297864" w14:textId="77777777" w:rsidTr="00EA67B3">
        <w:trPr>
          <w:trHeight w:val="57"/>
        </w:trPr>
        <w:tc>
          <w:tcPr>
            <w:tcW w:w="2485" w:type="dxa"/>
            <w:tcBorders>
              <w:top w:val="nil"/>
              <w:left w:val="nil"/>
              <w:bottom w:val="single" w:sz="4" w:space="0" w:color="auto"/>
              <w:right w:val="nil"/>
            </w:tcBorders>
            <w:hideMark/>
          </w:tcPr>
          <w:p w14:paraId="08F67881" w14:textId="77777777" w:rsidR="00CA735B" w:rsidRDefault="00CA735B" w:rsidP="00EA67B3">
            <w:pPr>
              <w:spacing w:after="0"/>
              <w:jc w:val="right"/>
              <w:rPr>
                <w:rFonts w:ascii="Calibri" w:eastAsia="Times New Roman" w:hAnsi="Calibri" w:cs="Calibri"/>
                <w:color w:val="FFFFFF"/>
                <w:sz w:val="12"/>
                <w:szCs w:val="20"/>
              </w:rPr>
            </w:pPr>
            <w:r>
              <w:rPr>
                <w:rFonts w:ascii="Calibri" w:eastAsia="Times New Roman" w:hAnsi="Calibri" w:cs="Calibri"/>
                <w:color w:val="FFFFFF"/>
                <w:sz w:val="12"/>
                <w:szCs w:val="20"/>
              </w:rPr>
              <w:t xml:space="preserve"> </w:t>
            </w:r>
          </w:p>
        </w:tc>
        <w:tc>
          <w:tcPr>
            <w:tcW w:w="1204" w:type="dxa"/>
            <w:tcBorders>
              <w:top w:val="nil"/>
              <w:left w:val="nil"/>
              <w:bottom w:val="single" w:sz="4" w:space="0" w:color="auto"/>
              <w:right w:val="nil"/>
            </w:tcBorders>
            <w:hideMark/>
          </w:tcPr>
          <w:p w14:paraId="727992B3"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c>
          <w:tcPr>
            <w:tcW w:w="1104" w:type="dxa"/>
            <w:tcBorders>
              <w:top w:val="nil"/>
              <w:left w:val="nil"/>
              <w:bottom w:val="single" w:sz="4" w:space="0" w:color="auto"/>
              <w:right w:val="nil"/>
            </w:tcBorders>
            <w:hideMark/>
          </w:tcPr>
          <w:p w14:paraId="3CFDD2D1"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c>
          <w:tcPr>
            <w:tcW w:w="1104" w:type="dxa"/>
            <w:tcBorders>
              <w:top w:val="nil"/>
              <w:left w:val="nil"/>
              <w:bottom w:val="single" w:sz="4" w:space="0" w:color="auto"/>
              <w:right w:val="nil"/>
            </w:tcBorders>
            <w:hideMark/>
          </w:tcPr>
          <w:p w14:paraId="708D6414"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c>
          <w:tcPr>
            <w:tcW w:w="1104" w:type="dxa"/>
            <w:tcBorders>
              <w:top w:val="nil"/>
              <w:left w:val="nil"/>
              <w:bottom w:val="single" w:sz="4" w:space="0" w:color="auto"/>
              <w:right w:val="nil"/>
            </w:tcBorders>
            <w:hideMark/>
          </w:tcPr>
          <w:p w14:paraId="7B455065"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c>
          <w:tcPr>
            <w:tcW w:w="1104" w:type="dxa"/>
            <w:tcBorders>
              <w:top w:val="nil"/>
              <w:left w:val="nil"/>
              <w:bottom w:val="single" w:sz="4" w:space="0" w:color="auto"/>
              <w:right w:val="nil"/>
            </w:tcBorders>
            <w:hideMark/>
          </w:tcPr>
          <w:p w14:paraId="2D2A19B8" w14:textId="77777777" w:rsidR="00CA735B" w:rsidRDefault="00CA735B" w:rsidP="00EA67B3">
            <w:pPr>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$m</w:t>
            </w:r>
          </w:p>
        </w:tc>
      </w:tr>
      <w:tr w:rsidR="00CA735B" w14:paraId="2E450F4C" w14:textId="77777777" w:rsidTr="00EA67B3">
        <w:trPr>
          <w:trHeight w:val="57"/>
        </w:trPr>
        <w:tc>
          <w:tcPr>
            <w:tcW w:w="2485" w:type="dxa"/>
            <w:tcBorders>
              <w:top w:val="single" w:sz="4" w:space="0" w:color="auto"/>
              <w:left w:val="nil"/>
              <w:bottom w:val="nil"/>
              <w:right w:val="nil"/>
            </w:tcBorders>
            <w:hideMark/>
          </w:tcPr>
          <w:p w14:paraId="28FC7849" w14:textId="77777777" w:rsidR="00CA735B" w:rsidRDefault="00CA735B" w:rsidP="00EA67B3">
            <w:pPr>
              <w:spacing w:after="0"/>
              <w:ind w:left="227" w:hanging="227"/>
              <w:rPr>
                <w:rFonts w:ascii="Calibri" w:eastAsia="Times New Roman" w:hAnsi="Calibri" w:cs="Times New Roman"/>
                <w:bCs/>
                <w:sz w:val="20"/>
                <w:szCs w:val="20"/>
                <w:lang w:val="x-none"/>
              </w:rPr>
            </w:pPr>
            <w:r>
              <w:rPr>
                <w:rFonts w:ascii="Calibri" w:eastAsia="Times New Roman" w:hAnsi="Calibri" w:cs="Times New Roman"/>
                <w:bCs/>
                <w:sz w:val="20"/>
                <w:szCs w:val="20"/>
                <w:lang w:val="x-none"/>
              </w:rPr>
              <w:t xml:space="preserve">Net </w:t>
            </w:r>
            <w:r>
              <w:rPr>
                <w:rFonts w:ascii="Calibri" w:eastAsia="Times New Roman" w:hAnsi="Calibri" w:cs="Times New Roman"/>
                <w:bCs/>
                <w:sz w:val="20"/>
                <w:szCs w:val="20"/>
              </w:rPr>
              <w:t>d</w:t>
            </w:r>
            <w:r>
              <w:rPr>
                <w:rFonts w:ascii="Calibri" w:eastAsia="Times New Roman" w:hAnsi="Calibri" w:cs="Times New Roman"/>
                <w:bCs/>
                <w:sz w:val="20"/>
                <w:szCs w:val="20"/>
                <w:lang w:val="x-none"/>
              </w:rPr>
              <w:t>ebt (excluding super)</w:t>
            </w:r>
          </w:p>
        </w:tc>
        <w:tc>
          <w:tcPr>
            <w:tcW w:w="1204" w:type="dxa"/>
            <w:tcBorders>
              <w:top w:val="single" w:sz="4" w:space="0" w:color="auto"/>
              <w:left w:val="nil"/>
              <w:bottom w:val="nil"/>
              <w:right w:val="nil"/>
            </w:tcBorders>
            <w:hideMark/>
          </w:tcPr>
          <w:p w14:paraId="789F47D5"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3,296.7 </w:t>
            </w:r>
          </w:p>
        </w:tc>
        <w:tc>
          <w:tcPr>
            <w:tcW w:w="1104" w:type="dxa"/>
            <w:tcBorders>
              <w:top w:val="single" w:sz="4" w:space="0" w:color="auto"/>
              <w:left w:val="nil"/>
              <w:bottom w:val="nil"/>
              <w:right w:val="nil"/>
            </w:tcBorders>
            <w:hideMark/>
          </w:tcPr>
          <w:p w14:paraId="1193A2E1"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4,665.0 </w:t>
            </w:r>
          </w:p>
        </w:tc>
        <w:tc>
          <w:tcPr>
            <w:tcW w:w="1104" w:type="dxa"/>
            <w:tcBorders>
              <w:top w:val="single" w:sz="4" w:space="0" w:color="auto"/>
              <w:left w:val="nil"/>
              <w:bottom w:val="nil"/>
              <w:right w:val="nil"/>
            </w:tcBorders>
            <w:hideMark/>
          </w:tcPr>
          <w:p w14:paraId="67DC45D0" w14:textId="77777777" w:rsidR="00CA735B" w:rsidRDefault="00CA735B" w:rsidP="00EA67B3">
            <w:pPr>
              <w:spacing w:after="0"/>
              <w:ind w:left="227" w:hanging="227"/>
              <w:jc w:val="center"/>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        5,960.6</w:t>
            </w:r>
          </w:p>
        </w:tc>
        <w:tc>
          <w:tcPr>
            <w:tcW w:w="1104" w:type="dxa"/>
            <w:tcBorders>
              <w:top w:val="single" w:sz="4" w:space="0" w:color="auto"/>
              <w:left w:val="nil"/>
              <w:bottom w:val="nil"/>
              <w:right w:val="nil"/>
            </w:tcBorders>
            <w:hideMark/>
          </w:tcPr>
          <w:p w14:paraId="086F1F9F" w14:textId="77777777" w:rsidR="00CA735B" w:rsidRDefault="00CA735B" w:rsidP="00EA67B3">
            <w:pPr>
              <w:spacing w:after="0"/>
              <w:ind w:left="227" w:hanging="227"/>
              <w:jc w:val="center"/>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       6,926.7 </w:t>
            </w:r>
          </w:p>
        </w:tc>
        <w:tc>
          <w:tcPr>
            <w:tcW w:w="1104" w:type="dxa"/>
            <w:tcBorders>
              <w:top w:val="single" w:sz="4" w:space="0" w:color="auto"/>
              <w:left w:val="nil"/>
              <w:bottom w:val="nil"/>
              <w:right w:val="nil"/>
            </w:tcBorders>
            <w:hideMark/>
          </w:tcPr>
          <w:p w14:paraId="2A1CCF2F"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7,658.6 </w:t>
            </w:r>
          </w:p>
        </w:tc>
      </w:tr>
      <w:tr w:rsidR="00CA735B" w14:paraId="2EF1AB72" w14:textId="77777777" w:rsidTr="00EA67B3">
        <w:trPr>
          <w:trHeight w:val="57"/>
        </w:trPr>
        <w:tc>
          <w:tcPr>
            <w:tcW w:w="2485" w:type="dxa"/>
            <w:tcBorders>
              <w:top w:val="nil"/>
              <w:left w:val="nil"/>
              <w:bottom w:val="nil"/>
              <w:right w:val="nil"/>
            </w:tcBorders>
            <w:hideMark/>
          </w:tcPr>
          <w:p w14:paraId="2A68AC8E" w14:textId="77777777" w:rsidR="00CA735B" w:rsidRDefault="00CA735B" w:rsidP="00EA67B3">
            <w:pPr>
              <w:spacing w:after="0"/>
              <w:ind w:left="227" w:hanging="227"/>
              <w:rPr>
                <w:rFonts w:ascii="Calibri" w:eastAsia="Times New Roman" w:hAnsi="Calibri" w:cs="Times New Roman"/>
                <w:bCs/>
                <w:sz w:val="20"/>
                <w:szCs w:val="20"/>
                <w:lang w:val="x-none"/>
              </w:rPr>
            </w:pPr>
            <w:r>
              <w:rPr>
                <w:rFonts w:ascii="Calibri" w:eastAsia="Times New Roman" w:hAnsi="Calibri" w:cs="Times New Roman"/>
                <w:bCs/>
                <w:sz w:val="20"/>
                <w:szCs w:val="20"/>
                <w:lang w:val="x-none"/>
              </w:rPr>
              <w:t xml:space="preserve">Net </w:t>
            </w:r>
            <w:r>
              <w:rPr>
                <w:rFonts w:ascii="Calibri" w:eastAsia="Times New Roman" w:hAnsi="Calibri" w:cs="Times New Roman"/>
                <w:bCs/>
                <w:sz w:val="20"/>
                <w:szCs w:val="20"/>
              </w:rPr>
              <w:t>f</w:t>
            </w:r>
            <w:r>
              <w:rPr>
                <w:rFonts w:ascii="Calibri" w:eastAsia="Times New Roman" w:hAnsi="Calibri" w:cs="Times New Roman"/>
                <w:bCs/>
                <w:sz w:val="20"/>
                <w:szCs w:val="20"/>
                <w:lang w:val="x-none"/>
              </w:rPr>
              <w:t xml:space="preserve">inancial </w:t>
            </w:r>
            <w:r>
              <w:rPr>
                <w:rFonts w:ascii="Calibri" w:eastAsia="Times New Roman" w:hAnsi="Calibri" w:cs="Times New Roman"/>
                <w:bCs/>
                <w:sz w:val="20"/>
                <w:szCs w:val="20"/>
              </w:rPr>
              <w:t>l</w:t>
            </w:r>
            <w:r>
              <w:rPr>
                <w:rFonts w:ascii="Calibri" w:eastAsia="Times New Roman" w:hAnsi="Calibri" w:cs="Times New Roman"/>
                <w:bCs/>
                <w:sz w:val="20"/>
                <w:szCs w:val="20"/>
                <w:lang w:val="x-none"/>
              </w:rPr>
              <w:t>iabilities</w:t>
            </w:r>
          </w:p>
        </w:tc>
        <w:tc>
          <w:tcPr>
            <w:tcW w:w="1204" w:type="dxa"/>
            <w:tcBorders>
              <w:top w:val="nil"/>
              <w:left w:val="nil"/>
              <w:bottom w:val="nil"/>
              <w:right w:val="nil"/>
            </w:tcBorders>
            <w:hideMark/>
          </w:tcPr>
          <w:p w14:paraId="0CB0842D"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12,003.2</w:t>
            </w:r>
          </w:p>
        </w:tc>
        <w:tc>
          <w:tcPr>
            <w:tcW w:w="1104" w:type="dxa"/>
            <w:tcBorders>
              <w:top w:val="nil"/>
              <w:left w:val="nil"/>
              <w:bottom w:val="nil"/>
              <w:right w:val="nil"/>
            </w:tcBorders>
            <w:hideMark/>
          </w:tcPr>
          <w:p w14:paraId="6ACB7BDA"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9,301.8</w:t>
            </w:r>
          </w:p>
        </w:tc>
        <w:tc>
          <w:tcPr>
            <w:tcW w:w="1104" w:type="dxa"/>
            <w:tcBorders>
              <w:top w:val="nil"/>
              <w:left w:val="nil"/>
              <w:bottom w:val="nil"/>
              <w:right w:val="nil"/>
            </w:tcBorders>
            <w:hideMark/>
          </w:tcPr>
          <w:p w14:paraId="1B5B3B4E"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10,559.7</w:t>
            </w:r>
          </w:p>
        </w:tc>
        <w:tc>
          <w:tcPr>
            <w:tcW w:w="1104" w:type="dxa"/>
            <w:tcBorders>
              <w:top w:val="nil"/>
              <w:left w:val="nil"/>
              <w:bottom w:val="nil"/>
              <w:right w:val="nil"/>
            </w:tcBorders>
            <w:hideMark/>
          </w:tcPr>
          <w:p w14:paraId="15FEE266"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11,744.9 </w:t>
            </w:r>
          </w:p>
        </w:tc>
        <w:tc>
          <w:tcPr>
            <w:tcW w:w="1104" w:type="dxa"/>
            <w:tcBorders>
              <w:top w:val="nil"/>
              <w:left w:val="nil"/>
              <w:bottom w:val="nil"/>
              <w:right w:val="nil"/>
            </w:tcBorders>
            <w:hideMark/>
          </w:tcPr>
          <w:p w14:paraId="6E402C55"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12,670.2 </w:t>
            </w:r>
          </w:p>
        </w:tc>
      </w:tr>
      <w:tr w:rsidR="00CA735B" w14:paraId="5151A747" w14:textId="77777777" w:rsidTr="00EA67B3">
        <w:trPr>
          <w:trHeight w:val="57"/>
        </w:trPr>
        <w:tc>
          <w:tcPr>
            <w:tcW w:w="2485" w:type="dxa"/>
            <w:tcBorders>
              <w:top w:val="nil"/>
              <w:left w:val="nil"/>
              <w:bottom w:val="single" w:sz="4" w:space="0" w:color="auto"/>
              <w:right w:val="nil"/>
            </w:tcBorders>
            <w:hideMark/>
          </w:tcPr>
          <w:p w14:paraId="084B03EB" w14:textId="77777777" w:rsidR="00CA735B" w:rsidRDefault="00CA735B" w:rsidP="00EA67B3">
            <w:pPr>
              <w:spacing w:after="0"/>
              <w:ind w:left="227" w:hanging="227"/>
              <w:rPr>
                <w:rFonts w:ascii="Calibri" w:eastAsia="Times New Roman" w:hAnsi="Calibri" w:cs="Times New Roman"/>
                <w:bCs/>
                <w:sz w:val="20"/>
                <w:szCs w:val="20"/>
                <w:lang w:val="x-none"/>
              </w:rPr>
            </w:pPr>
            <w:r>
              <w:rPr>
                <w:rFonts w:ascii="Calibri" w:eastAsia="Times New Roman" w:hAnsi="Calibri" w:cs="Times New Roman"/>
                <w:bCs/>
                <w:sz w:val="20"/>
                <w:szCs w:val="20"/>
                <w:lang w:val="x-none"/>
              </w:rPr>
              <w:t xml:space="preserve">Net </w:t>
            </w:r>
            <w:r>
              <w:rPr>
                <w:rFonts w:ascii="Calibri" w:eastAsia="Times New Roman" w:hAnsi="Calibri" w:cs="Times New Roman"/>
                <w:bCs/>
                <w:sz w:val="20"/>
                <w:szCs w:val="20"/>
              </w:rPr>
              <w:t>w</w:t>
            </w:r>
            <w:r>
              <w:rPr>
                <w:rFonts w:ascii="Calibri" w:eastAsia="Times New Roman" w:hAnsi="Calibri" w:cs="Times New Roman"/>
                <w:bCs/>
                <w:sz w:val="20"/>
                <w:szCs w:val="20"/>
                <w:lang w:val="x-none"/>
              </w:rPr>
              <w:t>orth</w:t>
            </w:r>
          </w:p>
        </w:tc>
        <w:tc>
          <w:tcPr>
            <w:tcW w:w="1204" w:type="dxa"/>
            <w:tcBorders>
              <w:top w:val="nil"/>
              <w:left w:val="nil"/>
              <w:bottom w:val="single" w:sz="4" w:space="0" w:color="auto"/>
              <w:right w:val="nil"/>
            </w:tcBorders>
            <w:hideMark/>
          </w:tcPr>
          <w:p w14:paraId="40E1F722"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13,030.3 </w:t>
            </w:r>
          </w:p>
        </w:tc>
        <w:tc>
          <w:tcPr>
            <w:tcW w:w="1104" w:type="dxa"/>
            <w:tcBorders>
              <w:top w:val="nil"/>
              <w:left w:val="nil"/>
              <w:bottom w:val="single" w:sz="4" w:space="0" w:color="auto"/>
              <w:right w:val="nil"/>
            </w:tcBorders>
            <w:hideMark/>
          </w:tcPr>
          <w:p w14:paraId="37D2A600"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16,628.9 </w:t>
            </w:r>
          </w:p>
        </w:tc>
        <w:tc>
          <w:tcPr>
            <w:tcW w:w="1104" w:type="dxa"/>
            <w:tcBorders>
              <w:top w:val="nil"/>
              <w:left w:val="nil"/>
              <w:bottom w:val="single" w:sz="4" w:space="0" w:color="auto"/>
              <w:right w:val="nil"/>
            </w:tcBorders>
            <w:hideMark/>
          </w:tcPr>
          <w:p w14:paraId="27370EE4"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15,971.4 </w:t>
            </w:r>
          </w:p>
        </w:tc>
        <w:tc>
          <w:tcPr>
            <w:tcW w:w="1104" w:type="dxa"/>
            <w:tcBorders>
              <w:top w:val="nil"/>
              <w:left w:val="nil"/>
              <w:bottom w:val="single" w:sz="4" w:space="0" w:color="auto"/>
              <w:right w:val="nil"/>
            </w:tcBorders>
            <w:hideMark/>
          </w:tcPr>
          <w:p w14:paraId="0642FFD9"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15,343.1 </w:t>
            </w:r>
          </w:p>
        </w:tc>
        <w:tc>
          <w:tcPr>
            <w:tcW w:w="1104" w:type="dxa"/>
            <w:tcBorders>
              <w:top w:val="nil"/>
              <w:left w:val="nil"/>
              <w:bottom w:val="single" w:sz="4" w:space="0" w:color="auto"/>
              <w:right w:val="nil"/>
            </w:tcBorders>
            <w:hideMark/>
          </w:tcPr>
          <w:p w14:paraId="535DD217" w14:textId="77777777" w:rsidR="00CA735B" w:rsidRDefault="00CA735B" w:rsidP="00EA67B3">
            <w:pPr>
              <w:spacing w:after="0"/>
              <w:ind w:left="227" w:hanging="227"/>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 xml:space="preserve">14,837.2 </w:t>
            </w:r>
          </w:p>
        </w:tc>
      </w:tr>
    </w:tbl>
    <w:p w14:paraId="448B305A" w14:textId="77777777" w:rsidR="00CA735B" w:rsidRPr="00806CAF" w:rsidRDefault="00CA735B" w:rsidP="00CA735B">
      <w:pPr>
        <w:spacing w:before="0"/>
        <w:rPr>
          <w:sz w:val="20"/>
          <w:szCs w:val="20"/>
        </w:rPr>
      </w:pPr>
      <w:r w:rsidRPr="00E97466">
        <w:rPr>
          <w:sz w:val="20"/>
          <w:szCs w:val="20"/>
        </w:rPr>
        <w:t xml:space="preserve">Source: </w:t>
      </w:r>
      <w:r w:rsidRPr="00806CAF">
        <w:rPr>
          <w:noProof/>
          <w:sz w:val="20"/>
          <w:szCs w:val="20"/>
        </w:rPr>
        <w:t>ACT Government</w:t>
      </w:r>
      <w:r>
        <w:rPr>
          <w:noProof/>
          <w:sz w:val="20"/>
          <w:szCs w:val="20"/>
        </w:rPr>
        <w:t xml:space="preserve"> </w:t>
      </w:r>
      <w:r w:rsidRPr="008B6C63">
        <w:rPr>
          <w:noProof/>
          <w:sz w:val="20"/>
          <w:szCs w:val="20"/>
        </w:rPr>
        <w:t>(2021, pp. 191, 192)</w:t>
      </w:r>
      <w:r>
        <w:rPr>
          <w:noProof/>
          <w:sz w:val="20"/>
          <w:szCs w:val="20"/>
        </w:rPr>
        <w:t>.</w:t>
      </w:r>
    </w:p>
    <w:p w14:paraId="2ACAB334" w14:textId="661E72BF" w:rsidR="00CA735B" w:rsidRDefault="00EC4988" w:rsidP="00CA735B">
      <w:pPr>
        <w:rPr>
          <w:rFonts w:cs="Calibri"/>
        </w:rPr>
      </w:pPr>
      <w:r>
        <w:rPr>
          <w:rFonts w:cs="Calibri"/>
        </w:rPr>
        <w:t>T</w:t>
      </w:r>
      <w:r w:rsidR="00CA735B">
        <w:rPr>
          <w:rFonts w:cs="Calibri"/>
        </w:rPr>
        <w:t xml:space="preserve">able </w:t>
      </w:r>
      <w:r>
        <w:rPr>
          <w:rFonts w:cs="Calibri"/>
        </w:rPr>
        <w:t xml:space="preserve">3 </w:t>
      </w:r>
      <w:r w:rsidR="00CA735B">
        <w:rPr>
          <w:rFonts w:cs="Calibri"/>
        </w:rPr>
        <w:t>shows a weakening of the financial position forecast in the 2019-20 Budget and a deterioration in the key balance sheet measures over time.</w:t>
      </w:r>
    </w:p>
    <w:p w14:paraId="3D49A8CF" w14:textId="2D30A47E" w:rsidR="00CA735B" w:rsidRDefault="00CA735B" w:rsidP="00CA735B">
      <w:r w:rsidRPr="00FD620A">
        <w:rPr>
          <w:rFonts w:cs="Calibri"/>
        </w:rPr>
        <w:lastRenderedPageBreak/>
        <w:t>The ACT Government’s forecast net worth for 2020-21 is higher than the 2019-20 estimated outcome</w:t>
      </w:r>
      <w:r w:rsidR="001F51D1" w:rsidRPr="00FD620A">
        <w:rPr>
          <w:rFonts w:cs="Calibri"/>
        </w:rPr>
        <w:t>,</w:t>
      </w:r>
      <w:r w:rsidRPr="00FD620A">
        <w:rPr>
          <w:rFonts w:cs="Calibri"/>
        </w:rPr>
        <w:t xml:space="preserve"> but </w:t>
      </w:r>
      <w:r w:rsidR="00FD620A" w:rsidRPr="00FD620A">
        <w:rPr>
          <w:rFonts w:cs="Calibri"/>
        </w:rPr>
        <w:t>for 2020-</w:t>
      </w:r>
      <w:r w:rsidRPr="00FD620A">
        <w:t>21 is 5.3 per</w:t>
      </w:r>
      <w:r w:rsidR="001F51D1" w:rsidRPr="00FD620A">
        <w:t xml:space="preserve"> </w:t>
      </w:r>
      <w:r w:rsidRPr="00FD620A">
        <w:t xml:space="preserve">cent lower than forecast in the 2019-20 Budget and net worth </w:t>
      </w:r>
      <w:r w:rsidRPr="00FD620A">
        <w:rPr>
          <w:rFonts w:cs="Calibri"/>
        </w:rPr>
        <w:t xml:space="preserve">is now </w:t>
      </w:r>
      <w:r w:rsidRPr="00FD620A">
        <w:t xml:space="preserve">forecast to fall </w:t>
      </w:r>
      <w:r w:rsidRPr="00FD620A">
        <w:rPr>
          <w:rFonts w:cs="Calibri"/>
        </w:rPr>
        <w:t>a</w:t>
      </w:r>
      <w:r w:rsidRPr="00FD620A">
        <w:t>cross the forward estimates.</w:t>
      </w:r>
    </w:p>
    <w:p w14:paraId="4DDDDBA6" w14:textId="3E32DF47" w:rsidR="00CA735B" w:rsidRDefault="00CA735B" w:rsidP="00CA735B">
      <w:r>
        <w:t>Net financial liabilities have grown substantially since last year’s Budget and continue to deteriorate into the out-years. Net financial liabilities in the forward years are now forecast to be between 35 and 47 per</w:t>
      </w:r>
      <w:r w:rsidR="001F51D1">
        <w:t xml:space="preserve"> </w:t>
      </w:r>
      <w:r>
        <w:t>cent worse than forecast in the 2019-20 Budget.</w:t>
      </w:r>
    </w:p>
    <w:p w14:paraId="53404FF6" w14:textId="242D15D1" w:rsidR="00CA735B" w:rsidRDefault="00CA735B" w:rsidP="00CA735B">
      <w:r>
        <w:t xml:space="preserve">Net debt is also expected to be higher over the Budget and forward years than expected in </w:t>
      </w:r>
      <w:r w:rsidR="001F51D1">
        <w:t>the 2019-20</w:t>
      </w:r>
      <w:r>
        <w:t xml:space="preserve"> Budget, and the level of net debt is forecast to grow rapidly over the forward estimates. By 2023-24, net debt is forecast to be more than double the level forecast in the 2019-20 Budget.</w:t>
      </w:r>
    </w:p>
    <w:p w14:paraId="65487658" w14:textId="50E3A8AE" w:rsidR="00CA735B" w:rsidRDefault="00CA735B" w:rsidP="00CA735B">
      <w:r>
        <w:t xml:space="preserve">The deterioration in these measures is largely a consequence of the economic and financial impact of </w:t>
      </w:r>
      <w:r w:rsidR="001014FB">
        <w:t xml:space="preserve">the </w:t>
      </w:r>
      <w:r>
        <w:t>COVID</w:t>
      </w:r>
      <w:r w:rsidR="001014FB">
        <w:t>-19 pandemic</w:t>
      </w:r>
      <w:r>
        <w:t xml:space="preserve"> on the superannuation investment fund but other factors have also contributed, including structural imbalances in the ACT Government’s </w:t>
      </w:r>
      <w:r w:rsidR="001014FB">
        <w:t>B</w:t>
      </w:r>
      <w:r>
        <w:t xml:space="preserve">udget. </w:t>
      </w:r>
    </w:p>
    <w:p w14:paraId="27F0EFFA" w14:textId="6010DE74" w:rsidR="00CA735B" w:rsidRDefault="00CA735B" w:rsidP="00CA735B">
      <w:r>
        <w:t xml:space="preserve">Measures will be required in the future to return the ACT </w:t>
      </w:r>
      <w:r w:rsidR="001014FB">
        <w:t xml:space="preserve">Budget </w:t>
      </w:r>
      <w:r>
        <w:t>to a stronger financial position.</w:t>
      </w:r>
    </w:p>
    <w:p w14:paraId="613313C6" w14:textId="5052C860" w:rsidR="00CA735B" w:rsidRPr="00E10B81" w:rsidRDefault="00CA735B" w:rsidP="00CA735B">
      <w:r>
        <w:t xml:space="preserve">In previous years the ACT Government has published the previous year’s Budget estimate alongside the estimated outcome and Budget estimates. This </w:t>
      </w:r>
      <w:r w:rsidR="00725603">
        <w:t>helped readers g</w:t>
      </w:r>
      <w:r>
        <w:t>a</w:t>
      </w:r>
      <w:r w:rsidR="00725603">
        <w:t>in</w:t>
      </w:r>
      <w:r>
        <w:t xml:space="preserve"> an understanding of movements in aggregates over time. While the information can be obtained from other sources, the withdrawal of this information </w:t>
      </w:r>
      <w:r w:rsidR="00725603">
        <w:t xml:space="preserve">from the Budget presentation </w:t>
      </w:r>
      <w:r>
        <w:t xml:space="preserve">represents a loss in transparency. </w:t>
      </w:r>
    </w:p>
    <w:p w14:paraId="7F8A777B" w14:textId="47D88FE3" w:rsidR="00CA735B" w:rsidRDefault="00CA735B" w:rsidP="00CA735B">
      <w:r>
        <w:t xml:space="preserve">Figure </w:t>
      </w:r>
      <w:r w:rsidR="002A13BC">
        <w:t>12</w:t>
      </w:r>
      <w:r>
        <w:t xml:space="preserve"> illustrates changes in net debt, net financial liabilities and net worth over time.</w:t>
      </w:r>
    </w:p>
    <w:p w14:paraId="7E16A0BE" w14:textId="71503311" w:rsidR="00CA735B" w:rsidRPr="003215B4" w:rsidRDefault="00CA735B" w:rsidP="00CA735B">
      <w:pPr>
        <w:pStyle w:val="Caption"/>
        <w:rPr>
          <w:sz w:val="18"/>
        </w:rPr>
      </w:pPr>
      <w:bookmarkStart w:id="86" w:name="_Toc64529104"/>
      <w:r w:rsidRPr="00966C7E">
        <w:t xml:space="preserve">Figure </w:t>
      </w:r>
      <w:r w:rsidRPr="00966C7E">
        <w:rPr>
          <w:noProof/>
        </w:rPr>
        <w:fldChar w:fldCharType="begin"/>
      </w:r>
      <w:r w:rsidRPr="00966C7E">
        <w:rPr>
          <w:noProof/>
        </w:rPr>
        <w:instrText xml:space="preserve"> SEQ Figure \* ARABIC </w:instrText>
      </w:r>
      <w:r w:rsidRPr="00966C7E">
        <w:rPr>
          <w:noProof/>
        </w:rPr>
        <w:fldChar w:fldCharType="separate"/>
      </w:r>
      <w:r w:rsidR="00AB7125">
        <w:rPr>
          <w:noProof/>
        </w:rPr>
        <w:t>12</w:t>
      </w:r>
      <w:r w:rsidRPr="00966C7E">
        <w:rPr>
          <w:noProof/>
        </w:rPr>
        <w:fldChar w:fldCharType="end"/>
      </w:r>
      <w:r w:rsidRPr="00966C7E">
        <w:t>: Assets and Liabilities</w:t>
      </w:r>
      <w:bookmarkEnd w:id="86"/>
    </w:p>
    <w:p w14:paraId="45218AFD" w14:textId="77777777" w:rsidR="00CA735B" w:rsidRDefault="00CA735B" w:rsidP="00CA735B">
      <w:pPr>
        <w:spacing w:before="0" w:after="0"/>
        <w:rPr>
          <w:iCs/>
          <w:sz w:val="20"/>
          <w:szCs w:val="20"/>
        </w:rPr>
      </w:pPr>
      <w:r>
        <w:rPr>
          <w:noProof/>
          <w:lang w:eastAsia="en-AU"/>
        </w:rPr>
        <w:drawing>
          <wp:inline distT="0" distB="0" distL="0" distR="0" wp14:anchorId="6DFB6D18" wp14:editId="61953524">
            <wp:extent cx="5731510" cy="3244467"/>
            <wp:effectExtent l="0" t="0" r="8890" b="6985"/>
            <wp:docPr id="34" name="Chart 34">
              <a:extLst xmlns:a="http://schemas.openxmlformats.org/drawingml/2006/main">
                <a:ext uri="{FF2B5EF4-FFF2-40B4-BE49-F238E27FC236}">
                  <a16:creationId xmlns:a16="http://schemas.microsoft.com/office/drawing/2014/main" id="{16626A2C-78F9-4534-AB63-59B15B2A8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697731" w14:textId="0009C898" w:rsidR="00725603" w:rsidRPr="00D84FDE" w:rsidRDefault="00CA735B" w:rsidP="00CA735B">
      <w:pPr>
        <w:spacing w:before="0"/>
        <w:rPr>
          <w:i/>
          <w:iCs/>
          <w:sz w:val="18"/>
          <w:szCs w:val="18"/>
        </w:rPr>
      </w:pPr>
      <w:r w:rsidRPr="00966C7E">
        <w:rPr>
          <w:iCs/>
          <w:sz w:val="20"/>
          <w:szCs w:val="20"/>
        </w:rPr>
        <w:t xml:space="preserve">Source: </w:t>
      </w:r>
      <w:r w:rsidRPr="00966C7E">
        <w:rPr>
          <w:sz w:val="20"/>
          <w:szCs w:val="20"/>
        </w:rPr>
        <w:t>ACT Government</w:t>
      </w:r>
      <w:r w:rsidRPr="00966C7E">
        <w:rPr>
          <w:noProof/>
          <w:sz w:val="20"/>
          <w:szCs w:val="20"/>
        </w:rPr>
        <w:t xml:space="preserve"> (2011, 2012, 2013, 2014, 2015, 2016, 2017, 2018a, 2019</w:t>
      </w:r>
      <w:r>
        <w:rPr>
          <w:noProof/>
          <w:sz w:val="20"/>
          <w:szCs w:val="20"/>
        </w:rPr>
        <w:t>, 2021</w:t>
      </w:r>
      <w:r w:rsidRPr="00966C7E">
        <w:rPr>
          <w:noProof/>
          <w:sz w:val="20"/>
          <w:szCs w:val="20"/>
        </w:rPr>
        <w:t>)</w:t>
      </w:r>
      <w:r w:rsidR="00D84FDE">
        <w:rPr>
          <w:noProof/>
          <w:sz w:val="20"/>
          <w:szCs w:val="20"/>
        </w:rPr>
        <w:t>.</w:t>
      </w:r>
      <w:r w:rsidR="00D84FDE">
        <w:rPr>
          <w:noProof/>
          <w:sz w:val="20"/>
          <w:szCs w:val="20"/>
        </w:rPr>
        <w:br/>
      </w:r>
      <w:r w:rsidR="00725603" w:rsidRPr="00500589">
        <w:rPr>
          <w:i/>
          <w:iCs/>
          <w:noProof/>
          <w:sz w:val="18"/>
          <w:szCs w:val="18"/>
        </w:rPr>
        <w:t xml:space="preserve">Note: From 2019-20, net debt includes the impact of accounting changes in relation to the treatment of leases.  The ACT Government has indicated that for this reason net debt from 2019-20 is not directrly comparable to prior years. </w:t>
      </w:r>
    </w:p>
    <w:p w14:paraId="075BF610" w14:textId="5C5FBD74" w:rsidR="00CA735B" w:rsidRDefault="00FD620A" w:rsidP="00CA735B">
      <w:r>
        <w:t>Figure 12</w:t>
      </w:r>
      <w:r w:rsidR="00CA735B">
        <w:t xml:space="preserve"> shows clearly that over the Budget and forward years net debt and net financial liabilities are growing while net worth is falling. Taken together, these trends represent a weakening of the ACT Government’s medium-term financial position.</w:t>
      </w:r>
      <w:r w:rsidR="00D84FDE">
        <w:t xml:space="preserve"> </w:t>
      </w:r>
    </w:p>
    <w:p w14:paraId="4C88530E" w14:textId="06E19E09" w:rsidR="00553362" w:rsidRDefault="002D0480" w:rsidP="00553362">
      <w:pPr>
        <w:pStyle w:val="Heading2"/>
        <w:spacing w:after="240"/>
      </w:pPr>
      <w:bookmarkStart w:id="87" w:name="_Toc64529034"/>
      <w:r>
        <w:t>3</w:t>
      </w:r>
      <w:r w:rsidR="00553362">
        <w:t>.4</w:t>
      </w:r>
      <w:r w:rsidR="00553362">
        <w:tab/>
        <w:t>Other fiscal indicators</w:t>
      </w:r>
      <w:bookmarkEnd w:id="87"/>
    </w:p>
    <w:p w14:paraId="528EE3B0" w14:textId="77777777" w:rsidR="009436B5" w:rsidRDefault="009436B5" w:rsidP="009436B5">
      <w:r>
        <w:t>It would be desirable if future Budgets were to provide additional measures of the Territory’s capacity to meet its obligations.</w:t>
      </w:r>
    </w:p>
    <w:p w14:paraId="24E723AB" w14:textId="2BE517BD" w:rsidR="00553362" w:rsidRDefault="00553362" w:rsidP="00553362">
      <w:r>
        <w:lastRenderedPageBreak/>
        <w:t xml:space="preserve">Additional measures of the Territory’s financial position are also available. </w:t>
      </w:r>
    </w:p>
    <w:p w14:paraId="525019F5" w14:textId="77777777" w:rsidR="00553362" w:rsidRDefault="00553362" w:rsidP="00553362">
      <w:r>
        <w:t>In financial audits, the ACT Auditor-General has employed measures such as:</w:t>
      </w:r>
    </w:p>
    <w:p w14:paraId="6600A6BD" w14:textId="77777777" w:rsidR="00553362" w:rsidRDefault="00553362" w:rsidP="00553362">
      <w:pPr>
        <w:pStyle w:val="ListParagraph"/>
        <w:numPr>
          <w:ilvl w:val="0"/>
          <w:numId w:val="8"/>
        </w:numPr>
        <w:spacing w:before="0" w:after="160" w:line="254" w:lineRule="auto"/>
      </w:pPr>
      <w:r>
        <w:t>Assets to liabilities coverage;</w:t>
      </w:r>
    </w:p>
    <w:p w14:paraId="42099F97" w14:textId="77777777" w:rsidR="00553362" w:rsidRDefault="00553362" w:rsidP="00553362">
      <w:pPr>
        <w:pStyle w:val="ListParagraph"/>
        <w:numPr>
          <w:ilvl w:val="0"/>
          <w:numId w:val="8"/>
        </w:numPr>
        <w:spacing w:before="0" w:after="160" w:line="254" w:lineRule="auto"/>
      </w:pPr>
      <w:r>
        <w:t>Short term assets to short term liabilities coverage; and</w:t>
      </w:r>
    </w:p>
    <w:p w14:paraId="063C3229" w14:textId="77777777" w:rsidR="00553362" w:rsidRDefault="00553362" w:rsidP="00553362">
      <w:pPr>
        <w:pStyle w:val="ListParagraph"/>
        <w:numPr>
          <w:ilvl w:val="0"/>
          <w:numId w:val="8"/>
        </w:numPr>
        <w:spacing w:before="0" w:after="160" w:line="254" w:lineRule="auto"/>
      </w:pPr>
      <w:r>
        <w:t xml:space="preserve">Financial assets to liabilities coverage </w:t>
      </w:r>
      <w:r>
        <w:rPr>
          <w:noProof/>
        </w:rPr>
        <w:t>(ACT Auditor-General, 2015, pp. 12-13)</w:t>
      </w:r>
      <w:r>
        <w:t>.</w:t>
      </w:r>
    </w:p>
    <w:p w14:paraId="4E5CFB40" w14:textId="77777777" w:rsidR="00553362" w:rsidRDefault="00553362" w:rsidP="00553362">
      <w:pPr>
        <w:pStyle w:val="BodyText"/>
      </w:pPr>
      <w:r>
        <w:t xml:space="preserve">The benefit of these measures is that they provide an indication of the Territory’s capacity to meet its obligations over the short and medium-term.  </w:t>
      </w:r>
    </w:p>
    <w:p w14:paraId="601FB478" w14:textId="77777777" w:rsidR="00553362" w:rsidRDefault="00553362" w:rsidP="00553362">
      <w:pPr>
        <w:pStyle w:val="BodyText"/>
      </w:pPr>
      <w:r>
        <w:t xml:space="preserve">As part of this review, Pegasus undertook analysis of the capacity of the General Government sector to meets its financial obligations using similar ratios. </w:t>
      </w:r>
    </w:p>
    <w:p w14:paraId="3B5B40DA" w14:textId="5AEF799A" w:rsidR="00553362" w:rsidRDefault="00553362" w:rsidP="00553362">
      <w:pPr>
        <w:pStyle w:val="BodyText"/>
      </w:pPr>
      <w:r>
        <w:t xml:space="preserve">The coverage of assets to liabilities falls over the </w:t>
      </w:r>
      <w:r w:rsidR="001014FB">
        <w:t>B</w:t>
      </w:r>
      <w:r>
        <w:t>udget and forward years from about 1.8 times in 2020-21 to about 1.6 times in 2023-24.</w:t>
      </w:r>
    </w:p>
    <w:p w14:paraId="36D3BC32" w14:textId="12611057" w:rsidR="00553362" w:rsidRDefault="00553362" w:rsidP="00553362">
      <w:pPr>
        <w:pStyle w:val="BodyText"/>
      </w:pPr>
      <w:r w:rsidRPr="00F73A4E">
        <w:t>The ratio of short</w:t>
      </w:r>
      <w:r w:rsidR="00725603">
        <w:t>-</w:t>
      </w:r>
      <w:r w:rsidRPr="00F73A4E">
        <w:t>term assets to short term liabilities also deteriorates over the Budget and forward years.</w:t>
      </w:r>
    </w:p>
    <w:p w14:paraId="73E78B33" w14:textId="14D8EE6D" w:rsidR="00553362" w:rsidRDefault="00553362" w:rsidP="00553362">
      <w:pPr>
        <w:pStyle w:val="BodyText"/>
      </w:pPr>
      <w:r>
        <w:t>Financial assets are forecast to exceed net financial liabilities by 1.9 times in 2020-21 but this is lower than the 2019-20 outcome and the ratio reduces over time, to approximately 1.5 times in 2023-24.</w:t>
      </w:r>
    </w:p>
    <w:p w14:paraId="14D416D8" w14:textId="77777777" w:rsidR="00553362" w:rsidRDefault="00553362" w:rsidP="00553362">
      <w:pPr>
        <w:pStyle w:val="BodyText"/>
      </w:pPr>
      <w:r>
        <w:t>This analysis reinforces the suggestion that the ACT Government’s financial position is deteriorating over the medium term.</w:t>
      </w:r>
    </w:p>
    <w:p w14:paraId="277D24ED" w14:textId="16A5E142" w:rsidR="00553362" w:rsidRDefault="00553362" w:rsidP="00553362">
      <w:pPr>
        <w:pStyle w:val="BodyText"/>
      </w:pPr>
      <w:r>
        <w:t xml:space="preserve">Cash flows from operating activities and investments for policy purposes are forecast to be negative in all but one of the Budget and forward years. </w:t>
      </w:r>
    </w:p>
    <w:p w14:paraId="5DF3E35B" w14:textId="5FF3F8AF" w:rsidR="00C16A8A" w:rsidRDefault="00C16A8A" w:rsidP="00C16A8A">
      <w:pPr>
        <w:pStyle w:val="BodyText"/>
      </w:pPr>
      <w:r>
        <w:t xml:space="preserve">An overall </w:t>
      </w:r>
      <w:r w:rsidR="00725603">
        <w:t xml:space="preserve">General Government </w:t>
      </w:r>
      <w:r>
        <w:t xml:space="preserve">cash deficit </w:t>
      </w:r>
      <w:r w:rsidR="00725603">
        <w:t xml:space="preserve">of </w:t>
      </w:r>
      <w:r>
        <w:t>$1</w:t>
      </w:r>
      <w:r w:rsidR="00165518">
        <w:t>.</w:t>
      </w:r>
      <w:r>
        <w:t>1 billion</w:t>
      </w:r>
      <w:r w:rsidR="00725603">
        <w:t xml:space="preserve"> </w:t>
      </w:r>
      <w:r>
        <w:t xml:space="preserve">and negative net cash from operations </w:t>
      </w:r>
      <w:r w:rsidR="00165518">
        <w:t xml:space="preserve">of $219.8 million </w:t>
      </w:r>
      <w:r w:rsidR="00725603">
        <w:t>ha</w:t>
      </w:r>
      <w:r w:rsidR="00165518">
        <w:t>ve</w:t>
      </w:r>
      <w:r w:rsidR="00725603">
        <w:t xml:space="preserve"> been forecast for 2020-21</w:t>
      </w:r>
      <w:r>
        <w:t xml:space="preserve">. </w:t>
      </w:r>
      <w:r w:rsidR="00165518">
        <w:t>Overall, the ACT Government’s</w:t>
      </w:r>
      <w:r>
        <w:t xml:space="preserve"> cash</w:t>
      </w:r>
      <w:r w:rsidR="00165518">
        <w:t xml:space="preserve"> position in 2020-21 has deteriorated </w:t>
      </w:r>
      <w:r>
        <w:t xml:space="preserve">compared to the </w:t>
      </w:r>
      <w:r w:rsidR="00165518">
        <w:t xml:space="preserve">audited outcome for </w:t>
      </w:r>
      <w:r>
        <w:t xml:space="preserve">2019-20. </w:t>
      </w:r>
    </w:p>
    <w:p w14:paraId="74BF5A99" w14:textId="0A95D089" w:rsidR="00C16A8A" w:rsidRDefault="00C16A8A" w:rsidP="00553362">
      <w:pPr>
        <w:pStyle w:val="BodyText"/>
      </w:pPr>
      <w:r>
        <w:t xml:space="preserve">These positions generally improve over the forward years, with the cash deficit reducing across each of the forward years.  Similarly, net cash from operations is forecast to be positive across each of the out years. </w:t>
      </w:r>
    </w:p>
    <w:p w14:paraId="306DC28E" w14:textId="77DE4643" w:rsidR="00165518" w:rsidRDefault="00165518" w:rsidP="00553362">
      <w:pPr>
        <w:pStyle w:val="BodyText"/>
      </w:pPr>
      <w:r>
        <w:t>The ACT Government will be able to meet its immediate obligations over the Budget and forward estimates period but the current fiscal trajectory is not sustainable over the long-term.</w:t>
      </w:r>
    </w:p>
    <w:p w14:paraId="06FE6461" w14:textId="4E20EB13" w:rsidR="00553362" w:rsidRDefault="00553362" w:rsidP="00553362">
      <w:pPr>
        <w:pStyle w:val="BodyText"/>
      </w:pPr>
      <w:r>
        <w:t>It would be useful if in future budgets the ACT Government could supplement the information already provided by presenting information on movements in these ratios over time.</w:t>
      </w:r>
      <w:r w:rsidR="008D32BA">
        <w:t xml:space="preserve"> In particular, it would be useful if future Budget papers were to provide information to allow for a reliable identification of short</w:t>
      </w:r>
      <w:r w:rsidR="00725603">
        <w:t>-</w:t>
      </w:r>
      <w:r w:rsidR="008D32BA">
        <w:t>term assets and short</w:t>
      </w:r>
      <w:r w:rsidR="00165518">
        <w:t>-</w:t>
      </w:r>
      <w:r w:rsidR="008D32BA">
        <w:t>term liabilities.</w:t>
      </w:r>
    </w:p>
    <w:p w14:paraId="0EB4BEFF" w14:textId="522E0725" w:rsidR="00FE2985" w:rsidRDefault="00FE2985" w:rsidP="000A78B8">
      <w:pPr>
        <w:pStyle w:val="Heading2"/>
        <w:spacing w:after="240"/>
      </w:pPr>
      <w:bookmarkStart w:id="88" w:name="_Toc64529035"/>
      <w:r>
        <w:t>3.5</w:t>
      </w:r>
      <w:r>
        <w:tab/>
        <w:t>Strategies for fiscal recovery</w:t>
      </w:r>
      <w:bookmarkEnd w:id="88"/>
      <w:r>
        <w:t xml:space="preserve"> </w:t>
      </w:r>
    </w:p>
    <w:p w14:paraId="27A3C28E" w14:textId="143C5738" w:rsidR="00FE2985" w:rsidRDefault="00FE2985" w:rsidP="00FE2985">
      <w:pPr>
        <w:spacing w:before="240"/>
      </w:pPr>
      <w:r>
        <w:t>The ACT Government has indicated that it is committed to restoring public finances, after the impact of COVID</w:t>
      </w:r>
      <w:r w:rsidR="008D32BA">
        <w:t xml:space="preserve"> </w:t>
      </w:r>
      <w:r>
        <w:t>has passed, by systematically</w:t>
      </w:r>
      <w:r w:rsidR="008D32BA">
        <w:t xml:space="preserve"> reducing debt over the long term (ACT Government, 2021, p.52).  The Government has no however articulated strategy or a timeframe for the return to surplus.</w:t>
      </w:r>
    </w:p>
    <w:p w14:paraId="689DB55C" w14:textId="681FD10D" w:rsidR="00FE2985" w:rsidRDefault="00FE2985" w:rsidP="00FE2985">
      <w:pPr>
        <w:spacing w:before="240"/>
      </w:pPr>
      <w:r>
        <w:t>The ACT Government has in the past relied on taxation increases, land revenues and population related Commonwealth grants to maintain its fiscal position.</w:t>
      </w:r>
    </w:p>
    <w:p w14:paraId="05438648" w14:textId="77777777" w:rsidR="00FE2985" w:rsidRDefault="00FE2985" w:rsidP="00FE2985">
      <w:r>
        <w:t xml:space="preserve">At least for the medium-term, the ACT Government expects economic activity and population growth to remain below trend levels. In our report on the 2019-20 Budget, Pegasus </w:t>
      </w:r>
      <w:sdt>
        <w:sdtPr>
          <w:id w:val="-1348248949"/>
          <w:citation/>
        </w:sdtPr>
        <w:sdtContent>
          <w:r>
            <w:fldChar w:fldCharType="begin"/>
          </w:r>
          <w:r>
            <w:instrText xml:space="preserve"> CITATION Dav191 \l 3081 </w:instrText>
          </w:r>
          <w:r>
            <w:fldChar w:fldCharType="separate"/>
          </w:r>
          <w:r>
            <w:rPr>
              <w:noProof/>
            </w:rPr>
            <w:t>(Davey, Kaufmann, Bartos, &amp; Antcliff, 2019)</w:t>
          </w:r>
          <w:r>
            <w:fldChar w:fldCharType="end"/>
          </w:r>
        </w:sdtContent>
      </w:sdt>
      <w:r>
        <w:t xml:space="preserve"> indicated that the then planned return to surplus rested on a </w:t>
      </w:r>
      <w:r>
        <w:lastRenderedPageBreak/>
        <w:t>number of assumptions: the Australian economy continuing to grow at around 3 per cent per annum (2.75 per cent in 2019-20); ongoing Commonwealth payments in a range of areas currently covered by specific purpose payments; continuing population growth and associated land releases; continuing high levels of exports of education services. We indicated that in our view the balance of risks to these assumptions was negative. In the event, the ACT Government’s 2020-21 economic assumptions suggest that a conjunction of circumstances such as these is unlikely to recur in the medium-term.</w:t>
      </w:r>
    </w:p>
    <w:p w14:paraId="0A83354D" w14:textId="77777777" w:rsidR="00FE2985" w:rsidRDefault="00FE2985" w:rsidP="00FE2985">
      <w:r>
        <w:t xml:space="preserve">The achievement of an operating surplus in the medium-term would require an increase in revenue and a moderation of the ACT Government’s own spending in future years. Maintaining revenue levels will be a challenge in an environment of lower economic growth and investment uncertainty. It would also require the ACT Government to address a number of challenges in the planned transition from transaction-based taxes to land-based taxes. </w:t>
      </w:r>
    </w:p>
    <w:p w14:paraId="66A086D7" w14:textId="77777777" w:rsidR="00FE2985" w:rsidRDefault="00FE2985" w:rsidP="00FE2985">
      <w:r>
        <w:t>Continued restraint on expenses will be difficult to achieve given the need for COVID-19 pandemic related measures and supports. A large component of public spending is “locked in” to the extent that it consists of payments which are not discretionary and which a future ACT Government is obliged to meet. Around a half of the ACT Budget consists of salaries, superannuation and other employee related costs. These costs are difficult to move in the short term. Another 10 per cent of the Budget consists of non-discretionary depreciation and amortisation and interest payments. The amount of lock-in limits the scope for governments to change the structure of their budgets even in the medium term.</w:t>
      </w:r>
    </w:p>
    <w:p w14:paraId="3761C4F7" w14:textId="77777777" w:rsidR="00FE2985" w:rsidRDefault="00FE2985" w:rsidP="00FE2985">
      <w:r>
        <w:t xml:space="preserve">There will also be pressure for new spending. History suggests governments will introduce new programs, or be faced with pressures on existing programs, which will require additional expenses in future Budgets. To some extent, these pressures will be unavoidable if the ACT Government is to achieve its objective of supporting the ACT economy to survive and recover from the COVID-19 pandemic. Without a strategy to offset these pressures with savings in other parts of the Budget, it is difficult to see a return to surplus as a realistic prospect. </w:t>
      </w:r>
    </w:p>
    <w:p w14:paraId="3CCE0FEC" w14:textId="195DA53F" w:rsidR="00FE2985" w:rsidRDefault="00FE2985" w:rsidP="00FE2985">
      <w:r>
        <w:t xml:space="preserve">These and other risks to the fiscal outlook are set out in </w:t>
      </w:r>
      <w:r w:rsidRPr="00D84FDE">
        <w:t>section</w:t>
      </w:r>
      <w:r w:rsidR="00C16A8A">
        <w:t xml:space="preserve"> </w:t>
      </w:r>
      <w:r>
        <w:t xml:space="preserve">7 of this report. </w:t>
      </w:r>
    </w:p>
    <w:p w14:paraId="6B29E518" w14:textId="4146C32E" w:rsidR="00FE2985" w:rsidRDefault="001014FB" w:rsidP="00162C27">
      <w:pPr>
        <w:pStyle w:val="Heading2"/>
        <w:spacing w:after="240"/>
      </w:pPr>
      <w:bookmarkStart w:id="89" w:name="_Toc64529036"/>
      <w:r>
        <w:t>3</w:t>
      </w:r>
      <w:r w:rsidR="00162C27">
        <w:t>.</w:t>
      </w:r>
      <w:r>
        <w:t>5</w:t>
      </w:r>
      <w:r w:rsidR="00162C27">
        <w:tab/>
        <w:t>Conclusion</w:t>
      </w:r>
      <w:bookmarkEnd w:id="89"/>
    </w:p>
    <w:p w14:paraId="18624AB1" w14:textId="26067DB7" w:rsidR="00162C27" w:rsidRDefault="00162C27" w:rsidP="00162C27">
      <w:pPr>
        <w:spacing w:after="200"/>
      </w:pPr>
      <w:r>
        <w:t>The Budget forecasts show a much weaker financial position than the Territory has experienced for some time. The headline net operating balance is now expected to be in deficit across all of the Budget and forward years.</w:t>
      </w:r>
    </w:p>
    <w:p w14:paraId="0DD82752" w14:textId="5FE717CF" w:rsidR="00162C27" w:rsidRDefault="00162C27" w:rsidP="00162C27">
      <w:pPr>
        <w:spacing w:after="200"/>
      </w:pPr>
      <w:r>
        <w:t xml:space="preserve">There is little doubt that the Government will be able to meet its </w:t>
      </w:r>
      <w:r w:rsidR="00C16A8A">
        <w:t xml:space="preserve">immediate </w:t>
      </w:r>
      <w:r>
        <w:t>financial obligations.  However, the current trajectory cannot be sustained indefinitely. The ACT Government will need at some point to develop strategies to restore its fiscal position</w:t>
      </w:r>
      <w:r w:rsidR="00C04BB0">
        <w:t xml:space="preserve"> and reduce its levels of debt</w:t>
      </w:r>
      <w:r>
        <w:t xml:space="preserve">. </w:t>
      </w:r>
    </w:p>
    <w:p w14:paraId="19366868" w14:textId="77777777" w:rsidR="00553362" w:rsidRDefault="00553362" w:rsidP="0091766E">
      <w:pPr>
        <w:spacing w:before="200" w:after="200"/>
      </w:pPr>
    </w:p>
    <w:p w14:paraId="02A448FA" w14:textId="77777777" w:rsidR="00966C7E" w:rsidRDefault="00966C7E" w:rsidP="00E6041D"/>
    <w:p w14:paraId="4718F862" w14:textId="77777777" w:rsidR="001C5FEC" w:rsidRDefault="001C5FEC" w:rsidP="00DE41AF">
      <w:r>
        <w:br w:type="page"/>
      </w:r>
    </w:p>
    <w:p w14:paraId="23FDA8B6" w14:textId="180D417E" w:rsidR="001C5FEC" w:rsidRDefault="00161A65" w:rsidP="001C5FEC">
      <w:pPr>
        <w:pStyle w:val="Heading1"/>
      </w:pPr>
      <w:bookmarkStart w:id="90" w:name="_Toc453495118"/>
      <w:bookmarkStart w:id="91" w:name="_Toc453516117"/>
      <w:bookmarkStart w:id="92" w:name="_Toc64529037"/>
      <w:r>
        <w:rPr>
          <w:noProof/>
          <w:lang w:eastAsia="en-AU"/>
        </w:rPr>
        <w:lastRenderedPageBreak/>
        <mc:AlternateContent>
          <mc:Choice Requires="wps">
            <w:drawing>
              <wp:anchor distT="91440" distB="91440" distL="114300" distR="114300" simplePos="0" relativeHeight="251639808" behindDoc="0" locked="0" layoutInCell="1" allowOverlap="1" wp14:anchorId="02FF2B8B" wp14:editId="683993E5">
                <wp:simplePos x="0" y="0"/>
                <wp:positionH relativeFrom="margin">
                  <wp:align>left</wp:align>
                </wp:positionH>
                <wp:positionV relativeFrom="page">
                  <wp:posOffset>1285240</wp:posOffset>
                </wp:positionV>
                <wp:extent cx="5577840" cy="352425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524250"/>
                        </a:xfrm>
                        <a:prstGeom prst="rect">
                          <a:avLst/>
                        </a:prstGeom>
                        <a:noFill/>
                        <a:ln w="9525">
                          <a:noFill/>
                          <a:miter lim="800000"/>
                          <a:headEnd/>
                          <a:tailEnd/>
                        </a:ln>
                      </wps:spPr>
                      <wps:txbx>
                        <w:txbxContent>
                          <w:p w14:paraId="7F203F7D" w14:textId="31DF095B"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ACT Budget revenue in 2020-21 is expected to be almost $</w:t>
                            </w:r>
                            <w:r>
                              <w:rPr>
                                <w:i/>
                                <w:iCs/>
                                <w:color w:val="5B9BD5" w:themeColor="accent1"/>
                                <w:sz w:val="24"/>
                                <w:szCs w:val="24"/>
                              </w:rPr>
                              <w:t>200</w:t>
                            </w:r>
                            <w:r w:rsidRPr="005457DD">
                              <w:rPr>
                                <w:i/>
                                <w:iCs/>
                                <w:color w:val="5B9BD5" w:themeColor="accent1"/>
                                <w:sz w:val="24"/>
                                <w:szCs w:val="24"/>
                              </w:rPr>
                              <w:t xml:space="preserve"> million lower than forecast at the time of the 2019-20 ACT Budget, falling from </w:t>
                            </w:r>
                            <w:r>
                              <w:rPr>
                                <w:i/>
                                <w:iCs/>
                                <w:color w:val="5B9BD5" w:themeColor="accent1"/>
                                <w:sz w:val="24"/>
                                <w:szCs w:val="24"/>
                              </w:rPr>
                              <w:t xml:space="preserve">around </w:t>
                            </w:r>
                            <w:r w:rsidRPr="005457DD">
                              <w:rPr>
                                <w:i/>
                                <w:iCs/>
                                <w:color w:val="5B9BD5" w:themeColor="accent1"/>
                                <w:sz w:val="24"/>
                                <w:szCs w:val="24"/>
                              </w:rPr>
                              <w:t>$6</w:t>
                            </w:r>
                            <w:r>
                              <w:rPr>
                                <w:i/>
                                <w:iCs/>
                                <w:color w:val="5B9BD5" w:themeColor="accent1"/>
                                <w:sz w:val="24"/>
                                <w:szCs w:val="24"/>
                              </w:rPr>
                              <w:t>.2 b</w:t>
                            </w:r>
                            <w:r w:rsidRPr="005457DD">
                              <w:rPr>
                                <w:i/>
                                <w:iCs/>
                                <w:color w:val="5B9BD5" w:themeColor="accent1"/>
                                <w:sz w:val="24"/>
                                <w:szCs w:val="24"/>
                              </w:rPr>
                              <w:t xml:space="preserve">illion to </w:t>
                            </w:r>
                            <w:r>
                              <w:rPr>
                                <w:i/>
                                <w:iCs/>
                                <w:color w:val="5B9BD5" w:themeColor="accent1"/>
                                <w:sz w:val="24"/>
                                <w:szCs w:val="24"/>
                              </w:rPr>
                              <w:t xml:space="preserve">around </w:t>
                            </w:r>
                            <w:r w:rsidRPr="005457DD">
                              <w:rPr>
                                <w:i/>
                                <w:iCs/>
                                <w:color w:val="5B9BD5" w:themeColor="accent1"/>
                                <w:sz w:val="24"/>
                                <w:szCs w:val="24"/>
                              </w:rPr>
                              <w:t>$</w:t>
                            </w:r>
                            <w:r>
                              <w:rPr>
                                <w:i/>
                                <w:iCs/>
                                <w:color w:val="5B9BD5" w:themeColor="accent1"/>
                                <w:sz w:val="24"/>
                                <w:szCs w:val="24"/>
                              </w:rPr>
                              <w:t>6</w:t>
                            </w:r>
                            <w:r w:rsidRPr="005457DD">
                              <w:rPr>
                                <w:i/>
                                <w:iCs/>
                                <w:color w:val="5B9BD5" w:themeColor="accent1"/>
                                <w:sz w:val="24"/>
                                <w:szCs w:val="24"/>
                              </w:rPr>
                              <w:t xml:space="preserve"> </w:t>
                            </w:r>
                            <w:r>
                              <w:rPr>
                                <w:i/>
                                <w:iCs/>
                                <w:color w:val="5B9BD5" w:themeColor="accent1"/>
                                <w:sz w:val="24"/>
                                <w:szCs w:val="24"/>
                              </w:rPr>
                              <w:t>b</w:t>
                            </w:r>
                            <w:r w:rsidRPr="005457DD">
                              <w:rPr>
                                <w:i/>
                                <w:iCs/>
                                <w:color w:val="5B9BD5" w:themeColor="accent1"/>
                                <w:sz w:val="24"/>
                                <w:szCs w:val="24"/>
                              </w:rPr>
                              <w:t xml:space="preserve">illion. </w:t>
                            </w:r>
                            <w:r>
                              <w:rPr>
                                <w:i/>
                                <w:iCs/>
                                <w:color w:val="5B9BD5" w:themeColor="accent1"/>
                                <w:sz w:val="24"/>
                                <w:szCs w:val="24"/>
                              </w:rPr>
                              <w:t>This is l</w:t>
                            </w:r>
                            <w:r w:rsidRPr="005457DD">
                              <w:rPr>
                                <w:i/>
                                <w:iCs/>
                                <w:color w:val="5B9BD5" w:themeColor="accent1"/>
                                <w:sz w:val="24"/>
                                <w:szCs w:val="24"/>
                              </w:rPr>
                              <w:t xml:space="preserve">argely </w:t>
                            </w:r>
                            <w:r>
                              <w:rPr>
                                <w:i/>
                                <w:iCs/>
                                <w:color w:val="5B9BD5" w:themeColor="accent1"/>
                                <w:sz w:val="24"/>
                                <w:szCs w:val="24"/>
                              </w:rPr>
                              <w:t xml:space="preserve">due to </w:t>
                            </w:r>
                            <w:r w:rsidRPr="005457DD">
                              <w:rPr>
                                <w:i/>
                                <w:iCs/>
                                <w:color w:val="5B9BD5" w:themeColor="accent1"/>
                                <w:sz w:val="24"/>
                                <w:szCs w:val="24"/>
                              </w:rPr>
                              <w:t>the decline in economic activity associated with</w:t>
                            </w:r>
                            <w:r>
                              <w:rPr>
                                <w:i/>
                                <w:iCs/>
                                <w:color w:val="5B9BD5" w:themeColor="accent1"/>
                                <w:sz w:val="24"/>
                                <w:szCs w:val="24"/>
                              </w:rPr>
                              <w:t xml:space="preserve"> </w:t>
                            </w:r>
                            <w:r w:rsidRPr="005457DD">
                              <w:rPr>
                                <w:i/>
                                <w:iCs/>
                                <w:color w:val="5B9BD5" w:themeColor="accent1"/>
                                <w:sz w:val="24"/>
                                <w:szCs w:val="24"/>
                              </w:rPr>
                              <w:t>the COVID-19 pandemic</w:t>
                            </w:r>
                            <w:r>
                              <w:rPr>
                                <w:i/>
                                <w:iCs/>
                                <w:color w:val="5B9BD5" w:themeColor="accent1"/>
                                <w:sz w:val="24"/>
                                <w:szCs w:val="24"/>
                              </w:rPr>
                              <w:t>.</w:t>
                            </w:r>
                          </w:p>
                          <w:p w14:paraId="7BD5479C" w14:textId="2EF2C181"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Revenue is forecast to grown over the Budget and forward estimates period from $6.0 billion in 2020-21 to $6.6 billion in 2023-24. </w:t>
                            </w:r>
                            <w:r w:rsidRPr="00C04BB0">
                              <w:rPr>
                                <w:i/>
                                <w:iCs/>
                                <w:color w:val="5B9BD5" w:themeColor="accent1"/>
                                <w:sz w:val="24"/>
                                <w:szCs w:val="24"/>
                              </w:rPr>
                              <w:t>Revenue growth over the Budget and forward years largely reflects growth in higher ACT own-source taxation, increased GST revenues and increases in Commonwealth grants.</w:t>
                            </w:r>
                            <w:r>
                              <w:rPr>
                                <w:i/>
                                <w:iCs/>
                                <w:color w:val="5B9BD5" w:themeColor="accent1"/>
                                <w:sz w:val="24"/>
                                <w:szCs w:val="24"/>
                              </w:rPr>
                              <w:t xml:space="preserve"> A large growth in dividends and tax equivalent payments is forecast for 2020-21.</w:t>
                            </w:r>
                          </w:p>
                          <w:p w14:paraId="3AF49FB6" w14:textId="125AF6B3"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 xml:space="preserve">While the ACT </w:t>
                            </w:r>
                            <w:r>
                              <w:rPr>
                                <w:i/>
                                <w:iCs/>
                                <w:color w:val="5B9BD5" w:themeColor="accent1"/>
                                <w:sz w:val="24"/>
                                <w:szCs w:val="24"/>
                              </w:rPr>
                              <w:t>G</w:t>
                            </w:r>
                            <w:r w:rsidRPr="005457DD">
                              <w:rPr>
                                <w:i/>
                                <w:iCs/>
                                <w:color w:val="5B9BD5" w:themeColor="accent1"/>
                                <w:sz w:val="24"/>
                                <w:szCs w:val="24"/>
                              </w:rPr>
                              <w:t xml:space="preserve">overnment is gradually moving towards assuming greater responsibility for raising its own source taxation, it </w:t>
                            </w:r>
                            <w:r>
                              <w:rPr>
                                <w:i/>
                                <w:iCs/>
                                <w:color w:val="5B9BD5" w:themeColor="accent1"/>
                                <w:sz w:val="24"/>
                                <w:szCs w:val="24"/>
                              </w:rPr>
                              <w:t xml:space="preserve">is </w:t>
                            </w:r>
                            <w:r w:rsidRPr="005457DD">
                              <w:rPr>
                                <w:i/>
                                <w:iCs/>
                                <w:color w:val="5B9BD5" w:themeColor="accent1"/>
                                <w:sz w:val="24"/>
                                <w:szCs w:val="24"/>
                              </w:rPr>
                              <w:t xml:space="preserve">still heavily dependent on the Commonwealth Government to fund increases in its revenue. </w:t>
                            </w:r>
                          </w:p>
                          <w:p w14:paraId="046785D2" w14:textId="50EB4840" w:rsidR="00A30ABA" w:rsidRPr="005457DD"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One feature of the ACT Government’s tax reform is that with an expected buoyant ACT</w:t>
                            </w:r>
                            <w:r>
                              <w:rPr>
                                <w:i/>
                                <w:iCs/>
                                <w:color w:val="5B9BD5" w:themeColor="accent1"/>
                                <w:sz w:val="24"/>
                                <w:szCs w:val="24"/>
                              </w:rPr>
                              <w:t> </w:t>
                            </w:r>
                            <w:r w:rsidRPr="005457DD">
                              <w:rPr>
                                <w:i/>
                                <w:iCs/>
                                <w:color w:val="5B9BD5" w:themeColor="accent1"/>
                                <w:sz w:val="24"/>
                                <w:szCs w:val="24"/>
                              </w:rPr>
                              <w:t>residential property market, residential conveyances will become an increasing tax base for the ACT Government over the years 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2B8B" id="Text Box 4" o:spid="_x0000_s1035" type="#_x0000_t202" style="position:absolute;margin-left:0;margin-top:101.2pt;width:439.2pt;height:277.5pt;z-index:251639808;visibility:visible;mso-wrap-style:square;mso-width-percent:0;mso-height-percent:0;mso-wrap-distance-left:9pt;mso-wrap-distance-top:7.2pt;mso-wrap-distance-right:9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" filled="f" stroked="f">
                <v:textbox>
                  <w:txbxContent>
                    <w:p w14:paraId="7F203F7D" w14:textId="31DF095B"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ACT Budget revenue in 2020-21 is expected to be almost $</w:t>
                      </w:r>
                      <w:r>
                        <w:rPr>
                          <w:i/>
                          <w:iCs/>
                          <w:color w:val="5B9BD5" w:themeColor="accent1"/>
                          <w:sz w:val="24"/>
                          <w:szCs w:val="24"/>
                        </w:rPr>
                        <w:t>200</w:t>
                      </w:r>
                      <w:r w:rsidRPr="005457DD">
                        <w:rPr>
                          <w:i/>
                          <w:iCs/>
                          <w:color w:val="5B9BD5" w:themeColor="accent1"/>
                          <w:sz w:val="24"/>
                          <w:szCs w:val="24"/>
                        </w:rPr>
                        <w:t xml:space="preserve"> million lower than forecast at the time of the 2019-20 ACT Budget, falling from </w:t>
                      </w:r>
                      <w:r>
                        <w:rPr>
                          <w:i/>
                          <w:iCs/>
                          <w:color w:val="5B9BD5" w:themeColor="accent1"/>
                          <w:sz w:val="24"/>
                          <w:szCs w:val="24"/>
                        </w:rPr>
                        <w:t xml:space="preserve">around </w:t>
                      </w:r>
                      <w:r w:rsidRPr="005457DD">
                        <w:rPr>
                          <w:i/>
                          <w:iCs/>
                          <w:color w:val="5B9BD5" w:themeColor="accent1"/>
                          <w:sz w:val="24"/>
                          <w:szCs w:val="24"/>
                        </w:rPr>
                        <w:t>$6</w:t>
                      </w:r>
                      <w:r>
                        <w:rPr>
                          <w:i/>
                          <w:iCs/>
                          <w:color w:val="5B9BD5" w:themeColor="accent1"/>
                          <w:sz w:val="24"/>
                          <w:szCs w:val="24"/>
                        </w:rPr>
                        <w:t>.2 b</w:t>
                      </w:r>
                      <w:r w:rsidRPr="005457DD">
                        <w:rPr>
                          <w:i/>
                          <w:iCs/>
                          <w:color w:val="5B9BD5" w:themeColor="accent1"/>
                          <w:sz w:val="24"/>
                          <w:szCs w:val="24"/>
                        </w:rPr>
                        <w:t xml:space="preserve">illion to </w:t>
                      </w:r>
                      <w:r>
                        <w:rPr>
                          <w:i/>
                          <w:iCs/>
                          <w:color w:val="5B9BD5" w:themeColor="accent1"/>
                          <w:sz w:val="24"/>
                          <w:szCs w:val="24"/>
                        </w:rPr>
                        <w:t xml:space="preserve">around </w:t>
                      </w:r>
                      <w:r w:rsidRPr="005457DD">
                        <w:rPr>
                          <w:i/>
                          <w:iCs/>
                          <w:color w:val="5B9BD5" w:themeColor="accent1"/>
                          <w:sz w:val="24"/>
                          <w:szCs w:val="24"/>
                        </w:rPr>
                        <w:t>$</w:t>
                      </w:r>
                      <w:r>
                        <w:rPr>
                          <w:i/>
                          <w:iCs/>
                          <w:color w:val="5B9BD5" w:themeColor="accent1"/>
                          <w:sz w:val="24"/>
                          <w:szCs w:val="24"/>
                        </w:rPr>
                        <w:t>6</w:t>
                      </w:r>
                      <w:r w:rsidRPr="005457DD">
                        <w:rPr>
                          <w:i/>
                          <w:iCs/>
                          <w:color w:val="5B9BD5" w:themeColor="accent1"/>
                          <w:sz w:val="24"/>
                          <w:szCs w:val="24"/>
                        </w:rPr>
                        <w:t xml:space="preserve"> </w:t>
                      </w:r>
                      <w:r>
                        <w:rPr>
                          <w:i/>
                          <w:iCs/>
                          <w:color w:val="5B9BD5" w:themeColor="accent1"/>
                          <w:sz w:val="24"/>
                          <w:szCs w:val="24"/>
                        </w:rPr>
                        <w:t>b</w:t>
                      </w:r>
                      <w:r w:rsidRPr="005457DD">
                        <w:rPr>
                          <w:i/>
                          <w:iCs/>
                          <w:color w:val="5B9BD5" w:themeColor="accent1"/>
                          <w:sz w:val="24"/>
                          <w:szCs w:val="24"/>
                        </w:rPr>
                        <w:t xml:space="preserve">illion. </w:t>
                      </w:r>
                      <w:r>
                        <w:rPr>
                          <w:i/>
                          <w:iCs/>
                          <w:color w:val="5B9BD5" w:themeColor="accent1"/>
                          <w:sz w:val="24"/>
                          <w:szCs w:val="24"/>
                        </w:rPr>
                        <w:t>This is l</w:t>
                      </w:r>
                      <w:r w:rsidRPr="005457DD">
                        <w:rPr>
                          <w:i/>
                          <w:iCs/>
                          <w:color w:val="5B9BD5" w:themeColor="accent1"/>
                          <w:sz w:val="24"/>
                          <w:szCs w:val="24"/>
                        </w:rPr>
                        <w:t xml:space="preserve">argely </w:t>
                      </w:r>
                      <w:r>
                        <w:rPr>
                          <w:i/>
                          <w:iCs/>
                          <w:color w:val="5B9BD5" w:themeColor="accent1"/>
                          <w:sz w:val="24"/>
                          <w:szCs w:val="24"/>
                        </w:rPr>
                        <w:t xml:space="preserve">due to </w:t>
                      </w:r>
                      <w:r w:rsidRPr="005457DD">
                        <w:rPr>
                          <w:i/>
                          <w:iCs/>
                          <w:color w:val="5B9BD5" w:themeColor="accent1"/>
                          <w:sz w:val="24"/>
                          <w:szCs w:val="24"/>
                        </w:rPr>
                        <w:t>the decline in economic activity associated with</w:t>
                      </w:r>
                      <w:r>
                        <w:rPr>
                          <w:i/>
                          <w:iCs/>
                          <w:color w:val="5B9BD5" w:themeColor="accent1"/>
                          <w:sz w:val="24"/>
                          <w:szCs w:val="24"/>
                        </w:rPr>
                        <w:t xml:space="preserve"> </w:t>
                      </w:r>
                      <w:r w:rsidRPr="005457DD">
                        <w:rPr>
                          <w:i/>
                          <w:iCs/>
                          <w:color w:val="5B9BD5" w:themeColor="accent1"/>
                          <w:sz w:val="24"/>
                          <w:szCs w:val="24"/>
                        </w:rPr>
                        <w:t>the COVID-19 pandemic</w:t>
                      </w:r>
                      <w:r>
                        <w:rPr>
                          <w:i/>
                          <w:iCs/>
                          <w:color w:val="5B9BD5" w:themeColor="accent1"/>
                          <w:sz w:val="24"/>
                          <w:szCs w:val="24"/>
                        </w:rPr>
                        <w:t>.</w:t>
                      </w:r>
                    </w:p>
                    <w:p w14:paraId="7BD5479C" w14:textId="2EF2C181"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Revenue is forecast to grown over the Budget and forward estimates period from $6.0 billion in 2020-21 to $6.6 billion in 2023-24. </w:t>
                      </w:r>
                      <w:r w:rsidRPr="00C04BB0">
                        <w:rPr>
                          <w:i/>
                          <w:iCs/>
                          <w:color w:val="5B9BD5" w:themeColor="accent1"/>
                          <w:sz w:val="24"/>
                          <w:szCs w:val="24"/>
                        </w:rPr>
                        <w:t>Revenue growth over the Budget and forward years largely reflects growth in higher ACT own-source taxation, increased GST revenues and increases in Commonwealth grants.</w:t>
                      </w:r>
                      <w:r>
                        <w:rPr>
                          <w:i/>
                          <w:iCs/>
                          <w:color w:val="5B9BD5" w:themeColor="accent1"/>
                          <w:sz w:val="24"/>
                          <w:szCs w:val="24"/>
                        </w:rPr>
                        <w:t xml:space="preserve"> A large growth in dividends and tax equivalent payments is forecast for 2020-21.</w:t>
                      </w:r>
                    </w:p>
                    <w:p w14:paraId="3AF49FB6" w14:textId="125AF6B3" w:rsidR="00A30ABA"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 xml:space="preserve">While the ACT </w:t>
                      </w:r>
                      <w:r>
                        <w:rPr>
                          <w:i/>
                          <w:iCs/>
                          <w:color w:val="5B9BD5" w:themeColor="accent1"/>
                          <w:sz w:val="24"/>
                          <w:szCs w:val="24"/>
                        </w:rPr>
                        <w:t>G</w:t>
                      </w:r>
                      <w:r w:rsidRPr="005457DD">
                        <w:rPr>
                          <w:i/>
                          <w:iCs/>
                          <w:color w:val="5B9BD5" w:themeColor="accent1"/>
                          <w:sz w:val="24"/>
                          <w:szCs w:val="24"/>
                        </w:rPr>
                        <w:t xml:space="preserve">overnment is gradually moving towards assuming greater responsibility for raising its own source taxation, it </w:t>
                      </w:r>
                      <w:r>
                        <w:rPr>
                          <w:i/>
                          <w:iCs/>
                          <w:color w:val="5B9BD5" w:themeColor="accent1"/>
                          <w:sz w:val="24"/>
                          <w:szCs w:val="24"/>
                        </w:rPr>
                        <w:t xml:space="preserve">is </w:t>
                      </w:r>
                      <w:r w:rsidRPr="005457DD">
                        <w:rPr>
                          <w:i/>
                          <w:iCs/>
                          <w:color w:val="5B9BD5" w:themeColor="accent1"/>
                          <w:sz w:val="24"/>
                          <w:szCs w:val="24"/>
                        </w:rPr>
                        <w:t xml:space="preserve">still heavily dependent on the Commonwealth Government to fund increases in its revenue. </w:t>
                      </w:r>
                    </w:p>
                    <w:p w14:paraId="046785D2" w14:textId="50EB4840" w:rsidR="00A30ABA" w:rsidRPr="005457DD" w:rsidRDefault="00A30ABA" w:rsidP="00092098">
                      <w:pPr>
                        <w:pBdr>
                          <w:top w:val="single" w:sz="24" w:space="8" w:color="5B9BD5" w:themeColor="accent1"/>
                          <w:bottom w:val="single" w:sz="24" w:space="8" w:color="5B9BD5" w:themeColor="accent1"/>
                        </w:pBdr>
                        <w:spacing w:after="0"/>
                        <w:rPr>
                          <w:i/>
                          <w:iCs/>
                          <w:color w:val="5B9BD5" w:themeColor="accent1"/>
                          <w:sz w:val="24"/>
                          <w:szCs w:val="24"/>
                        </w:rPr>
                      </w:pPr>
                      <w:r w:rsidRPr="005457DD">
                        <w:rPr>
                          <w:i/>
                          <w:iCs/>
                          <w:color w:val="5B9BD5" w:themeColor="accent1"/>
                          <w:sz w:val="24"/>
                          <w:szCs w:val="24"/>
                        </w:rPr>
                        <w:t>One feature of the ACT Government’s tax reform is that with an expected buoyant ACT</w:t>
                      </w:r>
                      <w:r>
                        <w:rPr>
                          <w:i/>
                          <w:iCs/>
                          <w:color w:val="5B9BD5" w:themeColor="accent1"/>
                          <w:sz w:val="24"/>
                          <w:szCs w:val="24"/>
                        </w:rPr>
                        <w:t> </w:t>
                      </w:r>
                      <w:r w:rsidRPr="005457DD">
                        <w:rPr>
                          <w:i/>
                          <w:iCs/>
                          <w:color w:val="5B9BD5" w:themeColor="accent1"/>
                          <w:sz w:val="24"/>
                          <w:szCs w:val="24"/>
                        </w:rPr>
                        <w:t>residential property market, residential conveyances will become an increasing tax base for the ACT Government over the years ahead.</w:t>
                      </w:r>
                    </w:p>
                  </w:txbxContent>
                </v:textbox>
                <w10:wrap type="topAndBottom" anchorx="margin" anchory="page"/>
              </v:shape>
            </w:pict>
          </mc:Fallback>
        </mc:AlternateContent>
      </w:r>
      <w:r w:rsidR="004733C7">
        <w:t>4</w:t>
      </w:r>
      <w:r w:rsidR="00F917F6">
        <w:t>.</w:t>
      </w:r>
      <w:r w:rsidR="001C5FEC">
        <w:tab/>
      </w:r>
      <w:r w:rsidR="00DF3E69" w:rsidRPr="006967FF">
        <w:t>Revenue</w:t>
      </w:r>
      <w:bookmarkEnd w:id="90"/>
      <w:bookmarkEnd w:id="91"/>
      <w:bookmarkEnd w:id="92"/>
    </w:p>
    <w:p w14:paraId="553E112D" w14:textId="5217FBA4" w:rsidR="00AC7747" w:rsidRPr="008D4306" w:rsidRDefault="004733C7" w:rsidP="00D43372">
      <w:pPr>
        <w:pStyle w:val="Heading2"/>
        <w:spacing w:after="240"/>
      </w:pPr>
      <w:bookmarkStart w:id="93" w:name="_Toc453495119"/>
      <w:bookmarkStart w:id="94" w:name="_Toc453516118"/>
      <w:bookmarkStart w:id="95" w:name="_Toc64529038"/>
      <w:r w:rsidRPr="00072F94">
        <w:t>4</w:t>
      </w:r>
      <w:r w:rsidR="005C314F" w:rsidRPr="00072F94">
        <w:t>.1</w:t>
      </w:r>
      <w:r w:rsidR="005C314F" w:rsidRPr="00072F94">
        <w:tab/>
      </w:r>
      <w:r w:rsidR="00AC7747" w:rsidRPr="00072F94">
        <w:t>Overview</w:t>
      </w:r>
      <w:bookmarkEnd w:id="93"/>
      <w:bookmarkEnd w:id="94"/>
      <w:bookmarkEnd w:id="95"/>
    </w:p>
    <w:p w14:paraId="4925DAFE" w14:textId="704E10DA" w:rsidR="00AC7747" w:rsidRDefault="009E3F20" w:rsidP="00AC7747">
      <w:r>
        <w:t>A</w:t>
      </w:r>
      <w:r w:rsidR="00AC7747">
        <w:t xml:space="preserve">CT Budget revenue </w:t>
      </w:r>
      <w:r>
        <w:t xml:space="preserve">in 2020-21 </w:t>
      </w:r>
      <w:r w:rsidR="00AC7747">
        <w:t xml:space="preserve">is expected to </w:t>
      </w:r>
      <w:r>
        <w:t xml:space="preserve">be almost $181 million lower than previously forecast at the time of the 2019-20 ACT Budget, falling from </w:t>
      </w:r>
      <w:r w:rsidR="0072741C">
        <w:t xml:space="preserve">$6,162 million to $5,981 million. In the three years to 2022-23, ACT Budget revenue is now expected to be almost $1.2 billion </w:t>
      </w:r>
      <w:r w:rsidR="00072F94">
        <w:t xml:space="preserve">lower </w:t>
      </w:r>
      <w:r w:rsidR="0072741C">
        <w:t xml:space="preserve">than previously forecast at the time of the 2019-20 ACT Budget. This is outlined in Figure </w:t>
      </w:r>
      <w:r w:rsidR="002A13BC">
        <w:t>13</w:t>
      </w:r>
      <w:r w:rsidR="0072741C">
        <w:t xml:space="preserve"> below.</w:t>
      </w:r>
    </w:p>
    <w:p w14:paraId="03D62535" w14:textId="083BF679" w:rsidR="0072741C" w:rsidRDefault="0072741C" w:rsidP="0072741C">
      <w:pPr>
        <w:pStyle w:val="Caption"/>
      </w:pPr>
      <w:bookmarkStart w:id="96" w:name="_Toc64529105"/>
      <w:r>
        <w:t xml:space="preserve">Figure </w:t>
      </w:r>
      <w:fldSimple w:instr=" SEQ Figure \* ARABIC ">
        <w:r w:rsidR="00AB7125">
          <w:rPr>
            <w:noProof/>
          </w:rPr>
          <w:t>13</w:t>
        </w:r>
      </w:fldSimple>
      <w:r>
        <w:t>: Forecast ACT Budget Revenue in the 2019-20 ACT Budget and the 2020-21 ACT Budget – 2020-21 to 2023-24 ($’000)</w:t>
      </w:r>
      <w:bookmarkEnd w:id="96"/>
    </w:p>
    <w:p w14:paraId="368BFA1A" w14:textId="7675874B" w:rsidR="0072741C" w:rsidRPr="00C85E3C" w:rsidRDefault="0072741C" w:rsidP="0072741C">
      <w:pPr>
        <w:spacing w:before="0"/>
      </w:pPr>
      <w:r>
        <w:rPr>
          <w:noProof/>
          <w:sz w:val="23"/>
          <w:szCs w:val="23"/>
          <w:lang w:eastAsia="en-AU"/>
        </w:rPr>
        <w:drawing>
          <wp:inline distT="0" distB="0" distL="0" distR="0" wp14:anchorId="48E1C1E3" wp14:editId="1C44EDB0">
            <wp:extent cx="5638236" cy="295751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9357" cy="2963347"/>
                    </a:xfrm>
                    <a:prstGeom prst="rect">
                      <a:avLst/>
                    </a:prstGeom>
                    <a:noFill/>
                  </pic:spPr>
                </pic:pic>
              </a:graphicData>
            </a:graphic>
          </wp:inline>
        </w:drawing>
      </w:r>
      <w:r>
        <w:rPr>
          <w:sz w:val="23"/>
          <w:szCs w:val="23"/>
        </w:rPr>
        <w:br/>
      </w:r>
      <w:r w:rsidRPr="00072F94">
        <w:rPr>
          <w:sz w:val="20"/>
          <w:szCs w:val="20"/>
        </w:rPr>
        <w:t xml:space="preserve">Source: ACT Government </w:t>
      </w:r>
      <w:sdt>
        <w:sdtPr>
          <w:rPr>
            <w:sz w:val="20"/>
            <w:szCs w:val="20"/>
          </w:rPr>
          <w:id w:val="1792629273"/>
          <w:citation/>
        </w:sdtPr>
        <w:sdtContent>
          <w:r w:rsidRPr="00072F94">
            <w:rPr>
              <w:sz w:val="20"/>
              <w:szCs w:val="20"/>
            </w:rPr>
            <w:fldChar w:fldCharType="begin"/>
          </w:r>
          <w:r w:rsidR="00DA22D6" w:rsidRPr="00072F94">
            <w:rPr>
              <w:sz w:val="20"/>
              <w:szCs w:val="20"/>
            </w:rPr>
            <w:instrText xml:space="preserve">CITATION ACT19 \p 226 \n  \t  \m ACT21 \p 138 \n  \t  \l 3081 </w:instrText>
          </w:r>
          <w:r w:rsidRPr="00072F94">
            <w:rPr>
              <w:sz w:val="20"/>
              <w:szCs w:val="20"/>
            </w:rPr>
            <w:fldChar w:fldCharType="separate"/>
          </w:r>
          <w:r w:rsidR="00DA22D6" w:rsidRPr="00072F94">
            <w:rPr>
              <w:noProof/>
              <w:sz w:val="20"/>
              <w:szCs w:val="20"/>
            </w:rPr>
            <w:t>(2019, p. 226; 2021, p. 138)</w:t>
          </w:r>
          <w:r w:rsidRPr="00072F94">
            <w:rPr>
              <w:sz w:val="20"/>
              <w:szCs w:val="20"/>
            </w:rPr>
            <w:fldChar w:fldCharType="end"/>
          </w:r>
        </w:sdtContent>
      </w:sdt>
      <w:r w:rsidR="001014FB">
        <w:rPr>
          <w:sz w:val="20"/>
          <w:szCs w:val="20"/>
        </w:rPr>
        <w:t>.</w:t>
      </w:r>
    </w:p>
    <w:p w14:paraId="4E1B2DA7" w14:textId="311E655F" w:rsidR="008D4096" w:rsidRDefault="00CC2371" w:rsidP="00AC7747">
      <w:r>
        <w:t>The largest contributors to the loss of forecast revenue in 2020-21 have come from:</w:t>
      </w:r>
    </w:p>
    <w:p w14:paraId="5F6DEB2C" w14:textId="77777777" w:rsidR="00426CDD" w:rsidRDefault="00426CDD" w:rsidP="00426CDD">
      <w:pPr>
        <w:pStyle w:val="ListParagraph"/>
        <w:numPr>
          <w:ilvl w:val="0"/>
          <w:numId w:val="6"/>
        </w:numPr>
      </w:pPr>
      <w:r>
        <w:lastRenderedPageBreak/>
        <w:t>a $253.8 million reduction in GST revenue</w:t>
      </w:r>
    </w:p>
    <w:p w14:paraId="0690ACD7" w14:textId="70A962C0" w:rsidR="008D4096" w:rsidRDefault="008D4096" w:rsidP="007878D7">
      <w:pPr>
        <w:pStyle w:val="ListParagraph"/>
        <w:numPr>
          <w:ilvl w:val="0"/>
          <w:numId w:val="6"/>
        </w:numPr>
      </w:pPr>
      <w:r>
        <w:t>a $</w:t>
      </w:r>
      <w:r w:rsidR="00CC2371">
        <w:t>191</w:t>
      </w:r>
      <w:r w:rsidR="00426CDD">
        <w:t>.3</w:t>
      </w:r>
      <w:r w:rsidR="00CC2371">
        <w:t xml:space="preserve"> </w:t>
      </w:r>
      <w:r>
        <w:t xml:space="preserve">million reduction in </w:t>
      </w:r>
      <w:r w:rsidR="00CC2371">
        <w:t>own-source taxation</w:t>
      </w:r>
      <w:r w:rsidR="00426CDD">
        <w:t>.</w:t>
      </w:r>
    </w:p>
    <w:p w14:paraId="42734D9F" w14:textId="0C6452E6" w:rsidR="00194446" w:rsidRDefault="00194446" w:rsidP="008D4096">
      <w:r>
        <w:t>The fall in revenue for these items is largely associated with the decline in economic activity associated with the COVID-19 pandemic.</w:t>
      </w:r>
    </w:p>
    <w:p w14:paraId="54C2FB46" w14:textId="44AD2BBA" w:rsidR="008D4096" w:rsidRDefault="008D4096" w:rsidP="008D4096">
      <w:r>
        <w:t xml:space="preserve">Lower revenue from these sources </w:t>
      </w:r>
      <w:r w:rsidR="00CC2371">
        <w:t>has been</w:t>
      </w:r>
      <w:r>
        <w:t xml:space="preserve"> partially offset by:</w:t>
      </w:r>
    </w:p>
    <w:p w14:paraId="1E392CD5" w14:textId="560A3CAA" w:rsidR="008D4096" w:rsidRDefault="00C25943" w:rsidP="007878D7">
      <w:pPr>
        <w:pStyle w:val="ListParagraph"/>
        <w:numPr>
          <w:ilvl w:val="0"/>
          <w:numId w:val="6"/>
        </w:numPr>
      </w:pPr>
      <w:r>
        <w:t>increased revenue from Commonwealth grants of $</w:t>
      </w:r>
      <w:r w:rsidR="00426CDD">
        <w:t>108.2</w:t>
      </w:r>
      <w:r>
        <w:t xml:space="preserve"> million</w:t>
      </w:r>
    </w:p>
    <w:p w14:paraId="3E00F984" w14:textId="2E353EA6" w:rsidR="00426CDD" w:rsidRPr="00426CDD" w:rsidRDefault="00426CDD" w:rsidP="00426CDD">
      <w:pPr>
        <w:pStyle w:val="ListParagraph"/>
        <w:numPr>
          <w:ilvl w:val="0"/>
          <w:numId w:val="6"/>
        </w:numPr>
        <w:rPr>
          <w:lang w:eastAsia="en-AU"/>
        </w:rPr>
      </w:pPr>
      <w:r>
        <w:t>increased revenue from d</w:t>
      </w:r>
      <w:r w:rsidRPr="00426CDD">
        <w:rPr>
          <w:lang w:eastAsia="en-AU"/>
        </w:rPr>
        <w:t xml:space="preserve">ividends and </w:t>
      </w:r>
      <w:r>
        <w:rPr>
          <w:lang w:eastAsia="en-AU"/>
        </w:rPr>
        <w:t>i</w:t>
      </w:r>
      <w:r w:rsidRPr="00426CDD">
        <w:rPr>
          <w:lang w:eastAsia="en-AU"/>
        </w:rPr>
        <w:t xml:space="preserve">ncome </w:t>
      </w:r>
      <w:r>
        <w:rPr>
          <w:lang w:eastAsia="en-AU"/>
        </w:rPr>
        <w:t>t</w:t>
      </w:r>
      <w:r w:rsidRPr="00426CDD">
        <w:rPr>
          <w:lang w:eastAsia="en-AU"/>
        </w:rPr>
        <w:t xml:space="preserve">ax </w:t>
      </w:r>
      <w:r>
        <w:rPr>
          <w:lang w:eastAsia="en-AU"/>
        </w:rPr>
        <w:t>e</w:t>
      </w:r>
      <w:r w:rsidRPr="00426CDD">
        <w:rPr>
          <w:lang w:eastAsia="en-AU"/>
        </w:rPr>
        <w:t>quivalents</w:t>
      </w:r>
      <w:r>
        <w:rPr>
          <w:lang w:eastAsia="en-AU"/>
        </w:rPr>
        <w:t xml:space="preserve"> of $96.7 million</w:t>
      </w:r>
    </w:p>
    <w:p w14:paraId="61C61867" w14:textId="6210FF93" w:rsidR="00426CDD" w:rsidRDefault="00426CDD" w:rsidP="007878D7">
      <w:pPr>
        <w:pStyle w:val="ListParagraph"/>
        <w:numPr>
          <w:ilvl w:val="0"/>
          <w:numId w:val="6"/>
        </w:numPr>
      </w:pPr>
      <w:r>
        <w:t>increased revenue from investments of $59.1 million.</w:t>
      </w:r>
    </w:p>
    <w:p w14:paraId="508D2D25" w14:textId="2BA012CF" w:rsidR="00FE555C" w:rsidRDefault="00C85E3C" w:rsidP="00AC7747">
      <w:r>
        <w:t xml:space="preserve">A comparison of revenue forecasts for 2020-21 from the 2019-20 ACT Budget and the 2020-21 ACT Budget is provided in Figure </w:t>
      </w:r>
      <w:r w:rsidR="002A13BC">
        <w:t>14</w:t>
      </w:r>
      <w:r>
        <w:t xml:space="preserve"> below.</w:t>
      </w:r>
    </w:p>
    <w:p w14:paraId="68C351EE" w14:textId="17727D98" w:rsidR="00C85E3C" w:rsidRDefault="00C85E3C" w:rsidP="00C85E3C">
      <w:pPr>
        <w:pStyle w:val="Caption"/>
      </w:pPr>
      <w:bookmarkStart w:id="97" w:name="_Toc64529106"/>
      <w:r>
        <w:t xml:space="preserve">Figure </w:t>
      </w:r>
      <w:fldSimple w:instr=" SEQ Figure \* ARABIC ">
        <w:r w:rsidR="00AB7125">
          <w:rPr>
            <w:noProof/>
          </w:rPr>
          <w:t>14</w:t>
        </w:r>
      </w:fldSimple>
      <w:r>
        <w:t>: Forecast ACT Budget Revenue for 2020-21 in the 2019-20 ACT Budget and the 2020-21 ACT Budget ($’000)</w:t>
      </w:r>
      <w:bookmarkEnd w:id="97"/>
    </w:p>
    <w:p w14:paraId="46A1A1EC" w14:textId="621A7C71" w:rsidR="00C85E3C" w:rsidRPr="00C85E3C" w:rsidRDefault="00C85E3C" w:rsidP="00C85E3C">
      <w:pPr>
        <w:spacing w:before="0"/>
      </w:pPr>
      <w:r>
        <w:rPr>
          <w:noProof/>
          <w:lang w:eastAsia="en-AU"/>
        </w:rPr>
        <w:drawing>
          <wp:inline distT="0" distB="0" distL="0" distR="0" wp14:anchorId="631D1730" wp14:editId="7D685085">
            <wp:extent cx="564832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2984" cy="4544127"/>
                    </a:xfrm>
                    <a:prstGeom prst="rect">
                      <a:avLst/>
                    </a:prstGeom>
                    <a:noFill/>
                  </pic:spPr>
                </pic:pic>
              </a:graphicData>
            </a:graphic>
          </wp:inline>
        </w:drawing>
      </w:r>
      <w:r w:rsidRPr="00C85E3C">
        <w:t xml:space="preserve">Source: ACT Government </w:t>
      </w:r>
      <w:sdt>
        <w:sdtPr>
          <w:id w:val="-20626242"/>
          <w:citation/>
        </w:sdtPr>
        <w:sdtContent>
          <w:r w:rsidRPr="00C85E3C">
            <w:fldChar w:fldCharType="begin"/>
          </w:r>
          <w:r w:rsidR="00DA22D6">
            <w:instrText xml:space="preserve">CITATION ACT19 \p 226 \n  \t  \m ACT21 \p 138 \n  \t  \l 3081 </w:instrText>
          </w:r>
          <w:r w:rsidRPr="00C85E3C">
            <w:fldChar w:fldCharType="separate"/>
          </w:r>
          <w:r w:rsidR="00DA22D6">
            <w:rPr>
              <w:noProof/>
            </w:rPr>
            <w:t>(2019, p. 226; 2021, p. 138)</w:t>
          </w:r>
          <w:r w:rsidRPr="00C85E3C">
            <w:fldChar w:fldCharType="end"/>
          </w:r>
        </w:sdtContent>
      </w:sdt>
    </w:p>
    <w:p w14:paraId="0E480943" w14:textId="5309C82C" w:rsidR="00426CDD" w:rsidRDefault="00426CDD" w:rsidP="00AC7747">
      <w:r>
        <w:t>For 2021-22,</w:t>
      </w:r>
      <w:r w:rsidR="00501F27" w:rsidRPr="005675A0">
        <w:t xml:space="preserve"> </w:t>
      </w:r>
      <w:r w:rsidR="00501F27">
        <w:t xml:space="preserve">forecast revenue </w:t>
      </w:r>
      <w:r>
        <w:t xml:space="preserve">is expected to increase by $191 million from $5,981 in 2020-21 to $6,172 million in 2021-22. </w:t>
      </w:r>
    </w:p>
    <w:p w14:paraId="0FEB2DBF" w14:textId="57670972" w:rsidR="00C85E3C" w:rsidRDefault="00F3444E" w:rsidP="00AC7747">
      <w:r w:rsidRPr="006171EE">
        <w:t xml:space="preserve">The main sources of revenue over the Budget and forward </w:t>
      </w:r>
      <w:r w:rsidRPr="00426CDD">
        <w:t>years are summarised in</w:t>
      </w:r>
      <w:r w:rsidR="00D65153" w:rsidRPr="00426CDD">
        <w:t xml:space="preserve"> </w:t>
      </w:r>
      <w:r w:rsidR="006C458F" w:rsidRPr="00426CDD">
        <w:t>T</w:t>
      </w:r>
      <w:r w:rsidR="00D65153" w:rsidRPr="00426CDD">
        <w:t>able</w:t>
      </w:r>
      <w:r w:rsidR="006C458F" w:rsidRPr="00426CDD">
        <w:t xml:space="preserve"> </w:t>
      </w:r>
      <w:r w:rsidR="002A13BC">
        <w:t>4</w:t>
      </w:r>
      <w:r w:rsidR="006C458F" w:rsidRPr="00426CDD">
        <w:t xml:space="preserve"> below</w:t>
      </w:r>
      <w:r w:rsidRPr="00426CDD">
        <w:t xml:space="preserve">. </w:t>
      </w:r>
    </w:p>
    <w:p w14:paraId="3E23AAD9" w14:textId="77777777" w:rsidR="00C85E3C" w:rsidRDefault="00C85E3C">
      <w:r>
        <w:br w:type="page"/>
      </w:r>
    </w:p>
    <w:p w14:paraId="4C46C08B" w14:textId="4A364091" w:rsidR="00051499" w:rsidRPr="00051499" w:rsidRDefault="00051499" w:rsidP="00B12EFE">
      <w:pPr>
        <w:pStyle w:val="Caption"/>
      </w:pPr>
      <w:bookmarkStart w:id="98" w:name="_Ref453489413"/>
      <w:bookmarkStart w:id="99" w:name="_Toc453495089"/>
      <w:bookmarkStart w:id="100" w:name="_Toc453516088"/>
      <w:bookmarkStart w:id="101" w:name="_Toc64529084"/>
      <w:r w:rsidRPr="00426CDD">
        <w:lastRenderedPageBreak/>
        <w:t xml:space="preserve">Table </w:t>
      </w:r>
      <w:r w:rsidR="00AF4AA5" w:rsidRPr="00426CDD">
        <w:fldChar w:fldCharType="begin"/>
      </w:r>
      <w:r w:rsidRPr="00426CDD">
        <w:instrText xml:space="preserve"> SEQ Table \* ARABIC </w:instrText>
      </w:r>
      <w:r w:rsidR="00AF4AA5" w:rsidRPr="00426CDD">
        <w:fldChar w:fldCharType="separate"/>
      </w:r>
      <w:r w:rsidR="00AB7125">
        <w:rPr>
          <w:noProof/>
        </w:rPr>
        <w:t>4</w:t>
      </w:r>
      <w:r w:rsidR="00AF4AA5" w:rsidRPr="00426CDD">
        <w:fldChar w:fldCharType="end"/>
      </w:r>
      <w:bookmarkEnd w:id="98"/>
      <w:r w:rsidRPr="00426CDD">
        <w:t>: General Government Sector Revenue</w:t>
      </w:r>
      <w:bookmarkEnd w:id="99"/>
      <w:bookmarkEnd w:id="100"/>
      <w:bookmarkEnd w:id="101"/>
    </w:p>
    <w:tbl>
      <w:tblPr>
        <w:tblW w:w="9226" w:type="dxa"/>
        <w:tblLayout w:type="fixed"/>
        <w:tblLook w:val="01E0" w:firstRow="1" w:lastRow="1" w:firstColumn="1" w:lastColumn="1" w:noHBand="0" w:noVBand="0"/>
      </w:tblPr>
      <w:tblGrid>
        <w:gridCol w:w="3140"/>
        <w:gridCol w:w="1218"/>
        <w:gridCol w:w="1171"/>
        <w:gridCol w:w="46"/>
        <w:gridCol w:w="1217"/>
        <w:gridCol w:w="1217"/>
        <w:gridCol w:w="1217"/>
      </w:tblGrid>
      <w:tr w:rsidR="00AC7747" w:rsidRPr="004F5828" w14:paraId="5D6E81C5" w14:textId="77777777">
        <w:trPr>
          <w:cantSplit/>
          <w:trHeight w:val="169"/>
        </w:trPr>
        <w:tc>
          <w:tcPr>
            <w:tcW w:w="3140" w:type="dxa"/>
            <w:tcBorders>
              <w:top w:val="single" w:sz="4" w:space="0" w:color="auto"/>
            </w:tcBorders>
          </w:tcPr>
          <w:p w14:paraId="51556B43" w14:textId="77777777" w:rsidR="00AC7747" w:rsidRPr="004F5828" w:rsidRDefault="00AC7747" w:rsidP="001E5EB6">
            <w:pPr>
              <w:keepNext/>
              <w:spacing w:after="0"/>
              <w:jc w:val="right"/>
              <w:rPr>
                <w:rFonts w:ascii="Calibri" w:eastAsia="Times New Roman" w:hAnsi="Calibri" w:cs="Calibri"/>
                <w:color w:val="FFFFFF"/>
                <w:sz w:val="12"/>
                <w:szCs w:val="20"/>
              </w:rPr>
            </w:pPr>
            <w:r w:rsidRPr="004F5828">
              <w:rPr>
                <w:rFonts w:ascii="Calibri" w:eastAsia="Times New Roman" w:hAnsi="Calibri" w:cs="Calibri"/>
                <w:color w:val="FFFFFF"/>
                <w:sz w:val="12"/>
                <w:szCs w:val="20"/>
              </w:rPr>
              <w:t>Empty Cell</w:t>
            </w:r>
          </w:p>
        </w:tc>
        <w:tc>
          <w:tcPr>
            <w:tcW w:w="1218" w:type="dxa"/>
            <w:tcBorders>
              <w:top w:val="single" w:sz="4" w:space="0" w:color="auto"/>
            </w:tcBorders>
          </w:tcPr>
          <w:p w14:paraId="5500D037" w14:textId="4F6B3D79" w:rsidR="00AC7747" w:rsidRPr="004F5828" w:rsidRDefault="00207529" w:rsidP="001E5EB6">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201</w:t>
            </w:r>
            <w:r w:rsidR="00EA110A">
              <w:rPr>
                <w:rFonts w:ascii="Calibri" w:eastAsia="Times New Roman" w:hAnsi="Calibri" w:cs="Times New Roman"/>
                <w:b/>
                <w:sz w:val="20"/>
                <w:szCs w:val="20"/>
              </w:rPr>
              <w:t>9</w:t>
            </w:r>
            <w:r w:rsidR="00AC7747" w:rsidRPr="004F5828">
              <w:rPr>
                <w:rFonts w:ascii="Calibri" w:eastAsia="Times New Roman" w:hAnsi="Calibri" w:cs="Times New Roman"/>
                <w:b/>
                <w:sz w:val="20"/>
                <w:szCs w:val="20"/>
              </w:rPr>
              <w:t>-</w:t>
            </w:r>
            <w:r w:rsidR="00EA110A">
              <w:rPr>
                <w:rFonts w:ascii="Calibri" w:eastAsia="Times New Roman" w:hAnsi="Calibri" w:cs="Times New Roman"/>
                <w:b/>
                <w:sz w:val="20"/>
                <w:szCs w:val="20"/>
              </w:rPr>
              <w:t>20</w:t>
            </w:r>
          </w:p>
          <w:p w14:paraId="1B40B6E2" w14:textId="5D798249" w:rsidR="00AC7747" w:rsidRPr="004F5828" w:rsidRDefault="00EA110A" w:rsidP="001E5EB6">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Audited</w:t>
            </w:r>
            <w:r w:rsidR="00AC7747" w:rsidRPr="004F5828">
              <w:rPr>
                <w:rFonts w:ascii="Calibri" w:eastAsia="Times New Roman" w:hAnsi="Calibri" w:cs="Times New Roman"/>
                <w:b/>
                <w:sz w:val="20"/>
                <w:szCs w:val="20"/>
              </w:rPr>
              <w:t xml:space="preserve"> Outcome</w:t>
            </w:r>
          </w:p>
        </w:tc>
        <w:tc>
          <w:tcPr>
            <w:tcW w:w="1217" w:type="dxa"/>
            <w:gridSpan w:val="2"/>
            <w:tcBorders>
              <w:top w:val="single" w:sz="4" w:space="0" w:color="auto"/>
            </w:tcBorders>
          </w:tcPr>
          <w:p w14:paraId="1CB4BAF8" w14:textId="04B56959" w:rsidR="00AC7747" w:rsidRPr="004F5828" w:rsidRDefault="00207529" w:rsidP="001E5EB6">
            <w:pPr>
              <w:keepNext/>
              <w:framePr w:wrap="around" w:vAnchor="text" w:hAnchor="text" w:y="1"/>
              <w:spacing w:after="0"/>
              <w:jc w:val="right"/>
              <w:rPr>
                <w:rFonts w:ascii="Calibri" w:eastAsia="Times New Roman" w:hAnsi="Calibri" w:cs="Times New Roman"/>
                <w:b/>
                <w:sz w:val="20"/>
                <w:szCs w:val="20"/>
              </w:rPr>
            </w:pPr>
            <w:r>
              <w:rPr>
                <w:rFonts w:ascii="Calibri" w:eastAsia="Times New Roman" w:hAnsi="Calibri" w:cs="Times New Roman"/>
                <w:b/>
                <w:sz w:val="20"/>
                <w:szCs w:val="20"/>
              </w:rPr>
              <w:t>20</w:t>
            </w:r>
            <w:r w:rsidR="00EA110A">
              <w:rPr>
                <w:rFonts w:ascii="Calibri" w:eastAsia="Times New Roman" w:hAnsi="Calibri" w:cs="Times New Roman"/>
                <w:b/>
                <w:sz w:val="20"/>
                <w:szCs w:val="20"/>
              </w:rPr>
              <w:t>20-</w:t>
            </w:r>
            <w:r w:rsidR="0065580E">
              <w:rPr>
                <w:rFonts w:ascii="Calibri" w:eastAsia="Times New Roman" w:hAnsi="Calibri" w:cs="Times New Roman"/>
                <w:b/>
                <w:sz w:val="20"/>
                <w:szCs w:val="20"/>
              </w:rPr>
              <w:t>2</w:t>
            </w:r>
            <w:r w:rsidR="00EA110A">
              <w:rPr>
                <w:rFonts w:ascii="Calibri" w:eastAsia="Times New Roman" w:hAnsi="Calibri" w:cs="Times New Roman"/>
                <w:b/>
                <w:sz w:val="20"/>
                <w:szCs w:val="20"/>
              </w:rPr>
              <w:t>1</w:t>
            </w:r>
          </w:p>
          <w:p w14:paraId="5C757EC7" w14:textId="77777777"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Budget</w:t>
            </w:r>
          </w:p>
        </w:tc>
        <w:tc>
          <w:tcPr>
            <w:tcW w:w="1217" w:type="dxa"/>
            <w:tcBorders>
              <w:top w:val="single" w:sz="4" w:space="0" w:color="auto"/>
            </w:tcBorders>
          </w:tcPr>
          <w:p w14:paraId="228D8B76" w14:textId="4ADB737C"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20</w:t>
            </w:r>
            <w:r w:rsidR="0065580E">
              <w:rPr>
                <w:rFonts w:ascii="Calibri" w:eastAsia="Times New Roman" w:hAnsi="Calibri" w:cs="Times New Roman"/>
                <w:b/>
                <w:sz w:val="20"/>
                <w:szCs w:val="20"/>
              </w:rPr>
              <w:t>2</w:t>
            </w:r>
            <w:r w:rsidR="00EA110A">
              <w:rPr>
                <w:rFonts w:ascii="Calibri" w:eastAsia="Times New Roman" w:hAnsi="Calibri" w:cs="Times New Roman"/>
                <w:b/>
                <w:sz w:val="20"/>
                <w:szCs w:val="20"/>
              </w:rPr>
              <w:t>1</w:t>
            </w:r>
            <w:r w:rsidRPr="004F5828">
              <w:rPr>
                <w:rFonts w:ascii="Calibri" w:eastAsia="Times New Roman" w:hAnsi="Calibri" w:cs="Times New Roman"/>
                <w:b/>
                <w:sz w:val="20"/>
                <w:szCs w:val="20"/>
              </w:rPr>
              <w:t>-</w:t>
            </w:r>
            <w:r w:rsidR="00C713A1">
              <w:rPr>
                <w:rFonts w:ascii="Calibri" w:eastAsia="Times New Roman" w:hAnsi="Calibri" w:cs="Times New Roman"/>
                <w:b/>
                <w:sz w:val="20"/>
                <w:szCs w:val="20"/>
              </w:rPr>
              <w:t>2</w:t>
            </w:r>
            <w:r w:rsidR="00EA110A">
              <w:rPr>
                <w:rFonts w:ascii="Calibri" w:eastAsia="Times New Roman" w:hAnsi="Calibri" w:cs="Times New Roman"/>
                <w:b/>
                <w:sz w:val="20"/>
                <w:szCs w:val="20"/>
              </w:rPr>
              <w:t>2</w:t>
            </w:r>
          </w:p>
          <w:p w14:paraId="2B2BE850" w14:textId="77777777"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Estimate</w:t>
            </w:r>
          </w:p>
        </w:tc>
        <w:tc>
          <w:tcPr>
            <w:tcW w:w="1217" w:type="dxa"/>
            <w:tcBorders>
              <w:top w:val="single" w:sz="4" w:space="0" w:color="auto"/>
            </w:tcBorders>
          </w:tcPr>
          <w:p w14:paraId="4E7C129D" w14:textId="62AF1282"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20</w:t>
            </w:r>
            <w:r w:rsidR="00C713A1">
              <w:rPr>
                <w:rFonts w:ascii="Calibri" w:eastAsia="Times New Roman" w:hAnsi="Calibri" w:cs="Times New Roman"/>
                <w:b/>
                <w:sz w:val="20"/>
                <w:szCs w:val="20"/>
              </w:rPr>
              <w:t>2</w:t>
            </w:r>
            <w:r w:rsidR="00EA110A">
              <w:rPr>
                <w:rFonts w:ascii="Calibri" w:eastAsia="Times New Roman" w:hAnsi="Calibri" w:cs="Times New Roman"/>
                <w:b/>
                <w:sz w:val="20"/>
                <w:szCs w:val="20"/>
              </w:rPr>
              <w:t>2</w:t>
            </w:r>
            <w:r w:rsidRPr="004F5828">
              <w:rPr>
                <w:rFonts w:ascii="Calibri" w:eastAsia="Times New Roman" w:hAnsi="Calibri" w:cs="Times New Roman"/>
                <w:b/>
                <w:sz w:val="20"/>
                <w:szCs w:val="20"/>
              </w:rPr>
              <w:t>-</w:t>
            </w:r>
            <w:r w:rsidR="00207529">
              <w:rPr>
                <w:rFonts w:ascii="Calibri" w:eastAsia="Times New Roman" w:hAnsi="Calibri" w:cs="Times New Roman"/>
                <w:b/>
                <w:sz w:val="20"/>
                <w:szCs w:val="20"/>
              </w:rPr>
              <w:t>2</w:t>
            </w:r>
            <w:r w:rsidR="00EA110A">
              <w:rPr>
                <w:rFonts w:ascii="Calibri" w:eastAsia="Times New Roman" w:hAnsi="Calibri" w:cs="Times New Roman"/>
                <w:b/>
                <w:sz w:val="20"/>
                <w:szCs w:val="20"/>
              </w:rPr>
              <w:t>3</w:t>
            </w:r>
          </w:p>
          <w:p w14:paraId="08E2EACE" w14:textId="77777777"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Estimate</w:t>
            </w:r>
          </w:p>
        </w:tc>
        <w:tc>
          <w:tcPr>
            <w:tcW w:w="1217" w:type="dxa"/>
            <w:tcBorders>
              <w:top w:val="single" w:sz="4" w:space="0" w:color="auto"/>
            </w:tcBorders>
          </w:tcPr>
          <w:p w14:paraId="0456852E" w14:textId="563E3714"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20</w:t>
            </w:r>
            <w:r w:rsidR="00207529">
              <w:rPr>
                <w:rFonts w:ascii="Calibri" w:eastAsia="Times New Roman" w:hAnsi="Calibri" w:cs="Times New Roman"/>
                <w:b/>
                <w:sz w:val="20"/>
                <w:szCs w:val="20"/>
              </w:rPr>
              <w:t>2</w:t>
            </w:r>
            <w:r w:rsidR="00EA110A">
              <w:rPr>
                <w:rFonts w:ascii="Calibri" w:eastAsia="Times New Roman" w:hAnsi="Calibri" w:cs="Times New Roman"/>
                <w:b/>
                <w:sz w:val="20"/>
                <w:szCs w:val="20"/>
              </w:rPr>
              <w:t>3</w:t>
            </w:r>
            <w:r w:rsidRPr="004F5828">
              <w:rPr>
                <w:rFonts w:ascii="Calibri" w:eastAsia="Times New Roman" w:hAnsi="Calibri" w:cs="Times New Roman"/>
                <w:b/>
                <w:sz w:val="20"/>
                <w:szCs w:val="20"/>
              </w:rPr>
              <w:t>-2</w:t>
            </w:r>
            <w:r w:rsidR="00EA110A">
              <w:rPr>
                <w:rFonts w:ascii="Calibri" w:eastAsia="Times New Roman" w:hAnsi="Calibri" w:cs="Times New Roman"/>
                <w:b/>
                <w:sz w:val="20"/>
                <w:szCs w:val="20"/>
              </w:rPr>
              <w:t>4</w:t>
            </w:r>
          </w:p>
          <w:p w14:paraId="063FECDD" w14:textId="77777777"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Estimate</w:t>
            </w:r>
          </w:p>
        </w:tc>
      </w:tr>
      <w:tr w:rsidR="00AC7747" w:rsidRPr="004F5828" w14:paraId="4CA8792B" w14:textId="77777777">
        <w:trPr>
          <w:cantSplit/>
          <w:trHeight w:val="169"/>
        </w:trPr>
        <w:tc>
          <w:tcPr>
            <w:tcW w:w="3140" w:type="dxa"/>
            <w:tcBorders>
              <w:bottom w:val="single" w:sz="4" w:space="0" w:color="auto"/>
            </w:tcBorders>
          </w:tcPr>
          <w:p w14:paraId="73755833" w14:textId="77777777" w:rsidR="00AC7747" w:rsidRPr="004F5828" w:rsidRDefault="00AC7747" w:rsidP="001E5EB6">
            <w:pPr>
              <w:keepNext/>
              <w:spacing w:after="0"/>
              <w:jc w:val="right"/>
              <w:rPr>
                <w:rFonts w:ascii="Calibri" w:eastAsia="Times New Roman" w:hAnsi="Calibri" w:cs="Calibri"/>
                <w:color w:val="FFFFFF"/>
                <w:sz w:val="12"/>
                <w:szCs w:val="20"/>
              </w:rPr>
            </w:pPr>
            <w:r w:rsidRPr="004F5828">
              <w:rPr>
                <w:rFonts w:ascii="Calibri" w:eastAsia="Times New Roman" w:hAnsi="Calibri" w:cs="Calibri"/>
                <w:color w:val="FFFFFF"/>
                <w:sz w:val="12"/>
                <w:szCs w:val="20"/>
              </w:rPr>
              <w:t>Empty Cell</w:t>
            </w:r>
          </w:p>
        </w:tc>
        <w:tc>
          <w:tcPr>
            <w:tcW w:w="1218" w:type="dxa"/>
            <w:tcBorders>
              <w:bottom w:val="single" w:sz="4" w:space="0" w:color="auto"/>
            </w:tcBorders>
          </w:tcPr>
          <w:p w14:paraId="77C5A378" w14:textId="77777777" w:rsidR="00AC7747" w:rsidRPr="004F5828" w:rsidRDefault="00AC7747" w:rsidP="001E5EB6">
            <w:pPr>
              <w:keepNext/>
              <w:framePr w:wrap="around" w:vAnchor="text" w:hAnchor="text" w:y="1"/>
              <w:spacing w:after="0"/>
              <w:jc w:val="right"/>
              <w:rPr>
                <w:rFonts w:ascii="Calibri" w:eastAsia="Times New Roman" w:hAnsi="Calibri" w:cs="Times New Roman"/>
                <w:b/>
                <w:sz w:val="20"/>
                <w:szCs w:val="20"/>
              </w:rPr>
            </w:pPr>
            <w:r w:rsidRPr="004F5828">
              <w:rPr>
                <w:rFonts w:ascii="Calibri" w:eastAsia="Times New Roman" w:hAnsi="Calibri" w:cs="Times New Roman"/>
                <w:b/>
                <w:sz w:val="20"/>
                <w:szCs w:val="20"/>
              </w:rPr>
              <w:t>$’000</w:t>
            </w:r>
          </w:p>
        </w:tc>
        <w:tc>
          <w:tcPr>
            <w:tcW w:w="1217" w:type="dxa"/>
            <w:gridSpan w:val="2"/>
            <w:tcBorders>
              <w:bottom w:val="single" w:sz="4" w:space="0" w:color="auto"/>
            </w:tcBorders>
          </w:tcPr>
          <w:p w14:paraId="741D380A" w14:textId="77777777" w:rsidR="00AC7747" w:rsidRPr="004F5828" w:rsidRDefault="00AC7747" w:rsidP="001E5EB6">
            <w:pPr>
              <w:keepNext/>
              <w:framePr w:wrap="around" w:vAnchor="text" w:hAnchor="text" w:y="1"/>
              <w:spacing w:after="0"/>
              <w:jc w:val="right"/>
              <w:rPr>
                <w:rFonts w:ascii="Calibri" w:eastAsia="Times New Roman" w:hAnsi="Calibri" w:cs="Calibri"/>
                <w:b/>
                <w:sz w:val="20"/>
                <w:szCs w:val="20"/>
              </w:rPr>
            </w:pPr>
            <w:r w:rsidRPr="004F5828">
              <w:rPr>
                <w:rFonts w:ascii="Calibri" w:eastAsia="Times New Roman" w:hAnsi="Calibri" w:cs="Calibri"/>
                <w:b/>
                <w:sz w:val="20"/>
                <w:szCs w:val="20"/>
              </w:rPr>
              <w:t>$’000</w:t>
            </w:r>
          </w:p>
        </w:tc>
        <w:tc>
          <w:tcPr>
            <w:tcW w:w="1217" w:type="dxa"/>
            <w:tcBorders>
              <w:bottom w:val="single" w:sz="4" w:space="0" w:color="auto"/>
            </w:tcBorders>
          </w:tcPr>
          <w:p w14:paraId="1FFBC4CE" w14:textId="77777777" w:rsidR="00AC7747" w:rsidRPr="004F5828" w:rsidRDefault="00AC7747" w:rsidP="001E5EB6">
            <w:pPr>
              <w:keepNext/>
              <w:framePr w:wrap="around" w:vAnchor="text" w:hAnchor="text" w:y="1"/>
              <w:spacing w:after="0"/>
              <w:jc w:val="right"/>
              <w:rPr>
                <w:rFonts w:ascii="Calibri" w:eastAsia="Times New Roman" w:hAnsi="Calibri" w:cs="Calibri"/>
                <w:b/>
                <w:sz w:val="20"/>
                <w:szCs w:val="20"/>
              </w:rPr>
            </w:pPr>
            <w:r w:rsidRPr="004F5828">
              <w:rPr>
                <w:rFonts w:ascii="Calibri" w:eastAsia="Times New Roman" w:hAnsi="Calibri" w:cs="Calibri"/>
                <w:b/>
                <w:sz w:val="20"/>
                <w:szCs w:val="20"/>
              </w:rPr>
              <w:t>$’000</w:t>
            </w:r>
          </w:p>
        </w:tc>
        <w:tc>
          <w:tcPr>
            <w:tcW w:w="1217" w:type="dxa"/>
            <w:tcBorders>
              <w:bottom w:val="single" w:sz="4" w:space="0" w:color="auto"/>
            </w:tcBorders>
          </w:tcPr>
          <w:p w14:paraId="18B9DF57" w14:textId="77777777" w:rsidR="00AC7747" w:rsidRPr="004F5828" w:rsidRDefault="00AC7747" w:rsidP="001E5EB6">
            <w:pPr>
              <w:keepNext/>
              <w:framePr w:wrap="around" w:vAnchor="text" w:hAnchor="text" w:y="1"/>
              <w:spacing w:after="0"/>
              <w:jc w:val="right"/>
              <w:rPr>
                <w:rFonts w:ascii="Calibri" w:eastAsia="Times New Roman" w:hAnsi="Calibri" w:cs="Calibri"/>
                <w:b/>
                <w:sz w:val="20"/>
                <w:szCs w:val="20"/>
              </w:rPr>
            </w:pPr>
            <w:r w:rsidRPr="004F5828">
              <w:rPr>
                <w:rFonts w:ascii="Calibri" w:eastAsia="Times New Roman" w:hAnsi="Calibri" w:cs="Calibri"/>
                <w:b/>
                <w:sz w:val="20"/>
                <w:szCs w:val="20"/>
              </w:rPr>
              <w:t>$’000</w:t>
            </w:r>
          </w:p>
        </w:tc>
        <w:tc>
          <w:tcPr>
            <w:tcW w:w="1217" w:type="dxa"/>
            <w:tcBorders>
              <w:bottom w:val="single" w:sz="4" w:space="0" w:color="auto"/>
            </w:tcBorders>
          </w:tcPr>
          <w:p w14:paraId="2DB9D18A" w14:textId="77777777" w:rsidR="00AC7747" w:rsidRPr="004F5828" w:rsidRDefault="00AC7747" w:rsidP="001E5EB6">
            <w:pPr>
              <w:keepNext/>
              <w:framePr w:wrap="around" w:vAnchor="text" w:hAnchor="text" w:y="1"/>
              <w:spacing w:after="0"/>
              <w:jc w:val="right"/>
              <w:rPr>
                <w:rFonts w:ascii="Calibri" w:eastAsia="Times New Roman" w:hAnsi="Calibri" w:cs="Calibri"/>
                <w:b/>
                <w:sz w:val="20"/>
                <w:szCs w:val="20"/>
              </w:rPr>
            </w:pPr>
            <w:r w:rsidRPr="004F5828">
              <w:rPr>
                <w:rFonts w:ascii="Calibri" w:eastAsia="Times New Roman" w:hAnsi="Calibri" w:cs="Calibri"/>
                <w:b/>
                <w:sz w:val="20"/>
                <w:szCs w:val="20"/>
              </w:rPr>
              <w:t>$’000</w:t>
            </w:r>
          </w:p>
        </w:tc>
      </w:tr>
      <w:tr w:rsidR="00AC7747" w:rsidRPr="004F5828" w14:paraId="6F6947E4" w14:textId="77777777">
        <w:trPr>
          <w:cantSplit/>
          <w:trHeight w:val="169"/>
        </w:trPr>
        <w:tc>
          <w:tcPr>
            <w:tcW w:w="3140" w:type="dxa"/>
          </w:tcPr>
          <w:p w14:paraId="763D3EE2" w14:textId="77777777" w:rsidR="00AC7747" w:rsidRPr="004F5828" w:rsidRDefault="00AC7747" w:rsidP="001E5EB6">
            <w:pPr>
              <w:keepNext/>
              <w:spacing w:after="0"/>
              <w:ind w:left="227" w:hanging="227"/>
              <w:rPr>
                <w:rFonts w:ascii="Calibri" w:eastAsia="Times New Roman" w:hAnsi="Calibri" w:cs="Times New Roman"/>
                <w:bCs/>
                <w:color w:val="000000"/>
                <w:sz w:val="20"/>
                <w:lang w:eastAsia="en-AU"/>
              </w:rPr>
            </w:pPr>
            <w:r>
              <w:rPr>
                <w:rFonts w:ascii="Calibri" w:eastAsia="Times New Roman" w:hAnsi="Calibri" w:cs="Times New Roman"/>
                <w:bCs/>
                <w:color w:val="000000"/>
                <w:sz w:val="20"/>
                <w:lang w:eastAsia="en-AU"/>
              </w:rPr>
              <w:t>Own Source Taxation</w:t>
            </w:r>
          </w:p>
        </w:tc>
        <w:tc>
          <w:tcPr>
            <w:tcW w:w="1218" w:type="dxa"/>
          </w:tcPr>
          <w:p w14:paraId="26A26342" w14:textId="7EEF9813"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1,949,207</w:t>
            </w:r>
          </w:p>
        </w:tc>
        <w:tc>
          <w:tcPr>
            <w:tcW w:w="1217" w:type="dxa"/>
            <w:gridSpan w:val="2"/>
          </w:tcPr>
          <w:p w14:paraId="3EC697E5" w14:textId="60C7185C"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1,987,230</w:t>
            </w:r>
          </w:p>
        </w:tc>
        <w:tc>
          <w:tcPr>
            <w:tcW w:w="1217" w:type="dxa"/>
          </w:tcPr>
          <w:p w14:paraId="63BDF984" w14:textId="7BC72DD6"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2,156,238</w:t>
            </w:r>
          </w:p>
        </w:tc>
        <w:tc>
          <w:tcPr>
            <w:tcW w:w="1217" w:type="dxa"/>
          </w:tcPr>
          <w:p w14:paraId="0A1A282E" w14:textId="1B6D8E0E"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2,269,753</w:t>
            </w:r>
          </w:p>
        </w:tc>
        <w:tc>
          <w:tcPr>
            <w:tcW w:w="1217" w:type="dxa"/>
          </w:tcPr>
          <w:p w14:paraId="28841D6B" w14:textId="5679BBB6"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2,390,173</w:t>
            </w:r>
          </w:p>
        </w:tc>
      </w:tr>
      <w:tr w:rsidR="00E53239" w:rsidRPr="004F5828" w14:paraId="1C6BA2FB" w14:textId="77777777">
        <w:trPr>
          <w:cantSplit/>
          <w:trHeight w:val="169"/>
        </w:trPr>
        <w:tc>
          <w:tcPr>
            <w:tcW w:w="3140" w:type="dxa"/>
          </w:tcPr>
          <w:p w14:paraId="77AF0682" w14:textId="73BC7E18" w:rsidR="00E53239" w:rsidRDefault="00E53239" w:rsidP="001E5EB6">
            <w:pPr>
              <w:keepNext/>
              <w:spacing w:after="0"/>
              <w:ind w:left="227" w:hanging="227"/>
              <w:rPr>
                <w:rFonts w:ascii="Calibri" w:eastAsia="Times New Roman" w:hAnsi="Calibri" w:cs="Times New Roman"/>
                <w:bCs/>
                <w:color w:val="000000"/>
                <w:sz w:val="20"/>
                <w:lang w:eastAsia="en-AU"/>
              </w:rPr>
            </w:pPr>
            <w:r>
              <w:rPr>
                <w:rFonts w:ascii="Calibri" w:eastAsia="Times New Roman" w:hAnsi="Calibri" w:cs="Times New Roman"/>
                <w:bCs/>
                <w:color w:val="000000"/>
                <w:sz w:val="20"/>
                <w:lang w:eastAsia="en-AU"/>
              </w:rPr>
              <w:t>Goods and Services Tax</w:t>
            </w:r>
          </w:p>
        </w:tc>
        <w:tc>
          <w:tcPr>
            <w:tcW w:w="1218" w:type="dxa"/>
          </w:tcPr>
          <w:p w14:paraId="1099A623" w14:textId="7BB3B2D3" w:rsidR="00E53239"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1,239,910</w:t>
            </w:r>
          </w:p>
        </w:tc>
        <w:tc>
          <w:tcPr>
            <w:tcW w:w="1217" w:type="dxa"/>
            <w:gridSpan w:val="2"/>
          </w:tcPr>
          <w:p w14:paraId="71873865" w14:textId="7B67AAB0" w:rsidR="00E53239"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1,221,537</w:t>
            </w:r>
          </w:p>
        </w:tc>
        <w:tc>
          <w:tcPr>
            <w:tcW w:w="1217" w:type="dxa"/>
          </w:tcPr>
          <w:p w14:paraId="6B8B76EC" w14:textId="09A2AA06" w:rsidR="00E53239"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1,300,627</w:t>
            </w:r>
          </w:p>
        </w:tc>
        <w:tc>
          <w:tcPr>
            <w:tcW w:w="1217" w:type="dxa"/>
          </w:tcPr>
          <w:p w14:paraId="605E1BDE" w14:textId="46059908" w:rsidR="00E53239"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1,380,095</w:t>
            </w:r>
          </w:p>
        </w:tc>
        <w:tc>
          <w:tcPr>
            <w:tcW w:w="1217" w:type="dxa"/>
          </w:tcPr>
          <w:p w14:paraId="155FEF4A" w14:textId="28235EC1" w:rsidR="00E53239"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1,441,559</w:t>
            </w:r>
          </w:p>
        </w:tc>
      </w:tr>
      <w:tr w:rsidR="00AC7747" w:rsidRPr="004F5828" w14:paraId="5F8E5798" w14:textId="77777777">
        <w:trPr>
          <w:cantSplit/>
          <w:trHeight w:val="169"/>
        </w:trPr>
        <w:tc>
          <w:tcPr>
            <w:tcW w:w="3140" w:type="dxa"/>
          </w:tcPr>
          <w:p w14:paraId="34F7F49C" w14:textId="28B52191" w:rsidR="00AC7747" w:rsidRDefault="00AC7747" w:rsidP="001E5EB6">
            <w:pPr>
              <w:keepNext/>
              <w:spacing w:after="0"/>
              <w:ind w:left="227" w:hanging="227"/>
              <w:rPr>
                <w:rFonts w:ascii="Calibri" w:eastAsia="Times New Roman" w:hAnsi="Calibri" w:cs="Times New Roman"/>
                <w:bCs/>
                <w:color w:val="000000"/>
                <w:sz w:val="20"/>
                <w:lang w:eastAsia="en-AU"/>
              </w:rPr>
            </w:pPr>
            <w:r>
              <w:rPr>
                <w:rFonts w:ascii="Calibri" w:eastAsia="Times New Roman" w:hAnsi="Calibri" w:cs="Times New Roman"/>
                <w:bCs/>
                <w:color w:val="000000"/>
                <w:sz w:val="20"/>
                <w:lang w:eastAsia="en-AU"/>
              </w:rPr>
              <w:t>Commonwealth Grants</w:t>
            </w:r>
          </w:p>
        </w:tc>
        <w:tc>
          <w:tcPr>
            <w:tcW w:w="1218" w:type="dxa"/>
          </w:tcPr>
          <w:p w14:paraId="276FC509" w14:textId="38359243"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1,123,497</w:t>
            </w:r>
          </w:p>
        </w:tc>
        <w:tc>
          <w:tcPr>
            <w:tcW w:w="1217" w:type="dxa"/>
            <w:gridSpan w:val="2"/>
          </w:tcPr>
          <w:p w14:paraId="05E6C53D" w14:textId="665505F6"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1,158,195</w:t>
            </w:r>
          </w:p>
        </w:tc>
        <w:tc>
          <w:tcPr>
            <w:tcW w:w="1217" w:type="dxa"/>
          </w:tcPr>
          <w:p w14:paraId="012955E8" w14:textId="7B93A750"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1,244,883</w:t>
            </w:r>
          </w:p>
        </w:tc>
        <w:tc>
          <w:tcPr>
            <w:tcW w:w="1217" w:type="dxa"/>
          </w:tcPr>
          <w:p w14:paraId="29D16738" w14:textId="44AE61B3"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1,240,798</w:t>
            </w:r>
          </w:p>
        </w:tc>
        <w:tc>
          <w:tcPr>
            <w:tcW w:w="1217" w:type="dxa"/>
          </w:tcPr>
          <w:p w14:paraId="6171A330" w14:textId="521CE622" w:rsidR="00AC7747" w:rsidRPr="004F5828" w:rsidRDefault="00C710FF" w:rsidP="001E5EB6">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1,273,534</w:t>
            </w:r>
          </w:p>
        </w:tc>
      </w:tr>
      <w:tr w:rsidR="00C710FF" w:rsidRPr="004F5828" w14:paraId="6A1E7DEC" w14:textId="77777777">
        <w:trPr>
          <w:cantSplit/>
          <w:trHeight w:val="169"/>
        </w:trPr>
        <w:tc>
          <w:tcPr>
            <w:tcW w:w="3140" w:type="dxa"/>
          </w:tcPr>
          <w:p w14:paraId="72C33AA2" w14:textId="544D2E13" w:rsidR="00C710FF" w:rsidRPr="004F5828" w:rsidRDefault="00C710FF" w:rsidP="00C710FF">
            <w:pPr>
              <w:keepNext/>
              <w:spacing w:after="0"/>
              <w:ind w:left="227" w:hanging="227"/>
              <w:rPr>
                <w:rFonts w:ascii="Calibri" w:eastAsia="Times New Roman" w:hAnsi="Calibri" w:cs="Times New Roman"/>
                <w:bCs/>
                <w:color w:val="000000"/>
                <w:sz w:val="20"/>
                <w:lang w:eastAsia="en-AU"/>
              </w:rPr>
            </w:pPr>
            <w:r>
              <w:rPr>
                <w:rFonts w:ascii="Calibri" w:eastAsia="Times New Roman" w:hAnsi="Calibri" w:cs="Times New Roman"/>
                <w:bCs/>
                <w:color w:val="000000"/>
                <w:sz w:val="20"/>
                <w:szCs w:val="18"/>
                <w:lang w:eastAsia="en-AU"/>
              </w:rPr>
              <w:t>Sales of Goods and Services</w:t>
            </w:r>
          </w:p>
        </w:tc>
        <w:tc>
          <w:tcPr>
            <w:tcW w:w="1218" w:type="dxa"/>
          </w:tcPr>
          <w:p w14:paraId="46AD3F94" w14:textId="4669DE42"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546,992</w:t>
            </w:r>
          </w:p>
        </w:tc>
        <w:tc>
          <w:tcPr>
            <w:tcW w:w="1217" w:type="dxa"/>
            <w:gridSpan w:val="2"/>
          </w:tcPr>
          <w:p w14:paraId="7F6CEBCD" w14:textId="37D9F2FF"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561,693</w:t>
            </w:r>
          </w:p>
        </w:tc>
        <w:tc>
          <w:tcPr>
            <w:tcW w:w="1217" w:type="dxa"/>
          </w:tcPr>
          <w:p w14:paraId="109F0BEA" w14:textId="65842680" w:rsidR="00C710FF" w:rsidRPr="0065580E" w:rsidRDefault="00C710FF" w:rsidP="00C710FF">
            <w:pPr>
              <w:keepNext/>
              <w:spacing w:after="0"/>
              <w:ind w:left="227" w:hanging="227"/>
              <w:jc w:val="right"/>
              <w:rPr>
                <w:rFonts w:ascii="Calibri" w:eastAsia="Times New Roman" w:hAnsi="Calibri" w:cs="Times New Roman"/>
                <w:sz w:val="20"/>
                <w:lang w:eastAsia="en-AU"/>
              </w:rPr>
            </w:pPr>
            <w:r>
              <w:rPr>
                <w:rFonts w:ascii="Calibri" w:eastAsia="Times New Roman" w:hAnsi="Calibri" w:cs="Times New Roman"/>
                <w:sz w:val="20"/>
                <w:lang w:eastAsia="en-AU"/>
              </w:rPr>
              <w:t>602,108</w:t>
            </w:r>
          </w:p>
        </w:tc>
        <w:tc>
          <w:tcPr>
            <w:tcW w:w="1217" w:type="dxa"/>
          </w:tcPr>
          <w:p w14:paraId="4098CDF9" w14:textId="348C5D2C" w:rsidR="00C710FF" w:rsidRPr="0065580E"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621,838</w:t>
            </w:r>
          </w:p>
        </w:tc>
        <w:tc>
          <w:tcPr>
            <w:tcW w:w="1217" w:type="dxa"/>
          </w:tcPr>
          <w:p w14:paraId="4122AB9D" w14:textId="0D8E2A7F"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636,926</w:t>
            </w:r>
          </w:p>
        </w:tc>
      </w:tr>
      <w:tr w:rsidR="00C710FF" w:rsidRPr="004F5828" w14:paraId="284F3ADB" w14:textId="77777777">
        <w:trPr>
          <w:cantSplit/>
          <w:trHeight w:val="169"/>
        </w:trPr>
        <w:tc>
          <w:tcPr>
            <w:tcW w:w="3140" w:type="dxa"/>
          </w:tcPr>
          <w:p w14:paraId="2ED1C969" w14:textId="5E037A6B" w:rsidR="00C710FF" w:rsidRPr="004F5828" w:rsidRDefault="00C710FF" w:rsidP="00C710FF">
            <w:pPr>
              <w:keepNext/>
              <w:spacing w:after="0"/>
              <w:ind w:left="227" w:hanging="227"/>
              <w:rPr>
                <w:rFonts w:ascii="Calibri" w:eastAsia="Times New Roman" w:hAnsi="Calibri" w:cs="Times New Roman"/>
                <w:bCs/>
                <w:color w:val="000000"/>
                <w:sz w:val="20"/>
                <w:szCs w:val="18"/>
                <w:lang w:eastAsia="en-AU"/>
              </w:rPr>
            </w:pPr>
            <w:r>
              <w:rPr>
                <w:rFonts w:ascii="Calibri" w:eastAsia="Times New Roman" w:hAnsi="Calibri" w:cs="Times New Roman"/>
                <w:bCs/>
                <w:color w:val="000000"/>
                <w:sz w:val="20"/>
                <w:szCs w:val="18"/>
                <w:lang w:eastAsia="en-AU"/>
              </w:rPr>
              <w:t>Investment Revenue</w:t>
            </w:r>
          </w:p>
        </w:tc>
        <w:tc>
          <w:tcPr>
            <w:tcW w:w="1218" w:type="dxa"/>
          </w:tcPr>
          <w:p w14:paraId="41289298" w14:textId="4951108D"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234,986</w:t>
            </w:r>
          </w:p>
        </w:tc>
        <w:tc>
          <w:tcPr>
            <w:tcW w:w="1217" w:type="dxa"/>
            <w:gridSpan w:val="2"/>
          </w:tcPr>
          <w:p w14:paraId="4C8C95B4" w14:textId="5DA7ECC4"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218,819</w:t>
            </w:r>
          </w:p>
        </w:tc>
        <w:tc>
          <w:tcPr>
            <w:tcW w:w="1217" w:type="dxa"/>
          </w:tcPr>
          <w:p w14:paraId="4857F4FB" w14:textId="6AFDE33A"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235,565</w:t>
            </w:r>
          </w:p>
        </w:tc>
        <w:tc>
          <w:tcPr>
            <w:tcW w:w="1217" w:type="dxa"/>
          </w:tcPr>
          <w:p w14:paraId="715E0BCF" w14:textId="78AC1B80"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243,930</w:t>
            </w:r>
          </w:p>
        </w:tc>
        <w:tc>
          <w:tcPr>
            <w:tcW w:w="1217" w:type="dxa"/>
          </w:tcPr>
          <w:p w14:paraId="3FF8011B" w14:textId="7311A968"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252,194</w:t>
            </w:r>
          </w:p>
        </w:tc>
      </w:tr>
      <w:tr w:rsidR="00C710FF" w:rsidRPr="004F5828" w14:paraId="59B780FF" w14:textId="77777777">
        <w:trPr>
          <w:cantSplit/>
          <w:trHeight w:val="169"/>
        </w:trPr>
        <w:tc>
          <w:tcPr>
            <w:tcW w:w="3140" w:type="dxa"/>
          </w:tcPr>
          <w:p w14:paraId="0291B96E" w14:textId="42E7473D" w:rsidR="00C710FF" w:rsidRDefault="00C710FF" w:rsidP="00C710FF">
            <w:pPr>
              <w:keepNext/>
              <w:spacing w:after="0"/>
              <w:ind w:left="227" w:hanging="227"/>
              <w:rPr>
                <w:rFonts w:ascii="Calibri" w:eastAsia="Times New Roman" w:hAnsi="Calibri" w:cs="Times New Roman"/>
                <w:bCs/>
                <w:color w:val="000000"/>
                <w:sz w:val="20"/>
                <w:szCs w:val="18"/>
                <w:lang w:eastAsia="en-AU"/>
              </w:rPr>
            </w:pPr>
            <w:r>
              <w:rPr>
                <w:rFonts w:ascii="Calibri" w:eastAsia="Times New Roman" w:hAnsi="Calibri" w:cs="Times New Roman"/>
                <w:bCs/>
                <w:color w:val="000000"/>
                <w:sz w:val="20"/>
                <w:szCs w:val="18"/>
                <w:lang w:eastAsia="en-AU"/>
              </w:rPr>
              <w:t>Dividends and Income Tax Equivalents</w:t>
            </w:r>
          </w:p>
        </w:tc>
        <w:tc>
          <w:tcPr>
            <w:tcW w:w="1218" w:type="dxa"/>
          </w:tcPr>
          <w:p w14:paraId="2B836A95" w14:textId="600EDAF4"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157,661</w:t>
            </w:r>
          </w:p>
        </w:tc>
        <w:tc>
          <w:tcPr>
            <w:tcW w:w="1217" w:type="dxa"/>
            <w:gridSpan w:val="2"/>
          </w:tcPr>
          <w:p w14:paraId="6B9CA3C1" w14:textId="11853ABC"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486,739</w:t>
            </w:r>
          </w:p>
        </w:tc>
        <w:tc>
          <w:tcPr>
            <w:tcW w:w="1217" w:type="dxa"/>
          </w:tcPr>
          <w:p w14:paraId="73431AD9" w14:textId="41F983F5"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216,301</w:t>
            </w:r>
          </w:p>
        </w:tc>
        <w:tc>
          <w:tcPr>
            <w:tcW w:w="1217" w:type="dxa"/>
          </w:tcPr>
          <w:p w14:paraId="7069DADC" w14:textId="0762DFC4"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127,083</w:t>
            </w:r>
          </w:p>
        </w:tc>
        <w:tc>
          <w:tcPr>
            <w:tcW w:w="1217" w:type="dxa"/>
          </w:tcPr>
          <w:p w14:paraId="27FE16A5" w14:textId="3C7ED38C"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206,342</w:t>
            </w:r>
          </w:p>
        </w:tc>
      </w:tr>
      <w:tr w:rsidR="00C710FF" w:rsidRPr="004F5828" w14:paraId="2431B39C" w14:textId="77777777">
        <w:trPr>
          <w:cantSplit/>
          <w:trHeight w:val="169"/>
        </w:trPr>
        <w:tc>
          <w:tcPr>
            <w:tcW w:w="3140" w:type="dxa"/>
          </w:tcPr>
          <w:p w14:paraId="6FDC944B" w14:textId="3058E986" w:rsidR="00C710FF" w:rsidRDefault="00C710FF" w:rsidP="00C710FF">
            <w:pPr>
              <w:keepNext/>
              <w:spacing w:after="0"/>
              <w:ind w:left="227" w:hanging="227"/>
              <w:rPr>
                <w:rFonts w:ascii="Calibri" w:eastAsia="Times New Roman" w:hAnsi="Calibri" w:cs="Times New Roman"/>
                <w:bCs/>
                <w:color w:val="000000"/>
                <w:sz w:val="20"/>
                <w:szCs w:val="18"/>
                <w:lang w:eastAsia="en-AU"/>
              </w:rPr>
            </w:pPr>
            <w:r>
              <w:rPr>
                <w:rFonts w:ascii="Calibri" w:eastAsia="Times New Roman" w:hAnsi="Calibri" w:cs="Times New Roman"/>
                <w:bCs/>
                <w:color w:val="000000"/>
                <w:sz w:val="20"/>
                <w:szCs w:val="18"/>
                <w:lang w:eastAsia="en-AU"/>
              </w:rPr>
              <w:t>Gains from Contributed Assets</w:t>
            </w:r>
          </w:p>
        </w:tc>
        <w:tc>
          <w:tcPr>
            <w:tcW w:w="1218" w:type="dxa"/>
          </w:tcPr>
          <w:p w14:paraId="7C320365" w14:textId="24E11D74"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182,098</w:t>
            </w:r>
          </w:p>
        </w:tc>
        <w:tc>
          <w:tcPr>
            <w:tcW w:w="1217" w:type="dxa"/>
            <w:gridSpan w:val="2"/>
          </w:tcPr>
          <w:p w14:paraId="25B9272A" w14:textId="03B3AA62"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156,</w:t>
            </w:r>
            <w:r w:rsidR="009E3F20">
              <w:rPr>
                <w:rFonts w:ascii="Calibri" w:eastAsia="Times New Roman" w:hAnsi="Calibri" w:cs="Times New Roman"/>
                <w:color w:val="000000"/>
                <w:sz w:val="20"/>
                <w:lang w:eastAsia="en-AU"/>
              </w:rPr>
              <w:t>997</w:t>
            </w:r>
          </w:p>
        </w:tc>
        <w:tc>
          <w:tcPr>
            <w:tcW w:w="1217" w:type="dxa"/>
          </w:tcPr>
          <w:p w14:paraId="4B203845" w14:textId="6C68700B"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220,470</w:t>
            </w:r>
          </w:p>
        </w:tc>
        <w:tc>
          <w:tcPr>
            <w:tcW w:w="1217" w:type="dxa"/>
          </w:tcPr>
          <w:p w14:paraId="2E1B89E2" w14:textId="0509B901"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w:t>
            </w:r>
            <w:r w:rsidR="00CF0384">
              <w:rPr>
                <w:rFonts w:ascii="Calibri" w:eastAsia="Times New Roman" w:hAnsi="Calibri" w:cs="Times New Roman"/>
                <w:color w:val="000000"/>
                <w:sz w:val="20"/>
                <w:lang w:eastAsia="en-AU"/>
              </w:rPr>
              <w:t>42</w:t>
            </w:r>
            <w:r>
              <w:rPr>
                <w:rFonts w:ascii="Calibri" w:eastAsia="Times New Roman" w:hAnsi="Calibri" w:cs="Times New Roman"/>
                <w:color w:val="000000"/>
                <w:sz w:val="20"/>
                <w:lang w:eastAsia="en-AU"/>
              </w:rPr>
              <w:t>,</w:t>
            </w:r>
            <w:r w:rsidR="00CF0384">
              <w:rPr>
                <w:rFonts w:ascii="Calibri" w:eastAsia="Times New Roman" w:hAnsi="Calibri" w:cs="Times New Roman"/>
                <w:color w:val="000000"/>
                <w:sz w:val="20"/>
                <w:lang w:eastAsia="en-AU"/>
              </w:rPr>
              <w:t>834</w:t>
            </w:r>
          </w:p>
        </w:tc>
        <w:tc>
          <w:tcPr>
            <w:tcW w:w="1217" w:type="dxa"/>
          </w:tcPr>
          <w:p w14:paraId="71855C45" w14:textId="00458129" w:rsidR="00C710FF" w:rsidRPr="004F5828" w:rsidRDefault="0072515A"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156,091</w:t>
            </w:r>
          </w:p>
        </w:tc>
      </w:tr>
      <w:tr w:rsidR="00C710FF" w:rsidRPr="004F5828" w14:paraId="7134188B" w14:textId="77777777">
        <w:trPr>
          <w:cantSplit/>
          <w:trHeight w:val="169"/>
        </w:trPr>
        <w:tc>
          <w:tcPr>
            <w:tcW w:w="3140" w:type="dxa"/>
          </w:tcPr>
          <w:p w14:paraId="21C43AEB" w14:textId="71B3A3D6" w:rsidR="00C710FF" w:rsidRDefault="00C710FF" w:rsidP="00C710FF">
            <w:pPr>
              <w:keepNext/>
              <w:spacing w:after="0"/>
              <w:ind w:left="227" w:hanging="227"/>
              <w:rPr>
                <w:rFonts w:ascii="Calibri" w:eastAsia="Times New Roman" w:hAnsi="Calibri" w:cs="Times New Roman"/>
                <w:bCs/>
                <w:color w:val="000000"/>
                <w:sz w:val="20"/>
                <w:szCs w:val="18"/>
                <w:lang w:eastAsia="en-AU"/>
              </w:rPr>
            </w:pPr>
            <w:r>
              <w:rPr>
                <w:rFonts w:ascii="Calibri" w:eastAsia="Times New Roman" w:hAnsi="Calibri" w:cs="Times New Roman"/>
                <w:bCs/>
                <w:color w:val="000000"/>
                <w:sz w:val="20"/>
                <w:szCs w:val="18"/>
                <w:lang w:eastAsia="en-AU"/>
              </w:rPr>
              <w:t>Other Revenue</w:t>
            </w:r>
          </w:p>
        </w:tc>
        <w:tc>
          <w:tcPr>
            <w:tcW w:w="1218" w:type="dxa"/>
          </w:tcPr>
          <w:p w14:paraId="00151BA6" w14:textId="3CE84E8A"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170,596</w:t>
            </w:r>
          </w:p>
        </w:tc>
        <w:tc>
          <w:tcPr>
            <w:tcW w:w="1217" w:type="dxa"/>
            <w:gridSpan w:val="2"/>
          </w:tcPr>
          <w:p w14:paraId="44D24D5A" w14:textId="37263A4A"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189,866</w:t>
            </w:r>
          </w:p>
        </w:tc>
        <w:tc>
          <w:tcPr>
            <w:tcW w:w="1217" w:type="dxa"/>
          </w:tcPr>
          <w:p w14:paraId="52EE4951" w14:textId="4CA26A44" w:rsidR="00C710FF" w:rsidRPr="004F5828" w:rsidRDefault="00C710FF" w:rsidP="00C710FF">
            <w:pPr>
              <w:keepNext/>
              <w:tabs>
                <w:tab w:val="left" w:pos="960"/>
              </w:tabs>
              <w:spacing w:after="0"/>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195,682</w:t>
            </w:r>
          </w:p>
        </w:tc>
        <w:tc>
          <w:tcPr>
            <w:tcW w:w="1217" w:type="dxa"/>
          </w:tcPr>
          <w:p w14:paraId="1A7F84D1" w14:textId="0EA3B615"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204,178</w:t>
            </w:r>
          </w:p>
        </w:tc>
        <w:tc>
          <w:tcPr>
            <w:tcW w:w="1217" w:type="dxa"/>
          </w:tcPr>
          <w:p w14:paraId="2916F7FB" w14:textId="4630CF53" w:rsidR="00C710FF" w:rsidRPr="004F5828" w:rsidRDefault="00C710FF" w:rsidP="00C710FF">
            <w:pPr>
              <w:keepNext/>
              <w:spacing w:after="0"/>
              <w:ind w:left="227" w:hanging="227"/>
              <w:jc w:val="right"/>
              <w:rPr>
                <w:rFonts w:ascii="Calibri" w:eastAsia="Times New Roman" w:hAnsi="Calibri" w:cs="Times New Roman"/>
                <w:color w:val="000000"/>
                <w:sz w:val="20"/>
                <w:lang w:eastAsia="en-AU"/>
              </w:rPr>
            </w:pPr>
            <w:r>
              <w:rPr>
                <w:rFonts w:ascii="Calibri" w:eastAsia="Times New Roman" w:hAnsi="Calibri" w:cs="Times New Roman"/>
                <w:color w:val="000000"/>
                <w:sz w:val="20"/>
                <w:lang w:eastAsia="en-AU"/>
              </w:rPr>
              <w:t>203,315</w:t>
            </w:r>
          </w:p>
        </w:tc>
      </w:tr>
      <w:tr w:rsidR="00C710FF" w:rsidRPr="008054D3" w14:paraId="5D851F0B" w14:textId="77777777" w:rsidTr="00697ADE">
        <w:trPr>
          <w:cantSplit/>
          <w:trHeight w:val="169"/>
        </w:trPr>
        <w:tc>
          <w:tcPr>
            <w:tcW w:w="3140" w:type="dxa"/>
            <w:tcBorders>
              <w:top w:val="single" w:sz="4" w:space="0" w:color="auto"/>
              <w:bottom w:val="single" w:sz="4" w:space="0" w:color="auto"/>
            </w:tcBorders>
          </w:tcPr>
          <w:p w14:paraId="2036E473" w14:textId="77777777" w:rsidR="00C710FF" w:rsidRPr="008054D3" w:rsidRDefault="00C710FF" w:rsidP="00C710FF">
            <w:pPr>
              <w:keepNext/>
              <w:spacing w:after="0"/>
              <w:ind w:left="227" w:hanging="227"/>
              <w:rPr>
                <w:rFonts w:ascii="Calibri" w:eastAsia="Times New Roman" w:hAnsi="Calibri" w:cs="Times New Roman"/>
                <w:b/>
                <w:bCs/>
                <w:color w:val="000000"/>
                <w:sz w:val="20"/>
                <w:szCs w:val="18"/>
                <w:lang w:eastAsia="en-AU"/>
              </w:rPr>
            </w:pPr>
            <w:r w:rsidRPr="008054D3">
              <w:rPr>
                <w:rFonts w:ascii="Calibri" w:eastAsia="Times New Roman" w:hAnsi="Calibri" w:cs="Times New Roman"/>
                <w:b/>
                <w:bCs/>
                <w:color w:val="000000"/>
                <w:sz w:val="20"/>
                <w:szCs w:val="18"/>
                <w:lang w:eastAsia="en-AU"/>
              </w:rPr>
              <w:t>Total</w:t>
            </w:r>
          </w:p>
        </w:tc>
        <w:tc>
          <w:tcPr>
            <w:tcW w:w="1218" w:type="dxa"/>
            <w:tcBorders>
              <w:top w:val="single" w:sz="4" w:space="0" w:color="auto"/>
              <w:bottom w:val="single" w:sz="4" w:space="0" w:color="auto"/>
            </w:tcBorders>
          </w:tcPr>
          <w:p w14:paraId="74E6E485" w14:textId="3856C54C" w:rsidR="00C710FF" w:rsidRPr="008054D3" w:rsidRDefault="00C710FF" w:rsidP="00A30ABA">
            <w:pPr>
              <w:keepNext/>
              <w:ind w:left="227" w:hanging="227"/>
              <w:jc w:val="right"/>
              <w:rPr>
                <w:rFonts w:ascii="Calibri" w:eastAsia="Times New Roman" w:hAnsi="Calibri" w:cs="Times New Roman"/>
                <w:b/>
                <w:color w:val="000000"/>
                <w:sz w:val="20"/>
                <w:lang w:eastAsia="en-AU"/>
              </w:rPr>
            </w:pPr>
            <w:r>
              <w:rPr>
                <w:rFonts w:ascii="Calibri" w:eastAsia="Times New Roman" w:hAnsi="Calibri" w:cs="Times New Roman"/>
                <w:b/>
                <w:color w:val="000000"/>
                <w:sz w:val="20"/>
                <w:lang w:eastAsia="en-AU"/>
              </w:rPr>
              <w:t>5,604,947</w:t>
            </w:r>
          </w:p>
        </w:tc>
        <w:tc>
          <w:tcPr>
            <w:tcW w:w="1171" w:type="dxa"/>
            <w:tcBorders>
              <w:top w:val="single" w:sz="4" w:space="0" w:color="auto"/>
              <w:bottom w:val="single" w:sz="4" w:space="0" w:color="auto"/>
            </w:tcBorders>
          </w:tcPr>
          <w:p w14:paraId="58D9ACDD" w14:textId="48C998C6" w:rsidR="00C710FF" w:rsidRPr="008054D3" w:rsidRDefault="00C710FF" w:rsidP="00C710FF">
            <w:pPr>
              <w:keepNext/>
              <w:spacing w:after="0"/>
              <w:ind w:left="227" w:hanging="227"/>
              <w:jc w:val="right"/>
              <w:rPr>
                <w:rFonts w:ascii="Calibri" w:eastAsia="Times New Roman" w:hAnsi="Calibri" w:cs="Times New Roman"/>
                <w:b/>
                <w:color w:val="000000"/>
                <w:sz w:val="20"/>
                <w:lang w:eastAsia="en-AU"/>
              </w:rPr>
            </w:pPr>
            <w:r>
              <w:rPr>
                <w:rFonts w:ascii="Calibri" w:eastAsia="Times New Roman" w:hAnsi="Calibri" w:cs="Times New Roman"/>
                <w:b/>
                <w:color w:val="000000"/>
                <w:sz w:val="20"/>
                <w:lang w:eastAsia="en-AU"/>
              </w:rPr>
              <w:t>5,981,076</w:t>
            </w:r>
          </w:p>
        </w:tc>
        <w:tc>
          <w:tcPr>
            <w:tcW w:w="1263" w:type="dxa"/>
            <w:gridSpan w:val="2"/>
            <w:tcBorders>
              <w:top w:val="single" w:sz="4" w:space="0" w:color="auto"/>
              <w:bottom w:val="single" w:sz="4" w:space="0" w:color="auto"/>
            </w:tcBorders>
          </w:tcPr>
          <w:p w14:paraId="31C97F84" w14:textId="3D5F6B07" w:rsidR="00C710FF" w:rsidRPr="008054D3" w:rsidRDefault="00C710FF" w:rsidP="00C710FF">
            <w:pPr>
              <w:keepNext/>
              <w:spacing w:after="0"/>
              <w:ind w:left="227" w:hanging="227"/>
              <w:jc w:val="right"/>
              <w:rPr>
                <w:rFonts w:ascii="Calibri" w:eastAsia="Times New Roman" w:hAnsi="Calibri" w:cs="Times New Roman"/>
                <w:b/>
                <w:color w:val="000000"/>
                <w:sz w:val="20"/>
                <w:lang w:eastAsia="en-AU"/>
              </w:rPr>
            </w:pPr>
            <w:r>
              <w:rPr>
                <w:rFonts w:ascii="Calibri" w:eastAsia="Times New Roman" w:hAnsi="Calibri" w:cs="Times New Roman"/>
                <w:b/>
                <w:color w:val="000000"/>
                <w:sz w:val="20"/>
                <w:lang w:eastAsia="en-AU"/>
              </w:rPr>
              <w:t>6,171,874</w:t>
            </w:r>
          </w:p>
        </w:tc>
        <w:tc>
          <w:tcPr>
            <w:tcW w:w="1217" w:type="dxa"/>
            <w:tcBorders>
              <w:top w:val="single" w:sz="4" w:space="0" w:color="auto"/>
              <w:bottom w:val="single" w:sz="4" w:space="0" w:color="auto"/>
            </w:tcBorders>
          </w:tcPr>
          <w:p w14:paraId="1A2DADA4" w14:textId="673189BB" w:rsidR="00C710FF" w:rsidRPr="008054D3" w:rsidRDefault="00C710FF" w:rsidP="00C710FF">
            <w:pPr>
              <w:keepNext/>
              <w:spacing w:after="0"/>
              <w:ind w:left="227" w:hanging="227"/>
              <w:jc w:val="right"/>
              <w:rPr>
                <w:rFonts w:ascii="Calibri" w:eastAsia="Times New Roman" w:hAnsi="Calibri" w:cs="Times New Roman"/>
                <w:b/>
                <w:color w:val="000000"/>
                <w:sz w:val="20"/>
                <w:lang w:eastAsia="en-AU"/>
              </w:rPr>
            </w:pPr>
            <w:r>
              <w:rPr>
                <w:rFonts w:ascii="Calibri" w:eastAsia="Times New Roman" w:hAnsi="Calibri" w:cs="Times New Roman"/>
                <w:b/>
                <w:color w:val="000000"/>
                <w:sz w:val="20"/>
                <w:lang w:eastAsia="en-AU"/>
              </w:rPr>
              <w:t>6,330,509</w:t>
            </w:r>
          </w:p>
        </w:tc>
        <w:tc>
          <w:tcPr>
            <w:tcW w:w="1217" w:type="dxa"/>
            <w:tcBorders>
              <w:top w:val="single" w:sz="4" w:space="0" w:color="auto"/>
              <w:bottom w:val="single" w:sz="4" w:space="0" w:color="auto"/>
            </w:tcBorders>
          </w:tcPr>
          <w:p w14:paraId="656B3961" w14:textId="47D9BDEB" w:rsidR="00C710FF" w:rsidRPr="008054D3" w:rsidRDefault="00C710FF" w:rsidP="00C710FF">
            <w:pPr>
              <w:keepNext/>
              <w:spacing w:after="0"/>
              <w:ind w:left="227" w:hanging="227"/>
              <w:jc w:val="right"/>
              <w:rPr>
                <w:rFonts w:ascii="Calibri" w:eastAsia="Times New Roman" w:hAnsi="Calibri" w:cs="Times New Roman"/>
                <w:b/>
                <w:color w:val="000000"/>
                <w:sz w:val="20"/>
                <w:lang w:eastAsia="en-AU"/>
              </w:rPr>
            </w:pPr>
            <w:r>
              <w:rPr>
                <w:rFonts w:ascii="Calibri" w:eastAsia="Times New Roman" w:hAnsi="Calibri" w:cs="Times New Roman"/>
                <w:b/>
                <w:color w:val="000000"/>
                <w:sz w:val="20"/>
                <w:lang w:eastAsia="en-AU"/>
              </w:rPr>
              <w:t>6,560,134</w:t>
            </w:r>
          </w:p>
        </w:tc>
      </w:tr>
    </w:tbl>
    <w:p w14:paraId="5704DCE9" w14:textId="5DBDDAB3" w:rsidR="00176605" w:rsidRPr="00C15694" w:rsidRDefault="00176605" w:rsidP="008B02E2">
      <w:pPr>
        <w:spacing w:before="0"/>
        <w:rPr>
          <w:sz w:val="20"/>
          <w:szCs w:val="20"/>
        </w:rPr>
      </w:pPr>
      <w:r w:rsidRPr="00C15694">
        <w:rPr>
          <w:sz w:val="20"/>
          <w:szCs w:val="20"/>
        </w:rPr>
        <w:t>Source:</w:t>
      </w:r>
      <w:r>
        <w:rPr>
          <w:sz w:val="20"/>
          <w:szCs w:val="20"/>
        </w:rPr>
        <w:t xml:space="preserve"> ACT Government </w:t>
      </w:r>
      <w:sdt>
        <w:sdtPr>
          <w:rPr>
            <w:sz w:val="20"/>
            <w:szCs w:val="20"/>
          </w:rPr>
          <w:id w:val="-2042430469"/>
          <w:citation/>
        </w:sdtPr>
        <w:sdtContent>
          <w:r w:rsidR="0006068F">
            <w:rPr>
              <w:sz w:val="20"/>
              <w:szCs w:val="20"/>
            </w:rPr>
            <w:fldChar w:fldCharType="begin"/>
          </w:r>
          <w:r w:rsidR="00DA22D6">
            <w:rPr>
              <w:sz w:val="20"/>
              <w:szCs w:val="20"/>
            </w:rPr>
            <w:instrText xml:space="preserve">CITATION ACT21 \p 136 \n  \t  \l 3081 </w:instrText>
          </w:r>
          <w:r w:rsidR="0006068F">
            <w:rPr>
              <w:sz w:val="20"/>
              <w:szCs w:val="20"/>
            </w:rPr>
            <w:fldChar w:fldCharType="separate"/>
          </w:r>
          <w:r w:rsidR="00DA22D6" w:rsidRPr="00DA22D6">
            <w:rPr>
              <w:noProof/>
              <w:sz w:val="20"/>
              <w:szCs w:val="20"/>
            </w:rPr>
            <w:t>(2021, p. 136)</w:t>
          </w:r>
          <w:r w:rsidR="0006068F">
            <w:rPr>
              <w:sz w:val="20"/>
              <w:szCs w:val="20"/>
            </w:rPr>
            <w:fldChar w:fldCharType="end"/>
          </w:r>
        </w:sdtContent>
      </w:sdt>
      <w:r w:rsidR="0006068F">
        <w:rPr>
          <w:sz w:val="20"/>
          <w:szCs w:val="20"/>
        </w:rPr>
        <w:t>.</w:t>
      </w:r>
    </w:p>
    <w:p w14:paraId="1FCB76DA" w14:textId="5260F09D" w:rsidR="003C08AA" w:rsidRPr="003C08AA" w:rsidRDefault="003C08AA" w:rsidP="003C08AA">
      <w:bookmarkStart w:id="102" w:name="_Hlk485041109"/>
      <w:r w:rsidRPr="003C08AA">
        <w:t xml:space="preserve">Revenue growth over the </w:t>
      </w:r>
      <w:r>
        <w:t xml:space="preserve">Budget and forward years largely reflects growth in </w:t>
      </w:r>
      <w:r w:rsidR="00EA34A2">
        <w:t>higher</w:t>
      </w:r>
      <w:r w:rsidR="00A8173D">
        <w:t xml:space="preserve"> ACT own-source </w:t>
      </w:r>
      <w:r w:rsidR="00EA6E1D">
        <w:t>taxation</w:t>
      </w:r>
      <w:r w:rsidR="00831879">
        <w:t xml:space="preserve">, increased GST revenues and </w:t>
      </w:r>
      <w:r w:rsidR="00EA34A2">
        <w:t xml:space="preserve">increases in </w:t>
      </w:r>
      <w:r w:rsidR="00A8173D">
        <w:t>Commonwealth grants</w:t>
      </w:r>
      <w:r w:rsidRPr="00CF0384">
        <w:t>.</w:t>
      </w:r>
      <w:r w:rsidR="00116EF7" w:rsidRPr="00CF0384">
        <w:t xml:space="preserve"> </w:t>
      </w:r>
      <w:r w:rsidR="00194446">
        <w:t>One i</w:t>
      </w:r>
      <w:r w:rsidR="00CF0384">
        <w:t>tem that stand</w:t>
      </w:r>
      <w:r w:rsidR="00194446">
        <w:t>s</w:t>
      </w:r>
      <w:r w:rsidR="00CF0384">
        <w:t xml:space="preserve"> out as unusual </w:t>
      </w:r>
      <w:r w:rsidR="00194446">
        <w:t>is</w:t>
      </w:r>
      <w:r w:rsidR="00CF0384">
        <w:t xml:space="preserve"> the significant increase in dividends and income tax equivalents in 2020-21,</w:t>
      </w:r>
      <w:r w:rsidR="00194446">
        <w:t xml:space="preserve"> that is discussed further below</w:t>
      </w:r>
      <w:r w:rsidR="00CF0384">
        <w:t>.</w:t>
      </w:r>
    </w:p>
    <w:p w14:paraId="5B9B406B" w14:textId="77C69B58" w:rsidR="00AC7747" w:rsidRDefault="004733C7" w:rsidP="00BB6383">
      <w:pPr>
        <w:pStyle w:val="Heading2"/>
        <w:spacing w:after="240"/>
      </w:pPr>
      <w:bookmarkStart w:id="103" w:name="_Toc453495120"/>
      <w:bookmarkStart w:id="104" w:name="_Toc453516119"/>
      <w:bookmarkStart w:id="105" w:name="_Toc64529039"/>
      <w:bookmarkEnd w:id="102"/>
      <w:r w:rsidRPr="00072F94">
        <w:t>4</w:t>
      </w:r>
      <w:r w:rsidR="00EA49AD" w:rsidRPr="00072F94">
        <w:t>.</w:t>
      </w:r>
      <w:r w:rsidR="00B71BB5" w:rsidRPr="00072F94">
        <w:t>2</w:t>
      </w:r>
      <w:r w:rsidR="00AC7747" w:rsidRPr="00072F94">
        <w:tab/>
        <w:t>Vertical fiscal imbalance</w:t>
      </w:r>
      <w:bookmarkEnd w:id="103"/>
      <w:bookmarkEnd w:id="104"/>
      <w:bookmarkEnd w:id="105"/>
    </w:p>
    <w:p w14:paraId="6E031DB0" w14:textId="127BBB01" w:rsidR="00AC7747" w:rsidRPr="00BC5460" w:rsidRDefault="00F3444E" w:rsidP="009E3076">
      <w:r w:rsidRPr="00BC5460">
        <w:t>Vert</w:t>
      </w:r>
      <w:r w:rsidR="00976523" w:rsidRPr="00BC5460">
        <w:t>ical</w:t>
      </w:r>
      <w:r w:rsidRPr="00BC5460">
        <w:t xml:space="preserve"> fiscal imbalance refers to circumstances in which one level of government spends less than it collects in taxes and charges, while other levels of government spend more than they raise from taxes and charges. </w:t>
      </w:r>
      <w:r w:rsidR="00435B66" w:rsidRPr="00BC5460">
        <w:t xml:space="preserve">In Australia, </w:t>
      </w:r>
      <w:r w:rsidR="001043BF" w:rsidRPr="00BC5460">
        <w:t>sub-national governments</w:t>
      </w:r>
      <w:r w:rsidR="007D1852" w:rsidRPr="00BC5460">
        <w:t xml:space="preserve"> </w:t>
      </w:r>
      <w:r w:rsidR="00435B66" w:rsidRPr="00BC5460">
        <w:t xml:space="preserve">typically </w:t>
      </w:r>
      <w:r w:rsidRPr="00BC5460">
        <w:t xml:space="preserve">spend more than </w:t>
      </w:r>
      <w:r w:rsidR="001043BF" w:rsidRPr="00BC5460">
        <w:t>they</w:t>
      </w:r>
      <w:r w:rsidRPr="00BC5460">
        <w:t xml:space="preserve"> collect in revenue</w:t>
      </w:r>
      <w:r w:rsidR="001043BF" w:rsidRPr="00BC5460">
        <w:t xml:space="preserve"> and rely on transfers </w:t>
      </w:r>
      <w:r w:rsidR="00435B66" w:rsidRPr="00BC5460">
        <w:t xml:space="preserve">from higher levels of government </w:t>
      </w:r>
      <w:r w:rsidR="001043BF" w:rsidRPr="00BC5460">
        <w:t>to finance part of the revenue shortfall</w:t>
      </w:r>
      <w:r w:rsidRPr="00BC5460">
        <w:t xml:space="preserve">. </w:t>
      </w:r>
      <w:r w:rsidR="00AC7747" w:rsidRPr="00BC5460">
        <w:t>It is wide</w:t>
      </w:r>
      <w:r w:rsidR="00EC1650" w:rsidRPr="00BC5460">
        <w:t xml:space="preserve">ly perceived </w:t>
      </w:r>
      <w:r w:rsidR="003A6F9B" w:rsidRPr="00BC5460">
        <w:t xml:space="preserve">that </w:t>
      </w:r>
      <w:r w:rsidR="00EC1650" w:rsidRPr="00BC5460">
        <w:t xml:space="preserve">the heavy reliance of state and local governments on transfers from above undercuts incentives for responsible fiscal decision-making </w:t>
      </w:r>
      <w:sdt>
        <w:sdtPr>
          <w:id w:val="1718705797"/>
          <w:citation/>
        </w:sdtPr>
        <w:sdtContent>
          <w:r w:rsidR="00AF4AA5" w:rsidRPr="00BC5460">
            <w:fldChar w:fldCharType="begin"/>
          </w:r>
          <w:r w:rsidR="00EC1650" w:rsidRPr="00BC5460">
            <w:instrText xml:space="preserve">CITATION Oat99 \p 1143 \t  \l 3081 </w:instrText>
          </w:r>
          <w:r w:rsidR="00AF4AA5" w:rsidRPr="00BC5460">
            <w:fldChar w:fldCharType="separate"/>
          </w:r>
          <w:r w:rsidR="006C458F" w:rsidRPr="00BC5460">
            <w:rPr>
              <w:noProof/>
            </w:rPr>
            <w:t>(Oates, 1999, p. 1143)</w:t>
          </w:r>
          <w:r w:rsidR="00AF4AA5" w:rsidRPr="00BC5460">
            <w:fldChar w:fldCharType="end"/>
          </w:r>
        </w:sdtContent>
      </w:sdt>
      <w:r w:rsidR="00EC1650" w:rsidRPr="00BC5460">
        <w:t xml:space="preserve">. </w:t>
      </w:r>
    </w:p>
    <w:p w14:paraId="0896DA75" w14:textId="77777777" w:rsidR="00AC7747" w:rsidRPr="00BC5460" w:rsidRDefault="00AC7747" w:rsidP="009E3076">
      <w:r w:rsidRPr="00BC5460">
        <w:t>The degree to which a sub-national government would be held accountable for the revenues at its disposal would increase with the extent of financing through taxes and charges imposed on constituents by that government. Ideally, taxation and charging effort by the sub-national government would be closely matched to revenue requirements. Sub-national taxes should at least be large enough to impose a noticeable burden on constituents.</w:t>
      </w:r>
    </w:p>
    <w:p w14:paraId="7B7F4A06" w14:textId="6A164F47" w:rsidR="007D1852" w:rsidRPr="00BC5460" w:rsidRDefault="007D1852" w:rsidP="007D1852">
      <w:r w:rsidRPr="00BC5460">
        <w:t xml:space="preserve">A ‘hard budget constraint’ is one under which the sub-national government may only increase or decrease spending by increasing or decreasing revenues in a way that they are publicly responsible for </w:t>
      </w:r>
      <w:sdt>
        <w:sdtPr>
          <w:id w:val="-493717801"/>
          <w:citation/>
        </w:sdtPr>
        <w:sdtContent>
          <w:r w:rsidRPr="00BC5460">
            <w:fldChar w:fldCharType="begin"/>
          </w:r>
          <w:r w:rsidRPr="00BC5460">
            <w:instrText xml:space="preserve">CITATION Bir10 \p 78 \t  \l 3081 </w:instrText>
          </w:r>
          <w:r w:rsidRPr="00BC5460">
            <w:fldChar w:fldCharType="separate"/>
          </w:r>
          <w:r w:rsidRPr="00BC5460">
            <w:rPr>
              <w:noProof/>
            </w:rPr>
            <w:t>(Bird &amp; Smart, 2010, p. 78)</w:t>
          </w:r>
          <w:r w:rsidRPr="00BC5460">
            <w:fldChar w:fldCharType="end"/>
          </w:r>
        </w:sdtContent>
      </w:sdt>
      <w:r w:rsidRPr="00BC5460">
        <w:t>, where decisions to expand expenditure programs are made with regard to the political and economic costs of raising the revenue to meet them.</w:t>
      </w:r>
    </w:p>
    <w:p w14:paraId="1E47752D" w14:textId="7BDC0582" w:rsidR="009E3076" w:rsidRPr="00BC5460" w:rsidRDefault="00AC7747" w:rsidP="00DC3CC0">
      <w:pPr>
        <w:pStyle w:val="BodyText"/>
      </w:pPr>
      <w:r w:rsidRPr="00BC5460">
        <w:t xml:space="preserve">In the event that it is not possible to completely overcome the problem of vertical fiscal imbalance, the importance of sub-national governments having responsibility at the margin for raising their own revenues has also been strongly emphasised in the literature </w:t>
      </w:r>
      <w:sdt>
        <w:sdtPr>
          <w:id w:val="1238524010"/>
          <w:citation/>
        </w:sdtPr>
        <w:sdtContent>
          <w:r w:rsidR="00AF4AA5" w:rsidRPr="00BC5460">
            <w:fldChar w:fldCharType="begin"/>
          </w:r>
          <w:r w:rsidR="00B36B3A" w:rsidRPr="00BC5460">
            <w:instrText xml:space="preserve">CITATION Bah08 \p 8 \t  \m Oat08 \p 326 \t  \l 3081 </w:instrText>
          </w:r>
          <w:r w:rsidR="00AF4AA5" w:rsidRPr="00BC5460">
            <w:fldChar w:fldCharType="separate"/>
          </w:r>
          <w:r w:rsidR="006C458F" w:rsidRPr="00BC5460">
            <w:t>(Bahl &amp; Bird, 2008, p. 8; Oates, 2008, p. 326)</w:t>
          </w:r>
          <w:r w:rsidR="00AF4AA5" w:rsidRPr="00BC5460">
            <w:fldChar w:fldCharType="end"/>
          </w:r>
        </w:sdtContent>
      </w:sdt>
      <w:r w:rsidRPr="00BC5460">
        <w:t>. In this case, decisions to expand government expenditure programs would be made having full regard to the additional political and economic costs of raising the revenue. The critical requirement is that, regardless of the form of sub-national taxation, sub-national governments should control the effective tax rate at the margin</w:t>
      </w:r>
      <w:r w:rsidR="009554BF" w:rsidRPr="00BC5460">
        <w:t xml:space="preserve"> </w:t>
      </w:r>
      <w:sdt>
        <w:sdtPr>
          <w:id w:val="938793804"/>
          <w:citation/>
        </w:sdtPr>
        <w:sdtContent>
          <w:r w:rsidR="00AF4AA5" w:rsidRPr="00BC5460">
            <w:fldChar w:fldCharType="begin"/>
          </w:r>
          <w:r w:rsidR="009554BF" w:rsidRPr="00BC5460">
            <w:instrText xml:space="preserve">CITATION Bir10 \p 78 \t  \l 3081 </w:instrText>
          </w:r>
          <w:r w:rsidR="00AF4AA5" w:rsidRPr="00BC5460">
            <w:fldChar w:fldCharType="separate"/>
          </w:r>
          <w:r w:rsidR="006C458F" w:rsidRPr="00BC5460">
            <w:t>(Bird &amp; Smart, 2010, p. 78)</w:t>
          </w:r>
          <w:r w:rsidR="00AF4AA5" w:rsidRPr="00BC5460">
            <w:fldChar w:fldCharType="end"/>
          </w:r>
        </w:sdtContent>
      </w:sdt>
      <w:r w:rsidRPr="00BC5460">
        <w:t xml:space="preserve">. </w:t>
      </w:r>
    </w:p>
    <w:p w14:paraId="5715D90A" w14:textId="289F2895" w:rsidR="00173C1E" w:rsidRPr="007A0C05" w:rsidRDefault="004703CD" w:rsidP="00DC3CC0">
      <w:pPr>
        <w:pStyle w:val="BodyText"/>
      </w:pPr>
      <w:r>
        <w:lastRenderedPageBreak/>
        <w:t>Over the course of</w:t>
      </w:r>
      <w:r w:rsidR="0084679F">
        <w:t xml:space="preserve"> the </w:t>
      </w:r>
      <w:r w:rsidR="00123938" w:rsidRPr="00BC5460">
        <w:t>forward estimates</w:t>
      </w:r>
      <w:r w:rsidR="00C04BB0">
        <w:t>,</w:t>
      </w:r>
      <w:r w:rsidR="00123938" w:rsidRPr="00BC5460">
        <w:t xml:space="preserve"> </w:t>
      </w:r>
      <w:r w:rsidR="005D338E" w:rsidRPr="00BC5460">
        <w:t xml:space="preserve">the ACT Government is </w:t>
      </w:r>
      <w:r w:rsidR="0084679F">
        <w:t xml:space="preserve">gradually moving towards </w:t>
      </w:r>
      <w:r w:rsidR="005D338E" w:rsidRPr="00BC5460">
        <w:t xml:space="preserve">ameliorating the extent of </w:t>
      </w:r>
      <w:r w:rsidR="00123938" w:rsidRPr="00BC5460">
        <w:t xml:space="preserve">vertical fiscal imbalance </w:t>
      </w:r>
      <w:r w:rsidR="00CD2769" w:rsidRPr="00BC5460">
        <w:t xml:space="preserve">in future years through </w:t>
      </w:r>
      <w:r w:rsidR="00123938" w:rsidRPr="00BC5460">
        <w:t>assum</w:t>
      </w:r>
      <w:r w:rsidR="00CD2769" w:rsidRPr="00BC5460">
        <w:t>ing</w:t>
      </w:r>
      <w:r w:rsidR="00123938" w:rsidRPr="00BC5460">
        <w:t xml:space="preserve"> greater responsibility for raising </w:t>
      </w:r>
      <w:r w:rsidR="006D53F1" w:rsidRPr="00BC5460">
        <w:t xml:space="preserve">its </w:t>
      </w:r>
      <w:r w:rsidR="00123938" w:rsidRPr="00BC5460">
        <w:t xml:space="preserve">own </w:t>
      </w:r>
      <w:r w:rsidR="003C47A5" w:rsidRPr="00BC5460">
        <w:t>source taxation</w:t>
      </w:r>
      <w:r w:rsidR="00123938" w:rsidRPr="00BC5460">
        <w:t xml:space="preserve"> at the margin as outlined in </w:t>
      </w:r>
      <w:r w:rsidR="00FF3792" w:rsidRPr="00BC5460">
        <w:t xml:space="preserve">Figure </w:t>
      </w:r>
      <w:r w:rsidR="002A13BC">
        <w:t>15</w:t>
      </w:r>
      <w:r w:rsidR="00865F79" w:rsidRPr="00BC5460">
        <w:t xml:space="preserve"> </w:t>
      </w:r>
      <w:r w:rsidR="001014FB">
        <w:t xml:space="preserve">below </w:t>
      </w:r>
      <w:r w:rsidR="00865F79" w:rsidRPr="00BC5460">
        <w:t xml:space="preserve">through increasing the percentage of its </w:t>
      </w:r>
      <w:r w:rsidR="001D4875" w:rsidRPr="00BC5460">
        <w:t xml:space="preserve">revenue that it raises through </w:t>
      </w:r>
      <w:r w:rsidR="00616584" w:rsidRPr="00BC5460">
        <w:t>from own-source taxation</w:t>
      </w:r>
      <w:r w:rsidR="003F0B27" w:rsidRPr="00BC5460">
        <w:t>.</w:t>
      </w:r>
    </w:p>
    <w:p w14:paraId="7C343164" w14:textId="4821B096" w:rsidR="00123938" w:rsidRDefault="00123938" w:rsidP="004F2CE2">
      <w:pPr>
        <w:pStyle w:val="Caption"/>
        <w:spacing w:before="0"/>
      </w:pPr>
      <w:bookmarkStart w:id="106" w:name="_Toc64529107"/>
      <w:r>
        <w:t xml:space="preserve">Figure </w:t>
      </w:r>
      <w:r w:rsidR="00AF4AA5">
        <w:fldChar w:fldCharType="begin"/>
      </w:r>
      <w:r w:rsidR="00193A0D">
        <w:instrText xml:space="preserve"> SEQ Figure \* ARABIC </w:instrText>
      </w:r>
      <w:r w:rsidR="00AF4AA5">
        <w:fldChar w:fldCharType="separate"/>
      </w:r>
      <w:r w:rsidR="00AB7125">
        <w:rPr>
          <w:noProof/>
        </w:rPr>
        <w:t>15</w:t>
      </w:r>
      <w:r w:rsidR="00AF4AA5">
        <w:rPr>
          <w:noProof/>
        </w:rPr>
        <w:fldChar w:fldCharType="end"/>
      </w:r>
      <w:r>
        <w:t xml:space="preserve">: Percentage </w:t>
      </w:r>
      <w:r w:rsidR="001D4875">
        <w:t xml:space="preserve">of </w:t>
      </w:r>
      <w:r>
        <w:t xml:space="preserve">ACT Government </w:t>
      </w:r>
      <w:r w:rsidR="001D4875">
        <w:t>R</w:t>
      </w:r>
      <w:r>
        <w:t xml:space="preserve">evenue from </w:t>
      </w:r>
      <w:r w:rsidR="001D4875">
        <w:t>O</w:t>
      </w:r>
      <w:r>
        <w:t>wn-</w:t>
      </w:r>
      <w:r w:rsidR="001D4875">
        <w:t>S</w:t>
      </w:r>
      <w:r>
        <w:t xml:space="preserve">ource </w:t>
      </w:r>
      <w:r w:rsidR="001D4875">
        <w:t>T</w:t>
      </w:r>
      <w:r>
        <w:t>axation – 20</w:t>
      </w:r>
      <w:r w:rsidR="00C01337">
        <w:t>1</w:t>
      </w:r>
      <w:r w:rsidR="004703CD">
        <w:t>9-20</w:t>
      </w:r>
      <w:r>
        <w:t xml:space="preserve"> to 202</w:t>
      </w:r>
      <w:r w:rsidR="007A0C05">
        <w:t>2</w:t>
      </w:r>
      <w:r>
        <w:t>-2</w:t>
      </w:r>
      <w:r w:rsidR="007A0C05">
        <w:t>3</w:t>
      </w:r>
      <w:bookmarkEnd w:id="106"/>
    </w:p>
    <w:p w14:paraId="7957C495" w14:textId="0A70001B" w:rsidR="00123938" w:rsidRDefault="004703CD" w:rsidP="004F2CE2">
      <w:pPr>
        <w:spacing w:before="0"/>
      </w:pPr>
      <w:r>
        <w:rPr>
          <w:noProof/>
          <w:sz w:val="20"/>
          <w:szCs w:val="20"/>
          <w:lang w:eastAsia="en-AU"/>
        </w:rPr>
        <w:drawing>
          <wp:inline distT="0" distB="0" distL="0" distR="0" wp14:anchorId="636BC33D" wp14:editId="7CAD79D5">
            <wp:extent cx="5605145" cy="33194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861" cy="3324033"/>
                    </a:xfrm>
                    <a:prstGeom prst="rect">
                      <a:avLst/>
                    </a:prstGeom>
                    <a:noFill/>
                  </pic:spPr>
                </pic:pic>
              </a:graphicData>
            </a:graphic>
          </wp:inline>
        </w:drawing>
      </w:r>
      <w:r w:rsidR="00616584">
        <w:br/>
      </w:r>
      <w:r w:rsidR="00616584" w:rsidRPr="00AB5FC9">
        <w:rPr>
          <w:sz w:val="20"/>
          <w:szCs w:val="20"/>
        </w:rPr>
        <w:t>Source: ACT Government</w:t>
      </w:r>
      <w:r w:rsidR="003C5B34">
        <w:rPr>
          <w:sz w:val="20"/>
          <w:szCs w:val="20"/>
        </w:rPr>
        <w:t xml:space="preserve"> </w:t>
      </w:r>
      <w:sdt>
        <w:sdtPr>
          <w:rPr>
            <w:sz w:val="20"/>
            <w:szCs w:val="20"/>
          </w:rPr>
          <w:id w:val="2081328131"/>
          <w:citation/>
        </w:sdtPr>
        <w:sdtContent>
          <w:r>
            <w:rPr>
              <w:sz w:val="20"/>
              <w:szCs w:val="20"/>
            </w:rPr>
            <w:fldChar w:fldCharType="begin"/>
          </w:r>
          <w:r w:rsidR="00DA22D6">
            <w:rPr>
              <w:sz w:val="20"/>
              <w:szCs w:val="20"/>
            </w:rPr>
            <w:instrText xml:space="preserve">CITATION ACT21 \p 136 \n  \t  \l 3081 </w:instrText>
          </w:r>
          <w:r>
            <w:rPr>
              <w:sz w:val="20"/>
              <w:szCs w:val="20"/>
            </w:rPr>
            <w:fldChar w:fldCharType="separate"/>
          </w:r>
          <w:r w:rsidR="00DA22D6" w:rsidRPr="00DA22D6">
            <w:rPr>
              <w:noProof/>
              <w:sz w:val="20"/>
              <w:szCs w:val="20"/>
            </w:rPr>
            <w:t>(2021, p. 136)</w:t>
          </w:r>
          <w:r>
            <w:rPr>
              <w:sz w:val="20"/>
              <w:szCs w:val="20"/>
            </w:rPr>
            <w:fldChar w:fldCharType="end"/>
          </w:r>
        </w:sdtContent>
      </w:sdt>
    </w:p>
    <w:p w14:paraId="43D8EE75" w14:textId="60915832" w:rsidR="0072134F" w:rsidRDefault="00072F94" w:rsidP="00DC3CC0">
      <w:pPr>
        <w:pStyle w:val="BodyText"/>
      </w:pPr>
      <w:bookmarkStart w:id="107" w:name="_Toc453495121"/>
      <w:bookmarkStart w:id="108" w:name="_Toc453516120"/>
      <w:r>
        <w:t>On the other hand</w:t>
      </w:r>
      <w:r w:rsidR="004703CD">
        <w:t>,</w:t>
      </w:r>
      <w:r w:rsidR="00553E9B">
        <w:t xml:space="preserve"> </w:t>
      </w:r>
      <w:r w:rsidR="00073F6E" w:rsidRPr="00BC5460">
        <w:t xml:space="preserve">it </w:t>
      </w:r>
      <w:r w:rsidR="004703CD">
        <w:t>also</w:t>
      </w:r>
      <w:r w:rsidR="00073F6E" w:rsidRPr="00BC5460">
        <w:t xml:space="preserve"> appear</w:t>
      </w:r>
      <w:r w:rsidR="004703CD">
        <w:t>s</w:t>
      </w:r>
      <w:r w:rsidR="00073F6E" w:rsidRPr="00BC5460">
        <w:t xml:space="preserve"> th</w:t>
      </w:r>
      <w:r w:rsidR="00BF066C" w:rsidRPr="00BC5460">
        <w:t xml:space="preserve">e ACT Government </w:t>
      </w:r>
      <w:r w:rsidR="004703CD">
        <w:t xml:space="preserve">will </w:t>
      </w:r>
      <w:r w:rsidR="00F320E3">
        <w:t>remain heavily</w:t>
      </w:r>
      <w:r w:rsidR="00BF066C" w:rsidRPr="00BC5460">
        <w:t xml:space="preserve"> dependent on the Commonwealth Government </w:t>
      </w:r>
      <w:r w:rsidR="00D7640C" w:rsidRPr="00BC5460">
        <w:t>throug</w:t>
      </w:r>
      <w:r w:rsidR="000F3240" w:rsidRPr="00BC5460">
        <w:t xml:space="preserve">h GST tax revenue and Commonwealth Government </w:t>
      </w:r>
      <w:r w:rsidR="00806572" w:rsidRPr="00BC5460">
        <w:t xml:space="preserve">grants </w:t>
      </w:r>
      <w:r w:rsidR="00F320E3">
        <w:t xml:space="preserve">in the forward estimates </w:t>
      </w:r>
      <w:r w:rsidR="00806572" w:rsidRPr="00BC5460">
        <w:t xml:space="preserve">to fund </w:t>
      </w:r>
      <w:r w:rsidR="00034A34" w:rsidRPr="00BC5460">
        <w:t xml:space="preserve">increases in </w:t>
      </w:r>
      <w:r w:rsidR="00806572" w:rsidRPr="00BC5460">
        <w:t>its re</w:t>
      </w:r>
      <w:r w:rsidR="00034A34" w:rsidRPr="00BC5460">
        <w:t xml:space="preserve">venue and </w:t>
      </w:r>
      <w:r w:rsidR="00271735" w:rsidRPr="00BC5460">
        <w:t xml:space="preserve">may </w:t>
      </w:r>
      <w:r w:rsidR="00034A34" w:rsidRPr="00BC5460">
        <w:t xml:space="preserve">escape </w:t>
      </w:r>
      <w:r w:rsidR="00271735" w:rsidRPr="00BC5460">
        <w:t xml:space="preserve">the incentives and discipline imposed by a hard budget constraint. </w:t>
      </w:r>
      <w:r w:rsidR="0072134F">
        <w:t xml:space="preserve">The percentage of increased ACT Government revenue being funded by the Commonwealth Government is outlined in Figure </w:t>
      </w:r>
      <w:r w:rsidR="002A13BC">
        <w:t>16</w:t>
      </w:r>
      <w:r w:rsidR="0072134F">
        <w:t xml:space="preserve"> below.</w:t>
      </w:r>
    </w:p>
    <w:p w14:paraId="3C924664" w14:textId="0C466E52" w:rsidR="00271735" w:rsidRDefault="00271735" w:rsidP="00B12EFE">
      <w:pPr>
        <w:pStyle w:val="Caption"/>
      </w:pPr>
      <w:bookmarkStart w:id="109" w:name="_Toc64529108"/>
      <w:r>
        <w:t xml:space="preserve">Figure </w:t>
      </w:r>
      <w:r w:rsidR="00700155">
        <w:rPr>
          <w:noProof/>
        </w:rPr>
        <w:fldChar w:fldCharType="begin"/>
      </w:r>
      <w:r w:rsidR="00700155">
        <w:rPr>
          <w:noProof/>
        </w:rPr>
        <w:instrText xml:space="preserve"> SEQ Figure \* ARABIC </w:instrText>
      </w:r>
      <w:r w:rsidR="00700155">
        <w:rPr>
          <w:noProof/>
        </w:rPr>
        <w:fldChar w:fldCharType="separate"/>
      </w:r>
      <w:r w:rsidR="00AB7125">
        <w:rPr>
          <w:noProof/>
        </w:rPr>
        <w:t>16</w:t>
      </w:r>
      <w:r w:rsidR="00700155">
        <w:rPr>
          <w:noProof/>
        </w:rPr>
        <w:fldChar w:fldCharType="end"/>
      </w:r>
      <w:r>
        <w:t xml:space="preserve">: </w:t>
      </w:r>
      <w:r w:rsidR="00AA2B80">
        <w:t xml:space="preserve">Percentage of Increased ACT Government Revenue Funded by </w:t>
      </w:r>
      <w:r w:rsidR="004703CD">
        <w:t>the</w:t>
      </w:r>
      <w:r w:rsidR="003347F0">
        <w:t xml:space="preserve"> Commonwealth Government </w:t>
      </w:r>
      <w:r w:rsidR="004703CD">
        <w:t>– 20</w:t>
      </w:r>
      <w:r w:rsidR="00F320E3">
        <w:t>20</w:t>
      </w:r>
      <w:r w:rsidR="004703CD">
        <w:t>-2</w:t>
      </w:r>
      <w:r w:rsidR="00F320E3">
        <w:t>1</w:t>
      </w:r>
      <w:r w:rsidR="004703CD">
        <w:t xml:space="preserve"> to 202</w:t>
      </w:r>
      <w:r w:rsidR="00F320E3">
        <w:t>3</w:t>
      </w:r>
      <w:r w:rsidR="004703CD">
        <w:t>-2</w:t>
      </w:r>
      <w:r w:rsidR="00F320E3">
        <w:t>4</w:t>
      </w:r>
      <w:bookmarkEnd w:id="109"/>
    </w:p>
    <w:p w14:paraId="16E33F57" w14:textId="180BB616" w:rsidR="003347F0" w:rsidRPr="002D4AA1" w:rsidRDefault="00F320E3" w:rsidP="004F2CE2">
      <w:pPr>
        <w:spacing w:before="0"/>
        <w:rPr>
          <w:sz w:val="20"/>
          <w:szCs w:val="20"/>
        </w:rPr>
      </w:pPr>
      <w:r>
        <w:rPr>
          <w:noProof/>
          <w:sz w:val="20"/>
          <w:szCs w:val="20"/>
          <w:lang w:eastAsia="en-AU"/>
        </w:rPr>
        <w:drawing>
          <wp:inline distT="0" distB="0" distL="0" distR="0" wp14:anchorId="75C7E685" wp14:editId="47338ED7">
            <wp:extent cx="5414645" cy="2605088"/>
            <wp:effectExtent l="0" t="0" r="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535" cy="2610809"/>
                    </a:xfrm>
                    <a:prstGeom prst="rect">
                      <a:avLst/>
                    </a:prstGeom>
                    <a:noFill/>
                  </pic:spPr>
                </pic:pic>
              </a:graphicData>
            </a:graphic>
          </wp:inline>
        </w:drawing>
      </w:r>
      <w:r w:rsidR="002D4AA1">
        <w:br/>
      </w:r>
      <w:r w:rsidR="002D4AA1" w:rsidRPr="002D4AA1">
        <w:rPr>
          <w:sz w:val="20"/>
          <w:szCs w:val="20"/>
        </w:rPr>
        <w:t xml:space="preserve">Sources: ACT Government </w:t>
      </w:r>
      <w:sdt>
        <w:sdtPr>
          <w:rPr>
            <w:sz w:val="20"/>
            <w:szCs w:val="20"/>
          </w:rPr>
          <w:id w:val="951210705"/>
          <w:citation/>
        </w:sdtPr>
        <w:sdtContent>
          <w:r w:rsidR="004703CD">
            <w:rPr>
              <w:sz w:val="20"/>
              <w:szCs w:val="20"/>
            </w:rPr>
            <w:fldChar w:fldCharType="begin"/>
          </w:r>
          <w:r w:rsidR="00DA22D6">
            <w:rPr>
              <w:sz w:val="20"/>
              <w:szCs w:val="20"/>
            </w:rPr>
            <w:instrText xml:space="preserve">CITATION ACT21 \p 136 \n  \t  \l 3081 </w:instrText>
          </w:r>
          <w:r w:rsidR="004703CD">
            <w:rPr>
              <w:sz w:val="20"/>
              <w:szCs w:val="20"/>
            </w:rPr>
            <w:fldChar w:fldCharType="separate"/>
          </w:r>
          <w:r w:rsidR="00DA22D6" w:rsidRPr="00DA22D6">
            <w:rPr>
              <w:noProof/>
              <w:sz w:val="20"/>
              <w:szCs w:val="20"/>
            </w:rPr>
            <w:t>(2021, p. 136)</w:t>
          </w:r>
          <w:r w:rsidR="004703CD">
            <w:rPr>
              <w:sz w:val="20"/>
              <w:szCs w:val="20"/>
            </w:rPr>
            <w:fldChar w:fldCharType="end"/>
          </w:r>
        </w:sdtContent>
      </w:sdt>
      <w:r>
        <w:rPr>
          <w:sz w:val="20"/>
          <w:szCs w:val="20"/>
        </w:rPr>
        <w:t>.</w:t>
      </w:r>
    </w:p>
    <w:p w14:paraId="3C9B5DFD" w14:textId="049EAA5A" w:rsidR="005457DD" w:rsidRPr="00A56120" w:rsidRDefault="005457DD" w:rsidP="005457DD">
      <w:r>
        <w:lastRenderedPageBreak/>
        <w:t xml:space="preserve">The situation where the ACT Government is reliant </w:t>
      </w:r>
      <w:r w:rsidR="000E72F1">
        <w:t xml:space="preserve">on the Commonwealth Government </w:t>
      </w:r>
      <w:r>
        <w:t xml:space="preserve">to fund a significant proportion of its revenue increase contains an element of moral hazard. </w:t>
      </w:r>
      <w:r w:rsidRPr="00A56120">
        <w:t xml:space="preserve">Moral hazard occurs in any situation in which one person makes the decision about how much risk to take, while someone else bears the cost if things go badly’ </w:t>
      </w:r>
      <w:sdt>
        <w:sdtPr>
          <w:id w:val="1045181412"/>
          <w:citation/>
        </w:sdtPr>
        <w:sdtContent>
          <w:r w:rsidRPr="00A56120">
            <w:fldChar w:fldCharType="begin"/>
          </w:r>
          <w:r w:rsidRPr="00A56120">
            <w:instrText xml:space="preserve">CITATION Kru09 \p 63 \t  \l 3081 </w:instrText>
          </w:r>
          <w:r w:rsidRPr="00A56120">
            <w:fldChar w:fldCharType="separate"/>
          </w:r>
          <w:r w:rsidRPr="00A56120">
            <w:rPr>
              <w:noProof/>
            </w:rPr>
            <w:t>(Krugman, 2009, p. 63)</w:t>
          </w:r>
          <w:r w:rsidRPr="00A56120">
            <w:fldChar w:fldCharType="end"/>
          </w:r>
        </w:sdtContent>
      </w:sdt>
      <w:r w:rsidRPr="00A56120">
        <w:t xml:space="preserve">. Moral hazard infers a disposition on the part of individuals or organisations to engage in riskier behaviour, than they otherwise would, because of a tacit assumption that someone else will bear the costs and consequences if the incurred risk turns out badly </w:t>
      </w:r>
      <w:sdt>
        <w:sdtPr>
          <w:id w:val="1488479"/>
          <w:citation/>
        </w:sdtPr>
        <w:sdtContent>
          <w:r w:rsidRPr="00A56120">
            <w:fldChar w:fldCharType="begin"/>
          </w:r>
          <w:r w:rsidRPr="00A56120">
            <w:instrText xml:space="preserve"> CITATION Wol99 \p 60 \l 5129  </w:instrText>
          </w:r>
          <w:r w:rsidRPr="00A56120">
            <w:fldChar w:fldCharType="separate"/>
          </w:r>
          <w:r w:rsidRPr="00A56120">
            <w:rPr>
              <w:noProof/>
            </w:rPr>
            <w:t>(Wolf, 1999, p. 60)</w:t>
          </w:r>
          <w:r w:rsidRPr="00A56120">
            <w:rPr>
              <w:noProof/>
            </w:rPr>
            <w:fldChar w:fldCharType="end"/>
          </w:r>
        </w:sdtContent>
      </w:sdt>
      <w:r w:rsidRPr="00A56120">
        <w:t xml:space="preserve">. The inadequate control of moral hazards often leads to socially excessive risk taking </w:t>
      </w:r>
      <w:sdt>
        <w:sdtPr>
          <w:id w:val="1488480"/>
          <w:citation/>
        </w:sdtPr>
        <w:sdtContent>
          <w:r w:rsidRPr="00A56120">
            <w:fldChar w:fldCharType="begin"/>
          </w:r>
          <w:r w:rsidRPr="00A56120">
            <w:instrText xml:space="preserve"> CITATION Dow09 \p 143 \l 5129  </w:instrText>
          </w:r>
          <w:r w:rsidRPr="00A56120">
            <w:fldChar w:fldCharType="separate"/>
          </w:r>
          <w:r w:rsidRPr="00A56120">
            <w:rPr>
              <w:noProof/>
            </w:rPr>
            <w:t>(Dowd, 2009, p. 143)</w:t>
          </w:r>
          <w:r w:rsidRPr="00A56120">
            <w:rPr>
              <w:noProof/>
            </w:rPr>
            <w:fldChar w:fldCharType="end"/>
          </w:r>
        </w:sdtContent>
      </w:sdt>
      <w:r w:rsidRPr="00A56120">
        <w:t>.</w:t>
      </w:r>
    </w:p>
    <w:p w14:paraId="7D3254D8" w14:textId="4E40360C" w:rsidR="007D1852" w:rsidRPr="0046741C" w:rsidRDefault="007D1852" w:rsidP="00DC3CC0">
      <w:pPr>
        <w:pStyle w:val="BodyText"/>
      </w:pPr>
      <w:r w:rsidRPr="00C54115">
        <w:t xml:space="preserve">Pegasus </w:t>
      </w:r>
      <w:sdt>
        <w:sdtPr>
          <w:id w:val="147562197"/>
          <w:citation/>
        </w:sdtPr>
        <w:sdtContent>
          <w:r w:rsidRPr="00C54115">
            <w:fldChar w:fldCharType="begin"/>
          </w:r>
          <w:r w:rsidRPr="000B21B5">
            <w:instrText xml:space="preserve">CITATION Dav17 \p 17 \t  \l 3081 </w:instrText>
          </w:r>
          <w:r w:rsidRPr="00C54115">
            <w:fldChar w:fldCharType="separate"/>
          </w:r>
          <w:r w:rsidRPr="000B21B5">
            <w:t>(Davey &amp; Fisher, 2017, p. 17)</w:t>
          </w:r>
          <w:r w:rsidRPr="00C54115">
            <w:fldChar w:fldCharType="end"/>
          </w:r>
        </w:sdtContent>
      </w:sdt>
      <w:r w:rsidRPr="00C54115">
        <w:t xml:space="preserve"> has previously </w:t>
      </w:r>
      <w:r>
        <w:t xml:space="preserve">suggested </w:t>
      </w:r>
      <w:r w:rsidRPr="00C54115">
        <w:t xml:space="preserve">that the lack of a hard budget constraint on the ACT may explain the relative inefficiency of the ACT Government in relation to the provision of public health and education services. </w:t>
      </w:r>
      <w:r w:rsidRPr="0046741C">
        <w:t>The move towards a hard budget constraint for the ACT Government w</w:t>
      </w:r>
      <w:r>
        <w:t>ould provide an incentive to</w:t>
      </w:r>
      <w:r w:rsidRPr="0046741C">
        <w:t xml:space="preserve"> ensure that it pays much greater attention to the cost and relative efficiency of the services that it provides.</w:t>
      </w:r>
    </w:p>
    <w:p w14:paraId="3AB15BF6" w14:textId="27B6857E" w:rsidR="00F3444E" w:rsidRDefault="004733C7" w:rsidP="00D43372">
      <w:pPr>
        <w:pStyle w:val="Heading2"/>
        <w:spacing w:after="240"/>
      </w:pPr>
      <w:bookmarkStart w:id="110" w:name="_Toc64529040"/>
      <w:r w:rsidRPr="00072F94">
        <w:t>4</w:t>
      </w:r>
      <w:r w:rsidR="00EA49AD" w:rsidRPr="00072F94">
        <w:t>.</w:t>
      </w:r>
      <w:r w:rsidR="00B71BB5" w:rsidRPr="00072F94">
        <w:t>3</w:t>
      </w:r>
      <w:r w:rsidR="00A32F61" w:rsidRPr="00072F94">
        <w:tab/>
        <w:t>Tax reform</w:t>
      </w:r>
      <w:bookmarkEnd w:id="107"/>
      <w:bookmarkEnd w:id="108"/>
      <w:bookmarkEnd w:id="110"/>
    </w:p>
    <w:p w14:paraId="4121BF77" w14:textId="5914F04F" w:rsidR="00CE2119" w:rsidRDefault="00D01AC9" w:rsidP="00F345D5">
      <w:pPr>
        <w:spacing w:before="240"/>
      </w:pPr>
      <w:r>
        <w:t xml:space="preserve">In the 2012-13 Budget, the ACT Government </w:t>
      </w:r>
      <w:r w:rsidR="00EE646A">
        <w:t xml:space="preserve">committed itself to </w:t>
      </w:r>
      <w:r w:rsidR="00A32F61">
        <w:t>rebalancing its tax base through an ongoing process of gradually reducing and eventually eliminating various taxes on conveyances (sometimes referred to as stamp duty on the sale of land</w:t>
      </w:r>
      <w:r w:rsidR="00EE646A">
        <w:t xml:space="preserve"> for residential and commercial purposes</w:t>
      </w:r>
      <w:r w:rsidR="00A32F61">
        <w:t>)</w:t>
      </w:r>
      <w:r w:rsidR="00EE646A">
        <w:t xml:space="preserve"> </w:t>
      </w:r>
      <w:r w:rsidR="00A32F61">
        <w:t>over a 20</w:t>
      </w:r>
      <w:r w:rsidR="00C04BB0">
        <w:t>-</w:t>
      </w:r>
      <w:r w:rsidR="00A32F61">
        <w:t>year period and replacing the shortfall through an increase in the general rates system</w:t>
      </w:r>
      <w:r w:rsidR="00261B04">
        <w:t xml:space="preserve"> and has already abolished taxes on insurance premiums</w:t>
      </w:r>
      <w:r w:rsidR="00A32F61">
        <w:t xml:space="preserve">. </w:t>
      </w:r>
      <w:r w:rsidR="005E2E1D">
        <w:t xml:space="preserve">In relation to </w:t>
      </w:r>
      <w:r w:rsidR="00841D34">
        <w:t xml:space="preserve">Conveyance Duty the </w:t>
      </w:r>
      <w:r w:rsidR="005429B2">
        <w:t xml:space="preserve">ACT Government </w:t>
      </w:r>
      <w:sdt>
        <w:sdtPr>
          <w:id w:val="66468215"/>
          <w:citation/>
        </w:sdtPr>
        <w:sdtContent>
          <w:r w:rsidR="005429B2">
            <w:fldChar w:fldCharType="begin"/>
          </w:r>
          <w:r w:rsidR="003B16F3">
            <w:instrText xml:space="preserve">CITATION ACT12 \p 46 \n  \t  \l 3081 </w:instrText>
          </w:r>
          <w:r w:rsidR="005429B2">
            <w:fldChar w:fldCharType="separate"/>
          </w:r>
          <w:r w:rsidR="003B16F3">
            <w:rPr>
              <w:noProof/>
            </w:rPr>
            <w:t>(2012, p. 46)</w:t>
          </w:r>
          <w:r w:rsidR="005429B2">
            <w:fldChar w:fldCharType="end"/>
          </w:r>
        </w:sdtContent>
      </w:sdt>
      <w:r w:rsidR="00841D34">
        <w:t xml:space="preserve"> commented at the time:</w:t>
      </w:r>
    </w:p>
    <w:p w14:paraId="262D94ED" w14:textId="674AE98A" w:rsidR="002D6243" w:rsidRDefault="00841D34" w:rsidP="00F61423">
      <w:pPr>
        <w:pStyle w:val="Style1"/>
      </w:pPr>
      <w:r>
        <w:t>The Government will abolish Conveyance Duty over a 20</w:t>
      </w:r>
      <w:r w:rsidR="008C3446">
        <w:t>-</w:t>
      </w:r>
      <w:r>
        <w:t xml:space="preserve">year period. Over the next five years, tax rates will be progressively reduced to phase out Conveyance Duty in the longer term. </w:t>
      </w:r>
    </w:p>
    <w:p w14:paraId="350E0C54" w14:textId="44E03AC0" w:rsidR="002D6243" w:rsidRDefault="00841D34" w:rsidP="00F61423">
      <w:pPr>
        <w:pStyle w:val="Style1"/>
      </w:pPr>
      <w:r>
        <w:t>The reduction in the marginal tax rate will focus on the lower tax brackets.</w:t>
      </w:r>
      <w:r w:rsidR="00E078CC">
        <w:t xml:space="preserve"> …</w:t>
      </w:r>
    </w:p>
    <w:p w14:paraId="1F05647A" w14:textId="3DB71E31" w:rsidR="00841D34" w:rsidRDefault="00841D34" w:rsidP="00F61423">
      <w:pPr>
        <w:pStyle w:val="Style1"/>
      </w:pPr>
      <w:r>
        <w:t>The tax brackets and reduced tax rates will be applicable to both residential and commercial sector transactions.</w:t>
      </w:r>
    </w:p>
    <w:p w14:paraId="6EFD203A" w14:textId="384E921F" w:rsidR="005429B2" w:rsidRDefault="005A5175" w:rsidP="00A32F61">
      <w:r>
        <w:t xml:space="preserve">In relation to general rates, the ACT Government </w:t>
      </w:r>
      <w:sdt>
        <w:sdtPr>
          <w:id w:val="1523049368"/>
          <w:citation/>
        </w:sdtPr>
        <w:sdtContent>
          <w:r w:rsidR="004236BF">
            <w:fldChar w:fldCharType="begin"/>
          </w:r>
          <w:r w:rsidR="003B16F3">
            <w:instrText xml:space="preserve">CITATION ACT12 \p 47 \n  \t  \l 3081 </w:instrText>
          </w:r>
          <w:r w:rsidR="004236BF">
            <w:fldChar w:fldCharType="separate"/>
          </w:r>
          <w:r w:rsidR="003B16F3">
            <w:rPr>
              <w:noProof/>
            </w:rPr>
            <w:t>(2012, p. 47)</w:t>
          </w:r>
          <w:r w:rsidR="004236BF">
            <w:fldChar w:fldCharType="end"/>
          </w:r>
        </w:sdtContent>
      </w:sdt>
      <w:r>
        <w:t xml:space="preserve"> commented at the time:</w:t>
      </w:r>
    </w:p>
    <w:p w14:paraId="7DD01551" w14:textId="1D00B617" w:rsidR="005A5175" w:rsidRDefault="00666AA9" w:rsidP="00F61423">
      <w:pPr>
        <w:pStyle w:val="Style1"/>
      </w:pPr>
      <w:r>
        <w:t>The Government will improve the progressivity of the General Rates system with the introduction of a number of tax brackets and increasing marginal tax rates.</w:t>
      </w:r>
    </w:p>
    <w:p w14:paraId="581500E2" w14:textId="781B82D2" w:rsidR="00855533" w:rsidRDefault="00855533" w:rsidP="00DC3CC0">
      <w:pPr>
        <w:pStyle w:val="BodyText"/>
      </w:pPr>
      <w:r w:rsidRPr="00B53648">
        <w:t xml:space="preserve">The phasing out of stamp duties and the phasing in of the new general rates system </w:t>
      </w:r>
      <w:r w:rsidR="002507C7" w:rsidRPr="00B53648">
        <w:t xml:space="preserve">over the course of 20 years </w:t>
      </w:r>
      <w:r w:rsidR="00523A3B" w:rsidRPr="00B53648">
        <w:t>will be implemented through a series of four</w:t>
      </w:r>
      <w:r w:rsidR="00B53648" w:rsidRPr="00B53648">
        <w:t xml:space="preserve"> separate </w:t>
      </w:r>
      <w:r w:rsidR="005E514F">
        <w:t>stages</w:t>
      </w:r>
      <w:r w:rsidR="00523A3B" w:rsidRPr="00B53648">
        <w:t xml:space="preserve"> </w:t>
      </w:r>
      <w:r w:rsidR="00B53648" w:rsidRPr="00B53648">
        <w:t>to avoid a shock to the property market and to enable the change to be revenue neutral</w:t>
      </w:r>
      <w:r w:rsidR="00EB0D5A">
        <w:t xml:space="preserve"> </w:t>
      </w:r>
      <w:sdt>
        <w:sdtPr>
          <w:id w:val="-1112820726"/>
          <w:citation/>
        </w:sdtPr>
        <w:sdtContent>
          <w:r w:rsidR="00EB0D5A">
            <w:fldChar w:fldCharType="begin"/>
          </w:r>
          <w:r w:rsidR="00EB0D5A">
            <w:instrText xml:space="preserve">CITATION Rea18 \p 4 \t  \l 3081 </w:instrText>
          </w:r>
          <w:r w:rsidR="00EB0D5A">
            <w:fldChar w:fldCharType="separate"/>
          </w:r>
          <w:r w:rsidR="00EB0D5A">
            <w:rPr>
              <w:noProof/>
            </w:rPr>
            <w:t>(Reardon &amp; Hopkins, 2018, p. 4)</w:t>
          </w:r>
          <w:r w:rsidR="00EB0D5A">
            <w:fldChar w:fldCharType="end"/>
          </w:r>
        </w:sdtContent>
      </w:sdt>
      <w:r w:rsidR="00B53648" w:rsidRPr="00B53648">
        <w:t xml:space="preserve">. </w:t>
      </w:r>
      <w:r w:rsidR="005E514F">
        <w:t xml:space="preserve">Stage 3 of the tax reform will commence from 2021-22 and go until 2025-26 and see average rates increase by 3.75 per cent per annum </w:t>
      </w:r>
      <w:sdt>
        <w:sdtPr>
          <w:id w:val="-1579825662"/>
          <w:citation/>
        </w:sdtPr>
        <w:sdtContent>
          <w:r w:rsidR="005E514F">
            <w:fldChar w:fldCharType="begin"/>
          </w:r>
          <w:r w:rsidR="00DA22D6">
            <w:instrText xml:space="preserve">CITATION ACT21 \p 139 \t  \l 3081 </w:instrText>
          </w:r>
          <w:r w:rsidR="005E514F">
            <w:fldChar w:fldCharType="separate"/>
          </w:r>
          <w:r w:rsidR="00DA22D6">
            <w:rPr>
              <w:noProof/>
            </w:rPr>
            <w:t>(ACT Government, 2021, p. 139)</w:t>
          </w:r>
          <w:r w:rsidR="005E514F">
            <w:fldChar w:fldCharType="end"/>
          </w:r>
        </w:sdtContent>
      </w:sdt>
      <w:r w:rsidR="005E514F">
        <w:t>.</w:t>
      </w:r>
    </w:p>
    <w:p w14:paraId="61FCF9AE" w14:textId="75C83757" w:rsidR="00C11FFD" w:rsidRDefault="00C11FFD" w:rsidP="00DC3CC0">
      <w:pPr>
        <w:pStyle w:val="BodyText"/>
      </w:pPr>
      <w:r>
        <w:t xml:space="preserve">Consistent with the objectives of tax reform, revenue from general rates is expected to increase over future years, as outlined in Figure </w:t>
      </w:r>
      <w:r w:rsidR="002A13BC">
        <w:t>17</w:t>
      </w:r>
      <w:r>
        <w:t xml:space="preserve"> below.</w:t>
      </w:r>
    </w:p>
    <w:p w14:paraId="71133515" w14:textId="08E86CFB" w:rsidR="005457DD" w:rsidRDefault="005457DD">
      <w:pPr>
        <w:rPr>
          <w:rFonts w:ascii="Calibri" w:eastAsia="Times New Roman" w:hAnsi="Calibri" w:cs="Times New Roman"/>
          <w:szCs w:val="24"/>
          <w:lang w:eastAsia="en-AU"/>
        </w:rPr>
      </w:pPr>
      <w:r>
        <w:br w:type="page"/>
      </w:r>
    </w:p>
    <w:p w14:paraId="25E37673" w14:textId="3BF5A297" w:rsidR="00C11FFD" w:rsidRDefault="00C11FFD" w:rsidP="00C11FFD">
      <w:pPr>
        <w:pStyle w:val="Caption"/>
      </w:pPr>
      <w:bookmarkStart w:id="111" w:name="_Toc64529109"/>
      <w:r>
        <w:lastRenderedPageBreak/>
        <w:t xml:space="preserve">Figure </w:t>
      </w:r>
      <w:fldSimple w:instr=" SEQ Figure \* ARABIC ">
        <w:r w:rsidR="00AB7125">
          <w:rPr>
            <w:noProof/>
          </w:rPr>
          <w:t>17</w:t>
        </w:r>
      </w:fldSimple>
      <w:r>
        <w:t>: ACT Government Revenue from Commercial, Residential and Rural General Rates – 2019-20 to 2023-24 ($’000)</w:t>
      </w:r>
      <w:bookmarkEnd w:id="111"/>
    </w:p>
    <w:p w14:paraId="1A3E2169" w14:textId="40EFDC5B" w:rsidR="00C11FFD" w:rsidRPr="00C11FFD" w:rsidRDefault="00C11FFD" w:rsidP="00C11FFD">
      <w:pPr>
        <w:spacing w:before="0"/>
      </w:pPr>
      <w:r>
        <w:rPr>
          <w:noProof/>
          <w:lang w:eastAsia="en-AU"/>
        </w:rPr>
        <w:drawing>
          <wp:inline distT="0" distB="0" distL="0" distR="0" wp14:anchorId="19973C20" wp14:editId="7B8AC4CB">
            <wp:extent cx="5690870" cy="3090862"/>
            <wp:effectExtent l="0" t="0" r="5080" b="14605"/>
            <wp:docPr id="1" name="Chart 1">
              <a:extLst xmlns:a="http://schemas.openxmlformats.org/drawingml/2006/main">
                <a:ext uri="{FF2B5EF4-FFF2-40B4-BE49-F238E27FC236}">
                  <a16:creationId xmlns:a16="http://schemas.microsoft.com/office/drawing/2014/main" id="{134D54C6-FE4F-42B9-BFC4-860EB77F5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t xml:space="preserve">Source: ACT Government </w:t>
      </w:r>
      <w:sdt>
        <w:sdtPr>
          <w:id w:val="1755474841"/>
          <w:citation/>
        </w:sdtPr>
        <w:sdtContent>
          <w:r>
            <w:fldChar w:fldCharType="begin"/>
          </w:r>
          <w:r w:rsidR="00DA22D6">
            <w:instrText xml:space="preserve">CITATION ACT21 \p 137 \n  \t  \l 3081 </w:instrText>
          </w:r>
          <w:r>
            <w:fldChar w:fldCharType="separate"/>
          </w:r>
          <w:r w:rsidR="00DA22D6">
            <w:rPr>
              <w:noProof/>
            </w:rPr>
            <w:t>(2021, p. 137)</w:t>
          </w:r>
          <w:r>
            <w:fldChar w:fldCharType="end"/>
          </w:r>
        </w:sdtContent>
      </w:sdt>
      <w:r>
        <w:t>.</w:t>
      </w:r>
    </w:p>
    <w:p w14:paraId="46BAFC91" w14:textId="0736F260" w:rsidR="00A32F61" w:rsidRDefault="00A32F61" w:rsidP="00DC3CC0">
      <w:pPr>
        <w:pStyle w:val="BodyText"/>
      </w:pPr>
      <w:r>
        <w:t xml:space="preserve">The report entitled </w:t>
      </w:r>
      <w:r w:rsidRPr="009A0606">
        <w:rPr>
          <w:i/>
        </w:rPr>
        <w:t>Australia’s Future Tax System: Report to the Treasurer</w:t>
      </w:r>
      <w:r>
        <w:t xml:space="preserve"> </w:t>
      </w:r>
      <w:sdt>
        <w:sdtPr>
          <w:id w:val="3504583"/>
          <w:citation/>
        </w:sdtPr>
        <w:sdtContent>
          <w:r w:rsidR="00AF4AA5">
            <w:fldChar w:fldCharType="begin"/>
          </w:r>
          <w:r>
            <w:rPr>
              <w:lang w:val="en-US"/>
            </w:rPr>
            <w:instrText xml:space="preserve">CITATION Hen10 \p 473 \t  \l 1033 </w:instrText>
          </w:r>
          <w:r w:rsidR="00AF4AA5">
            <w:fldChar w:fldCharType="separate"/>
          </w:r>
          <w:r w:rsidR="006C458F">
            <w:rPr>
              <w:noProof/>
              <w:lang w:val="en-US"/>
            </w:rPr>
            <w:t>(Henry, Harmer, Piggott, Ridout, &amp; Smith, 2010a, p. 473)</w:t>
          </w:r>
          <w:r w:rsidR="00AF4AA5">
            <w:fldChar w:fldCharType="end"/>
          </w:r>
        </w:sdtContent>
      </w:sdt>
      <w:r>
        <w:t xml:space="preserve">, more commonly known as the Henry Tax Review, </w:t>
      </w:r>
      <w:r w:rsidR="00261B04">
        <w:t>w</w:t>
      </w:r>
      <w:r>
        <w:t>as of the view that stamp duty on conveyancing discouraged people from changing their housing to better suit their requirements because of the high transaction costs imposed by stamp duty for doing so:</w:t>
      </w:r>
    </w:p>
    <w:p w14:paraId="683ABBC1" w14:textId="32B2E930" w:rsidR="00A32F61" w:rsidRPr="00703A53" w:rsidRDefault="00A32F61" w:rsidP="00F61423">
      <w:pPr>
        <w:pStyle w:val="Style1"/>
      </w:pPr>
      <w:r>
        <w:t>Ideally, there would be no role for any stamp duties, including conveyancing stamp duties, in a</w:t>
      </w:r>
      <w:r w:rsidR="00BB5817">
        <w:t xml:space="preserve"> modern Australian tax system. </w:t>
      </w:r>
      <w:r>
        <w:t xml:space="preserve">Recognising the revenue needs of the States, the removal of stamp duty should be achieved through a switch to more efficient taxes, such as those on broad consumption or land bases. </w:t>
      </w:r>
      <w:sdt>
        <w:sdtPr>
          <w:id w:val="-930731682"/>
          <w:citation/>
        </w:sdtPr>
        <w:sdtContent>
          <w:r w:rsidR="00AF4AA5" w:rsidRPr="00703A53">
            <w:fldChar w:fldCharType="begin"/>
          </w:r>
          <w:r w:rsidRPr="00703A53">
            <w:instrText xml:space="preserve">CITATION Placeholder1 \p 263 \t  \l 1033 </w:instrText>
          </w:r>
          <w:r w:rsidR="00AF4AA5" w:rsidRPr="00703A53">
            <w:fldChar w:fldCharType="separate"/>
          </w:r>
          <w:r w:rsidR="006C458F" w:rsidRPr="006C458F">
            <w:rPr>
              <w:noProof/>
            </w:rPr>
            <w:t>(Henry, Harmer, Piggott, Ridout, &amp; Smith, 2010, p. 263)</w:t>
          </w:r>
          <w:r w:rsidR="00AF4AA5" w:rsidRPr="00703A53">
            <w:fldChar w:fldCharType="end"/>
          </w:r>
        </w:sdtContent>
      </w:sdt>
    </w:p>
    <w:p w14:paraId="146FD2CB" w14:textId="55A612B2" w:rsidR="00C11FFD" w:rsidRDefault="00C11FFD" w:rsidP="00DC3CC0">
      <w:pPr>
        <w:pStyle w:val="BodyText"/>
      </w:pPr>
      <w:r>
        <w:t xml:space="preserve">One curious feature of the ACT Government’s tax reform is that with an expected buoyant </w:t>
      </w:r>
      <w:r w:rsidR="00CC38A8">
        <w:t xml:space="preserve">ACT </w:t>
      </w:r>
      <w:r>
        <w:t xml:space="preserve">residential property </w:t>
      </w:r>
      <w:r w:rsidR="00CC38A8">
        <w:t>market, residential conveyances will become an increasing tax base for the ACT</w:t>
      </w:r>
      <w:r w:rsidR="005B5FC1">
        <w:t> </w:t>
      </w:r>
      <w:r w:rsidR="00CC38A8">
        <w:t xml:space="preserve">Government over the years ahead. According to the ACT Government </w:t>
      </w:r>
      <w:sdt>
        <w:sdtPr>
          <w:id w:val="1267962876"/>
          <w:citation/>
        </w:sdtPr>
        <w:sdtContent>
          <w:r w:rsidR="00CC38A8">
            <w:fldChar w:fldCharType="begin"/>
          </w:r>
          <w:r w:rsidR="00DA22D6">
            <w:instrText xml:space="preserve">CITATION ACT21 \p 142 \n  \t  \l 3081 </w:instrText>
          </w:r>
          <w:r w:rsidR="00CC38A8">
            <w:fldChar w:fldCharType="separate"/>
          </w:r>
          <w:r w:rsidR="00DA22D6">
            <w:rPr>
              <w:noProof/>
            </w:rPr>
            <w:t>(2021, p. 142)</w:t>
          </w:r>
          <w:r w:rsidR="00CC38A8">
            <w:fldChar w:fldCharType="end"/>
          </w:r>
        </w:sdtContent>
      </w:sdt>
      <w:r w:rsidR="00CC38A8">
        <w:t xml:space="preserve">, this will reflect higher house prices and higher transaction volumes. This is outlined in Figure </w:t>
      </w:r>
      <w:r w:rsidR="002A13BC">
        <w:t>18</w:t>
      </w:r>
      <w:r w:rsidR="00CC38A8">
        <w:t xml:space="preserve"> below.</w:t>
      </w:r>
    </w:p>
    <w:p w14:paraId="60BDEB58" w14:textId="70FA75B1" w:rsidR="008552BD" w:rsidRDefault="008552BD">
      <w:pPr>
        <w:rPr>
          <w:rFonts w:ascii="Calibri" w:eastAsia="Times New Roman" w:hAnsi="Calibri" w:cs="Times New Roman"/>
          <w:szCs w:val="24"/>
          <w:lang w:eastAsia="en-AU"/>
        </w:rPr>
      </w:pPr>
      <w:r>
        <w:br w:type="page"/>
      </w:r>
    </w:p>
    <w:p w14:paraId="5AB6597B" w14:textId="1E347E76" w:rsidR="00CC38A8" w:rsidRDefault="00CC38A8" w:rsidP="00CC38A8">
      <w:pPr>
        <w:pStyle w:val="Caption"/>
      </w:pPr>
      <w:bookmarkStart w:id="112" w:name="_Toc64529110"/>
      <w:r>
        <w:lastRenderedPageBreak/>
        <w:t xml:space="preserve">Figure </w:t>
      </w:r>
      <w:fldSimple w:instr=" SEQ Figure \* ARABIC ">
        <w:r w:rsidR="00AB7125">
          <w:rPr>
            <w:noProof/>
          </w:rPr>
          <w:t>18</w:t>
        </w:r>
      </w:fldSimple>
      <w:r>
        <w:t>: ACT Government Revenue from Residential Conveyances - 2019-20 to 2023-24 ($’000)</w:t>
      </w:r>
      <w:bookmarkEnd w:id="112"/>
    </w:p>
    <w:p w14:paraId="4C3A85A2" w14:textId="1F969CC4" w:rsidR="00CC38A8" w:rsidRDefault="00CC38A8" w:rsidP="00CC38A8">
      <w:pPr>
        <w:pStyle w:val="BodyText"/>
        <w:spacing w:before="0"/>
      </w:pPr>
      <w:r>
        <w:rPr>
          <w:noProof/>
        </w:rPr>
        <w:drawing>
          <wp:inline distT="0" distB="0" distL="0" distR="0" wp14:anchorId="42485354" wp14:editId="2DC350ED">
            <wp:extent cx="5671820" cy="3062869"/>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9999" cy="3072686"/>
                    </a:xfrm>
                    <a:prstGeom prst="rect">
                      <a:avLst/>
                    </a:prstGeom>
                    <a:noFill/>
                  </pic:spPr>
                </pic:pic>
              </a:graphicData>
            </a:graphic>
          </wp:inline>
        </w:drawing>
      </w:r>
      <w:r>
        <w:br/>
        <w:t xml:space="preserve">Source: ACT Government </w:t>
      </w:r>
      <w:sdt>
        <w:sdtPr>
          <w:id w:val="1957366837"/>
          <w:citation/>
        </w:sdtPr>
        <w:sdtContent>
          <w:r>
            <w:fldChar w:fldCharType="begin"/>
          </w:r>
          <w:r w:rsidR="00DA22D6">
            <w:instrText xml:space="preserve">CITATION ACT21 \p 137 \n  \t  \l 3081 </w:instrText>
          </w:r>
          <w:r>
            <w:fldChar w:fldCharType="separate"/>
          </w:r>
          <w:r w:rsidR="00DA22D6">
            <w:rPr>
              <w:noProof/>
            </w:rPr>
            <w:t>(2021, p. 137)</w:t>
          </w:r>
          <w:r>
            <w:fldChar w:fldCharType="end"/>
          </w:r>
        </w:sdtContent>
      </w:sdt>
      <w:r>
        <w:t>.</w:t>
      </w:r>
    </w:p>
    <w:p w14:paraId="55160BF6" w14:textId="5E0E8ED6" w:rsidR="00CC38A8" w:rsidRDefault="001F0568" w:rsidP="00CC38A8">
      <w:pPr>
        <w:pStyle w:val="BodyText"/>
        <w:spacing w:before="0"/>
      </w:pPr>
      <w:r>
        <w:t xml:space="preserve">It appears rather incongruous for the ACT Government to be collecting more revenue from both residential conveyances and general rates while it is supposedly more than midway </w:t>
      </w:r>
      <w:r w:rsidR="00235922">
        <w:t xml:space="preserve">through </w:t>
      </w:r>
      <w:r w:rsidR="00CF0384">
        <w:t xml:space="preserve">its tax reform </w:t>
      </w:r>
      <w:r>
        <w:t>of abolishing residential conveyances altogether. The current ACT Government’s approach to its tax reform risks undermining the main efficiency benefits associated with the policy measure, namely encouraging people to change their housing to better suit their requirements.</w:t>
      </w:r>
    </w:p>
    <w:p w14:paraId="75FDFCCF" w14:textId="243BF024" w:rsidR="001F0568" w:rsidRPr="00C11FFD" w:rsidRDefault="001F0568" w:rsidP="00CC38A8">
      <w:pPr>
        <w:pStyle w:val="BodyText"/>
        <w:spacing w:before="0"/>
      </w:pPr>
      <w:r>
        <w:t xml:space="preserve">The approach foreshadowed by the NSW Government </w:t>
      </w:r>
      <w:sdt>
        <w:sdtPr>
          <w:id w:val="-890731237"/>
          <w:citation/>
        </w:sdtPr>
        <w:sdtContent>
          <w:r w:rsidR="00600CFE">
            <w:fldChar w:fldCharType="begin"/>
          </w:r>
          <w:r w:rsidR="00600CFE">
            <w:instrText xml:space="preserve">CITATION NSW20 \n  \t  \l 3081 </w:instrText>
          </w:r>
          <w:r w:rsidR="00600CFE">
            <w:fldChar w:fldCharType="separate"/>
          </w:r>
          <w:r w:rsidR="00600CFE">
            <w:rPr>
              <w:noProof/>
            </w:rPr>
            <w:t>(2020)</w:t>
          </w:r>
          <w:r w:rsidR="00600CFE">
            <w:fldChar w:fldCharType="end"/>
          </w:r>
        </w:sdtContent>
      </w:sdt>
      <w:r w:rsidR="00600CFE">
        <w:t xml:space="preserve"> of charging annual property tax for those who elect not to pay residential stamp duty may be a faster way to achieve the desired tax reform for the ACT Government and would be worth further consideration. Adopted for the ACT’s purposes, such a policy would impose higher residential general rates on those who chose not to pay residential conveyances on a residential property purchase.</w:t>
      </w:r>
    </w:p>
    <w:p w14:paraId="6D0C9B05" w14:textId="2DFC0EF7" w:rsidR="00304613" w:rsidRDefault="004733C7" w:rsidP="00304613">
      <w:pPr>
        <w:pStyle w:val="Heading2"/>
        <w:spacing w:after="240"/>
      </w:pPr>
      <w:bookmarkStart w:id="113" w:name="_Toc64529041"/>
      <w:r w:rsidRPr="005B5FC1">
        <w:t>4</w:t>
      </w:r>
      <w:r w:rsidR="00152960" w:rsidRPr="005B5FC1">
        <w:t>.4</w:t>
      </w:r>
      <w:r w:rsidR="00304613" w:rsidRPr="005B5FC1">
        <w:tab/>
      </w:r>
      <w:r w:rsidR="00F320E3" w:rsidRPr="005B5FC1">
        <w:t>Dividends and Income Tax Equivalents</w:t>
      </w:r>
      <w:bookmarkEnd w:id="113"/>
    </w:p>
    <w:p w14:paraId="2DE83B37" w14:textId="32FCB748" w:rsidR="00C04BB0" w:rsidRDefault="00CC7B0F" w:rsidP="00CC7B0F">
      <w:pPr>
        <w:pStyle w:val="BodyText"/>
        <w:spacing w:before="0"/>
      </w:pPr>
      <w:r>
        <w:t>Total dividends in 2020-21 are expected to be $332.0 million, an increase of $</w:t>
      </w:r>
      <w:r w:rsidR="004B18C6">
        <w:t>215.</w:t>
      </w:r>
      <w:r w:rsidR="00111571">
        <w:t>6</w:t>
      </w:r>
      <w:r w:rsidR="004B18C6">
        <w:t xml:space="preserve"> </w:t>
      </w:r>
      <w:r>
        <w:t xml:space="preserve">million from the </w:t>
      </w:r>
      <w:r w:rsidR="004B18C6">
        <w:t xml:space="preserve">audited outcome for </w:t>
      </w:r>
      <w:r>
        <w:t>2019-20 Budget. Dividends are expected to decrease in 2021-22 to $149.2 million and then to $79.0 million in 2022-23 and then increase to</w:t>
      </w:r>
      <w:r w:rsidR="00C04BB0">
        <w:t xml:space="preserve"> </w:t>
      </w:r>
      <w:r>
        <w:t>$135.6 million in 2023-24.</w:t>
      </w:r>
      <w:r w:rsidR="0088140B">
        <w:t xml:space="preserve"> </w:t>
      </w:r>
      <w:r w:rsidR="00C04BB0">
        <w:t>The large increase in dividends in 2020-21 is largely the result of a bring forward of land sale</w:t>
      </w:r>
      <w:r w:rsidR="004B18C6">
        <w:t xml:space="preserve">s under the Indicative Land Release Program. Further details of these transactions are provided below. </w:t>
      </w:r>
    </w:p>
    <w:p w14:paraId="49A8720D" w14:textId="5E2C39DB" w:rsidR="00CC7B0F" w:rsidRDefault="00CC7B0F">
      <w:pPr>
        <w:rPr>
          <w:rFonts w:ascii="Calibri" w:eastAsia="Times New Roman" w:hAnsi="Calibri" w:cs="Times New Roman"/>
          <w:szCs w:val="24"/>
          <w:lang w:eastAsia="en-AU"/>
        </w:rPr>
      </w:pPr>
      <w:r>
        <w:br w:type="page"/>
      </w:r>
    </w:p>
    <w:p w14:paraId="2C7B18EC" w14:textId="61DB6907" w:rsidR="00CC7B0F" w:rsidRDefault="00CC7B0F" w:rsidP="00CC7B0F">
      <w:pPr>
        <w:pStyle w:val="Caption"/>
      </w:pPr>
      <w:bookmarkStart w:id="114" w:name="_Ref453489574"/>
      <w:bookmarkStart w:id="115" w:name="_Toc453495090"/>
      <w:bookmarkStart w:id="116" w:name="_Toc453516089"/>
      <w:bookmarkStart w:id="117" w:name="_Toc11145370"/>
      <w:bookmarkStart w:id="118" w:name="_Toc64529085"/>
      <w:r>
        <w:lastRenderedPageBreak/>
        <w:t xml:space="preserve">Table </w:t>
      </w:r>
      <w:r>
        <w:fldChar w:fldCharType="begin"/>
      </w:r>
      <w:r>
        <w:rPr>
          <w:noProof/>
        </w:rPr>
        <w:instrText xml:space="preserve"> SEQ Table \* ARABIC </w:instrText>
      </w:r>
      <w:r>
        <w:fldChar w:fldCharType="separate"/>
      </w:r>
      <w:r w:rsidR="00AB7125">
        <w:rPr>
          <w:noProof/>
        </w:rPr>
        <w:t>5</w:t>
      </w:r>
      <w:r>
        <w:fldChar w:fldCharType="end"/>
      </w:r>
      <w:bookmarkEnd w:id="114"/>
      <w:r>
        <w:t>: Dividends</w:t>
      </w:r>
      <w:bookmarkEnd w:id="115"/>
      <w:bookmarkEnd w:id="116"/>
      <w:r>
        <w:t xml:space="preserve"> from ACT Public Trading Enterprises</w:t>
      </w:r>
      <w:bookmarkEnd w:id="117"/>
      <w:bookmarkEnd w:id="118"/>
    </w:p>
    <w:tbl>
      <w:tblPr>
        <w:tblpPr w:leftFromText="180" w:rightFromText="180" w:bottomFromText="160" w:vertAnchor="text" w:tblpY="1"/>
        <w:tblOverlap w:val="never"/>
        <w:tblW w:w="8476" w:type="dxa"/>
        <w:tblLayout w:type="fixed"/>
        <w:tblLook w:val="04A0" w:firstRow="1" w:lastRow="0" w:firstColumn="1" w:lastColumn="0" w:noHBand="0" w:noVBand="1"/>
      </w:tblPr>
      <w:tblGrid>
        <w:gridCol w:w="2422"/>
        <w:gridCol w:w="1210"/>
        <w:gridCol w:w="1211"/>
        <w:gridCol w:w="1211"/>
        <w:gridCol w:w="1211"/>
        <w:gridCol w:w="1211"/>
      </w:tblGrid>
      <w:tr w:rsidR="00CC7B0F" w14:paraId="7EAC564B" w14:textId="77777777" w:rsidTr="00AC6727">
        <w:trPr>
          <w:trHeight w:val="260"/>
        </w:trPr>
        <w:tc>
          <w:tcPr>
            <w:tcW w:w="2422" w:type="dxa"/>
            <w:tcBorders>
              <w:top w:val="single" w:sz="4" w:space="0" w:color="auto"/>
              <w:left w:val="nil"/>
              <w:bottom w:val="nil"/>
              <w:right w:val="nil"/>
            </w:tcBorders>
            <w:noWrap/>
            <w:hideMark/>
          </w:tcPr>
          <w:p w14:paraId="0977E670" w14:textId="77777777" w:rsidR="00CC7B0F" w:rsidRDefault="00CC7B0F">
            <w:pPr>
              <w:pStyle w:val="EmptyCell"/>
              <w:spacing w:before="0" w:line="254" w:lineRule="auto"/>
            </w:pPr>
            <w:r>
              <w:t>Empty Cell</w:t>
            </w:r>
          </w:p>
        </w:tc>
        <w:tc>
          <w:tcPr>
            <w:tcW w:w="1210" w:type="dxa"/>
            <w:tcBorders>
              <w:top w:val="single" w:sz="4" w:space="0" w:color="auto"/>
              <w:left w:val="nil"/>
              <w:bottom w:val="nil"/>
              <w:right w:val="nil"/>
            </w:tcBorders>
            <w:noWrap/>
            <w:hideMark/>
          </w:tcPr>
          <w:p w14:paraId="57CFFBDA" w14:textId="77777777" w:rsidR="00CC7B0F" w:rsidRDefault="00CC7B0F">
            <w:pPr>
              <w:pStyle w:val="BStableheading"/>
              <w:framePr w:wrap="auto" w:vAnchor="margin" w:yAlign="inline"/>
              <w:spacing w:before="0" w:line="254" w:lineRule="auto"/>
              <w:rPr>
                <w:lang w:eastAsia="en-AU"/>
              </w:rPr>
            </w:pPr>
            <w:r>
              <w:rPr>
                <w:lang w:eastAsia="en-AU"/>
              </w:rPr>
              <w:t>2019-20</w:t>
            </w:r>
          </w:p>
        </w:tc>
        <w:tc>
          <w:tcPr>
            <w:tcW w:w="1211" w:type="dxa"/>
            <w:tcBorders>
              <w:top w:val="single" w:sz="4" w:space="0" w:color="auto"/>
              <w:left w:val="nil"/>
              <w:bottom w:val="nil"/>
              <w:right w:val="nil"/>
            </w:tcBorders>
            <w:noWrap/>
            <w:hideMark/>
          </w:tcPr>
          <w:p w14:paraId="60FDB7A1" w14:textId="77777777" w:rsidR="00CC7B0F" w:rsidRDefault="00CC7B0F">
            <w:pPr>
              <w:pStyle w:val="BStableheading"/>
              <w:framePr w:wrap="auto" w:vAnchor="margin" w:yAlign="inline"/>
              <w:spacing w:before="0" w:line="254" w:lineRule="auto"/>
              <w:rPr>
                <w:lang w:eastAsia="en-AU"/>
              </w:rPr>
            </w:pPr>
            <w:r>
              <w:rPr>
                <w:lang w:eastAsia="en-AU"/>
              </w:rPr>
              <w:t>2020-21</w:t>
            </w:r>
          </w:p>
        </w:tc>
        <w:tc>
          <w:tcPr>
            <w:tcW w:w="1211" w:type="dxa"/>
            <w:tcBorders>
              <w:top w:val="single" w:sz="4" w:space="0" w:color="auto"/>
              <w:left w:val="nil"/>
              <w:bottom w:val="nil"/>
              <w:right w:val="nil"/>
            </w:tcBorders>
            <w:noWrap/>
            <w:hideMark/>
          </w:tcPr>
          <w:p w14:paraId="007A88BD" w14:textId="77777777" w:rsidR="00CC7B0F" w:rsidRDefault="00CC7B0F">
            <w:pPr>
              <w:pStyle w:val="BStableheading"/>
              <w:framePr w:wrap="auto" w:vAnchor="margin" w:yAlign="inline"/>
              <w:spacing w:before="0" w:line="254" w:lineRule="auto"/>
              <w:rPr>
                <w:lang w:eastAsia="en-AU"/>
              </w:rPr>
            </w:pPr>
            <w:r>
              <w:rPr>
                <w:lang w:eastAsia="en-AU"/>
              </w:rPr>
              <w:t>2021-22</w:t>
            </w:r>
          </w:p>
        </w:tc>
        <w:tc>
          <w:tcPr>
            <w:tcW w:w="1211" w:type="dxa"/>
            <w:tcBorders>
              <w:top w:val="single" w:sz="4" w:space="0" w:color="auto"/>
              <w:left w:val="nil"/>
              <w:bottom w:val="nil"/>
              <w:right w:val="nil"/>
            </w:tcBorders>
            <w:noWrap/>
            <w:hideMark/>
          </w:tcPr>
          <w:p w14:paraId="77DC67B0" w14:textId="77777777" w:rsidR="00CC7B0F" w:rsidRDefault="00CC7B0F">
            <w:pPr>
              <w:pStyle w:val="BStableheading"/>
              <w:framePr w:wrap="auto" w:vAnchor="margin" w:yAlign="inline"/>
              <w:spacing w:before="0" w:line="254" w:lineRule="auto"/>
              <w:rPr>
                <w:lang w:eastAsia="en-AU"/>
              </w:rPr>
            </w:pPr>
            <w:r>
              <w:rPr>
                <w:lang w:eastAsia="en-AU"/>
              </w:rPr>
              <w:t>2022-23</w:t>
            </w:r>
          </w:p>
        </w:tc>
        <w:tc>
          <w:tcPr>
            <w:tcW w:w="1211" w:type="dxa"/>
            <w:tcBorders>
              <w:top w:val="single" w:sz="4" w:space="0" w:color="auto"/>
              <w:left w:val="nil"/>
              <w:bottom w:val="nil"/>
              <w:right w:val="nil"/>
            </w:tcBorders>
            <w:noWrap/>
            <w:hideMark/>
          </w:tcPr>
          <w:p w14:paraId="5D82D182" w14:textId="77777777" w:rsidR="00CC7B0F" w:rsidRDefault="00CC7B0F">
            <w:pPr>
              <w:pStyle w:val="BStableheading"/>
              <w:framePr w:wrap="auto" w:vAnchor="margin" w:yAlign="inline"/>
              <w:spacing w:before="0" w:line="254" w:lineRule="auto"/>
              <w:rPr>
                <w:lang w:eastAsia="en-AU"/>
              </w:rPr>
            </w:pPr>
            <w:r>
              <w:rPr>
                <w:lang w:eastAsia="en-AU"/>
              </w:rPr>
              <w:t>2023-24</w:t>
            </w:r>
          </w:p>
        </w:tc>
      </w:tr>
      <w:tr w:rsidR="00CC7B0F" w14:paraId="527D390A" w14:textId="77777777" w:rsidTr="00AC6727">
        <w:trPr>
          <w:trHeight w:val="260"/>
        </w:trPr>
        <w:tc>
          <w:tcPr>
            <w:tcW w:w="2422" w:type="dxa"/>
            <w:noWrap/>
            <w:hideMark/>
          </w:tcPr>
          <w:p w14:paraId="347774EE" w14:textId="77777777" w:rsidR="00CC7B0F" w:rsidRDefault="00CC7B0F">
            <w:pPr>
              <w:pStyle w:val="EmptyCell"/>
              <w:spacing w:before="0" w:line="254" w:lineRule="auto"/>
            </w:pPr>
            <w:r>
              <w:t>Empty Cell</w:t>
            </w:r>
          </w:p>
        </w:tc>
        <w:tc>
          <w:tcPr>
            <w:tcW w:w="1210" w:type="dxa"/>
            <w:hideMark/>
          </w:tcPr>
          <w:p w14:paraId="65CDA7B3" w14:textId="77777777" w:rsidR="00CC7B0F" w:rsidRDefault="00CC7B0F">
            <w:pPr>
              <w:pStyle w:val="BStableheading"/>
              <w:framePr w:wrap="auto" w:vAnchor="margin" w:yAlign="inline"/>
              <w:spacing w:before="0" w:line="254" w:lineRule="auto"/>
              <w:rPr>
                <w:lang w:eastAsia="en-AU"/>
              </w:rPr>
            </w:pPr>
            <w:r>
              <w:rPr>
                <w:lang w:eastAsia="en-AU"/>
              </w:rPr>
              <w:t>Est.  Outcome</w:t>
            </w:r>
          </w:p>
        </w:tc>
        <w:tc>
          <w:tcPr>
            <w:tcW w:w="1211" w:type="dxa"/>
            <w:noWrap/>
            <w:hideMark/>
          </w:tcPr>
          <w:p w14:paraId="1DA764AE" w14:textId="77777777" w:rsidR="00CC7B0F" w:rsidRDefault="00CC7B0F">
            <w:pPr>
              <w:pStyle w:val="BStableheading"/>
              <w:framePr w:wrap="auto" w:vAnchor="margin" w:yAlign="inline"/>
              <w:spacing w:before="0" w:line="254" w:lineRule="auto"/>
              <w:rPr>
                <w:lang w:eastAsia="en-AU"/>
              </w:rPr>
            </w:pPr>
            <w:r>
              <w:rPr>
                <w:lang w:eastAsia="en-AU"/>
              </w:rPr>
              <w:t>Budget</w:t>
            </w:r>
          </w:p>
        </w:tc>
        <w:tc>
          <w:tcPr>
            <w:tcW w:w="1211" w:type="dxa"/>
            <w:noWrap/>
            <w:hideMark/>
          </w:tcPr>
          <w:p w14:paraId="39CE3B35" w14:textId="77777777" w:rsidR="00CC7B0F" w:rsidRDefault="00CC7B0F">
            <w:pPr>
              <w:pStyle w:val="BStableheading"/>
              <w:framePr w:wrap="auto" w:vAnchor="margin" w:yAlign="inline"/>
              <w:spacing w:before="0" w:line="254" w:lineRule="auto"/>
              <w:rPr>
                <w:lang w:eastAsia="en-AU"/>
              </w:rPr>
            </w:pPr>
            <w:r>
              <w:rPr>
                <w:lang w:eastAsia="en-AU"/>
              </w:rPr>
              <w:t>Estimate</w:t>
            </w:r>
          </w:p>
        </w:tc>
        <w:tc>
          <w:tcPr>
            <w:tcW w:w="1211" w:type="dxa"/>
            <w:noWrap/>
            <w:hideMark/>
          </w:tcPr>
          <w:p w14:paraId="37C22B7C" w14:textId="77777777" w:rsidR="00CC7B0F" w:rsidRDefault="00CC7B0F">
            <w:pPr>
              <w:pStyle w:val="BStableheading"/>
              <w:framePr w:wrap="auto" w:vAnchor="margin" w:yAlign="inline"/>
              <w:spacing w:before="0" w:line="254" w:lineRule="auto"/>
              <w:rPr>
                <w:lang w:eastAsia="en-AU"/>
              </w:rPr>
            </w:pPr>
            <w:r>
              <w:rPr>
                <w:lang w:eastAsia="en-AU"/>
              </w:rPr>
              <w:t>Estimate</w:t>
            </w:r>
          </w:p>
        </w:tc>
        <w:tc>
          <w:tcPr>
            <w:tcW w:w="1211" w:type="dxa"/>
            <w:noWrap/>
            <w:hideMark/>
          </w:tcPr>
          <w:p w14:paraId="2F0AF59C" w14:textId="77777777" w:rsidR="00CC7B0F" w:rsidRDefault="00CC7B0F">
            <w:pPr>
              <w:pStyle w:val="BStableheading"/>
              <w:framePr w:wrap="auto" w:vAnchor="margin" w:yAlign="inline"/>
              <w:spacing w:before="0" w:line="254" w:lineRule="auto"/>
              <w:rPr>
                <w:lang w:eastAsia="en-AU"/>
              </w:rPr>
            </w:pPr>
            <w:r>
              <w:rPr>
                <w:lang w:eastAsia="en-AU"/>
              </w:rPr>
              <w:t>Estimate</w:t>
            </w:r>
          </w:p>
        </w:tc>
      </w:tr>
      <w:tr w:rsidR="00CC7B0F" w14:paraId="5311118F" w14:textId="77777777" w:rsidTr="00AC6727">
        <w:trPr>
          <w:trHeight w:val="260"/>
        </w:trPr>
        <w:tc>
          <w:tcPr>
            <w:tcW w:w="2422" w:type="dxa"/>
            <w:tcBorders>
              <w:top w:val="nil"/>
              <w:left w:val="nil"/>
              <w:bottom w:val="single" w:sz="4" w:space="0" w:color="auto"/>
              <w:right w:val="nil"/>
            </w:tcBorders>
            <w:noWrap/>
            <w:hideMark/>
          </w:tcPr>
          <w:p w14:paraId="29020688" w14:textId="77777777" w:rsidR="00CC7B0F" w:rsidRDefault="00CC7B0F">
            <w:pPr>
              <w:pStyle w:val="EmptyCell"/>
              <w:spacing w:before="0" w:line="254" w:lineRule="auto"/>
            </w:pPr>
            <w:r>
              <w:t>Empty Cell</w:t>
            </w:r>
          </w:p>
        </w:tc>
        <w:tc>
          <w:tcPr>
            <w:tcW w:w="1210" w:type="dxa"/>
            <w:tcBorders>
              <w:top w:val="nil"/>
              <w:left w:val="nil"/>
              <w:bottom w:val="single" w:sz="4" w:space="0" w:color="auto"/>
              <w:right w:val="nil"/>
            </w:tcBorders>
            <w:noWrap/>
            <w:hideMark/>
          </w:tcPr>
          <w:p w14:paraId="4DC15756" w14:textId="77777777" w:rsidR="00CC7B0F" w:rsidRDefault="00CC7B0F">
            <w:pPr>
              <w:pStyle w:val="BStableheading"/>
              <w:framePr w:wrap="auto" w:vAnchor="margin" w:yAlign="inline"/>
              <w:spacing w:before="0" w:line="254" w:lineRule="auto"/>
              <w:rPr>
                <w:lang w:eastAsia="en-AU"/>
              </w:rPr>
            </w:pPr>
            <w:r>
              <w:rPr>
                <w:lang w:eastAsia="en-AU"/>
              </w:rPr>
              <w:t>$'000</w:t>
            </w:r>
          </w:p>
        </w:tc>
        <w:tc>
          <w:tcPr>
            <w:tcW w:w="1211" w:type="dxa"/>
            <w:tcBorders>
              <w:top w:val="nil"/>
              <w:left w:val="nil"/>
              <w:bottom w:val="single" w:sz="4" w:space="0" w:color="auto"/>
              <w:right w:val="nil"/>
            </w:tcBorders>
            <w:noWrap/>
            <w:hideMark/>
          </w:tcPr>
          <w:p w14:paraId="0D406679" w14:textId="77777777" w:rsidR="00CC7B0F" w:rsidRDefault="00CC7B0F">
            <w:pPr>
              <w:pStyle w:val="BStableheading"/>
              <w:framePr w:wrap="auto" w:vAnchor="margin" w:yAlign="inline"/>
              <w:spacing w:before="0" w:line="254" w:lineRule="auto"/>
              <w:rPr>
                <w:lang w:eastAsia="en-AU"/>
              </w:rPr>
            </w:pPr>
            <w:r>
              <w:rPr>
                <w:lang w:eastAsia="en-AU"/>
              </w:rPr>
              <w:t>$'000</w:t>
            </w:r>
          </w:p>
        </w:tc>
        <w:tc>
          <w:tcPr>
            <w:tcW w:w="1211" w:type="dxa"/>
            <w:tcBorders>
              <w:top w:val="nil"/>
              <w:left w:val="nil"/>
              <w:bottom w:val="single" w:sz="4" w:space="0" w:color="auto"/>
              <w:right w:val="nil"/>
            </w:tcBorders>
            <w:noWrap/>
            <w:hideMark/>
          </w:tcPr>
          <w:p w14:paraId="7AA7D678" w14:textId="77777777" w:rsidR="00CC7B0F" w:rsidRDefault="00CC7B0F">
            <w:pPr>
              <w:pStyle w:val="BStableheading"/>
              <w:framePr w:wrap="auto" w:vAnchor="margin" w:yAlign="inline"/>
              <w:spacing w:before="0" w:line="254" w:lineRule="auto"/>
              <w:rPr>
                <w:lang w:eastAsia="en-AU"/>
              </w:rPr>
            </w:pPr>
            <w:r>
              <w:rPr>
                <w:lang w:eastAsia="en-AU"/>
              </w:rPr>
              <w:t>$'000</w:t>
            </w:r>
          </w:p>
        </w:tc>
        <w:tc>
          <w:tcPr>
            <w:tcW w:w="1211" w:type="dxa"/>
            <w:tcBorders>
              <w:top w:val="nil"/>
              <w:left w:val="nil"/>
              <w:bottom w:val="single" w:sz="4" w:space="0" w:color="auto"/>
              <w:right w:val="nil"/>
            </w:tcBorders>
            <w:noWrap/>
            <w:hideMark/>
          </w:tcPr>
          <w:p w14:paraId="13DBA15F" w14:textId="77777777" w:rsidR="00CC7B0F" w:rsidRDefault="00CC7B0F">
            <w:pPr>
              <w:pStyle w:val="BStableheading"/>
              <w:framePr w:wrap="auto" w:vAnchor="margin" w:yAlign="inline"/>
              <w:spacing w:before="0" w:line="254" w:lineRule="auto"/>
              <w:rPr>
                <w:lang w:eastAsia="en-AU"/>
              </w:rPr>
            </w:pPr>
            <w:r>
              <w:rPr>
                <w:lang w:eastAsia="en-AU"/>
              </w:rPr>
              <w:t>$'000</w:t>
            </w:r>
          </w:p>
        </w:tc>
        <w:tc>
          <w:tcPr>
            <w:tcW w:w="1211" w:type="dxa"/>
            <w:tcBorders>
              <w:top w:val="nil"/>
              <w:left w:val="nil"/>
              <w:bottom w:val="single" w:sz="4" w:space="0" w:color="auto"/>
              <w:right w:val="nil"/>
            </w:tcBorders>
            <w:noWrap/>
            <w:hideMark/>
          </w:tcPr>
          <w:p w14:paraId="6BCA8304" w14:textId="77777777" w:rsidR="00CC7B0F" w:rsidRDefault="00CC7B0F">
            <w:pPr>
              <w:pStyle w:val="BStableheading"/>
              <w:framePr w:wrap="auto" w:vAnchor="margin" w:yAlign="inline"/>
              <w:spacing w:before="0" w:line="254" w:lineRule="auto"/>
              <w:rPr>
                <w:lang w:eastAsia="en-AU"/>
              </w:rPr>
            </w:pPr>
            <w:r>
              <w:rPr>
                <w:lang w:eastAsia="en-AU"/>
              </w:rPr>
              <w:t>$'000</w:t>
            </w:r>
          </w:p>
        </w:tc>
      </w:tr>
      <w:tr w:rsidR="00CC7B0F" w14:paraId="05F3B01A" w14:textId="77777777" w:rsidTr="00AC6727">
        <w:trPr>
          <w:trHeight w:val="260"/>
        </w:trPr>
        <w:tc>
          <w:tcPr>
            <w:tcW w:w="2422" w:type="dxa"/>
            <w:hideMark/>
          </w:tcPr>
          <w:p w14:paraId="50DB845F" w14:textId="77777777" w:rsidR="00CC7B0F" w:rsidRDefault="00CC7B0F">
            <w:pPr>
              <w:pStyle w:val="BStabletextbold"/>
              <w:rPr>
                <w:lang w:eastAsia="en-US"/>
              </w:rPr>
            </w:pPr>
            <w:r>
              <w:rPr>
                <w:lang w:eastAsia="en-US"/>
              </w:rPr>
              <w:t>Dividends</w:t>
            </w:r>
          </w:p>
        </w:tc>
        <w:tc>
          <w:tcPr>
            <w:tcW w:w="1210" w:type="dxa"/>
            <w:noWrap/>
            <w:hideMark/>
          </w:tcPr>
          <w:p w14:paraId="10722028" w14:textId="77777777" w:rsidR="00CC7B0F" w:rsidRDefault="00CC7B0F">
            <w:pPr>
              <w:pStyle w:val="EmptyCell"/>
              <w:spacing w:before="0" w:line="254" w:lineRule="auto"/>
            </w:pPr>
            <w:r>
              <w:t>Empty Cell</w:t>
            </w:r>
          </w:p>
        </w:tc>
        <w:tc>
          <w:tcPr>
            <w:tcW w:w="1211" w:type="dxa"/>
            <w:noWrap/>
            <w:hideMark/>
          </w:tcPr>
          <w:p w14:paraId="05486ABD" w14:textId="77777777" w:rsidR="00CC7B0F" w:rsidRDefault="00CC7B0F">
            <w:pPr>
              <w:pStyle w:val="EmptyCell"/>
              <w:spacing w:before="0" w:line="254" w:lineRule="auto"/>
            </w:pPr>
            <w:r>
              <w:t>Empty Cell</w:t>
            </w:r>
          </w:p>
        </w:tc>
        <w:tc>
          <w:tcPr>
            <w:tcW w:w="1211" w:type="dxa"/>
            <w:noWrap/>
            <w:hideMark/>
          </w:tcPr>
          <w:p w14:paraId="46337DB9" w14:textId="77777777" w:rsidR="00CC7B0F" w:rsidRDefault="00CC7B0F">
            <w:pPr>
              <w:pStyle w:val="EmptyCell"/>
              <w:spacing w:before="0" w:line="254" w:lineRule="auto"/>
            </w:pPr>
            <w:r>
              <w:t>Empty Cell</w:t>
            </w:r>
          </w:p>
        </w:tc>
        <w:tc>
          <w:tcPr>
            <w:tcW w:w="1211" w:type="dxa"/>
            <w:noWrap/>
            <w:hideMark/>
          </w:tcPr>
          <w:p w14:paraId="406AEA5D" w14:textId="77777777" w:rsidR="00CC7B0F" w:rsidRDefault="00CC7B0F">
            <w:pPr>
              <w:pStyle w:val="EmptyCell"/>
              <w:spacing w:before="0" w:line="254" w:lineRule="auto"/>
            </w:pPr>
            <w:r>
              <w:t>Empty Cell</w:t>
            </w:r>
          </w:p>
        </w:tc>
        <w:tc>
          <w:tcPr>
            <w:tcW w:w="1211" w:type="dxa"/>
            <w:noWrap/>
            <w:hideMark/>
          </w:tcPr>
          <w:p w14:paraId="60ADC88D" w14:textId="77777777" w:rsidR="00CC7B0F" w:rsidRDefault="00CC7B0F">
            <w:pPr>
              <w:pStyle w:val="EmptyCell"/>
              <w:spacing w:before="0" w:line="254" w:lineRule="auto"/>
            </w:pPr>
            <w:r>
              <w:t>Empty Cell</w:t>
            </w:r>
          </w:p>
        </w:tc>
      </w:tr>
      <w:tr w:rsidR="00CC7B0F" w14:paraId="2989BD94" w14:textId="77777777" w:rsidTr="00AC6727">
        <w:trPr>
          <w:trHeight w:val="260"/>
        </w:trPr>
        <w:tc>
          <w:tcPr>
            <w:tcW w:w="2422" w:type="dxa"/>
            <w:noWrap/>
            <w:hideMark/>
          </w:tcPr>
          <w:p w14:paraId="70B797FB" w14:textId="77777777" w:rsidR="00CC7B0F" w:rsidRDefault="00CC7B0F">
            <w:pPr>
              <w:pStyle w:val="BStabletext"/>
              <w:rPr>
                <w:lang w:eastAsia="en-US"/>
              </w:rPr>
            </w:pPr>
            <w:r>
              <w:rPr>
                <w:lang w:eastAsia="en-US"/>
              </w:rPr>
              <w:t>Dividends – Icon Water</w:t>
            </w:r>
          </w:p>
        </w:tc>
        <w:tc>
          <w:tcPr>
            <w:tcW w:w="1210" w:type="dxa"/>
            <w:noWrap/>
            <w:hideMark/>
          </w:tcPr>
          <w:p w14:paraId="4E4E5D69" w14:textId="354B1EC0" w:rsidR="00CC7B0F" w:rsidRDefault="00111571">
            <w:pPr>
              <w:pStyle w:val="BStablefigures"/>
              <w:rPr>
                <w:lang w:eastAsia="en-US"/>
              </w:rPr>
            </w:pPr>
            <w:r>
              <w:rPr>
                <w:lang w:eastAsia="en-US"/>
              </w:rPr>
              <w:t>51.278</w:t>
            </w:r>
          </w:p>
        </w:tc>
        <w:tc>
          <w:tcPr>
            <w:tcW w:w="1211" w:type="dxa"/>
            <w:noWrap/>
            <w:hideMark/>
          </w:tcPr>
          <w:p w14:paraId="2F626E45" w14:textId="77777777" w:rsidR="00CC7B0F" w:rsidRDefault="00CC7B0F">
            <w:pPr>
              <w:pStyle w:val="BStablefigures"/>
              <w:rPr>
                <w:lang w:eastAsia="en-US"/>
              </w:rPr>
            </w:pPr>
            <w:r>
              <w:rPr>
                <w:lang w:eastAsia="en-US"/>
              </w:rPr>
              <w:t>42,390</w:t>
            </w:r>
          </w:p>
        </w:tc>
        <w:tc>
          <w:tcPr>
            <w:tcW w:w="1211" w:type="dxa"/>
            <w:noWrap/>
            <w:hideMark/>
          </w:tcPr>
          <w:p w14:paraId="6E2D20D5" w14:textId="77777777" w:rsidR="00CC7B0F" w:rsidRDefault="00CC7B0F">
            <w:pPr>
              <w:pStyle w:val="BStablefigures"/>
              <w:rPr>
                <w:lang w:eastAsia="en-US"/>
              </w:rPr>
            </w:pPr>
            <w:r>
              <w:rPr>
                <w:lang w:eastAsia="en-US"/>
              </w:rPr>
              <w:t>49,957</w:t>
            </w:r>
          </w:p>
        </w:tc>
        <w:tc>
          <w:tcPr>
            <w:tcW w:w="1211" w:type="dxa"/>
            <w:noWrap/>
            <w:hideMark/>
          </w:tcPr>
          <w:p w14:paraId="54518E6D" w14:textId="77777777" w:rsidR="00CC7B0F" w:rsidRDefault="00CC7B0F">
            <w:pPr>
              <w:pStyle w:val="BStablefigures"/>
              <w:rPr>
                <w:lang w:eastAsia="en-US"/>
              </w:rPr>
            </w:pPr>
            <w:r>
              <w:rPr>
                <w:lang w:eastAsia="en-US"/>
              </w:rPr>
              <w:t>64,170</w:t>
            </w:r>
          </w:p>
        </w:tc>
        <w:tc>
          <w:tcPr>
            <w:tcW w:w="1211" w:type="dxa"/>
            <w:noWrap/>
            <w:hideMark/>
          </w:tcPr>
          <w:p w14:paraId="57D1DFF6" w14:textId="77777777" w:rsidR="00CC7B0F" w:rsidRDefault="00CC7B0F">
            <w:pPr>
              <w:pStyle w:val="BStablefigures"/>
              <w:rPr>
                <w:lang w:eastAsia="en-US"/>
              </w:rPr>
            </w:pPr>
            <w:r>
              <w:rPr>
                <w:lang w:eastAsia="en-US"/>
              </w:rPr>
              <w:t>70,650</w:t>
            </w:r>
          </w:p>
        </w:tc>
      </w:tr>
      <w:tr w:rsidR="00CC7B0F" w14:paraId="0F408480" w14:textId="77777777" w:rsidTr="00AC6727">
        <w:trPr>
          <w:trHeight w:val="260"/>
        </w:trPr>
        <w:tc>
          <w:tcPr>
            <w:tcW w:w="2422" w:type="dxa"/>
            <w:noWrap/>
            <w:hideMark/>
          </w:tcPr>
          <w:p w14:paraId="243AAF1C" w14:textId="77777777" w:rsidR="00CC7B0F" w:rsidRDefault="00CC7B0F">
            <w:pPr>
              <w:pStyle w:val="BStabletext"/>
              <w:rPr>
                <w:lang w:eastAsia="en-US"/>
              </w:rPr>
            </w:pPr>
            <w:r>
              <w:rPr>
                <w:lang w:eastAsia="en-US"/>
              </w:rPr>
              <w:t>Dividends – CIT Solutions</w:t>
            </w:r>
          </w:p>
        </w:tc>
        <w:tc>
          <w:tcPr>
            <w:tcW w:w="1210" w:type="dxa"/>
            <w:noWrap/>
            <w:hideMark/>
          </w:tcPr>
          <w:p w14:paraId="7A5C7E90" w14:textId="613027FC" w:rsidR="00CC7B0F" w:rsidRDefault="00CC7B0F">
            <w:pPr>
              <w:pStyle w:val="BStablefigures"/>
              <w:rPr>
                <w:lang w:eastAsia="en-US"/>
              </w:rPr>
            </w:pPr>
          </w:p>
        </w:tc>
        <w:tc>
          <w:tcPr>
            <w:tcW w:w="1211" w:type="dxa"/>
            <w:noWrap/>
            <w:hideMark/>
          </w:tcPr>
          <w:p w14:paraId="49705FC2" w14:textId="77777777" w:rsidR="00CC7B0F" w:rsidRDefault="00CC7B0F">
            <w:pPr>
              <w:pStyle w:val="BStablefigures"/>
              <w:rPr>
                <w:lang w:eastAsia="en-US"/>
              </w:rPr>
            </w:pPr>
            <w:r>
              <w:rPr>
                <w:lang w:eastAsia="en-US"/>
              </w:rPr>
              <w:t>500</w:t>
            </w:r>
          </w:p>
        </w:tc>
        <w:tc>
          <w:tcPr>
            <w:tcW w:w="1211" w:type="dxa"/>
            <w:noWrap/>
            <w:hideMark/>
          </w:tcPr>
          <w:p w14:paraId="771682A5" w14:textId="77777777" w:rsidR="00CC7B0F" w:rsidRDefault="00CC7B0F">
            <w:pPr>
              <w:pStyle w:val="BStablefigures"/>
              <w:rPr>
                <w:lang w:eastAsia="en-US"/>
              </w:rPr>
            </w:pPr>
            <w:r>
              <w:rPr>
                <w:lang w:eastAsia="en-US"/>
              </w:rPr>
              <w:t>500</w:t>
            </w:r>
          </w:p>
        </w:tc>
        <w:tc>
          <w:tcPr>
            <w:tcW w:w="1211" w:type="dxa"/>
            <w:noWrap/>
            <w:hideMark/>
          </w:tcPr>
          <w:p w14:paraId="359EE6BC" w14:textId="77777777" w:rsidR="00CC7B0F" w:rsidRDefault="00CC7B0F">
            <w:pPr>
              <w:pStyle w:val="BStablefigures"/>
              <w:rPr>
                <w:lang w:eastAsia="en-US"/>
              </w:rPr>
            </w:pPr>
            <w:r>
              <w:rPr>
                <w:lang w:eastAsia="en-US"/>
              </w:rPr>
              <w:t>500</w:t>
            </w:r>
          </w:p>
        </w:tc>
        <w:tc>
          <w:tcPr>
            <w:tcW w:w="1211" w:type="dxa"/>
            <w:noWrap/>
            <w:hideMark/>
          </w:tcPr>
          <w:p w14:paraId="2C067844" w14:textId="77777777" w:rsidR="00CC7B0F" w:rsidRDefault="00CC7B0F">
            <w:pPr>
              <w:pStyle w:val="BStablefigures"/>
              <w:rPr>
                <w:lang w:eastAsia="en-US"/>
              </w:rPr>
            </w:pPr>
            <w:r>
              <w:rPr>
                <w:lang w:eastAsia="en-US"/>
              </w:rPr>
              <w:t>500</w:t>
            </w:r>
          </w:p>
        </w:tc>
      </w:tr>
      <w:tr w:rsidR="00CC7B0F" w14:paraId="5DE55D6C" w14:textId="77777777" w:rsidTr="00AC6727">
        <w:trPr>
          <w:trHeight w:val="260"/>
        </w:trPr>
        <w:tc>
          <w:tcPr>
            <w:tcW w:w="2422" w:type="dxa"/>
            <w:tcBorders>
              <w:bottom w:val="single" w:sz="4" w:space="0" w:color="auto"/>
            </w:tcBorders>
            <w:hideMark/>
          </w:tcPr>
          <w:p w14:paraId="3927D407" w14:textId="77777777" w:rsidR="00CC7B0F" w:rsidRDefault="00CC7B0F">
            <w:pPr>
              <w:pStyle w:val="BStabletext"/>
              <w:rPr>
                <w:lang w:eastAsia="en-US"/>
              </w:rPr>
            </w:pPr>
            <w:r>
              <w:rPr>
                <w:lang w:eastAsia="en-US"/>
              </w:rPr>
              <w:t>Dividends – City Renewal Authority and Suburban Land Agency</w:t>
            </w:r>
          </w:p>
        </w:tc>
        <w:tc>
          <w:tcPr>
            <w:tcW w:w="1210" w:type="dxa"/>
            <w:tcBorders>
              <w:bottom w:val="single" w:sz="4" w:space="0" w:color="auto"/>
            </w:tcBorders>
            <w:noWrap/>
            <w:hideMark/>
          </w:tcPr>
          <w:p w14:paraId="47FDECDB" w14:textId="2124231E" w:rsidR="00CC7B0F" w:rsidRDefault="00111571">
            <w:pPr>
              <w:pStyle w:val="BStablefigures"/>
              <w:rPr>
                <w:lang w:eastAsia="en-US"/>
              </w:rPr>
            </w:pPr>
            <w:r>
              <w:rPr>
                <w:lang w:eastAsia="en-US"/>
              </w:rPr>
              <w:t>65,183</w:t>
            </w:r>
          </w:p>
        </w:tc>
        <w:tc>
          <w:tcPr>
            <w:tcW w:w="1211" w:type="dxa"/>
            <w:tcBorders>
              <w:bottom w:val="single" w:sz="4" w:space="0" w:color="auto"/>
            </w:tcBorders>
            <w:noWrap/>
            <w:hideMark/>
          </w:tcPr>
          <w:p w14:paraId="73745F01" w14:textId="77777777" w:rsidR="00CC7B0F" w:rsidRDefault="00CC7B0F">
            <w:pPr>
              <w:pStyle w:val="BStablefigures"/>
              <w:rPr>
                <w:lang w:eastAsia="en-US"/>
              </w:rPr>
            </w:pPr>
            <w:r>
              <w:rPr>
                <w:lang w:eastAsia="en-US"/>
              </w:rPr>
              <w:t>289,140</w:t>
            </w:r>
          </w:p>
        </w:tc>
        <w:tc>
          <w:tcPr>
            <w:tcW w:w="1211" w:type="dxa"/>
            <w:tcBorders>
              <w:bottom w:val="single" w:sz="4" w:space="0" w:color="auto"/>
            </w:tcBorders>
            <w:noWrap/>
            <w:hideMark/>
          </w:tcPr>
          <w:p w14:paraId="526D9436" w14:textId="77777777" w:rsidR="00CC7B0F" w:rsidRDefault="00CC7B0F">
            <w:pPr>
              <w:pStyle w:val="BStablefigures"/>
              <w:rPr>
                <w:lang w:eastAsia="en-US"/>
              </w:rPr>
            </w:pPr>
            <w:r>
              <w:rPr>
                <w:lang w:eastAsia="en-US"/>
              </w:rPr>
              <w:t>98,746</w:t>
            </w:r>
          </w:p>
        </w:tc>
        <w:tc>
          <w:tcPr>
            <w:tcW w:w="1211" w:type="dxa"/>
            <w:tcBorders>
              <w:bottom w:val="single" w:sz="4" w:space="0" w:color="auto"/>
            </w:tcBorders>
            <w:noWrap/>
            <w:hideMark/>
          </w:tcPr>
          <w:p w14:paraId="50DBB65B" w14:textId="77777777" w:rsidR="00CC7B0F" w:rsidRDefault="00CC7B0F">
            <w:pPr>
              <w:pStyle w:val="BStablefigures"/>
              <w:rPr>
                <w:lang w:eastAsia="en-US"/>
              </w:rPr>
            </w:pPr>
            <w:r>
              <w:rPr>
                <w:lang w:eastAsia="en-US"/>
              </w:rPr>
              <w:t>14,377</w:t>
            </w:r>
          </w:p>
        </w:tc>
        <w:tc>
          <w:tcPr>
            <w:tcW w:w="1211" w:type="dxa"/>
            <w:tcBorders>
              <w:bottom w:val="single" w:sz="4" w:space="0" w:color="auto"/>
            </w:tcBorders>
            <w:noWrap/>
            <w:hideMark/>
          </w:tcPr>
          <w:p w14:paraId="17EF99A0" w14:textId="77777777" w:rsidR="00CC7B0F" w:rsidRDefault="00CC7B0F">
            <w:pPr>
              <w:pStyle w:val="BStablefigures"/>
              <w:rPr>
                <w:lang w:eastAsia="en-US"/>
              </w:rPr>
            </w:pPr>
            <w:r>
              <w:rPr>
                <w:lang w:eastAsia="en-US"/>
              </w:rPr>
              <w:t>64,411</w:t>
            </w:r>
          </w:p>
        </w:tc>
      </w:tr>
      <w:tr w:rsidR="00CC7B0F" w14:paraId="0919CEBD" w14:textId="77777777" w:rsidTr="00AC6727">
        <w:trPr>
          <w:trHeight w:val="452"/>
        </w:trPr>
        <w:tc>
          <w:tcPr>
            <w:tcW w:w="2422" w:type="dxa"/>
            <w:tcBorders>
              <w:top w:val="single" w:sz="4" w:space="0" w:color="auto"/>
              <w:left w:val="nil"/>
              <w:bottom w:val="single" w:sz="4" w:space="0" w:color="auto"/>
              <w:right w:val="nil"/>
            </w:tcBorders>
            <w:hideMark/>
          </w:tcPr>
          <w:p w14:paraId="32F43C2C" w14:textId="77777777" w:rsidR="00CC7B0F" w:rsidRDefault="00CC7B0F" w:rsidP="00A30ABA">
            <w:pPr>
              <w:pStyle w:val="BStabletextbold"/>
              <w:spacing w:after="120" w:line="240" w:lineRule="auto"/>
              <w:rPr>
                <w:lang w:eastAsia="en-US"/>
              </w:rPr>
            </w:pPr>
            <w:r>
              <w:rPr>
                <w:lang w:eastAsia="en-US"/>
              </w:rPr>
              <w:t>Total Dividends</w:t>
            </w:r>
          </w:p>
        </w:tc>
        <w:tc>
          <w:tcPr>
            <w:tcW w:w="1210" w:type="dxa"/>
            <w:tcBorders>
              <w:top w:val="single" w:sz="4" w:space="0" w:color="auto"/>
              <w:left w:val="nil"/>
              <w:bottom w:val="single" w:sz="4" w:space="0" w:color="auto"/>
              <w:right w:val="nil"/>
            </w:tcBorders>
            <w:noWrap/>
            <w:hideMark/>
          </w:tcPr>
          <w:p w14:paraId="5EB52B17" w14:textId="7B40A7A6" w:rsidR="00CC7B0F" w:rsidRDefault="00CC7B0F" w:rsidP="00A30ABA">
            <w:pPr>
              <w:pStyle w:val="BStablefiguresbold"/>
              <w:spacing w:after="120" w:line="240" w:lineRule="auto"/>
              <w:rPr>
                <w:lang w:eastAsia="en-US"/>
              </w:rPr>
            </w:pPr>
            <w:r>
              <w:rPr>
                <w:lang w:eastAsia="en-US"/>
              </w:rPr>
              <w:t>1</w:t>
            </w:r>
            <w:r w:rsidR="00111571">
              <w:rPr>
                <w:lang w:eastAsia="en-US"/>
              </w:rPr>
              <w:t>16,461</w:t>
            </w:r>
          </w:p>
        </w:tc>
        <w:tc>
          <w:tcPr>
            <w:tcW w:w="1211" w:type="dxa"/>
            <w:tcBorders>
              <w:top w:val="single" w:sz="4" w:space="0" w:color="auto"/>
              <w:left w:val="nil"/>
              <w:bottom w:val="single" w:sz="4" w:space="0" w:color="auto"/>
              <w:right w:val="nil"/>
            </w:tcBorders>
            <w:noWrap/>
            <w:hideMark/>
          </w:tcPr>
          <w:p w14:paraId="6742F9A7" w14:textId="77777777" w:rsidR="00CC7B0F" w:rsidRDefault="00CC7B0F" w:rsidP="00A30ABA">
            <w:pPr>
              <w:pStyle w:val="BStablefiguresbold"/>
              <w:spacing w:after="120" w:line="240" w:lineRule="auto"/>
              <w:rPr>
                <w:lang w:eastAsia="en-US"/>
              </w:rPr>
            </w:pPr>
            <w:r>
              <w:rPr>
                <w:lang w:eastAsia="en-US"/>
              </w:rPr>
              <w:t>332,030</w:t>
            </w:r>
          </w:p>
        </w:tc>
        <w:tc>
          <w:tcPr>
            <w:tcW w:w="1211" w:type="dxa"/>
            <w:tcBorders>
              <w:top w:val="single" w:sz="4" w:space="0" w:color="auto"/>
              <w:left w:val="nil"/>
              <w:bottom w:val="single" w:sz="4" w:space="0" w:color="auto"/>
              <w:right w:val="nil"/>
            </w:tcBorders>
            <w:noWrap/>
            <w:hideMark/>
          </w:tcPr>
          <w:p w14:paraId="0F7075E1" w14:textId="77777777" w:rsidR="00CC7B0F" w:rsidRDefault="00CC7B0F" w:rsidP="00A30ABA">
            <w:pPr>
              <w:pStyle w:val="BStablefiguresbold"/>
              <w:spacing w:after="120" w:line="240" w:lineRule="auto"/>
              <w:rPr>
                <w:lang w:eastAsia="en-US"/>
              </w:rPr>
            </w:pPr>
            <w:r>
              <w:rPr>
                <w:lang w:eastAsia="en-US"/>
              </w:rPr>
              <w:t>149,203</w:t>
            </w:r>
          </w:p>
        </w:tc>
        <w:tc>
          <w:tcPr>
            <w:tcW w:w="1211" w:type="dxa"/>
            <w:tcBorders>
              <w:top w:val="single" w:sz="4" w:space="0" w:color="auto"/>
              <w:left w:val="nil"/>
              <w:bottom w:val="single" w:sz="4" w:space="0" w:color="auto"/>
              <w:right w:val="nil"/>
            </w:tcBorders>
            <w:noWrap/>
            <w:hideMark/>
          </w:tcPr>
          <w:p w14:paraId="6866F607" w14:textId="77777777" w:rsidR="00CC7B0F" w:rsidRDefault="00CC7B0F" w:rsidP="00A30ABA">
            <w:pPr>
              <w:pStyle w:val="BStablefiguresbold"/>
              <w:spacing w:after="120" w:line="240" w:lineRule="auto"/>
              <w:rPr>
                <w:lang w:eastAsia="en-US"/>
              </w:rPr>
            </w:pPr>
            <w:r>
              <w:rPr>
                <w:lang w:eastAsia="en-US"/>
              </w:rPr>
              <w:t>79,047</w:t>
            </w:r>
          </w:p>
        </w:tc>
        <w:tc>
          <w:tcPr>
            <w:tcW w:w="1211" w:type="dxa"/>
            <w:tcBorders>
              <w:top w:val="single" w:sz="4" w:space="0" w:color="auto"/>
              <w:left w:val="nil"/>
              <w:bottom w:val="single" w:sz="4" w:space="0" w:color="auto"/>
              <w:right w:val="nil"/>
            </w:tcBorders>
            <w:noWrap/>
            <w:hideMark/>
          </w:tcPr>
          <w:p w14:paraId="50F95AB6" w14:textId="3026FF04" w:rsidR="00A30ABA" w:rsidRDefault="00CC7B0F" w:rsidP="00A30ABA">
            <w:pPr>
              <w:pStyle w:val="BStablefiguresbold"/>
              <w:spacing w:after="120" w:line="240" w:lineRule="auto"/>
              <w:rPr>
                <w:lang w:eastAsia="en-US"/>
              </w:rPr>
            </w:pPr>
            <w:r>
              <w:rPr>
                <w:lang w:eastAsia="en-US"/>
              </w:rPr>
              <w:t>135,561</w:t>
            </w:r>
          </w:p>
        </w:tc>
      </w:tr>
    </w:tbl>
    <w:p w14:paraId="3E1CDB3D" w14:textId="6EC77EBE" w:rsidR="00CC7B0F" w:rsidRDefault="005464E2" w:rsidP="00A30ABA">
      <w:pPr>
        <w:spacing w:before="0"/>
        <w:rPr>
          <w:sz w:val="20"/>
          <w:szCs w:val="20"/>
        </w:rPr>
      </w:pPr>
      <w:r>
        <w:rPr>
          <w:sz w:val="20"/>
          <w:szCs w:val="20"/>
        </w:rPr>
        <w:br/>
      </w:r>
      <w:r w:rsidR="00CC7B0F">
        <w:rPr>
          <w:sz w:val="20"/>
          <w:szCs w:val="20"/>
        </w:rPr>
        <w:br w:type="textWrapping" w:clear="all"/>
        <w:t>Source: ACT Government (20</w:t>
      </w:r>
      <w:r w:rsidR="005C5EF5">
        <w:rPr>
          <w:sz w:val="20"/>
          <w:szCs w:val="20"/>
        </w:rPr>
        <w:t>20</w:t>
      </w:r>
      <w:r w:rsidR="00CC7B0F">
        <w:rPr>
          <w:sz w:val="20"/>
          <w:szCs w:val="20"/>
        </w:rPr>
        <w:t xml:space="preserve">, p. </w:t>
      </w:r>
      <w:r w:rsidR="005C5EF5">
        <w:rPr>
          <w:sz w:val="20"/>
          <w:szCs w:val="20"/>
        </w:rPr>
        <w:t>156</w:t>
      </w:r>
      <w:r w:rsidR="00CC7B0F">
        <w:rPr>
          <w:sz w:val="20"/>
          <w:szCs w:val="20"/>
        </w:rPr>
        <w:t>).</w:t>
      </w:r>
    </w:p>
    <w:p w14:paraId="7BE8EAA6" w14:textId="634763C2" w:rsidR="005C5EF5" w:rsidRDefault="005C5EF5" w:rsidP="005C5EF5">
      <w:r>
        <w:t>Tax equivalent revenue is forecast in 2020-21 to be $154.7 million, a substantial increase on the forecast of $99.6 million for 2020-21 contained in the 2019-20 ACT Budget. It is noted that the forecasts tapper off significantly across the 2021-22 and 2022-23 years but increase again in 2023-24.</w:t>
      </w:r>
    </w:p>
    <w:p w14:paraId="7CD07D47" w14:textId="2779E710" w:rsidR="00381519" w:rsidRDefault="00381519" w:rsidP="00C62913">
      <w:pPr>
        <w:rPr>
          <w:lang w:val="en-NZ" w:eastAsia="en-NZ"/>
        </w:rPr>
      </w:pPr>
      <w:r>
        <w:rPr>
          <w:lang w:val="en-NZ" w:eastAsia="en-NZ"/>
        </w:rPr>
        <w:t xml:space="preserve">Since the 2019-20 ACT Budget </w:t>
      </w:r>
      <w:sdt>
        <w:sdtPr>
          <w:rPr>
            <w:lang w:val="en-NZ" w:eastAsia="en-NZ"/>
          </w:rPr>
          <w:id w:val="-130479403"/>
          <w:citation/>
        </w:sdtPr>
        <w:sdtContent>
          <w:r>
            <w:rPr>
              <w:lang w:val="en-NZ" w:eastAsia="en-NZ"/>
            </w:rPr>
            <w:fldChar w:fldCharType="begin"/>
          </w:r>
          <w:r>
            <w:rPr>
              <w:lang w:eastAsia="en-NZ"/>
            </w:rPr>
            <w:instrText xml:space="preserve">CITATION ACT19 \p 250 \t  \l 3081 </w:instrText>
          </w:r>
          <w:r>
            <w:rPr>
              <w:lang w:val="en-NZ" w:eastAsia="en-NZ"/>
            </w:rPr>
            <w:fldChar w:fldCharType="separate"/>
          </w:r>
          <w:r>
            <w:rPr>
              <w:noProof/>
              <w:lang w:eastAsia="en-NZ"/>
            </w:rPr>
            <w:t>(ACT Government, 2019, p. 250)</w:t>
          </w:r>
          <w:r>
            <w:rPr>
              <w:lang w:val="en-NZ" w:eastAsia="en-NZ"/>
            </w:rPr>
            <w:fldChar w:fldCharType="end"/>
          </w:r>
        </w:sdtContent>
      </w:sdt>
      <w:r>
        <w:rPr>
          <w:lang w:val="en-NZ" w:eastAsia="en-NZ"/>
        </w:rPr>
        <w:t xml:space="preserve"> and the August 2020 Economic and Fiscal Update</w:t>
      </w:r>
      <w:r w:rsidR="00887C24">
        <w:rPr>
          <w:lang w:val="en-NZ" w:eastAsia="en-NZ"/>
        </w:rPr>
        <w:t xml:space="preserve"> (EEU)</w:t>
      </w:r>
      <w:r>
        <w:rPr>
          <w:lang w:val="en-NZ" w:eastAsia="en-NZ"/>
        </w:rPr>
        <w:t xml:space="preserve"> </w:t>
      </w:r>
      <w:sdt>
        <w:sdtPr>
          <w:rPr>
            <w:lang w:val="en-NZ" w:eastAsia="en-NZ"/>
          </w:rPr>
          <w:id w:val="313910653"/>
          <w:citation/>
        </w:sdtPr>
        <w:sdtContent>
          <w:r>
            <w:rPr>
              <w:lang w:val="en-NZ" w:eastAsia="en-NZ"/>
            </w:rPr>
            <w:fldChar w:fldCharType="begin"/>
          </w:r>
          <w:r>
            <w:rPr>
              <w:lang w:eastAsia="en-NZ"/>
            </w:rPr>
            <w:instrText xml:space="preserve">CITATION ACT20 \p 126 \t  \l 3081 </w:instrText>
          </w:r>
          <w:r>
            <w:rPr>
              <w:lang w:val="en-NZ" w:eastAsia="en-NZ"/>
            </w:rPr>
            <w:fldChar w:fldCharType="separate"/>
          </w:r>
          <w:r>
            <w:rPr>
              <w:noProof/>
              <w:lang w:eastAsia="en-NZ"/>
            </w:rPr>
            <w:t>(ACT Government, 2020, p. 126)</w:t>
          </w:r>
          <w:r>
            <w:rPr>
              <w:lang w:val="en-NZ" w:eastAsia="en-NZ"/>
            </w:rPr>
            <w:fldChar w:fldCharType="end"/>
          </w:r>
        </w:sdtContent>
      </w:sdt>
      <w:r>
        <w:rPr>
          <w:lang w:val="en-NZ" w:eastAsia="en-NZ"/>
        </w:rPr>
        <w:t>, forecast revenue from dividends and income tax equivalent payments ha</w:t>
      </w:r>
      <w:r w:rsidR="00296016">
        <w:rPr>
          <w:lang w:val="en-NZ" w:eastAsia="en-NZ"/>
        </w:rPr>
        <w:t>ve</w:t>
      </w:r>
      <w:r>
        <w:rPr>
          <w:lang w:val="en-NZ" w:eastAsia="en-NZ"/>
        </w:rPr>
        <w:t xml:space="preserve"> dramatically increased in the 2020-21 ACT Budget </w:t>
      </w:r>
      <w:sdt>
        <w:sdtPr>
          <w:rPr>
            <w:lang w:val="en-NZ" w:eastAsia="en-NZ"/>
          </w:rPr>
          <w:id w:val="1552189297"/>
          <w:citation/>
        </w:sdtPr>
        <w:sdtContent>
          <w:r>
            <w:rPr>
              <w:lang w:val="en-NZ" w:eastAsia="en-NZ"/>
            </w:rPr>
            <w:fldChar w:fldCharType="begin"/>
          </w:r>
          <w:r w:rsidR="00DA22D6">
            <w:rPr>
              <w:lang w:eastAsia="en-NZ"/>
            </w:rPr>
            <w:instrText xml:space="preserve">CITATION ACT21 \p 156 \t  \l 3081 </w:instrText>
          </w:r>
          <w:r>
            <w:rPr>
              <w:lang w:val="en-NZ" w:eastAsia="en-NZ"/>
            </w:rPr>
            <w:fldChar w:fldCharType="separate"/>
          </w:r>
          <w:r w:rsidR="00DA22D6">
            <w:rPr>
              <w:noProof/>
              <w:lang w:eastAsia="en-NZ"/>
            </w:rPr>
            <w:t>(ACT Government, 2021, p. 156)</w:t>
          </w:r>
          <w:r>
            <w:rPr>
              <w:lang w:val="en-NZ" w:eastAsia="en-NZ"/>
            </w:rPr>
            <w:fldChar w:fldCharType="end"/>
          </w:r>
        </w:sdtContent>
      </w:sdt>
      <w:r>
        <w:rPr>
          <w:lang w:val="en-NZ" w:eastAsia="en-NZ"/>
        </w:rPr>
        <w:t xml:space="preserve"> for 2020-21. This is outlined in Figure </w:t>
      </w:r>
      <w:r w:rsidR="002A13BC">
        <w:rPr>
          <w:lang w:val="en-NZ" w:eastAsia="en-NZ"/>
        </w:rPr>
        <w:t>19</w:t>
      </w:r>
      <w:r>
        <w:rPr>
          <w:lang w:val="en-NZ" w:eastAsia="en-NZ"/>
        </w:rPr>
        <w:t xml:space="preserve"> below.</w:t>
      </w:r>
    </w:p>
    <w:p w14:paraId="1F31BA59" w14:textId="3ACE2A98" w:rsidR="00381519" w:rsidRDefault="00381519" w:rsidP="00381519">
      <w:pPr>
        <w:pStyle w:val="Caption"/>
      </w:pPr>
      <w:bookmarkStart w:id="119" w:name="_Toc64529111"/>
      <w:r>
        <w:t xml:space="preserve">Figure </w:t>
      </w:r>
      <w:fldSimple w:instr=" SEQ Figure \* ARABIC ">
        <w:r w:rsidR="00AB7125">
          <w:rPr>
            <w:noProof/>
          </w:rPr>
          <w:t>19</w:t>
        </w:r>
      </w:fldSimple>
      <w:r>
        <w:t xml:space="preserve">: Forecast Revenue from Dividends and Income Tax Equivalent Payments from the 2019-20 ACT Budget, </w:t>
      </w:r>
      <w:r>
        <w:rPr>
          <w:lang w:val="en-NZ" w:eastAsia="en-NZ"/>
        </w:rPr>
        <w:t xml:space="preserve">August 2020 Economic and Fiscal Update </w:t>
      </w:r>
      <w:r w:rsidR="00CB1B8D">
        <w:rPr>
          <w:lang w:val="en-NZ" w:eastAsia="en-NZ"/>
        </w:rPr>
        <w:t xml:space="preserve">(EEU) </w:t>
      </w:r>
      <w:r>
        <w:rPr>
          <w:lang w:val="en-NZ" w:eastAsia="en-NZ"/>
        </w:rPr>
        <w:t xml:space="preserve">and 2020-21 ACT Budget – 2020-21 to 2023-23 </w:t>
      </w:r>
      <w:r>
        <w:t>($’000)</w:t>
      </w:r>
      <w:bookmarkEnd w:id="119"/>
    </w:p>
    <w:p w14:paraId="2D62A90D" w14:textId="16FC9543" w:rsidR="00381519" w:rsidRPr="00381519" w:rsidRDefault="00CB1B8D" w:rsidP="00CB1B8D">
      <w:pPr>
        <w:spacing w:before="0"/>
      </w:pPr>
      <w:r>
        <w:rPr>
          <w:noProof/>
          <w:lang w:eastAsia="en-AU"/>
        </w:rPr>
        <w:drawing>
          <wp:inline distT="0" distB="0" distL="0" distR="0" wp14:anchorId="5C959BBD" wp14:editId="01C316A7">
            <wp:extent cx="5595620" cy="3138487"/>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5211" cy="3143866"/>
                    </a:xfrm>
                    <a:prstGeom prst="rect">
                      <a:avLst/>
                    </a:prstGeom>
                    <a:noFill/>
                  </pic:spPr>
                </pic:pic>
              </a:graphicData>
            </a:graphic>
          </wp:inline>
        </w:drawing>
      </w:r>
      <w:r w:rsidR="00381519">
        <w:t>Sources: ACT Government (2019, p. 250; 2020, p.126; 2021, p. 156).</w:t>
      </w:r>
    </w:p>
    <w:p w14:paraId="29FACA8F" w14:textId="158D58D6" w:rsidR="00C62913" w:rsidRDefault="00C62913" w:rsidP="00C62913">
      <w:pPr>
        <w:rPr>
          <w:lang w:val="en-NZ" w:eastAsia="en-NZ"/>
        </w:rPr>
      </w:pPr>
      <w:r>
        <w:rPr>
          <w:lang w:val="en-NZ" w:eastAsia="en-NZ"/>
        </w:rPr>
        <w:t xml:space="preserve">The major </w:t>
      </w:r>
      <w:r w:rsidR="00CB1B8D">
        <w:rPr>
          <w:lang w:val="en-NZ" w:eastAsia="en-NZ"/>
        </w:rPr>
        <w:t xml:space="preserve">driver and </w:t>
      </w:r>
      <w:r>
        <w:rPr>
          <w:lang w:val="en-NZ" w:eastAsia="en-NZ"/>
        </w:rPr>
        <w:t xml:space="preserve">change </w:t>
      </w:r>
      <w:r w:rsidR="00E7574E">
        <w:rPr>
          <w:lang w:val="en-NZ" w:eastAsia="en-NZ"/>
        </w:rPr>
        <w:t xml:space="preserve">in relation to dividends and income tax equivalent payments for 2020-21 </w:t>
      </w:r>
      <w:r w:rsidR="00CB1B8D">
        <w:rPr>
          <w:lang w:val="en-NZ" w:eastAsia="en-NZ"/>
        </w:rPr>
        <w:t>has been</w:t>
      </w:r>
      <w:r w:rsidR="00E7574E">
        <w:rPr>
          <w:lang w:val="en-NZ" w:eastAsia="en-NZ"/>
        </w:rPr>
        <w:t xml:space="preserve"> the surge in dividends from the Suburban Land Agency as well as an increase in tax equivalent payments from th</w:t>
      </w:r>
      <w:r w:rsidR="00CB1B8D">
        <w:rPr>
          <w:lang w:val="en-NZ" w:eastAsia="en-NZ"/>
        </w:rPr>
        <w:t>is</w:t>
      </w:r>
      <w:r w:rsidR="00E7574E">
        <w:rPr>
          <w:lang w:val="en-NZ" w:eastAsia="en-NZ"/>
        </w:rPr>
        <w:t xml:space="preserve"> </w:t>
      </w:r>
      <w:r w:rsidR="00CB1B8D">
        <w:rPr>
          <w:lang w:val="en-NZ" w:eastAsia="en-NZ"/>
        </w:rPr>
        <w:t>same public</w:t>
      </w:r>
      <w:r w:rsidR="00E7574E">
        <w:rPr>
          <w:lang w:val="en-NZ" w:eastAsia="en-NZ"/>
        </w:rPr>
        <w:t xml:space="preserve"> authorit</w:t>
      </w:r>
      <w:r w:rsidR="00CB1B8D">
        <w:rPr>
          <w:lang w:val="en-NZ" w:eastAsia="en-NZ"/>
        </w:rPr>
        <w:t>y</w:t>
      </w:r>
      <w:r w:rsidR="00E7574E">
        <w:rPr>
          <w:lang w:val="en-NZ" w:eastAsia="en-NZ"/>
        </w:rPr>
        <w:t>.</w:t>
      </w:r>
      <w:r w:rsidR="00CB1B8D">
        <w:rPr>
          <w:lang w:val="en-NZ" w:eastAsia="en-NZ"/>
        </w:rPr>
        <w:t xml:space="preserve"> This is </w:t>
      </w:r>
      <w:r w:rsidR="00296016">
        <w:rPr>
          <w:lang w:val="en-NZ" w:eastAsia="en-NZ"/>
        </w:rPr>
        <w:t>outlined</w:t>
      </w:r>
      <w:r w:rsidR="00CB1B8D">
        <w:rPr>
          <w:lang w:val="en-NZ" w:eastAsia="en-NZ"/>
        </w:rPr>
        <w:t xml:space="preserve"> in Figure </w:t>
      </w:r>
      <w:r w:rsidR="002A13BC">
        <w:rPr>
          <w:lang w:val="en-NZ" w:eastAsia="en-NZ"/>
        </w:rPr>
        <w:t>20</w:t>
      </w:r>
      <w:r w:rsidR="00CB1B8D">
        <w:rPr>
          <w:lang w:val="en-NZ" w:eastAsia="en-NZ"/>
        </w:rPr>
        <w:t xml:space="preserve"> below.</w:t>
      </w:r>
    </w:p>
    <w:p w14:paraId="4F24AF04" w14:textId="38FF0D79" w:rsidR="00887C24" w:rsidRDefault="00CB1B8D" w:rsidP="00887C24">
      <w:pPr>
        <w:pStyle w:val="Caption"/>
      </w:pPr>
      <w:bookmarkStart w:id="120" w:name="_Toc64529112"/>
      <w:r>
        <w:lastRenderedPageBreak/>
        <w:t xml:space="preserve">Figure </w:t>
      </w:r>
      <w:fldSimple w:instr=" SEQ Figure \* ARABIC ">
        <w:r w:rsidR="00AB7125">
          <w:rPr>
            <w:noProof/>
          </w:rPr>
          <w:t>20</w:t>
        </w:r>
      </w:fldSimple>
      <w:r>
        <w:t>:</w:t>
      </w:r>
      <w:r w:rsidR="00887C24">
        <w:t xml:space="preserve"> Forecast Revenue from Dividends from the </w:t>
      </w:r>
      <w:r w:rsidR="00887C24">
        <w:rPr>
          <w:lang w:val="en-NZ" w:eastAsia="en-NZ"/>
        </w:rPr>
        <w:t xml:space="preserve">Suburban Land Agency* and the City Renewal Authority and Tax Equivalent Payments from the </w:t>
      </w:r>
      <w:r w:rsidR="00887C24">
        <w:t xml:space="preserve">2019-20 ACT Budget, </w:t>
      </w:r>
      <w:r w:rsidR="00887C24">
        <w:rPr>
          <w:lang w:val="en-NZ" w:eastAsia="en-NZ"/>
        </w:rPr>
        <w:t xml:space="preserve">August 2020 Economic and Fiscal Update (EEU) and 2020-21 ACT Budget – 2020-21 </w:t>
      </w:r>
      <w:r w:rsidR="00887C24">
        <w:t>($’000)</w:t>
      </w:r>
      <w:bookmarkEnd w:id="120"/>
    </w:p>
    <w:p w14:paraId="1839A3D5" w14:textId="2275FDBD" w:rsidR="00E7574E" w:rsidRDefault="00887C24" w:rsidP="00887C24">
      <w:pPr>
        <w:spacing w:before="0"/>
        <w:rPr>
          <w:lang w:val="en-NZ" w:eastAsia="en-NZ"/>
        </w:rPr>
      </w:pPr>
      <w:r>
        <w:rPr>
          <w:noProof/>
          <w:lang w:eastAsia="en-AU"/>
        </w:rPr>
        <w:drawing>
          <wp:inline distT="0" distB="0" distL="0" distR="0" wp14:anchorId="4E1C1A29" wp14:editId="5D5267CE">
            <wp:extent cx="5504184" cy="29908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0201" cy="3010421"/>
                    </a:xfrm>
                    <a:prstGeom prst="rect">
                      <a:avLst/>
                    </a:prstGeom>
                    <a:noFill/>
                  </pic:spPr>
                </pic:pic>
              </a:graphicData>
            </a:graphic>
          </wp:inline>
        </w:drawing>
      </w:r>
      <w:r>
        <w:rPr>
          <w:lang w:val="en-NZ" w:eastAsia="en-NZ"/>
        </w:rPr>
        <w:br/>
      </w:r>
      <w:r>
        <w:t>Sources: ACT Government (2019, p. 250; 2021, p. 156).</w:t>
      </w:r>
      <w:r>
        <w:br/>
        <w:t>* It is understood that most of the increase in dividends relate to the Suburban Land Authority (SLA), although the ACT Government has provided a separate figure for the SLA.</w:t>
      </w:r>
    </w:p>
    <w:p w14:paraId="4F02DDCC" w14:textId="2356A90A" w:rsidR="00925061" w:rsidRPr="00296016" w:rsidRDefault="00887C24" w:rsidP="00296016">
      <w:pPr>
        <w:pStyle w:val="BodyText"/>
      </w:pPr>
      <w:r w:rsidRPr="00296016">
        <w:t xml:space="preserve">The forecast dividend from the Suburban Land Authority in 2020-21 between the 2019-20 ACT Budget </w:t>
      </w:r>
      <w:sdt>
        <w:sdtPr>
          <w:id w:val="396943710"/>
          <w:citation/>
        </w:sdtPr>
        <w:sdtContent>
          <w:r w:rsidRPr="00296016">
            <w:fldChar w:fldCharType="begin"/>
          </w:r>
          <w:r w:rsidRPr="00296016">
            <w:instrText xml:space="preserve">CITATION ACT19 \p 250 \t  \l 3081 </w:instrText>
          </w:r>
          <w:r w:rsidRPr="00296016">
            <w:fldChar w:fldCharType="separate"/>
          </w:r>
          <w:r w:rsidRPr="00296016">
            <w:t>(ACT Government, 2019, p. 250)</w:t>
          </w:r>
          <w:r w:rsidRPr="00296016">
            <w:fldChar w:fldCharType="end"/>
          </w:r>
        </w:sdtContent>
      </w:sdt>
      <w:r w:rsidRPr="00296016">
        <w:t xml:space="preserve"> and the August 2020 EEU </w:t>
      </w:r>
      <w:sdt>
        <w:sdtPr>
          <w:id w:val="-1265918335"/>
          <w:citation/>
        </w:sdtPr>
        <w:sdtContent>
          <w:r w:rsidRPr="00296016">
            <w:fldChar w:fldCharType="begin"/>
          </w:r>
          <w:r w:rsidR="00925061" w:rsidRPr="00296016">
            <w:instrText xml:space="preserve">CITATION ACT20 \p 126 \t  \l 3081 </w:instrText>
          </w:r>
          <w:r w:rsidRPr="00296016">
            <w:fldChar w:fldCharType="separate"/>
          </w:r>
          <w:r w:rsidR="00925061" w:rsidRPr="00296016">
            <w:t>(ACT Government, 2020, p. 126)</w:t>
          </w:r>
          <w:r w:rsidRPr="00296016">
            <w:fldChar w:fldCharType="end"/>
          </w:r>
        </w:sdtContent>
      </w:sdt>
      <w:r w:rsidRPr="00296016">
        <w:t xml:space="preserve"> was little changed, rising slightly from $142.8 million to $</w:t>
      </w:r>
      <w:r w:rsidR="00925061" w:rsidRPr="00296016">
        <w:t xml:space="preserve">143.8. However, the ACT Government </w:t>
      </w:r>
      <w:sdt>
        <w:sdtPr>
          <w:id w:val="2040387025"/>
          <w:citation/>
        </w:sdtPr>
        <w:sdtContent>
          <w:r w:rsidR="00925061" w:rsidRPr="00296016">
            <w:fldChar w:fldCharType="begin"/>
          </w:r>
          <w:r w:rsidR="00925061" w:rsidRPr="00296016">
            <w:instrText xml:space="preserve">CITATION ACT20 \p 150 \n  \t  \l 3081 </w:instrText>
          </w:r>
          <w:r w:rsidR="00925061" w:rsidRPr="00296016">
            <w:fldChar w:fldCharType="separate"/>
          </w:r>
          <w:r w:rsidR="00925061" w:rsidRPr="00296016">
            <w:t>(2020, p. 150)</w:t>
          </w:r>
          <w:r w:rsidR="00925061" w:rsidRPr="00296016">
            <w:fldChar w:fldCharType="end"/>
          </w:r>
        </w:sdtContent>
      </w:sdt>
      <w:r w:rsidR="00925061" w:rsidRPr="00296016">
        <w:t xml:space="preserve"> did foreshadow in the August 2020 EEU that if market conditions improved, that it would adjust the forward land release program to reflect that improvement.</w:t>
      </w:r>
    </w:p>
    <w:p w14:paraId="6DF107CD" w14:textId="68FCCDC9" w:rsidR="00925061" w:rsidRDefault="00A1572F" w:rsidP="00925061">
      <w:pPr>
        <w:pStyle w:val="BodyText"/>
      </w:pPr>
      <w:r>
        <w:t xml:space="preserve">The Suburban Land Agency’s dividends and income tax equivalents are now expected to be $438.5 million in 2020-21 </w:t>
      </w:r>
      <w:sdt>
        <w:sdtPr>
          <w:id w:val="245617598"/>
          <w:citation/>
        </w:sdtPr>
        <w:sdtContent>
          <w:r>
            <w:fldChar w:fldCharType="begin"/>
          </w:r>
          <w:r>
            <w:instrText xml:space="preserve">CITATION ACT21 \p 155 \t  \l 3081 </w:instrText>
          </w:r>
          <w:r>
            <w:fldChar w:fldCharType="separate"/>
          </w:r>
          <w:r>
            <w:rPr>
              <w:noProof/>
            </w:rPr>
            <w:t>(ACT Government, 2021, p. 155)</w:t>
          </w:r>
          <w:r>
            <w:fldChar w:fldCharType="end"/>
          </w:r>
        </w:sdtContent>
      </w:sdt>
      <w:r>
        <w:t>.</w:t>
      </w:r>
      <w:r w:rsidR="00925061" w:rsidRPr="00925061">
        <w:t xml:space="preserve"> </w:t>
      </w:r>
      <w:r w:rsidR="00925061">
        <w:t>T</w:t>
      </w:r>
      <w:r w:rsidR="00925061" w:rsidRPr="00925061">
        <w:t xml:space="preserve">his is largely the result of a significant bring forward of land sales </w:t>
      </w:r>
      <w:r w:rsidR="00925061">
        <w:t xml:space="preserve">by the Suburban Land Agency </w:t>
      </w:r>
      <w:sdt>
        <w:sdtPr>
          <w:id w:val="-823356617"/>
          <w:citation/>
        </w:sdtPr>
        <w:sdtContent>
          <w:r w:rsidR="00925061">
            <w:fldChar w:fldCharType="begin"/>
          </w:r>
          <w:r w:rsidR="00DA22D6">
            <w:instrText xml:space="preserve">CITATION ACT21 \p 134 \t  \l 3081 </w:instrText>
          </w:r>
          <w:r w:rsidR="00925061">
            <w:fldChar w:fldCharType="separate"/>
          </w:r>
          <w:r w:rsidR="00DA22D6">
            <w:rPr>
              <w:noProof/>
            </w:rPr>
            <w:t>(ACT Government, 2021, p. 134)</w:t>
          </w:r>
          <w:r w:rsidR="00925061">
            <w:fldChar w:fldCharType="end"/>
          </w:r>
        </w:sdtContent>
      </w:sdt>
      <w:r w:rsidR="00925061">
        <w:t xml:space="preserve">. </w:t>
      </w:r>
      <w:r>
        <w:t xml:space="preserve">The forecasts also reflect a </w:t>
      </w:r>
      <w:r w:rsidRPr="00925061">
        <w:t xml:space="preserve">stronger than expected housing market </w:t>
      </w:r>
      <w:sdt>
        <w:sdtPr>
          <w:id w:val="45497307"/>
          <w:citation/>
        </w:sdtPr>
        <w:sdtContent>
          <w:r>
            <w:fldChar w:fldCharType="begin"/>
          </w:r>
          <w:r>
            <w:instrText xml:space="preserve">CITATION ACT21 \p 45 \t  \l 3081 </w:instrText>
          </w:r>
          <w:r>
            <w:fldChar w:fldCharType="separate"/>
          </w:r>
          <w:r>
            <w:rPr>
              <w:noProof/>
            </w:rPr>
            <w:t>(ACT Government, 2021, p. 45)</w:t>
          </w:r>
          <w:r>
            <w:fldChar w:fldCharType="end"/>
          </w:r>
        </w:sdtContent>
      </w:sdt>
      <w:r w:rsidRPr="00925061">
        <w:t xml:space="preserve">. </w:t>
      </w:r>
    </w:p>
    <w:p w14:paraId="6B39321A" w14:textId="26F7AB54" w:rsidR="00D1481C" w:rsidRDefault="00D1481C" w:rsidP="00925061">
      <w:pPr>
        <w:pStyle w:val="BodyText"/>
      </w:pPr>
      <w:r>
        <w:t xml:space="preserve">The available evidence suggests that the Canberra residential property </w:t>
      </w:r>
      <w:r w:rsidR="00837938">
        <w:t xml:space="preserve">remains </w:t>
      </w:r>
      <w:r>
        <w:t xml:space="preserve">extremely buoyant, with Canberra residential property prices rising 5 per cent to the end of the September quarter 2020 </w:t>
      </w:r>
      <w:sdt>
        <w:sdtPr>
          <w:id w:val="-2034945715"/>
          <w:citation/>
        </w:sdtPr>
        <w:sdtContent>
          <w:r w:rsidR="006A444E">
            <w:fldChar w:fldCharType="begin"/>
          </w:r>
          <w:r w:rsidR="00F4156B">
            <w:instrText xml:space="preserve">CITATION Aus0b2 \l 3081 </w:instrText>
          </w:r>
          <w:r w:rsidR="006A444E">
            <w:fldChar w:fldCharType="separate"/>
          </w:r>
          <w:r w:rsidR="00F4156B">
            <w:rPr>
              <w:noProof/>
            </w:rPr>
            <w:t>(Australian Bureau of Statistics, 2020c)</w:t>
          </w:r>
          <w:r w:rsidR="006A444E">
            <w:fldChar w:fldCharType="end"/>
          </w:r>
        </w:sdtContent>
      </w:sdt>
      <w:r w:rsidR="006A444E">
        <w:t xml:space="preserve">, and auction clearance rates for Canberra running </w:t>
      </w:r>
      <w:r w:rsidR="00837938">
        <w:t>in excess of 90 per cent, the highest rate</w:t>
      </w:r>
      <w:r w:rsidR="001B40E1">
        <w:t xml:space="preserve"> amongst capital cities</w:t>
      </w:r>
      <w:r w:rsidR="00837938">
        <w:t xml:space="preserve"> in the country </w:t>
      </w:r>
      <w:sdt>
        <w:sdtPr>
          <w:id w:val="1239670594"/>
          <w:citation/>
        </w:sdtPr>
        <w:sdtContent>
          <w:r w:rsidR="00837938">
            <w:fldChar w:fldCharType="begin"/>
          </w:r>
          <w:r w:rsidR="00837938">
            <w:instrText xml:space="preserve"> CITATION Har21 \l 3081 </w:instrText>
          </w:r>
          <w:r w:rsidR="00837938">
            <w:fldChar w:fldCharType="separate"/>
          </w:r>
          <w:r w:rsidR="00837938">
            <w:rPr>
              <w:noProof/>
            </w:rPr>
            <w:t>(Harling, 2021)</w:t>
          </w:r>
          <w:r w:rsidR="00837938">
            <w:fldChar w:fldCharType="end"/>
          </w:r>
        </w:sdtContent>
      </w:sdt>
      <w:r>
        <w:t>.</w:t>
      </w:r>
    </w:p>
    <w:p w14:paraId="52C4ED1C" w14:textId="387A549E" w:rsidR="00250AA7" w:rsidRPr="00250AA7" w:rsidRDefault="00250AA7" w:rsidP="00250AA7">
      <w:pPr>
        <w:rPr>
          <w:lang w:val="en-NZ" w:eastAsia="en-NZ"/>
        </w:rPr>
      </w:pPr>
      <w:r>
        <w:t xml:space="preserve">More generally, there is a case for greater transparency in the presentation and explanation of the flows expected from dividends. </w:t>
      </w:r>
      <w:r w:rsidR="001B40E1">
        <w:t>I</w:t>
      </w:r>
      <w:r>
        <w:t xml:space="preserve">n this regard, the ACT Government’s policy in respect to dividends is unclear. </w:t>
      </w:r>
    </w:p>
    <w:p w14:paraId="7FE66492" w14:textId="77777777" w:rsidR="00194446" w:rsidRDefault="00194446" w:rsidP="00296016">
      <w:pPr>
        <w:pStyle w:val="BodyText"/>
        <w:rPr>
          <w:rFonts w:eastAsiaTheme="majorEastAsia"/>
        </w:rPr>
      </w:pPr>
      <w:r>
        <w:br w:type="page"/>
      </w:r>
    </w:p>
    <w:p w14:paraId="6BFB4257" w14:textId="0D0E2B00" w:rsidR="00D95DFE" w:rsidRDefault="00D95DFE" w:rsidP="00D95DFE">
      <w:pPr>
        <w:pStyle w:val="Heading1"/>
        <w:rPr>
          <w:noProof/>
          <w:lang w:val="en-NZ" w:eastAsia="en-NZ"/>
        </w:rPr>
      </w:pPr>
      <w:bookmarkStart w:id="121" w:name="_Toc64529042"/>
      <w:r w:rsidRPr="00DC7578">
        <w:rPr>
          <w:noProof/>
          <w:lang w:eastAsia="en-AU"/>
        </w:rPr>
        <w:lastRenderedPageBreak/>
        <mc:AlternateContent>
          <mc:Choice Requires="wps">
            <w:drawing>
              <wp:anchor distT="91440" distB="91440" distL="114300" distR="114300" simplePos="0" relativeHeight="251665408" behindDoc="0" locked="0" layoutInCell="1" allowOverlap="1" wp14:anchorId="36DFD959" wp14:editId="7AB0B257">
                <wp:simplePos x="0" y="0"/>
                <wp:positionH relativeFrom="margin">
                  <wp:align>left</wp:align>
                </wp:positionH>
                <wp:positionV relativeFrom="page">
                  <wp:posOffset>1285875</wp:posOffset>
                </wp:positionV>
                <wp:extent cx="5574030" cy="2376170"/>
                <wp:effectExtent l="0" t="0" r="0" b="508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376488"/>
                        </a:xfrm>
                        <a:prstGeom prst="rect">
                          <a:avLst/>
                        </a:prstGeom>
                        <a:noFill/>
                        <a:ln w="9525">
                          <a:noFill/>
                          <a:miter lim="800000"/>
                          <a:headEnd/>
                          <a:tailEnd/>
                        </a:ln>
                      </wps:spPr>
                      <wps:txbx>
                        <w:txbxContent>
                          <w:p w14:paraId="4441D909" w14:textId="683582F0"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 xml:space="preserve">Expenses are forecast to grow over the </w:t>
                            </w:r>
                            <w:r w:rsidR="00E900F5">
                              <w:rPr>
                                <w:i/>
                                <w:iCs/>
                                <w:color w:val="5B9BD5" w:themeColor="accent1"/>
                                <w:sz w:val="24"/>
                                <w:szCs w:val="24"/>
                              </w:rPr>
                              <w:t>B</w:t>
                            </w:r>
                            <w:r w:rsidRPr="006967FF">
                              <w:rPr>
                                <w:i/>
                                <w:iCs/>
                                <w:color w:val="5B9BD5" w:themeColor="accent1"/>
                                <w:sz w:val="24"/>
                                <w:szCs w:val="24"/>
                              </w:rPr>
                              <w:t>udget and forward estimates from $6.7 billion in 2020-21 to $7.1 billion in 202</w:t>
                            </w:r>
                            <w:r>
                              <w:rPr>
                                <w:i/>
                                <w:iCs/>
                                <w:color w:val="5B9BD5" w:themeColor="accent1"/>
                                <w:sz w:val="24"/>
                                <w:szCs w:val="24"/>
                              </w:rPr>
                              <w:t>3</w:t>
                            </w:r>
                            <w:r w:rsidRPr="006967FF">
                              <w:rPr>
                                <w:i/>
                                <w:iCs/>
                                <w:color w:val="5B9BD5" w:themeColor="accent1"/>
                                <w:sz w:val="24"/>
                                <w:szCs w:val="24"/>
                              </w:rPr>
                              <w:t>-2</w:t>
                            </w:r>
                            <w:r>
                              <w:rPr>
                                <w:i/>
                                <w:iCs/>
                                <w:color w:val="5B9BD5" w:themeColor="accent1"/>
                                <w:sz w:val="24"/>
                                <w:szCs w:val="24"/>
                              </w:rPr>
                              <w:t>4</w:t>
                            </w:r>
                            <w:r w:rsidRPr="006967FF">
                              <w:rPr>
                                <w:i/>
                                <w:iCs/>
                                <w:color w:val="5B9BD5" w:themeColor="accent1"/>
                                <w:sz w:val="24"/>
                                <w:szCs w:val="24"/>
                              </w:rPr>
                              <w:t xml:space="preserve">. This is relatively modest in terms of historical rates of growth.  </w:t>
                            </w:r>
                          </w:p>
                          <w:p w14:paraId="2D300CFB" w14:textId="77777777"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 xml:space="preserve">Growth in spending is driven mainly by new initiatives, most of which were announced in the August 2020 Economic and Fiscal Update. </w:t>
                            </w:r>
                          </w:p>
                          <w:p w14:paraId="276EC370" w14:textId="77777777"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The main areas of growth are in general public services, education and health.</w:t>
                            </w:r>
                          </w:p>
                          <w:p w14:paraId="317B8DCA" w14:textId="27C9E04D" w:rsidR="00A30ABA" w:rsidRPr="00BF39F3"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New policy decisions will add some $298.7 million in expenses and $447.0 million in capital across the Budget and forward estimates. However, these amounts are partially offset by savings measures and other provisions.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FD959" id="Text Box 9" o:spid="_x0000_s1036" type="#_x0000_t202" style="position:absolute;margin-left:0;margin-top:101.25pt;width:438.9pt;height:187.1pt;z-index:251665408;visibility:visible;mso-wrap-style:square;mso-width-percent:0;mso-height-percent:0;mso-wrap-distance-left:9pt;mso-wrap-distance-top:7.2pt;mso-wrap-distance-right:9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" filled="f" stroked="f">
                <v:textbox>
                  <w:txbxContent>
                    <w:p w14:paraId="4441D909" w14:textId="683582F0"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 xml:space="preserve">Expenses are forecast to grow over the </w:t>
                      </w:r>
                      <w:r w:rsidR="00E900F5">
                        <w:rPr>
                          <w:i/>
                          <w:iCs/>
                          <w:color w:val="5B9BD5" w:themeColor="accent1"/>
                          <w:sz w:val="24"/>
                          <w:szCs w:val="24"/>
                        </w:rPr>
                        <w:t>B</w:t>
                      </w:r>
                      <w:r w:rsidRPr="006967FF">
                        <w:rPr>
                          <w:i/>
                          <w:iCs/>
                          <w:color w:val="5B9BD5" w:themeColor="accent1"/>
                          <w:sz w:val="24"/>
                          <w:szCs w:val="24"/>
                        </w:rPr>
                        <w:t>udget and forward estimates from $6.7 billion in 2020-21 to $7.1 billion in 202</w:t>
                      </w:r>
                      <w:r>
                        <w:rPr>
                          <w:i/>
                          <w:iCs/>
                          <w:color w:val="5B9BD5" w:themeColor="accent1"/>
                          <w:sz w:val="24"/>
                          <w:szCs w:val="24"/>
                        </w:rPr>
                        <w:t>3</w:t>
                      </w:r>
                      <w:r w:rsidRPr="006967FF">
                        <w:rPr>
                          <w:i/>
                          <w:iCs/>
                          <w:color w:val="5B9BD5" w:themeColor="accent1"/>
                          <w:sz w:val="24"/>
                          <w:szCs w:val="24"/>
                        </w:rPr>
                        <w:t>-2</w:t>
                      </w:r>
                      <w:r>
                        <w:rPr>
                          <w:i/>
                          <w:iCs/>
                          <w:color w:val="5B9BD5" w:themeColor="accent1"/>
                          <w:sz w:val="24"/>
                          <w:szCs w:val="24"/>
                        </w:rPr>
                        <w:t>4</w:t>
                      </w:r>
                      <w:r w:rsidRPr="006967FF">
                        <w:rPr>
                          <w:i/>
                          <w:iCs/>
                          <w:color w:val="5B9BD5" w:themeColor="accent1"/>
                          <w:sz w:val="24"/>
                          <w:szCs w:val="24"/>
                        </w:rPr>
                        <w:t xml:space="preserve">. This is relatively modest in terms of historical rates of growth.  </w:t>
                      </w:r>
                    </w:p>
                    <w:p w14:paraId="2D300CFB" w14:textId="77777777"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 xml:space="preserve">Growth in spending is driven mainly by new initiatives, most of which were announced in the August 2020 Economic and Fiscal Update. </w:t>
                      </w:r>
                    </w:p>
                    <w:p w14:paraId="276EC370" w14:textId="77777777" w:rsidR="00A30ABA" w:rsidRPr="006967FF"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The main areas of growth are in general public services, education and health.</w:t>
                      </w:r>
                    </w:p>
                    <w:p w14:paraId="317B8DCA" w14:textId="27C9E04D" w:rsidR="00A30ABA" w:rsidRPr="00BF39F3" w:rsidRDefault="00A30ABA" w:rsidP="00904995">
                      <w:pPr>
                        <w:pBdr>
                          <w:top w:val="single" w:sz="24" w:space="8" w:color="5B9BD5" w:themeColor="accent1"/>
                          <w:bottom w:val="single" w:sz="24" w:space="8" w:color="5B9BD5" w:themeColor="accent1"/>
                        </w:pBdr>
                        <w:spacing w:after="0"/>
                        <w:rPr>
                          <w:i/>
                          <w:iCs/>
                          <w:color w:val="5B9BD5" w:themeColor="accent1"/>
                          <w:sz w:val="24"/>
                          <w:szCs w:val="24"/>
                        </w:rPr>
                      </w:pPr>
                      <w:r w:rsidRPr="006967FF">
                        <w:rPr>
                          <w:i/>
                          <w:iCs/>
                          <w:color w:val="5B9BD5" w:themeColor="accent1"/>
                          <w:sz w:val="24"/>
                          <w:szCs w:val="24"/>
                        </w:rPr>
                        <w:t>New policy decisions will add some $298.7 million in expenses and $447.0 million in capital across the Budget and forward estimates. However, these amounts are partially offset by savings measures and other provisions.</w:t>
                      </w:r>
                    </w:p>
                  </w:txbxContent>
                </v:textbox>
                <w10:wrap type="topAndBottom" anchorx="margin" anchory="page"/>
              </v:shape>
            </w:pict>
          </mc:Fallback>
        </mc:AlternateContent>
      </w:r>
      <w:bookmarkStart w:id="122" w:name="_Toc453495125"/>
      <w:bookmarkStart w:id="123" w:name="_Toc453516124"/>
      <w:bookmarkStart w:id="124" w:name="_Toc485570996"/>
      <w:r w:rsidR="00904995">
        <w:t>5</w:t>
      </w:r>
      <w:r w:rsidR="00F917F6">
        <w:t>.</w:t>
      </w:r>
      <w:r>
        <w:tab/>
      </w:r>
      <w:r w:rsidRPr="00AD5972">
        <w:t>Expenditure</w:t>
      </w:r>
      <w:bookmarkEnd w:id="121"/>
      <w:bookmarkEnd w:id="122"/>
      <w:bookmarkEnd w:id="123"/>
      <w:bookmarkEnd w:id="124"/>
      <w:r>
        <w:rPr>
          <w:noProof/>
          <w:lang w:val="en-NZ" w:eastAsia="en-NZ"/>
        </w:rPr>
        <w:t xml:space="preserve"> </w:t>
      </w:r>
    </w:p>
    <w:p w14:paraId="212CFA25" w14:textId="46FF34F3" w:rsidR="00D95DFE" w:rsidRDefault="00904995" w:rsidP="00D95DFE">
      <w:pPr>
        <w:pStyle w:val="Heading2"/>
      </w:pPr>
      <w:bookmarkStart w:id="125" w:name="_Toc484807073"/>
      <w:bookmarkStart w:id="126" w:name="_Toc453516125"/>
      <w:bookmarkStart w:id="127" w:name="_Toc453495126"/>
      <w:bookmarkStart w:id="128" w:name="_Toc485570997"/>
      <w:bookmarkStart w:id="129" w:name="_Toc64529043"/>
      <w:r w:rsidRPr="006967FF">
        <w:t>5</w:t>
      </w:r>
      <w:r w:rsidR="00D95DFE" w:rsidRPr="006967FF">
        <w:t>.1</w:t>
      </w:r>
      <w:r w:rsidR="00D95DFE" w:rsidRPr="006967FF">
        <w:tab/>
        <w:t>Overview</w:t>
      </w:r>
      <w:bookmarkEnd w:id="125"/>
      <w:bookmarkEnd w:id="126"/>
      <w:bookmarkEnd w:id="127"/>
      <w:bookmarkEnd w:id="128"/>
      <w:bookmarkEnd w:id="129"/>
    </w:p>
    <w:p w14:paraId="479F1B61" w14:textId="480CF343" w:rsidR="00904995" w:rsidRDefault="00904995" w:rsidP="00904995">
      <w:pPr>
        <w:spacing w:before="200" w:after="200"/>
      </w:pPr>
      <w:r>
        <w:t>The Budget is forecast expenses of $6.7 billion in 2020-21 represent an increase of $232.1 million, or 3.6 per</w:t>
      </w:r>
      <w:r w:rsidR="00A1572F">
        <w:t xml:space="preserve"> </w:t>
      </w:r>
      <w:r>
        <w:t>cent, over the audited 2019-20 outcome of $6.5 billion.</w:t>
      </w:r>
    </w:p>
    <w:p w14:paraId="3DEA2E8E" w14:textId="498ED211" w:rsidR="00904995" w:rsidRDefault="00904995" w:rsidP="00904995">
      <w:pPr>
        <w:spacing w:before="200" w:after="200"/>
      </w:pPr>
      <w:r>
        <w:t xml:space="preserve">Table </w:t>
      </w:r>
      <w:r w:rsidR="00317405">
        <w:t>6</w:t>
      </w:r>
      <w:r>
        <w:t xml:space="preserve"> sets out the forecasts for aggregate expenses for the budget and forward years.</w:t>
      </w:r>
    </w:p>
    <w:p w14:paraId="5C08E104" w14:textId="05652DD8" w:rsidR="00904995" w:rsidRDefault="00904995" w:rsidP="00904995">
      <w:pPr>
        <w:pStyle w:val="Caption"/>
      </w:pPr>
      <w:bookmarkStart w:id="130" w:name="_Toc11145371"/>
      <w:bookmarkStart w:id="131" w:name="_Toc64529086"/>
      <w:r>
        <w:t xml:space="preserve">Table </w:t>
      </w:r>
      <w:r>
        <w:rPr>
          <w:noProof/>
        </w:rPr>
        <w:fldChar w:fldCharType="begin"/>
      </w:r>
      <w:r>
        <w:rPr>
          <w:noProof/>
        </w:rPr>
        <w:instrText xml:space="preserve"> SEQ Table \* ARABIC </w:instrText>
      </w:r>
      <w:r>
        <w:rPr>
          <w:noProof/>
        </w:rPr>
        <w:fldChar w:fldCharType="separate"/>
      </w:r>
      <w:r w:rsidR="00AB7125">
        <w:rPr>
          <w:noProof/>
        </w:rPr>
        <w:t>6</w:t>
      </w:r>
      <w:r>
        <w:rPr>
          <w:noProof/>
        </w:rPr>
        <w:fldChar w:fldCharType="end"/>
      </w:r>
      <w:r>
        <w:t>: Budget and forecast expenses, 2019-20, 2020-21 and 2021-22 to 2023-2</w:t>
      </w:r>
      <w:bookmarkEnd w:id="130"/>
      <w:r>
        <w:t>4</w:t>
      </w:r>
      <w:bookmarkEnd w:id="131"/>
    </w:p>
    <w:tbl>
      <w:tblPr>
        <w:tblW w:w="9075" w:type="dxa"/>
        <w:tblLayout w:type="fixed"/>
        <w:tblLook w:val="01E0" w:firstRow="1" w:lastRow="1" w:firstColumn="1" w:lastColumn="1" w:noHBand="0" w:noVBand="0"/>
      </w:tblPr>
      <w:tblGrid>
        <w:gridCol w:w="3088"/>
        <w:gridCol w:w="1199"/>
        <w:gridCol w:w="1197"/>
        <w:gridCol w:w="1197"/>
        <w:gridCol w:w="1197"/>
        <w:gridCol w:w="1197"/>
      </w:tblGrid>
      <w:tr w:rsidR="00904995" w14:paraId="17D7D87A" w14:textId="77777777" w:rsidTr="00F93BC0">
        <w:trPr>
          <w:cantSplit/>
          <w:trHeight w:val="227"/>
        </w:trPr>
        <w:tc>
          <w:tcPr>
            <w:tcW w:w="3088" w:type="dxa"/>
            <w:tcBorders>
              <w:top w:val="single" w:sz="4" w:space="0" w:color="auto"/>
              <w:left w:val="nil"/>
              <w:bottom w:val="nil"/>
              <w:right w:val="nil"/>
            </w:tcBorders>
          </w:tcPr>
          <w:p w14:paraId="5BAD31B7" w14:textId="77777777" w:rsidR="00904995" w:rsidRDefault="00904995" w:rsidP="00F93BC0">
            <w:pPr>
              <w:pStyle w:val="EmptyCell"/>
              <w:spacing w:line="254" w:lineRule="auto"/>
            </w:pPr>
          </w:p>
        </w:tc>
        <w:tc>
          <w:tcPr>
            <w:tcW w:w="1199" w:type="dxa"/>
            <w:tcBorders>
              <w:top w:val="single" w:sz="4" w:space="0" w:color="auto"/>
              <w:left w:val="nil"/>
              <w:bottom w:val="nil"/>
              <w:right w:val="nil"/>
            </w:tcBorders>
            <w:hideMark/>
          </w:tcPr>
          <w:p w14:paraId="1E591C77" w14:textId="77777777" w:rsidR="00904995" w:rsidRDefault="00904995" w:rsidP="00F93BC0">
            <w:pPr>
              <w:pStyle w:val="BStablefigures"/>
            </w:pPr>
            <w:r>
              <w:t>2019-20</w:t>
            </w:r>
          </w:p>
          <w:p w14:paraId="5BA5B2AF" w14:textId="77777777" w:rsidR="00904995" w:rsidRDefault="00904995" w:rsidP="00F93BC0">
            <w:pPr>
              <w:pStyle w:val="BStablefigures"/>
            </w:pPr>
            <w:r>
              <w:t>Outcome</w:t>
            </w:r>
          </w:p>
        </w:tc>
        <w:tc>
          <w:tcPr>
            <w:tcW w:w="1197" w:type="dxa"/>
            <w:tcBorders>
              <w:top w:val="single" w:sz="4" w:space="0" w:color="auto"/>
              <w:left w:val="nil"/>
              <w:bottom w:val="nil"/>
              <w:right w:val="nil"/>
            </w:tcBorders>
            <w:hideMark/>
          </w:tcPr>
          <w:p w14:paraId="7EC4B8EA" w14:textId="77777777" w:rsidR="00904995" w:rsidRDefault="00904995" w:rsidP="00F93BC0">
            <w:pPr>
              <w:pStyle w:val="BStablefigures"/>
            </w:pPr>
            <w:r>
              <w:t>2020-21</w:t>
            </w:r>
          </w:p>
          <w:p w14:paraId="5BF6E4F0" w14:textId="77777777" w:rsidR="00904995" w:rsidRDefault="00904995" w:rsidP="00F93BC0">
            <w:pPr>
              <w:pStyle w:val="BStablefigures"/>
            </w:pPr>
            <w:r>
              <w:t>Budget</w:t>
            </w:r>
          </w:p>
        </w:tc>
        <w:tc>
          <w:tcPr>
            <w:tcW w:w="1197" w:type="dxa"/>
            <w:tcBorders>
              <w:top w:val="single" w:sz="4" w:space="0" w:color="auto"/>
              <w:left w:val="nil"/>
              <w:bottom w:val="nil"/>
              <w:right w:val="nil"/>
            </w:tcBorders>
            <w:hideMark/>
          </w:tcPr>
          <w:p w14:paraId="29B9B5D0" w14:textId="77777777" w:rsidR="00904995" w:rsidRDefault="00904995" w:rsidP="00F93BC0">
            <w:pPr>
              <w:pStyle w:val="BStablefigures"/>
            </w:pPr>
            <w:r>
              <w:t>2021-22</w:t>
            </w:r>
          </w:p>
          <w:p w14:paraId="5480B23F" w14:textId="77777777" w:rsidR="00904995" w:rsidRDefault="00904995" w:rsidP="00F93BC0">
            <w:pPr>
              <w:pStyle w:val="BStablefigures"/>
            </w:pPr>
            <w:r>
              <w:t>Estimate</w:t>
            </w:r>
          </w:p>
        </w:tc>
        <w:tc>
          <w:tcPr>
            <w:tcW w:w="1197" w:type="dxa"/>
            <w:tcBorders>
              <w:top w:val="single" w:sz="4" w:space="0" w:color="auto"/>
              <w:left w:val="nil"/>
              <w:bottom w:val="nil"/>
              <w:right w:val="nil"/>
            </w:tcBorders>
            <w:hideMark/>
          </w:tcPr>
          <w:p w14:paraId="6842F1E0" w14:textId="77777777" w:rsidR="00904995" w:rsidRDefault="00904995" w:rsidP="00F93BC0">
            <w:pPr>
              <w:pStyle w:val="BStablefigures"/>
            </w:pPr>
            <w:r>
              <w:t>2022-23</w:t>
            </w:r>
          </w:p>
          <w:p w14:paraId="6B461A27" w14:textId="77777777" w:rsidR="00904995" w:rsidRDefault="00904995" w:rsidP="00F93BC0">
            <w:pPr>
              <w:pStyle w:val="BStablefigures"/>
            </w:pPr>
            <w:r>
              <w:t>Estimate</w:t>
            </w:r>
          </w:p>
        </w:tc>
        <w:tc>
          <w:tcPr>
            <w:tcW w:w="1197" w:type="dxa"/>
            <w:tcBorders>
              <w:top w:val="single" w:sz="4" w:space="0" w:color="auto"/>
              <w:left w:val="nil"/>
              <w:bottom w:val="nil"/>
              <w:right w:val="nil"/>
            </w:tcBorders>
            <w:hideMark/>
          </w:tcPr>
          <w:p w14:paraId="7B664D10" w14:textId="77777777" w:rsidR="00904995" w:rsidRDefault="00904995" w:rsidP="00F93BC0">
            <w:pPr>
              <w:pStyle w:val="BStablefigures"/>
            </w:pPr>
            <w:r>
              <w:t>2023-24</w:t>
            </w:r>
          </w:p>
          <w:p w14:paraId="1EA76B9B" w14:textId="77777777" w:rsidR="00904995" w:rsidRDefault="00904995" w:rsidP="00F93BC0">
            <w:pPr>
              <w:pStyle w:val="BStablefigures"/>
            </w:pPr>
            <w:r>
              <w:t>Estimate</w:t>
            </w:r>
          </w:p>
        </w:tc>
      </w:tr>
      <w:tr w:rsidR="00904995" w14:paraId="39E360E6" w14:textId="77777777" w:rsidTr="00F93BC0">
        <w:trPr>
          <w:cantSplit/>
          <w:trHeight w:val="227"/>
        </w:trPr>
        <w:tc>
          <w:tcPr>
            <w:tcW w:w="3088" w:type="dxa"/>
            <w:tcBorders>
              <w:top w:val="nil"/>
              <w:left w:val="nil"/>
              <w:bottom w:val="single" w:sz="4" w:space="0" w:color="auto"/>
              <w:right w:val="nil"/>
            </w:tcBorders>
            <w:hideMark/>
          </w:tcPr>
          <w:p w14:paraId="4E987884" w14:textId="77777777" w:rsidR="00904995" w:rsidRDefault="00904995" w:rsidP="00F93BC0">
            <w:pPr>
              <w:pStyle w:val="EmptyCell"/>
              <w:spacing w:line="254" w:lineRule="auto"/>
            </w:pPr>
            <w:r>
              <w:t xml:space="preserve"> </w:t>
            </w:r>
          </w:p>
        </w:tc>
        <w:tc>
          <w:tcPr>
            <w:tcW w:w="1199" w:type="dxa"/>
            <w:tcBorders>
              <w:top w:val="nil"/>
              <w:left w:val="nil"/>
              <w:bottom w:val="single" w:sz="4" w:space="0" w:color="auto"/>
              <w:right w:val="nil"/>
            </w:tcBorders>
            <w:hideMark/>
          </w:tcPr>
          <w:p w14:paraId="4A5442A2" w14:textId="77777777" w:rsidR="00904995" w:rsidRDefault="00904995" w:rsidP="00F93BC0">
            <w:pPr>
              <w:pStyle w:val="BStablefigures"/>
            </w:pPr>
            <w:r>
              <w:t>$m</w:t>
            </w:r>
          </w:p>
        </w:tc>
        <w:tc>
          <w:tcPr>
            <w:tcW w:w="1197" w:type="dxa"/>
            <w:tcBorders>
              <w:top w:val="nil"/>
              <w:left w:val="nil"/>
              <w:bottom w:val="single" w:sz="4" w:space="0" w:color="auto"/>
              <w:right w:val="nil"/>
            </w:tcBorders>
            <w:hideMark/>
          </w:tcPr>
          <w:p w14:paraId="1D8D2329" w14:textId="77777777" w:rsidR="00904995" w:rsidRDefault="00904995" w:rsidP="00F93BC0">
            <w:pPr>
              <w:pStyle w:val="BStablefigures"/>
            </w:pPr>
            <w:r>
              <w:t>$m</w:t>
            </w:r>
          </w:p>
        </w:tc>
        <w:tc>
          <w:tcPr>
            <w:tcW w:w="1197" w:type="dxa"/>
            <w:tcBorders>
              <w:top w:val="nil"/>
              <w:left w:val="nil"/>
              <w:bottom w:val="single" w:sz="4" w:space="0" w:color="auto"/>
              <w:right w:val="nil"/>
            </w:tcBorders>
            <w:hideMark/>
          </w:tcPr>
          <w:p w14:paraId="4A8A9B5C" w14:textId="77777777" w:rsidR="00904995" w:rsidRDefault="00904995" w:rsidP="00F93BC0">
            <w:pPr>
              <w:pStyle w:val="BStablefigures"/>
            </w:pPr>
            <w:r>
              <w:t>$m</w:t>
            </w:r>
          </w:p>
        </w:tc>
        <w:tc>
          <w:tcPr>
            <w:tcW w:w="1197" w:type="dxa"/>
            <w:tcBorders>
              <w:top w:val="nil"/>
              <w:left w:val="nil"/>
              <w:bottom w:val="single" w:sz="4" w:space="0" w:color="auto"/>
              <w:right w:val="nil"/>
            </w:tcBorders>
            <w:hideMark/>
          </w:tcPr>
          <w:p w14:paraId="4276EC7E" w14:textId="77777777" w:rsidR="00904995" w:rsidRDefault="00904995" w:rsidP="00F93BC0">
            <w:pPr>
              <w:pStyle w:val="BStablefigures"/>
            </w:pPr>
            <w:r>
              <w:t>$m</w:t>
            </w:r>
          </w:p>
        </w:tc>
        <w:tc>
          <w:tcPr>
            <w:tcW w:w="1197" w:type="dxa"/>
            <w:tcBorders>
              <w:top w:val="nil"/>
              <w:left w:val="nil"/>
              <w:bottom w:val="single" w:sz="4" w:space="0" w:color="auto"/>
              <w:right w:val="nil"/>
            </w:tcBorders>
            <w:hideMark/>
          </w:tcPr>
          <w:p w14:paraId="675B6FF8" w14:textId="77777777" w:rsidR="00904995" w:rsidRDefault="00904995" w:rsidP="00F93BC0">
            <w:pPr>
              <w:pStyle w:val="BStablefigures"/>
            </w:pPr>
            <w:r>
              <w:t>$m</w:t>
            </w:r>
          </w:p>
        </w:tc>
      </w:tr>
      <w:tr w:rsidR="00904995" w14:paraId="025B36FE" w14:textId="77777777" w:rsidTr="00F93BC0">
        <w:trPr>
          <w:cantSplit/>
          <w:trHeight w:val="227"/>
        </w:trPr>
        <w:tc>
          <w:tcPr>
            <w:tcW w:w="3088" w:type="dxa"/>
            <w:tcBorders>
              <w:top w:val="single" w:sz="4" w:space="0" w:color="auto"/>
              <w:bottom w:val="single" w:sz="4" w:space="0" w:color="auto"/>
            </w:tcBorders>
            <w:hideMark/>
          </w:tcPr>
          <w:p w14:paraId="63092F4B" w14:textId="77777777" w:rsidR="00904995" w:rsidRDefault="00904995" w:rsidP="00F93BC0">
            <w:pPr>
              <w:pStyle w:val="BStabletextunbold"/>
            </w:pPr>
            <w:r>
              <w:rPr>
                <w:lang w:eastAsia="en-AU"/>
              </w:rPr>
              <w:t>Expenses</w:t>
            </w:r>
          </w:p>
        </w:tc>
        <w:tc>
          <w:tcPr>
            <w:tcW w:w="1199" w:type="dxa"/>
            <w:tcBorders>
              <w:top w:val="single" w:sz="4" w:space="0" w:color="auto"/>
              <w:bottom w:val="single" w:sz="4" w:space="0" w:color="auto"/>
            </w:tcBorders>
            <w:vAlign w:val="center"/>
            <w:hideMark/>
          </w:tcPr>
          <w:p w14:paraId="726844FB" w14:textId="77777777" w:rsidR="00904995" w:rsidRDefault="00904995" w:rsidP="00F93BC0">
            <w:pPr>
              <w:pStyle w:val="BStablefiguresunbold"/>
            </w:pPr>
            <w:r>
              <w:rPr>
                <w:lang w:val="en-AU"/>
              </w:rPr>
              <w:t>-6,517.6</w:t>
            </w:r>
          </w:p>
        </w:tc>
        <w:tc>
          <w:tcPr>
            <w:tcW w:w="1197" w:type="dxa"/>
            <w:tcBorders>
              <w:top w:val="single" w:sz="4" w:space="0" w:color="auto"/>
              <w:bottom w:val="single" w:sz="4" w:space="0" w:color="auto"/>
            </w:tcBorders>
            <w:vAlign w:val="center"/>
            <w:hideMark/>
          </w:tcPr>
          <w:p w14:paraId="252B513D" w14:textId="77777777" w:rsidR="00904995" w:rsidRDefault="00904995" w:rsidP="00F93BC0">
            <w:pPr>
              <w:pStyle w:val="BStablefiguresunbold"/>
            </w:pPr>
            <w:r>
              <w:rPr>
                <w:lang w:val="en-AU"/>
              </w:rPr>
              <w:t>-</w:t>
            </w:r>
            <w:r>
              <w:t>6,749.7</w:t>
            </w:r>
          </w:p>
        </w:tc>
        <w:tc>
          <w:tcPr>
            <w:tcW w:w="1197" w:type="dxa"/>
            <w:tcBorders>
              <w:top w:val="single" w:sz="4" w:space="0" w:color="auto"/>
              <w:bottom w:val="single" w:sz="4" w:space="0" w:color="auto"/>
            </w:tcBorders>
            <w:vAlign w:val="center"/>
            <w:hideMark/>
          </w:tcPr>
          <w:p w14:paraId="09D854F9" w14:textId="77777777" w:rsidR="00904995" w:rsidRDefault="00904995" w:rsidP="00F93BC0">
            <w:pPr>
              <w:pStyle w:val="BStablefiguresunbold"/>
            </w:pPr>
            <w:r>
              <w:rPr>
                <w:lang w:val="en-AU"/>
              </w:rPr>
              <w:t>-</w:t>
            </w:r>
            <w:r>
              <w:t>6,839.1</w:t>
            </w:r>
          </w:p>
        </w:tc>
        <w:tc>
          <w:tcPr>
            <w:tcW w:w="1197" w:type="dxa"/>
            <w:tcBorders>
              <w:top w:val="single" w:sz="4" w:space="0" w:color="auto"/>
              <w:bottom w:val="single" w:sz="4" w:space="0" w:color="auto"/>
            </w:tcBorders>
            <w:vAlign w:val="center"/>
            <w:hideMark/>
          </w:tcPr>
          <w:p w14:paraId="4B4096B1" w14:textId="77777777" w:rsidR="00904995" w:rsidRDefault="00904995" w:rsidP="00F93BC0">
            <w:pPr>
              <w:pStyle w:val="BStablefiguresunbold"/>
            </w:pPr>
            <w:r>
              <w:rPr>
                <w:lang w:val="en-AU"/>
              </w:rPr>
              <w:t>-</w:t>
            </w:r>
            <w:r>
              <w:t>6,941.8</w:t>
            </w:r>
          </w:p>
        </w:tc>
        <w:tc>
          <w:tcPr>
            <w:tcW w:w="1197" w:type="dxa"/>
            <w:tcBorders>
              <w:top w:val="single" w:sz="4" w:space="0" w:color="auto"/>
              <w:bottom w:val="single" w:sz="4" w:space="0" w:color="auto"/>
            </w:tcBorders>
            <w:vAlign w:val="center"/>
            <w:hideMark/>
          </w:tcPr>
          <w:p w14:paraId="07E1F406" w14:textId="77777777" w:rsidR="00904995" w:rsidRDefault="00904995" w:rsidP="00F93BC0">
            <w:pPr>
              <w:pStyle w:val="BStablefiguresunbold"/>
            </w:pPr>
            <w:r>
              <w:rPr>
                <w:lang w:val="en-AU"/>
              </w:rPr>
              <w:t>-</w:t>
            </w:r>
            <w:r>
              <w:t>7,148.2</w:t>
            </w:r>
          </w:p>
        </w:tc>
      </w:tr>
    </w:tbl>
    <w:p w14:paraId="00595338" w14:textId="77777777" w:rsidR="00904995" w:rsidRDefault="00904995" w:rsidP="004E3171">
      <w:pPr>
        <w:spacing w:before="0"/>
        <w:rPr>
          <w:sz w:val="20"/>
          <w:szCs w:val="20"/>
        </w:rPr>
      </w:pPr>
      <w:r>
        <w:rPr>
          <w:sz w:val="20"/>
          <w:szCs w:val="20"/>
        </w:rPr>
        <w:t xml:space="preserve">Source: ACT Government </w:t>
      </w:r>
      <w:r w:rsidRPr="008B6C63">
        <w:rPr>
          <w:noProof/>
          <w:sz w:val="20"/>
          <w:szCs w:val="20"/>
        </w:rPr>
        <w:t>(2021, p. 41)</w:t>
      </w:r>
      <w:r>
        <w:rPr>
          <w:sz w:val="20"/>
          <w:szCs w:val="20"/>
        </w:rPr>
        <w:t>.</w:t>
      </w:r>
    </w:p>
    <w:p w14:paraId="7DDA2D83" w14:textId="6C784E51" w:rsidR="00904995" w:rsidRDefault="00904995" w:rsidP="00904995">
      <w:pPr>
        <w:spacing w:before="200" w:after="200"/>
      </w:pPr>
      <w:r>
        <w:t xml:space="preserve">Table </w:t>
      </w:r>
      <w:r w:rsidR="00317405">
        <w:t>6</w:t>
      </w:r>
      <w:r>
        <w:t xml:space="preserve"> shows that expenses are expected to grow over the Budget and forward estimates period to $7.1 billion in 2023-24. This represents growth of 9.7 per cent over the audited 2019-20 outcome, or an average rate of 2.4 per</w:t>
      </w:r>
      <w:r w:rsidR="00A1572F">
        <w:t xml:space="preserve"> </w:t>
      </w:r>
      <w:r>
        <w:t xml:space="preserve">cent per annum growth to 2023-24. This is a relatively modest rate of growth compared with the growth in expenses experienced in recent years. </w:t>
      </w:r>
    </w:p>
    <w:p w14:paraId="3610E4D5" w14:textId="228BA9C9" w:rsidR="00904995" w:rsidRDefault="00904995" w:rsidP="00904995">
      <w:r>
        <w:t xml:space="preserve">The main reasons for the change in the forecast level of expenses relative to the last Budget include the effect of changes of new initiatives and, to a much lesser extent, changes in underlying volume and price parameters. New initiatives were partially offset in the Budget year by the effect of parameter changes. Measures announced in the 2019-20 Budget Review and the August 2020 Economic and Fiscal Update added some $400 million to the 2020-21 Budget forecasts.  </w:t>
      </w:r>
    </w:p>
    <w:p w14:paraId="41279EC3" w14:textId="44DD0BC2" w:rsidR="00904995" w:rsidRDefault="00904995" w:rsidP="00904995">
      <w:r>
        <w:t>By contrast, discretionary decisions since the</w:t>
      </w:r>
      <w:r w:rsidR="00E75EF6">
        <w:t xml:space="preserve"> August 2020</w:t>
      </w:r>
      <w:r>
        <w:t xml:space="preserve"> Economic and Fiscal Update add </w:t>
      </w:r>
      <w:r w:rsidR="00A1572F">
        <w:t xml:space="preserve">around </w:t>
      </w:r>
      <w:r>
        <w:t>$</w:t>
      </w:r>
      <w:r w:rsidR="00A1572F">
        <w:t>100</w:t>
      </w:r>
      <w:r>
        <w:t xml:space="preserve"> million in net terms to the 2020-21 Budget. New initiatives in the current Budget include:</w:t>
      </w:r>
    </w:p>
    <w:p w14:paraId="28028172" w14:textId="3158CFB0" w:rsidR="00904995" w:rsidRDefault="00904995" w:rsidP="00904995">
      <w:pPr>
        <w:pStyle w:val="ListParagraph"/>
        <w:numPr>
          <w:ilvl w:val="0"/>
          <w:numId w:val="29"/>
        </w:numPr>
      </w:pPr>
      <w:r>
        <w:t>Funding to support the public health response to COVID</w:t>
      </w:r>
      <w:r w:rsidR="00331AFD">
        <w:t>-19</w:t>
      </w:r>
    </w:p>
    <w:p w14:paraId="032CCDC1" w14:textId="77777777" w:rsidR="00904995" w:rsidRDefault="00904995" w:rsidP="00904995">
      <w:pPr>
        <w:pStyle w:val="ListParagraph"/>
        <w:numPr>
          <w:ilvl w:val="0"/>
          <w:numId w:val="29"/>
        </w:numPr>
      </w:pPr>
      <w:r>
        <w:t>Various energy transition measures, including the Big Battery</w:t>
      </w:r>
    </w:p>
    <w:p w14:paraId="68DE28B2" w14:textId="77777777" w:rsidR="00904995" w:rsidRDefault="00904995" w:rsidP="00904995">
      <w:pPr>
        <w:pStyle w:val="ListParagraph"/>
        <w:numPr>
          <w:ilvl w:val="0"/>
          <w:numId w:val="29"/>
        </w:numPr>
      </w:pPr>
      <w:r>
        <w:t>Extension of John Gorton Drive</w:t>
      </w:r>
    </w:p>
    <w:p w14:paraId="2DCC2EBA" w14:textId="77777777" w:rsidR="00904995" w:rsidRDefault="00904995" w:rsidP="00904995">
      <w:pPr>
        <w:pStyle w:val="ListParagraph"/>
        <w:numPr>
          <w:ilvl w:val="0"/>
          <w:numId w:val="29"/>
        </w:numPr>
      </w:pPr>
      <w:r>
        <w:t>New school construction in Taylor</w:t>
      </w:r>
    </w:p>
    <w:p w14:paraId="0D295BEE" w14:textId="77777777" w:rsidR="00904995" w:rsidRDefault="00904995" w:rsidP="00904995">
      <w:pPr>
        <w:pStyle w:val="ListParagraph"/>
        <w:numPr>
          <w:ilvl w:val="0"/>
          <w:numId w:val="29"/>
        </w:numPr>
      </w:pPr>
      <w:r>
        <w:t xml:space="preserve">Assistance for the higher education and tourism sectors </w:t>
      </w:r>
    </w:p>
    <w:p w14:paraId="06B88272" w14:textId="77777777" w:rsidR="00904995" w:rsidRDefault="00904995" w:rsidP="00904995">
      <w:pPr>
        <w:pStyle w:val="ListParagraph"/>
        <w:numPr>
          <w:ilvl w:val="0"/>
          <w:numId w:val="29"/>
        </w:numPr>
      </w:pPr>
      <w:r>
        <w:t>Additional funding for housing and homelessness services and a range of Aboriginal and Torres Strait Islander programs.</w:t>
      </w:r>
    </w:p>
    <w:p w14:paraId="6F70FFBE" w14:textId="62FD3CD0" w:rsidR="00904995" w:rsidRDefault="00904995" w:rsidP="00904995">
      <w:r>
        <w:lastRenderedPageBreak/>
        <w:t xml:space="preserve">In gross terms, new policy decisions total $298.7 million in expenses and $447.0 million in capital across the Budget and forward </w:t>
      </w:r>
      <w:r w:rsidRPr="00743F9E">
        <w:t>estimates (ACT Government, 2021, p.57).</w:t>
      </w:r>
      <w:r>
        <w:t xml:space="preserve"> However, these amounts are partially offset by existing provisions and savings.</w:t>
      </w:r>
    </w:p>
    <w:p w14:paraId="5D0FFBEE" w14:textId="45E4B4C5" w:rsidR="00904995" w:rsidRDefault="00904995" w:rsidP="00904995">
      <w:pPr>
        <w:pStyle w:val="Heading2"/>
        <w:spacing w:after="240"/>
      </w:pPr>
      <w:bookmarkStart w:id="132" w:name="_Toc484807074"/>
      <w:bookmarkStart w:id="133" w:name="_Toc485570998"/>
      <w:bookmarkStart w:id="134" w:name="_Toc11400272"/>
      <w:bookmarkStart w:id="135" w:name="_Toc453516126"/>
      <w:bookmarkStart w:id="136" w:name="_Toc453495127"/>
      <w:bookmarkStart w:id="137" w:name="_Toc64529044"/>
      <w:r w:rsidRPr="006967FF">
        <w:t>5.2</w:t>
      </w:r>
      <w:r w:rsidRPr="006967FF">
        <w:tab/>
        <w:t>Expenses by function</w:t>
      </w:r>
      <w:bookmarkEnd w:id="132"/>
      <w:bookmarkEnd w:id="133"/>
      <w:bookmarkEnd w:id="134"/>
      <w:bookmarkEnd w:id="137"/>
    </w:p>
    <w:p w14:paraId="4940C67B" w14:textId="3F5A7B39" w:rsidR="00904995" w:rsidRDefault="00904995" w:rsidP="00904995">
      <w:r>
        <w:t xml:space="preserve">The Budget Papers include a classification of expenses by the functions, or socioeconomic objectives, that general government units aim to achieve through various kinds of outlays. This classification is intended to allow trends in government outlays on particular functions or purposes to be examined over time </w:t>
      </w:r>
      <w:sdt>
        <w:sdtPr>
          <w:id w:val="-1800753595"/>
          <w:citation/>
        </w:sdtPr>
        <w:sdtContent>
          <w:r>
            <w:fldChar w:fldCharType="begin"/>
          </w:r>
          <w:r>
            <w:instrText xml:space="preserve">CITATION Int \p 75 \t  \l 3081 </w:instrText>
          </w:r>
          <w:r>
            <w:fldChar w:fldCharType="separate"/>
          </w:r>
          <w:r>
            <w:rPr>
              <w:noProof/>
            </w:rPr>
            <w:t>(International Monetary Fund, p. 75)</w:t>
          </w:r>
          <w:r>
            <w:fldChar w:fldCharType="end"/>
          </w:r>
        </w:sdtContent>
      </w:sdt>
      <w:r>
        <w:rPr>
          <w:noProof/>
          <w:lang w:val="en-NZ"/>
        </w:rPr>
        <w:t>.</w:t>
      </w:r>
    </w:p>
    <w:p w14:paraId="550B4189" w14:textId="77777777" w:rsidR="00904995" w:rsidRDefault="00904995" w:rsidP="00904995">
      <w:pPr>
        <w:rPr>
          <w:rFonts w:cs="Calibri"/>
          <w:lang w:eastAsia="zh-CN"/>
        </w:rPr>
      </w:pPr>
      <w:r>
        <w:t>In the ACT, General Government Sector</w:t>
      </w:r>
      <w:r>
        <w:rPr>
          <w:lang w:eastAsia="zh-CN"/>
        </w:rPr>
        <w:t xml:space="preserve"> expenses are dominated by spending on health, general public services and education. Together, these functions account for around 67 per cent of all government expenses in the 2020-21 Budget</w:t>
      </w:r>
      <w:r>
        <w:rPr>
          <w:rFonts w:cs="Calibri"/>
          <w:lang w:eastAsia="zh-CN"/>
        </w:rPr>
        <w:t>.</w:t>
      </w:r>
    </w:p>
    <w:p w14:paraId="2BDE1158" w14:textId="78E640D3" w:rsidR="00904995" w:rsidRDefault="00904995" w:rsidP="00904995">
      <w:pPr>
        <w:spacing w:before="200" w:after="200"/>
      </w:pPr>
      <w:bookmarkStart w:id="138" w:name="_Hlk516563882"/>
      <w:r>
        <w:t xml:space="preserve">The major areas of growth in expenses over the Budget and forward estimates relative to the 2019-20 outcome are also in general public services, education and health. This is consistent with traditional patterns of spending in the ACT. Perhaps surprisingly, the Government proposes to reduce spending in dollar terms over the forward estimates on environmental protection and on recreation, culture and religion relative to the 2019-20 outcome. </w:t>
      </w:r>
    </w:p>
    <w:p w14:paraId="014C1804" w14:textId="4E608277" w:rsidR="00904995" w:rsidRDefault="00904995" w:rsidP="00904995">
      <w:pPr>
        <w:pStyle w:val="Heading2"/>
        <w:spacing w:after="240"/>
      </w:pPr>
      <w:bookmarkStart w:id="139" w:name="_Toc11400273"/>
      <w:bookmarkStart w:id="140" w:name="_Toc64529045"/>
      <w:bookmarkEnd w:id="135"/>
      <w:bookmarkEnd w:id="136"/>
      <w:bookmarkEnd w:id="138"/>
      <w:r w:rsidRPr="006967FF">
        <w:t>5.3</w:t>
      </w:r>
      <w:r w:rsidRPr="006967FF">
        <w:tab/>
        <w:t>Trends in Operating Expenses</w:t>
      </w:r>
      <w:bookmarkEnd w:id="139"/>
      <w:bookmarkEnd w:id="140"/>
    </w:p>
    <w:p w14:paraId="5F420A06" w14:textId="77777777" w:rsidR="00904995" w:rsidRDefault="00904995" w:rsidP="00904995">
      <w:r>
        <w:t xml:space="preserve">Expenses can also be described in terms of the economic type or purpose of the payment. </w:t>
      </w:r>
    </w:p>
    <w:p w14:paraId="03876758" w14:textId="0CB8929D" w:rsidR="00904995" w:rsidRDefault="00904995" w:rsidP="00904995">
      <w:r>
        <w:t>Expenses in the General Government Sector are dominated by salaries, superannuation and other employee related expenses. Salaries and employee expenses are forecast in the Budget to grow by 2</w:t>
      </w:r>
      <w:r w:rsidR="00E900F5">
        <w:t> </w:t>
      </w:r>
      <w:r>
        <w:t>per cent between 2019-20 and 2020-21 and by 4 per</w:t>
      </w:r>
      <w:r w:rsidR="00A1572F">
        <w:t xml:space="preserve"> </w:t>
      </w:r>
      <w:r>
        <w:t>cent between 2019-20 and 2023-24.</w:t>
      </w:r>
      <w:r w:rsidR="00743F9E">
        <w:t xml:space="preserve"> </w:t>
      </w:r>
    </w:p>
    <w:p w14:paraId="7C944DC4" w14:textId="2DD4F632" w:rsidR="00904995" w:rsidRDefault="00904995" w:rsidP="00904995">
      <w:r>
        <w:t>Depreciation and amortisation expenses are forecast to grow by $32.4 million, or 7 per</w:t>
      </w:r>
      <w:r w:rsidR="00DD0529">
        <w:t xml:space="preserve"> </w:t>
      </w:r>
      <w:r>
        <w:t xml:space="preserve">cent, in 2020-21 compared to the 2019-20 audited outcome. This mainly reflects the completion of fit-out and commencement of leases for government office blocks and other capital investments. </w:t>
      </w:r>
    </w:p>
    <w:p w14:paraId="60785E40" w14:textId="38EC4C66" w:rsidR="00904995" w:rsidRDefault="00904995" w:rsidP="00904995">
      <w:r>
        <w:t>Interest expenses are forecast to decrease by $4.5 million, or 2 per</w:t>
      </w:r>
      <w:r w:rsidR="009E51ED">
        <w:t xml:space="preserve"> </w:t>
      </w:r>
      <w:r>
        <w:t>cent, in 2020-21 from the audited outcome mainly due to lower interest costs on outstanding borrowings. Lower interest rates will ease the pressure on the Government’s fiscal position. However, it should be noted that interest expenses are projected to increase over the Budget and forward years from $214.7 million in the 2019-20 outcome to $275.7 million in 2023-24. This represents an increase of 28.4 per</w:t>
      </w:r>
      <w:r w:rsidR="00A1572F">
        <w:t xml:space="preserve"> </w:t>
      </w:r>
      <w:r>
        <w:t xml:space="preserve">cent. The growth in interest payments is a direct consequence of the move into deficit. In the last year in which the ACT Budget was in surplus, the interest expense was less than $200 million. </w:t>
      </w:r>
    </w:p>
    <w:p w14:paraId="04C49572" w14:textId="08DD23A6" w:rsidR="00904995" w:rsidRDefault="00904995" w:rsidP="00904995">
      <w:r>
        <w:t>Supplies and services are forecast to increase in 2020-21 by $149.4 million or 14 per</w:t>
      </w:r>
      <w:r w:rsidR="00DD0529">
        <w:t xml:space="preserve"> </w:t>
      </w:r>
      <w:r>
        <w:t>cent compared to 2019-20. This category of expenses includes supplies, repairs and maintenance and payments for ACT Policing.</w:t>
      </w:r>
      <w:r w:rsidR="00DD0529">
        <w:t xml:space="preserve"> </w:t>
      </w:r>
      <w:r>
        <w:t>The increase is largely due to the health response to the COVID</w:t>
      </w:r>
      <w:r w:rsidR="00DD0529">
        <w:t>-19</w:t>
      </w:r>
      <w:r>
        <w:t xml:space="preserve"> pandemic and some re-profiling of initiatives.</w:t>
      </w:r>
    </w:p>
    <w:p w14:paraId="04A5E1E0" w14:textId="61068D3B" w:rsidR="00904995" w:rsidRDefault="00904995" w:rsidP="00904995">
      <w:r>
        <w:t>Other operating expenses are forecast to fall by $78.0 million, or 22 per</w:t>
      </w:r>
      <w:r w:rsidR="00DD0529">
        <w:t xml:space="preserve"> </w:t>
      </w:r>
      <w:r>
        <w:t xml:space="preserve">cent in the 2020-21 compared with the 2019-20 audited outcome. The decrease is due to the write off of assets in 2019-20 and a lower number of participants entering the Lifetime Care and Support Scheme in 2020-21. </w:t>
      </w:r>
    </w:p>
    <w:p w14:paraId="6AD70F56" w14:textId="339489D0" w:rsidR="00904995" w:rsidRDefault="00904995" w:rsidP="00904995">
      <w:r>
        <w:t>This discussion illustrates the extent to which ACT Budget expenses are “locked in” to the extent that they are made up of payments which are to a large extent not discretionary. Employee related expenses represent a half of total expenses. These costs are difficult to move in the short to medium-term. Depreciation and amortisation expenses represent another 7 per</w:t>
      </w:r>
      <w:r w:rsidR="00DD0529">
        <w:t xml:space="preserve"> </w:t>
      </w:r>
      <w:r>
        <w:t xml:space="preserve">cent of the total Interest and are largely driven by past capital expenditure. Interest payments are a first call for government spending because if a government does not meet these payments as they fall due it will </w:t>
      </w:r>
      <w:r>
        <w:lastRenderedPageBreak/>
        <w:t>lose the confidence of financial markets. Other categories of expenditure are discretionary in a technical sense but as they are more directly related to the level of services provided to the community</w:t>
      </w:r>
      <w:r w:rsidR="00973583">
        <w:t>,</w:t>
      </w:r>
      <w:r>
        <w:t xml:space="preserve"> there are practical constraints on the extent to which payments can be reduced</w:t>
      </w:r>
      <w:r w:rsidR="00973583">
        <w:t xml:space="preserve"> in the short to medium term</w:t>
      </w:r>
      <w:r>
        <w:t>. It would be harmful, and probably counter-productive, for example, to seek to reduce COVID</w:t>
      </w:r>
      <w:r w:rsidR="00DD0529">
        <w:t>-19</w:t>
      </w:r>
      <w:r>
        <w:t xml:space="preserve"> related expenditure until the pandemic has passed. The amount of lock-in limits the scope for </w:t>
      </w:r>
      <w:r w:rsidR="00DD0529">
        <w:t>g</w:t>
      </w:r>
      <w:r>
        <w:t xml:space="preserve">overnments to influence the level of </w:t>
      </w:r>
      <w:r w:rsidR="00DD0529">
        <w:t>public</w:t>
      </w:r>
      <w:r>
        <w:t xml:space="preserve"> expenditure and the broader fiscal position in the short to medium term.</w:t>
      </w:r>
    </w:p>
    <w:p w14:paraId="4CAD7699" w14:textId="40981437" w:rsidR="00AD4FE7" w:rsidRDefault="00202972" w:rsidP="00202972">
      <w:pPr>
        <w:pStyle w:val="Heading2"/>
      </w:pPr>
      <w:bookmarkStart w:id="141" w:name="_Toc64529046"/>
      <w:r>
        <w:t>5.4</w:t>
      </w:r>
      <w:r>
        <w:tab/>
        <w:t>New initiatives</w:t>
      </w:r>
      <w:bookmarkEnd w:id="141"/>
    </w:p>
    <w:p w14:paraId="503AC56B" w14:textId="4791573A" w:rsidR="00202972" w:rsidRDefault="00202972" w:rsidP="00202972">
      <w:pPr>
        <w:spacing w:before="200" w:after="200"/>
        <w:rPr>
          <w:color w:val="000000"/>
        </w:rPr>
      </w:pPr>
      <w:bookmarkStart w:id="142" w:name="_Hlk516242088"/>
      <w:r>
        <w:rPr>
          <w:color w:val="000000"/>
        </w:rPr>
        <w:t>There are fewer new expense initiatives in the 2020-21 Budget than in recent previous Budgets (around 100, compared with about 165 in 2019-20 and almost 200 in 2018-19). However, a large number of COVID related measures were announced in the August 2020 Economic and Fiscal Update. </w:t>
      </w:r>
      <w:bookmarkEnd w:id="142"/>
    </w:p>
    <w:p w14:paraId="79B47043" w14:textId="77777777" w:rsidR="00202972" w:rsidRDefault="00202972" w:rsidP="00202972">
      <w:pPr>
        <w:spacing w:before="200" w:after="200"/>
        <w:rPr>
          <w:color w:val="000000"/>
        </w:rPr>
      </w:pPr>
      <w:r>
        <w:rPr>
          <w:color w:val="000000"/>
        </w:rPr>
        <w:t>The new policy measures are intended to reflect the Government’s strategy of providing immediate responses to COVID and to invest in infrastructure that will support economic growth in the longer-term while at the same time providing improvements in the delivery of programs and services. </w:t>
      </w:r>
    </w:p>
    <w:p w14:paraId="1A43A4BE" w14:textId="77777777" w:rsidR="00202972" w:rsidRDefault="00202972" w:rsidP="00202972">
      <w:pPr>
        <w:spacing w:before="200" w:after="200"/>
        <w:rPr>
          <w:color w:val="000000"/>
        </w:rPr>
      </w:pPr>
      <w:r>
        <w:rPr>
          <w:color w:val="000000"/>
        </w:rPr>
        <w:t>Some of the more significant expense related new policy initiatives include:</w:t>
      </w:r>
    </w:p>
    <w:p w14:paraId="3013BDCE" w14:textId="042F1CAD" w:rsidR="00202972" w:rsidRDefault="00202972" w:rsidP="00202972">
      <w:pPr>
        <w:pStyle w:val="gmail-msolistparagraph"/>
        <w:numPr>
          <w:ilvl w:val="0"/>
          <w:numId w:val="33"/>
        </w:numPr>
        <w:spacing w:before="200" w:beforeAutospacing="0" w:after="200" w:afterAutospacing="0"/>
      </w:pPr>
      <w:r>
        <w:t>A net $10 million in 2021-22 to support the response to the COVID emergency to be implemented through a cost sharing arrangement with the Commonwealth.</w:t>
      </w:r>
      <w:r w:rsidR="00E900F5">
        <w:t xml:space="preserve"> </w:t>
      </w:r>
      <w:r>
        <w:t>Additional support in 2020-21 for Canberra Health Services of $60 million was provided in the August 2020 Economic and Fiscal Update.</w:t>
      </w:r>
    </w:p>
    <w:p w14:paraId="006544D5" w14:textId="3774CD50" w:rsidR="00202972" w:rsidRDefault="00202972" w:rsidP="00202972">
      <w:pPr>
        <w:pStyle w:val="gmail-msolistparagraph"/>
        <w:numPr>
          <w:ilvl w:val="0"/>
          <w:numId w:val="33"/>
        </w:numPr>
        <w:spacing w:before="200" w:beforeAutospacing="0" w:after="200" w:afterAutospacing="0"/>
      </w:pPr>
      <w:r>
        <w:t>A number of measures at a net cost of $2.7 million in 2020-21 to support jobs in the tertiary education and research sectors.</w:t>
      </w:r>
    </w:p>
    <w:p w14:paraId="480E4D4F" w14:textId="1E6BBCD1" w:rsidR="00202972" w:rsidRDefault="00202972" w:rsidP="00202972">
      <w:pPr>
        <w:pStyle w:val="gmail-msolistparagraph"/>
        <w:numPr>
          <w:ilvl w:val="0"/>
          <w:numId w:val="33"/>
        </w:numPr>
        <w:spacing w:before="200" w:beforeAutospacing="0" w:after="200" w:afterAutospacing="0"/>
      </w:pPr>
      <w:r>
        <w:t>Expenses of $7.9 million in 2020-21, as a component of $22.4 million over the Budget and forward years, to support the transition to solar power and electric energy</w:t>
      </w:r>
      <w:r w:rsidR="00E900F5">
        <w:t>.</w:t>
      </w:r>
    </w:p>
    <w:p w14:paraId="67B8B6CD" w14:textId="41FFA5D7" w:rsidR="00202972" w:rsidRDefault="00202972" w:rsidP="00202972">
      <w:pPr>
        <w:pStyle w:val="gmail-msolistparagraph"/>
        <w:numPr>
          <w:ilvl w:val="0"/>
          <w:numId w:val="33"/>
        </w:numPr>
        <w:spacing w:before="200" w:beforeAutospacing="0" w:after="200" w:afterAutospacing="0"/>
      </w:pPr>
      <w:r>
        <w:t>Funding of $1.9 million in 2021-22 to support the installation of 50 publicly accessible charging stations for zero emission vehicles.</w:t>
      </w:r>
    </w:p>
    <w:p w14:paraId="3449BC4D" w14:textId="6F18DAE7" w:rsidR="00202972" w:rsidRDefault="00202972" w:rsidP="00202972">
      <w:pPr>
        <w:pStyle w:val="gmail-msolistparagraph"/>
        <w:numPr>
          <w:ilvl w:val="0"/>
          <w:numId w:val="33"/>
        </w:numPr>
        <w:spacing w:before="200" w:beforeAutospacing="0" w:after="200" w:afterAutospacing="0"/>
      </w:pPr>
      <w:r>
        <w:t xml:space="preserve">Allocation of $15 million in 2020-21 to undertake detailed design work for the construction of large-scale battery storage system capacity across the ACT. Construction is expected to commence in 2022-23. </w:t>
      </w:r>
    </w:p>
    <w:p w14:paraId="0BC9AA0C" w14:textId="036A7ACE" w:rsidR="00202972" w:rsidRDefault="00202972" w:rsidP="00202972">
      <w:pPr>
        <w:pStyle w:val="gmail-msolistparagraph"/>
        <w:numPr>
          <w:ilvl w:val="0"/>
          <w:numId w:val="33"/>
        </w:numPr>
        <w:spacing w:before="200" w:beforeAutospacing="0" w:after="200" w:afterAutospacing="0"/>
      </w:pPr>
      <w:r>
        <w:t>Funding of $1.5 million in 2020-21, as part of $4.9 million over the Budget and forward years, to support implementation of the </w:t>
      </w:r>
      <w:r>
        <w:rPr>
          <w:i/>
          <w:iCs/>
        </w:rPr>
        <w:t>Our Booris, Our Way</w:t>
      </w:r>
      <w:r>
        <w:t> review. </w:t>
      </w:r>
    </w:p>
    <w:p w14:paraId="528D3A31" w14:textId="6B9A82A0" w:rsidR="00202972" w:rsidRDefault="00202972" w:rsidP="00202972">
      <w:pPr>
        <w:pStyle w:val="gmail-msolistparagraph"/>
        <w:numPr>
          <w:ilvl w:val="0"/>
          <w:numId w:val="33"/>
        </w:numPr>
        <w:spacing w:before="200" w:beforeAutospacing="0" w:after="200" w:afterAutospacing="0"/>
      </w:pPr>
      <w:r>
        <w:t>A number of measures to support road and transport infrastructure improvements in the ACT.</w:t>
      </w:r>
    </w:p>
    <w:p w14:paraId="0EFE4D9C" w14:textId="77777777" w:rsidR="00202972" w:rsidRDefault="00202972" w:rsidP="00202972">
      <w:pPr>
        <w:spacing w:before="200" w:after="200"/>
        <w:rPr>
          <w:color w:val="000000"/>
        </w:rPr>
      </w:pPr>
      <w:r>
        <w:rPr>
          <w:color w:val="000000"/>
        </w:rPr>
        <w:t>It should be noted that funding for some of these measures was provided for in the August 2020 Economic and Fiscal Update. </w:t>
      </w:r>
    </w:p>
    <w:p w14:paraId="254C5A06" w14:textId="77777777" w:rsidR="00202972" w:rsidRDefault="00202972" w:rsidP="00D95DFE"/>
    <w:p w14:paraId="40CFA0AB" w14:textId="77777777" w:rsidR="00AD4FE7" w:rsidRDefault="00AD4FE7" w:rsidP="00AD4FE7">
      <w:pPr>
        <w:pStyle w:val="BodyText"/>
        <w:rPr>
          <w:rFonts w:eastAsiaTheme="majorEastAsia"/>
        </w:rPr>
      </w:pPr>
      <w:bookmarkStart w:id="143" w:name="_Toc484807072"/>
      <w:bookmarkStart w:id="144" w:name="_Toc453495130"/>
      <w:bookmarkStart w:id="145" w:name="_Toc453516131"/>
      <w:r>
        <w:br w:type="page"/>
      </w:r>
    </w:p>
    <w:p w14:paraId="58E51CA6" w14:textId="0E377ADF" w:rsidR="0003405B" w:rsidRDefault="00161A65" w:rsidP="0003405B">
      <w:pPr>
        <w:pStyle w:val="Heading1"/>
        <w:rPr>
          <w:noProof/>
          <w:lang w:val="en-NZ" w:eastAsia="en-NZ"/>
        </w:rPr>
      </w:pPr>
      <w:bookmarkStart w:id="146" w:name="_Toc64529047"/>
      <w:r w:rsidRPr="006967FF">
        <w:rPr>
          <w:noProof/>
          <w:lang w:eastAsia="en-AU"/>
        </w:rPr>
        <w:lastRenderedPageBreak/>
        <mc:AlternateContent>
          <mc:Choice Requires="wps">
            <w:drawing>
              <wp:anchor distT="91440" distB="91440" distL="114300" distR="114300" simplePos="0" relativeHeight="251655168" behindDoc="0" locked="0" layoutInCell="1" allowOverlap="1" wp14:anchorId="4A20CCE5" wp14:editId="27CB47EF">
                <wp:simplePos x="0" y="0"/>
                <wp:positionH relativeFrom="margin">
                  <wp:posOffset>-43180</wp:posOffset>
                </wp:positionH>
                <wp:positionV relativeFrom="paragraph">
                  <wp:posOffset>404495</wp:posOffset>
                </wp:positionV>
                <wp:extent cx="5574030" cy="2595245"/>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595245"/>
                        </a:xfrm>
                        <a:prstGeom prst="rect">
                          <a:avLst/>
                        </a:prstGeom>
                        <a:noFill/>
                        <a:ln w="9525">
                          <a:noFill/>
                          <a:miter lim="800000"/>
                          <a:headEnd/>
                          <a:tailEnd/>
                        </a:ln>
                      </wps:spPr>
                      <wps:txbx>
                        <w:txbxContent>
                          <w:p w14:paraId="54571B15" w14:textId="77777777" w:rsidR="00A30ABA" w:rsidRDefault="00A30ABA" w:rsidP="0003405B">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The Budget includes the largest-ever infrastructure and capital works program across the Budget and forward years. The ACT Government will invest $4.3 billion in infrastructure and capital in the ACT over the next four years. $1.7 billion of the proposed program over the four years is in provisions, with detailed estimates not for publication. </w:t>
                            </w:r>
                          </w:p>
                          <w:p w14:paraId="1EDA3331" w14:textId="1038BE88" w:rsidR="00A30ABA" w:rsidRPr="008B7FB0" w:rsidRDefault="00A30ABA" w:rsidP="0003405B">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The key projects for 2020-21 include investments in health (SPIRE), new schools in Gungahlin, the big battery, road and bridge works in Molonglo, a new CIT campus for Woden, public housing renewal and Light Rail stage 2A. The peak year for infrastructure spending is $1.3 billion in 2021-22), falling to $695 million in 2023-24; however, experience suggests new capital projects are likely to be added to the forward years in future Budgets.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0CCE5" id="Text Box 13" o:spid="_x0000_s1037" type="#_x0000_t202" style="position:absolute;margin-left:-3.4pt;margin-top:31.85pt;width:438.9pt;height:204.35pt;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" filled="f" stroked="f">
                <v:textbox>
                  <w:txbxContent>
                    <w:p w14:paraId="54571B15" w14:textId="77777777" w:rsidR="00A30ABA" w:rsidRDefault="00A30ABA" w:rsidP="0003405B">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The Budget includes the largest-ever infrastructure and capital works program across the Budget and forward years. The ACT Government will invest $4.3 billion in infrastructure and capital in the ACT over the next four years. $1.7 billion of the proposed program over the four years is in provisions, with detailed estimates not for publication. </w:t>
                      </w:r>
                    </w:p>
                    <w:p w14:paraId="1EDA3331" w14:textId="1038BE88" w:rsidR="00A30ABA" w:rsidRPr="008B7FB0" w:rsidRDefault="00A30ABA" w:rsidP="0003405B">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 xml:space="preserve">The key projects for 2020-21 include investments in health (SPIRE), new schools in Gungahlin, the big battery, road and bridge works in Molonglo, a new CIT campus for Woden, public housing renewal and Light Rail stage 2A. The peak year for infrastructure spending is $1.3 billion in 2021-22), falling to $695 million in 2023-24; however, experience suggests new capital projects are likely to be added to the forward years in future Budgets. </w:t>
                      </w:r>
                    </w:p>
                  </w:txbxContent>
                </v:textbox>
                <w10:wrap type="topAndBottom" anchorx="margin"/>
              </v:shape>
            </w:pict>
          </mc:Fallback>
        </mc:AlternateContent>
      </w:r>
      <w:r w:rsidR="004733C7" w:rsidRPr="006967FF">
        <w:t>6</w:t>
      </w:r>
      <w:r w:rsidR="00F917F6" w:rsidRPr="006967FF">
        <w:t>.</w:t>
      </w:r>
      <w:r w:rsidR="0003405B" w:rsidRPr="006967FF">
        <w:tab/>
        <w:t xml:space="preserve">Capital </w:t>
      </w:r>
      <w:r w:rsidR="007B432F" w:rsidRPr="006967FF">
        <w:t>W</w:t>
      </w:r>
      <w:r w:rsidR="0003405B" w:rsidRPr="006967FF">
        <w:t xml:space="preserve">orks and </w:t>
      </w:r>
      <w:r w:rsidR="007B432F" w:rsidRPr="006967FF">
        <w:t>I</w:t>
      </w:r>
      <w:r w:rsidR="0003405B" w:rsidRPr="006967FF">
        <w:t>nfrastructure</w:t>
      </w:r>
      <w:bookmarkEnd w:id="143"/>
      <w:bookmarkEnd w:id="146"/>
    </w:p>
    <w:p w14:paraId="6888FA5F" w14:textId="7A25C3DC" w:rsidR="0003405B" w:rsidRDefault="004733C7" w:rsidP="00BB6383">
      <w:pPr>
        <w:pStyle w:val="Heading2"/>
        <w:spacing w:after="240"/>
      </w:pPr>
      <w:bookmarkStart w:id="147" w:name="_Toc64529048"/>
      <w:r>
        <w:t>6</w:t>
      </w:r>
      <w:r w:rsidR="0003405B" w:rsidRPr="00F84BEA">
        <w:t>.1</w:t>
      </w:r>
      <w:r w:rsidR="0003405B" w:rsidRPr="00F84BEA">
        <w:tab/>
        <w:t>Overview</w:t>
      </w:r>
      <w:bookmarkEnd w:id="147"/>
    </w:p>
    <w:p w14:paraId="4AE0CA19" w14:textId="7298D25C" w:rsidR="007A3E91" w:rsidRDefault="007A3E91" w:rsidP="007A3E91">
      <w:r>
        <w:t xml:space="preserve">The Budget Papers indicate that the ACT Government </w:t>
      </w:r>
      <w:sdt>
        <w:sdtPr>
          <w:id w:val="1114943992"/>
          <w:citation/>
        </w:sdtPr>
        <w:sdtContent>
          <w:r>
            <w:fldChar w:fldCharType="begin"/>
          </w:r>
          <w:r w:rsidR="00DA22D6">
            <w:instrText xml:space="preserve">CITATION ACT21 \p 177 \n  \t  \l 3081 </w:instrText>
          </w:r>
          <w:r>
            <w:fldChar w:fldCharType="separate"/>
          </w:r>
          <w:r w:rsidR="00DA22D6">
            <w:rPr>
              <w:noProof/>
            </w:rPr>
            <w:t>(2021, p. 177)</w:t>
          </w:r>
          <w:r>
            <w:fldChar w:fldCharType="end"/>
          </w:r>
        </w:sdtContent>
      </w:sdt>
      <w:r>
        <w:t xml:space="preserve"> intends to invest $4.3 billion in infrastructure in the ACT over the next four years to 2023-24.</w:t>
      </w:r>
    </w:p>
    <w:p w14:paraId="2CB6087C" w14:textId="4161CEA6" w:rsidR="007A3E91" w:rsidRDefault="007A3E91" w:rsidP="007A3E91">
      <w:r>
        <w:t xml:space="preserve">Table </w:t>
      </w:r>
      <w:r w:rsidR="00317405">
        <w:t>7</w:t>
      </w:r>
      <w:r>
        <w:t xml:space="preserve"> below summarises the capital works and investment program.</w:t>
      </w:r>
    </w:p>
    <w:p w14:paraId="5E7049FF" w14:textId="20B38F18" w:rsidR="007A3E91" w:rsidRDefault="007A3E91" w:rsidP="007A3E91">
      <w:pPr>
        <w:pStyle w:val="Caption"/>
      </w:pPr>
      <w:bookmarkStart w:id="148" w:name="_Toc64529087"/>
      <w:r w:rsidRPr="00BA27B5">
        <w:t xml:space="preserve">Table </w:t>
      </w:r>
      <w:fldSimple w:instr=" SEQ Table \* ARABIC ">
        <w:r w:rsidR="00AB7125">
          <w:rPr>
            <w:noProof/>
          </w:rPr>
          <w:t>7</w:t>
        </w:r>
      </w:fldSimple>
      <w:r w:rsidRPr="00BA27B5">
        <w:t xml:space="preserve">: </w:t>
      </w:r>
      <w:r>
        <w:t>Summary of investment and capital works program –</w:t>
      </w:r>
      <w:r w:rsidRPr="00BA27B5">
        <w:t xml:space="preserve"> </w:t>
      </w:r>
      <w:r>
        <w:t>2</w:t>
      </w:r>
      <w:r w:rsidRPr="00BA27B5">
        <w:t>0</w:t>
      </w:r>
      <w:r>
        <w:t>20-21</w:t>
      </w:r>
      <w:r w:rsidRPr="00BA27B5">
        <w:t xml:space="preserve"> to 20</w:t>
      </w:r>
      <w:r>
        <w:t>23-24</w:t>
      </w:r>
      <w:bookmarkEnd w:id="148"/>
    </w:p>
    <w:tbl>
      <w:tblPr>
        <w:tblW w:w="8235" w:type="dxa"/>
        <w:tblLayout w:type="fixed"/>
        <w:tblLook w:val="04A0" w:firstRow="1" w:lastRow="0" w:firstColumn="1" w:lastColumn="0" w:noHBand="0" w:noVBand="1"/>
      </w:tblPr>
      <w:tblGrid>
        <w:gridCol w:w="3612"/>
        <w:gridCol w:w="1134"/>
        <w:gridCol w:w="1177"/>
        <w:gridCol w:w="1157"/>
        <w:gridCol w:w="1155"/>
      </w:tblGrid>
      <w:tr w:rsidR="007A3E91" w:rsidRPr="00211397" w14:paraId="0164B9B9" w14:textId="77777777" w:rsidTr="00B638A7">
        <w:tc>
          <w:tcPr>
            <w:tcW w:w="3612" w:type="dxa"/>
            <w:vMerge w:val="restart"/>
            <w:tcBorders>
              <w:top w:val="single" w:sz="4" w:space="0" w:color="auto"/>
              <w:left w:val="nil"/>
              <w:bottom w:val="nil"/>
              <w:right w:val="nil"/>
            </w:tcBorders>
            <w:shd w:val="clear" w:color="auto" w:fill="FFFFFF"/>
            <w:hideMark/>
          </w:tcPr>
          <w:p w14:paraId="14D3AA62" w14:textId="77777777" w:rsidR="007A3E91" w:rsidRPr="00211397" w:rsidRDefault="007A3E91" w:rsidP="00B638A7">
            <w:pPr>
              <w:ind w:left="-531" w:firstLine="531"/>
            </w:pPr>
          </w:p>
        </w:tc>
        <w:tc>
          <w:tcPr>
            <w:tcW w:w="1134" w:type="dxa"/>
            <w:tcBorders>
              <w:top w:val="single" w:sz="4" w:space="0" w:color="auto"/>
              <w:left w:val="nil"/>
              <w:bottom w:val="nil"/>
              <w:right w:val="nil"/>
            </w:tcBorders>
            <w:shd w:val="clear" w:color="auto" w:fill="FFFFFF"/>
            <w:hideMark/>
          </w:tcPr>
          <w:p w14:paraId="173C36EA" w14:textId="77777777" w:rsidR="007A3E91" w:rsidRPr="00211397" w:rsidRDefault="007A3E91" w:rsidP="00B638A7">
            <w:pPr>
              <w:pStyle w:val="BStablefigures"/>
              <w:rPr>
                <w:rFonts w:eastAsia="Calibri"/>
              </w:rPr>
            </w:pPr>
            <w:r w:rsidRPr="00211397">
              <w:rPr>
                <w:rFonts w:eastAsia="Calibri"/>
              </w:rPr>
              <w:t>2020-21</w:t>
            </w:r>
          </w:p>
        </w:tc>
        <w:tc>
          <w:tcPr>
            <w:tcW w:w="1177" w:type="dxa"/>
            <w:tcBorders>
              <w:top w:val="single" w:sz="4" w:space="0" w:color="auto"/>
              <w:left w:val="nil"/>
              <w:bottom w:val="nil"/>
              <w:right w:val="nil"/>
            </w:tcBorders>
            <w:shd w:val="clear" w:color="auto" w:fill="FFFFFF"/>
            <w:hideMark/>
          </w:tcPr>
          <w:p w14:paraId="7C136328" w14:textId="77777777" w:rsidR="007A3E91" w:rsidRPr="00211397" w:rsidRDefault="007A3E91" w:rsidP="00B638A7">
            <w:pPr>
              <w:pStyle w:val="BStablefigures"/>
              <w:rPr>
                <w:rFonts w:eastAsia="Calibri"/>
              </w:rPr>
            </w:pPr>
            <w:r w:rsidRPr="00211397">
              <w:rPr>
                <w:rFonts w:eastAsia="Calibri"/>
              </w:rPr>
              <w:t>2021-22</w:t>
            </w:r>
          </w:p>
        </w:tc>
        <w:tc>
          <w:tcPr>
            <w:tcW w:w="1157" w:type="dxa"/>
            <w:tcBorders>
              <w:top w:val="single" w:sz="4" w:space="0" w:color="auto"/>
              <w:left w:val="nil"/>
              <w:bottom w:val="nil"/>
              <w:right w:val="nil"/>
            </w:tcBorders>
            <w:shd w:val="clear" w:color="auto" w:fill="FFFFFF"/>
            <w:hideMark/>
          </w:tcPr>
          <w:p w14:paraId="0ECFDF8F" w14:textId="77777777" w:rsidR="007A3E91" w:rsidRPr="00211397" w:rsidRDefault="007A3E91" w:rsidP="00B638A7">
            <w:pPr>
              <w:pStyle w:val="BStablefigures"/>
              <w:rPr>
                <w:rFonts w:eastAsia="Calibri"/>
              </w:rPr>
            </w:pPr>
            <w:r w:rsidRPr="00211397">
              <w:rPr>
                <w:rFonts w:eastAsia="Calibri"/>
              </w:rPr>
              <w:t>2022-23</w:t>
            </w:r>
          </w:p>
        </w:tc>
        <w:tc>
          <w:tcPr>
            <w:tcW w:w="1155" w:type="dxa"/>
            <w:tcBorders>
              <w:top w:val="single" w:sz="4" w:space="0" w:color="auto"/>
              <w:left w:val="nil"/>
              <w:bottom w:val="nil"/>
              <w:right w:val="nil"/>
            </w:tcBorders>
            <w:shd w:val="clear" w:color="auto" w:fill="FFFFFF"/>
            <w:hideMark/>
          </w:tcPr>
          <w:p w14:paraId="57C02553" w14:textId="77777777" w:rsidR="007A3E91" w:rsidRPr="00211397" w:rsidRDefault="007A3E91" w:rsidP="00B638A7">
            <w:pPr>
              <w:pStyle w:val="BStablefigures"/>
              <w:rPr>
                <w:rFonts w:eastAsia="Calibri"/>
              </w:rPr>
            </w:pPr>
            <w:r w:rsidRPr="00211397">
              <w:rPr>
                <w:rFonts w:eastAsia="Calibri"/>
              </w:rPr>
              <w:t>2023-24</w:t>
            </w:r>
          </w:p>
        </w:tc>
      </w:tr>
      <w:tr w:rsidR="007A3E91" w:rsidRPr="00211397" w14:paraId="67D89E62" w14:textId="77777777" w:rsidTr="00B638A7">
        <w:tc>
          <w:tcPr>
            <w:tcW w:w="3612" w:type="dxa"/>
            <w:vMerge/>
            <w:tcBorders>
              <w:top w:val="single" w:sz="4" w:space="0" w:color="auto"/>
              <w:left w:val="nil"/>
              <w:bottom w:val="nil"/>
              <w:right w:val="nil"/>
            </w:tcBorders>
            <w:vAlign w:val="center"/>
            <w:hideMark/>
          </w:tcPr>
          <w:p w14:paraId="10359626" w14:textId="77777777" w:rsidR="007A3E91" w:rsidRPr="00211397" w:rsidRDefault="007A3E91" w:rsidP="00B638A7">
            <w:pPr>
              <w:spacing w:before="0" w:after="0"/>
              <w:ind w:left="-531" w:firstLine="531"/>
            </w:pPr>
          </w:p>
        </w:tc>
        <w:tc>
          <w:tcPr>
            <w:tcW w:w="1134" w:type="dxa"/>
            <w:shd w:val="clear" w:color="auto" w:fill="FFFFFF"/>
            <w:hideMark/>
          </w:tcPr>
          <w:p w14:paraId="72CDDC29" w14:textId="77777777" w:rsidR="007A3E91" w:rsidRPr="00211397" w:rsidRDefault="007A3E91" w:rsidP="00B638A7">
            <w:pPr>
              <w:pStyle w:val="BStablefigures"/>
              <w:rPr>
                <w:rFonts w:eastAsia="Calibri"/>
              </w:rPr>
            </w:pPr>
            <w:r w:rsidRPr="00211397">
              <w:rPr>
                <w:rFonts w:eastAsia="Calibri"/>
              </w:rPr>
              <w:t>Allocation</w:t>
            </w:r>
          </w:p>
        </w:tc>
        <w:tc>
          <w:tcPr>
            <w:tcW w:w="1177" w:type="dxa"/>
            <w:shd w:val="clear" w:color="auto" w:fill="FFFFFF"/>
            <w:hideMark/>
          </w:tcPr>
          <w:p w14:paraId="5E840A9D" w14:textId="77777777" w:rsidR="007A3E91" w:rsidRPr="00211397" w:rsidRDefault="007A3E91" w:rsidP="00B638A7">
            <w:pPr>
              <w:pStyle w:val="BStablefigures"/>
              <w:rPr>
                <w:rFonts w:eastAsia="Calibri"/>
              </w:rPr>
            </w:pPr>
            <w:r w:rsidRPr="00211397">
              <w:rPr>
                <w:rFonts w:eastAsia="Calibri"/>
              </w:rPr>
              <w:t>Allocation</w:t>
            </w:r>
          </w:p>
        </w:tc>
        <w:tc>
          <w:tcPr>
            <w:tcW w:w="1157" w:type="dxa"/>
            <w:shd w:val="clear" w:color="auto" w:fill="FFFFFF"/>
            <w:hideMark/>
          </w:tcPr>
          <w:p w14:paraId="0A98190E" w14:textId="77777777" w:rsidR="007A3E91" w:rsidRPr="00211397" w:rsidRDefault="007A3E91" w:rsidP="00B638A7">
            <w:pPr>
              <w:pStyle w:val="BStablefigures"/>
              <w:rPr>
                <w:rFonts w:eastAsia="Calibri"/>
              </w:rPr>
            </w:pPr>
            <w:r w:rsidRPr="00211397">
              <w:rPr>
                <w:rFonts w:eastAsia="Calibri"/>
              </w:rPr>
              <w:t>Allocation</w:t>
            </w:r>
          </w:p>
        </w:tc>
        <w:tc>
          <w:tcPr>
            <w:tcW w:w="1155" w:type="dxa"/>
            <w:shd w:val="clear" w:color="auto" w:fill="FFFFFF"/>
            <w:hideMark/>
          </w:tcPr>
          <w:p w14:paraId="0805F6C5" w14:textId="77777777" w:rsidR="007A3E91" w:rsidRPr="00211397" w:rsidRDefault="007A3E91" w:rsidP="00B638A7">
            <w:pPr>
              <w:pStyle w:val="BStablefigures"/>
              <w:rPr>
                <w:rFonts w:eastAsia="Calibri"/>
              </w:rPr>
            </w:pPr>
            <w:r w:rsidRPr="00211397">
              <w:rPr>
                <w:rFonts w:eastAsia="Calibri"/>
              </w:rPr>
              <w:t>Allocation</w:t>
            </w:r>
          </w:p>
        </w:tc>
      </w:tr>
      <w:tr w:rsidR="007A3E91" w:rsidRPr="00211397" w14:paraId="28A797A9" w14:textId="77777777" w:rsidTr="00B638A7">
        <w:tc>
          <w:tcPr>
            <w:tcW w:w="3612" w:type="dxa"/>
            <w:tcBorders>
              <w:top w:val="nil"/>
              <w:left w:val="nil"/>
              <w:bottom w:val="single" w:sz="4" w:space="0" w:color="auto"/>
              <w:right w:val="nil"/>
            </w:tcBorders>
            <w:shd w:val="clear" w:color="auto" w:fill="FFFFFF"/>
            <w:hideMark/>
          </w:tcPr>
          <w:p w14:paraId="7C4105FE" w14:textId="77777777" w:rsidR="007A3E91" w:rsidRPr="00211397" w:rsidRDefault="007A3E91" w:rsidP="00B638A7">
            <w:pPr>
              <w:widowControl w:val="0"/>
              <w:spacing w:after="0"/>
              <w:ind w:left="-531" w:firstLine="531"/>
              <w:jc w:val="right"/>
              <w:rPr>
                <w:rFonts w:cs="Calibri"/>
                <w:sz w:val="12"/>
                <w:lang w:eastAsia="en-AU"/>
              </w:rPr>
            </w:pPr>
            <w:r w:rsidRPr="00211397">
              <w:rPr>
                <w:rFonts w:cs="Calibri"/>
                <w:sz w:val="12"/>
                <w:lang w:eastAsia="en-AU"/>
              </w:rPr>
              <w:t xml:space="preserve"> </w:t>
            </w:r>
          </w:p>
        </w:tc>
        <w:tc>
          <w:tcPr>
            <w:tcW w:w="1134" w:type="dxa"/>
            <w:tcBorders>
              <w:top w:val="nil"/>
              <w:left w:val="nil"/>
              <w:bottom w:val="single" w:sz="4" w:space="0" w:color="auto"/>
              <w:right w:val="nil"/>
            </w:tcBorders>
            <w:shd w:val="clear" w:color="auto" w:fill="FFFFFF"/>
            <w:hideMark/>
          </w:tcPr>
          <w:p w14:paraId="658FCCCB" w14:textId="77777777" w:rsidR="007A3E91" w:rsidRPr="00211397" w:rsidRDefault="007A3E91" w:rsidP="00B638A7">
            <w:pPr>
              <w:pStyle w:val="BStablefigures"/>
              <w:rPr>
                <w:rFonts w:eastAsia="Calibri"/>
              </w:rPr>
            </w:pPr>
            <w:r w:rsidRPr="00211397">
              <w:rPr>
                <w:rFonts w:eastAsia="Calibri"/>
              </w:rPr>
              <w:t>$’000</w:t>
            </w:r>
          </w:p>
        </w:tc>
        <w:tc>
          <w:tcPr>
            <w:tcW w:w="1177" w:type="dxa"/>
            <w:tcBorders>
              <w:top w:val="nil"/>
              <w:left w:val="nil"/>
              <w:bottom w:val="single" w:sz="4" w:space="0" w:color="auto"/>
              <w:right w:val="nil"/>
            </w:tcBorders>
            <w:shd w:val="clear" w:color="auto" w:fill="FFFFFF"/>
            <w:hideMark/>
          </w:tcPr>
          <w:p w14:paraId="58B07AC3" w14:textId="77777777" w:rsidR="007A3E91" w:rsidRPr="00211397" w:rsidRDefault="007A3E91" w:rsidP="00B638A7">
            <w:pPr>
              <w:pStyle w:val="BStablefigures"/>
              <w:rPr>
                <w:rFonts w:eastAsia="Calibri"/>
              </w:rPr>
            </w:pPr>
            <w:r w:rsidRPr="00211397">
              <w:rPr>
                <w:rFonts w:eastAsia="Calibri"/>
              </w:rPr>
              <w:t>$’000</w:t>
            </w:r>
          </w:p>
        </w:tc>
        <w:tc>
          <w:tcPr>
            <w:tcW w:w="1157" w:type="dxa"/>
            <w:tcBorders>
              <w:top w:val="nil"/>
              <w:left w:val="nil"/>
              <w:bottom w:val="single" w:sz="4" w:space="0" w:color="auto"/>
              <w:right w:val="nil"/>
            </w:tcBorders>
            <w:shd w:val="clear" w:color="auto" w:fill="FFFFFF"/>
            <w:hideMark/>
          </w:tcPr>
          <w:p w14:paraId="05625DB7" w14:textId="77777777" w:rsidR="007A3E91" w:rsidRPr="00211397" w:rsidRDefault="007A3E91" w:rsidP="00B638A7">
            <w:pPr>
              <w:pStyle w:val="BStablefigures"/>
              <w:rPr>
                <w:rFonts w:eastAsia="Calibri"/>
              </w:rPr>
            </w:pPr>
            <w:r w:rsidRPr="00211397">
              <w:rPr>
                <w:rFonts w:eastAsia="Calibri"/>
              </w:rPr>
              <w:t>$’000</w:t>
            </w:r>
          </w:p>
        </w:tc>
        <w:tc>
          <w:tcPr>
            <w:tcW w:w="1155" w:type="dxa"/>
            <w:tcBorders>
              <w:top w:val="nil"/>
              <w:left w:val="nil"/>
              <w:bottom w:val="single" w:sz="4" w:space="0" w:color="auto"/>
              <w:right w:val="nil"/>
            </w:tcBorders>
            <w:shd w:val="clear" w:color="auto" w:fill="FFFFFF"/>
            <w:hideMark/>
          </w:tcPr>
          <w:p w14:paraId="29B1E4E9" w14:textId="77777777" w:rsidR="007A3E91" w:rsidRPr="00211397" w:rsidRDefault="007A3E91" w:rsidP="00B638A7">
            <w:pPr>
              <w:pStyle w:val="BStablefigures"/>
              <w:rPr>
                <w:rFonts w:eastAsia="Calibri"/>
              </w:rPr>
            </w:pPr>
            <w:r w:rsidRPr="00211397">
              <w:rPr>
                <w:rFonts w:eastAsia="Calibri"/>
              </w:rPr>
              <w:t>$’000</w:t>
            </w:r>
          </w:p>
        </w:tc>
      </w:tr>
      <w:tr w:rsidR="007A3E91" w:rsidRPr="00211397" w14:paraId="4B5DD5A0" w14:textId="77777777" w:rsidTr="00B638A7">
        <w:tc>
          <w:tcPr>
            <w:tcW w:w="3612" w:type="dxa"/>
            <w:noWrap/>
            <w:hideMark/>
          </w:tcPr>
          <w:p w14:paraId="707C456F" w14:textId="3244A045" w:rsidR="007A3E91" w:rsidRPr="00211397" w:rsidRDefault="007A3E91" w:rsidP="00B638A7">
            <w:pPr>
              <w:pStyle w:val="BStabletext"/>
            </w:pPr>
            <w:r w:rsidRPr="00211397">
              <w:t>New Capital Works</w:t>
            </w:r>
          </w:p>
        </w:tc>
        <w:tc>
          <w:tcPr>
            <w:tcW w:w="1134" w:type="dxa"/>
            <w:shd w:val="clear" w:color="auto" w:fill="FFFFFF"/>
            <w:hideMark/>
          </w:tcPr>
          <w:p w14:paraId="6A80A3CA" w14:textId="77777777" w:rsidR="007A3E91" w:rsidRPr="00211397" w:rsidRDefault="007A3E91" w:rsidP="00B638A7">
            <w:pPr>
              <w:pStyle w:val="BStablefigures"/>
              <w:rPr>
                <w:rFonts w:eastAsia="Calibri"/>
              </w:rPr>
            </w:pPr>
            <w:r w:rsidRPr="00211397">
              <w:rPr>
                <w:rFonts w:eastAsia="Calibri"/>
              </w:rPr>
              <w:t>155,916</w:t>
            </w:r>
          </w:p>
        </w:tc>
        <w:tc>
          <w:tcPr>
            <w:tcW w:w="1177" w:type="dxa"/>
            <w:shd w:val="clear" w:color="auto" w:fill="FFFFFF"/>
            <w:hideMark/>
          </w:tcPr>
          <w:p w14:paraId="64186EF2" w14:textId="77777777" w:rsidR="007A3E91" w:rsidRPr="00211397" w:rsidRDefault="007A3E91" w:rsidP="00B638A7">
            <w:pPr>
              <w:pStyle w:val="BStablefigures"/>
              <w:rPr>
                <w:rFonts w:eastAsia="Calibri"/>
              </w:rPr>
            </w:pPr>
            <w:r w:rsidRPr="00211397">
              <w:rPr>
                <w:rFonts w:eastAsia="Calibri"/>
              </w:rPr>
              <w:t>252,932</w:t>
            </w:r>
          </w:p>
        </w:tc>
        <w:tc>
          <w:tcPr>
            <w:tcW w:w="1157" w:type="dxa"/>
            <w:shd w:val="clear" w:color="auto" w:fill="FFFFFF"/>
            <w:hideMark/>
          </w:tcPr>
          <w:p w14:paraId="18652FB4" w14:textId="77777777" w:rsidR="007A3E91" w:rsidRPr="00211397" w:rsidRDefault="007A3E91" w:rsidP="00B638A7">
            <w:pPr>
              <w:pStyle w:val="BStablefigures"/>
              <w:rPr>
                <w:rFonts w:eastAsia="Calibri"/>
              </w:rPr>
            </w:pPr>
            <w:r w:rsidRPr="00211397">
              <w:rPr>
                <w:rFonts w:eastAsia="Calibri"/>
              </w:rPr>
              <w:t>217,378</w:t>
            </w:r>
          </w:p>
        </w:tc>
        <w:tc>
          <w:tcPr>
            <w:tcW w:w="1155" w:type="dxa"/>
            <w:shd w:val="clear" w:color="auto" w:fill="FFFFFF"/>
            <w:hideMark/>
          </w:tcPr>
          <w:p w14:paraId="7CE3D48B" w14:textId="77777777" w:rsidR="007A3E91" w:rsidRPr="00211397" w:rsidRDefault="007A3E91" w:rsidP="00B638A7">
            <w:pPr>
              <w:pStyle w:val="BStablefigures"/>
              <w:rPr>
                <w:rFonts w:eastAsia="Calibri"/>
              </w:rPr>
            </w:pPr>
            <w:r w:rsidRPr="00211397">
              <w:rPr>
                <w:rFonts w:eastAsia="Calibri"/>
              </w:rPr>
              <w:t>154,977</w:t>
            </w:r>
          </w:p>
        </w:tc>
      </w:tr>
      <w:tr w:rsidR="007A3E91" w:rsidRPr="00211397" w14:paraId="5B876134" w14:textId="77777777" w:rsidTr="00B638A7">
        <w:tc>
          <w:tcPr>
            <w:tcW w:w="3612" w:type="dxa"/>
            <w:noWrap/>
            <w:hideMark/>
          </w:tcPr>
          <w:p w14:paraId="69D94226" w14:textId="77777777" w:rsidR="007A3E91" w:rsidRPr="00211397" w:rsidRDefault="007A3E91" w:rsidP="00B638A7">
            <w:pPr>
              <w:pStyle w:val="BStabletext"/>
            </w:pPr>
            <w:r w:rsidRPr="00211397">
              <w:t>Works-in-Progress</w:t>
            </w:r>
          </w:p>
        </w:tc>
        <w:tc>
          <w:tcPr>
            <w:tcW w:w="1134" w:type="dxa"/>
            <w:shd w:val="clear" w:color="auto" w:fill="FFFFFF"/>
            <w:hideMark/>
          </w:tcPr>
          <w:p w14:paraId="4ECBA2A4" w14:textId="77777777" w:rsidR="007A3E91" w:rsidRPr="00211397" w:rsidRDefault="007A3E91" w:rsidP="00B638A7">
            <w:pPr>
              <w:pStyle w:val="BStablefigures"/>
              <w:rPr>
                <w:rFonts w:eastAsia="Calibri"/>
              </w:rPr>
            </w:pPr>
            <w:r w:rsidRPr="00211397">
              <w:rPr>
                <w:rFonts w:eastAsia="Calibri"/>
              </w:rPr>
              <w:t>668,614</w:t>
            </w:r>
          </w:p>
        </w:tc>
        <w:tc>
          <w:tcPr>
            <w:tcW w:w="1177" w:type="dxa"/>
            <w:shd w:val="clear" w:color="auto" w:fill="FFFFFF"/>
            <w:hideMark/>
          </w:tcPr>
          <w:p w14:paraId="752B4A90" w14:textId="77777777" w:rsidR="007A3E91" w:rsidRPr="00211397" w:rsidRDefault="007A3E91" w:rsidP="00B638A7">
            <w:pPr>
              <w:pStyle w:val="BStablefigures"/>
              <w:rPr>
                <w:rFonts w:eastAsia="Calibri"/>
              </w:rPr>
            </w:pPr>
            <w:r w:rsidRPr="00211397">
              <w:rPr>
                <w:rFonts w:eastAsia="Calibri"/>
              </w:rPr>
              <w:t>538,800</w:t>
            </w:r>
          </w:p>
        </w:tc>
        <w:tc>
          <w:tcPr>
            <w:tcW w:w="1157" w:type="dxa"/>
            <w:shd w:val="clear" w:color="auto" w:fill="FFFFFF"/>
            <w:hideMark/>
          </w:tcPr>
          <w:p w14:paraId="18D8601D" w14:textId="77777777" w:rsidR="007A3E91" w:rsidRPr="00211397" w:rsidRDefault="007A3E91" w:rsidP="00B638A7">
            <w:pPr>
              <w:pStyle w:val="BStablefigures"/>
              <w:rPr>
                <w:rFonts w:eastAsia="Calibri"/>
              </w:rPr>
            </w:pPr>
            <w:r w:rsidRPr="00211397">
              <w:rPr>
                <w:rFonts w:eastAsia="Calibri"/>
              </w:rPr>
              <w:t>263,587</w:t>
            </w:r>
          </w:p>
        </w:tc>
        <w:tc>
          <w:tcPr>
            <w:tcW w:w="1155" w:type="dxa"/>
            <w:shd w:val="clear" w:color="auto" w:fill="FFFFFF"/>
            <w:hideMark/>
          </w:tcPr>
          <w:p w14:paraId="3FEBFE4B" w14:textId="77777777" w:rsidR="007A3E91" w:rsidRPr="00211397" w:rsidRDefault="007A3E91" w:rsidP="00B638A7">
            <w:pPr>
              <w:pStyle w:val="BStablefigures"/>
              <w:rPr>
                <w:rFonts w:eastAsia="Calibri"/>
              </w:rPr>
            </w:pPr>
            <w:r w:rsidRPr="00211397">
              <w:rPr>
                <w:rFonts w:eastAsia="Calibri"/>
              </w:rPr>
              <w:t>74,614</w:t>
            </w:r>
          </w:p>
        </w:tc>
      </w:tr>
      <w:tr w:rsidR="007A3E91" w:rsidRPr="00211397" w14:paraId="6D9047F6" w14:textId="77777777" w:rsidTr="00B638A7">
        <w:tc>
          <w:tcPr>
            <w:tcW w:w="3612" w:type="dxa"/>
            <w:tcBorders>
              <w:top w:val="single" w:sz="4" w:space="0" w:color="auto"/>
              <w:left w:val="nil"/>
              <w:bottom w:val="single" w:sz="4" w:space="0" w:color="auto"/>
              <w:right w:val="nil"/>
            </w:tcBorders>
            <w:noWrap/>
            <w:hideMark/>
          </w:tcPr>
          <w:p w14:paraId="73A8FF8C" w14:textId="77777777" w:rsidR="007A3E91" w:rsidRPr="00211397" w:rsidRDefault="007A3E91" w:rsidP="00B638A7">
            <w:pPr>
              <w:pStyle w:val="BStabletext"/>
            </w:pPr>
            <w:r w:rsidRPr="00211397">
              <w:t xml:space="preserve">TOTAL </w:t>
            </w:r>
          </w:p>
        </w:tc>
        <w:tc>
          <w:tcPr>
            <w:tcW w:w="1134" w:type="dxa"/>
            <w:tcBorders>
              <w:top w:val="single" w:sz="4" w:space="0" w:color="auto"/>
              <w:left w:val="nil"/>
              <w:bottom w:val="single" w:sz="4" w:space="0" w:color="auto"/>
              <w:right w:val="nil"/>
            </w:tcBorders>
            <w:shd w:val="clear" w:color="auto" w:fill="FFFFFF"/>
            <w:hideMark/>
          </w:tcPr>
          <w:p w14:paraId="3560A122" w14:textId="77777777" w:rsidR="007A3E91" w:rsidRPr="00211397" w:rsidRDefault="007A3E91" w:rsidP="00B638A7">
            <w:pPr>
              <w:pStyle w:val="BStablefigures"/>
              <w:rPr>
                <w:rFonts w:eastAsia="Calibri"/>
              </w:rPr>
            </w:pPr>
            <w:r w:rsidRPr="00211397">
              <w:rPr>
                <w:rFonts w:eastAsia="Calibri"/>
              </w:rPr>
              <w:t>824,530</w:t>
            </w:r>
          </w:p>
        </w:tc>
        <w:tc>
          <w:tcPr>
            <w:tcW w:w="1177" w:type="dxa"/>
            <w:tcBorders>
              <w:top w:val="single" w:sz="4" w:space="0" w:color="auto"/>
              <w:left w:val="nil"/>
              <w:bottom w:val="single" w:sz="4" w:space="0" w:color="auto"/>
              <w:right w:val="nil"/>
            </w:tcBorders>
            <w:shd w:val="clear" w:color="auto" w:fill="FFFFFF"/>
            <w:hideMark/>
          </w:tcPr>
          <w:p w14:paraId="5712782E" w14:textId="77777777" w:rsidR="007A3E91" w:rsidRPr="00211397" w:rsidRDefault="007A3E91" w:rsidP="00B638A7">
            <w:pPr>
              <w:pStyle w:val="BStablefigures"/>
              <w:rPr>
                <w:rFonts w:eastAsia="Calibri"/>
              </w:rPr>
            </w:pPr>
            <w:r w:rsidRPr="00211397">
              <w:rPr>
                <w:rFonts w:eastAsia="Calibri"/>
              </w:rPr>
              <w:t>791,732</w:t>
            </w:r>
          </w:p>
        </w:tc>
        <w:tc>
          <w:tcPr>
            <w:tcW w:w="1157" w:type="dxa"/>
            <w:tcBorders>
              <w:top w:val="single" w:sz="4" w:space="0" w:color="auto"/>
              <w:left w:val="nil"/>
              <w:bottom w:val="single" w:sz="4" w:space="0" w:color="auto"/>
              <w:right w:val="nil"/>
            </w:tcBorders>
            <w:shd w:val="clear" w:color="auto" w:fill="FFFFFF"/>
            <w:hideMark/>
          </w:tcPr>
          <w:p w14:paraId="7A996CF3" w14:textId="77777777" w:rsidR="007A3E91" w:rsidRPr="00211397" w:rsidRDefault="007A3E91" w:rsidP="00B638A7">
            <w:pPr>
              <w:pStyle w:val="BStablefigures"/>
              <w:rPr>
                <w:rFonts w:eastAsia="Calibri"/>
              </w:rPr>
            </w:pPr>
            <w:r w:rsidRPr="00211397">
              <w:rPr>
                <w:rFonts w:eastAsia="Calibri"/>
              </w:rPr>
              <w:t>480,965</w:t>
            </w:r>
          </w:p>
        </w:tc>
        <w:tc>
          <w:tcPr>
            <w:tcW w:w="1155" w:type="dxa"/>
            <w:tcBorders>
              <w:top w:val="single" w:sz="4" w:space="0" w:color="auto"/>
              <w:left w:val="nil"/>
              <w:bottom w:val="single" w:sz="4" w:space="0" w:color="auto"/>
              <w:right w:val="nil"/>
            </w:tcBorders>
            <w:shd w:val="clear" w:color="auto" w:fill="FFFFFF"/>
            <w:hideMark/>
          </w:tcPr>
          <w:p w14:paraId="6AF5AA39" w14:textId="77777777" w:rsidR="007A3E91" w:rsidRPr="00211397" w:rsidRDefault="007A3E91" w:rsidP="00B638A7">
            <w:pPr>
              <w:pStyle w:val="BStablefigures"/>
              <w:rPr>
                <w:rFonts w:eastAsia="Calibri"/>
              </w:rPr>
            </w:pPr>
            <w:r w:rsidRPr="00211397">
              <w:rPr>
                <w:rFonts w:eastAsia="Calibri"/>
              </w:rPr>
              <w:t>229,591</w:t>
            </w:r>
          </w:p>
        </w:tc>
      </w:tr>
      <w:tr w:rsidR="007A3E91" w:rsidRPr="00211397" w14:paraId="52226B14" w14:textId="77777777" w:rsidTr="00B638A7">
        <w:tc>
          <w:tcPr>
            <w:tcW w:w="3612" w:type="dxa"/>
            <w:tcBorders>
              <w:top w:val="single" w:sz="4" w:space="0" w:color="auto"/>
              <w:left w:val="nil"/>
              <w:bottom w:val="nil"/>
              <w:right w:val="nil"/>
            </w:tcBorders>
            <w:shd w:val="clear" w:color="auto" w:fill="FFFFFF"/>
            <w:noWrap/>
            <w:hideMark/>
          </w:tcPr>
          <w:p w14:paraId="5325A0ED" w14:textId="77777777" w:rsidR="007A3E91" w:rsidRPr="00211397" w:rsidRDefault="007A3E91" w:rsidP="00B638A7">
            <w:pPr>
              <w:pStyle w:val="BStabletextunbold"/>
            </w:pPr>
            <w:r w:rsidRPr="00211397">
              <w:rPr>
                <w:lang w:eastAsia="en-AU"/>
              </w:rPr>
              <w:t>Infrastructure Investment Provisions</w:t>
            </w:r>
          </w:p>
        </w:tc>
        <w:tc>
          <w:tcPr>
            <w:tcW w:w="1134" w:type="dxa"/>
            <w:tcBorders>
              <w:top w:val="single" w:sz="4" w:space="0" w:color="auto"/>
              <w:left w:val="nil"/>
              <w:bottom w:val="nil"/>
              <w:right w:val="nil"/>
            </w:tcBorders>
            <w:shd w:val="clear" w:color="auto" w:fill="FFFFFF"/>
            <w:hideMark/>
          </w:tcPr>
          <w:p w14:paraId="659B87FA" w14:textId="77777777" w:rsidR="007A3E91" w:rsidRPr="00211397" w:rsidRDefault="007A3E91" w:rsidP="00B638A7">
            <w:pPr>
              <w:pStyle w:val="BStablefiguresunbold"/>
              <w:rPr>
                <w:rFonts w:eastAsia="Calibri"/>
                <w:lang w:eastAsia="en-AU"/>
              </w:rPr>
            </w:pPr>
            <w:r w:rsidRPr="00211397">
              <w:rPr>
                <w:rFonts w:eastAsia="Calibri"/>
                <w:lang w:eastAsia="en-AU"/>
              </w:rPr>
              <w:t>1,278</w:t>
            </w:r>
          </w:p>
        </w:tc>
        <w:tc>
          <w:tcPr>
            <w:tcW w:w="1177" w:type="dxa"/>
            <w:tcBorders>
              <w:top w:val="single" w:sz="4" w:space="0" w:color="auto"/>
              <w:left w:val="nil"/>
              <w:bottom w:val="nil"/>
              <w:right w:val="nil"/>
            </w:tcBorders>
            <w:shd w:val="clear" w:color="auto" w:fill="FFFFFF"/>
            <w:hideMark/>
          </w:tcPr>
          <w:p w14:paraId="1ABC6088" w14:textId="77777777" w:rsidR="007A3E91" w:rsidRPr="00211397" w:rsidRDefault="007A3E91" w:rsidP="00B638A7">
            <w:pPr>
              <w:pStyle w:val="BStablefiguresunbold"/>
              <w:rPr>
                <w:rFonts w:eastAsia="Calibri"/>
                <w:lang w:eastAsia="en-AU"/>
              </w:rPr>
            </w:pPr>
            <w:r w:rsidRPr="00211397">
              <w:rPr>
                <w:rFonts w:eastAsia="Calibri"/>
                <w:lang w:eastAsia="en-AU"/>
              </w:rPr>
              <w:t>434,953</w:t>
            </w:r>
          </w:p>
        </w:tc>
        <w:tc>
          <w:tcPr>
            <w:tcW w:w="1157" w:type="dxa"/>
            <w:tcBorders>
              <w:top w:val="single" w:sz="4" w:space="0" w:color="auto"/>
              <w:left w:val="nil"/>
              <w:bottom w:val="nil"/>
              <w:right w:val="nil"/>
            </w:tcBorders>
            <w:shd w:val="clear" w:color="auto" w:fill="FFFFFF"/>
            <w:hideMark/>
          </w:tcPr>
          <w:p w14:paraId="47D00BA9" w14:textId="77777777" w:rsidR="007A3E91" w:rsidRPr="00211397" w:rsidRDefault="007A3E91" w:rsidP="00B638A7">
            <w:pPr>
              <w:pStyle w:val="BStablefiguresunbold"/>
              <w:rPr>
                <w:rFonts w:eastAsia="Calibri"/>
                <w:lang w:eastAsia="en-AU"/>
              </w:rPr>
            </w:pPr>
            <w:r w:rsidRPr="00211397">
              <w:rPr>
                <w:rFonts w:eastAsia="Calibri"/>
                <w:lang w:eastAsia="en-AU"/>
              </w:rPr>
              <w:t>596,052</w:t>
            </w:r>
          </w:p>
        </w:tc>
        <w:tc>
          <w:tcPr>
            <w:tcW w:w="1155" w:type="dxa"/>
            <w:tcBorders>
              <w:top w:val="single" w:sz="4" w:space="0" w:color="auto"/>
              <w:left w:val="nil"/>
              <w:bottom w:val="nil"/>
              <w:right w:val="nil"/>
            </w:tcBorders>
            <w:shd w:val="clear" w:color="auto" w:fill="FFFFFF"/>
            <w:hideMark/>
          </w:tcPr>
          <w:p w14:paraId="135C2C76" w14:textId="77777777" w:rsidR="007A3E91" w:rsidRPr="00211397" w:rsidRDefault="007A3E91" w:rsidP="00B638A7">
            <w:pPr>
              <w:pStyle w:val="BStablefiguresunbold"/>
              <w:rPr>
                <w:rFonts w:eastAsia="Calibri"/>
                <w:lang w:eastAsia="en-AU"/>
              </w:rPr>
            </w:pPr>
            <w:r w:rsidRPr="00211397">
              <w:rPr>
                <w:rFonts w:eastAsia="Calibri"/>
                <w:lang w:eastAsia="en-AU"/>
              </w:rPr>
              <w:t>694,850</w:t>
            </w:r>
          </w:p>
        </w:tc>
      </w:tr>
      <w:tr w:rsidR="007A3E91" w:rsidRPr="00211397" w14:paraId="7D555918" w14:textId="77777777" w:rsidTr="00B638A7">
        <w:tc>
          <w:tcPr>
            <w:tcW w:w="3612" w:type="dxa"/>
            <w:shd w:val="clear" w:color="auto" w:fill="FFFFFF"/>
            <w:noWrap/>
            <w:hideMark/>
          </w:tcPr>
          <w:p w14:paraId="0D72D1A9" w14:textId="77777777" w:rsidR="007A3E91" w:rsidRPr="00211397" w:rsidRDefault="007A3E91" w:rsidP="00B638A7">
            <w:pPr>
              <w:ind w:left="-531" w:firstLine="531"/>
              <w:rPr>
                <w:rFonts w:eastAsia="Calibri"/>
                <w:b/>
                <w:lang w:eastAsia="en-AU"/>
              </w:rPr>
            </w:pPr>
          </w:p>
        </w:tc>
        <w:tc>
          <w:tcPr>
            <w:tcW w:w="1134" w:type="dxa"/>
            <w:shd w:val="clear" w:color="auto" w:fill="FFFFFF"/>
            <w:vAlign w:val="bottom"/>
          </w:tcPr>
          <w:p w14:paraId="08E1E962" w14:textId="77777777" w:rsidR="007A3E91" w:rsidRPr="00211397" w:rsidRDefault="007A3E91" w:rsidP="00B638A7">
            <w:pPr>
              <w:pStyle w:val="BStablefiguresunbold"/>
              <w:rPr>
                <w:rFonts w:eastAsia="Calibri"/>
                <w:lang w:eastAsia="en-AU"/>
              </w:rPr>
            </w:pPr>
          </w:p>
        </w:tc>
        <w:tc>
          <w:tcPr>
            <w:tcW w:w="1177" w:type="dxa"/>
            <w:shd w:val="clear" w:color="auto" w:fill="FFFFFF"/>
            <w:vAlign w:val="bottom"/>
          </w:tcPr>
          <w:p w14:paraId="5DC315CA" w14:textId="77777777" w:rsidR="007A3E91" w:rsidRPr="00211397" w:rsidRDefault="007A3E91" w:rsidP="00B638A7">
            <w:pPr>
              <w:pStyle w:val="BStablefiguresunbold"/>
              <w:rPr>
                <w:rFonts w:eastAsia="Calibri"/>
                <w:lang w:eastAsia="en-AU"/>
              </w:rPr>
            </w:pPr>
          </w:p>
        </w:tc>
        <w:tc>
          <w:tcPr>
            <w:tcW w:w="1157" w:type="dxa"/>
            <w:shd w:val="clear" w:color="auto" w:fill="FFFFFF"/>
            <w:vAlign w:val="bottom"/>
          </w:tcPr>
          <w:p w14:paraId="2027C146" w14:textId="77777777" w:rsidR="007A3E91" w:rsidRPr="00211397" w:rsidRDefault="007A3E91" w:rsidP="00B638A7">
            <w:pPr>
              <w:pStyle w:val="BStablefiguresunbold"/>
              <w:rPr>
                <w:rFonts w:eastAsia="Calibri"/>
                <w:lang w:eastAsia="en-AU"/>
              </w:rPr>
            </w:pPr>
          </w:p>
        </w:tc>
        <w:tc>
          <w:tcPr>
            <w:tcW w:w="1155" w:type="dxa"/>
            <w:shd w:val="clear" w:color="auto" w:fill="FFFFFF"/>
            <w:vAlign w:val="bottom"/>
          </w:tcPr>
          <w:p w14:paraId="302E5A92" w14:textId="77777777" w:rsidR="007A3E91" w:rsidRPr="00211397" w:rsidRDefault="007A3E91" w:rsidP="00B638A7">
            <w:pPr>
              <w:pStyle w:val="BStablefiguresunbold"/>
              <w:rPr>
                <w:rFonts w:eastAsia="Calibri"/>
                <w:lang w:eastAsia="en-AU"/>
              </w:rPr>
            </w:pPr>
          </w:p>
        </w:tc>
      </w:tr>
      <w:tr w:rsidR="007A3E91" w:rsidRPr="00211397" w14:paraId="4E62002E" w14:textId="77777777" w:rsidTr="00B638A7">
        <w:tc>
          <w:tcPr>
            <w:tcW w:w="3612" w:type="dxa"/>
            <w:tcBorders>
              <w:top w:val="nil"/>
              <w:left w:val="nil"/>
              <w:bottom w:val="single" w:sz="4" w:space="0" w:color="auto"/>
              <w:right w:val="nil"/>
            </w:tcBorders>
            <w:shd w:val="clear" w:color="auto" w:fill="FFFFFF"/>
            <w:noWrap/>
            <w:hideMark/>
          </w:tcPr>
          <w:p w14:paraId="4E47E78D" w14:textId="77777777" w:rsidR="007A3E91" w:rsidRPr="00211397" w:rsidRDefault="007A3E91" w:rsidP="00B638A7">
            <w:pPr>
              <w:pStyle w:val="BStabletext"/>
            </w:pPr>
            <w:bookmarkStart w:id="149" w:name="_Hlk484869486"/>
          </w:p>
        </w:tc>
        <w:tc>
          <w:tcPr>
            <w:tcW w:w="1134" w:type="dxa"/>
            <w:tcBorders>
              <w:top w:val="nil"/>
              <w:left w:val="nil"/>
              <w:bottom w:val="single" w:sz="4" w:space="0" w:color="auto"/>
              <w:right w:val="nil"/>
            </w:tcBorders>
            <w:shd w:val="clear" w:color="auto" w:fill="FFFFFF"/>
            <w:hideMark/>
          </w:tcPr>
          <w:p w14:paraId="378AF38D" w14:textId="77777777" w:rsidR="007A3E91" w:rsidRPr="00211397" w:rsidRDefault="007A3E91" w:rsidP="00B638A7">
            <w:pPr>
              <w:pStyle w:val="BStablefigures"/>
              <w:rPr>
                <w:rFonts w:eastAsia="Calibri"/>
              </w:rPr>
            </w:pPr>
          </w:p>
        </w:tc>
        <w:tc>
          <w:tcPr>
            <w:tcW w:w="1177" w:type="dxa"/>
            <w:tcBorders>
              <w:top w:val="nil"/>
              <w:left w:val="nil"/>
              <w:bottom w:val="single" w:sz="4" w:space="0" w:color="auto"/>
              <w:right w:val="nil"/>
            </w:tcBorders>
            <w:shd w:val="clear" w:color="auto" w:fill="FFFFFF"/>
            <w:hideMark/>
          </w:tcPr>
          <w:p w14:paraId="68AE2E34" w14:textId="77777777" w:rsidR="007A3E91" w:rsidRPr="00211397" w:rsidRDefault="007A3E91" w:rsidP="00B638A7">
            <w:pPr>
              <w:pStyle w:val="BStablefigures"/>
              <w:rPr>
                <w:rFonts w:eastAsia="Calibri"/>
              </w:rPr>
            </w:pPr>
          </w:p>
        </w:tc>
        <w:tc>
          <w:tcPr>
            <w:tcW w:w="1157" w:type="dxa"/>
            <w:tcBorders>
              <w:top w:val="nil"/>
              <w:left w:val="nil"/>
              <w:bottom w:val="single" w:sz="4" w:space="0" w:color="auto"/>
              <w:right w:val="nil"/>
            </w:tcBorders>
            <w:shd w:val="clear" w:color="auto" w:fill="FFFFFF"/>
            <w:hideMark/>
          </w:tcPr>
          <w:p w14:paraId="7D2F73C1" w14:textId="77777777" w:rsidR="007A3E91" w:rsidRPr="00211397" w:rsidRDefault="007A3E91" w:rsidP="00B638A7">
            <w:pPr>
              <w:pStyle w:val="BStablefigures"/>
              <w:rPr>
                <w:rFonts w:eastAsia="Calibri"/>
              </w:rPr>
            </w:pPr>
          </w:p>
        </w:tc>
        <w:tc>
          <w:tcPr>
            <w:tcW w:w="1155" w:type="dxa"/>
            <w:tcBorders>
              <w:top w:val="nil"/>
              <w:left w:val="nil"/>
              <w:bottom w:val="single" w:sz="4" w:space="0" w:color="auto"/>
              <w:right w:val="nil"/>
            </w:tcBorders>
            <w:shd w:val="clear" w:color="auto" w:fill="FFFFFF"/>
            <w:hideMark/>
          </w:tcPr>
          <w:p w14:paraId="20789E6A" w14:textId="77777777" w:rsidR="007A3E91" w:rsidRPr="00211397" w:rsidRDefault="007A3E91" w:rsidP="00B638A7">
            <w:pPr>
              <w:pStyle w:val="BStablefigures"/>
              <w:rPr>
                <w:rFonts w:eastAsia="Calibri"/>
              </w:rPr>
            </w:pPr>
          </w:p>
        </w:tc>
        <w:bookmarkEnd w:id="149"/>
      </w:tr>
      <w:tr w:rsidR="007A3E91" w:rsidRPr="00211397" w14:paraId="16976C82" w14:textId="77777777" w:rsidTr="00B638A7">
        <w:trPr>
          <w:trHeight w:val="227"/>
        </w:trPr>
        <w:tc>
          <w:tcPr>
            <w:tcW w:w="3612" w:type="dxa"/>
            <w:tcBorders>
              <w:top w:val="single" w:sz="4" w:space="0" w:color="auto"/>
              <w:left w:val="nil"/>
              <w:bottom w:val="single" w:sz="4" w:space="0" w:color="auto"/>
              <w:right w:val="nil"/>
            </w:tcBorders>
            <w:noWrap/>
          </w:tcPr>
          <w:p w14:paraId="20ADBCFB" w14:textId="77777777" w:rsidR="007A3E91" w:rsidRPr="00211397" w:rsidRDefault="007A3E91" w:rsidP="00B638A7">
            <w:pPr>
              <w:widowControl w:val="0"/>
              <w:spacing w:after="0"/>
              <w:ind w:left="-531" w:firstLine="531"/>
              <w:rPr>
                <w:b/>
                <w:bCs/>
                <w:sz w:val="20"/>
                <w:lang w:eastAsia="en-AU"/>
              </w:rPr>
            </w:pPr>
            <w:r w:rsidRPr="00211397">
              <w:rPr>
                <w:b/>
                <w:bCs/>
                <w:sz w:val="20"/>
                <w:lang w:eastAsia="en-AU"/>
              </w:rPr>
              <w:t>Better Infrastructure Fund</w:t>
            </w:r>
          </w:p>
        </w:tc>
        <w:tc>
          <w:tcPr>
            <w:tcW w:w="1134" w:type="dxa"/>
            <w:tcBorders>
              <w:top w:val="single" w:sz="4" w:space="0" w:color="auto"/>
              <w:left w:val="nil"/>
              <w:bottom w:val="single" w:sz="4" w:space="0" w:color="auto"/>
              <w:right w:val="nil"/>
            </w:tcBorders>
            <w:shd w:val="clear" w:color="auto" w:fill="FFFFFF"/>
          </w:tcPr>
          <w:p w14:paraId="44379B9C" w14:textId="77777777" w:rsidR="007A3E91" w:rsidRPr="00211397" w:rsidRDefault="007A3E91" w:rsidP="00B638A7">
            <w:pPr>
              <w:widowControl w:val="0"/>
              <w:spacing w:after="0"/>
              <w:ind w:left="-531" w:firstLine="531"/>
              <w:jc w:val="right"/>
              <w:rPr>
                <w:b/>
                <w:sz w:val="20"/>
                <w:lang w:eastAsia="en-AU"/>
              </w:rPr>
            </w:pPr>
            <w:r w:rsidRPr="00211397">
              <w:rPr>
                <w:b/>
                <w:sz w:val="20"/>
                <w:lang w:eastAsia="en-AU"/>
              </w:rPr>
              <w:t>87,713</w:t>
            </w:r>
          </w:p>
        </w:tc>
        <w:tc>
          <w:tcPr>
            <w:tcW w:w="1177" w:type="dxa"/>
            <w:tcBorders>
              <w:top w:val="single" w:sz="4" w:space="0" w:color="auto"/>
              <w:left w:val="nil"/>
              <w:bottom w:val="single" w:sz="4" w:space="0" w:color="auto"/>
              <w:right w:val="nil"/>
            </w:tcBorders>
            <w:shd w:val="clear" w:color="auto" w:fill="FFFFFF"/>
          </w:tcPr>
          <w:p w14:paraId="245992E1" w14:textId="77777777" w:rsidR="007A3E91" w:rsidRPr="00211397" w:rsidRDefault="007A3E91" w:rsidP="00B638A7">
            <w:pPr>
              <w:widowControl w:val="0"/>
              <w:spacing w:after="0"/>
              <w:ind w:left="-531" w:firstLine="531"/>
              <w:jc w:val="right"/>
              <w:rPr>
                <w:b/>
                <w:sz w:val="20"/>
                <w:lang w:eastAsia="en-AU"/>
              </w:rPr>
            </w:pPr>
            <w:r w:rsidRPr="00211397">
              <w:rPr>
                <w:b/>
                <w:sz w:val="20"/>
                <w:lang w:eastAsia="en-AU"/>
              </w:rPr>
              <w:t>60,422</w:t>
            </w:r>
          </w:p>
        </w:tc>
        <w:tc>
          <w:tcPr>
            <w:tcW w:w="1157" w:type="dxa"/>
            <w:tcBorders>
              <w:top w:val="single" w:sz="4" w:space="0" w:color="auto"/>
              <w:left w:val="nil"/>
              <w:bottom w:val="single" w:sz="4" w:space="0" w:color="auto"/>
              <w:right w:val="nil"/>
            </w:tcBorders>
            <w:shd w:val="clear" w:color="auto" w:fill="FFFFFF"/>
          </w:tcPr>
          <w:p w14:paraId="1B648819" w14:textId="77777777" w:rsidR="007A3E91" w:rsidRPr="00211397" w:rsidRDefault="007A3E91" w:rsidP="00B638A7">
            <w:pPr>
              <w:widowControl w:val="0"/>
              <w:spacing w:after="0"/>
              <w:ind w:left="-531" w:firstLine="531"/>
              <w:jc w:val="right"/>
              <w:rPr>
                <w:b/>
                <w:sz w:val="20"/>
                <w:lang w:eastAsia="en-AU"/>
              </w:rPr>
            </w:pPr>
            <w:r w:rsidRPr="00211397">
              <w:rPr>
                <w:b/>
                <w:sz w:val="20"/>
                <w:lang w:eastAsia="en-AU"/>
              </w:rPr>
              <w:t>63,480</w:t>
            </w:r>
          </w:p>
        </w:tc>
        <w:tc>
          <w:tcPr>
            <w:tcW w:w="1155" w:type="dxa"/>
            <w:tcBorders>
              <w:top w:val="single" w:sz="4" w:space="0" w:color="auto"/>
              <w:left w:val="nil"/>
              <w:bottom w:val="single" w:sz="4" w:space="0" w:color="auto"/>
              <w:right w:val="nil"/>
            </w:tcBorders>
            <w:shd w:val="clear" w:color="auto" w:fill="FFFFFF"/>
          </w:tcPr>
          <w:p w14:paraId="7AC5F00F" w14:textId="77777777" w:rsidR="007A3E91" w:rsidRPr="00211397" w:rsidRDefault="007A3E91" w:rsidP="00B638A7">
            <w:pPr>
              <w:widowControl w:val="0"/>
              <w:spacing w:after="0"/>
              <w:ind w:left="-531" w:firstLine="531"/>
              <w:jc w:val="right"/>
              <w:rPr>
                <w:b/>
                <w:sz w:val="20"/>
                <w:lang w:eastAsia="en-AU"/>
              </w:rPr>
            </w:pPr>
            <w:r w:rsidRPr="00211397">
              <w:rPr>
                <w:b/>
                <w:sz w:val="20"/>
                <w:lang w:eastAsia="en-AU"/>
              </w:rPr>
              <w:t>65,066</w:t>
            </w:r>
          </w:p>
        </w:tc>
      </w:tr>
      <w:tr w:rsidR="007A3E91" w:rsidRPr="00211397" w14:paraId="18165BFA" w14:textId="77777777" w:rsidTr="00B638A7">
        <w:tc>
          <w:tcPr>
            <w:tcW w:w="3612" w:type="dxa"/>
            <w:tcBorders>
              <w:top w:val="single" w:sz="4" w:space="0" w:color="auto"/>
              <w:left w:val="nil"/>
              <w:bottom w:val="nil"/>
              <w:right w:val="nil"/>
            </w:tcBorders>
            <w:noWrap/>
            <w:hideMark/>
          </w:tcPr>
          <w:p w14:paraId="4A2A70D9" w14:textId="77777777" w:rsidR="007A3E91" w:rsidRPr="00211397" w:rsidRDefault="007A3E91" w:rsidP="00B638A7">
            <w:pPr>
              <w:pStyle w:val="BStabletext"/>
            </w:pPr>
          </w:p>
        </w:tc>
        <w:tc>
          <w:tcPr>
            <w:tcW w:w="1134" w:type="dxa"/>
            <w:tcBorders>
              <w:top w:val="single" w:sz="4" w:space="0" w:color="auto"/>
              <w:left w:val="nil"/>
              <w:bottom w:val="nil"/>
              <w:right w:val="nil"/>
            </w:tcBorders>
            <w:shd w:val="clear" w:color="auto" w:fill="FFFFFF"/>
            <w:noWrap/>
            <w:hideMark/>
          </w:tcPr>
          <w:p w14:paraId="59380275" w14:textId="77777777" w:rsidR="007A3E91" w:rsidRPr="00211397" w:rsidRDefault="007A3E91" w:rsidP="00B638A7">
            <w:pPr>
              <w:pStyle w:val="BStablefigures"/>
              <w:rPr>
                <w:rFonts w:eastAsia="Calibri"/>
              </w:rPr>
            </w:pPr>
          </w:p>
        </w:tc>
        <w:tc>
          <w:tcPr>
            <w:tcW w:w="1177" w:type="dxa"/>
            <w:tcBorders>
              <w:top w:val="single" w:sz="4" w:space="0" w:color="auto"/>
              <w:left w:val="nil"/>
              <w:bottom w:val="nil"/>
              <w:right w:val="nil"/>
            </w:tcBorders>
            <w:shd w:val="clear" w:color="auto" w:fill="FFFFFF"/>
            <w:noWrap/>
          </w:tcPr>
          <w:p w14:paraId="54C3233C" w14:textId="77777777" w:rsidR="007A3E91" w:rsidRPr="00211397" w:rsidRDefault="007A3E91" w:rsidP="00B638A7">
            <w:pPr>
              <w:pStyle w:val="BStablefigures"/>
              <w:rPr>
                <w:rFonts w:eastAsia="Calibri"/>
              </w:rPr>
            </w:pPr>
          </w:p>
        </w:tc>
        <w:tc>
          <w:tcPr>
            <w:tcW w:w="1157" w:type="dxa"/>
            <w:tcBorders>
              <w:top w:val="single" w:sz="4" w:space="0" w:color="auto"/>
              <w:left w:val="nil"/>
              <w:bottom w:val="nil"/>
              <w:right w:val="nil"/>
            </w:tcBorders>
            <w:shd w:val="clear" w:color="auto" w:fill="FFFFFF"/>
            <w:noWrap/>
          </w:tcPr>
          <w:p w14:paraId="5D2BA1BE" w14:textId="77777777" w:rsidR="007A3E91" w:rsidRPr="00211397" w:rsidRDefault="007A3E91" w:rsidP="00B638A7">
            <w:pPr>
              <w:pStyle w:val="BStablefigures"/>
              <w:rPr>
                <w:rFonts w:eastAsia="Calibri"/>
              </w:rPr>
            </w:pPr>
          </w:p>
        </w:tc>
        <w:tc>
          <w:tcPr>
            <w:tcW w:w="1155" w:type="dxa"/>
            <w:tcBorders>
              <w:top w:val="single" w:sz="4" w:space="0" w:color="auto"/>
              <w:left w:val="nil"/>
              <w:bottom w:val="nil"/>
              <w:right w:val="nil"/>
            </w:tcBorders>
            <w:shd w:val="clear" w:color="auto" w:fill="FFFFFF"/>
            <w:noWrap/>
          </w:tcPr>
          <w:p w14:paraId="6DE8D3E8" w14:textId="77777777" w:rsidR="007A3E91" w:rsidRPr="00211397" w:rsidRDefault="007A3E91" w:rsidP="00B638A7">
            <w:pPr>
              <w:pStyle w:val="BStablefigures"/>
              <w:rPr>
                <w:rFonts w:eastAsia="Calibri"/>
              </w:rPr>
            </w:pPr>
          </w:p>
        </w:tc>
      </w:tr>
      <w:tr w:rsidR="007A3E91" w:rsidRPr="00211397" w14:paraId="5EFCE761" w14:textId="77777777" w:rsidTr="00B638A7">
        <w:tc>
          <w:tcPr>
            <w:tcW w:w="3612" w:type="dxa"/>
            <w:tcBorders>
              <w:top w:val="single" w:sz="4" w:space="0" w:color="auto"/>
              <w:left w:val="nil"/>
              <w:bottom w:val="single" w:sz="4" w:space="0" w:color="auto"/>
              <w:right w:val="nil"/>
            </w:tcBorders>
            <w:noWrap/>
            <w:hideMark/>
          </w:tcPr>
          <w:p w14:paraId="2CD3407E" w14:textId="77777777" w:rsidR="007A3E91" w:rsidRPr="00211397" w:rsidRDefault="007A3E91" w:rsidP="00B638A7">
            <w:pPr>
              <w:pStyle w:val="BStabletext"/>
            </w:pPr>
            <w:r w:rsidRPr="00211397">
              <w:t>TOTAL INFRASTRUCTURE INVESTMENT INCLUDING PROVISIONS</w:t>
            </w:r>
          </w:p>
        </w:tc>
        <w:tc>
          <w:tcPr>
            <w:tcW w:w="1134" w:type="dxa"/>
            <w:tcBorders>
              <w:top w:val="single" w:sz="4" w:space="0" w:color="auto"/>
              <w:left w:val="nil"/>
              <w:bottom w:val="single" w:sz="4" w:space="0" w:color="auto"/>
              <w:right w:val="nil"/>
            </w:tcBorders>
            <w:hideMark/>
          </w:tcPr>
          <w:p w14:paraId="3F5DDDDE" w14:textId="77777777" w:rsidR="007A3E91" w:rsidRPr="00211397" w:rsidRDefault="007A3E91" w:rsidP="00B638A7">
            <w:pPr>
              <w:pStyle w:val="BStablefigures"/>
              <w:rPr>
                <w:rFonts w:eastAsia="Calibri"/>
              </w:rPr>
            </w:pPr>
            <w:r w:rsidRPr="00211397">
              <w:rPr>
                <w:rFonts w:eastAsia="Calibri"/>
              </w:rPr>
              <w:t>913,521</w:t>
            </w:r>
          </w:p>
        </w:tc>
        <w:tc>
          <w:tcPr>
            <w:tcW w:w="1177" w:type="dxa"/>
            <w:tcBorders>
              <w:top w:val="single" w:sz="4" w:space="0" w:color="auto"/>
              <w:left w:val="nil"/>
              <w:bottom w:val="single" w:sz="4" w:space="0" w:color="auto"/>
              <w:right w:val="nil"/>
            </w:tcBorders>
            <w:hideMark/>
          </w:tcPr>
          <w:p w14:paraId="0F155B0D" w14:textId="77777777" w:rsidR="007A3E91" w:rsidRPr="00211397" w:rsidRDefault="007A3E91" w:rsidP="00B638A7">
            <w:pPr>
              <w:pStyle w:val="BStablefigures"/>
              <w:rPr>
                <w:rFonts w:eastAsia="Calibri"/>
              </w:rPr>
            </w:pPr>
            <w:r w:rsidRPr="00211397">
              <w:rPr>
                <w:rFonts w:eastAsia="Calibri"/>
              </w:rPr>
              <w:t>1,287,107</w:t>
            </w:r>
          </w:p>
        </w:tc>
        <w:tc>
          <w:tcPr>
            <w:tcW w:w="1157" w:type="dxa"/>
            <w:tcBorders>
              <w:top w:val="single" w:sz="4" w:space="0" w:color="auto"/>
              <w:left w:val="nil"/>
              <w:bottom w:val="single" w:sz="4" w:space="0" w:color="auto"/>
              <w:right w:val="nil"/>
            </w:tcBorders>
            <w:hideMark/>
          </w:tcPr>
          <w:p w14:paraId="4152CD8D" w14:textId="77777777" w:rsidR="007A3E91" w:rsidRPr="00211397" w:rsidRDefault="007A3E91" w:rsidP="00B638A7">
            <w:pPr>
              <w:pStyle w:val="BStablefigures"/>
              <w:rPr>
                <w:rFonts w:eastAsia="Calibri"/>
              </w:rPr>
            </w:pPr>
            <w:r w:rsidRPr="00211397">
              <w:rPr>
                <w:rFonts w:eastAsia="Calibri"/>
              </w:rPr>
              <w:t>1,113,487</w:t>
            </w:r>
          </w:p>
        </w:tc>
        <w:tc>
          <w:tcPr>
            <w:tcW w:w="1155" w:type="dxa"/>
            <w:tcBorders>
              <w:top w:val="single" w:sz="4" w:space="0" w:color="auto"/>
              <w:left w:val="nil"/>
              <w:bottom w:val="single" w:sz="4" w:space="0" w:color="auto"/>
              <w:right w:val="nil"/>
            </w:tcBorders>
            <w:hideMark/>
          </w:tcPr>
          <w:p w14:paraId="20A46D2C" w14:textId="77777777" w:rsidR="007A3E91" w:rsidRPr="00211397" w:rsidRDefault="007A3E91" w:rsidP="00B638A7">
            <w:pPr>
              <w:pStyle w:val="BStablefigures"/>
              <w:rPr>
                <w:rFonts w:eastAsia="Calibri"/>
              </w:rPr>
            </w:pPr>
            <w:r w:rsidRPr="00211397">
              <w:rPr>
                <w:rFonts w:eastAsia="Calibri"/>
              </w:rPr>
              <w:t>989,507</w:t>
            </w:r>
          </w:p>
        </w:tc>
      </w:tr>
    </w:tbl>
    <w:p w14:paraId="27456F7F" w14:textId="7D4A7C25" w:rsidR="007A3E91" w:rsidRPr="007A3E91" w:rsidRDefault="007A3E91" w:rsidP="007A3E91">
      <w:pPr>
        <w:spacing w:before="0"/>
        <w:rPr>
          <w:sz w:val="20"/>
          <w:szCs w:val="20"/>
        </w:rPr>
      </w:pPr>
      <w:r w:rsidRPr="00454FAF">
        <w:rPr>
          <w:sz w:val="20"/>
          <w:szCs w:val="20"/>
        </w:rPr>
        <w:t xml:space="preserve">Source: ACT Government </w:t>
      </w:r>
      <w:sdt>
        <w:sdtPr>
          <w:rPr>
            <w:sz w:val="20"/>
            <w:szCs w:val="20"/>
          </w:rPr>
          <w:id w:val="-155305567"/>
          <w:citation/>
        </w:sdtPr>
        <w:sdtContent>
          <w:r>
            <w:rPr>
              <w:sz w:val="20"/>
              <w:szCs w:val="20"/>
            </w:rPr>
            <w:fldChar w:fldCharType="begin"/>
          </w:r>
          <w:r w:rsidR="00DA22D6">
            <w:rPr>
              <w:sz w:val="20"/>
              <w:szCs w:val="20"/>
            </w:rPr>
            <w:instrText xml:space="preserve">CITATION ACT21 \p 177 \n  \t  \l 3081 </w:instrText>
          </w:r>
          <w:r>
            <w:rPr>
              <w:sz w:val="20"/>
              <w:szCs w:val="20"/>
            </w:rPr>
            <w:fldChar w:fldCharType="separate"/>
          </w:r>
          <w:r w:rsidR="00DA22D6" w:rsidRPr="00DA22D6">
            <w:rPr>
              <w:noProof/>
              <w:sz w:val="20"/>
              <w:szCs w:val="20"/>
            </w:rPr>
            <w:t>(2021, p. 177)</w:t>
          </w:r>
          <w:r>
            <w:rPr>
              <w:sz w:val="20"/>
              <w:szCs w:val="20"/>
            </w:rPr>
            <w:fldChar w:fldCharType="end"/>
          </w:r>
        </w:sdtContent>
      </w:sdt>
      <w:r>
        <w:rPr>
          <w:sz w:val="20"/>
          <w:szCs w:val="20"/>
        </w:rPr>
        <w:t>.</w:t>
      </w:r>
    </w:p>
    <w:p w14:paraId="2DD32D42" w14:textId="77777777" w:rsidR="007A3E91" w:rsidRDefault="007A3E91" w:rsidP="007A3E91">
      <w:r w:rsidRPr="00454FAF">
        <w:t xml:space="preserve">In 2019 the ACT Government amended the </w:t>
      </w:r>
      <w:r w:rsidRPr="00454FAF">
        <w:rPr>
          <w:i/>
        </w:rPr>
        <w:t>Financial Management Act 1996</w:t>
      </w:r>
      <w:r w:rsidRPr="00454FAF">
        <w:t xml:space="preserve"> to introduce a new mechanism, the Capital Works Reserve, to allow agencies to manage their capital program by advancing funds during the financial year should their capital appropriation be exceeded. Funds drawn from the Reserve will be deducted from the forward estimates for the project(s) concerned in later years. The 20</w:t>
      </w:r>
      <w:r>
        <w:t>20-21</w:t>
      </w:r>
      <w:r w:rsidRPr="00454FAF">
        <w:t xml:space="preserve"> Budget has allocated $1</w:t>
      </w:r>
      <w:r>
        <w:t>5</w:t>
      </w:r>
      <w:r w:rsidRPr="00454FAF">
        <w:t>0 million for this Reserve, with a corresponding reduction of $1</w:t>
      </w:r>
      <w:r>
        <w:t>5</w:t>
      </w:r>
      <w:r w:rsidRPr="00454FAF">
        <w:t>0 million in the 202</w:t>
      </w:r>
      <w:r>
        <w:t>1</w:t>
      </w:r>
      <w:r w:rsidRPr="00454FAF">
        <w:t>-2</w:t>
      </w:r>
      <w:r>
        <w:t>2</w:t>
      </w:r>
      <w:r w:rsidRPr="00454FAF">
        <w:t xml:space="preserve">forward estimates. The Treasurer has to provide the </w:t>
      </w:r>
      <w:r w:rsidRPr="00454FAF">
        <w:lastRenderedPageBreak/>
        <w:t xml:space="preserve">Legislative Assembly with a reconciliation of any amounts approved for payment from the Reserve (under section 26 of the </w:t>
      </w:r>
      <w:r w:rsidRPr="00454FAF">
        <w:rPr>
          <w:i/>
        </w:rPr>
        <w:t>Financial Management Act 1996</w:t>
      </w:r>
      <w:r w:rsidRPr="00454FAF">
        <w:t xml:space="preserve">). </w:t>
      </w:r>
    </w:p>
    <w:p w14:paraId="61418C74" w14:textId="05E849DC" w:rsidR="0003405B" w:rsidRDefault="003D69D0" w:rsidP="0003405B">
      <w:pPr>
        <w:pStyle w:val="Heading2"/>
        <w:spacing w:after="240"/>
      </w:pPr>
      <w:bookmarkStart w:id="150" w:name="_Toc64529049"/>
      <w:r>
        <w:t>6</w:t>
      </w:r>
      <w:r w:rsidR="0003405B" w:rsidRPr="00454FAF">
        <w:t>.2</w:t>
      </w:r>
      <w:r w:rsidR="0003405B" w:rsidRPr="00454FAF">
        <w:tab/>
        <w:t>Capital Works Program</w:t>
      </w:r>
      <w:bookmarkEnd w:id="150"/>
    </w:p>
    <w:p w14:paraId="240D9478" w14:textId="77777777" w:rsidR="007A3E91" w:rsidRDefault="007A3E91" w:rsidP="007A3E91">
      <w:r>
        <w:t>The Capital Works Program forms the largest component of the Infrastructure Investment Program, with funding of $912,243 million in 2020-21 and $1.7 billion over the four years to 2023-24. This includes:</w:t>
      </w:r>
    </w:p>
    <w:p w14:paraId="38058EB8" w14:textId="77777777" w:rsidR="007A3E91" w:rsidRDefault="007A3E91" w:rsidP="007A3E91">
      <w:pPr>
        <w:pStyle w:val="ListParagraph"/>
        <w:numPr>
          <w:ilvl w:val="0"/>
          <w:numId w:val="9"/>
        </w:numPr>
        <w:spacing w:before="0" w:after="160" w:line="256" w:lineRule="auto"/>
      </w:pPr>
      <w:r>
        <w:t>$155.9 million in 2020-21 and $625.3 million over four years for new capital works</w:t>
      </w:r>
    </w:p>
    <w:p w14:paraId="4840FB7D" w14:textId="77777777" w:rsidR="007A3E91" w:rsidRDefault="007A3E91" w:rsidP="007A3E91">
      <w:pPr>
        <w:pStyle w:val="ListParagraph"/>
        <w:numPr>
          <w:ilvl w:val="0"/>
          <w:numId w:val="9"/>
        </w:numPr>
        <w:spacing w:before="0" w:after="160" w:line="256" w:lineRule="auto"/>
      </w:pPr>
      <w:r>
        <w:t>$668.6 million in 2020-21 and $877.0 million over four years for works-in-progress</w:t>
      </w:r>
    </w:p>
    <w:p w14:paraId="7FFCD1A8" w14:textId="77777777" w:rsidR="007A3E91" w:rsidRDefault="007A3E91" w:rsidP="007A3E91">
      <w:pPr>
        <w:pStyle w:val="ListParagraph"/>
        <w:numPr>
          <w:ilvl w:val="0"/>
          <w:numId w:val="9"/>
        </w:numPr>
        <w:spacing w:before="0" w:after="160" w:line="256" w:lineRule="auto"/>
      </w:pPr>
      <w:r>
        <w:t>$87.7 million in 2020.21 and $188.9 million over four years for the Better Infrastructure Fund.</w:t>
      </w:r>
    </w:p>
    <w:p w14:paraId="210425C6" w14:textId="24183F4D" w:rsidR="007A3E91" w:rsidRDefault="007A3E91" w:rsidP="007A3E91">
      <w:r>
        <w:t xml:space="preserve">In 2019 a new Capital Works Reserve of was established under the </w:t>
      </w:r>
      <w:r w:rsidRPr="00F0729C">
        <w:rPr>
          <w:i/>
          <w:iCs/>
        </w:rPr>
        <w:t>Financial Management Act 1996</w:t>
      </w:r>
      <w:r>
        <w:t>. The reserve permits agencies with multi-year budget allocations for capital works to advance their capital works program during the financial year and draw on the reserve should existing appropriation be exhausted. The ACT Government has indicated it will provide the Assembly with details as part of its quarterly reporting processes. Essentially, the reserve is an appropriation mechanism allowing flexibility for agencies to advance capital projects by bringing forward subsequent funding allocations. At this stage the reserve is only available during the Budget year. The Reserve for the Budget year is $150 million, which is then cleared in 2021-22.</w:t>
      </w:r>
    </w:p>
    <w:p w14:paraId="3729EDA1" w14:textId="27304914" w:rsidR="007A3E91" w:rsidRDefault="007A3E91" w:rsidP="007A3E91">
      <w:r>
        <w:t xml:space="preserve">As consistent with our previous recommendation, the Committee may wish to </w:t>
      </w:r>
      <w:r w:rsidR="00D65728">
        <w:t>investigate</w:t>
      </w:r>
      <w:r>
        <w:t xml:space="preserve"> the operation, including processes for reporting usage of the reserve. In particular, given this arrangement is an appropriation mechanism, Pegasus is of the view the Assembly requires a level of control and assurance over the proper use of this mechanism to ensure appropriate accountability and transparency over the use of funds. In this regard, Pegasus strongly suggests it explores with the ACT Government and officials:</w:t>
      </w:r>
    </w:p>
    <w:p w14:paraId="5E8E0504" w14:textId="77777777" w:rsidR="007A3E91" w:rsidRDefault="007A3E91" w:rsidP="007A3E91">
      <w:pPr>
        <w:pStyle w:val="ListParagraph"/>
        <w:numPr>
          <w:ilvl w:val="0"/>
          <w:numId w:val="10"/>
        </w:numPr>
        <w:spacing w:before="0" w:after="160" w:line="256" w:lineRule="auto"/>
      </w:pPr>
      <w:r>
        <w:t>Criteria established to assess claims on the reserve</w:t>
      </w:r>
    </w:p>
    <w:p w14:paraId="096347E4" w14:textId="77777777" w:rsidR="007A3E91" w:rsidRDefault="007A3E91" w:rsidP="007A3E91">
      <w:pPr>
        <w:pStyle w:val="ListParagraph"/>
        <w:numPr>
          <w:ilvl w:val="0"/>
          <w:numId w:val="10"/>
        </w:numPr>
        <w:spacing w:before="0" w:after="160" w:line="256" w:lineRule="auto"/>
      </w:pPr>
      <w:r>
        <w:t>Authority to approve such claims</w:t>
      </w:r>
    </w:p>
    <w:p w14:paraId="40C9BCB6" w14:textId="47A82EE8" w:rsidR="007A3E91" w:rsidRDefault="00743F9E" w:rsidP="007A3E91">
      <w:pPr>
        <w:pStyle w:val="ListParagraph"/>
        <w:numPr>
          <w:ilvl w:val="0"/>
          <w:numId w:val="10"/>
        </w:numPr>
        <w:spacing w:before="0" w:after="160" w:line="256" w:lineRule="auto"/>
      </w:pPr>
      <w:r>
        <w:t>A</w:t>
      </w:r>
      <w:r w:rsidR="007A3E91">
        <w:t>ssurance over the usage of the appropriation.</w:t>
      </w:r>
    </w:p>
    <w:p w14:paraId="16596584" w14:textId="77777777" w:rsidR="007A3E91" w:rsidRDefault="007A3E91" w:rsidP="007A3E91">
      <w:r>
        <w:t>In regard to the latter, the Committee may wish to approach the Auditor-General to review the usage of the Reserve.</w:t>
      </w:r>
    </w:p>
    <w:p w14:paraId="7E9832CB" w14:textId="5B16CECC" w:rsidR="007A3E91" w:rsidRDefault="007A3E91" w:rsidP="007A3E91">
      <w:r>
        <w:t>Unlike previous year</w:t>
      </w:r>
      <w:r w:rsidRPr="00257C98">
        <w:t xml:space="preserve"> </w:t>
      </w:r>
      <w:r>
        <w:t>b</w:t>
      </w:r>
      <w:r w:rsidRPr="00257C98">
        <w:t>udget</w:t>
      </w:r>
      <w:r>
        <w:t>s</w:t>
      </w:r>
      <w:r w:rsidR="00A1572F">
        <w:t xml:space="preserve">, which tended to </w:t>
      </w:r>
      <w:r w:rsidRPr="00257C98">
        <w:t xml:space="preserve">ratchet up the capital works program forecasts across the budget and </w:t>
      </w:r>
      <w:r>
        <w:t xml:space="preserve">the </w:t>
      </w:r>
      <w:r w:rsidRPr="00257C98">
        <w:t>forward years</w:t>
      </w:r>
      <w:r>
        <w:t xml:space="preserve">, the </w:t>
      </w:r>
      <w:r w:rsidR="00A1572F">
        <w:t xml:space="preserve">2020-21 </w:t>
      </w:r>
      <w:r>
        <w:t>Budget forecasts are generally consistent</w:t>
      </w:r>
      <w:r w:rsidR="00A1572F">
        <w:t xml:space="preserve"> across years</w:t>
      </w:r>
      <w:r w:rsidRPr="00257C98">
        <w:t xml:space="preserve">. </w:t>
      </w:r>
      <w:r w:rsidRPr="00B638A7">
        <w:t>The 2019-20 Budget forecast funding of $3 billion over the then four years. The 20</w:t>
      </w:r>
      <w:r w:rsidR="00B638A7" w:rsidRPr="00B638A7">
        <w:t>20</w:t>
      </w:r>
      <w:r w:rsidRPr="00B638A7">
        <w:t>-2</w:t>
      </w:r>
      <w:r w:rsidR="00B638A7" w:rsidRPr="00B638A7">
        <w:t>1</w:t>
      </w:r>
      <w:r w:rsidRPr="00B638A7">
        <w:t xml:space="preserve"> Budget forecasts a total funding envelope for the capital works program of $</w:t>
      </w:r>
      <w:r w:rsidR="00B638A7" w:rsidRPr="00B638A7">
        <w:t>4.3</w:t>
      </w:r>
      <w:r w:rsidRPr="00B638A7">
        <w:t xml:space="preserve"> billion.</w:t>
      </w:r>
      <w:r w:rsidRPr="00257C98">
        <w:t xml:space="preserve"> It is noted, however, the funding tappers off across the last two out years. The ratcheting up of the capital works program forecasts in the last </w:t>
      </w:r>
      <w:r>
        <w:t>five</w:t>
      </w:r>
      <w:r w:rsidRPr="00257C98">
        <w:t xml:space="preserve"> ACT Budgets is outlined in Figure </w:t>
      </w:r>
      <w:r w:rsidR="006967FF">
        <w:t>21</w:t>
      </w:r>
      <w:r w:rsidRPr="00257C98">
        <w:t xml:space="preserve"> below.</w:t>
      </w:r>
    </w:p>
    <w:p w14:paraId="6490D2B3" w14:textId="22F01477" w:rsidR="001409AB" w:rsidRDefault="001409AB">
      <w:r>
        <w:br w:type="page"/>
      </w:r>
    </w:p>
    <w:p w14:paraId="5D24C0C4" w14:textId="756F0532" w:rsidR="004A4624" w:rsidRDefault="004E0853" w:rsidP="00257C98">
      <w:pPr>
        <w:pStyle w:val="Caption"/>
        <w:spacing w:before="0"/>
      </w:pPr>
      <w:bookmarkStart w:id="151" w:name="_Hlk11010962"/>
      <w:bookmarkStart w:id="152" w:name="_Toc64529113"/>
      <w:r w:rsidRPr="00B638A7">
        <w:lastRenderedPageBreak/>
        <w:t xml:space="preserve">Figure </w:t>
      </w:r>
      <w:r w:rsidR="0028034D" w:rsidRPr="00B638A7">
        <w:rPr>
          <w:noProof/>
        </w:rPr>
        <w:fldChar w:fldCharType="begin"/>
      </w:r>
      <w:r w:rsidR="0028034D" w:rsidRPr="00B638A7">
        <w:rPr>
          <w:noProof/>
        </w:rPr>
        <w:instrText xml:space="preserve"> SEQ Figure \* ARABIC </w:instrText>
      </w:r>
      <w:r w:rsidR="0028034D" w:rsidRPr="00B638A7">
        <w:rPr>
          <w:noProof/>
        </w:rPr>
        <w:fldChar w:fldCharType="separate"/>
      </w:r>
      <w:r w:rsidR="00AB7125">
        <w:rPr>
          <w:noProof/>
        </w:rPr>
        <w:t>21</w:t>
      </w:r>
      <w:r w:rsidR="0028034D" w:rsidRPr="00B638A7">
        <w:rPr>
          <w:noProof/>
        </w:rPr>
        <w:fldChar w:fldCharType="end"/>
      </w:r>
      <w:r w:rsidRPr="00B638A7">
        <w:t>:</w:t>
      </w:r>
      <w:r w:rsidR="00F54076" w:rsidRPr="00B638A7">
        <w:t xml:space="preserve"> Capital Works Program Forecasts</w:t>
      </w:r>
      <w:r w:rsidR="00784303" w:rsidRPr="00B638A7">
        <w:t xml:space="preserve"> – 2016-17 to 202</w:t>
      </w:r>
      <w:r w:rsidR="00B638A7" w:rsidRPr="00B638A7">
        <w:t>3</w:t>
      </w:r>
      <w:r w:rsidR="00784303" w:rsidRPr="00B638A7">
        <w:t>-2</w:t>
      </w:r>
      <w:r w:rsidR="00B638A7" w:rsidRPr="00B638A7">
        <w:t>4</w:t>
      </w:r>
      <w:r w:rsidR="00784303" w:rsidRPr="00B638A7">
        <w:t xml:space="preserve"> ($’000)</w:t>
      </w:r>
      <w:bookmarkEnd w:id="152"/>
    </w:p>
    <w:p w14:paraId="03B971F3" w14:textId="71AB3551" w:rsidR="009446E8" w:rsidRDefault="00B638A7" w:rsidP="003E18ED">
      <w:pPr>
        <w:spacing w:before="0"/>
      </w:pPr>
      <w:r>
        <w:rPr>
          <w:noProof/>
          <w:sz w:val="20"/>
          <w:szCs w:val="20"/>
          <w:lang w:eastAsia="en-AU"/>
        </w:rPr>
        <w:drawing>
          <wp:inline distT="0" distB="0" distL="0" distR="0" wp14:anchorId="302F5CFD" wp14:editId="5D509045">
            <wp:extent cx="5581650" cy="3262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7541" cy="3265756"/>
                    </a:xfrm>
                    <a:prstGeom prst="rect">
                      <a:avLst/>
                    </a:prstGeom>
                    <a:noFill/>
                  </pic:spPr>
                </pic:pic>
              </a:graphicData>
            </a:graphic>
          </wp:inline>
        </w:drawing>
      </w:r>
      <w:r w:rsidR="00220E1A">
        <w:br/>
      </w:r>
      <w:r w:rsidR="00220E1A" w:rsidRPr="0093005A">
        <w:rPr>
          <w:sz w:val="20"/>
          <w:szCs w:val="20"/>
        </w:rPr>
        <w:t xml:space="preserve">Source: ACT Government </w:t>
      </w:r>
      <w:r w:rsidR="0093005A" w:rsidRPr="0093005A">
        <w:rPr>
          <w:noProof/>
          <w:sz w:val="20"/>
          <w:szCs w:val="20"/>
        </w:rPr>
        <w:t>(2016, p. 210; 2017, p. 194; 2018a, p. 202</w:t>
      </w:r>
      <w:r w:rsidR="00257C98">
        <w:rPr>
          <w:noProof/>
          <w:sz w:val="20"/>
          <w:szCs w:val="20"/>
        </w:rPr>
        <w:t xml:space="preserve">, 2019, p. </w:t>
      </w:r>
      <w:r w:rsidR="003E18ED">
        <w:rPr>
          <w:noProof/>
          <w:sz w:val="20"/>
          <w:szCs w:val="20"/>
        </w:rPr>
        <w:t>197</w:t>
      </w:r>
      <w:r w:rsidR="007A3E91">
        <w:rPr>
          <w:noProof/>
          <w:sz w:val="20"/>
          <w:szCs w:val="20"/>
        </w:rPr>
        <w:t>, 2021. p. 177</w:t>
      </w:r>
      <w:r w:rsidR="0093005A" w:rsidRPr="0093005A">
        <w:rPr>
          <w:noProof/>
          <w:sz w:val="20"/>
          <w:szCs w:val="20"/>
        </w:rPr>
        <w:t>)</w:t>
      </w:r>
      <w:r w:rsidR="00296053">
        <w:rPr>
          <w:noProof/>
          <w:sz w:val="20"/>
          <w:szCs w:val="20"/>
        </w:rPr>
        <w:t>.</w:t>
      </w:r>
    </w:p>
    <w:bookmarkEnd w:id="151"/>
    <w:p w14:paraId="09588113" w14:textId="75BFAB1C" w:rsidR="007A3E91" w:rsidRDefault="007A3E91" w:rsidP="007A3E91">
      <w:r>
        <w:t xml:space="preserve">One consistent pattern in the forward estimates for capital works program forecasts is the eventual decrease in spending across the forward years that is never actually realised. The Committee might wish to inquire of officials how far into the future the planning timeframe for the capital works program extends. </w:t>
      </w:r>
    </w:p>
    <w:p w14:paraId="235C77B1" w14:textId="77777777" w:rsidR="007A3E91" w:rsidRDefault="007A3E91" w:rsidP="007A3E91">
      <w:r>
        <w:t>It should be noted, however, the Infrastructure Provisions increase substantially across the four forward years with a total funding envelope of $1.7 billion.</w:t>
      </w:r>
    </w:p>
    <w:p w14:paraId="0978FD72" w14:textId="5A9DA7C0" w:rsidR="0003405B" w:rsidRDefault="003D69D0" w:rsidP="0003405B">
      <w:pPr>
        <w:pStyle w:val="Heading2"/>
        <w:spacing w:after="240"/>
      </w:pPr>
      <w:bookmarkStart w:id="153" w:name="_Toc64529050"/>
      <w:r>
        <w:t>6</w:t>
      </w:r>
      <w:r w:rsidR="0003405B" w:rsidRPr="00AA72EA">
        <w:t>.3</w:t>
      </w:r>
      <w:r w:rsidR="0003405B" w:rsidRPr="00AA72EA">
        <w:tab/>
      </w:r>
      <w:r w:rsidR="0003405B" w:rsidRPr="00454FAF">
        <w:t>Public Private Partnerships</w:t>
      </w:r>
      <w:bookmarkEnd w:id="153"/>
    </w:p>
    <w:p w14:paraId="42E1EB66" w14:textId="08449FCE" w:rsidR="007A3E91" w:rsidRDefault="007A3E91" w:rsidP="007A3E91">
      <w:r>
        <w:t>The infrastructure program outlined in the Budget includes capital components of the ACT’s major public private partnership, Light Rail Stages 1, 2 and 2A</w:t>
      </w:r>
      <w:r w:rsidR="00D839C9">
        <w:t>.</w:t>
      </w:r>
    </w:p>
    <w:p w14:paraId="7010832A" w14:textId="40E03BD4" w:rsidR="007A3E91" w:rsidRPr="008F1D87" w:rsidRDefault="007A3E91" w:rsidP="007A3E91">
      <w:r>
        <w:t xml:space="preserve">The investment associated with these projects is set out in the Table </w:t>
      </w:r>
      <w:r w:rsidR="00317405">
        <w:t>8</w:t>
      </w:r>
      <w:r>
        <w:t xml:space="preserve"> below</w:t>
      </w:r>
      <w:r w:rsidRPr="008F1D87">
        <w:t>.</w:t>
      </w:r>
    </w:p>
    <w:p w14:paraId="4484DDAA" w14:textId="7625C634" w:rsidR="007A3E91" w:rsidRPr="005E0250" w:rsidRDefault="007A3E91" w:rsidP="007A3E91">
      <w:pPr>
        <w:pStyle w:val="Caption"/>
      </w:pPr>
      <w:bookmarkStart w:id="154" w:name="_Hlk64013398"/>
      <w:bookmarkStart w:id="155" w:name="_Toc64529088"/>
      <w:r>
        <w:t xml:space="preserve">Table </w:t>
      </w:r>
      <w:fldSimple w:instr=" SEQ Table \* ARABIC ">
        <w:r w:rsidR="00AB7125">
          <w:rPr>
            <w:noProof/>
          </w:rPr>
          <w:t>8</w:t>
        </w:r>
      </w:fldSimple>
      <w:r>
        <w:t>:</w:t>
      </w:r>
      <w:r w:rsidRPr="005E0250">
        <w:t xml:space="preserve"> Public Private Partnerships – </w:t>
      </w:r>
      <w:r>
        <w:t>Light Rail Stage 1</w:t>
      </w:r>
      <w:r w:rsidRPr="005E0250">
        <w:t xml:space="preserve"> and Light Rail</w:t>
      </w:r>
      <w:r>
        <w:t xml:space="preserve"> </w:t>
      </w:r>
      <w:r w:rsidRPr="005E0250">
        <w:t xml:space="preserve">Stage </w:t>
      </w:r>
      <w:r>
        <w:t>2 and 2A</w:t>
      </w:r>
      <w:r w:rsidRPr="005E0250">
        <w:t xml:space="preserve"> – Capital Expenditure Schedule</w:t>
      </w:r>
      <w:bookmarkEnd w:id="155"/>
    </w:p>
    <w:tbl>
      <w:tblPr>
        <w:tblW w:w="0" w:type="auto"/>
        <w:tblCellMar>
          <w:left w:w="0" w:type="dxa"/>
          <w:right w:w="0" w:type="dxa"/>
        </w:tblCellMar>
        <w:tblLook w:val="04A0" w:firstRow="1" w:lastRow="0" w:firstColumn="1" w:lastColumn="0" w:noHBand="0" w:noVBand="1"/>
      </w:tblPr>
      <w:tblGrid>
        <w:gridCol w:w="2515"/>
        <w:gridCol w:w="1340"/>
        <w:gridCol w:w="1331"/>
        <w:gridCol w:w="1331"/>
        <w:gridCol w:w="1172"/>
        <w:gridCol w:w="1337"/>
      </w:tblGrid>
      <w:tr w:rsidR="007A3E91" w14:paraId="7A3A3D1E" w14:textId="77777777" w:rsidTr="00B638A7">
        <w:trPr>
          <w:trHeight w:val="227"/>
        </w:trPr>
        <w:tc>
          <w:tcPr>
            <w:tcW w:w="2515" w:type="dxa"/>
            <w:tcBorders>
              <w:top w:val="single" w:sz="4" w:space="0" w:color="auto"/>
              <w:left w:val="nil"/>
              <w:bottom w:val="single" w:sz="4" w:space="0" w:color="auto"/>
              <w:right w:val="nil"/>
            </w:tcBorders>
            <w:tcMar>
              <w:top w:w="0" w:type="dxa"/>
              <w:left w:w="108" w:type="dxa"/>
              <w:bottom w:w="0" w:type="dxa"/>
              <w:right w:w="108" w:type="dxa"/>
            </w:tcMar>
            <w:hideMark/>
          </w:tcPr>
          <w:p w14:paraId="3838A2E4" w14:textId="77777777" w:rsidR="007A3E91" w:rsidRDefault="007A3E91" w:rsidP="00B638A7">
            <w:pPr>
              <w:pStyle w:val="BStabletext"/>
            </w:pPr>
            <w:r>
              <w:t>Project</w:t>
            </w:r>
          </w:p>
        </w:tc>
        <w:tc>
          <w:tcPr>
            <w:tcW w:w="1340" w:type="dxa"/>
            <w:tcBorders>
              <w:top w:val="single" w:sz="4" w:space="0" w:color="auto"/>
              <w:left w:val="nil"/>
              <w:bottom w:val="single" w:sz="4" w:space="0" w:color="auto"/>
              <w:right w:val="nil"/>
            </w:tcBorders>
            <w:tcMar>
              <w:top w:w="0" w:type="dxa"/>
              <w:left w:w="108" w:type="dxa"/>
              <w:bottom w:w="0" w:type="dxa"/>
              <w:right w:w="108" w:type="dxa"/>
            </w:tcMar>
            <w:hideMark/>
          </w:tcPr>
          <w:p w14:paraId="6FCDE063" w14:textId="77777777" w:rsidR="007A3E91" w:rsidRDefault="007A3E91" w:rsidP="00B638A7">
            <w:pPr>
              <w:pStyle w:val="BStablefigures"/>
              <w:rPr>
                <w:rFonts w:eastAsia="Calibri"/>
              </w:rPr>
            </w:pPr>
            <w:r>
              <w:rPr>
                <w:rFonts w:eastAsia="Calibri"/>
              </w:rPr>
              <w:t>2020-21</w:t>
            </w:r>
          </w:p>
          <w:p w14:paraId="482634D1" w14:textId="77777777" w:rsidR="007A3E91" w:rsidRDefault="007A3E91" w:rsidP="00B638A7">
            <w:pPr>
              <w:pStyle w:val="BStablefigures"/>
              <w:rPr>
                <w:rFonts w:eastAsia="Calibri"/>
              </w:rPr>
            </w:pPr>
            <w:r>
              <w:rPr>
                <w:rFonts w:eastAsia="Calibri"/>
              </w:rPr>
              <w:t>Forecast</w:t>
            </w:r>
          </w:p>
          <w:p w14:paraId="7CC523B1" w14:textId="77777777" w:rsidR="007A3E91" w:rsidRDefault="007A3E91" w:rsidP="00B638A7">
            <w:pPr>
              <w:pStyle w:val="BStablefigures"/>
              <w:rPr>
                <w:rFonts w:eastAsia="Calibri"/>
              </w:rPr>
            </w:pPr>
            <w:r>
              <w:rPr>
                <w:rFonts w:eastAsia="Calibri"/>
              </w:rPr>
              <w:t>$’000</w:t>
            </w:r>
          </w:p>
        </w:tc>
        <w:tc>
          <w:tcPr>
            <w:tcW w:w="1331" w:type="dxa"/>
            <w:tcBorders>
              <w:top w:val="single" w:sz="4" w:space="0" w:color="auto"/>
              <w:left w:val="nil"/>
              <w:bottom w:val="single" w:sz="4" w:space="0" w:color="auto"/>
              <w:right w:val="nil"/>
            </w:tcBorders>
            <w:tcMar>
              <w:top w:w="0" w:type="dxa"/>
              <w:left w:w="108" w:type="dxa"/>
              <w:bottom w:w="0" w:type="dxa"/>
              <w:right w:w="108" w:type="dxa"/>
            </w:tcMar>
            <w:hideMark/>
          </w:tcPr>
          <w:p w14:paraId="31F7417A" w14:textId="77777777" w:rsidR="007A3E91" w:rsidRDefault="007A3E91" w:rsidP="00B638A7">
            <w:pPr>
              <w:pStyle w:val="BStablefigures"/>
              <w:rPr>
                <w:rFonts w:eastAsia="Calibri"/>
              </w:rPr>
            </w:pPr>
            <w:r>
              <w:rPr>
                <w:rFonts w:eastAsia="Calibri"/>
              </w:rPr>
              <w:t>2021-22</w:t>
            </w:r>
          </w:p>
          <w:p w14:paraId="7597A8AE" w14:textId="77777777" w:rsidR="007A3E91" w:rsidRDefault="007A3E91" w:rsidP="00B638A7">
            <w:pPr>
              <w:pStyle w:val="BStablefigures"/>
              <w:rPr>
                <w:rFonts w:eastAsia="Calibri"/>
              </w:rPr>
            </w:pPr>
            <w:r>
              <w:rPr>
                <w:rFonts w:eastAsia="Calibri"/>
              </w:rPr>
              <w:t>Forecast</w:t>
            </w:r>
          </w:p>
          <w:p w14:paraId="562F005D" w14:textId="77777777" w:rsidR="007A3E91" w:rsidRDefault="007A3E91" w:rsidP="00B638A7">
            <w:pPr>
              <w:pStyle w:val="BStablefigures"/>
              <w:rPr>
                <w:rFonts w:eastAsia="Calibri"/>
              </w:rPr>
            </w:pPr>
            <w:r>
              <w:rPr>
                <w:rFonts w:eastAsia="Calibri"/>
              </w:rPr>
              <w:t>$’000</w:t>
            </w:r>
          </w:p>
        </w:tc>
        <w:tc>
          <w:tcPr>
            <w:tcW w:w="1331" w:type="dxa"/>
            <w:tcBorders>
              <w:top w:val="single" w:sz="4" w:space="0" w:color="auto"/>
              <w:left w:val="nil"/>
              <w:bottom w:val="single" w:sz="4" w:space="0" w:color="auto"/>
              <w:right w:val="nil"/>
            </w:tcBorders>
            <w:tcMar>
              <w:top w:w="0" w:type="dxa"/>
              <w:left w:w="108" w:type="dxa"/>
              <w:bottom w:w="0" w:type="dxa"/>
              <w:right w:w="108" w:type="dxa"/>
            </w:tcMar>
            <w:hideMark/>
          </w:tcPr>
          <w:p w14:paraId="642DD204" w14:textId="77777777" w:rsidR="007A3E91" w:rsidRDefault="007A3E91" w:rsidP="00B638A7">
            <w:pPr>
              <w:pStyle w:val="BStablefigures"/>
              <w:rPr>
                <w:rFonts w:eastAsia="Calibri"/>
              </w:rPr>
            </w:pPr>
            <w:r>
              <w:rPr>
                <w:rFonts w:eastAsia="Calibri"/>
              </w:rPr>
              <w:t>2022-23</w:t>
            </w:r>
          </w:p>
          <w:p w14:paraId="4CDEC250" w14:textId="77777777" w:rsidR="007A3E91" w:rsidRDefault="007A3E91" w:rsidP="00B638A7">
            <w:pPr>
              <w:pStyle w:val="BStablefigures"/>
              <w:rPr>
                <w:rFonts w:eastAsia="Calibri"/>
              </w:rPr>
            </w:pPr>
            <w:r>
              <w:rPr>
                <w:rFonts w:eastAsia="Calibri"/>
              </w:rPr>
              <w:t>Forecast</w:t>
            </w:r>
          </w:p>
          <w:p w14:paraId="18D14F41" w14:textId="77777777" w:rsidR="007A3E91" w:rsidRDefault="007A3E91" w:rsidP="00B638A7">
            <w:pPr>
              <w:pStyle w:val="BStablefigures"/>
              <w:rPr>
                <w:rFonts w:eastAsia="Calibri"/>
              </w:rPr>
            </w:pPr>
            <w:r>
              <w:rPr>
                <w:rFonts w:eastAsia="Calibri"/>
              </w:rPr>
              <w:t>$’000</w:t>
            </w:r>
          </w:p>
        </w:tc>
        <w:tc>
          <w:tcPr>
            <w:tcW w:w="1172" w:type="dxa"/>
            <w:tcBorders>
              <w:top w:val="single" w:sz="4" w:space="0" w:color="auto"/>
              <w:left w:val="nil"/>
              <w:bottom w:val="single" w:sz="4" w:space="0" w:color="auto"/>
              <w:right w:val="nil"/>
            </w:tcBorders>
            <w:hideMark/>
          </w:tcPr>
          <w:p w14:paraId="30DA4270" w14:textId="77777777" w:rsidR="007A3E91" w:rsidRDefault="007A3E91" w:rsidP="00B638A7">
            <w:pPr>
              <w:pStyle w:val="BStablefigures"/>
              <w:rPr>
                <w:rFonts w:eastAsia="Calibri"/>
              </w:rPr>
            </w:pPr>
            <w:r>
              <w:rPr>
                <w:rFonts w:eastAsia="Calibri"/>
              </w:rPr>
              <w:t>2023-24</w:t>
            </w:r>
          </w:p>
          <w:p w14:paraId="403383A7" w14:textId="77777777" w:rsidR="007A3E91" w:rsidRDefault="007A3E91" w:rsidP="00B638A7">
            <w:pPr>
              <w:pStyle w:val="BStablefigures"/>
              <w:rPr>
                <w:rFonts w:eastAsia="Calibri"/>
              </w:rPr>
            </w:pPr>
            <w:r>
              <w:rPr>
                <w:rFonts w:eastAsia="Calibri"/>
              </w:rPr>
              <w:t>Forecast</w:t>
            </w:r>
          </w:p>
          <w:p w14:paraId="134E63A7" w14:textId="77777777" w:rsidR="007A3E91" w:rsidRDefault="007A3E91" w:rsidP="00B638A7">
            <w:pPr>
              <w:pStyle w:val="BStablefigures"/>
              <w:rPr>
                <w:rFonts w:eastAsia="Calibri"/>
              </w:rPr>
            </w:pPr>
            <w:r>
              <w:rPr>
                <w:rFonts w:eastAsia="Calibri"/>
              </w:rPr>
              <w:t>$’000</w:t>
            </w:r>
          </w:p>
        </w:tc>
        <w:tc>
          <w:tcPr>
            <w:tcW w:w="1337" w:type="dxa"/>
            <w:tcBorders>
              <w:top w:val="single" w:sz="4" w:space="0" w:color="auto"/>
              <w:left w:val="nil"/>
              <w:bottom w:val="single" w:sz="4" w:space="0" w:color="auto"/>
              <w:right w:val="nil"/>
            </w:tcBorders>
            <w:tcMar>
              <w:top w:w="0" w:type="dxa"/>
              <w:left w:w="108" w:type="dxa"/>
              <w:bottom w:w="0" w:type="dxa"/>
              <w:right w:w="108" w:type="dxa"/>
            </w:tcMar>
          </w:tcPr>
          <w:p w14:paraId="4151CA2C" w14:textId="77777777" w:rsidR="007A3E91" w:rsidRDefault="007A3E91" w:rsidP="00B638A7">
            <w:pPr>
              <w:pStyle w:val="BStablefigures"/>
              <w:rPr>
                <w:rFonts w:eastAsia="Calibri"/>
                <w:lang w:val="en-AU"/>
              </w:rPr>
            </w:pPr>
            <w:r>
              <w:rPr>
                <w:rFonts w:eastAsia="Calibri"/>
              </w:rPr>
              <w:t>Total</w:t>
            </w:r>
          </w:p>
          <w:p w14:paraId="79C5BEEA" w14:textId="77777777" w:rsidR="007A3E91" w:rsidRDefault="007A3E91" w:rsidP="00B638A7">
            <w:pPr>
              <w:pStyle w:val="BStablefigures"/>
              <w:rPr>
                <w:rFonts w:eastAsia="Calibri"/>
              </w:rPr>
            </w:pPr>
          </w:p>
          <w:p w14:paraId="323A1B68" w14:textId="77777777" w:rsidR="007A3E91" w:rsidRDefault="007A3E91" w:rsidP="00B638A7">
            <w:pPr>
              <w:pStyle w:val="BStablefigures"/>
              <w:rPr>
                <w:rFonts w:eastAsia="Calibri"/>
              </w:rPr>
            </w:pPr>
            <w:r>
              <w:rPr>
                <w:rFonts w:eastAsia="Calibri"/>
              </w:rPr>
              <w:t>$’000</w:t>
            </w:r>
          </w:p>
        </w:tc>
      </w:tr>
      <w:tr w:rsidR="007A3E91" w14:paraId="541D64CC" w14:textId="77777777" w:rsidTr="00B638A7">
        <w:trPr>
          <w:trHeight w:val="227"/>
        </w:trPr>
        <w:tc>
          <w:tcPr>
            <w:tcW w:w="2515" w:type="dxa"/>
            <w:tcBorders>
              <w:top w:val="single" w:sz="4" w:space="0" w:color="auto"/>
              <w:left w:val="nil"/>
              <w:bottom w:val="nil"/>
              <w:right w:val="nil"/>
            </w:tcBorders>
            <w:tcMar>
              <w:top w:w="0" w:type="dxa"/>
              <w:left w:w="108" w:type="dxa"/>
              <w:bottom w:w="0" w:type="dxa"/>
              <w:right w:w="108" w:type="dxa"/>
            </w:tcMar>
            <w:hideMark/>
          </w:tcPr>
          <w:p w14:paraId="2747AE06" w14:textId="77777777" w:rsidR="007A3E91" w:rsidRDefault="007A3E91" w:rsidP="00B638A7">
            <w:pPr>
              <w:pStyle w:val="BStabletextunbold"/>
            </w:pPr>
            <w:r>
              <w:rPr>
                <w:lang w:eastAsia="en-AU"/>
              </w:rPr>
              <w:t xml:space="preserve">Light Rail Stage 1 </w:t>
            </w:r>
          </w:p>
        </w:tc>
        <w:tc>
          <w:tcPr>
            <w:tcW w:w="1340" w:type="dxa"/>
            <w:tcBorders>
              <w:top w:val="single" w:sz="4" w:space="0" w:color="auto"/>
              <w:left w:val="nil"/>
              <w:bottom w:val="nil"/>
              <w:right w:val="nil"/>
            </w:tcBorders>
            <w:tcMar>
              <w:top w:w="0" w:type="dxa"/>
              <w:left w:w="108" w:type="dxa"/>
              <w:bottom w:w="0" w:type="dxa"/>
              <w:right w:w="108" w:type="dxa"/>
            </w:tcMar>
            <w:hideMark/>
          </w:tcPr>
          <w:p w14:paraId="03EBD50E" w14:textId="77777777" w:rsidR="007A3E91" w:rsidRDefault="007A3E91" w:rsidP="00B638A7">
            <w:pPr>
              <w:pStyle w:val="BStablefiguresunbold"/>
              <w:rPr>
                <w:rFonts w:eastAsia="Calibri"/>
                <w:lang w:eastAsia="en-AU"/>
              </w:rPr>
            </w:pPr>
            <w:r>
              <w:rPr>
                <w:rFonts w:eastAsia="Calibri"/>
                <w:lang w:eastAsia="en-AU"/>
              </w:rPr>
              <w:t>12,022</w:t>
            </w:r>
          </w:p>
        </w:tc>
        <w:tc>
          <w:tcPr>
            <w:tcW w:w="1331" w:type="dxa"/>
            <w:tcBorders>
              <w:top w:val="single" w:sz="4" w:space="0" w:color="auto"/>
              <w:left w:val="nil"/>
              <w:bottom w:val="nil"/>
              <w:right w:val="nil"/>
            </w:tcBorders>
            <w:tcMar>
              <w:top w:w="0" w:type="dxa"/>
              <w:left w:w="108" w:type="dxa"/>
              <w:bottom w:w="0" w:type="dxa"/>
              <w:right w:w="108" w:type="dxa"/>
            </w:tcMar>
            <w:hideMark/>
          </w:tcPr>
          <w:p w14:paraId="09592865" w14:textId="77777777" w:rsidR="007A3E91" w:rsidRDefault="007A3E91" w:rsidP="00B638A7">
            <w:pPr>
              <w:pStyle w:val="BStablefiguresunbold"/>
              <w:rPr>
                <w:rFonts w:eastAsia="Calibri"/>
                <w:lang w:eastAsia="en-AU"/>
              </w:rPr>
            </w:pPr>
            <w:r>
              <w:rPr>
                <w:rFonts w:eastAsia="Calibri"/>
                <w:lang w:eastAsia="en-AU"/>
              </w:rPr>
              <w:t>1,514</w:t>
            </w:r>
          </w:p>
        </w:tc>
        <w:tc>
          <w:tcPr>
            <w:tcW w:w="1331" w:type="dxa"/>
            <w:tcBorders>
              <w:top w:val="single" w:sz="4" w:space="0" w:color="auto"/>
              <w:left w:val="nil"/>
              <w:bottom w:val="nil"/>
              <w:right w:val="nil"/>
            </w:tcBorders>
            <w:tcMar>
              <w:top w:w="0" w:type="dxa"/>
              <w:left w:w="108" w:type="dxa"/>
              <w:bottom w:w="0" w:type="dxa"/>
              <w:right w:w="108" w:type="dxa"/>
            </w:tcMar>
            <w:hideMark/>
          </w:tcPr>
          <w:p w14:paraId="3C6F67E9" w14:textId="77777777" w:rsidR="007A3E91" w:rsidRDefault="007A3E91" w:rsidP="00B638A7">
            <w:pPr>
              <w:pStyle w:val="BStablefiguresunbold"/>
              <w:rPr>
                <w:rFonts w:eastAsia="Calibri"/>
                <w:lang w:eastAsia="en-AU"/>
              </w:rPr>
            </w:pPr>
            <w:r>
              <w:rPr>
                <w:rFonts w:eastAsia="Calibri"/>
                <w:lang w:eastAsia="en-AU"/>
              </w:rPr>
              <w:t>0</w:t>
            </w:r>
          </w:p>
        </w:tc>
        <w:tc>
          <w:tcPr>
            <w:tcW w:w="1172" w:type="dxa"/>
            <w:tcBorders>
              <w:top w:val="single" w:sz="4" w:space="0" w:color="auto"/>
              <w:left w:val="nil"/>
              <w:bottom w:val="nil"/>
              <w:right w:val="nil"/>
            </w:tcBorders>
            <w:hideMark/>
          </w:tcPr>
          <w:p w14:paraId="18F2187C" w14:textId="77777777" w:rsidR="007A3E91" w:rsidRDefault="007A3E91" w:rsidP="00B638A7">
            <w:pPr>
              <w:pStyle w:val="BStablefiguresunbold"/>
              <w:rPr>
                <w:rFonts w:eastAsia="Calibri"/>
                <w:lang w:eastAsia="en-AU"/>
              </w:rPr>
            </w:pPr>
            <w:r>
              <w:rPr>
                <w:rFonts w:eastAsia="Calibri"/>
                <w:lang w:eastAsia="en-AU"/>
              </w:rPr>
              <w:t>0</w:t>
            </w:r>
          </w:p>
        </w:tc>
        <w:tc>
          <w:tcPr>
            <w:tcW w:w="1337" w:type="dxa"/>
            <w:tcBorders>
              <w:top w:val="single" w:sz="4" w:space="0" w:color="auto"/>
              <w:left w:val="nil"/>
              <w:bottom w:val="nil"/>
              <w:right w:val="nil"/>
            </w:tcBorders>
            <w:tcMar>
              <w:top w:w="0" w:type="dxa"/>
              <w:left w:w="108" w:type="dxa"/>
              <w:bottom w:w="0" w:type="dxa"/>
              <w:right w:w="108" w:type="dxa"/>
            </w:tcMar>
            <w:hideMark/>
          </w:tcPr>
          <w:p w14:paraId="1AA2016D" w14:textId="77777777" w:rsidR="007A3E91" w:rsidRDefault="007A3E91" w:rsidP="00B638A7">
            <w:pPr>
              <w:pStyle w:val="BStablefiguresunbold"/>
              <w:rPr>
                <w:rFonts w:eastAsia="Calibri"/>
                <w:lang w:eastAsia="en-AU"/>
              </w:rPr>
            </w:pPr>
            <w:r>
              <w:rPr>
                <w:rFonts w:eastAsia="Calibri"/>
                <w:lang w:eastAsia="en-AU"/>
              </w:rPr>
              <w:t>13,536</w:t>
            </w:r>
          </w:p>
        </w:tc>
      </w:tr>
      <w:tr w:rsidR="007A3E91" w14:paraId="6B4EEE45" w14:textId="77777777" w:rsidTr="00B638A7">
        <w:trPr>
          <w:trHeight w:val="227"/>
        </w:trPr>
        <w:tc>
          <w:tcPr>
            <w:tcW w:w="2515" w:type="dxa"/>
            <w:tcBorders>
              <w:top w:val="nil"/>
              <w:left w:val="nil"/>
              <w:bottom w:val="single" w:sz="4" w:space="0" w:color="auto"/>
              <w:right w:val="nil"/>
            </w:tcBorders>
            <w:tcMar>
              <w:top w:w="0" w:type="dxa"/>
              <w:left w:w="108" w:type="dxa"/>
              <w:bottom w:w="0" w:type="dxa"/>
              <w:right w:w="108" w:type="dxa"/>
            </w:tcMar>
            <w:hideMark/>
          </w:tcPr>
          <w:p w14:paraId="06B0DAC7" w14:textId="77777777" w:rsidR="007A3E91" w:rsidRDefault="007A3E91" w:rsidP="00B638A7">
            <w:pPr>
              <w:pStyle w:val="BStabletextunbold"/>
              <w:rPr>
                <w:lang w:eastAsia="en-AU"/>
              </w:rPr>
            </w:pPr>
            <w:r>
              <w:rPr>
                <w:lang w:eastAsia="en-AU"/>
              </w:rPr>
              <w:t>Light Rail Stage 2 and 2A</w:t>
            </w:r>
          </w:p>
        </w:tc>
        <w:tc>
          <w:tcPr>
            <w:tcW w:w="1340" w:type="dxa"/>
            <w:tcBorders>
              <w:top w:val="nil"/>
              <w:left w:val="nil"/>
              <w:bottom w:val="single" w:sz="4" w:space="0" w:color="auto"/>
              <w:right w:val="nil"/>
            </w:tcBorders>
            <w:tcMar>
              <w:top w:w="0" w:type="dxa"/>
              <w:left w:w="108" w:type="dxa"/>
              <w:bottom w:w="0" w:type="dxa"/>
              <w:right w:w="108" w:type="dxa"/>
            </w:tcMar>
            <w:hideMark/>
          </w:tcPr>
          <w:p w14:paraId="49C5B0A6" w14:textId="77777777" w:rsidR="007A3E91" w:rsidRDefault="007A3E91" w:rsidP="00B638A7">
            <w:pPr>
              <w:pStyle w:val="BStablefiguresunbold"/>
              <w:rPr>
                <w:rFonts w:eastAsia="Calibri"/>
                <w:lang w:eastAsia="en-AU"/>
              </w:rPr>
            </w:pPr>
            <w:r>
              <w:rPr>
                <w:rFonts w:eastAsia="Calibri"/>
                <w:lang w:eastAsia="en-AU"/>
              </w:rPr>
              <w:t>28,732</w:t>
            </w:r>
          </w:p>
        </w:tc>
        <w:tc>
          <w:tcPr>
            <w:tcW w:w="1331" w:type="dxa"/>
            <w:tcBorders>
              <w:top w:val="nil"/>
              <w:left w:val="nil"/>
              <w:bottom w:val="single" w:sz="4" w:space="0" w:color="auto"/>
              <w:right w:val="nil"/>
            </w:tcBorders>
            <w:tcMar>
              <w:top w:w="0" w:type="dxa"/>
              <w:left w:w="108" w:type="dxa"/>
              <w:bottom w:w="0" w:type="dxa"/>
              <w:right w:w="108" w:type="dxa"/>
            </w:tcMar>
            <w:hideMark/>
          </w:tcPr>
          <w:p w14:paraId="4016BE86" w14:textId="77777777" w:rsidR="007A3E91" w:rsidRDefault="007A3E91" w:rsidP="00B638A7">
            <w:pPr>
              <w:pStyle w:val="BStablefiguresunbold"/>
              <w:rPr>
                <w:rFonts w:eastAsia="Calibri"/>
                <w:lang w:eastAsia="en-AU"/>
              </w:rPr>
            </w:pPr>
            <w:r>
              <w:rPr>
                <w:rFonts w:eastAsia="Calibri"/>
                <w:lang w:eastAsia="en-AU"/>
              </w:rPr>
              <w:t>1,798</w:t>
            </w:r>
          </w:p>
        </w:tc>
        <w:tc>
          <w:tcPr>
            <w:tcW w:w="1331" w:type="dxa"/>
            <w:tcBorders>
              <w:top w:val="nil"/>
              <w:left w:val="nil"/>
              <w:bottom w:val="single" w:sz="4" w:space="0" w:color="auto"/>
              <w:right w:val="nil"/>
            </w:tcBorders>
            <w:tcMar>
              <w:top w:w="0" w:type="dxa"/>
              <w:left w:w="108" w:type="dxa"/>
              <w:bottom w:w="0" w:type="dxa"/>
              <w:right w:w="108" w:type="dxa"/>
            </w:tcMar>
            <w:hideMark/>
          </w:tcPr>
          <w:p w14:paraId="4397FBF0" w14:textId="77777777" w:rsidR="007A3E91" w:rsidRDefault="007A3E91" w:rsidP="00B638A7">
            <w:pPr>
              <w:pStyle w:val="BStablefiguresunbold"/>
              <w:rPr>
                <w:rFonts w:eastAsia="Calibri"/>
                <w:lang w:eastAsia="en-AU"/>
              </w:rPr>
            </w:pPr>
            <w:r>
              <w:rPr>
                <w:rFonts w:eastAsia="Calibri"/>
                <w:lang w:eastAsia="en-AU"/>
              </w:rPr>
              <w:t>0</w:t>
            </w:r>
          </w:p>
        </w:tc>
        <w:tc>
          <w:tcPr>
            <w:tcW w:w="1172" w:type="dxa"/>
            <w:tcBorders>
              <w:top w:val="nil"/>
              <w:left w:val="nil"/>
              <w:bottom w:val="single" w:sz="4" w:space="0" w:color="auto"/>
              <w:right w:val="nil"/>
            </w:tcBorders>
            <w:hideMark/>
          </w:tcPr>
          <w:p w14:paraId="38A8F730" w14:textId="77777777" w:rsidR="007A3E91" w:rsidRDefault="007A3E91" w:rsidP="00B638A7">
            <w:pPr>
              <w:pStyle w:val="BStablefiguresunbold"/>
              <w:rPr>
                <w:rFonts w:eastAsia="Calibri"/>
                <w:lang w:eastAsia="en-AU"/>
              </w:rPr>
            </w:pPr>
            <w:r>
              <w:rPr>
                <w:rFonts w:eastAsia="Calibri"/>
                <w:lang w:eastAsia="en-AU"/>
              </w:rPr>
              <w:t>0</w:t>
            </w:r>
          </w:p>
        </w:tc>
        <w:tc>
          <w:tcPr>
            <w:tcW w:w="1337" w:type="dxa"/>
            <w:tcBorders>
              <w:top w:val="nil"/>
              <w:left w:val="nil"/>
              <w:bottom w:val="single" w:sz="4" w:space="0" w:color="auto"/>
              <w:right w:val="nil"/>
            </w:tcBorders>
            <w:tcMar>
              <w:top w:w="0" w:type="dxa"/>
              <w:left w:w="108" w:type="dxa"/>
              <w:bottom w:w="0" w:type="dxa"/>
              <w:right w:w="108" w:type="dxa"/>
            </w:tcMar>
            <w:hideMark/>
          </w:tcPr>
          <w:p w14:paraId="451FAD7A" w14:textId="77777777" w:rsidR="007A3E91" w:rsidRDefault="007A3E91" w:rsidP="00B638A7">
            <w:pPr>
              <w:pStyle w:val="BStablefiguresunbold"/>
              <w:rPr>
                <w:rFonts w:eastAsia="Calibri"/>
                <w:lang w:eastAsia="en-AU"/>
              </w:rPr>
            </w:pPr>
            <w:r>
              <w:rPr>
                <w:rFonts w:eastAsia="Calibri"/>
                <w:lang w:eastAsia="en-AU"/>
              </w:rPr>
              <w:t>30,530</w:t>
            </w:r>
          </w:p>
        </w:tc>
      </w:tr>
      <w:tr w:rsidR="007A3E91" w14:paraId="55496636" w14:textId="77777777" w:rsidTr="00B638A7">
        <w:trPr>
          <w:trHeight w:val="227"/>
        </w:trPr>
        <w:tc>
          <w:tcPr>
            <w:tcW w:w="2515" w:type="dxa"/>
            <w:tcBorders>
              <w:top w:val="single" w:sz="4" w:space="0" w:color="auto"/>
              <w:left w:val="nil"/>
              <w:bottom w:val="single" w:sz="4" w:space="0" w:color="auto"/>
              <w:right w:val="nil"/>
            </w:tcBorders>
            <w:tcMar>
              <w:top w:w="0" w:type="dxa"/>
              <w:left w:w="108" w:type="dxa"/>
              <w:bottom w:w="0" w:type="dxa"/>
              <w:right w:w="108" w:type="dxa"/>
            </w:tcMar>
            <w:hideMark/>
          </w:tcPr>
          <w:p w14:paraId="4E17BBCF" w14:textId="77777777" w:rsidR="007A3E91" w:rsidRDefault="007A3E91" w:rsidP="00B638A7">
            <w:pPr>
              <w:pStyle w:val="BStabletext"/>
            </w:pPr>
            <w:r>
              <w:t>Total</w:t>
            </w:r>
          </w:p>
        </w:tc>
        <w:tc>
          <w:tcPr>
            <w:tcW w:w="1340" w:type="dxa"/>
            <w:tcBorders>
              <w:top w:val="single" w:sz="4" w:space="0" w:color="auto"/>
              <w:left w:val="nil"/>
              <w:bottom w:val="single" w:sz="4" w:space="0" w:color="auto"/>
              <w:right w:val="nil"/>
            </w:tcBorders>
            <w:tcMar>
              <w:top w:w="0" w:type="dxa"/>
              <w:left w:w="108" w:type="dxa"/>
              <w:bottom w:w="0" w:type="dxa"/>
              <w:right w:w="108" w:type="dxa"/>
            </w:tcMar>
            <w:hideMark/>
          </w:tcPr>
          <w:p w14:paraId="7F8CE004" w14:textId="77777777" w:rsidR="007A3E91" w:rsidRDefault="007A3E91" w:rsidP="00B638A7">
            <w:pPr>
              <w:pStyle w:val="BStablefigures"/>
              <w:rPr>
                <w:rFonts w:eastAsia="Calibri"/>
              </w:rPr>
            </w:pPr>
            <w:r>
              <w:rPr>
                <w:rFonts w:eastAsia="Calibri"/>
              </w:rPr>
              <w:t>40,754</w:t>
            </w:r>
          </w:p>
        </w:tc>
        <w:tc>
          <w:tcPr>
            <w:tcW w:w="1331" w:type="dxa"/>
            <w:tcBorders>
              <w:top w:val="single" w:sz="4" w:space="0" w:color="auto"/>
              <w:left w:val="nil"/>
              <w:bottom w:val="single" w:sz="4" w:space="0" w:color="auto"/>
              <w:right w:val="nil"/>
            </w:tcBorders>
            <w:tcMar>
              <w:top w:w="0" w:type="dxa"/>
              <w:left w:w="108" w:type="dxa"/>
              <w:bottom w:w="0" w:type="dxa"/>
              <w:right w:w="108" w:type="dxa"/>
            </w:tcMar>
            <w:hideMark/>
          </w:tcPr>
          <w:p w14:paraId="5A7B0844" w14:textId="77777777" w:rsidR="007A3E91" w:rsidRDefault="007A3E91" w:rsidP="00B638A7">
            <w:pPr>
              <w:pStyle w:val="BStablefigures"/>
              <w:rPr>
                <w:rFonts w:eastAsia="Calibri"/>
              </w:rPr>
            </w:pPr>
            <w:r>
              <w:rPr>
                <w:rFonts w:eastAsia="Calibri"/>
              </w:rPr>
              <w:t>3,312</w:t>
            </w:r>
          </w:p>
        </w:tc>
        <w:tc>
          <w:tcPr>
            <w:tcW w:w="1331" w:type="dxa"/>
            <w:tcBorders>
              <w:top w:val="single" w:sz="4" w:space="0" w:color="auto"/>
              <w:left w:val="nil"/>
              <w:bottom w:val="single" w:sz="4" w:space="0" w:color="auto"/>
              <w:right w:val="nil"/>
            </w:tcBorders>
            <w:tcMar>
              <w:top w:w="0" w:type="dxa"/>
              <w:left w:w="108" w:type="dxa"/>
              <w:bottom w:w="0" w:type="dxa"/>
              <w:right w:w="108" w:type="dxa"/>
            </w:tcMar>
            <w:hideMark/>
          </w:tcPr>
          <w:p w14:paraId="3CF8FAA3" w14:textId="77777777" w:rsidR="007A3E91" w:rsidRDefault="007A3E91" w:rsidP="00B638A7">
            <w:pPr>
              <w:pStyle w:val="BStablefigures"/>
              <w:rPr>
                <w:rFonts w:eastAsia="Calibri"/>
              </w:rPr>
            </w:pPr>
            <w:r>
              <w:rPr>
                <w:rFonts w:eastAsia="Calibri"/>
              </w:rPr>
              <w:t>0</w:t>
            </w:r>
          </w:p>
        </w:tc>
        <w:tc>
          <w:tcPr>
            <w:tcW w:w="1172" w:type="dxa"/>
            <w:tcBorders>
              <w:top w:val="single" w:sz="4" w:space="0" w:color="auto"/>
              <w:left w:val="nil"/>
              <w:bottom w:val="single" w:sz="4" w:space="0" w:color="auto"/>
              <w:right w:val="nil"/>
            </w:tcBorders>
            <w:hideMark/>
          </w:tcPr>
          <w:p w14:paraId="36B40234" w14:textId="77777777" w:rsidR="007A3E91" w:rsidRDefault="007A3E91" w:rsidP="00B638A7">
            <w:pPr>
              <w:pStyle w:val="BStablefigures"/>
              <w:rPr>
                <w:rFonts w:eastAsia="Calibri"/>
              </w:rPr>
            </w:pPr>
            <w:r>
              <w:rPr>
                <w:rFonts w:eastAsia="Calibri"/>
              </w:rPr>
              <w:t>0</w:t>
            </w:r>
          </w:p>
        </w:tc>
        <w:tc>
          <w:tcPr>
            <w:tcW w:w="1337" w:type="dxa"/>
            <w:tcBorders>
              <w:top w:val="single" w:sz="4" w:space="0" w:color="auto"/>
              <w:left w:val="nil"/>
              <w:bottom w:val="single" w:sz="4" w:space="0" w:color="auto"/>
              <w:right w:val="nil"/>
            </w:tcBorders>
            <w:tcMar>
              <w:top w:w="0" w:type="dxa"/>
              <w:left w:w="108" w:type="dxa"/>
              <w:bottom w:w="0" w:type="dxa"/>
              <w:right w:w="108" w:type="dxa"/>
            </w:tcMar>
            <w:hideMark/>
          </w:tcPr>
          <w:p w14:paraId="32C54734" w14:textId="77777777" w:rsidR="007A3E91" w:rsidRDefault="007A3E91" w:rsidP="00B638A7">
            <w:pPr>
              <w:pStyle w:val="BStablefigures"/>
              <w:rPr>
                <w:rFonts w:eastAsia="Calibri"/>
              </w:rPr>
            </w:pPr>
            <w:r>
              <w:rPr>
                <w:rFonts w:eastAsia="Calibri"/>
              </w:rPr>
              <w:t>44,066</w:t>
            </w:r>
          </w:p>
        </w:tc>
      </w:tr>
    </w:tbl>
    <w:p w14:paraId="7BE31B07" w14:textId="2A976775" w:rsidR="007A3E91" w:rsidRPr="00C32D1E" w:rsidRDefault="007A3E91" w:rsidP="007A3E91">
      <w:pPr>
        <w:spacing w:before="0"/>
        <w:rPr>
          <w:sz w:val="20"/>
          <w:szCs w:val="20"/>
        </w:rPr>
      </w:pPr>
      <w:r w:rsidRPr="00FB3D1C">
        <w:rPr>
          <w:sz w:val="20"/>
          <w:szCs w:val="20"/>
        </w:rPr>
        <w:t xml:space="preserve">Source: ACT Government </w:t>
      </w:r>
      <w:sdt>
        <w:sdtPr>
          <w:rPr>
            <w:sz w:val="20"/>
            <w:szCs w:val="20"/>
          </w:rPr>
          <w:id w:val="541785628"/>
          <w:citation/>
        </w:sdtPr>
        <w:sdtContent>
          <w:r w:rsidR="00FB3D1C">
            <w:rPr>
              <w:sz w:val="20"/>
              <w:szCs w:val="20"/>
            </w:rPr>
            <w:fldChar w:fldCharType="begin"/>
          </w:r>
          <w:r w:rsidR="00FB3D1C">
            <w:rPr>
              <w:sz w:val="20"/>
              <w:szCs w:val="20"/>
            </w:rPr>
            <w:instrText xml:space="preserve">CITATION ACT1a \p 9 \n  \t  \l 3081 </w:instrText>
          </w:r>
          <w:r w:rsidR="00FB3D1C">
            <w:rPr>
              <w:sz w:val="20"/>
              <w:szCs w:val="20"/>
            </w:rPr>
            <w:fldChar w:fldCharType="separate"/>
          </w:r>
          <w:r w:rsidR="00FB3D1C" w:rsidRPr="00FB3D1C">
            <w:rPr>
              <w:noProof/>
              <w:sz w:val="20"/>
              <w:szCs w:val="20"/>
            </w:rPr>
            <w:t>(2021a, p. 9)</w:t>
          </w:r>
          <w:r w:rsidR="00FB3D1C">
            <w:rPr>
              <w:sz w:val="20"/>
              <w:szCs w:val="20"/>
            </w:rPr>
            <w:fldChar w:fldCharType="end"/>
          </w:r>
        </w:sdtContent>
      </w:sdt>
      <w:r w:rsidR="00FB3D1C">
        <w:rPr>
          <w:sz w:val="20"/>
          <w:szCs w:val="20"/>
        </w:rPr>
        <w:t>.</w:t>
      </w:r>
    </w:p>
    <w:bookmarkEnd w:id="154"/>
    <w:p w14:paraId="5290CD95" w14:textId="4CAC9D76" w:rsidR="007A3E91" w:rsidRDefault="007A3E91" w:rsidP="007A3E91">
      <w:r>
        <w:t>The infrastructure program includes the capital components of the ACT’s major ongoing public private partnership; Light Rail Stages 1,2 and 2A. The Light Rail Stage 1 project is nearing completion with the new Mitchell stop expected to be delivered by June 2021. Consequently, it should be noted that Light Rail Stage 1 has been transferred from General Government to the Public Trading Enterprises sector.</w:t>
      </w:r>
    </w:p>
    <w:p w14:paraId="152184BF" w14:textId="7C559B91" w:rsidR="00A1572F" w:rsidRDefault="00A1572F" w:rsidP="007A3E91">
      <w:r>
        <w:lastRenderedPageBreak/>
        <w:t xml:space="preserve">Comments on the accounting treatment of the Territory’s Public Private leasing arrangements are provided in section </w:t>
      </w:r>
      <w:r w:rsidR="00692382">
        <w:t>9.</w:t>
      </w:r>
    </w:p>
    <w:p w14:paraId="182BB8A7" w14:textId="77777777" w:rsidR="007A3E91" w:rsidRDefault="007A3E91" w:rsidP="007A3E91">
      <w:r>
        <w:t>It is noted the construction phase of the ACT Law Court Facilities Public Private Partnership is complete with the ongoing operating costs accounted for in the Budget and forward years.</w:t>
      </w:r>
    </w:p>
    <w:p w14:paraId="4F9F4892" w14:textId="77777777" w:rsidR="007A3E91" w:rsidRPr="007A3E91" w:rsidRDefault="007A3E91" w:rsidP="007A3E91"/>
    <w:p w14:paraId="0BEDE90D" w14:textId="099910DF" w:rsidR="000A31B3" w:rsidRDefault="000A31B3" w:rsidP="00B40E2D">
      <w:r>
        <w:br w:type="page"/>
      </w:r>
    </w:p>
    <w:p w14:paraId="767C76BD" w14:textId="4A5D700D" w:rsidR="008F6E87" w:rsidRPr="00CD44A4" w:rsidRDefault="00D01CFD" w:rsidP="008F6E87">
      <w:pPr>
        <w:pStyle w:val="Heading1"/>
        <w:rPr>
          <w:noProof/>
          <w:lang w:val="en-NZ" w:eastAsia="en-NZ"/>
        </w:rPr>
      </w:pPr>
      <w:bookmarkStart w:id="156" w:name="_Toc64529051"/>
      <w:r w:rsidRPr="00D01CFD">
        <w:rPr>
          <w:noProof/>
          <w:lang w:eastAsia="en-AU"/>
        </w:rPr>
        <w:lastRenderedPageBreak/>
        <mc:AlternateContent>
          <mc:Choice Requires="wps">
            <w:drawing>
              <wp:anchor distT="91440" distB="91440" distL="114300" distR="114300" simplePos="0" relativeHeight="251674624" behindDoc="0" locked="0" layoutInCell="1" allowOverlap="1" wp14:anchorId="04567C0D" wp14:editId="75605254">
                <wp:simplePos x="0" y="0"/>
                <wp:positionH relativeFrom="margin">
                  <wp:align>left</wp:align>
                </wp:positionH>
                <wp:positionV relativeFrom="paragraph">
                  <wp:posOffset>419100</wp:posOffset>
                </wp:positionV>
                <wp:extent cx="6027420" cy="1776095"/>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776413"/>
                        </a:xfrm>
                        <a:prstGeom prst="rect">
                          <a:avLst/>
                        </a:prstGeom>
                        <a:noFill/>
                        <a:ln w="9525">
                          <a:noFill/>
                          <a:miter lim="800000"/>
                          <a:headEnd/>
                          <a:tailEnd/>
                        </a:ln>
                      </wps:spPr>
                      <wps:txbx>
                        <w:txbxContent>
                          <w:p w14:paraId="157E5E74" w14:textId="3D78A992" w:rsidR="00A30ABA" w:rsidRDefault="00A30ABA" w:rsidP="00D01CFD">
                            <w:pPr>
                              <w:pBdr>
                                <w:top w:val="single" w:sz="24" w:space="8" w:color="5B9BD5" w:themeColor="accent1"/>
                                <w:bottom w:val="single" w:sz="24" w:space="8" w:color="5B9BD5" w:themeColor="accent1"/>
                              </w:pBdr>
                              <w:spacing w:after="0"/>
                              <w:rPr>
                                <w:i/>
                                <w:iCs/>
                                <w:color w:val="5B9BD5" w:themeColor="accent1"/>
                                <w:sz w:val="24"/>
                              </w:rPr>
                            </w:pPr>
                            <w:r w:rsidRPr="00CD44A4">
                              <w:rPr>
                                <w:i/>
                                <w:iCs/>
                                <w:color w:val="5B9BD5" w:themeColor="accent1"/>
                                <w:sz w:val="24"/>
                                <w:szCs w:val="24"/>
                              </w:rPr>
                              <w:t xml:space="preserve">The Territory’s balance sheet is </w:t>
                            </w:r>
                            <w:r>
                              <w:rPr>
                                <w:i/>
                                <w:iCs/>
                                <w:color w:val="5B9BD5" w:themeColor="accent1"/>
                                <w:sz w:val="24"/>
                                <w:szCs w:val="24"/>
                              </w:rPr>
                              <w:t>sound</w:t>
                            </w:r>
                            <w:r w:rsidRPr="00CD44A4">
                              <w:rPr>
                                <w:i/>
                                <w:iCs/>
                                <w:color w:val="5B9BD5" w:themeColor="accent1"/>
                                <w:sz w:val="24"/>
                                <w:szCs w:val="24"/>
                              </w:rPr>
                              <w:t xml:space="preserve"> </w:t>
                            </w:r>
                            <w:r>
                              <w:rPr>
                                <w:i/>
                                <w:iCs/>
                                <w:color w:val="5B9BD5" w:themeColor="accent1"/>
                                <w:sz w:val="24"/>
                                <w:szCs w:val="24"/>
                              </w:rPr>
                              <w:t>but has deteriorated over recent years. This decline has accelerated from 2019-20 due to the COVID-19 pandemic and other factors. N</w:t>
                            </w:r>
                            <w:r w:rsidRPr="00CD44A4">
                              <w:rPr>
                                <w:i/>
                                <w:iCs/>
                                <w:color w:val="5B9BD5" w:themeColor="accent1"/>
                                <w:sz w:val="24"/>
                                <w:szCs w:val="24"/>
                              </w:rPr>
                              <w:t xml:space="preserve">et </w:t>
                            </w:r>
                            <w:r>
                              <w:rPr>
                                <w:i/>
                                <w:iCs/>
                                <w:color w:val="5B9BD5" w:themeColor="accent1"/>
                                <w:sz w:val="24"/>
                                <w:szCs w:val="24"/>
                              </w:rPr>
                              <w:t xml:space="preserve">worth is now in decline in absolute terms and as a proportion of </w:t>
                            </w:r>
                            <w:r w:rsidRPr="00CD44A4">
                              <w:rPr>
                                <w:i/>
                                <w:iCs/>
                                <w:color w:val="5B9BD5" w:themeColor="accent1"/>
                                <w:sz w:val="24"/>
                                <w:szCs w:val="24"/>
                              </w:rPr>
                              <w:t>Gross State Product (GSP)</w:t>
                            </w:r>
                            <w:r>
                              <w:rPr>
                                <w:i/>
                                <w:iCs/>
                                <w:color w:val="5B9BD5" w:themeColor="accent1"/>
                                <w:sz w:val="24"/>
                                <w:szCs w:val="24"/>
                              </w:rPr>
                              <w:t xml:space="preserve"> while net </w:t>
                            </w:r>
                            <w:r w:rsidRPr="00CD44A4">
                              <w:rPr>
                                <w:i/>
                                <w:iCs/>
                                <w:color w:val="5B9BD5" w:themeColor="accent1"/>
                                <w:sz w:val="24"/>
                                <w:szCs w:val="24"/>
                              </w:rPr>
                              <w:t xml:space="preserve">debt and net financial liabilities are rising. </w:t>
                            </w:r>
                            <w:r w:rsidRPr="008425AB">
                              <w:rPr>
                                <w:i/>
                                <w:iCs/>
                                <w:color w:val="5B9BD5" w:themeColor="accent1"/>
                                <w:sz w:val="24"/>
                                <w:szCs w:val="24"/>
                              </w:rPr>
                              <w:t>The Territory’s projected defined benefit superannuation liabilities are increasing slightly in nominal terms</w:t>
                            </w:r>
                            <w:r>
                              <w:rPr>
                                <w:i/>
                                <w:iCs/>
                                <w:color w:val="5B9BD5" w:themeColor="accent1"/>
                                <w:sz w:val="24"/>
                                <w:szCs w:val="24"/>
                              </w:rPr>
                              <w:t>,</w:t>
                            </w:r>
                            <w:r w:rsidRPr="008425AB">
                              <w:rPr>
                                <w:i/>
                                <w:iCs/>
                                <w:color w:val="5B9BD5" w:themeColor="accent1"/>
                                <w:sz w:val="24"/>
                                <w:szCs w:val="24"/>
                              </w:rPr>
                              <w:t xml:space="preserve"> but this is more than offset by projected increases in the Superannuation Provision Account. The unfunded superannuation liability is forecast to decline.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7C0D" id="Text Box 30" o:spid="_x0000_s1038" type="#_x0000_t202" style="position:absolute;margin-left:0;margin-top:33pt;width:474.6pt;height:139.85pt;z-index:25167462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" filled="f" stroked="f">
                <v:textbox>
                  <w:txbxContent>
                    <w:p w14:paraId="157E5E74" w14:textId="3D78A992" w:rsidR="00A30ABA" w:rsidRDefault="00A30ABA" w:rsidP="00D01CFD">
                      <w:pPr>
                        <w:pBdr>
                          <w:top w:val="single" w:sz="24" w:space="8" w:color="5B9BD5" w:themeColor="accent1"/>
                          <w:bottom w:val="single" w:sz="24" w:space="8" w:color="5B9BD5" w:themeColor="accent1"/>
                        </w:pBdr>
                        <w:spacing w:after="0"/>
                        <w:rPr>
                          <w:i/>
                          <w:iCs/>
                          <w:color w:val="5B9BD5" w:themeColor="accent1"/>
                          <w:sz w:val="24"/>
                        </w:rPr>
                      </w:pPr>
                      <w:r w:rsidRPr="00CD44A4">
                        <w:rPr>
                          <w:i/>
                          <w:iCs/>
                          <w:color w:val="5B9BD5" w:themeColor="accent1"/>
                          <w:sz w:val="24"/>
                          <w:szCs w:val="24"/>
                        </w:rPr>
                        <w:t xml:space="preserve">The Territory’s balance sheet is </w:t>
                      </w:r>
                      <w:r>
                        <w:rPr>
                          <w:i/>
                          <w:iCs/>
                          <w:color w:val="5B9BD5" w:themeColor="accent1"/>
                          <w:sz w:val="24"/>
                          <w:szCs w:val="24"/>
                        </w:rPr>
                        <w:t>sound</w:t>
                      </w:r>
                      <w:r w:rsidRPr="00CD44A4">
                        <w:rPr>
                          <w:i/>
                          <w:iCs/>
                          <w:color w:val="5B9BD5" w:themeColor="accent1"/>
                          <w:sz w:val="24"/>
                          <w:szCs w:val="24"/>
                        </w:rPr>
                        <w:t xml:space="preserve"> </w:t>
                      </w:r>
                      <w:r>
                        <w:rPr>
                          <w:i/>
                          <w:iCs/>
                          <w:color w:val="5B9BD5" w:themeColor="accent1"/>
                          <w:sz w:val="24"/>
                          <w:szCs w:val="24"/>
                        </w:rPr>
                        <w:t>but has deteriorated over recent years. This decline has accelerated from 2019-20 due to the COVID-19 pandemic and other factors. N</w:t>
                      </w:r>
                      <w:r w:rsidRPr="00CD44A4">
                        <w:rPr>
                          <w:i/>
                          <w:iCs/>
                          <w:color w:val="5B9BD5" w:themeColor="accent1"/>
                          <w:sz w:val="24"/>
                          <w:szCs w:val="24"/>
                        </w:rPr>
                        <w:t xml:space="preserve">et </w:t>
                      </w:r>
                      <w:r>
                        <w:rPr>
                          <w:i/>
                          <w:iCs/>
                          <w:color w:val="5B9BD5" w:themeColor="accent1"/>
                          <w:sz w:val="24"/>
                          <w:szCs w:val="24"/>
                        </w:rPr>
                        <w:t xml:space="preserve">worth is now in decline in absolute terms and as a proportion of </w:t>
                      </w:r>
                      <w:r w:rsidRPr="00CD44A4">
                        <w:rPr>
                          <w:i/>
                          <w:iCs/>
                          <w:color w:val="5B9BD5" w:themeColor="accent1"/>
                          <w:sz w:val="24"/>
                          <w:szCs w:val="24"/>
                        </w:rPr>
                        <w:t>Gross State Product (GSP)</w:t>
                      </w:r>
                      <w:r>
                        <w:rPr>
                          <w:i/>
                          <w:iCs/>
                          <w:color w:val="5B9BD5" w:themeColor="accent1"/>
                          <w:sz w:val="24"/>
                          <w:szCs w:val="24"/>
                        </w:rPr>
                        <w:t xml:space="preserve"> while net </w:t>
                      </w:r>
                      <w:r w:rsidRPr="00CD44A4">
                        <w:rPr>
                          <w:i/>
                          <w:iCs/>
                          <w:color w:val="5B9BD5" w:themeColor="accent1"/>
                          <w:sz w:val="24"/>
                          <w:szCs w:val="24"/>
                        </w:rPr>
                        <w:t xml:space="preserve">debt and net financial liabilities are rising. </w:t>
                      </w:r>
                      <w:r w:rsidRPr="008425AB">
                        <w:rPr>
                          <w:i/>
                          <w:iCs/>
                          <w:color w:val="5B9BD5" w:themeColor="accent1"/>
                          <w:sz w:val="24"/>
                          <w:szCs w:val="24"/>
                        </w:rPr>
                        <w:t>The Territory’s projected defined benefit superannuation liabilities are increasing slightly in nominal terms</w:t>
                      </w:r>
                      <w:r>
                        <w:rPr>
                          <w:i/>
                          <w:iCs/>
                          <w:color w:val="5B9BD5" w:themeColor="accent1"/>
                          <w:sz w:val="24"/>
                          <w:szCs w:val="24"/>
                        </w:rPr>
                        <w:t>,</w:t>
                      </w:r>
                      <w:r w:rsidRPr="008425AB">
                        <w:rPr>
                          <w:i/>
                          <w:iCs/>
                          <w:color w:val="5B9BD5" w:themeColor="accent1"/>
                          <w:sz w:val="24"/>
                          <w:szCs w:val="24"/>
                        </w:rPr>
                        <w:t xml:space="preserve"> but this is more than offset by projected increases in the Superannuation Provision Account. The unfunded superannuation liability is forecast to decline.</w:t>
                      </w:r>
                    </w:p>
                  </w:txbxContent>
                </v:textbox>
                <w10:wrap type="topAndBottom" anchorx="margin"/>
              </v:shape>
            </w:pict>
          </mc:Fallback>
        </mc:AlternateContent>
      </w:r>
      <w:r w:rsidR="00FE555C">
        <w:t>7</w:t>
      </w:r>
      <w:r w:rsidR="008B76AB" w:rsidRPr="00CD44A4">
        <w:t>.</w:t>
      </w:r>
      <w:r w:rsidR="008F6E87" w:rsidRPr="00CD44A4">
        <w:tab/>
      </w:r>
      <w:r w:rsidR="008F6E87" w:rsidRPr="006967FF">
        <w:t>Assets and Liabilities</w:t>
      </w:r>
      <w:bookmarkEnd w:id="156"/>
    </w:p>
    <w:p w14:paraId="1FE42FAA" w14:textId="74806565" w:rsidR="008F6E87" w:rsidRDefault="00FE555C" w:rsidP="006A46A7">
      <w:pPr>
        <w:pStyle w:val="Heading2"/>
        <w:spacing w:after="240"/>
      </w:pPr>
      <w:bookmarkStart w:id="157" w:name="_Toc64529052"/>
      <w:r w:rsidRPr="00EC453E">
        <w:t>7</w:t>
      </w:r>
      <w:r w:rsidR="008F6E87" w:rsidRPr="00EC453E">
        <w:t>.1</w:t>
      </w:r>
      <w:r w:rsidR="008F6E87" w:rsidRPr="00EC453E">
        <w:tab/>
        <w:t>Overview</w:t>
      </w:r>
      <w:bookmarkEnd w:id="157"/>
    </w:p>
    <w:p w14:paraId="42D0A717" w14:textId="77777777" w:rsidR="00553362" w:rsidRPr="00E97466" w:rsidRDefault="00553362" w:rsidP="00553362">
      <w:r w:rsidRPr="002D0480">
        <w:t>The Budget Papers indicate a general deterioration in the ACT Government’s assets and liabilities.</w:t>
      </w:r>
    </w:p>
    <w:p w14:paraId="709942D6" w14:textId="4BB8456F" w:rsidR="00A62E78" w:rsidRPr="00E97466" w:rsidRDefault="00FE555C" w:rsidP="00A62E78">
      <w:pPr>
        <w:pStyle w:val="Heading2"/>
        <w:spacing w:after="240"/>
      </w:pPr>
      <w:bookmarkStart w:id="158" w:name="_Toc64529053"/>
      <w:r w:rsidRPr="00EC453E">
        <w:t>7</w:t>
      </w:r>
      <w:r w:rsidR="00A62E78" w:rsidRPr="00EC453E">
        <w:t>.2</w:t>
      </w:r>
      <w:r w:rsidR="00A62E78" w:rsidRPr="00EC453E">
        <w:tab/>
        <w:t>Net Debt</w:t>
      </w:r>
      <w:bookmarkEnd w:id="158"/>
    </w:p>
    <w:p w14:paraId="17DC9997" w14:textId="24FF36E6" w:rsidR="00692382" w:rsidRDefault="00A62E78" w:rsidP="00A62E78">
      <w:r>
        <w:t>Net debt is a key balance sheet measure in the Government Finance Statistics framework and in the Uniform Presentation Framework agreed by Treasurers in all Australian jurisdictions as the standard for presentation of information in budget papers.</w:t>
      </w:r>
    </w:p>
    <w:p w14:paraId="7502ED3B" w14:textId="77777777" w:rsidR="00A62E78" w:rsidRDefault="00A62E78" w:rsidP="00A62E78">
      <w:r>
        <w:t>It represents the sum of deposits held, advances received and borrowings less the sum of cash and deposits, advances paid, investments, loans and placements.</w:t>
      </w:r>
      <w:r>
        <w:rPr>
          <w:rStyle w:val="FootnoteReference"/>
        </w:rPr>
        <w:footnoteReference w:id="4"/>
      </w:r>
      <w:r>
        <w:t xml:space="preserve"> The measure of net debt employed by the ACT Budget Papers excludes super liabilities.</w:t>
      </w:r>
      <w:r>
        <w:rPr>
          <w:i/>
        </w:rPr>
        <w:t xml:space="preserve"> </w:t>
      </w:r>
    </w:p>
    <w:p w14:paraId="0C53E088" w14:textId="619BF94F" w:rsidR="00A62E78" w:rsidRPr="00596EF4" w:rsidRDefault="00A62E78" w:rsidP="00A62E78">
      <w:pPr>
        <w:pStyle w:val="BodyText"/>
      </w:pPr>
      <w:r>
        <w:t xml:space="preserve">The Territory’s debt position has deteriorated significantly since 2010-11, when General Government sector cash reserves and investments were some $735.9 million higher than gross debt liabilities </w:t>
      </w:r>
      <w:r w:rsidR="00407F3E">
        <w:rPr>
          <w:noProof/>
          <w:lang w:val="en-NZ"/>
        </w:rPr>
        <w:t>(ACT Government, 2018a, p. 399</w:t>
      </w:r>
      <w:r w:rsidR="00407F3E" w:rsidRPr="00596EF4">
        <w:t>)</w:t>
      </w:r>
      <w:r w:rsidRPr="00596EF4">
        <w:t>.</w:t>
      </w:r>
    </w:p>
    <w:p w14:paraId="08D96AB2" w14:textId="5C67B669" w:rsidR="00A62E78" w:rsidRDefault="00A62E78" w:rsidP="00A62E78">
      <w:r>
        <w:t xml:space="preserve">The level of net debt rises is forecast to continue to grow over the Budget and forward estimates; more than doubling by 2023-24 relative to the estimated outcome for 2019-20. </w:t>
      </w:r>
    </w:p>
    <w:p w14:paraId="6E1CF095" w14:textId="345B64E0" w:rsidR="002D0480" w:rsidRDefault="00553362" w:rsidP="00553362">
      <w:r>
        <w:t xml:space="preserve">The ACT Government acknowledges that the ratio of net debt to GSP is a broad indicator of a jurisdiction’s ability to meet its debt obligations and its medium term financial sustainability (ACT Government, 2021 ,p. 203). Figure </w:t>
      </w:r>
      <w:r w:rsidR="006967FF">
        <w:t>22</w:t>
      </w:r>
      <w:r>
        <w:t xml:space="preserve"> illustrates the growth in net debt since 2010-11 as a proportion of the Gross State Product (GSP).</w:t>
      </w:r>
    </w:p>
    <w:p w14:paraId="4E8715C9" w14:textId="77777777" w:rsidR="002D0480" w:rsidRDefault="002D0480">
      <w:r>
        <w:br w:type="page"/>
      </w:r>
    </w:p>
    <w:p w14:paraId="5D11EB30" w14:textId="2CFB43F7" w:rsidR="00A62E78" w:rsidRPr="00633C60" w:rsidRDefault="00A62E78" w:rsidP="00171E59">
      <w:pPr>
        <w:pStyle w:val="Caption"/>
      </w:pPr>
      <w:bookmarkStart w:id="159" w:name="_Toc64529114"/>
      <w:r w:rsidRPr="008A1814">
        <w:lastRenderedPageBreak/>
        <w:t xml:space="preserve">Figure </w:t>
      </w:r>
      <w:fldSimple w:instr=" SEQ Figure \* ARABIC ">
        <w:r w:rsidR="00AB7125">
          <w:rPr>
            <w:noProof/>
          </w:rPr>
          <w:t>22</w:t>
        </w:r>
      </w:fldSimple>
      <w:r w:rsidRPr="008A1814">
        <w:t>: Net debt as a proportion of Gross State Product – 201</w:t>
      </w:r>
      <w:r>
        <w:t>0</w:t>
      </w:r>
      <w:r w:rsidRPr="008A1814">
        <w:t>-1</w:t>
      </w:r>
      <w:r>
        <w:t>1</w:t>
      </w:r>
      <w:r w:rsidRPr="008A1814">
        <w:t xml:space="preserve"> to 202</w:t>
      </w:r>
      <w:r>
        <w:t>3</w:t>
      </w:r>
      <w:r w:rsidRPr="008A1814">
        <w:t>-2</w:t>
      </w:r>
      <w:r>
        <w:t>4</w:t>
      </w:r>
      <w:r w:rsidRPr="008A1814">
        <w:t xml:space="preserve"> (per</w:t>
      </w:r>
      <w:r w:rsidR="00743F9E">
        <w:t xml:space="preserve"> </w:t>
      </w:r>
      <w:r w:rsidRPr="008A1814">
        <w:t>cent)</w:t>
      </w:r>
      <w:bookmarkEnd w:id="159"/>
    </w:p>
    <w:p w14:paraId="365B703A" w14:textId="55610784" w:rsidR="003E60D1" w:rsidRPr="00743F9E" w:rsidRDefault="00A62E78" w:rsidP="00A62E78">
      <w:pPr>
        <w:spacing w:before="0"/>
        <w:rPr>
          <w:i/>
          <w:iCs/>
          <w:sz w:val="18"/>
          <w:szCs w:val="18"/>
        </w:rPr>
      </w:pPr>
      <w:r>
        <w:rPr>
          <w:noProof/>
          <w:lang w:eastAsia="en-AU"/>
        </w:rPr>
        <w:drawing>
          <wp:inline distT="0" distB="0" distL="0" distR="0" wp14:anchorId="6F4473C4" wp14:editId="301A2702">
            <wp:extent cx="5731510" cy="2965450"/>
            <wp:effectExtent l="0" t="0" r="8890" b="6350"/>
            <wp:docPr id="3" name="Chart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A1814">
        <w:t xml:space="preserve">Sources: </w:t>
      </w:r>
      <w:r w:rsidRPr="008A1814">
        <w:rPr>
          <w:sz w:val="20"/>
          <w:szCs w:val="20"/>
        </w:rPr>
        <w:t xml:space="preserve">ABS </w:t>
      </w:r>
      <w:sdt>
        <w:sdtPr>
          <w:rPr>
            <w:sz w:val="20"/>
            <w:szCs w:val="20"/>
          </w:rPr>
          <w:id w:val="-117531357"/>
          <w:citation/>
        </w:sdtPr>
        <w:sdtContent>
          <w:r w:rsidRPr="008A1814">
            <w:rPr>
              <w:sz w:val="20"/>
              <w:szCs w:val="20"/>
            </w:rPr>
            <w:fldChar w:fldCharType="begin"/>
          </w:r>
          <w:r>
            <w:rPr>
              <w:sz w:val="20"/>
              <w:szCs w:val="20"/>
            </w:rPr>
            <w:instrText xml:space="preserve">CITATION Placeholder7 \n  \t  \l 3081 </w:instrText>
          </w:r>
          <w:r w:rsidRPr="008A1814">
            <w:rPr>
              <w:sz w:val="20"/>
              <w:szCs w:val="20"/>
            </w:rPr>
            <w:fldChar w:fldCharType="separate"/>
          </w:r>
          <w:r w:rsidRPr="00A62E78">
            <w:rPr>
              <w:noProof/>
              <w:sz w:val="20"/>
              <w:szCs w:val="20"/>
            </w:rPr>
            <w:t>(2020a)</w:t>
          </w:r>
          <w:r w:rsidRPr="008A1814">
            <w:rPr>
              <w:sz w:val="20"/>
              <w:szCs w:val="20"/>
            </w:rPr>
            <w:fldChar w:fldCharType="end"/>
          </w:r>
        </w:sdtContent>
      </w:sdt>
      <w:r w:rsidRPr="008A1814">
        <w:rPr>
          <w:sz w:val="20"/>
          <w:szCs w:val="20"/>
        </w:rPr>
        <w:t xml:space="preserve">, </w:t>
      </w:r>
      <w:r w:rsidRPr="008A1814">
        <w:rPr>
          <w:noProof/>
          <w:sz w:val="20"/>
          <w:szCs w:val="20"/>
        </w:rPr>
        <w:t>ACT Government (2011, 2012, 2013, 2014, 2015, 2016, 2017, 2018a, 2019</w:t>
      </w:r>
      <w:r w:rsidRPr="00743F9E">
        <w:rPr>
          <w:noProof/>
          <w:sz w:val="20"/>
          <w:szCs w:val="20"/>
        </w:rPr>
        <w:t>, 2021)</w:t>
      </w:r>
      <w:r w:rsidR="00743F9E" w:rsidRPr="00743F9E">
        <w:rPr>
          <w:noProof/>
          <w:sz w:val="20"/>
          <w:szCs w:val="20"/>
        </w:rPr>
        <w:t>.</w:t>
      </w:r>
      <w:r w:rsidR="00743F9E">
        <w:rPr>
          <w:noProof/>
          <w:sz w:val="20"/>
          <w:szCs w:val="20"/>
        </w:rPr>
        <w:br/>
      </w:r>
      <w:r w:rsidR="003E60D1" w:rsidRPr="00743F9E">
        <w:rPr>
          <w:i/>
          <w:iCs/>
          <w:noProof/>
          <w:sz w:val="18"/>
          <w:szCs w:val="18"/>
        </w:rPr>
        <w:t xml:space="preserve">Note: From 2019-20, net debt includes the impact of accounting changes in relation to the treatment of leases.  The ACT Government has indicated that for this reason net debt from 2019-20 is not directrly comparable to prior years. </w:t>
      </w:r>
    </w:p>
    <w:p w14:paraId="0FB13F07" w14:textId="6EBB7430" w:rsidR="00A62E78" w:rsidRDefault="00921C0A" w:rsidP="00A62E78">
      <w:r>
        <w:t>Figure 22</w:t>
      </w:r>
      <w:r w:rsidR="00A62E78">
        <w:t xml:space="preserve"> shows that the ACT Government’s net debt has grown fairly steadily over the past decade as a proportion of the Territory’s economy. </w:t>
      </w:r>
    </w:p>
    <w:p w14:paraId="1DCB96F5" w14:textId="7BB2ECA8" w:rsidR="00A62E78" w:rsidRDefault="00A62E78" w:rsidP="00A62E78">
      <w:r>
        <w:t>The large increase in net debt to GSP in 2015-16 was related to the</w:t>
      </w:r>
      <w:r>
        <w:rPr>
          <w:rFonts w:ascii="Calibri" w:hAnsi="Calibri" w:cs="Calibri"/>
          <w:color w:val="000000"/>
          <w:lang w:val="en-NZ" w:bidi="he-IL"/>
        </w:rPr>
        <w:t xml:space="preserve"> loan provided by the Commonwealth to support the Asbestos Eradication Scheme and a provision for the Light Rail project. The subsequent reduction in net debt reflected the effect of decisions to procure the Light Rail through a PPP, which removed the requirement to debt fund the capital cost of the project</w:t>
      </w:r>
      <w:r w:rsidR="00407F3E">
        <w:rPr>
          <w:rFonts w:ascii="Calibri" w:hAnsi="Calibri" w:cs="Calibri"/>
          <w:noProof/>
          <w:color w:val="000000"/>
          <w:lang w:val="en-NZ" w:bidi="he-IL"/>
        </w:rPr>
        <w:t xml:space="preserve"> </w:t>
      </w:r>
      <w:r w:rsidR="00407F3E" w:rsidRPr="00FE6B4D">
        <w:rPr>
          <w:rFonts w:ascii="Calibri" w:hAnsi="Calibri" w:cs="Calibri"/>
          <w:noProof/>
          <w:color w:val="000000"/>
          <w:lang w:val="en-NZ" w:bidi="he-IL"/>
        </w:rPr>
        <w:t>(ACT Government, 2015, p. 251; ACT Government, 2016, p. 288)</w:t>
      </w:r>
      <w:r>
        <w:rPr>
          <w:rFonts w:ascii="Calibri" w:hAnsi="Calibri" w:cs="Calibri"/>
          <w:color w:val="000000"/>
          <w:lang w:val="en-NZ" w:bidi="he-IL"/>
        </w:rPr>
        <w:t>.</w:t>
      </w:r>
    </w:p>
    <w:p w14:paraId="266AFD50" w14:textId="77777777" w:rsidR="00A62E78" w:rsidRDefault="00A62E78" w:rsidP="00A62E78">
      <w:r>
        <w:t xml:space="preserve">However, apart from that adjustment, the ratio of net debt to GSP has continued to grow up to 2023-24. </w:t>
      </w:r>
    </w:p>
    <w:p w14:paraId="7184A466" w14:textId="77777777" w:rsidR="00A62E78" w:rsidRPr="00110DFD" w:rsidRDefault="00A62E78" w:rsidP="00A62E78">
      <w:pPr>
        <w:rPr>
          <w:noProof/>
        </w:rPr>
      </w:pPr>
      <w:r w:rsidRPr="00110DFD">
        <w:t xml:space="preserve">It is possible that changes to the budget treatment of Public Private Partnerships from 2021 foreshadowed in the Budget will add to pressures on the ACT Government’s reported debt position </w:t>
      </w:r>
      <w:r w:rsidRPr="00110DFD">
        <w:rPr>
          <w:noProof/>
        </w:rPr>
        <w:t>(ACT Government, 2021, pp. 277-278).</w:t>
      </w:r>
    </w:p>
    <w:p w14:paraId="08A3E20E" w14:textId="6A43DFD3" w:rsidR="00A62E78" w:rsidRPr="00110DFD" w:rsidRDefault="00A62E78" w:rsidP="00A62E78">
      <w:pPr>
        <w:rPr>
          <w:noProof/>
        </w:rPr>
      </w:pPr>
      <w:r w:rsidRPr="00110DFD">
        <w:t>The ACT Government will need to raise additional borrowings to f</w:t>
      </w:r>
      <w:r w:rsidR="00596EF4">
        <w:t>u</w:t>
      </w:r>
      <w:r w:rsidRPr="00110DFD">
        <w:t>nd its expanded levels of debt. The Budget Papers indicate that the ACT Government</w:t>
      </w:r>
      <w:r w:rsidR="005F6C61">
        <w:t xml:space="preserve"> (2021, p. 199)</w:t>
      </w:r>
      <w:r w:rsidRPr="00110DFD">
        <w:t xml:space="preserve"> expects to raise some $7.0 billion in borrowings and loans to fund its activities over the </w:t>
      </w:r>
      <w:r w:rsidR="005F6C61">
        <w:t>B</w:t>
      </w:r>
      <w:r w:rsidRPr="00110DFD">
        <w:t>udget and forward years</w:t>
      </w:r>
      <w:r w:rsidRPr="00110DFD">
        <w:rPr>
          <w:noProof/>
        </w:rPr>
        <w:t>.</w:t>
      </w:r>
    </w:p>
    <w:p w14:paraId="1223F673" w14:textId="22F05F87" w:rsidR="00A62E78" w:rsidRDefault="00A62E78" w:rsidP="00407F3E">
      <w:pPr>
        <w:pStyle w:val="BodyText"/>
      </w:pPr>
      <w:r w:rsidRPr="002026F6">
        <w:t>All Australian</w:t>
      </w:r>
      <w:r>
        <w:t xml:space="preserve"> </w:t>
      </w:r>
      <w:r w:rsidRPr="002026F6">
        <w:t xml:space="preserve">States </w:t>
      </w:r>
      <w:r>
        <w:t xml:space="preserve">and Territories have reported increases in the ratio of net debt to GSP over the Budget and forward years in their 2020-21 Budget Papers </w:t>
      </w:r>
      <w:r w:rsidRPr="004C19A7">
        <w:rPr>
          <w:noProof/>
          <w:sz w:val="20"/>
          <w:szCs w:val="20"/>
        </w:rPr>
        <w:t>(ACT Government, 2021, p. 204)</w:t>
      </w:r>
      <w:r>
        <w:rPr>
          <w:noProof/>
          <w:sz w:val="20"/>
          <w:szCs w:val="20"/>
        </w:rPr>
        <w:t>.</w:t>
      </w:r>
      <w:r>
        <w:t xml:space="preserve"> This reflects the expansionary fiscal response to </w:t>
      </w:r>
      <w:r w:rsidR="005F6C61">
        <w:t xml:space="preserve">the </w:t>
      </w:r>
      <w:r>
        <w:t>COVID</w:t>
      </w:r>
      <w:r w:rsidR="005F6C61">
        <w:t>-19 pandemic</w:t>
      </w:r>
      <w:r>
        <w:t xml:space="preserve"> pursued across all Australian jurisdictions.</w:t>
      </w:r>
    </w:p>
    <w:p w14:paraId="08B25892" w14:textId="1A2DEA23" w:rsidR="00A62E78" w:rsidRPr="002026F6" w:rsidRDefault="00A62E78" w:rsidP="00A62E78">
      <w:r>
        <w:t xml:space="preserve">A short-term increase in net debt can be a sensible response to adverse economic shocks. However, high levels of continuing debt are undesirable as they impose debt servicing costs and can reduce future budget flexibility. </w:t>
      </w:r>
    </w:p>
    <w:p w14:paraId="3CFC94C2" w14:textId="77777777" w:rsidR="00A62E78" w:rsidRDefault="00A62E78" w:rsidP="00A62E78">
      <w:r w:rsidRPr="008A6916">
        <w:t>Australian interest rates are currently at historical lows. While interest rates remain low, the ACT’s net debt will be manageable. If, however, interest rates were to rise in future years the ACT would be faced with higher public debt interest bills and the Budget would come under significant stress.</w:t>
      </w:r>
      <w:r>
        <w:t xml:space="preserve"> </w:t>
      </w:r>
    </w:p>
    <w:p w14:paraId="40E3A766" w14:textId="16F0B886" w:rsidR="00A62E78" w:rsidRDefault="00A62E78" w:rsidP="00A62E78">
      <w:r>
        <w:lastRenderedPageBreak/>
        <w:t xml:space="preserve">The ACT Government’s net debt is only partially a consequence of its response to </w:t>
      </w:r>
      <w:r w:rsidR="005F6C61">
        <w:t xml:space="preserve">the </w:t>
      </w:r>
      <w:r>
        <w:t>COVID</w:t>
      </w:r>
      <w:r w:rsidR="005F6C61">
        <w:t>-19 pandemic</w:t>
      </w:r>
      <w:r>
        <w:t xml:space="preserve">. As Figure </w:t>
      </w:r>
      <w:r w:rsidR="006967FF">
        <w:t>22</w:t>
      </w:r>
      <w:r>
        <w:t xml:space="preserve"> shows, the Territory’s net debt as a proportion of GSP has grown steadily over the past decade. </w:t>
      </w:r>
    </w:p>
    <w:p w14:paraId="7899D47C" w14:textId="77777777" w:rsidR="00A62E78" w:rsidRDefault="00A62E78" w:rsidP="00A62E78">
      <w:r>
        <w:t>It is of some concern that the Budget Papers do not indicate any long-term strategy for paying down the stock of accumulated debt.</w:t>
      </w:r>
    </w:p>
    <w:p w14:paraId="4079907C" w14:textId="518DB660" w:rsidR="00A62E78" w:rsidRPr="00CA6D71" w:rsidRDefault="00FE555C" w:rsidP="00A62E78">
      <w:pPr>
        <w:pStyle w:val="Heading2"/>
        <w:spacing w:after="240"/>
      </w:pPr>
      <w:bookmarkStart w:id="160" w:name="_Toc64529054"/>
      <w:r>
        <w:t>7</w:t>
      </w:r>
      <w:r w:rsidR="00A62E78" w:rsidRPr="00CA6D71">
        <w:t>.3</w:t>
      </w:r>
      <w:r w:rsidR="00A62E78" w:rsidRPr="00CA6D71">
        <w:tab/>
        <w:t>Net financial liabilities</w:t>
      </w:r>
      <w:bookmarkEnd w:id="160"/>
    </w:p>
    <w:p w14:paraId="12A8AD35" w14:textId="77777777" w:rsidR="00A62E78" w:rsidRPr="00E97466" w:rsidRDefault="00A62E78" w:rsidP="00A62E78">
      <w:r w:rsidRPr="00CA6D71">
        <w:t>Net financial liabilities provide a broad measure of the General Government sector’s financial obligations to others.</w:t>
      </w:r>
      <w:r w:rsidRPr="00E97466">
        <w:t xml:space="preserve">  </w:t>
      </w:r>
    </w:p>
    <w:p w14:paraId="6C097AA8" w14:textId="77777777" w:rsidR="00A62E78" w:rsidRPr="00E97466" w:rsidRDefault="00A62E78" w:rsidP="00A62E78">
      <w:r w:rsidRPr="00E97466">
        <w:t xml:space="preserve">Net financial liabilities are calculated as total liabilities (including net debt and superannuation liabilities) less financial assets (such as cash reserves and investments), excluding the value of equity held by the General Government sector in public corporations. Changes in net financial liabilities are therefore influenced by variations in the net debt figures discussed in the previous section. </w:t>
      </w:r>
    </w:p>
    <w:p w14:paraId="42B365E8" w14:textId="1F33CF50" w:rsidR="00A62E78" w:rsidRPr="00330009" w:rsidRDefault="00A62E78" w:rsidP="00A62E78">
      <w:pPr>
        <w:pStyle w:val="BodyText"/>
      </w:pPr>
      <w:r w:rsidRPr="00D73070">
        <w:t xml:space="preserve">The Territory’s net financial liabilities </w:t>
      </w:r>
      <w:r>
        <w:t xml:space="preserve">have grown substantially since the 2019-20 Budget and continue to deteriorate into the out-years.  Net financial liabilities </w:t>
      </w:r>
      <w:r w:rsidRPr="00D73070">
        <w:t>are estimated to be some $1</w:t>
      </w:r>
      <w:r>
        <w:t>.5</w:t>
      </w:r>
      <w:r w:rsidR="00E70559">
        <w:t> </w:t>
      </w:r>
      <w:r>
        <w:t xml:space="preserve">billion </w:t>
      </w:r>
      <w:r w:rsidRPr="00D73070">
        <w:t>higher in 20</w:t>
      </w:r>
      <w:r>
        <w:t>20</w:t>
      </w:r>
      <w:r w:rsidRPr="00D73070">
        <w:t>-2</w:t>
      </w:r>
      <w:r>
        <w:t>1</w:t>
      </w:r>
      <w:r w:rsidRPr="00D73070">
        <w:t xml:space="preserve"> than forecast in the 201</w:t>
      </w:r>
      <w:r>
        <w:t>9</w:t>
      </w:r>
      <w:r w:rsidRPr="00D73070">
        <w:t>-</w:t>
      </w:r>
      <w:r>
        <w:t>20</w:t>
      </w:r>
      <w:r w:rsidRPr="00D73070">
        <w:t xml:space="preserve"> Budget</w:t>
      </w:r>
      <w:r>
        <w:t xml:space="preserve"> and $2.5 billion (or 31 per</w:t>
      </w:r>
      <w:r w:rsidR="00E70559">
        <w:t xml:space="preserve"> </w:t>
      </w:r>
      <w:r>
        <w:t>cent) higher for 2021-22 and $3.7 billion (or 47 per</w:t>
      </w:r>
      <w:r w:rsidR="00E70559">
        <w:t xml:space="preserve"> </w:t>
      </w:r>
      <w:r>
        <w:t>cent) higher for 2022-23 forecast in the 2019-20 Budget</w:t>
      </w:r>
      <w:r w:rsidRPr="00330009">
        <w:t>.</w:t>
      </w:r>
      <w:r w:rsidRPr="00330009">
        <w:rPr>
          <w:rStyle w:val="FootnoteReference"/>
          <w:szCs w:val="22"/>
        </w:rPr>
        <w:t xml:space="preserve"> </w:t>
      </w:r>
      <w:r w:rsidRPr="00330009">
        <w:rPr>
          <w:rStyle w:val="FootnoteReference"/>
          <w:szCs w:val="22"/>
        </w:rPr>
        <w:footnoteReference w:id="5"/>
      </w:r>
    </w:p>
    <w:p w14:paraId="77595E41" w14:textId="77777777" w:rsidR="00A62E78" w:rsidRDefault="00A62E78" w:rsidP="00A62E78">
      <w:pPr>
        <w:pStyle w:val="BodyText"/>
      </w:pPr>
      <w:r w:rsidRPr="00330009">
        <w:rPr>
          <w:szCs w:val="22"/>
        </w:rPr>
        <w:t>While the Budget Papers do not explain the increases in forecast growth in the ratio of net financial liabilities to GSP over the Budget and forward years in any detail, the growth appears to have been driven by increases in net debt</w:t>
      </w:r>
      <w:r w:rsidRPr="00330009">
        <w:t xml:space="preserve"> discussed in the previous section and lease liabilities associated with the Light Rail and ACT Law Courts Facilities.</w:t>
      </w:r>
    </w:p>
    <w:p w14:paraId="3A81CFCF" w14:textId="5D7221E5" w:rsidR="00A62E78" w:rsidRPr="00F34B3B" w:rsidRDefault="00A62E78" w:rsidP="00A62E78">
      <w:pPr>
        <w:pStyle w:val="BodyText"/>
      </w:pPr>
      <w:r w:rsidRPr="00F34B3B">
        <w:t>The ratio of net financial liabilities to GSP provides an indicator of the sustainability of a jurisdiction’s debt</w:t>
      </w:r>
      <w:r w:rsidR="00407F3E">
        <w:rPr>
          <w:noProof/>
        </w:rPr>
        <w:t xml:space="preserve"> </w:t>
      </w:r>
      <w:r w:rsidR="00407F3E" w:rsidRPr="00FE6B4D">
        <w:rPr>
          <w:noProof/>
        </w:rPr>
        <w:t>(ACT Government, 2015, p. 252)</w:t>
      </w:r>
      <w:r w:rsidRPr="00F34B3B">
        <w:t>.</w:t>
      </w:r>
      <w:r>
        <w:t xml:space="preserve"> </w:t>
      </w:r>
      <w:r w:rsidRPr="00E41783">
        <w:t>The ACT Government has indicated that it is desirable that the ratio of net financial liabilities to GSP should remain broadly stable over time while maintaining sustainable levels of borrowings</w:t>
      </w:r>
      <w:r w:rsidR="00E70559">
        <w:rPr>
          <w:noProof/>
        </w:rPr>
        <w:t xml:space="preserve"> </w:t>
      </w:r>
      <w:r w:rsidR="00E70559" w:rsidRPr="00FE6B4D">
        <w:rPr>
          <w:noProof/>
        </w:rPr>
        <w:t>(ACT Government, 2015, p. 252</w:t>
      </w:r>
      <w:r w:rsidR="00E70559">
        <w:rPr>
          <w:noProof/>
        </w:rPr>
        <w:t>; ACT Government</w:t>
      </w:r>
      <w:r w:rsidRPr="005F6C61">
        <w:rPr>
          <w:szCs w:val="22"/>
        </w:rPr>
        <w:t xml:space="preserve"> 2019, p.295).</w:t>
      </w:r>
    </w:p>
    <w:p w14:paraId="210E1D21" w14:textId="5F871AD5" w:rsidR="00A62E78" w:rsidRDefault="00A62E78" w:rsidP="00A62E78">
      <w:pPr>
        <w:pStyle w:val="BodyText"/>
      </w:pPr>
      <w:r w:rsidRPr="00F34B3B">
        <w:t xml:space="preserve">Figure </w:t>
      </w:r>
      <w:r w:rsidR="006967FF">
        <w:t>23</w:t>
      </w:r>
      <w:r w:rsidR="00E70559">
        <w:t xml:space="preserve"> below</w:t>
      </w:r>
      <w:r w:rsidRPr="00F34B3B">
        <w:t xml:space="preserve"> illustrates the growth in net</w:t>
      </w:r>
      <w:r>
        <w:t xml:space="preserve"> financial liabilities</w:t>
      </w:r>
      <w:r w:rsidRPr="00F34B3B">
        <w:t xml:space="preserve"> since 2010-11 as a proportion of GSP.</w:t>
      </w:r>
    </w:p>
    <w:p w14:paraId="73AC4643" w14:textId="53B8DDE3" w:rsidR="00EC453E" w:rsidRDefault="00EC453E">
      <w:pPr>
        <w:rPr>
          <w:rFonts w:ascii="Calibri" w:eastAsia="Times New Roman" w:hAnsi="Calibri" w:cs="Times New Roman"/>
          <w:szCs w:val="24"/>
          <w:lang w:eastAsia="en-AU"/>
        </w:rPr>
      </w:pPr>
      <w:r>
        <w:br w:type="page"/>
      </w:r>
    </w:p>
    <w:p w14:paraId="3580482A" w14:textId="3BEE2772" w:rsidR="00A62E78" w:rsidRPr="003215B4" w:rsidRDefault="00A62E78" w:rsidP="00407F3E">
      <w:pPr>
        <w:pStyle w:val="Caption"/>
      </w:pPr>
      <w:bookmarkStart w:id="161" w:name="_Toc64529115"/>
      <w:r w:rsidRPr="00F34B3B">
        <w:lastRenderedPageBreak/>
        <w:t xml:space="preserve">Figure </w:t>
      </w:r>
      <w:fldSimple w:instr=" SEQ Figure \* ARABIC ">
        <w:r w:rsidR="00AB7125">
          <w:rPr>
            <w:noProof/>
          </w:rPr>
          <w:t>23</w:t>
        </w:r>
      </w:fldSimple>
      <w:r w:rsidRPr="00F34B3B">
        <w:t>: Net financial liabilities as a proportion of Gross State Product – 2010-11 to 202</w:t>
      </w:r>
      <w:r>
        <w:t>3</w:t>
      </w:r>
      <w:r w:rsidRPr="00F34B3B">
        <w:t>-2</w:t>
      </w:r>
      <w:r>
        <w:t>4</w:t>
      </w:r>
      <w:r w:rsidRPr="00F34B3B">
        <w:t xml:space="preserve"> (per</w:t>
      </w:r>
      <w:r w:rsidR="00743F9E">
        <w:t> </w:t>
      </w:r>
      <w:r w:rsidRPr="00F34B3B">
        <w:t>cent)</w:t>
      </w:r>
      <w:bookmarkEnd w:id="161"/>
    </w:p>
    <w:p w14:paraId="155D508C" w14:textId="77777777" w:rsidR="00A62E78" w:rsidRDefault="00A62E78" w:rsidP="00A62E78">
      <w:pPr>
        <w:autoSpaceDE w:val="0"/>
        <w:autoSpaceDN w:val="0"/>
        <w:adjustRightInd w:val="0"/>
        <w:spacing w:before="0" w:after="0"/>
      </w:pPr>
      <w:r>
        <w:rPr>
          <w:noProof/>
          <w:lang w:eastAsia="en-AU"/>
        </w:rPr>
        <w:drawing>
          <wp:inline distT="0" distB="0" distL="0" distR="0" wp14:anchorId="7657347E" wp14:editId="0A85AB88">
            <wp:extent cx="5731510" cy="3401060"/>
            <wp:effectExtent l="0" t="0" r="8890" b="15240"/>
            <wp:docPr id="32" name="Chart 3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E7C3CE" w14:textId="16E4E785" w:rsidR="00A62E78" w:rsidRDefault="00A62E78" w:rsidP="00A62E78">
      <w:pPr>
        <w:autoSpaceDE w:val="0"/>
        <w:autoSpaceDN w:val="0"/>
        <w:adjustRightInd w:val="0"/>
        <w:spacing w:before="0"/>
      </w:pPr>
      <w:r w:rsidRPr="002E5D06">
        <w:t>Sources:</w:t>
      </w:r>
      <w:r>
        <w:t xml:space="preserve"> </w:t>
      </w:r>
      <w:r>
        <w:rPr>
          <w:sz w:val="20"/>
          <w:szCs w:val="20"/>
        </w:rPr>
        <w:t xml:space="preserve">ABS </w:t>
      </w:r>
      <w:sdt>
        <w:sdtPr>
          <w:rPr>
            <w:sz w:val="20"/>
            <w:szCs w:val="20"/>
          </w:rPr>
          <w:id w:val="2048096889"/>
          <w:citation/>
        </w:sdtPr>
        <w:sdtContent>
          <w:r w:rsidRPr="008B76AB">
            <w:rPr>
              <w:sz w:val="20"/>
              <w:szCs w:val="20"/>
            </w:rPr>
            <w:fldChar w:fldCharType="begin"/>
          </w:r>
          <w:r>
            <w:rPr>
              <w:sz w:val="20"/>
              <w:szCs w:val="20"/>
            </w:rPr>
            <w:instrText xml:space="preserve">CITATION Placeholder7 \n  \t  \l 3081 </w:instrText>
          </w:r>
          <w:r w:rsidRPr="008B76AB">
            <w:rPr>
              <w:sz w:val="20"/>
              <w:szCs w:val="20"/>
            </w:rPr>
            <w:fldChar w:fldCharType="separate"/>
          </w:r>
          <w:r w:rsidRPr="00A62E78">
            <w:rPr>
              <w:noProof/>
              <w:sz w:val="20"/>
              <w:szCs w:val="20"/>
            </w:rPr>
            <w:t>(2020a)</w:t>
          </w:r>
          <w:r w:rsidRPr="008B76AB">
            <w:rPr>
              <w:sz w:val="20"/>
              <w:szCs w:val="20"/>
            </w:rPr>
            <w:fldChar w:fldCharType="end"/>
          </w:r>
        </w:sdtContent>
      </w:sdt>
      <w:r w:rsidRPr="008B76AB">
        <w:rPr>
          <w:sz w:val="20"/>
          <w:szCs w:val="20"/>
        </w:rPr>
        <w:t xml:space="preserve">, </w:t>
      </w:r>
      <w:r w:rsidRPr="000A6656">
        <w:rPr>
          <w:noProof/>
          <w:sz w:val="20"/>
          <w:szCs w:val="20"/>
        </w:rPr>
        <w:t>ACT Government</w:t>
      </w:r>
      <w:r>
        <w:rPr>
          <w:noProof/>
          <w:sz w:val="20"/>
          <w:szCs w:val="20"/>
        </w:rPr>
        <w:t xml:space="preserve"> (2011, 2012, 2013, 2014, 2015, 2016, 2017, 2018a, 2019, 2021).</w:t>
      </w:r>
    </w:p>
    <w:p w14:paraId="514F9179" w14:textId="196D1D71" w:rsidR="00A62E78" w:rsidRDefault="00921C0A" w:rsidP="00A62E78">
      <w:pPr>
        <w:pStyle w:val="BodyText"/>
      </w:pPr>
      <w:r>
        <w:t>Figure 23</w:t>
      </w:r>
      <w:r w:rsidR="00A62E78">
        <w:t xml:space="preserve"> </w:t>
      </w:r>
      <w:r w:rsidR="00E70559">
        <w:t xml:space="preserve">shows </w:t>
      </w:r>
      <w:r w:rsidR="00A62E78">
        <w:t xml:space="preserve">that while there has been some fluctuation in the ratio </w:t>
      </w:r>
      <w:r w:rsidR="00A62E78" w:rsidRPr="00E41783">
        <w:t xml:space="preserve">of net financial liabilities to GSP </w:t>
      </w:r>
      <w:r w:rsidR="00A62E78">
        <w:t xml:space="preserve">over time, the ratio </w:t>
      </w:r>
      <w:r w:rsidR="00A62E78" w:rsidRPr="00E41783">
        <w:t xml:space="preserve">has risen </w:t>
      </w:r>
      <w:r w:rsidR="00A62E78">
        <w:t xml:space="preserve">fairly steadily </w:t>
      </w:r>
      <w:r w:rsidR="00A62E78" w:rsidRPr="00E41783">
        <w:t xml:space="preserve">since 2010-11. </w:t>
      </w:r>
      <w:r w:rsidR="00743F9E">
        <w:t xml:space="preserve"> </w:t>
      </w:r>
    </w:p>
    <w:p w14:paraId="748CAE6A" w14:textId="51D51D30" w:rsidR="00A62E78" w:rsidRDefault="00A62E78" w:rsidP="005F6C61">
      <w:pPr>
        <w:pStyle w:val="BodyText"/>
        <w:rPr>
          <w:szCs w:val="22"/>
        </w:rPr>
      </w:pPr>
      <w:r>
        <w:t xml:space="preserve">A </w:t>
      </w:r>
      <w:r w:rsidRPr="00E41783">
        <w:t xml:space="preserve">spike in 2015-16 was related to a higher forecast superannuation liability and capital provisions to account for some </w:t>
      </w:r>
      <w:r>
        <w:t xml:space="preserve">capital projects that were subsequently procured through a PPP </w:t>
      </w:r>
      <w:sdt>
        <w:sdtPr>
          <w:id w:val="1572617723"/>
          <w:citation/>
        </w:sdtPr>
        <w:sdtContent>
          <w:r>
            <w:fldChar w:fldCharType="begin"/>
          </w:r>
          <w:r w:rsidRPr="00E41783">
            <w:instrText xml:space="preserve">CITATION Placeholder2 \p 289 \l 5129 </w:instrText>
          </w:r>
          <w:r>
            <w:fldChar w:fldCharType="separate"/>
          </w:r>
          <w:r w:rsidRPr="00FE6B4D">
            <w:rPr>
              <w:noProof/>
            </w:rPr>
            <w:t>(ACT Government, 2016, p. 289)</w:t>
          </w:r>
          <w:r>
            <w:fldChar w:fldCharType="end"/>
          </w:r>
        </w:sdtContent>
      </w:sdt>
      <w:r>
        <w:t xml:space="preserve">. A </w:t>
      </w:r>
      <w:r w:rsidRPr="00110DFD">
        <w:rPr>
          <w:szCs w:val="22"/>
        </w:rPr>
        <w:t xml:space="preserve">second spike in 2019-20 </w:t>
      </w:r>
      <w:r w:rsidRPr="00C154F6">
        <w:rPr>
          <w:rFonts w:cs="Calibri"/>
          <w:szCs w:val="22"/>
          <w:lang w:eastAsia="en-GB"/>
        </w:rPr>
        <w:t>largely reflect</w:t>
      </w:r>
      <w:r w:rsidRPr="00110DFD">
        <w:rPr>
          <w:rFonts w:cs="Calibri"/>
          <w:szCs w:val="22"/>
          <w:lang w:eastAsia="en-GB"/>
        </w:rPr>
        <w:t>ed</w:t>
      </w:r>
      <w:r w:rsidRPr="00C154F6">
        <w:rPr>
          <w:rFonts w:cs="Calibri"/>
          <w:szCs w:val="22"/>
          <w:lang w:eastAsia="en-GB"/>
        </w:rPr>
        <w:t xml:space="preserve"> </w:t>
      </w:r>
      <w:r w:rsidRPr="00743F9E">
        <w:rPr>
          <w:rFonts w:cs="Calibri"/>
          <w:szCs w:val="22"/>
          <w:lang w:eastAsia="en-GB"/>
        </w:rPr>
        <w:t xml:space="preserve">growth in the superannuation liability, higher borrowings and the effect of operating leases coming onto the balance sheet as a result of changes in accounting standards </w:t>
      </w:r>
      <w:r w:rsidRPr="00743F9E">
        <w:rPr>
          <w:szCs w:val="22"/>
        </w:rPr>
        <w:t>(ACT Government, 2019, p.295).</w:t>
      </w:r>
    </w:p>
    <w:p w14:paraId="540C0215" w14:textId="7CE4B500" w:rsidR="00A62E78" w:rsidRPr="00110DFD" w:rsidRDefault="00A62E78" w:rsidP="005F6C61">
      <w:pPr>
        <w:pStyle w:val="BodyText"/>
        <w:rPr>
          <w:rFonts w:ascii="Times New Roman" w:hAnsi="Times New Roman"/>
          <w:sz w:val="24"/>
          <w:lang w:eastAsia="en-GB"/>
        </w:rPr>
      </w:pPr>
      <w:r w:rsidRPr="001D3BA2">
        <w:t xml:space="preserve">Continued growth in the ratio of net financial liabilities to GSP </w:t>
      </w:r>
      <w:r>
        <w:t xml:space="preserve">is not desirable in terms of the sustainability of the ACT Government’s debt. The ACT Government has in the past argued that its </w:t>
      </w:r>
      <w:r w:rsidRPr="00110DFD">
        <w:t xml:space="preserve">borrowings </w:t>
      </w:r>
      <w:r>
        <w:t>should</w:t>
      </w:r>
      <w:r w:rsidRPr="00110DFD">
        <w:t xml:space="preserve"> be looked at in the context of </w:t>
      </w:r>
      <w:r>
        <w:t>a</w:t>
      </w:r>
      <w:r w:rsidRPr="00110DFD">
        <w:t xml:space="preserve"> growing economy and budget, rather than as absolute figures in isolation</w:t>
      </w:r>
      <w:r>
        <w:t xml:space="preserve"> </w:t>
      </w:r>
      <w:r w:rsidRPr="005F6C61">
        <w:t>(ACT Government, 2019, p.295).</w:t>
      </w:r>
      <w:r>
        <w:t xml:space="preserve"> Figure </w:t>
      </w:r>
      <w:r w:rsidR="006967FF">
        <w:t>23</w:t>
      </w:r>
      <w:r>
        <w:t xml:space="preserve"> shows that the Territory’s financial liabilities are now growing slightly faster than the Territory’s capacity to support them. This can be </w:t>
      </w:r>
      <w:r w:rsidR="00E70559">
        <w:t>maintain</w:t>
      </w:r>
      <w:r>
        <w:t>ed while interest rates are low and there is some confidence of future growth in the economy but, at some point, the ACT Government will need to develop strategies to achieve its previously articulated principle that the ratio of net financial liabilities to GSP should be broadly stable over time.</w:t>
      </w:r>
    </w:p>
    <w:p w14:paraId="6BB8B6EB" w14:textId="6F54FEA2" w:rsidR="00A62E78" w:rsidRPr="00E97466" w:rsidRDefault="00FE555C" w:rsidP="00A62E78">
      <w:pPr>
        <w:pStyle w:val="Heading2"/>
        <w:spacing w:after="240"/>
      </w:pPr>
      <w:bookmarkStart w:id="162" w:name="_Toc64529055"/>
      <w:r>
        <w:t>7</w:t>
      </w:r>
      <w:r w:rsidR="00A62E78" w:rsidRPr="008A1814">
        <w:t>.4</w:t>
      </w:r>
      <w:r w:rsidR="00A62E78" w:rsidRPr="008A1814">
        <w:tab/>
        <w:t>Net worth</w:t>
      </w:r>
      <w:bookmarkEnd w:id="162"/>
    </w:p>
    <w:p w14:paraId="284E46AA" w14:textId="58042BDB" w:rsidR="00A62E78" w:rsidRDefault="00A62E78" w:rsidP="00A62E78">
      <w:r w:rsidRPr="00E97466">
        <w:t>Net worth is an economic measure of wealth that reflects the value of all financial and non</w:t>
      </w:r>
      <w:r w:rsidRPr="00E97466">
        <w:noBreakHyphen/>
        <w:t xml:space="preserve">financial assets (such as land, plant and equipment) less liabilities, including superannuation liabilities. </w:t>
      </w:r>
    </w:p>
    <w:p w14:paraId="3082397C" w14:textId="52EBE52C" w:rsidR="00692382" w:rsidRPr="00EC4DDE" w:rsidRDefault="00692382" w:rsidP="00EC4DDE">
      <w:r>
        <w:t xml:space="preserve">This indicator is often regarded as the best measure of the sustainability and inter-generational equity of a jurisdiction’s fiscal position </w:t>
      </w:r>
      <w:r w:rsidRPr="00EC4DDE">
        <w:t>(e.g. Rowles, 1992; AARF, 1995; JCPA, 1995a; Mellor, 1996</w:t>
      </w:r>
      <w:r>
        <w:t>, cited in Robinson, 1996</w:t>
      </w:r>
      <w:r w:rsidRPr="00EC4DDE">
        <w:t>)</w:t>
      </w:r>
      <w:r>
        <w:t>.</w:t>
      </w:r>
    </w:p>
    <w:p w14:paraId="3E1C9AB5" w14:textId="77777777" w:rsidR="00692382" w:rsidRPr="00E97466" w:rsidRDefault="00692382" w:rsidP="00A62E78"/>
    <w:p w14:paraId="5DF9B3CF" w14:textId="1DD6352E" w:rsidR="00A62E78" w:rsidRDefault="00A62E78" w:rsidP="00A62E78">
      <w:r>
        <w:rPr>
          <w:rFonts w:cs="Calibri"/>
        </w:rPr>
        <w:lastRenderedPageBreak/>
        <w:t xml:space="preserve">The ACT Government’s net worth is </w:t>
      </w:r>
      <w:r w:rsidRPr="00E97466">
        <w:rPr>
          <w:rFonts w:cs="Calibri"/>
        </w:rPr>
        <w:t xml:space="preserve">positive </w:t>
      </w:r>
      <w:r>
        <w:rPr>
          <w:rFonts w:cs="Calibri"/>
        </w:rPr>
        <w:t xml:space="preserve">but </w:t>
      </w:r>
      <w:r>
        <w:t xml:space="preserve">the forecast figure for net worth for 2020-21 is </w:t>
      </w:r>
      <w:r w:rsidRPr="00806DF5">
        <w:t>5.3</w:t>
      </w:r>
      <w:r w:rsidR="00E70559">
        <w:t> </w:t>
      </w:r>
      <w:r w:rsidRPr="00806DF5">
        <w:t>per</w:t>
      </w:r>
      <w:r w:rsidR="00E70559">
        <w:t xml:space="preserve"> </w:t>
      </w:r>
      <w:r w:rsidRPr="00806DF5">
        <w:t>cent</w:t>
      </w:r>
      <w:r>
        <w:t xml:space="preserve"> lower than forecast in the 2019-20 Budget and net worth </w:t>
      </w:r>
      <w:r>
        <w:rPr>
          <w:rFonts w:cs="Calibri"/>
        </w:rPr>
        <w:t xml:space="preserve">is </w:t>
      </w:r>
      <w:r w:rsidRPr="00E97466">
        <w:t xml:space="preserve">forecast to </w:t>
      </w:r>
      <w:r>
        <w:t>decrease in absolute terms</w:t>
      </w:r>
      <w:r w:rsidRPr="00E97466">
        <w:t xml:space="preserve"> </w:t>
      </w:r>
      <w:r w:rsidRPr="00E97466">
        <w:rPr>
          <w:rFonts w:cs="Calibri"/>
        </w:rPr>
        <w:t>a</w:t>
      </w:r>
      <w:r w:rsidRPr="00E97466">
        <w:t>cross the forward estimates</w:t>
      </w:r>
      <w:r>
        <w:t xml:space="preserve">.  </w:t>
      </w:r>
    </w:p>
    <w:p w14:paraId="4F73F40D" w14:textId="78D090B2" w:rsidR="005F6C61" w:rsidRDefault="00A62E78" w:rsidP="00A62E78">
      <w:r>
        <w:t xml:space="preserve">Figure </w:t>
      </w:r>
      <w:r w:rsidR="006967FF">
        <w:t>24</w:t>
      </w:r>
      <w:r>
        <w:t xml:space="preserve"> illustrates the change in net worth as a proportion of GSP since 2010-11.</w:t>
      </w:r>
    </w:p>
    <w:p w14:paraId="183E53DB" w14:textId="6622FAC2" w:rsidR="00330009" w:rsidRPr="003215B4" w:rsidRDefault="00330009" w:rsidP="00330009">
      <w:pPr>
        <w:pStyle w:val="Caption"/>
      </w:pPr>
      <w:bookmarkStart w:id="163" w:name="_Toc64529116"/>
      <w:r w:rsidRPr="00F34B3B">
        <w:t xml:space="preserve">Figure </w:t>
      </w:r>
      <w:fldSimple w:instr=" SEQ Figure \* ARABIC ">
        <w:r w:rsidR="00AB7125">
          <w:rPr>
            <w:noProof/>
          </w:rPr>
          <w:t>24</w:t>
        </w:r>
      </w:fldSimple>
      <w:r w:rsidRPr="00F34B3B">
        <w:t>: Net worth as a proportion of Gross State Product – 2010-11 to 202</w:t>
      </w:r>
      <w:r>
        <w:t>3</w:t>
      </w:r>
      <w:r w:rsidRPr="00F34B3B">
        <w:t>-2</w:t>
      </w:r>
      <w:r>
        <w:t>4</w:t>
      </w:r>
      <w:r w:rsidRPr="00F34B3B">
        <w:t xml:space="preserve"> (per</w:t>
      </w:r>
      <w:r w:rsidR="00284D58">
        <w:t xml:space="preserve"> </w:t>
      </w:r>
      <w:r w:rsidRPr="00F34B3B">
        <w:t>cent)</w:t>
      </w:r>
      <w:bookmarkEnd w:id="163"/>
    </w:p>
    <w:p w14:paraId="2A23C390" w14:textId="5FA1845E" w:rsidR="00330009" w:rsidRDefault="00330009" w:rsidP="00330009">
      <w:pPr>
        <w:spacing w:before="0"/>
      </w:pPr>
      <w:r>
        <w:rPr>
          <w:noProof/>
          <w:lang w:eastAsia="en-AU"/>
        </w:rPr>
        <w:drawing>
          <wp:inline distT="0" distB="0" distL="0" distR="0" wp14:anchorId="39123E55" wp14:editId="6DB4D8D0">
            <wp:extent cx="5731510" cy="3588232"/>
            <wp:effectExtent l="0" t="0" r="8890" b="6350"/>
            <wp:docPr id="10" name="Chart 1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E5D06">
        <w:t>Sources</w:t>
      </w:r>
      <w:r w:rsidRPr="008B76AB">
        <w:t xml:space="preserve">: </w:t>
      </w:r>
      <w:r w:rsidRPr="008B76AB">
        <w:rPr>
          <w:sz w:val="20"/>
          <w:szCs w:val="20"/>
        </w:rPr>
        <w:t xml:space="preserve">ABS </w:t>
      </w:r>
      <w:sdt>
        <w:sdtPr>
          <w:rPr>
            <w:sz w:val="20"/>
            <w:szCs w:val="20"/>
          </w:rPr>
          <w:id w:val="1114090812"/>
          <w:citation/>
        </w:sdtPr>
        <w:sdtContent>
          <w:r w:rsidRPr="008B76AB">
            <w:rPr>
              <w:sz w:val="20"/>
              <w:szCs w:val="20"/>
            </w:rPr>
            <w:fldChar w:fldCharType="begin"/>
          </w:r>
          <w:r>
            <w:rPr>
              <w:sz w:val="20"/>
              <w:szCs w:val="20"/>
            </w:rPr>
            <w:instrText xml:space="preserve">CITATION Placeholder7 \n  \t  \l 3081 </w:instrText>
          </w:r>
          <w:r w:rsidRPr="008B76AB">
            <w:rPr>
              <w:sz w:val="20"/>
              <w:szCs w:val="20"/>
            </w:rPr>
            <w:fldChar w:fldCharType="separate"/>
          </w:r>
          <w:r w:rsidRPr="00A62E78">
            <w:rPr>
              <w:noProof/>
              <w:sz w:val="20"/>
              <w:szCs w:val="20"/>
            </w:rPr>
            <w:t>(2020a)</w:t>
          </w:r>
          <w:r w:rsidRPr="008B76AB">
            <w:rPr>
              <w:sz w:val="20"/>
              <w:szCs w:val="20"/>
            </w:rPr>
            <w:fldChar w:fldCharType="end"/>
          </w:r>
        </w:sdtContent>
      </w:sdt>
      <w:r w:rsidRPr="008B76AB">
        <w:rPr>
          <w:sz w:val="20"/>
          <w:szCs w:val="20"/>
        </w:rPr>
        <w:t>,</w:t>
      </w:r>
      <w:r w:rsidRPr="003215B4">
        <w:rPr>
          <w:sz w:val="20"/>
          <w:szCs w:val="20"/>
        </w:rPr>
        <w:t xml:space="preserve"> </w:t>
      </w:r>
      <w:r w:rsidRPr="000A6656">
        <w:rPr>
          <w:noProof/>
          <w:sz w:val="20"/>
          <w:szCs w:val="20"/>
        </w:rPr>
        <w:t>ACT Government</w:t>
      </w:r>
      <w:r>
        <w:rPr>
          <w:noProof/>
          <w:sz w:val="20"/>
          <w:szCs w:val="20"/>
        </w:rPr>
        <w:t xml:space="preserve"> (2011, 2012, 2013, 2014, 2015, 2016, 2017, 2018a, 2019, 2021).</w:t>
      </w:r>
    </w:p>
    <w:p w14:paraId="6A251FB6" w14:textId="2A78B997" w:rsidR="00A62E78" w:rsidRDefault="00E900F5" w:rsidP="00EC4DDE">
      <w:r>
        <w:t xml:space="preserve">Figure 24 </w:t>
      </w:r>
      <w:r w:rsidR="00A62E78">
        <w:t xml:space="preserve">shows a fairly consistent long-term decline in the ACT Government’s net worth expressed as a proportion of GSP. The </w:t>
      </w:r>
      <w:r w:rsidR="00E70559">
        <w:t xml:space="preserve">ACT </w:t>
      </w:r>
      <w:r w:rsidR="00A62E78">
        <w:t>Government’s net worth has fallen from around 60 per</w:t>
      </w:r>
      <w:r w:rsidR="00E70559">
        <w:t xml:space="preserve"> </w:t>
      </w:r>
      <w:r w:rsidR="00A62E78">
        <w:t>cent of GSP in 2010-11 to just over 31 per</w:t>
      </w:r>
      <w:r w:rsidR="00E70559">
        <w:t xml:space="preserve"> </w:t>
      </w:r>
      <w:r w:rsidR="00A62E78">
        <w:t>cent in 2019-20 and is forecast to fall to 30 per</w:t>
      </w:r>
      <w:r w:rsidR="009E51ED">
        <w:t xml:space="preserve"> </w:t>
      </w:r>
      <w:r w:rsidR="00A62E78">
        <w:t xml:space="preserve">cent by 2023-24. In nominal terms, net worth in 2023-24 is forecast to be lower than it was in 2010-11. </w:t>
      </w:r>
    </w:p>
    <w:p w14:paraId="2D3E74DE" w14:textId="08AE14C6" w:rsidR="00A62E78" w:rsidRPr="00E97466" w:rsidRDefault="00A62E78" w:rsidP="00A62E78">
      <w:pPr>
        <w:spacing w:before="240"/>
      </w:pPr>
      <w:r w:rsidRPr="00E41783">
        <w:t xml:space="preserve">While the Territory maintains a </w:t>
      </w:r>
      <w:r>
        <w:t xml:space="preserve">positive </w:t>
      </w:r>
      <w:r w:rsidRPr="00E41783">
        <w:t>net worth</w:t>
      </w:r>
      <w:r>
        <w:t>,</w:t>
      </w:r>
      <w:r w:rsidRPr="00E41783">
        <w:t xml:space="preserve"> </w:t>
      </w:r>
      <w:r>
        <w:t xml:space="preserve">this measure </w:t>
      </w:r>
      <w:r w:rsidRPr="00E41783">
        <w:t>has been on a long-term decline since 2010-11</w:t>
      </w:r>
      <w:r>
        <w:t xml:space="preserve"> and in the absence of corrective measures to improve the value of the </w:t>
      </w:r>
      <w:r w:rsidR="00E70559">
        <w:t>ACT </w:t>
      </w:r>
      <w:r>
        <w:t xml:space="preserve">Government’s assets or reduce liabilities, </w:t>
      </w:r>
      <w:r w:rsidRPr="00743F9E">
        <w:t xml:space="preserve">the ratio </w:t>
      </w:r>
      <w:r w:rsidR="00330009">
        <w:t xml:space="preserve">might </w:t>
      </w:r>
      <w:r w:rsidRPr="00743F9E">
        <w:t>be expected to continue to fall.</w:t>
      </w:r>
      <w:r w:rsidRPr="00E41783">
        <w:t xml:space="preserve"> </w:t>
      </w:r>
    </w:p>
    <w:p w14:paraId="501623C4" w14:textId="2B81E28B" w:rsidR="00A62E78" w:rsidRDefault="00FE555C" w:rsidP="00A62E78">
      <w:pPr>
        <w:pStyle w:val="Heading2"/>
        <w:spacing w:after="240"/>
      </w:pPr>
      <w:bookmarkStart w:id="164" w:name="_Toc64529056"/>
      <w:r>
        <w:t>7</w:t>
      </w:r>
      <w:r w:rsidR="00A62E78" w:rsidRPr="00833566">
        <w:t>.5</w:t>
      </w:r>
      <w:r w:rsidR="00A62E78" w:rsidRPr="00833566">
        <w:tab/>
      </w:r>
      <w:r w:rsidR="00A62E78" w:rsidRPr="008A1814">
        <w:t>Superannuation</w:t>
      </w:r>
      <w:bookmarkEnd w:id="164"/>
    </w:p>
    <w:p w14:paraId="7C66FC1A" w14:textId="77777777" w:rsidR="00A62E78" w:rsidRPr="00833566" w:rsidRDefault="00A62E78" w:rsidP="00A62E78">
      <w:pPr>
        <w:rPr>
          <w:rFonts w:cstheme="minorHAnsi"/>
        </w:rPr>
      </w:pPr>
      <w:r w:rsidRPr="00833566">
        <w:t xml:space="preserve">The ACT continues to carry a significant liability associated with the superannuation entitlements of </w:t>
      </w:r>
      <w:r w:rsidRPr="00833566">
        <w:rPr>
          <w:rFonts w:cstheme="minorHAnsi"/>
        </w:rPr>
        <w:t xml:space="preserve">past and present employees who are members of the Commonwealth defined benefit superannuation schemes, </w:t>
      </w:r>
      <w:r w:rsidRPr="00833566">
        <w:rPr>
          <w:rFonts w:cstheme="minorHAnsi"/>
          <w:color w:val="000000"/>
        </w:rPr>
        <w:t>the Commonwealth Superannuation Scheme (CSS) and the Public Sector Superannuation Scheme (PSS)</w:t>
      </w:r>
      <w:r w:rsidRPr="00833566">
        <w:rPr>
          <w:rFonts w:cstheme="minorHAnsi"/>
        </w:rPr>
        <w:t>.</w:t>
      </w:r>
    </w:p>
    <w:p w14:paraId="15E272D9" w14:textId="4FF489D5" w:rsidR="00A62E78" w:rsidRPr="00833566" w:rsidRDefault="00A62E78" w:rsidP="00A62E78">
      <w:pPr>
        <w:autoSpaceDE w:val="0"/>
        <w:autoSpaceDN w:val="0"/>
        <w:adjustRightInd w:val="0"/>
        <w:spacing w:after="0"/>
        <w:rPr>
          <w:rFonts w:ascii="QKXAS F+ Calibri" w:hAnsi="QKXAS F+ Calibri" w:cs="QKXAS F+ Calibri"/>
          <w:color w:val="000000"/>
          <w:sz w:val="24"/>
          <w:szCs w:val="24"/>
        </w:rPr>
      </w:pPr>
      <w:r w:rsidRPr="00833566">
        <w:rPr>
          <w:rFonts w:cstheme="minorHAnsi"/>
          <w:color w:val="000000"/>
        </w:rPr>
        <w:t xml:space="preserve">Approximately </w:t>
      </w:r>
      <w:r>
        <w:rPr>
          <w:rFonts w:cstheme="minorHAnsi"/>
          <w:color w:val="000000"/>
        </w:rPr>
        <w:t>6</w:t>
      </w:r>
      <w:r w:rsidRPr="00833566">
        <w:rPr>
          <w:rFonts w:cstheme="minorHAnsi"/>
          <w:color w:val="000000"/>
        </w:rPr>
        <w:t>,</w:t>
      </w:r>
      <w:r>
        <w:rPr>
          <w:rFonts w:cstheme="minorHAnsi"/>
          <w:color w:val="000000"/>
        </w:rPr>
        <w:t>6</w:t>
      </w:r>
      <w:r w:rsidRPr="00833566">
        <w:rPr>
          <w:rFonts w:cstheme="minorHAnsi"/>
          <w:color w:val="000000"/>
        </w:rPr>
        <w:t xml:space="preserve">00 current full-time employees are members of these schemes. In addition, the ACT </w:t>
      </w:r>
      <w:r w:rsidR="0098337F">
        <w:rPr>
          <w:rFonts w:cstheme="minorHAnsi"/>
          <w:color w:val="000000"/>
        </w:rPr>
        <w:t xml:space="preserve">Government </w:t>
      </w:r>
      <w:r w:rsidRPr="00833566">
        <w:rPr>
          <w:rFonts w:cstheme="minorHAnsi"/>
          <w:color w:val="000000"/>
        </w:rPr>
        <w:t>has liabilities in the two schemes in relation to a further 2</w:t>
      </w:r>
      <w:r>
        <w:rPr>
          <w:rFonts w:cstheme="minorHAnsi"/>
          <w:color w:val="000000"/>
        </w:rPr>
        <w:t>8</w:t>
      </w:r>
      <w:r w:rsidRPr="00833566">
        <w:rPr>
          <w:rFonts w:cstheme="minorHAnsi"/>
          <w:color w:val="000000"/>
        </w:rPr>
        <w:t>,</w:t>
      </w:r>
      <w:r>
        <w:rPr>
          <w:rFonts w:cstheme="minorHAnsi"/>
          <w:color w:val="000000"/>
        </w:rPr>
        <w:t>8</w:t>
      </w:r>
      <w:r w:rsidRPr="00833566">
        <w:rPr>
          <w:rFonts w:cstheme="minorHAnsi"/>
          <w:color w:val="000000"/>
        </w:rPr>
        <w:t>00 former ACT Government employees. Both the CSS and PSS schemes are closed to new members. Since 1 July 2005, new employees have had access to defined contribution scheme arrangements</w:t>
      </w:r>
      <w:r w:rsidRPr="00833566">
        <w:rPr>
          <w:rFonts w:ascii="QKXAS F+ Calibri" w:hAnsi="QKXAS F+ Calibri" w:cs="QKXAS F+ Calibri"/>
          <w:color w:val="000000"/>
        </w:rPr>
        <w:t xml:space="preserve"> under which the </w:t>
      </w:r>
      <w:r w:rsidR="0098337F">
        <w:rPr>
          <w:rFonts w:ascii="QKXAS F+ Calibri" w:hAnsi="QKXAS F+ Calibri" w:cs="QKXAS F+ Calibri"/>
          <w:color w:val="000000"/>
        </w:rPr>
        <w:t xml:space="preserve">ACT </w:t>
      </w:r>
      <w:r w:rsidRPr="00833566">
        <w:rPr>
          <w:rFonts w:ascii="QKXAS F+ Calibri" w:hAnsi="QKXAS F+ Calibri" w:cs="QKXAS F+ Calibri"/>
          <w:color w:val="000000"/>
        </w:rPr>
        <w:t>Government makes fortnightly payments to each employee’s designated superannuation fund (</w:t>
      </w:r>
      <w:r w:rsidRPr="00833566">
        <w:t>ACT Government, 2019, p 298)</w:t>
      </w:r>
      <w:r w:rsidRPr="00833566">
        <w:rPr>
          <w:rFonts w:ascii="QKXAS F+ Calibri" w:hAnsi="QKXAS F+ Calibri" w:cs="QKXAS F+ Calibri"/>
          <w:color w:val="000000"/>
        </w:rPr>
        <w:t>.</w:t>
      </w:r>
    </w:p>
    <w:p w14:paraId="2B5CBCFC" w14:textId="1EECBC60" w:rsidR="00A62E78" w:rsidRDefault="00A62E78" w:rsidP="00A62E78">
      <w:pPr>
        <w:spacing w:before="240"/>
      </w:pPr>
      <w:r>
        <w:t xml:space="preserve">Table </w:t>
      </w:r>
      <w:r w:rsidR="00317405">
        <w:t>9</w:t>
      </w:r>
      <w:r>
        <w:t xml:space="preserve"> </w:t>
      </w:r>
      <w:r w:rsidRPr="00833566">
        <w:t>below sets out the most recent estimation of the Territory’s superannuation liability.</w:t>
      </w:r>
    </w:p>
    <w:p w14:paraId="510A84FD" w14:textId="703EF320" w:rsidR="00330009" w:rsidRPr="00E97466" w:rsidRDefault="00E81ABF" w:rsidP="00330009">
      <w:pPr>
        <w:pStyle w:val="Caption"/>
      </w:pPr>
      <w:r>
        <w:br w:type="page"/>
      </w:r>
      <w:bookmarkStart w:id="165" w:name="_Toc64529089"/>
      <w:r w:rsidR="00330009">
        <w:lastRenderedPageBreak/>
        <w:t xml:space="preserve">Table </w:t>
      </w:r>
      <w:r w:rsidR="00330009">
        <w:rPr>
          <w:noProof/>
        </w:rPr>
        <w:fldChar w:fldCharType="begin"/>
      </w:r>
      <w:r w:rsidR="00330009">
        <w:rPr>
          <w:noProof/>
        </w:rPr>
        <w:instrText xml:space="preserve"> SEQ Table \* ARABIC </w:instrText>
      </w:r>
      <w:r w:rsidR="00330009">
        <w:rPr>
          <w:noProof/>
        </w:rPr>
        <w:fldChar w:fldCharType="separate"/>
      </w:r>
      <w:r w:rsidR="00AB7125">
        <w:rPr>
          <w:noProof/>
        </w:rPr>
        <w:t>9</w:t>
      </w:r>
      <w:r w:rsidR="00330009">
        <w:rPr>
          <w:noProof/>
        </w:rPr>
        <w:fldChar w:fldCharType="end"/>
      </w:r>
      <w:r w:rsidR="00330009">
        <w:t xml:space="preserve">: </w:t>
      </w:r>
      <w:r w:rsidR="00330009" w:rsidRPr="00E97466">
        <w:t>Defined Benefit Superannuation Liability</w:t>
      </w:r>
      <w:bookmarkEnd w:id="165"/>
    </w:p>
    <w:tbl>
      <w:tblPr>
        <w:tblW w:w="9105" w:type="dxa"/>
        <w:jc w:val="center"/>
        <w:tblLayout w:type="fixed"/>
        <w:tblCellMar>
          <w:left w:w="30" w:type="dxa"/>
          <w:right w:w="30" w:type="dxa"/>
        </w:tblCellMar>
        <w:tblLook w:val="04A0" w:firstRow="1" w:lastRow="0" w:firstColumn="1" w:lastColumn="0" w:noHBand="0" w:noVBand="1"/>
      </w:tblPr>
      <w:tblGrid>
        <w:gridCol w:w="1849"/>
        <w:gridCol w:w="1451"/>
        <w:gridCol w:w="1451"/>
        <w:gridCol w:w="1451"/>
        <w:gridCol w:w="1451"/>
        <w:gridCol w:w="1452"/>
      </w:tblGrid>
      <w:tr w:rsidR="00330009" w:rsidRPr="00833566" w14:paraId="4B553103" w14:textId="77777777" w:rsidTr="00171AC0">
        <w:trPr>
          <w:jc w:val="center"/>
        </w:trPr>
        <w:tc>
          <w:tcPr>
            <w:tcW w:w="1849" w:type="dxa"/>
            <w:tcBorders>
              <w:top w:val="single" w:sz="4" w:space="0" w:color="auto"/>
              <w:left w:val="nil"/>
              <w:bottom w:val="nil"/>
              <w:right w:val="nil"/>
            </w:tcBorders>
          </w:tcPr>
          <w:p w14:paraId="1B9CB1FB" w14:textId="77777777" w:rsidR="00330009" w:rsidRDefault="00330009" w:rsidP="00171AC0">
            <w:pPr>
              <w:keepNext/>
              <w:spacing w:after="0"/>
              <w:jc w:val="right"/>
              <w:rPr>
                <w:rFonts w:cs="Calibri"/>
                <w:b/>
                <w:bCs/>
                <w:szCs w:val="24"/>
                <w:highlight w:val="green"/>
              </w:rPr>
            </w:pPr>
          </w:p>
        </w:tc>
        <w:tc>
          <w:tcPr>
            <w:tcW w:w="1451" w:type="dxa"/>
            <w:tcBorders>
              <w:top w:val="single" w:sz="4" w:space="0" w:color="auto"/>
              <w:left w:val="nil"/>
              <w:bottom w:val="nil"/>
              <w:right w:val="nil"/>
            </w:tcBorders>
            <w:hideMark/>
          </w:tcPr>
          <w:p w14:paraId="6564BC61" w14:textId="77777777" w:rsidR="00330009" w:rsidRPr="00833566" w:rsidRDefault="00330009" w:rsidP="00171AC0">
            <w:pPr>
              <w:pStyle w:val="BStableheading"/>
              <w:framePr w:wrap="around"/>
              <w:spacing w:line="256" w:lineRule="auto"/>
            </w:pPr>
            <w:r w:rsidRPr="00833566">
              <w:t>201</w:t>
            </w:r>
            <w:r>
              <w:t>9</w:t>
            </w:r>
            <w:r w:rsidRPr="00833566">
              <w:t>-</w:t>
            </w:r>
            <w:r>
              <w:t>20</w:t>
            </w:r>
          </w:p>
          <w:p w14:paraId="649BB90A" w14:textId="77777777" w:rsidR="00330009" w:rsidRPr="00833566" w:rsidRDefault="00330009" w:rsidP="00171AC0">
            <w:pPr>
              <w:pStyle w:val="BStableheading"/>
              <w:framePr w:wrap="around"/>
              <w:spacing w:line="256" w:lineRule="auto"/>
            </w:pPr>
            <w:r>
              <w:t>Actual</w:t>
            </w:r>
          </w:p>
          <w:p w14:paraId="4516B2BD" w14:textId="77777777" w:rsidR="00330009" w:rsidRPr="00833566" w:rsidRDefault="00330009" w:rsidP="00171AC0">
            <w:pPr>
              <w:pStyle w:val="BStableheading"/>
              <w:framePr w:wrap="around"/>
              <w:spacing w:line="256" w:lineRule="auto"/>
            </w:pPr>
            <w:r w:rsidRPr="00833566">
              <w:t>$’000</w:t>
            </w:r>
          </w:p>
        </w:tc>
        <w:tc>
          <w:tcPr>
            <w:tcW w:w="1451" w:type="dxa"/>
            <w:tcBorders>
              <w:top w:val="single" w:sz="4" w:space="0" w:color="auto"/>
              <w:left w:val="nil"/>
              <w:bottom w:val="nil"/>
              <w:right w:val="nil"/>
            </w:tcBorders>
            <w:hideMark/>
          </w:tcPr>
          <w:p w14:paraId="12D3CB0A" w14:textId="77777777" w:rsidR="00330009" w:rsidRPr="00833566" w:rsidRDefault="00330009" w:rsidP="00171AC0">
            <w:pPr>
              <w:pStyle w:val="BStableheading"/>
              <w:framePr w:wrap="auto" w:vAnchor="margin" w:yAlign="inline"/>
              <w:spacing w:line="256" w:lineRule="auto"/>
            </w:pPr>
            <w:r w:rsidRPr="00833566">
              <w:t>2020-21</w:t>
            </w:r>
          </w:p>
          <w:p w14:paraId="6220F1F5" w14:textId="77777777" w:rsidR="00330009" w:rsidRPr="00833566" w:rsidRDefault="00330009" w:rsidP="00171AC0">
            <w:pPr>
              <w:pStyle w:val="BStableheading"/>
              <w:framePr w:wrap="around"/>
              <w:spacing w:line="256" w:lineRule="auto"/>
            </w:pPr>
            <w:r w:rsidRPr="00833566">
              <w:t>Budget</w:t>
            </w:r>
          </w:p>
          <w:p w14:paraId="24EF2E1B" w14:textId="77777777" w:rsidR="00330009" w:rsidRPr="00833566" w:rsidRDefault="00330009" w:rsidP="00171AC0">
            <w:pPr>
              <w:pStyle w:val="BStableheading"/>
              <w:framePr w:wrap="around"/>
              <w:spacing w:line="256" w:lineRule="auto"/>
            </w:pPr>
            <w:r w:rsidRPr="00833566">
              <w:t>$’000</w:t>
            </w:r>
          </w:p>
        </w:tc>
        <w:tc>
          <w:tcPr>
            <w:tcW w:w="1451" w:type="dxa"/>
            <w:tcBorders>
              <w:top w:val="single" w:sz="4" w:space="0" w:color="auto"/>
              <w:left w:val="nil"/>
              <w:bottom w:val="nil"/>
              <w:right w:val="nil"/>
            </w:tcBorders>
            <w:hideMark/>
          </w:tcPr>
          <w:p w14:paraId="06C87D15" w14:textId="77777777" w:rsidR="00330009" w:rsidRPr="00833566" w:rsidRDefault="00330009" w:rsidP="00171AC0">
            <w:pPr>
              <w:pStyle w:val="BStableheading"/>
              <w:framePr w:wrap="auto" w:vAnchor="margin" w:yAlign="inline"/>
              <w:spacing w:line="256" w:lineRule="auto"/>
            </w:pPr>
            <w:r w:rsidRPr="00833566">
              <w:t>2021-22</w:t>
            </w:r>
          </w:p>
          <w:p w14:paraId="547335BE" w14:textId="77777777" w:rsidR="00330009" w:rsidRPr="00833566" w:rsidRDefault="00330009" w:rsidP="00171AC0">
            <w:pPr>
              <w:pStyle w:val="BStableheading"/>
              <w:framePr w:wrap="around"/>
              <w:spacing w:line="256" w:lineRule="auto"/>
            </w:pPr>
            <w:r w:rsidRPr="00833566">
              <w:t>Estimate</w:t>
            </w:r>
          </w:p>
          <w:p w14:paraId="62E18CD1" w14:textId="77777777" w:rsidR="00330009" w:rsidRPr="00833566" w:rsidRDefault="00330009" w:rsidP="00171AC0">
            <w:pPr>
              <w:pStyle w:val="BStableheading"/>
              <w:framePr w:wrap="around"/>
              <w:spacing w:line="256" w:lineRule="auto"/>
            </w:pPr>
            <w:r w:rsidRPr="00833566">
              <w:t>$’000</w:t>
            </w:r>
          </w:p>
        </w:tc>
        <w:tc>
          <w:tcPr>
            <w:tcW w:w="1451" w:type="dxa"/>
            <w:tcBorders>
              <w:top w:val="single" w:sz="4" w:space="0" w:color="auto"/>
              <w:left w:val="nil"/>
              <w:bottom w:val="nil"/>
              <w:right w:val="nil"/>
            </w:tcBorders>
            <w:hideMark/>
          </w:tcPr>
          <w:p w14:paraId="01E4231E" w14:textId="77777777" w:rsidR="00330009" w:rsidRPr="00833566" w:rsidRDefault="00330009" w:rsidP="00171AC0">
            <w:pPr>
              <w:pStyle w:val="BStableheading"/>
              <w:framePr w:wrap="auto" w:vAnchor="margin" w:yAlign="inline"/>
              <w:spacing w:line="256" w:lineRule="auto"/>
            </w:pPr>
            <w:r w:rsidRPr="00833566">
              <w:t>2022-23</w:t>
            </w:r>
          </w:p>
          <w:p w14:paraId="2823ECAC" w14:textId="77777777" w:rsidR="00330009" w:rsidRPr="00833566" w:rsidRDefault="00330009" w:rsidP="00171AC0">
            <w:pPr>
              <w:pStyle w:val="BStableheading"/>
              <w:framePr w:wrap="around"/>
              <w:spacing w:line="256" w:lineRule="auto"/>
            </w:pPr>
            <w:r w:rsidRPr="00833566">
              <w:t>Estimate</w:t>
            </w:r>
          </w:p>
          <w:p w14:paraId="053B53DD" w14:textId="77777777" w:rsidR="00330009" w:rsidRPr="00833566" w:rsidRDefault="00330009" w:rsidP="00171AC0">
            <w:pPr>
              <w:pStyle w:val="BStableheading"/>
              <w:framePr w:wrap="around"/>
              <w:spacing w:line="256" w:lineRule="auto"/>
            </w:pPr>
            <w:r w:rsidRPr="00833566">
              <w:t>$’000</w:t>
            </w:r>
          </w:p>
        </w:tc>
        <w:tc>
          <w:tcPr>
            <w:tcW w:w="1452" w:type="dxa"/>
            <w:tcBorders>
              <w:top w:val="single" w:sz="4" w:space="0" w:color="auto"/>
              <w:left w:val="nil"/>
              <w:bottom w:val="nil"/>
              <w:right w:val="nil"/>
            </w:tcBorders>
            <w:hideMark/>
          </w:tcPr>
          <w:p w14:paraId="500CF371" w14:textId="77777777" w:rsidR="00330009" w:rsidRPr="00833566" w:rsidRDefault="00330009" w:rsidP="00171AC0">
            <w:pPr>
              <w:pStyle w:val="BStableheading"/>
              <w:framePr w:wrap="around"/>
              <w:spacing w:line="256" w:lineRule="auto"/>
            </w:pPr>
            <w:r w:rsidRPr="00833566">
              <w:t>202</w:t>
            </w:r>
            <w:r>
              <w:t>3</w:t>
            </w:r>
            <w:r w:rsidRPr="00833566">
              <w:t>-2</w:t>
            </w:r>
            <w:r>
              <w:t>4</w:t>
            </w:r>
          </w:p>
          <w:p w14:paraId="1BE40BB2" w14:textId="77777777" w:rsidR="00330009" w:rsidRPr="00833566" w:rsidRDefault="00330009" w:rsidP="00171AC0">
            <w:pPr>
              <w:pStyle w:val="BStableheading"/>
              <w:framePr w:wrap="around"/>
              <w:spacing w:line="256" w:lineRule="auto"/>
            </w:pPr>
            <w:r w:rsidRPr="00833566">
              <w:t>Estimate</w:t>
            </w:r>
          </w:p>
          <w:p w14:paraId="16A176BF" w14:textId="77777777" w:rsidR="00330009" w:rsidRPr="00833566" w:rsidRDefault="00330009" w:rsidP="00171AC0">
            <w:pPr>
              <w:pStyle w:val="BStableheading"/>
              <w:framePr w:wrap="around"/>
              <w:spacing w:line="256" w:lineRule="auto"/>
            </w:pPr>
            <w:r w:rsidRPr="00833566">
              <w:t>$’000</w:t>
            </w:r>
          </w:p>
        </w:tc>
      </w:tr>
      <w:tr w:rsidR="00330009" w:rsidRPr="00833566" w14:paraId="6C47D7A0" w14:textId="77777777" w:rsidTr="00171AC0">
        <w:trPr>
          <w:jc w:val="center"/>
        </w:trPr>
        <w:tc>
          <w:tcPr>
            <w:tcW w:w="1849" w:type="dxa"/>
            <w:tcBorders>
              <w:top w:val="single" w:sz="4" w:space="0" w:color="auto"/>
              <w:left w:val="nil"/>
              <w:bottom w:val="nil"/>
              <w:right w:val="nil"/>
            </w:tcBorders>
            <w:hideMark/>
          </w:tcPr>
          <w:p w14:paraId="1E461FB3" w14:textId="77777777" w:rsidR="00330009" w:rsidRPr="00833566" w:rsidRDefault="00330009" w:rsidP="00171AC0">
            <w:pPr>
              <w:pStyle w:val="BStabletextbold"/>
            </w:pPr>
            <w:r w:rsidRPr="00833566">
              <w:t>Opening liability</w:t>
            </w:r>
          </w:p>
        </w:tc>
        <w:tc>
          <w:tcPr>
            <w:tcW w:w="1451" w:type="dxa"/>
            <w:tcBorders>
              <w:top w:val="single" w:sz="4" w:space="0" w:color="auto"/>
              <w:left w:val="nil"/>
              <w:bottom w:val="nil"/>
              <w:right w:val="nil"/>
            </w:tcBorders>
            <w:hideMark/>
          </w:tcPr>
          <w:p w14:paraId="033AE72E" w14:textId="77777777" w:rsidR="00330009" w:rsidRPr="00833566" w:rsidRDefault="00330009" w:rsidP="00171AC0">
            <w:pPr>
              <w:pStyle w:val="BStablefiguresbold"/>
            </w:pPr>
            <w:r w:rsidRPr="00F16A35">
              <w:t>11,771,324</w:t>
            </w:r>
          </w:p>
        </w:tc>
        <w:tc>
          <w:tcPr>
            <w:tcW w:w="1451" w:type="dxa"/>
            <w:tcBorders>
              <w:top w:val="single" w:sz="4" w:space="0" w:color="auto"/>
              <w:left w:val="nil"/>
              <w:bottom w:val="nil"/>
              <w:right w:val="nil"/>
            </w:tcBorders>
            <w:hideMark/>
          </w:tcPr>
          <w:p w14:paraId="05C37853" w14:textId="77777777" w:rsidR="00330009" w:rsidRPr="00833566" w:rsidRDefault="00330009" w:rsidP="00171AC0">
            <w:pPr>
              <w:pStyle w:val="BStablefiguresbold"/>
            </w:pPr>
            <w:r w:rsidRPr="00F16A35">
              <w:t>12,053,516</w:t>
            </w:r>
          </w:p>
        </w:tc>
        <w:tc>
          <w:tcPr>
            <w:tcW w:w="1451" w:type="dxa"/>
            <w:tcBorders>
              <w:top w:val="single" w:sz="4" w:space="0" w:color="auto"/>
              <w:left w:val="nil"/>
              <w:bottom w:val="nil"/>
              <w:right w:val="nil"/>
            </w:tcBorders>
            <w:hideMark/>
          </w:tcPr>
          <w:p w14:paraId="36EBCCDD" w14:textId="77777777" w:rsidR="00330009" w:rsidRPr="00833566" w:rsidRDefault="00330009" w:rsidP="00171AC0">
            <w:pPr>
              <w:pStyle w:val="BStablefiguresbold"/>
            </w:pPr>
            <w:r w:rsidRPr="00F16A35">
              <w:t>8,281,129</w:t>
            </w:r>
          </w:p>
        </w:tc>
        <w:tc>
          <w:tcPr>
            <w:tcW w:w="1451" w:type="dxa"/>
            <w:tcBorders>
              <w:top w:val="single" w:sz="4" w:space="0" w:color="auto"/>
              <w:left w:val="nil"/>
              <w:bottom w:val="nil"/>
              <w:right w:val="nil"/>
            </w:tcBorders>
            <w:hideMark/>
          </w:tcPr>
          <w:p w14:paraId="0F1F1A69" w14:textId="77777777" w:rsidR="00330009" w:rsidRPr="00833566" w:rsidRDefault="00330009" w:rsidP="00171AC0">
            <w:pPr>
              <w:pStyle w:val="BStablefiguresbold"/>
            </w:pPr>
            <w:r w:rsidRPr="00F16A35">
              <w:t>8,506,561</w:t>
            </w:r>
          </w:p>
        </w:tc>
        <w:tc>
          <w:tcPr>
            <w:tcW w:w="1452" w:type="dxa"/>
            <w:tcBorders>
              <w:top w:val="single" w:sz="4" w:space="0" w:color="auto"/>
              <w:left w:val="nil"/>
              <w:bottom w:val="nil"/>
              <w:right w:val="nil"/>
            </w:tcBorders>
            <w:hideMark/>
          </w:tcPr>
          <w:p w14:paraId="3744FA6C" w14:textId="77777777" w:rsidR="00330009" w:rsidRPr="00833566" w:rsidRDefault="00330009" w:rsidP="00171AC0">
            <w:pPr>
              <w:pStyle w:val="BStablefiguresbold"/>
            </w:pPr>
            <w:r w:rsidRPr="00F16A35">
              <w:t>8,716,078</w:t>
            </w:r>
          </w:p>
        </w:tc>
      </w:tr>
      <w:tr w:rsidR="00330009" w:rsidRPr="00833566" w14:paraId="6E683A43" w14:textId="77777777" w:rsidTr="00171AC0">
        <w:trPr>
          <w:jc w:val="center"/>
        </w:trPr>
        <w:tc>
          <w:tcPr>
            <w:tcW w:w="1849" w:type="dxa"/>
            <w:hideMark/>
          </w:tcPr>
          <w:p w14:paraId="1B27FF87" w14:textId="77777777" w:rsidR="00330009" w:rsidRPr="00833566" w:rsidRDefault="00330009" w:rsidP="00171AC0">
            <w:pPr>
              <w:pStyle w:val="BStabletext"/>
            </w:pPr>
            <w:r w:rsidRPr="00833566">
              <w:t>Service cost</w:t>
            </w:r>
          </w:p>
        </w:tc>
        <w:tc>
          <w:tcPr>
            <w:tcW w:w="1451" w:type="dxa"/>
            <w:hideMark/>
          </w:tcPr>
          <w:p w14:paraId="68828ED2" w14:textId="77777777" w:rsidR="00330009" w:rsidRPr="00833566" w:rsidRDefault="00330009" w:rsidP="00171AC0">
            <w:pPr>
              <w:pStyle w:val="BStablefigures"/>
            </w:pPr>
            <w:r w:rsidRPr="00F16A35">
              <w:t>278,234</w:t>
            </w:r>
          </w:p>
        </w:tc>
        <w:tc>
          <w:tcPr>
            <w:tcW w:w="1451" w:type="dxa"/>
            <w:hideMark/>
          </w:tcPr>
          <w:p w14:paraId="73ADF1A4" w14:textId="77777777" w:rsidR="00330009" w:rsidRPr="00833566" w:rsidRDefault="00330009" w:rsidP="00171AC0">
            <w:pPr>
              <w:pStyle w:val="BStablefigures"/>
            </w:pPr>
            <w:r w:rsidRPr="00F16A35">
              <w:t>268,995</w:t>
            </w:r>
          </w:p>
        </w:tc>
        <w:tc>
          <w:tcPr>
            <w:tcW w:w="1451" w:type="dxa"/>
            <w:hideMark/>
          </w:tcPr>
          <w:p w14:paraId="731C1B3C" w14:textId="77777777" w:rsidR="00330009" w:rsidRPr="00833566" w:rsidRDefault="00330009" w:rsidP="00171AC0">
            <w:pPr>
              <w:pStyle w:val="BStablefigures"/>
            </w:pPr>
            <w:r w:rsidRPr="00F16A35">
              <w:t>142,657</w:t>
            </w:r>
          </w:p>
        </w:tc>
        <w:tc>
          <w:tcPr>
            <w:tcW w:w="1451" w:type="dxa"/>
            <w:hideMark/>
          </w:tcPr>
          <w:p w14:paraId="184DB3FA" w14:textId="77777777" w:rsidR="00330009" w:rsidRPr="00833566" w:rsidRDefault="00330009" w:rsidP="00171AC0">
            <w:pPr>
              <w:pStyle w:val="BStablefigures"/>
            </w:pPr>
            <w:r w:rsidRPr="00F16A35">
              <w:t>136,386</w:t>
            </w:r>
          </w:p>
        </w:tc>
        <w:tc>
          <w:tcPr>
            <w:tcW w:w="1452" w:type="dxa"/>
            <w:hideMark/>
          </w:tcPr>
          <w:p w14:paraId="77FE35F0" w14:textId="77777777" w:rsidR="00330009" w:rsidRPr="00833566" w:rsidRDefault="00330009" w:rsidP="00171AC0">
            <w:pPr>
              <w:pStyle w:val="BStablefigures"/>
            </w:pPr>
            <w:r w:rsidRPr="00F16A35">
              <w:t>130,505</w:t>
            </w:r>
          </w:p>
        </w:tc>
      </w:tr>
      <w:tr w:rsidR="00330009" w:rsidRPr="00833566" w14:paraId="64D1CF97" w14:textId="77777777" w:rsidTr="00171AC0">
        <w:trPr>
          <w:jc w:val="center"/>
        </w:trPr>
        <w:tc>
          <w:tcPr>
            <w:tcW w:w="1849" w:type="dxa"/>
            <w:hideMark/>
          </w:tcPr>
          <w:p w14:paraId="2F9002C5" w14:textId="77777777" w:rsidR="00330009" w:rsidRPr="00833566" w:rsidRDefault="00330009" w:rsidP="00171AC0">
            <w:pPr>
              <w:pStyle w:val="BStabletext"/>
            </w:pPr>
            <w:r w:rsidRPr="00833566">
              <w:t>Interest cost</w:t>
            </w:r>
          </w:p>
        </w:tc>
        <w:tc>
          <w:tcPr>
            <w:tcW w:w="1451" w:type="dxa"/>
            <w:hideMark/>
          </w:tcPr>
          <w:p w14:paraId="42C6FEBB" w14:textId="77777777" w:rsidR="00330009" w:rsidRPr="00833566" w:rsidRDefault="00330009" w:rsidP="00171AC0">
            <w:pPr>
              <w:pStyle w:val="BStablefigures"/>
            </w:pPr>
            <w:r w:rsidRPr="00F16A35">
              <w:t>228,635</w:t>
            </w:r>
          </w:p>
        </w:tc>
        <w:tc>
          <w:tcPr>
            <w:tcW w:w="1451" w:type="dxa"/>
            <w:hideMark/>
          </w:tcPr>
          <w:p w14:paraId="67272A7E" w14:textId="77777777" w:rsidR="00330009" w:rsidRPr="00833566" w:rsidRDefault="00330009" w:rsidP="00171AC0">
            <w:pPr>
              <w:pStyle w:val="BStablefigures"/>
            </w:pPr>
            <w:r w:rsidRPr="00F16A35">
              <w:t>210,537</w:t>
            </w:r>
          </w:p>
        </w:tc>
        <w:tc>
          <w:tcPr>
            <w:tcW w:w="1451" w:type="dxa"/>
            <w:hideMark/>
          </w:tcPr>
          <w:p w14:paraId="64960674" w14:textId="77777777" w:rsidR="00330009" w:rsidRPr="00833566" w:rsidRDefault="00330009" w:rsidP="00171AC0">
            <w:pPr>
              <w:pStyle w:val="BStablefigures"/>
            </w:pPr>
            <w:r w:rsidRPr="00F16A35">
              <w:t>413,132</w:t>
            </w:r>
          </w:p>
        </w:tc>
        <w:tc>
          <w:tcPr>
            <w:tcW w:w="1451" w:type="dxa"/>
            <w:hideMark/>
          </w:tcPr>
          <w:p w14:paraId="6A827272" w14:textId="77777777" w:rsidR="00330009" w:rsidRPr="00833566" w:rsidRDefault="00330009" w:rsidP="00171AC0">
            <w:pPr>
              <w:pStyle w:val="BStablefigures"/>
            </w:pPr>
            <w:r w:rsidRPr="00F16A35">
              <w:t>423,600</w:t>
            </w:r>
          </w:p>
        </w:tc>
        <w:tc>
          <w:tcPr>
            <w:tcW w:w="1452" w:type="dxa"/>
            <w:hideMark/>
          </w:tcPr>
          <w:p w14:paraId="296D653E" w14:textId="77777777" w:rsidR="00330009" w:rsidRPr="00833566" w:rsidRDefault="00330009" w:rsidP="00171AC0">
            <w:pPr>
              <w:pStyle w:val="BStablefigures"/>
            </w:pPr>
            <w:r w:rsidRPr="00F16A35">
              <w:t>433,282</w:t>
            </w:r>
          </w:p>
        </w:tc>
      </w:tr>
      <w:tr w:rsidR="00330009" w:rsidRPr="00833566" w14:paraId="3C57119C" w14:textId="77777777" w:rsidTr="00171AC0">
        <w:trPr>
          <w:jc w:val="center"/>
        </w:trPr>
        <w:tc>
          <w:tcPr>
            <w:tcW w:w="1849" w:type="dxa"/>
            <w:hideMark/>
          </w:tcPr>
          <w:p w14:paraId="6015CC6A" w14:textId="77777777" w:rsidR="00330009" w:rsidRPr="00833566" w:rsidRDefault="00330009" w:rsidP="00171AC0">
            <w:pPr>
              <w:pStyle w:val="BStabletext"/>
            </w:pPr>
            <w:r w:rsidRPr="00833566">
              <w:t>Benefit payments</w:t>
            </w:r>
          </w:p>
        </w:tc>
        <w:tc>
          <w:tcPr>
            <w:tcW w:w="1451" w:type="dxa"/>
            <w:hideMark/>
          </w:tcPr>
          <w:p w14:paraId="3F4FE250" w14:textId="77777777" w:rsidR="00330009" w:rsidRPr="00833566" w:rsidRDefault="00330009" w:rsidP="00171AC0">
            <w:pPr>
              <w:pStyle w:val="BStablefigures"/>
            </w:pPr>
            <w:r w:rsidRPr="00F16A35">
              <w:t>-282,062</w:t>
            </w:r>
          </w:p>
        </w:tc>
        <w:tc>
          <w:tcPr>
            <w:tcW w:w="1451" w:type="dxa"/>
            <w:hideMark/>
          </w:tcPr>
          <w:p w14:paraId="76A9EECD" w14:textId="77777777" w:rsidR="00330009" w:rsidRPr="00833566" w:rsidRDefault="00330009" w:rsidP="00171AC0">
            <w:pPr>
              <w:pStyle w:val="BStablefigures"/>
            </w:pPr>
            <w:r w:rsidRPr="00F16A35">
              <w:t>-308,993</w:t>
            </w:r>
          </w:p>
        </w:tc>
        <w:tc>
          <w:tcPr>
            <w:tcW w:w="1451" w:type="dxa"/>
            <w:hideMark/>
          </w:tcPr>
          <w:p w14:paraId="703B2335" w14:textId="77777777" w:rsidR="00330009" w:rsidRPr="00833566" w:rsidRDefault="00330009" w:rsidP="00171AC0">
            <w:pPr>
              <w:pStyle w:val="BStablefigures"/>
            </w:pPr>
            <w:r w:rsidRPr="00F16A35">
              <w:t>-330,357</w:t>
            </w:r>
          </w:p>
        </w:tc>
        <w:tc>
          <w:tcPr>
            <w:tcW w:w="1451" w:type="dxa"/>
            <w:hideMark/>
          </w:tcPr>
          <w:p w14:paraId="27C2A875" w14:textId="77777777" w:rsidR="00330009" w:rsidRPr="00833566" w:rsidRDefault="00330009" w:rsidP="00171AC0">
            <w:pPr>
              <w:pStyle w:val="BStablefigures"/>
            </w:pPr>
            <w:r w:rsidRPr="00F16A35">
              <w:t>-350,469</w:t>
            </w:r>
          </w:p>
        </w:tc>
        <w:tc>
          <w:tcPr>
            <w:tcW w:w="1452" w:type="dxa"/>
            <w:hideMark/>
          </w:tcPr>
          <w:p w14:paraId="71C5623F" w14:textId="77777777" w:rsidR="00330009" w:rsidRPr="00833566" w:rsidRDefault="00330009" w:rsidP="00171AC0">
            <w:pPr>
              <w:pStyle w:val="BStablefigures"/>
            </w:pPr>
            <w:r w:rsidRPr="00F16A35">
              <w:t>-371,001</w:t>
            </w:r>
          </w:p>
        </w:tc>
      </w:tr>
      <w:tr w:rsidR="00330009" w:rsidRPr="00833566" w14:paraId="69BF22A6" w14:textId="77777777" w:rsidTr="00171AC0">
        <w:trPr>
          <w:jc w:val="center"/>
        </w:trPr>
        <w:tc>
          <w:tcPr>
            <w:tcW w:w="1849" w:type="dxa"/>
            <w:tcBorders>
              <w:top w:val="nil"/>
              <w:left w:val="nil"/>
              <w:bottom w:val="single" w:sz="4" w:space="0" w:color="auto"/>
              <w:right w:val="nil"/>
            </w:tcBorders>
            <w:hideMark/>
          </w:tcPr>
          <w:p w14:paraId="734B57EC" w14:textId="77777777" w:rsidR="00330009" w:rsidRPr="00833566" w:rsidRDefault="00330009" w:rsidP="00171AC0">
            <w:pPr>
              <w:pStyle w:val="BStabletext"/>
            </w:pPr>
            <w:r w:rsidRPr="00833566">
              <w:t>Actuarial (Gain)/Loss</w:t>
            </w:r>
            <w:r w:rsidRPr="00833566">
              <w:rPr>
                <w:vertAlign w:val="superscript"/>
              </w:rPr>
              <w:t>1</w:t>
            </w:r>
          </w:p>
        </w:tc>
        <w:tc>
          <w:tcPr>
            <w:tcW w:w="1451" w:type="dxa"/>
            <w:tcBorders>
              <w:top w:val="nil"/>
              <w:left w:val="nil"/>
              <w:bottom w:val="single" w:sz="4" w:space="0" w:color="auto"/>
              <w:right w:val="nil"/>
            </w:tcBorders>
            <w:hideMark/>
          </w:tcPr>
          <w:p w14:paraId="2C78F92A" w14:textId="77777777" w:rsidR="00330009" w:rsidRPr="00833566" w:rsidRDefault="00330009" w:rsidP="00171AC0">
            <w:pPr>
              <w:pStyle w:val="BStablefigures"/>
            </w:pPr>
            <w:r w:rsidRPr="00F16A35">
              <w:t>57,385</w:t>
            </w:r>
          </w:p>
        </w:tc>
        <w:tc>
          <w:tcPr>
            <w:tcW w:w="1451" w:type="dxa"/>
            <w:tcBorders>
              <w:top w:val="nil"/>
              <w:left w:val="nil"/>
              <w:bottom w:val="single" w:sz="4" w:space="0" w:color="auto"/>
              <w:right w:val="nil"/>
            </w:tcBorders>
            <w:hideMark/>
          </w:tcPr>
          <w:p w14:paraId="37FB809F" w14:textId="77777777" w:rsidR="00330009" w:rsidRPr="00833566" w:rsidRDefault="00330009" w:rsidP="00171AC0">
            <w:pPr>
              <w:pStyle w:val="BStablefigures"/>
            </w:pPr>
            <w:r w:rsidRPr="00F16A35">
              <w:t>-3,942,926</w:t>
            </w:r>
          </w:p>
        </w:tc>
        <w:tc>
          <w:tcPr>
            <w:tcW w:w="1451" w:type="dxa"/>
            <w:tcBorders>
              <w:top w:val="nil"/>
              <w:left w:val="nil"/>
              <w:bottom w:val="single" w:sz="4" w:space="0" w:color="auto"/>
              <w:right w:val="nil"/>
            </w:tcBorders>
            <w:hideMark/>
          </w:tcPr>
          <w:p w14:paraId="46822EB9" w14:textId="77777777" w:rsidR="00330009" w:rsidRPr="00833566" w:rsidRDefault="00330009" w:rsidP="00171AC0">
            <w:pPr>
              <w:pStyle w:val="BStablefigures"/>
            </w:pPr>
            <w:r w:rsidRPr="00F16A35">
              <w:t>-</w:t>
            </w:r>
          </w:p>
        </w:tc>
        <w:tc>
          <w:tcPr>
            <w:tcW w:w="1451" w:type="dxa"/>
            <w:tcBorders>
              <w:top w:val="nil"/>
              <w:left w:val="nil"/>
              <w:bottom w:val="single" w:sz="4" w:space="0" w:color="auto"/>
              <w:right w:val="nil"/>
            </w:tcBorders>
            <w:hideMark/>
          </w:tcPr>
          <w:p w14:paraId="0B475CAE" w14:textId="77777777" w:rsidR="00330009" w:rsidRPr="00833566" w:rsidRDefault="00330009" w:rsidP="00171AC0">
            <w:pPr>
              <w:pStyle w:val="BStablefigures"/>
            </w:pPr>
            <w:r w:rsidRPr="00F16A35">
              <w:t>-</w:t>
            </w:r>
          </w:p>
        </w:tc>
        <w:tc>
          <w:tcPr>
            <w:tcW w:w="1452" w:type="dxa"/>
            <w:tcBorders>
              <w:top w:val="nil"/>
              <w:left w:val="nil"/>
              <w:bottom w:val="single" w:sz="4" w:space="0" w:color="auto"/>
              <w:right w:val="nil"/>
            </w:tcBorders>
            <w:hideMark/>
          </w:tcPr>
          <w:p w14:paraId="4BBB4126" w14:textId="77777777" w:rsidR="00330009" w:rsidRPr="00833566" w:rsidRDefault="00330009" w:rsidP="00171AC0">
            <w:pPr>
              <w:pStyle w:val="BStablefigures"/>
            </w:pPr>
            <w:r w:rsidRPr="00F16A35">
              <w:t>-</w:t>
            </w:r>
          </w:p>
        </w:tc>
      </w:tr>
      <w:tr w:rsidR="00330009" w:rsidRPr="00833566" w14:paraId="3D09CDFC" w14:textId="77777777" w:rsidTr="00171AC0">
        <w:trPr>
          <w:jc w:val="center"/>
        </w:trPr>
        <w:tc>
          <w:tcPr>
            <w:tcW w:w="1849" w:type="dxa"/>
            <w:tcBorders>
              <w:top w:val="single" w:sz="4" w:space="0" w:color="auto"/>
              <w:left w:val="nil"/>
              <w:bottom w:val="single" w:sz="4" w:space="0" w:color="auto"/>
              <w:right w:val="nil"/>
            </w:tcBorders>
            <w:hideMark/>
          </w:tcPr>
          <w:p w14:paraId="64A11DF5" w14:textId="77777777" w:rsidR="00330009" w:rsidRPr="00833566" w:rsidRDefault="00330009" w:rsidP="00171AC0">
            <w:pPr>
              <w:pStyle w:val="BStabletextbold"/>
            </w:pPr>
            <w:r w:rsidRPr="00833566">
              <w:t>Closing liability</w:t>
            </w:r>
          </w:p>
        </w:tc>
        <w:tc>
          <w:tcPr>
            <w:tcW w:w="1451" w:type="dxa"/>
            <w:tcBorders>
              <w:top w:val="single" w:sz="4" w:space="0" w:color="auto"/>
              <w:left w:val="nil"/>
              <w:bottom w:val="single" w:sz="4" w:space="0" w:color="auto"/>
              <w:right w:val="nil"/>
            </w:tcBorders>
            <w:hideMark/>
          </w:tcPr>
          <w:p w14:paraId="1407302D" w14:textId="77777777" w:rsidR="00330009" w:rsidRPr="00833566" w:rsidRDefault="00330009" w:rsidP="00171AC0">
            <w:pPr>
              <w:pStyle w:val="BStablefiguresbold"/>
            </w:pPr>
            <w:r w:rsidRPr="00F16A35">
              <w:t>12,053,516</w:t>
            </w:r>
          </w:p>
        </w:tc>
        <w:tc>
          <w:tcPr>
            <w:tcW w:w="1451" w:type="dxa"/>
            <w:tcBorders>
              <w:top w:val="single" w:sz="4" w:space="0" w:color="auto"/>
              <w:left w:val="nil"/>
              <w:bottom w:val="single" w:sz="4" w:space="0" w:color="auto"/>
              <w:right w:val="nil"/>
            </w:tcBorders>
            <w:hideMark/>
          </w:tcPr>
          <w:p w14:paraId="72CFDE99" w14:textId="77777777" w:rsidR="00330009" w:rsidRPr="00833566" w:rsidRDefault="00330009" w:rsidP="00171AC0">
            <w:pPr>
              <w:pStyle w:val="BStablefiguresbold"/>
            </w:pPr>
            <w:r w:rsidRPr="00F16A35">
              <w:t>8,281,129</w:t>
            </w:r>
          </w:p>
        </w:tc>
        <w:tc>
          <w:tcPr>
            <w:tcW w:w="1451" w:type="dxa"/>
            <w:tcBorders>
              <w:top w:val="single" w:sz="4" w:space="0" w:color="auto"/>
              <w:left w:val="nil"/>
              <w:bottom w:val="single" w:sz="4" w:space="0" w:color="auto"/>
              <w:right w:val="nil"/>
            </w:tcBorders>
            <w:hideMark/>
          </w:tcPr>
          <w:p w14:paraId="2B9B92E3" w14:textId="77777777" w:rsidR="00330009" w:rsidRPr="00833566" w:rsidRDefault="00330009" w:rsidP="00171AC0">
            <w:pPr>
              <w:pStyle w:val="BStablefiguresbold"/>
            </w:pPr>
            <w:r w:rsidRPr="00F16A35">
              <w:t>8,506,561</w:t>
            </w:r>
          </w:p>
        </w:tc>
        <w:tc>
          <w:tcPr>
            <w:tcW w:w="1451" w:type="dxa"/>
            <w:tcBorders>
              <w:top w:val="single" w:sz="4" w:space="0" w:color="auto"/>
              <w:left w:val="nil"/>
              <w:bottom w:val="single" w:sz="4" w:space="0" w:color="auto"/>
              <w:right w:val="nil"/>
            </w:tcBorders>
            <w:hideMark/>
          </w:tcPr>
          <w:p w14:paraId="0A5ED952" w14:textId="77777777" w:rsidR="00330009" w:rsidRPr="00833566" w:rsidRDefault="00330009" w:rsidP="00171AC0">
            <w:pPr>
              <w:pStyle w:val="BStablefiguresbold"/>
            </w:pPr>
            <w:r w:rsidRPr="00F16A35">
              <w:t>8,716,078</w:t>
            </w:r>
          </w:p>
        </w:tc>
        <w:tc>
          <w:tcPr>
            <w:tcW w:w="1452" w:type="dxa"/>
            <w:tcBorders>
              <w:top w:val="single" w:sz="4" w:space="0" w:color="auto"/>
              <w:left w:val="nil"/>
              <w:bottom w:val="single" w:sz="4" w:space="0" w:color="auto"/>
              <w:right w:val="nil"/>
            </w:tcBorders>
            <w:hideMark/>
          </w:tcPr>
          <w:p w14:paraId="73C3E3DF" w14:textId="77777777" w:rsidR="00330009" w:rsidRPr="00833566" w:rsidRDefault="00330009" w:rsidP="00171AC0">
            <w:pPr>
              <w:pStyle w:val="BStablefiguresbold"/>
            </w:pPr>
            <w:r w:rsidRPr="00F16A35">
              <w:t>8,908,864</w:t>
            </w:r>
          </w:p>
        </w:tc>
      </w:tr>
    </w:tbl>
    <w:p w14:paraId="51FEC6E1" w14:textId="6B5FA211" w:rsidR="00E81ABF" w:rsidRDefault="00330009" w:rsidP="00743F9E">
      <w:pPr>
        <w:spacing w:before="0"/>
      </w:pPr>
      <w:r w:rsidRPr="00833566">
        <w:rPr>
          <w:sz w:val="20"/>
          <w:szCs w:val="20"/>
        </w:rPr>
        <w:t xml:space="preserve">Source: </w:t>
      </w:r>
      <w:r w:rsidRPr="00833566">
        <w:rPr>
          <w:noProof/>
          <w:sz w:val="20"/>
          <w:szCs w:val="20"/>
          <w:lang w:val="en-NZ"/>
        </w:rPr>
        <w:t>ACT Government (20</w:t>
      </w:r>
      <w:r>
        <w:rPr>
          <w:noProof/>
          <w:sz w:val="20"/>
          <w:szCs w:val="20"/>
          <w:lang w:val="en-NZ"/>
        </w:rPr>
        <w:t>21</w:t>
      </w:r>
      <w:r w:rsidRPr="00833566">
        <w:rPr>
          <w:noProof/>
          <w:sz w:val="20"/>
          <w:szCs w:val="20"/>
          <w:lang w:val="en-NZ"/>
        </w:rPr>
        <w:t xml:space="preserve">, p. </w:t>
      </w:r>
      <w:r>
        <w:rPr>
          <w:noProof/>
          <w:sz w:val="20"/>
          <w:szCs w:val="20"/>
          <w:lang w:val="en-NZ"/>
        </w:rPr>
        <w:t>194</w:t>
      </w:r>
      <w:r w:rsidRPr="00833566">
        <w:rPr>
          <w:noProof/>
          <w:sz w:val="20"/>
          <w:szCs w:val="20"/>
          <w:lang w:val="en-NZ"/>
        </w:rPr>
        <w:t>)</w:t>
      </w:r>
      <w:r>
        <w:rPr>
          <w:noProof/>
          <w:sz w:val="20"/>
          <w:szCs w:val="20"/>
          <w:lang w:val="en-NZ"/>
        </w:rPr>
        <w:t>.</w:t>
      </w:r>
    </w:p>
    <w:p w14:paraId="4FD44A20" w14:textId="293D07D4" w:rsidR="00A62E78" w:rsidRPr="00833566" w:rsidRDefault="00A62E78" w:rsidP="00A62E78">
      <w:r>
        <w:t xml:space="preserve">Table </w:t>
      </w:r>
      <w:r w:rsidR="00317405">
        <w:t>9</w:t>
      </w:r>
      <w:r w:rsidRPr="00833566">
        <w:t xml:space="preserve"> shows that the Territory’s defined benefit superannuation liability is estimated to grow to approximately $8.</w:t>
      </w:r>
      <w:r>
        <w:t>9</w:t>
      </w:r>
      <w:r w:rsidRPr="00833566">
        <w:t xml:space="preserve"> billion by 30 June 202</w:t>
      </w:r>
      <w:r>
        <w:t>4</w:t>
      </w:r>
      <w:r w:rsidRPr="00833566">
        <w:t>. The current estimates of the superannuation liability are virtually unchanged from those forecast last year.</w:t>
      </w:r>
    </w:p>
    <w:p w14:paraId="1E2C8332" w14:textId="77777777" w:rsidR="00A62E78" w:rsidRPr="00833566" w:rsidRDefault="00A62E78" w:rsidP="00A62E78">
      <w:r w:rsidRPr="00833566">
        <w:t>The service cost associated with the accrual of employee superannuation benefits is forecast to decrease over time as ACT employee members leave the schemes through resignation or retirement. However, the interest cost (due to the unwinding of the discount rate as past benefits accrued by ACT employee members come closer to payment) is forecast to increase reflecting the increase in the estimated liability.</w:t>
      </w:r>
    </w:p>
    <w:p w14:paraId="2CB1D946" w14:textId="1DE4FAA9" w:rsidR="00A62E78" w:rsidRPr="00833566" w:rsidRDefault="00A62E78" w:rsidP="00A62E78">
      <w:r w:rsidRPr="00833566">
        <w:t xml:space="preserve">These calculations depend critically on the discount rate used to calculate the present value of superannuation payments in future years and other assumptions regarding future salary growth, pension indexation, crediting rates and exit rates from the scheme. These assumptions are reviewed on a triennial basis by the actuaries advising the Commonwealth Government, with the next full actuarial review </w:t>
      </w:r>
      <w:r>
        <w:t>reporting on the liability as at 30 June 2020 due to be published later this year</w:t>
      </w:r>
      <w:r w:rsidRPr="00833566">
        <w:t>.</w:t>
      </w:r>
    </w:p>
    <w:p w14:paraId="3DE9308A" w14:textId="77777777" w:rsidR="00A62E78" w:rsidRPr="00833566" w:rsidRDefault="00A62E78" w:rsidP="00A62E78">
      <w:r w:rsidRPr="00833566">
        <w:t>The minimal changes in the estimated liability and service cost reflect the fact that the updates between the triennial reviews only take account of changes in the membership data, which, for closed schemes, tend to have a minor impact.</w:t>
      </w:r>
    </w:p>
    <w:p w14:paraId="35F7FD5E" w14:textId="77777777" w:rsidR="00A62E78" w:rsidRPr="00833566" w:rsidRDefault="00A62E78" w:rsidP="00A62E78">
      <w:pPr>
        <w:rPr>
          <w:rStyle w:val="BodyTextChar"/>
          <w:rFonts w:eastAsiaTheme="minorHAnsi"/>
        </w:rPr>
      </w:pPr>
      <w:r w:rsidRPr="00833566">
        <w:t>The large reduction between the opening and closing liability in the estimated 20</w:t>
      </w:r>
      <w:r>
        <w:t>20</w:t>
      </w:r>
      <w:r w:rsidRPr="00833566">
        <w:t>-</w:t>
      </w:r>
      <w:r>
        <w:t>21</w:t>
      </w:r>
      <w:r w:rsidRPr="00833566">
        <w:t xml:space="preserve"> outcome is due to the reversion to the long-term discount rate in the calculation of the estimated superannuation liability at the end of the financial year. </w:t>
      </w:r>
    </w:p>
    <w:p w14:paraId="05BFD3D2" w14:textId="41542F16" w:rsidR="00A62E78" w:rsidRDefault="00A62E78" w:rsidP="00A62E78">
      <w:pPr>
        <w:pStyle w:val="BodyText"/>
        <w:spacing w:after="240"/>
      </w:pPr>
      <w:r w:rsidRPr="00833566">
        <w:rPr>
          <w:rFonts w:ascii="QKXAS F+ Calibri" w:hAnsi="QKXAS F+ Calibri"/>
          <w:sz w:val="24"/>
        </w:rPr>
        <w:t xml:space="preserve">The </w:t>
      </w:r>
      <w:r w:rsidRPr="00833566">
        <w:t xml:space="preserve">ACT Government has chosen to contribute funds to a Superannuation Provision Account with the objective of extinguishing the Territory’s unfunded defined benefit superannuation liability by 2030. The unfunded superannuation liability, representing the difference between the superannuation liability and investment assets, is shown in </w:t>
      </w:r>
      <w:r>
        <w:t>Table 1</w:t>
      </w:r>
      <w:r w:rsidR="00317405">
        <w:t>0</w:t>
      </w:r>
      <w:r w:rsidRPr="00833566">
        <w:t xml:space="preserve"> below. </w:t>
      </w:r>
      <w:r>
        <w:br w:type="page"/>
      </w:r>
    </w:p>
    <w:p w14:paraId="2B2DDC82" w14:textId="11CCDB0E" w:rsidR="00A62E78" w:rsidRDefault="00A62E78" w:rsidP="00407F3E">
      <w:pPr>
        <w:pStyle w:val="Caption"/>
      </w:pPr>
      <w:bookmarkStart w:id="166" w:name="_Toc64529090"/>
      <w:r w:rsidRPr="00E97466">
        <w:lastRenderedPageBreak/>
        <w:t xml:space="preserve">Table </w:t>
      </w:r>
      <w:fldSimple w:instr=" SEQ Table \* ARABIC ">
        <w:r w:rsidR="00AB7125">
          <w:rPr>
            <w:noProof/>
          </w:rPr>
          <w:t>10</w:t>
        </w:r>
      </w:fldSimple>
      <w:r w:rsidRPr="00E97466">
        <w:t>: Defined Benefit Superannuation Liability Funding</w:t>
      </w:r>
      <w:bookmarkEnd w:id="166"/>
    </w:p>
    <w:tbl>
      <w:tblPr>
        <w:tblW w:w="9105" w:type="dxa"/>
        <w:tblLayout w:type="fixed"/>
        <w:tblCellMar>
          <w:left w:w="30" w:type="dxa"/>
          <w:right w:w="30" w:type="dxa"/>
        </w:tblCellMar>
        <w:tblLook w:val="04A0" w:firstRow="1" w:lastRow="0" w:firstColumn="1" w:lastColumn="0" w:noHBand="0" w:noVBand="1"/>
      </w:tblPr>
      <w:tblGrid>
        <w:gridCol w:w="2135"/>
        <w:gridCol w:w="1394"/>
        <w:gridCol w:w="1394"/>
        <w:gridCol w:w="1394"/>
        <w:gridCol w:w="1394"/>
        <w:gridCol w:w="1394"/>
      </w:tblGrid>
      <w:tr w:rsidR="00A62E78" w:rsidRPr="00833566" w14:paraId="1EA1ECC1" w14:textId="77777777" w:rsidTr="00FE555C">
        <w:tc>
          <w:tcPr>
            <w:tcW w:w="2135" w:type="dxa"/>
            <w:tcBorders>
              <w:top w:val="single" w:sz="4" w:space="0" w:color="auto"/>
              <w:left w:val="nil"/>
              <w:bottom w:val="nil"/>
              <w:right w:val="nil"/>
            </w:tcBorders>
          </w:tcPr>
          <w:p w14:paraId="19712A11" w14:textId="77777777" w:rsidR="00A62E78" w:rsidRPr="00833566" w:rsidRDefault="00A62E78" w:rsidP="00FE555C">
            <w:pPr>
              <w:spacing w:after="0"/>
              <w:jc w:val="right"/>
              <w:rPr>
                <w:rFonts w:cs="Calibri"/>
                <w:color w:val="FFFFFF"/>
                <w:sz w:val="12"/>
              </w:rPr>
            </w:pPr>
          </w:p>
        </w:tc>
        <w:tc>
          <w:tcPr>
            <w:tcW w:w="1394" w:type="dxa"/>
            <w:tcBorders>
              <w:top w:val="single" w:sz="4" w:space="0" w:color="auto"/>
              <w:left w:val="nil"/>
              <w:bottom w:val="nil"/>
              <w:right w:val="nil"/>
            </w:tcBorders>
            <w:hideMark/>
          </w:tcPr>
          <w:p w14:paraId="2567828D" w14:textId="77777777" w:rsidR="00A62E78" w:rsidRPr="00833566" w:rsidRDefault="00A62E78" w:rsidP="00FE555C">
            <w:pPr>
              <w:pStyle w:val="BStableheading"/>
              <w:framePr w:wrap="auto" w:vAnchor="margin" w:yAlign="inline"/>
              <w:spacing w:line="256" w:lineRule="auto"/>
            </w:pPr>
            <w:r w:rsidRPr="00833566">
              <w:t>201</w:t>
            </w:r>
            <w:r>
              <w:t>9</w:t>
            </w:r>
            <w:r w:rsidRPr="00833566">
              <w:t>-</w:t>
            </w:r>
            <w:r>
              <w:t>20</w:t>
            </w:r>
          </w:p>
          <w:p w14:paraId="0F0833CB" w14:textId="77777777" w:rsidR="00A62E78" w:rsidRPr="00833566" w:rsidRDefault="00A62E78" w:rsidP="00FE555C">
            <w:pPr>
              <w:pStyle w:val="BStableheading"/>
              <w:framePr w:wrap="auto" w:vAnchor="margin" w:yAlign="inline"/>
              <w:spacing w:line="256" w:lineRule="auto"/>
            </w:pPr>
            <w:r>
              <w:t>Actual</w:t>
            </w:r>
          </w:p>
          <w:p w14:paraId="48B79AAF" w14:textId="77777777" w:rsidR="00A62E78" w:rsidRPr="00833566" w:rsidRDefault="00A62E78" w:rsidP="00FE555C">
            <w:pPr>
              <w:pStyle w:val="BStableheading"/>
              <w:framePr w:wrap="auto" w:vAnchor="margin" w:yAlign="inline"/>
              <w:spacing w:line="256" w:lineRule="auto"/>
            </w:pPr>
            <w:r w:rsidRPr="00833566">
              <w:t>$’000</w:t>
            </w:r>
          </w:p>
        </w:tc>
        <w:tc>
          <w:tcPr>
            <w:tcW w:w="1394" w:type="dxa"/>
            <w:tcBorders>
              <w:top w:val="single" w:sz="4" w:space="0" w:color="auto"/>
              <w:left w:val="nil"/>
              <w:bottom w:val="nil"/>
              <w:right w:val="nil"/>
            </w:tcBorders>
            <w:hideMark/>
          </w:tcPr>
          <w:p w14:paraId="46B5FE4C" w14:textId="77777777" w:rsidR="00A62E78" w:rsidRPr="00833566" w:rsidRDefault="00A62E78" w:rsidP="00FE555C">
            <w:pPr>
              <w:pStyle w:val="BStableheading"/>
              <w:framePr w:wrap="auto" w:vAnchor="margin" w:yAlign="inline"/>
              <w:spacing w:line="256" w:lineRule="auto"/>
            </w:pPr>
            <w:r w:rsidRPr="00833566">
              <w:t>2020-21</w:t>
            </w:r>
          </w:p>
          <w:p w14:paraId="4EE97177" w14:textId="77777777" w:rsidR="00A62E78" w:rsidRPr="00833566" w:rsidRDefault="00A62E78" w:rsidP="00FE555C">
            <w:pPr>
              <w:pStyle w:val="BStableheading"/>
              <w:framePr w:wrap="auto" w:vAnchor="margin" w:yAlign="inline"/>
              <w:spacing w:line="256" w:lineRule="auto"/>
            </w:pPr>
            <w:r w:rsidRPr="00833566">
              <w:t>Budget</w:t>
            </w:r>
          </w:p>
          <w:p w14:paraId="6CB2C37C" w14:textId="77777777" w:rsidR="00A62E78" w:rsidRPr="00833566" w:rsidRDefault="00A62E78" w:rsidP="00FE555C">
            <w:pPr>
              <w:pStyle w:val="BStableheading"/>
              <w:framePr w:wrap="auto" w:vAnchor="margin" w:yAlign="inline"/>
              <w:spacing w:line="256" w:lineRule="auto"/>
            </w:pPr>
            <w:r w:rsidRPr="00833566">
              <w:t>$’000</w:t>
            </w:r>
          </w:p>
        </w:tc>
        <w:tc>
          <w:tcPr>
            <w:tcW w:w="1394" w:type="dxa"/>
            <w:tcBorders>
              <w:top w:val="single" w:sz="4" w:space="0" w:color="auto"/>
              <w:left w:val="nil"/>
              <w:bottom w:val="nil"/>
              <w:right w:val="nil"/>
            </w:tcBorders>
            <w:hideMark/>
          </w:tcPr>
          <w:p w14:paraId="21026369" w14:textId="77777777" w:rsidR="00A62E78" w:rsidRPr="00833566" w:rsidRDefault="00A62E78" w:rsidP="00FE555C">
            <w:pPr>
              <w:pStyle w:val="BStableheading"/>
              <w:framePr w:wrap="auto" w:vAnchor="margin" w:yAlign="inline"/>
              <w:spacing w:line="256" w:lineRule="auto"/>
            </w:pPr>
            <w:r w:rsidRPr="00833566">
              <w:t>2021-22</w:t>
            </w:r>
          </w:p>
          <w:p w14:paraId="73AC7441" w14:textId="77777777" w:rsidR="00A62E78" w:rsidRPr="00833566" w:rsidRDefault="00A62E78" w:rsidP="00FE555C">
            <w:pPr>
              <w:pStyle w:val="BStableheading"/>
              <w:framePr w:wrap="auto" w:vAnchor="margin" w:yAlign="inline"/>
              <w:spacing w:line="256" w:lineRule="auto"/>
            </w:pPr>
            <w:r w:rsidRPr="00833566">
              <w:t>Estimate</w:t>
            </w:r>
          </w:p>
          <w:p w14:paraId="39F4DBE6" w14:textId="77777777" w:rsidR="00A62E78" w:rsidRPr="00833566" w:rsidRDefault="00A62E78" w:rsidP="00FE555C">
            <w:pPr>
              <w:pStyle w:val="BStableheading"/>
              <w:framePr w:wrap="auto" w:vAnchor="margin" w:yAlign="inline"/>
              <w:spacing w:line="256" w:lineRule="auto"/>
            </w:pPr>
            <w:r w:rsidRPr="00833566">
              <w:t>$’000</w:t>
            </w:r>
          </w:p>
        </w:tc>
        <w:tc>
          <w:tcPr>
            <w:tcW w:w="1394" w:type="dxa"/>
            <w:tcBorders>
              <w:top w:val="single" w:sz="4" w:space="0" w:color="auto"/>
              <w:left w:val="nil"/>
              <w:bottom w:val="nil"/>
              <w:right w:val="nil"/>
            </w:tcBorders>
            <w:hideMark/>
          </w:tcPr>
          <w:p w14:paraId="01A4CAD2" w14:textId="77777777" w:rsidR="00A62E78" w:rsidRPr="00833566" w:rsidRDefault="00A62E78" w:rsidP="00FE555C">
            <w:pPr>
              <w:pStyle w:val="BStableheading"/>
              <w:framePr w:wrap="auto" w:vAnchor="margin" w:yAlign="inline"/>
              <w:spacing w:line="256" w:lineRule="auto"/>
            </w:pPr>
            <w:r w:rsidRPr="00833566">
              <w:t>2022-23</w:t>
            </w:r>
          </w:p>
          <w:p w14:paraId="2A05799C" w14:textId="77777777" w:rsidR="00A62E78" w:rsidRPr="00833566" w:rsidRDefault="00A62E78" w:rsidP="00FE555C">
            <w:pPr>
              <w:pStyle w:val="BStableheading"/>
              <w:framePr w:wrap="auto" w:vAnchor="margin" w:yAlign="inline"/>
              <w:spacing w:line="256" w:lineRule="auto"/>
            </w:pPr>
            <w:r w:rsidRPr="00833566">
              <w:t>Estimate</w:t>
            </w:r>
          </w:p>
          <w:p w14:paraId="2F172CAB" w14:textId="77777777" w:rsidR="00A62E78" w:rsidRPr="00833566" w:rsidRDefault="00A62E78" w:rsidP="00FE555C">
            <w:pPr>
              <w:pStyle w:val="BStableheading"/>
              <w:framePr w:wrap="auto" w:vAnchor="margin" w:yAlign="inline"/>
              <w:spacing w:line="256" w:lineRule="auto"/>
            </w:pPr>
            <w:r w:rsidRPr="00833566">
              <w:t>$’000</w:t>
            </w:r>
          </w:p>
        </w:tc>
        <w:tc>
          <w:tcPr>
            <w:tcW w:w="1394" w:type="dxa"/>
            <w:tcBorders>
              <w:top w:val="single" w:sz="4" w:space="0" w:color="auto"/>
              <w:left w:val="nil"/>
              <w:bottom w:val="nil"/>
              <w:right w:val="nil"/>
            </w:tcBorders>
            <w:hideMark/>
          </w:tcPr>
          <w:p w14:paraId="271956AE" w14:textId="77777777" w:rsidR="00A62E78" w:rsidRPr="00833566" w:rsidRDefault="00A62E78" w:rsidP="00FE555C">
            <w:pPr>
              <w:pStyle w:val="BStableheading"/>
              <w:framePr w:wrap="auto" w:vAnchor="margin" w:yAlign="inline"/>
              <w:spacing w:line="256" w:lineRule="auto"/>
            </w:pPr>
            <w:r w:rsidRPr="00833566">
              <w:t>202</w:t>
            </w:r>
            <w:r>
              <w:t>3</w:t>
            </w:r>
            <w:r w:rsidRPr="00833566">
              <w:t>-2</w:t>
            </w:r>
            <w:r>
              <w:t>4</w:t>
            </w:r>
          </w:p>
          <w:p w14:paraId="121F1609" w14:textId="77777777" w:rsidR="00A62E78" w:rsidRPr="00833566" w:rsidRDefault="00A62E78" w:rsidP="00FE555C">
            <w:pPr>
              <w:pStyle w:val="BStableheading"/>
              <w:framePr w:wrap="auto" w:vAnchor="margin" w:yAlign="inline"/>
              <w:spacing w:line="256" w:lineRule="auto"/>
            </w:pPr>
            <w:r w:rsidRPr="00833566">
              <w:t>Estimate</w:t>
            </w:r>
          </w:p>
          <w:p w14:paraId="4D9D17AB" w14:textId="77777777" w:rsidR="00A62E78" w:rsidRPr="00833566" w:rsidRDefault="00A62E78" w:rsidP="00FE555C">
            <w:pPr>
              <w:pStyle w:val="BStableheading"/>
              <w:framePr w:wrap="auto" w:vAnchor="margin" w:yAlign="inline"/>
              <w:spacing w:line="256" w:lineRule="auto"/>
            </w:pPr>
            <w:r w:rsidRPr="00833566">
              <w:t>$’000</w:t>
            </w:r>
          </w:p>
        </w:tc>
      </w:tr>
      <w:tr w:rsidR="00A62E78" w:rsidRPr="00833566" w14:paraId="32B050A4" w14:textId="77777777" w:rsidTr="00FE555C">
        <w:tc>
          <w:tcPr>
            <w:tcW w:w="2135" w:type="dxa"/>
            <w:tcBorders>
              <w:top w:val="single" w:sz="4" w:space="0" w:color="auto"/>
              <w:left w:val="nil"/>
              <w:bottom w:val="nil"/>
              <w:right w:val="nil"/>
            </w:tcBorders>
            <w:hideMark/>
          </w:tcPr>
          <w:p w14:paraId="45045A04" w14:textId="77777777" w:rsidR="00A62E78" w:rsidRPr="00833566" w:rsidRDefault="00A62E78" w:rsidP="00FE555C">
            <w:pPr>
              <w:pStyle w:val="BStabletext"/>
            </w:pPr>
            <w:r w:rsidRPr="00833566">
              <w:t>Superannuation Liability</w:t>
            </w:r>
            <w:r w:rsidRPr="00833566">
              <w:rPr>
                <w:vertAlign w:val="superscript"/>
              </w:rPr>
              <w:t>1</w:t>
            </w:r>
          </w:p>
        </w:tc>
        <w:tc>
          <w:tcPr>
            <w:tcW w:w="1394" w:type="dxa"/>
            <w:tcBorders>
              <w:top w:val="single" w:sz="4" w:space="0" w:color="auto"/>
              <w:left w:val="nil"/>
              <w:bottom w:val="nil"/>
              <w:right w:val="nil"/>
            </w:tcBorders>
            <w:hideMark/>
          </w:tcPr>
          <w:p w14:paraId="52FE243E" w14:textId="77777777" w:rsidR="00A62E78" w:rsidRPr="00833566" w:rsidRDefault="00A62E78" w:rsidP="00FE555C">
            <w:pPr>
              <w:pStyle w:val="BStablefiguresbold"/>
            </w:pPr>
            <w:r w:rsidRPr="00DA0BA0">
              <w:t>12,053,516</w:t>
            </w:r>
          </w:p>
        </w:tc>
        <w:tc>
          <w:tcPr>
            <w:tcW w:w="1394" w:type="dxa"/>
            <w:tcBorders>
              <w:top w:val="single" w:sz="4" w:space="0" w:color="auto"/>
              <w:left w:val="nil"/>
              <w:bottom w:val="nil"/>
              <w:right w:val="nil"/>
            </w:tcBorders>
            <w:hideMark/>
          </w:tcPr>
          <w:p w14:paraId="7AC141BA" w14:textId="77777777" w:rsidR="00A62E78" w:rsidRPr="00833566" w:rsidRDefault="00A62E78" w:rsidP="00FE555C">
            <w:pPr>
              <w:pStyle w:val="BStablefiguresbold"/>
            </w:pPr>
            <w:r w:rsidRPr="00DA0BA0">
              <w:t>8,281,129</w:t>
            </w:r>
          </w:p>
        </w:tc>
        <w:tc>
          <w:tcPr>
            <w:tcW w:w="1394" w:type="dxa"/>
            <w:tcBorders>
              <w:top w:val="single" w:sz="4" w:space="0" w:color="auto"/>
              <w:left w:val="nil"/>
              <w:bottom w:val="nil"/>
              <w:right w:val="nil"/>
            </w:tcBorders>
            <w:hideMark/>
          </w:tcPr>
          <w:p w14:paraId="6303694A" w14:textId="77777777" w:rsidR="00A62E78" w:rsidRPr="00833566" w:rsidRDefault="00A62E78" w:rsidP="00FE555C">
            <w:pPr>
              <w:pStyle w:val="BStablefiguresbold"/>
            </w:pPr>
            <w:r w:rsidRPr="00DA0BA0">
              <w:t>8,506,561</w:t>
            </w:r>
          </w:p>
        </w:tc>
        <w:tc>
          <w:tcPr>
            <w:tcW w:w="1394" w:type="dxa"/>
            <w:tcBorders>
              <w:top w:val="single" w:sz="4" w:space="0" w:color="auto"/>
              <w:left w:val="nil"/>
              <w:bottom w:val="nil"/>
              <w:right w:val="nil"/>
            </w:tcBorders>
            <w:hideMark/>
          </w:tcPr>
          <w:p w14:paraId="14EB2B4E" w14:textId="77777777" w:rsidR="00A62E78" w:rsidRPr="00833566" w:rsidRDefault="00A62E78" w:rsidP="00FE555C">
            <w:pPr>
              <w:pStyle w:val="BStablefiguresbold"/>
            </w:pPr>
            <w:r w:rsidRPr="00DA0BA0">
              <w:t>8,716,078</w:t>
            </w:r>
          </w:p>
        </w:tc>
        <w:tc>
          <w:tcPr>
            <w:tcW w:w="1394" w:type="dxa"/>
            <w:tcBorders>
              <w:top w:val="single" w:sz="4" w:space="0" w:color="auto"/>
              <w:left w:val="nil"/>
              <w:bottom w:val="nil"/>
              <w:right w:val="nil"/>
            </w:tcBorders>
            <w:hideMark/>
          </w:tcPr>
          <w:p w14:paraId="1CE906A3" w14:textId="77777777" w:rsidR="00A62E78" w:rsidRPr="00833566" w:rsidRDefault="00A62E78" w:rsidP="00FE555C">
            <w:pPr>
              <w:pStyle w:val="BStablefiguresbold"/>
            </w:pPr>
            <w:r w:rsidRPr="00DA0BA0">
              <w:t>8,908,864</w:t>
            </w:r>
          </w:p>
        </w:tc>
      </w:tr>
      <w:tr w:rsidR="00A62E78" w:rsidRPr="00833566" w14:paraId="3BC6D0ED" w14:textId="77777777" w:rsidTr="00FE555C">
        <w:tc>
          <w:tcPr>
            <w:tcW w:w="2135" w:type="dxa"/>
            <w:hideMark/>
          </w:tcPr>
          <w:p w14:paraId="31126A9D" w14:textId="77777777" w:rsidR="00A62E78" w:rsidRPr="00833566" w:rsidRDefault="00A62E78" w:rsidP="00FE555C">
            <w:pPr>
              <w:pStyle w:val="BStabletext"/>
            </w:pPr>
            <w:r w:rsidRPr="00833566">
              <w:t>Investments</w:t>
            </w:r>
          </w:p>
        </w:tc>
        <w:tc>
          <w:tcPr>
            <w:tcW w:w="1394" w:type="dxa"/>
            <w:hideMark/>
          </w:tcPr>
          <w:p w14:paraId="2A90C401" w14:textId="77777777" w:rsidR="00A62E78" w:rsidRPr="00833566" w:rsidRDefault="00A62E78" w:rsidP="00FE555C">
            <w:pPr>
              <w:pStyle w:val="BStablefigures"/>
            </w:pPr>
            <w:r>
              <w:t>4,322,383</w:t>
            </w:r>
          </w:p>
        </w:tc>
        <w:tc>
          <w:tcPr>
            <w:tcW w:w="1394" w:type="dxa"/>
            <w:hideMark/>
          </w:tcPr>
          <w:p w14:paraId="0EBC3255" w14:textId="77777777" w:rsidR="00A62E78" w:rsidRPr="00833566" w:rsidRDefault="00A62E78" w:rsidP="00FE555C">
            <w:pPr>
              <w:pStyle w:val="BStablefigures"/>
            </w:pPr>
            <w:r>
              <w:t>4,841,155</w:t>
            </w:r>
          </w:p>
        </w:tc>
        <w:tc>
          <w:tcPr>
            <w:tcW w:w="1394" w:type="dxa"/>
            <w:hideMark/>
          </w:tcPr>
          <w:p w14:paraId="64E3A3CB" w14:textId="77777777" w:rsidR="00A62E78" w:rsidRPr="00833566" w:rsidRDefault="00A62E78" w:rsidP="00FE555C">
            <w:pPr>
              <w:pStyle w:val="BStablefigures"/>
            </w:pPr>
            <w:r>
              <w:t>5,161,633</w:t>
            </w:r>
          </w:p>
        </w:tc>
        <w:tc>
          <w:tcPr>
            <w:tcW w:w="1394" w:type="dxa"/>
            <w:hideMark/>
          </w:tcPr>
          <w:p w14:paraId="0C0F9670" w14:textId="77777777" w:rsidR="00A62E78" w:rsidRPr="00833566" w:rsidRDefault="00A62E78" w:rsidP="00FE555C">
            <w:pPr>
              <w:pStyle w:val="BStablefigures"/>
            </w:pPr>
            <w:r>
              <w:t>5,503,663</w:t>
            </w:r>
          </w:p>
        </w:tc>
        <w:tc>
          <w:tcPr>
            <w:tcW w:w="1394" w:type="dxa"/>
            <w:hideMark/>
          </w:tcPr>
          <w:p w14:paraId="4D0B0B8C" w14:textId="77777777" w:rsidR="00A62E78" w:rsidRPr="00833566" w:rsidRDefault="00A62E78" w:rsidP="00FE555C">
            <w:pPr>
              <w:pStyle w:val="BStablefigures"/>
            </w:pPr>
            <w:r>
              <w:t>5,868,696</w:t>
            </w:r>
          </w:p>
        </w:tc>
      </w:tr>
      <w:tr w:rsidR="00A62E78" w:rsidRPr="00833566" w14:paraId="47CFC9EF" w14:textId="77777777" w:rsidTr="00FE555C">
        <w:tc>
          <w:tcPr>
            <w:tcW w:w="2135" w:type="dxa"/>
            <w:hideMark/>
          </w:tcPr>
          <w:p w14:paraId="5549F07C" w14:textId="77777777" w:rsidR="00A62E78" w:rsidRPr="00833566" w:rsidRDefault="00A62E78" w:rsidP="00FE555C">
            <w:pPr>
              <w:pStyle w:val="BStabletext"/>
            </w:pPr>
            <w:r w:rsidRPr="00833566">
              <w:t>Unfunded Liability</w:t>
            </w:r>
          </w:p>
        </w:tc>
        <w:tc>
          <w:tcPr>
            <w:tcW w:w="1394" w:type="dxa"/>
            <w:hideMark/>
          </w:tcPr>
          <w:p w14:paraId="109B9D77" w14:textId="77777777" w:rsidR="00A62E78" w:rsidRPr="00833566" w:rsidRDefault="00A62E78" w:rsidP="00FE555C">
            <w:pPr>
              <w:pStyle w:val="BStablefigures"/>
            </w:pPr>
            <w:r>
              <w:t>7,731,133</w:t>
            </w:r>
          </w:p>
        </w:tc>
        <w:tc>
          <w:tcPr>
            <w:tcW w:w="1394" w:type="dxa"/>
            <w:hideMark/>
          </w:tcPr>
          <w:p w14:paraId="3CF49E98" w14:textId="77777777" w:rsidR="00A62E78" w:rsidRPr="00833566" w:rsidRDefault="00A62E78" w:rsidP="00FE555C">
            <w:pPr>
              <w:pStyle w:val="BStablefigures"/>
            </w:pPr>
            <w:r>
              <w:t>3,439,974</w:t>
            </w:r>
          </w:p>
        </w:tc>
        <w:tc>
          <w:tcPr>
            <w:tcW w:w="1394" w:type="dxa"/>
            <w:hideMark/>
          </w:tcPr>
          <w:p w14:paraId="0F75082F" w14:textId="77777777" w:rsidR="00A62E78" w:rsidRPr="00833566" w:rsidRDefault="00A62E78" w:rsidP="00FE555C">
            <w:pPr>
              <w:pStyle w:val="BStablefigures"/>
            </w:pPr>
            <w:r>
              <w:t>3,344,928</w:t>
            </w:r>
          </w:p>
        </w:tc>
        <w:tc>
          <w:tcPr>
            <w:tcW w:w="1394" w:type="dxa"/>
            <w:hideMark/>
          </w:tcPr>
          <w:p w14:paraId="17C7BA2F" w14:textId="77777777" w:rsidR="00A62E78" w:rsidRPr="00833566" w:rsidRDefault="00A62E78" w:rsidP="00FE555C">
            <w:pPr>
              <w:pStyle w:val="BStablefigures"/>
            </w:pPr>
            <w:r>
              <w:t>3,212,415</w:t>
            </w:r>
          </w:p>
        </w:tc>
        <w:tc>
          <w:tcPr>
            <w:tcW w:w="1394" w:type="dxa"/>
            <w:hideMark/>
          </w:tcPr>
          <w:p w14:paraId="643E5F02" w14:textId="77777777" w:rsidR="00A62E78" w:rsidRPr="00833566" w:rsidRDefault="00A62E78" w:rsidP="00FE555C">
            <w:pPr>
              <w:pStyle w:val="BStablefigures"/>
            </w:pPr>
            <w:r>
              <w:t>3,040,168</w:t>
            </w:r>
          </w:p>
        </w:tc>
      </w:tr>
      <w:tr w:rsidR="00A62E78" w:rsidRPr="00833566" w14:paraId="7F40A414" w14:textId="77777777" w:rsidTr="00FE555C">
        <w:tc>
          <w:tcPr>
            <w:tcW w:w="2135" w:type="dxa"/>
            <w:tcBorders>
              <w:top w:val="single" w:sz="4" w:space="0" w:color="auto"/>
              <w:left w:val="nil"/>
              <w:bottom w:val="single" w:sz="4" w:space="0" w:color="auto"/>
              <w:right w:val="nil"/>
            </w:tcBorders>
            <w:hideMark/>
          </w:tcPr>
          <w:p w14:paraId="0982B97C" w14:textId="77777777" w:rsidR="00A62E78" w:rsidRPr="00833566" w:rsidRDefault="00A62E78" w:rsidP="00FE555C">
            <w:pPr>
              <w:pStyle w:val="BStabletextbold"/>
            </w:pPr>
            <w:r w:rsidRPr="00833566">
              <w:t>Funding Percentage</w:t>
            </w:r>
          </w:p>
        </w:tc>
        <w:tc>
          <w:tcPr>
            <w:tcW w:w="1394" w:type="dxa"/>
            <w:tcBorders>
              <w:top w:val="single" w:sz="4" w:space="0" w:color="auto"/>
              <w:left w:val="nil"/>
              <w:bottom w:val="single" w:sz="4" w:space="0" w:color="auto"/>
              <w:right w:val="nil"/>
            </w:tcBorders>
            <w:hideMark/>
          </w:tcPr>
          <w:p w14:paraId="77126D7C" w14:textId="77777777" w:rsidR="00A62E78" w:rsidRPr="00833566" w:rsidRDefault="00A62E78" w:rsidP="00FE555C">
            <w:pPr>
              <w:pStyle w:val="BStablefiguresbold"/>
            </w:pPr>
            <w:r>
              <w:t>36</w:t>
            </w:r>
            <w:r w:rsidRPr="00833566">
              <w:t>%</w:t>
            </w:r>
          </w:p>
        </w:tc>
        <w:tc>
          <w:tcPr>
            <w:tcW w:w="1394" w:type="dxa"/>
            <w:tcBorders>
              <w:top w:val="single" w:sz="4" w:space="0" w:color="auto"/>
              <w:left w:val="nil"/>
              <w:bottom w:val="single" w:sz="4" w:space="0" w:color="auto"/>
              <w:right w:val="nil"/>
            </w:tcBorders>
            <w:hideMark/>
          </w:tcPr>
          <w:p w14:paraId="18FF2B08" w14:textId="77777777" w:rsidR="00A62E78" w:rsidRPr="00833566" w:rsidRDefault="00A62E78" w:rsidP="00FE555C">
            <w:pPr>
              <w:pStyle w:val="BStablefiguresbold"/>
            </w:pPr>
            <w:r w:rsidRPr="00833566">
              <w:t>5</w:t>
            </w:r>
            <w:r>
              <w:t>8</w:t>
            </w:r>
            <w:r w:rsidRPr="00833566">
              <w:t>%</w:t>
            </w:r>
          </w:p>
        </w:tc>
        <w:tc>
          <w:tcPr>
            <w:tcW w:w="1394" w:type="dxa"/>
            <w:tcBorders>
              <w:top w:val="single" w:sz="4" w:space="0" w:color="auto"/>
              <w:left w:val="nil"/>
              <w:bottom w:val="single" w:sz="4" w:space="0" w:color="auto"/>
              <w:right w:val="nil"/>
            </w:tcBorders>
            <w:hideMark/>
          </w:tcPr>
          <w:p w14:paraId="1022847C" w14:textId="77777777" w:rsidR="00A62E78" w:rsidRPr="00833566" w:rsidRDefault="00A62E78" w:rsidP="00FE555C">
            <w:pPr>
              <w:pStyle w:val="BStablefiguresbold"/>
            </w:pPr>
            <w:r>
              <w:t>61</w:t>
            </w:r>
            <w:r w:rsidRPr="00833566">
              <w:t>%</w:t>
            </w:r>
          </w:p>
        </w:tc>
        <w:tc>
          <w:tcPr>
            <w:tcW w:w="1394" w:type="dxa"/>
            <w:tcBorders>
              <w:top w:val="single" w:sz="4" w:space="0" w:color="auto"/>
              <w:left w:val="nil"/>
              <w:bottom w:val="single" w:sz="4" w:space="0" w:color="auto"/>
              <w:right w:val="nil"/>
            </w:tcBorders>
            <w:hideMark/>
          </w:tcPr>
          <w:p w14:paraId="174153D4" w14:textId="77777777" w:rsidR="00A62E78" w:rsidRPr="00833566" w:rsidRDefault="00A62E78" w:rsidP="00FE555C">
            <w:pPr>
              <w:pStyle w:val="BStablefiguresbold"/>
            </w:pPr>
            <w:r w:rsidRPr="00833566">
              <w:t>6</w:t>
            </w:r>
            <w:r>
              <w:t>3</w:t>
            </w:r>
            <w:r w:rsidRPr="00833566">
              <w:t>%</w:t>
            </w:r>
          </w:p>
        </w:tc>
        <w:tc>
          <w:tcPr>
            <w:tcW w:w="1394" w:type="dxa"/>
            <w:tcBorders>
              <w:top w:val="single" w:sz="4" w:space="0" w:color="auto"/>
              <w:left w:val="nil"/>
              <w:bottom w:val="single" w:sz="4" w:space="0" w:color="auto"/>
              <w:right w:val="nil"/>
            </w:tcBorders>
            <w:hideMark/>
          </w:tcPr>
          <w:p w14:paraId="4039AA22" w14:textId="77777777" w:rsidR="00A62E78" w:rsidRPr="00833566" w:rsidRDefault="00A62E78" w:rsidP="00FE555C">
            <w:pPr>
              <w:pStyle w:val="BStablefiguresbold"/>
            </w:pPr>
            <w:r w:rsidRPr="00833566">
              <w:t>6</w:t>
            </w:r>
            <w:r>
              <w:t>6</w:t>
            </w:r>
            <w:r w:rsidRPr="00833566">
              <w:t>%</w:t>
            </w:r>
          </w:p>
        </w:tc>
      </w:tr>
    </w:tbl>
    <w:p w14:paraId="6DE38946" w14:textId="7470E515" w:rsidR="00A62E78" w:rsidRPr="00833566" w:rsidRDefault="00A62E78" w:rsidP="00A62E78">
      <w:pPr>
        <w:autoSpaceDE w:val="0"/>
        <w:autoSpaceDN w:val="0"/>
        <w:adjustRightInd w:val="0"/>
        <w:spacing w:before="0" w:after="0"/>
        <w:rPr>
          <w:rFonts w:cstheme="minorHAnsi"/>
          <w:color w:val="000000"/>
          <w:sz w:val="20"/>
          <w:szCs w:val="20"/>
        </w:rPr>
      </w:pPr>
      <w:r w:rsidRPr="00833566">
        <w:rPr>
          <w:rFonts w:cstheme="minorHAnsi"/>
          <w:color w:val="000000"/>
          <w:sz w:val="20"/>
          <w:szCs w:val="20"/>
        </w:rPr>
        <w:t>Source:</w:t>
      </w:r>
      <w:r w:rsidRPr="00833566">
        <w:rPr>
          <w:noProof/>
          <w:sz w:val="20"/>
          <w:szCs w:val="20"/>
          <w:lang w:val="en-NZ"/>
        </w:rPr>
        <w:t xml:space="preserve"> (ACT Government, 20</w:t>
      </w:r>
      <w:r>
        <w:rPr>
          <w:noProof/>
          <w:sz w:val="20"/>
          <w:szCs w:val="20"/>
          <w:lang w:val="en-NZ"/>
        </w:rPr>
        <w:t>21</w:t>
      </w:r>
      <w:r w:rsidRPr="00833566">
        <w:rPr>
          <w:noProof/>
          <w:sz w:val="20"/>
          <w:szCs w:val="20"/>
          <w:lang w:val="en-NZ"/>
        </w:rPr>
        <w:t xml:space="preserve">, p. </w:t>
      </w:r>
      <w:r>
        <w:rPr>
          <w:noProof/>
          <w:sz w:val="20"/>
          <w:szCs w:val="20"/>
          <w:lang w:val="en-NZ"/>
        </w:rPr>
        <w:t>196</w:t>
      </w:r>
      <w:r w:rsidRPr="00833566">
        <w:rPr>
          <w:noProof/>
          <w:sz w:val="20"/>
          <w:szCs w:val="20"/>
          <w:lang w:val="en-NZ"/>
        </w:rPr>
        <w:t>)</w:t>
      </w:r>
      <w:r>
        <w:rPr>
          <w:noProof/>
          <w:sz w:val="20"/>
          <w:szCs w:val="20"/>
          <w:lang w:val="en-NZ"/>
        </w:rPr>
        <w:t>.</w:t>
      </w:r>
      <w:r w:rsidRPr="00833566">
        <w:rPr>
          <w:noProof/>
          <w:sz w:val="20"/>
          <w:szCs w:val="20"/>
          <w:lang w:val="en-NZ"/>
        </w:rPr>
        <w:t xml:space="preserve"> </w:t>
      </w:r>
      <w:r w:rsidRPr="00833566">
        <w:rPr>
          <w:rFonts w:cstheme="minorHAnsi"/>
          <w:color w:val="000000"/>
          <w:sz w:val="20"/>
          <w:szCs w:val="20"/>
        </w:rPr>
        <w:t>The estimated liability is as at 30 June of the financial year and is calculated using the long term discount rate of 5</w:t>
      </w:r>
      <w:r>
        <w:rPr>
          <w:rFonts w:cstheme="minorHAnsi"/>
          <w:color w:val="000000"/>
          <w:sz w:val="20"/>
          <w:szCs w:val="20"/>
        </w:rPr>
        <w:t xml:space="preserve"> per cent</w:t>
      </w:r>
      <w:r w:rsidRPr="00833566">
        <w:rPr>
          <w:rFonts w:cstheme="minorHAnsi"/>
          <w:color w:val="000000"/>
          <w:sz w:val="20"/>
          <w:szCs w:val="20"/>
        </w:rPr>
        <w:t xml:space="preserve"> p</w:t>
      </w:r>
      <w:r>
        <w:rPr>
          <w:rFonts w:cstheme="minorHAnsi"/>
          <w:color w:val="000000"/>
          <w:sz w:val="20"/>
          <w:szCs w:val="20"/>
        </w:rPr>
        <w:t xml:space="preserve">er </w:t>
      </w:r>
      <w:r w:rsidRPr="00833566">
        <w:rPr>
          <w:rFonts w:cstheme="minorHAnsi"/>
          <w:color w:val="000000"/>
          <w:sz w:val="20"/>
          <w:szCs w:val="20"/>
        </w:rPr>
        <w:t>a</w:t>
      </w:r>
      <w:r>
        <w:rPr>
          <w:rFonts w:cstheme="minorHAnsi"/>
          <w:color w:val="000000"/>
          <w:sz w:val="20"/>
          <w:szCs w:val="20"/>
        </w:rPr>
        <w:t>nnum for 2020-21 and future years</w:t>
      </w:r>
      <w:r w:rsidRPr="00833566">
        <w:rPr>
          <w:rFonts w:cstheme="minorHAnsi"/>
          <w:color w:val="000000"/>
          <w:sz w:val="20"/>
          <w:szCs w:val="20"/>
        </w:rPr>
        <w:t>.</w:t>
      </w:r>
      <w:r>
        <w:rPr>
          <w:rFonts w:cstheme="minorHAnsi"/>
          <w:color w:val="000000"/>
          <w:sz w:val="20"/>
          <w:szCs w:val="20"/>
        </w:rPr>
        <w:t xml:space="preserve"> The actual liability as at 30 June 2020 has been calculated using a discount rate of 1.7 per cent per annum.</w:t>
      </w:r>
    </w:p>
    <w:p w14:paraId="4D1645EE" w14:textId="134D1E4C" w:rsidR="00A62E78" w:rsidRDefault="00A62E78" w:rsidP="00A62E78">
      <w:r>
        <w:t xml:space="preserve">The low funding percentage for 2019-20 is a function of the valuation interest rate used. On a constant interest rate basis, </w:t>
      </w:r>
      <w:r w:rsidRPr="00833566">
        <w:t xml:space="preserve">the unfunded superannuation liability </w:t>
      </w:r>
      <w:r>
        <w:t xml:space="preserve">has been declining </w:t>
      </w:r>
      <w:r w:rsidRPr="00833566">
        <w:t>in absolute terms</w:t>
      </w:r>
      <w:r>
        <w:t xml:space="preserve"> for some years and </w:t>
      </w:r>
      <w:r w:rsidRPr="00833566">
        <w:t xml:space="preserve">is expected to </w:t>
      </w:r>
      <w:r>
        <w:t>continue to</w:t>
      </w:r>
      <w:r w:rsidRPr="00833566">
        <w:t xml:space="preserve"> decline</w:t>
      </w:r>
      <w:r>
        <w:t xml:space="preserve"> over the forward estimates period</w:t>
      </w:r>
      <w:r w:rsidRPr="00833566">
        <w:t>. This information is illustrated in</w:t>
      </w:r>
      <w:r>
        <w:t xml:space="preserve"> </w:t>
      </w:r>
      <w:r w:rsidR="006967FF">
        <w:t>Figure 25</w:t>
      </w:r>
      <w:r w:rsidRPr="00833566">
        <w:t>.</w:t>
      </w:r>
    </w:p>
    <w:p w14:paraId="6A858CE8" w14:textId="700AAA2A" w:rsidR="00A62E78" w:rsidRDefault="00A62E78" w:rsidP="00A62E78">
      <w:pPr>
        <w:pStyle w:val="Caption"/>
      </w:pPr>
      <w:bookmarkStart w:id="167" w:name="_Toc64529117"/>
      <w:r>
        <w:t xml:space="preserve">Figure </w:t>
      </w:r>
      <w:r>
        <w:rPr>
          <w:noProof/>
        </w:rPr>
        <w:fldChar w:fldCharType="begin"/>
      </w:r>
      <w:r>
        <w:rPr>
          <w:noProof/>
        </w:rPr>
        <w:instrText xml:space="preserve"> SEQ Figure \* ARABIC </w:instrText>
      </w:r>
      <w:r>
        <w:rPr>
          <w:noProof/>
        </w:rPr>
        <w:fldChar w:fldCharType="separate"/>
      </w:r>
      <w:r w:rsidR="00AB7125">
        <w:rPr>
          <w:noProof/>
        </w:rPr>
        <w:t>25</w:t>
      </w:r>
      <w:r>
        <w:rPr>
          <w:noProof/>
        </w:rPr>
        <w:fldChar w:fldCharType="end"/>
      </w:r>
      <w:r>
        <w:t xml:space="preserve">: </w:t>
      </w:r>
      <w:r w:rsidRPr="00063F96">
        <w:t xml:space="preserve">Defined Benefit Superannuation </w:t>
      </w:r>
      <w:r>
        <w:t xml:space="preserve">Unfunded Liability and </w:t>
      </w:r>
      <w:r w:rsidRPr="00063F96">
        <w:t>Investment Assets</w:t>
      </w:r>
      <w:bookmarkEnd w:id="167"/>
    </w:p>
    <w:p w14:paraId="207B8B22" w14:textId="77777777" w:rsidR="00A62E78" w:rsidRPr="00833566" w:rsidRDefault="00A62E78" w:rsidP="00FE555C">
      <w:pPr>
        <w:spacing w:before="0" w:after="0"/>
        <w:rPr>
          <w:rStyle w:val="BodyTextChar"/>
          <w:rFonts w:eastAsiaTheme="minorHAnsi"/>
        </w:rPr>
      </w:pPr>
      <w:r>
        <w:rPr>
          <w:noProof/>
          <w:lang w:eastAsia="en-AU"/>
        </w:rPr>
        <w:drawing>
          <wp:inline distT="0" distB="0" distL="0" distR="0" wp14:anchorId="42D5A5B0" wp14:editId="19422CF4">
            <wp:extent cx="5731510" cy="3619077"/>
            <wp:effectExtent l="0" t="0" r="0" b="635"/>
            <wp:docPr id="448" name="Picture 4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38"/>
                    <a:stretch>
                      <a:fillRect/>
                    </a:stretch>
                  </pic:blipFill>
                  <pic:spPr>
                    <a:xfrm>
                      <a:off x="0" y="0"/>
                      <a:ext cx="5733835" cy="3620545"/>
                    </a:xfrm>
                    <a:prstGeom prst="rect">
                      <a:avLst/>
                    </a:prstGeom>
                  </pic:spPr>
                </pic:pic>
              </a:graphicData>
            </a:graphic>
          </wp:inline>
        </w:drawing>
      </w:r>
      <w:r>
        <w:rPr>
          <w:rStyle w:val="BodyTextChar"/>
          <w:rFonts w:eastAsiaTheme="minorHAnsi"/>
        </w:rPr>
        <w:br/>
      </w:r>
      <w:r w:rsidRPr="00833566">
        <w:rPr>
          <w:rStyle w:val="BodyTextChar"/>
          <w:rFonts w:eastAsiaTheme="minorHAnsi"/>
        </w:rPr>
        <w:t xml:space="preserve">Source: </w:t>
      </w:r>
      <w:r w:rsidRPr="00833566">
        <w:rPr>
          <w:noProof/>
          <w:sz w:val="20"/>
          <w:szCs w:val="20"/>
          <w:lang w:val="en-NZ"/>
        </w:rPr>
        <w:t>(ACT Government, 20</w:t>
      </w:r>
      <w:r>
        <w:rPr>
          <w:noProof/>
          <w:sz w:val="20"/>
          <w:szCs w:val="20"/>
          <w:lang w:val="en-NZ"/>
        </w:rPr>
        <w:t>21</w:t>
      </w:r>
      <w:r w:rsidRPr="00833566">
        <w:rPr>
          <w:noProof/>
          <w:sz w:val="20"/>
          <w:szCs w:val="20"/>
          <w:lang w:val="en-NZ"/>
        </w:rPr>
        <w:t xml:space="preserve">, </w:t>
      </w:r>
      <w:r>
        <w:rPr>
          <w:noProof/>
          <w:sz w:val="20"/>
          <w:szCs w:val="20"/>
          <w:lang w:val="en-NZ"/>
        </w:rPr>
        <w:t xml:space="preserve">p. 209 for the estimate of the total defined benefit liability as at 30 June 2020 on the long term discount rate, </w:t>
      </w:r>
      <w:r w:rsidRPr="00833566">
        <w:rPr>
          <w:noProof/>
          <w:sz w:val="20"/>
          <w:szCs w:val="20"/>
          <w:lang w:val="en-NZ"/>
        </w:rPr>
        <w:t xml:space="preserve">p. </w:t>
      </w:r>
      <w:r>
        <w:rPr>
          <w:noProof/>
          <w:sz w:val="20"/>
          <w:szCs w:val="20"/>
          <w:lang w:val="en-NZ"/>
        </w:rPr>
        <w:t>196 for all other estimates</w:t>
      </w:r>
      <w:r w:rsidRPr="00833566">
        <w:rPr>
          <w:noProof/>
          <w:sz w:val="20"/>
          <w:szCs w:val="20"/>
          <w:lang w:val="en-NZ"/>
        </w:rPr>
        <w:t>)</w:t>
      </w:r>
      <w:r>
        <w:rPr>
          <w:noProof/>
          <w:sz w:val="20"/>
          <w:szCs w:val="20"/>
          <w:lang w:val="en-NZ"/>
        </w:rPr>
        <w:t>.</w:t>
      </w:r>
    </w:p>
    <w:p w14:paraId="3E954B94" w14:textId="573E20C3" w:rsidR="00A62E78" w:rsidRPr="00833566" w:rsidRDefault="00A62E78" w:rsidP="00A62E78">
      <w:pPr>
        <w:pStyle w:val="BodyText"/>
        <w:rPr>
          <w:rFonts w:eastAsiaTheme="minorHAnsi"/>
        </w:rPr>
      </w:pPr>
      <w:r>
        <w:t>T</w:t>
      </w:r>
      <w:r w:rsidRPr="00833566">
        <w:t xml:space="preserve">he </w:t>
      </w:r>
      <w:r>
        <w:t>actual return on</w:t>
      </w:r>
      <w:r w:rsidRPr="00833566">
        <w:t xml:space="preserve"> investments in the Superannuation Provision Account </w:t>
      </w:r>
      <w:r>
        <w:t xml:space="preserve">for 2019-20 was considerably lower than anticipated in the 2019-20 </w:t>
      </w:r>
      <w:r w:rsidR="0098337F">
        <w:t>ACT B</w:t>
      </w:r>
      <w:r>
        <w:t xml:space="preserve">udget. The 2020-21 </w:t>
      </w:r>
      <w:r w:rsidR="0098337F">
        <w:t>B</w:t>
      </w:r>
      <w:r>
        <w:t xml:space="preserve">udget is very optimistic about investment returns for the budget year, assuming a nominal return of 12 per cent for the year. As a result, by 30 June 2021 assets are projected to exceed the estimates included in the 2019-20 </w:t>
      </w:r>
      <w:r w:rsidR="005F6C61">
        <w:t>Bu</w:t>
      </w:r>
      <w:r>
        <w:t xml:space="preserve">dget. A nominal investment return of 6.75 per cent per annum is assumed for the outyears. This is described as CPI plus 4.75 per cent. </w:t>
      </w:r>
    </w:p>
    <w:p w14:paraId="00813766" w14:textId="77777777" w:rsidR="00A62E78" w:rsidRPr="00833566" w:rsidRDefault="00A62E78" w:rsidP="00A62E78">
      <w:pPr>
        <w:pStyle w:val="BodyText"/>
      </w:pPr>
      <w:r w:rsidRPr="00833566">
        <w:t>Th</w:t>
      </w:r>
      <w:r>
        <w:t xml:space="preserve">e investment return assumption is above the midpoint of the range mandated for the Commonwealth Government’s Future Fund. </w:t>
      </w:r>
      <w:r w:rsidRPr="00833566">
        <w:t xml:space="preserve">Given the risks to the Australian and global economy, </w:t>
      </w:r>
      <w:r w:rsidRPr="00833566">
        <w:lastRenderedPageBreak/>
        <w:t>there must be some question as to whether this target can be met in the short to medium term. Without a significant increase in investment returns or additional contributions, the ACT Government seems unlikely to achieve its goal of full funding of the superannuation liability by 2030.</w:t>
      </w:r>
    </w:p>
    <w:p w14:paraId="7836F43B" w14:textId="26A62BF9" w:rsidR="00A62E78" w:rsidRDefault="00A62E78" w:rsidP="00A62E78">
      <w:pPr>
        <w:autoSpaceDE w:val="0"/>
        <w:autoSpaceDN w:val="0"/>
        <w:adjustRightInd w:val="0"/>
        <w:spacing w:after="0"/>
        <w:rPr>
          <w:rFonts w:cstheme="minorHAnsi"/>
          <w:color w:val="000000"/>
        </w:rPr>
      </w:pPr>
      <w:r w:rsidRPr="00C26D2F">
        <w:t>Despite these reservations,</w:t>
      </w:r>
      <w:r>
        <w:t xml:space="preserve"> </w:t>
      </w:r>
      <w:r w:rsidRPr="00833566">
        <w:t>there is no indication that the ACT</w:t>
      </w:r>
      <w:r w:rsidR="0098337F">
        <w:t xml:space="preserve"> Government</w:t>
      </w:r>
      <w:r w:rsidRPr="00833566">
        <w:t xml:space="preserve"> will have any difficulties in meeting its unfunded superannuation obligations, which will emerge as a requirement to meet benefit payments over a period of more than 50 years. The projections of benefit payments are virtually unchanged from the 201</w:t>
      </w:r>
      <w:r>
        <w:t>9</w:t>
      </w:r>
      <w:r w:rsidRPr="00833566">
        <w:t>-</w:t>
      </w:r>
      <w:r>
        <w:t>20</w:t>
      </w:r>
      <w:r w:rsidRPr="00833566">
        <w:t xml:space="preserve"> Budget.</w:t>
      </w:r>
    </w:p>
    <w:p w14:paraId="4164DC3A" w14:textId="5BEBB017" w:rsidR="00A2681E" w:rsidRDefault="00A2681E" w:rsidP="00A2681E">
      <w:pPr>
        <w:autoSpaceDE w:val="0"/>
        <w:autoSpaceDN w:val="0"/>
        <w:adjustRightInd w:val="0"/>
        <w:spacing w:after="0"/>
        <w:rPr>
          <w:rFonts w:cstheme="minorHAnsi"/>
          <w:color w:val="000000"/>
        </w:rPr>
      </w:pPr>
    </w:p>
    <w:p w14:paraId="42DEE742" w14:textId="0DA4F23E" w:rsidR="0003405B" w:rsidRDefault="0003405B" w:rsidP="0003405B">
      <w:r>
        <w:br w:type="page"/>
      </w:r>
    </w:p>
    <w:p w14:paraId="25987FDD" w14:textId="44774B2B" w:rsidR="00BD46A3" w:rsidRDefault="00BD46A3" w:rsidP="00BD46A3">
      <w:pPr>
        <w:pStyle w:val="Heading1"/>
      </w:pPr>
      <w:bookmarkStart w:id="168" w:name="_Toc453495140"/>
      <w:bookmarkStart w:id="169" w:name="_Toc453516141"/>
      <w:bookmarkStart w:id="170" w:name="_Toc64529057"/>
      <w:bookmarkEnd w:id="144"/>
      <w:bookmarkEnd w:id="145"/>
      <w:r>
        <w:rPr>
          <w:noProof/>
          <w:lang w:eastAsia="en-AU"/>
        </w:rPr>
        <w:lastRenderedPageBreak/>
        <mc:AlternateContent>
          <mc:Choice Requires="wps">
            <w:drawing>
              <wp:anchor distT="91440" distB="91440" distL="114300" distR="114300" simplePos="0" relativeHeight="251679744" behindDoc="0" locked="0" layoutInCell="1" allowOverlap="1" wp14:anchorId="24FE8CA3" wp14:editId="5773B496">
                <wp:simplePos x="0" y="0"/>
                <wp:positionH relativeFrom="margin">
                  <wp:posOffset>-66675</wp:posOffset>
                </wp:positionH>
                <wp:positionV relativeFrom="paragraph">
                  <wp:posOffset>380365</wp:posOffset>
                </wp:positionV>
                <wp:extent cx="5762625" cy="2080895"/>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80895"/>
                        </a:xfrm>
                        <a:prstGeom prst="rect">
                          <a:avLst/>
                        </a:prstGeom>
                        <a:noFill/>
                        <a:ln w="9525">
                          <a:noFill/>
                          <a:miter lim="800000"/>
                          <a:headEnd/>
                          <a:tailEnd/>
                        </a:ln>
                      </wps:spPr>
                      <wps:txbx>
                        <w:txbxContent>
                          <w:p w14:paraId="657C6234" w14:textId="3D5D7060" w:rsidR="00A30ABA" w:rsidRDefault="00A30ABA" w:rsidP="00BD46A3">
                            <w:pPr>
                              <w:pBdr>
                                <w:top w:val="single" w:sz="24" w:space="8" w:color="5B9BD5" w:themeColor="accent1"/>
                                <w:bottom w:val="single" w:sz="24" w:space="8" w:color="5B9BD5" w:themeColor="accent1"/>
                              </w:pBdr>
                              <w:spacing w:after="0"/>
                              <w:rPr>
                                <w:i/>
                                <w:iCs/>
                                <w:color w:val="5B9BD5" w:themeColor="accent1"/>
                                <w:sz w:val="24"/>
                              </w:rPr>
                            </w:pPr>
                            <w:r w:rsidRPr="00281C57">
                              <w:rPr>
                                <w:i/>
                                <w:iCs/>
                                <w:color w:val="5B9BD5" w:themeColor="accent1"/>
                                <w:sz w:val="24"/>
                                <w:szCs w:val="24"/>
                              </w:rPr>
                              <w:t>There are a number of risks and uncertainties attached to the Budget estimates. These include economic and fiscal risks. The Budget is based on assumptions about the future level of Commonwealth spending in the ACT and about the level of Commonwealth Government grants to the ACT that have some attached risk. The speed and strength of the recovery from the COVID pandemic will have a signifi</w:t>
                            </w:r>
                            <w:r>
                              <w:rPr>
                                <w:i/>
                                <w:iCs/>
                                <w:color w:val="5B9BD5" w:themeColor="accent1"/>
                                <w:sz w:val="24"/>
                                <w:szCs w:val="24"/>
                              </w:rPr>
                              <w:t>c</w:t>
                            </w:r>
                            <w:r w:rsidRPr="00281C57">
                              <w:rPr>
                                <w:i/>
                                <w:iCs/>
                                <w:color w:val="5B9BD5" w:themeColor="accent1"/>
                                <w:sz w:val="24"/>
                                <w:szCs w:val="24"/>
                              </w:rPr>
                              <w:t>ant bearing on the fiscal outlook. Previous sections have also pointed to the sensitivity of the Budget aggregates to technical assumptions including those related to the rate used to measure the present value of superannuation payments in future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E8CA3" id="Text Box 17" o:spid="_x0000_s1039" type="#_x0000_t202" style="position:absolute;margin-left:-5.25pt;margin-top:29.95pt;width:453.75pt;height:163.8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" filled="f" stroked="f">
                <v:textbox>
                  <w:txbxContent>
                    <w:p w14:paraId="657C6234" w14:textId="3D5D7060" w:rsidR="00A30ABA" w:rsidRDefault="00A30ABA" w:rsidP="00BD46A3">
                      <w:pPr>
                        <w:pBdr>
                          <w:top w:val="single" w:sz="24" w:space="8" w:color="5B9BD5" w:themeColor="accent1"/>
                          <w:bottom w:val="single" w:sz="24" w:space="8" w:color="5B9BD5" w:themeColor="accent1"/>
                        </w:pBdr>
                        <w:spacing w:after="0"/>
                        <w:rPr>
                          <w:i/>
                          <w:iCs/>
                          <w:color w:val="5B9BD5" w:themeColor="accent1"/>
                          <w:sz w:val="24"/>
                        </w:rPr>
                      </w:pPr>
                      <w:r w:rsidRPr="00281C57">
                        <w:rPr>
                          <w:i/>
                          <w:iCs/>
                          <w:color w:val="5B9BD5" w:themeColor="accent1"/>
                          <w:sz w:val="24"/>
                          <w:szCs w:val="24"/>
                        </w:rPr>
                        <w:t>There are a number of risks and uncertainties attached to the Budget estimates. These include economic and fiscal risks. The Budget is based on assumptions about the future level of Commonwealth spending in the ACT and about the level of Commonwealth Government grants to the ACT that have some attached risk. The speed and strength of the recovery from the COVID pandemic will have a signifi</w:t>
                      </w:r>
                      <w:r>
                        <w:rPr>
                          <w:i/>
                          <w:iCs/>
                          <w:color w:val="5B9BD5" w:themeColor="accent1"/>
                          <w:sz w:val="24"/>
                          <w:szCs w:val="24"/>
                        </w:rPr>
                        <w:t>c</w:t>
                      </w:r>
                      <w:r w:rsidRPr="00281C57">
                        <w:rPr>
                          <w:i/>
                          <w:iCs/>
                          <w:color w:val="5B9BD5" w:themeColor="accent1"/>
                          <w:sz w:val="24"/>
                          <w:szCs w:val="24"/>
                        </w:rPr>
                        <w:t>ant bearing on the fiscal outlook. Previous sections have also pointed to the sensitivity of the Budget aggregates to technical assumptions including those related to the rate used to measure the present value of superannuation payments in future years.</w:t>
                      </w:r>
                    </w:p>
                  </w:txbxContent>
                </v:textbox>
                <w10:wrap type="topAndBottom" anchorx="margin"/>
              </v:shape>
            </w:pict>
          </mc:Fallback>
        </mc:AlternateContent>
      </w:r>
      <w:r w:rsidR="00E81ABF">
        <w:t>8</w:t>
      </w:r>
      <w:r w:rsidR="00F917F6">
        <w:t>.</w:t>
      </w:r>
      <w:r>
        <w:tab/>
      </w:r>
      <w:r w:rsidRPr="00281C57">
        <w:t>Risks</w:t>
      </w:r>
      <w:bookmarkEnd w:id="170"/>
    </w:p>
    <w:p w14:paraId="666DFF8C" w14:textId="16460E50" w:rsidR="00BD46A3" w:rsidRDefault="00E81ABF" w:rsidP="00BD46A3">
      <w:pPr>
        <w:pStyle w:val="Heading2"/>
        <w:spacing w:after="240"/>
        <w:rPr>
          <w:rFonts w:eastAsia="Times New Roman"/>
        </w:rPr>
      </w:pPr>
      <w:bookmarkStart w:id="171" w:name="_Toc64529058"/>
      <w:r>
        <w:rPr>
          <w:rFonts w:eastAsia="Times New Roman"/>
        </w:rPr>
        <w:t>8</w:t>
      </w:r>
      <w:r w:rsidR="00BD46A3">
        <w:rPr>
          <w:rFonts w:eastAsia="Times New Roman"/>
        </w:rPr>
        <w:t>.1</w:t>
      </w:r>
      <w:r w:rsidR="00BD46A3">
        <w:rPr>
          <w:rFonts w:eastAsia="Times New Roman"/>
        </w:rPr>
        <w:tab/>
      </w:r>
      <w:r w:rsidR="00BD46A3" w:rsidRPr="00281C57">
        <w:rPr>
          <w:rFonts w:eastAsia="Times New Roman"/>
        </w:rPr>
        <w:t>Overview</w:t>
      </w:r>
      <w:bookmarkEnd w:id="171"/>
    </w:p>
    <w:p w14:paraId="63F6413C" w14:textId="3E38EAE4" w:rsidR="00BD46A3" w:rsidRDefault="00BD46A3" w:rsidP="00BD46A3">
      <w:r>
        <w:t xml:space="preserve">The Budget Papers provide a statement of the risks attached to the outlook over the Budget and out years in Appendix </w:t>
      </w:r>
      <w:r w:rsidR="001249D9">
        <w:t xml:space="preserve">I </w:t>
      </w:r>
      <w:sdt>
        <w:sdtPr>
          <w:id w:val="-192306347"/>
          <w:citation/>
        </w:sdtPr>
        <w:sdtContent>
          <w:r w:rsidR="001249D9">
            <w:fldChar w:fldCharType="begin"/>
          </w:r>
          <w:r w:rsidR="00DA22D6">
            <w:instrText xml:space="preserve">CITATION ACT21 \p 291-296 \t  \l 3081 </w:instrText>
          </w:r>
          <w:r w:rsidR="001249D9">
            <w:fldChar w:fldCharType="separate"/>
          </w:r>
          <w:r w:rsidR="00DA22D6">
            <w:rPr>
              <w:noProof/>
            </w:rPr>
            <w:t>(ACT Government, 2021, pp. 291-296)</w:t>
          </w:r>
          <w:r w:rsidR="001249D9">
            <w:fldChar w:fldCharType="end"/>
          </w:r>
        </w:sdtContent>
      </w:sdt>
      <w:r>
        <w:t>.</w:t>
      </w:r>
    </w:p>
    <w:p w14:paraId="7931789B" w14:textId="04AEC852" w:rsidR="00BD46A3" w:rsidRDefault="00BD46A3" w:rsidP="00BD46A3">
      <w:r>
        <w:t xml:space="preserve">However, the Budget Papers do not </w:t>
      </w:r>
      <w:r w:rsidR="008408F8">
        <w:t xml:space="preserve">generally </w:t>
      </w:r>
      <w:r>
        <w:t>quantify the sensitivity of the Budget aggregates on a number of important risk factors</w:t>
      </w:r>
      <w:r w:rsidR="008408F8">
        <w:t xml:space="preserve">. </w:t>
      </w:r>
    </w:p>
    <w:p w14:paraId="79ECBC07" w14:textId="428A7B15" w:rsidR="00BD46A3" w:rsidRDefault="00E81ABF" w:rsidP="00BD46A3">
      <w:pPr>
        <w:pStyle w:val="Heading2"/>
        <w:spacing w:after="240"/>
        <w:rPr>
          <w:rFonts w:eastAsia="Times New Roman"/>
        </w:rPr>
      </w:pPr>
      <w:bookmarkStart w:id="172" w:name="_Toc64529059"/>
      <w:r w:rsidRPr="00F96A74">
        <w:rPr>
          <w:rFonts w:eastAsia="Times New Roman"/>
        </w:rPr>
        <w:t>8</w:t>
      </w:r>
      <w:r w:rsidR="00BD46A3" w:rsidRPr="00F96A74">
        <w:rPr>
          <w:rFonts w:eastAsia="Times New Roman"/>
        </w:rPr>
        <w:t>.2</w:t>
      </w:r>
      <w:r w:rsidR="00BD46A3" w:rsidRPr="00F96A74">
        <w:rPr>
          <w:rFonts w:eastAsia="Times New Roman"/>
        </w:rPr>
        <w:tab/>
        <w:t>Risks to the economic outlook</w:t>
      </w:r>
      <w:bookmarkEnd w:id="172"/>
    </w:p>
    <w:p w14:paraId="78FD434E" w14:textId="4047B47A" w:rsidR="007B660C" w:rsidRDefault="00517484" w:rsidP="007B660C">
      <w:r>
        <w:t xml:space="preserve">Not surprisingly, the Budget Papers focus on the risks to the ACT economic outlook posed by the continuing impact associated with the COVID-19 pandemic </w:t>
      </w:r>
      <w:sdt>
        <w:sdtPr>
          <w:id w:val="1233575306"/>
          <w:citation/>
        </w:sdtPr>
        <w:sdtContent>
          <w:r>
            <w:fldChar w:fldCharType="begin"/>
          </w:r>
          <w:r w:rsidR="00DA22D6">
            <w:instrText xml:space="preserve">CITATION ACT21 \p 291 \t  \l 3081 </w:instrText>
          </w:r>
          <w:r>
            <w:fldChar w:fldCharType="separate"/>
          </w:r>
          <w:r w:rsidR="00DA22D6">
            <w:rPr>
              <w:noProof/>
            </w:rPr>
            <w:t>(ACT Government, 2021, p. 291)</w:t>
          </w:r>
          <w:r>
            <w:fldChar w:fldCharType="end"/>
          </w:r>
        </w:sdtContent>
      </w:sdt>
      <w:r>
        <w:t>.</w:t>
      </w:r>
      <w:r w:rsidR="007B660C">
        <w:t xml:space="preserve"> The Budget Papers highlight that </w:t>
      </w:r>
      <w:r w:rsidR="007B660C" w:rsidRPr="007B660C">
        <w:t>ongoing uncertainty could see households retain high levels of saving</w:t>
      </w:r>
      <w:r w:rsidR="007B660C">
        <w:t>,</w:t>
      </w:r>
      <w:r w:rsidR="007B660C" w:rsidRPr="007B660C">
        <w:t xml:space="preserve"> </w:t>
      </w:r>
      <w:r w:rsidR="007B660C">
        <w:t xml:space="preserve">in turn </w:t>
      </w:r>
      <w:r w:rsidR="007B660C" w:rsidRPr="007B660C">
        <w:t>exert</w:t>
      </w:r>
      <w:r w:rsidR="007B660C">
        <w:t>ing</w:t>
      </w:r>
      <w:r w:rsidR="007B660C" w:rsidRPr="007B660C">
        <w:t xml:space="preserve"> downward pressure on consumption growth</w:t>
      </w:r>
      <w:r w:rsidR="007B660C">
        <w:t>, with adverse flow</w:t>
      </w:r>
      <w:r w:rsidR="00330009">
        <w:t>-</w:t>
      </w:r>
      <w:r w:rsidR="007B660C">
        <w:t>on effects for business investment</w:t>
      </w:r>
      <w:r w:rsidR="001249D9">
        <w:t xml:space="preserve"> and the ACT economy in general</w:t>
      </w:r>
      <w:r w:rsidR="007B660C">
        <w:t>.</w:t>
      </w:r>
    </w:p>
    <w:p w14:paraId="24D74F90" w14:textId="5A5B5F1E" w:rsidR="00330009" w:rsidRPr="00330009" w:rsidRDefault="00330009" w:rsidP="00743F9E">
      <w:pPr>
        <w:pStyle w:val="Bbodytext"/>
      </w:pPr>
      <w:r w:rsidRPr="00330009">
        <w:rPr>
          <w:sz w:val="22"/>
        </w:rPr>
        <w:t xml:space="preserve">The ACT Government notes that </w:t>
      </w:r>
      <w:r>
        <w:rPr>
          <w:sz w:val="22"/>
        </w:rPr>
        <w:t>a</w:t>
      </w:r>
      <w:r w:rsidRPr="00330009">
        <w:rPr>
          <w:sz w:val="22"/>
        </w:rPr>
        <w:t xml:space="preserve">ny reimposition of restrictions in response to further outbreaks or delays in the rollout of vaccines globally and in Australia would present a downside risk to the baseline revenue estimates. The </w:t>
      </w:r>
      <w:r>
        <w:rPr>
          <w:sz w:val="22"/>
        </w:rPr>
        <w:t xml:space="preserve">Government estimates that </w:t>
      </w:r>
      <w:r w:rsidRPr="00330009">
        <w:rPr>
          <w:sz w:val="22"/>
        </w:rPr>
        <w:t>downside risks could potentially reduce the Territory’s baseline revenue estimates from payroll and land taxes, residential conveyance duty and motor vehicle registrations by up to $220 million over the budget and forward estimates period compared to the baseline scenario</w:t>
      </w:r>
      <w:r>
        <w:rPr>
          <w:sz w:val="22"/>
        </w:rPr>
        <w:t xml:space="preserve"> </w:t>
      </w:r>
      <w:sdt>
        <w:sdtPr>
          <w:rPr>
            <w:sz w:val="22"/>
          </w:rPr>
          <w:id w:val="-435214173"/>
          <w:citation/>
        </w:sdtPr>
        <w:sdtContent>
          <w:r w:rsidRPr="00743F9E">
            <w:rPr>
              <w:sz w:val="22"/>
            </w:rPr>
            <w:fldChar w:fldCharType="begin"/>
          </w:r>
          <w:r w:rsidRPr="00330009">
            <w:rPr>
              <w:sz w:val="22"/>
            </w:rPr>
            <w:instrText xml:space="preserve">CITATION ACT21 \p 292 \t  \l 3081 </w:instrText>
          </w:r>
          <w:r w:rsidRPr="00743F9E">
            <w:rPr>
              <w:sz w:val="22"/>
            </w:rPr>
            <w:fldChar w:fldCharType="separate"/>
          </w:r>
          <w:r w:rsidRPr="00330009">
            <w:rPr>
              <w:noProof/>
              <w:sz w:val="22"/>
            </w:rPr>
            <w:t>(ACT Government, 2021, p. 292)</w:t>
          </w:r>
          <w:r w:rsidRPr="00743F9E">
            <w:rPr>
              <w:sz w:val="22"/>
            </w:rPr>
            <w:fldChar w:fldCharType="end"/>
          </w:r>
        </w:sdtContent>
      </w:sdt>
      <w:r w:rsidRPr="00330009">
        <w:rPr>
          <w:sz w:val="22"/>
        </w:rPr>
        <w:t>.</w:t>
      </w:r>
    </w:p>
    <w:p w14:paraId="63EB64CB" w14:textId="57193C80" w:rsidR="007B660C" w:rsidRDefault="007B660C" w:rsidP="00517484">
      <w:r>
        <w:t>The Budget Papers also highlight two risks posed to the ACT economy by the Commonwealth Government, namely:</w:t>
      </w:r>
    </w:p>
    <w:p w14:paraId="3E1894C6" w14:textId="73EB854E" w:rsidR="00F21890" w:rsidRDefault="00F21890" w:rsidP="007B660C">
      <w:pPr>
        <w:pStyle w:val="ListParagraph"/>
        <w:numPr>
          <w:ilvl w:val="0"/>
          <w:numId w:val="28"/>
        </w:numPr>
      </w:pPr>
      <w:r>
        <w:t xml:space="preserve">the decentralisation agenda, whereby all Commonwealth Government departments and agencies have undertaken a thorough assessment of their functions to identify opportunities to locate appropriate functions and staff closer to communities and relieve the pressure on capital cities </w:t>
      </w:r>
      <w:sdt>
        <w:sdtPr>
          <w:id w:val="1310066474"/>
          <w:citation/>
        </w:sdtPr>
        <w:sdtContent>
          <w:r>
            <w:fldChar w:fldCharType="begin"/>
          </w:r>
          <w:r>
            <w:instrText xml:space="preserve">CITATION Com9e \p 11 \t  \l 3081 </w:instrText>
          </w:r>
          <w:r>
            <w:fldChar w:fldCharType="separate"/>
          </w:r>
          <w:r>
            <w:rPr>
              <w:noProof/>
            </w:rPr>
            <w:t>(Commonwealth of Australia, 2019, p. 11)</w:t>
          </w:r>
          <w:r>
            <w:fldChar w:fldCharType="end"/>
          </w:r>
        </w:sdtContent>
      </w:sdt>
      <w:r>
        <w:t>.</w:t>
      </w:r>
    </w:p>
    <w:p w14:paraId="7E32F142" w14:textId="334E1DB6" w:rsidR="007B660C" w:rsidRDefault="00F21890" w:rsidP="007B660C">
      <w:pPr>
        <w:pStyle w:val="ListParagraph"/>
        <w:numPr>
          <w:ilvl w:val="0"/>
          <w:numId w:val="28"/>
        </w:numPr>
      </w:pPr>
      <w:r>
        <w:t xml:space="preserve">maintaining the Efficiency Dividend for most Commonwealth Government entities at the 2018-19 level of 2.0 per cent for a further two years before stepping down to 1.5 per cent in 2021-22 and returning to the base rate of 1.0 per cent from 1 July 2022 </w:t>
      </w:r>
      <w:sdt>
        <w:sdtPr>
          <w:id w:val="-1972126157"/>
          <w:citation/>
        </w:sdtPr>
        <w:sdtContent>
          <w:r>
            <w:fldChar w:fldCharType="begin"/>
          </w:r>
          <w:r>
            <w:instrText xml:space="preserve">CITATION Com194 \p 50 \t  \l 3081 </w:instrText>
          </w:r>
          <w:r>
            <w:fldChar w:fldCharType="separate"/>
          </w:r>
          <w:r>
            <w:rPr>
              <w:noProof/>
            </w:rPr>
            <w:t>(Commonwealth of Australia, 2019a, p. 50)</w:t>
          </w:r>
          <w:r>
            <w:fldChar w:fldCharType="end"/>
          </w:r>
        </w:sdtContent>
      </w:sdt>
      <w:r w:rsidR="001249D9">
        <w:t>.</w:t>
      </w:r>
    </w:p>
    <w:p w14:paraId="18673ED8" w14:textId="5100A202" w:rsidR="008B1CB6" w:rsidRPr="001824C8" w:rsidRDefault="008B1CB6" w:rsidP="008B1CB6">
      <w:pPr>
        <w:pStyle w:val="BodyText"/>
      </w:pPr>
      <w:r w:rsidRPr="008B1CB6">
        <w:t>Another risk to the economic outlook that it not remarked upon in the statement of risks is the risk of a downturn in the housing market</w:t>
      </w:r>
      <w:r w:rsidR="00202972">
        <w:t xml:space="preserve"> (including residential construction)</w:t>
      </w:r>
      <w:r w:rsidRPr="008B1CB6">
        <w:t xml:space="preserve">, although some of the triggers for a downturn are acknowledged in the Budget papers such as the end of the Commonwealth Government’s HomeBuilder Program and low ACT population growth </w:t>
      </w:r>
      <w:sdt>
        <w:sdtPr>
          <w:id w:val="677932787"/>
          <w:citation/>
        </w:sdtPr>
        <w:sdtContent>
          <w:r w:rsidRPr="008B1CB6">
            <w:fldChar w:fldCharType="begin"/>
          </w:r>
          <w:r w:rsidRPr="008B1CB6">
            <w:instrText xml:space="preserve">CITATION ACT21 \p 31 \t  \l 3081 </w:instrText>
          </w:r>
          <w:r w:rsidRPr="008B1CB6">
            <w:fldChar w:fldCharType="separate"/>
          </w:r>
          <w:r w:rsidRPr="008B1CB6">
            <w:t xml:space="preserve">(ACT </w:t>
          </w:r>
          <w:r w:rsidRPr="008B1CB6">
            <w:lastRenderedPageBreak/>
            <w:t>Government, 2021, p. 31)</w:t>
          </w:r>
          <w:r w:rsidRPr="008B1CB6">
            <w:fldChar w:fldCharType="end"/>
          </w:r>
        </w:sdtContent>
      </w:sdt>
      <w:r w:rsidRPr="008B1CB6">
        <w:t>.</w:t>
      </w:r>
      <w:r>
        <w:t xml:space="preserve"> </w:t>
      </w:r>
      <w:r w:rsidR="00202972">
        <w:t xml:space="preserve">A downturn in the residential housing market also has implications for ACT Government revenue from lower residential conveyances, lower residential general rates, lower </w:t>
      </w:r>
      <w:r w:rsidR="00202972" w:rsidRPr="00A41A01">
        <w:t>divid</w:t>
      </w:r>
      <w:r w:rsidR="00202972" w:rsidRPr="00F6304F">
        <w:t>ends from the Suburban Land Authority and lower levels of contributed assets.</w:t>
      </w:r>
    </w:p>
    <w:p w14:paraId="020DDE80" w14:textId="11E75109" w:rsidR="00055E68" w:rsidRDefault="00E81ABF" w:rsidP="00055E68">
      <w:pPr>
        <w:pStyle w:val="Heading2"/>
        <w:spacing w:after="240"/>
        <w:rPr>
          <w:rFonts w:eastAsia="Times New Roman"/>
        </w:rPr>
      </w:pPr>
      <w:bookmarkStart w:id="173" w:name="_Toc453528520"/>
      <w:bookmarkStart w:id="174" w:name="_Toc64529060"/>
      <w:bookmarkEnd w:id="168"/>
      <w:bookmarkEnd w:id="169"/>
      <w:r w:rsidRPr="000A78B8">
        <w:rPr>
          <w:rFonts w:eastAsia="Times New Roman"/>
        </w:rPr>
        <w:t>8</w:t>
      </w:r>
      <w:r w:rsidR="00055E68" w:rsidRPr="000A78B8">
        <w:rPr>
          <w:rFonts w:eastAsia="Times New Roman"/>
        </w:rPr>
        <w:t>.3</w:t>
      </w:r>
      <w:r w:rsidR="00055E68" w:rsidRPr="000A78B8">
        <w:rPr>
          <w:rFonts w:eastAsia="Times New Roman"/>
        </w:rPr>
        <w:tab/>
      </w:r>
      <w:r w:rsidR="00AF4AA5" w:rsidRPr="000A78B8">
        <w:rPr>
          <w:rFonts w:eastAsia="Times New Roman"/>
        </w:rPr>
        <w:t>Fiscal risks</w:t>
      </w:r>
      <w:bookmarkEnd w:id="173"/>
      <w:bookmarkEnd w:id="174"/>
    </w:p>
    <w:p w14:paraId="6FED9DB9" w14:textId="7AA02BC3" w:rsidR="00A41A01" w:rsidRDefault="00A41A01" w:rsidP="00A41A01">
      <w:r>
        <w:t xml:space="preserve">The major fiscal risk to the ACT is Commonwealth funding. In addition to the economic risks discussed in the previous section, there are risks in relation to specific purpose payments and national partnership agreement payments. </w:t>
      </w:r>
    </w:p>
    <w:p w14:paraId="780F9DA3" w14:textId="18D22430" w:rsidR="008D32BA" w:rsidRDefault="00A41A01" w:rsidP="008A1814">
      <w:pPr>
        <w:rPr>
          <w:rFonts w:ascii="Calibri" w:eastAsia="Times New Roman" w:hAnsi="Calibri" w:cs="Times New Roman"/>
          <w:szCs w:val="24"/>
          <w:lang w:eastAsia="en-AU"/>
        </w:rPr>
      </w:pPr>
      <w:r>
        <w:rPr>
          <w:rFonts w:ascii="Calibri" w:eastAsia="Times New Roman" w:hAnsi="Calibri" w:cs="Times New Roman"/>
          <w:szCs w:val="24"/>
          <w:lang w:eastAsia="en-AU"/>
        </w:rPr>
        <w:t xml:space="preserve">Over the short to medium term, the </w:t>
      </w:r>
      <w:r w:rsidR="008D32BA" w:rsidRPr="000A78B8">
        <w:rPr>
          <w:rFonts w:ascii="Calibri" w:eastAsia="Times New Roman" w:hAnsi="Calibri" w:cs="Times New Roman"/>
          <w:szCs w:val="24"/>
          <w:lang w:eastAsia="en-AU"/>
        </w:rPr>
        <w:t xml:space="preserve">fiscal outlook </w:t>
      </w:r>
      <w:r>
        <w:rPr>
          <w:rFonts w:ascii="Calibri" w:eastAsia="Times New Roman" w:hAnsi="Calibri" w:cs="Times New Roman"/>
          <w:szCs w:val="24"/>
          <w:lang w:eastAsia="en-AU"/>
        </w:rPr>
        <w:t xml:space="preserve">will be </w:t>
      </w:r>
      <w:r w:rsidR="008D32BA">
        <w:rPr>
          <w:rFonts w:ascii="Calibri" w:eastAsia="Times New Roman" w:hAnsi="Calibri" w:cs="Times New Roman"/>
          <w:szCs w:val="24"/>
          <w:lang w:eastAsia="en-AU"/>
        </w:rPr>
        <w:t xml:space="preserve">heavily dependent on the progress of the COVID pandemic and the speed and strength of any post COVID recovery. </w:t>
      </w:r>
    </w:p>
    <w:p w14:paraId="7F4C7A02" w14:textId="4ECFAE0D" w:rsidR="008408F8" w:rsidRDefault="008408F8" w:rsidP="008408F8">
      <w:pPr>
        <w:pStyle w:val="BodyText"/>
      </w:pPr>
      <w:r>
        <w:t>The</w:t>
      </w:r>
      <w:r w:rsidRPr="008408F8">
        <w:t xml:space="preserve"> reimposition of restrictions in response to further </w:t>
      </w:r>
      <w:r>
        <w:t xml:space="preserve">COVID-19 </w:t>
      </w:r>
      <w:r w:rsidRPr="008408F8">
        <w:t xml:space="preserve">outbreaks or delays in the rollout of vaccines globally </w:t>
      </w:r>
      <w:r>
        <w:t xml:space="preserve">pose a </w:t>
      </w:r>
      <w:r w:rsidRPr="008408F8">
        <w:t>risk to the baseline revenue estimates</w:t>
      </w:r>
      <w:r>
        <w:t xml:space="preserve"> </w:t>
      </w:r>
      <w:sdt>
        <w:sdtPr>
          <w:id w:val="559905620"/>
          <w:citation/>
        </w:sdtPr>
        <w:sdtContent>
          <w:r>
            <w:fldChar w:fldCharType="begin"/>
          </w:r>
          <w:r w:rsidR="00DA22D6">
            <w:instrText xml:space="preserve">CITATION ACT21 \p 292 \t  \l 3081 </w:instrText>
          </w:r>
          <w:r>
            <w:fldChar w:fldCharType="separate"/>
          </w:r>
          <w:r w:rsidR="00DA22D6">
            <w:rPr>
              <w:noProof/>
            </w:rPr>
            <w:t>(ACT Government, 2021, p. 292)</w:t>
          </w:r>
          <w:r>
            <w:fldChar w:fldCharType="end"/>
          </w:r>
        </w:sdtContent>
      </w:sdt>
      <w:r w:rsidRPr="008408F8">
        <w:t>. The</w:t>
      </w:r>
      <w:r>
        <w:t>se</w:t>
      </w:r>
      <w:r w:rsidRPr="008408F8">
        <w:t xml:space="preserve"> downside risks could potentially reduce the </w:t>
      </w:r>
      <w:r>
        <w:t xml:space="preserve">ACT Budget </w:t>
      </w:r>
      <w:r w:rsidRPr="008408F8">
        <w:t xml:space="preserve">revenue from payroll and land taxes, residential conveyance duty and motor vehicle registrations by up to $220 million over the budget and forward </w:t>
      </w:r>
      <w:r>
        <w:t>years.</w:t>
      </w:r>
    </w:p>
    <w:p w14:paraId="283F3715" w14:textId="39F3E55F" w:rsidR="00A41A01" w:rsidRDefault="00A41A01" w:rsidP="00A41A01">
      <w:pPr>
        <w:pStyle w:val="BodyText"/>
      </w:pPr>
      <w:r>
        <w:t>Population growth is a major driver of the ACT economy. The impact on the current outlook of the reduced population movements into the ACT has been offset to some extent by a compensatory reduction in movements of the ACT to other States and overseas. It is unclear at this stage what migration patterns might emerge post COVID. The attractiveness of the ACT as a destination for foreign students will depend on a range of factors. On a worst</w:t>
      </w:r>
      <w:r w:rsidR="00330009">
        <w:t>-</w:t>
      </w:r>
      <w:r>
        <w:t xml:space="preserve">case scenario, domestic movements of ACT residents could resume in advance of any significant in-flow of international students. </w:t>
      </w:r>
    </w:p>
    <w:p w14:paraId="254E52D2" w14:textId="35BB0799" w:rsidR="00F6304F" w:rsidRDefault="00F6304F" w:rsidP="00F6304F">
      <w:pPr>
        <w:pStyle w:val="BodyText"/>
      </w:pPr>
      <w:r>
        <w:t>The current fiscal outlook is heavily dependent on a significant bring-forward of land releases. The Budget estimate for dividends and tax equivalent payments from the Suburban Land Agency and City Renewal Authority are forecast to increase from $99 million in 2019-20 to $438 million in 2020-21. In addition, t</w:t>
      </w:r>
      <w:r w:rsidRPr="00947756">
        <w:t>here is a doubling in the estimate of gains from contributed assets in 2021-22 over the 2020-21 Budget associated with the expectation of increased land sales in 2020-21</w:t>
      </w:r>
      <w:r>
        <w:t xml:space="preserve"> (ACT Government, 2021, p.157). Revenue from contributed assets reflects the transfer of infrastructure assets such as roads and sewerage associated with land development. </w:t>
      </w:r>
    </w:p>
    <w:p w14:paraId="5FF3E422" w14:textId="00F7A5EB" w:rsidR="001824C8" w:rsidRDefault="00F6304F" w:rsidP="00F6304F">
      <w:pPr>
        <w:pStyle w:val="BodyText"/>
      </w:pPr>
      <w:r>
        <w:t xml:space="preserve">Any </w:t>
      </w:r>
      <w:r w:rsidR="001824C8">
        <w:t xml:space="preserve">significant </w:t>
      </w:r>
      <w:r>
        <w:t xml:space="preserve">downturn in the housing market, associated with lower than expected population movements or </w:t>
      </w:r>
      <w:r w:rsidR="001824C8">
        <w:t>general economic uncertainty, would have an impact on the demand for new land releases and the revenue flows estimated by the ACT Government over the Budget and forward years.</w:t>
      </w:r>
    </w:p>
    <w:p w14:paraId="1E98DD7B" w14:textId="5CB34567" w:rsidR="001824C8" w:rsidRDefault="001824C8" w:rsidP="000A78B8">
      <w:pPr>
        <w:pStyle w:val="BodyText"/>
      </w:pPr>
      <w:r>
        <w:t>Uncertainties around the investment climate in coming years would have a material impact on the budget aggregates. The Budget papers show that a 0.25 per</w:t>
      </w:r>
      <w:r w:rsidR="009E51ED">
        <w:t xml:space="preserve"> </w:t>
      </w:r>
      <w:r>
        <w:t>cent increase in borrowing rates would add some $18 million to the cost of the Government’s borrowings in 2023-24, though there would also be an off-setting benefit in terms of returns on the ACT Government’s deposits. A 1 per</w:t>
      </w:r>
      <w:r w:rsidR="009E51ED">
        <w:t xml:space="preserve"> </w:t>
      </w:r>
      <w:r>
        <w:t>cent decrease in investment returns would reduce earnings in the Superannuation Provision Account by $48 million in 2012-22 and $61 million in 2023-24.</w:t>
      </w:r>
    </w:p>
    <w:p w14:paraId="3F187B68" w14:textId="77777777" w:rsidR="00A41A01" w:rsidRPr="008408F8" w:rsidRDefault="00A41A01" w:rsidP="008408F8">
      <w:pPr>
        <w:pStyle w:val="BodyText"/>
      </w:pPr>
    </w:p>
    <w:p w14:paraId="421161EF" w14:textId="77777777" w:rsidR="008408F8" w:rsidRDefault="008408F8" w:rsidP="008408F8">
      <w:pPr>
        <w:pStyle w:val="BodyText"/>
      </w:pPr>
    </w:p>
    <w:p w14:paraId="67107B9C" w14:textId="77777777" w:rsidR="008A1814" w:rsidRDefault="008A1814" w:rsidP="008A1814">
      <w:pPr>
        <w:pStyle w:val="BodyText"/>
      </w:pPr>
    </w:p>
    <w:p w14:paraId="053EFF5E" w14:textId="77777777" w:rsidR="003F0A28" w:rsidRDefault="003F0A28" w:rsidP="00DC3CC0">
      <w:pPr>
        <w:pStyle w:val="BodyText"/>
      </w:pPr>
      <w:r>
        <w:br w:type="page"/>
      </w:r>
    </w:p>
    <w:p w14:paraId="51B96D6A" w14:textId="204BA5C6" w:rsidR="003F0A28" w:rsidRDefault="00837443" w:rsidP="003F0A28">
      <w:pPr>
        <w:pStyle w:val="Heading1"/>
      </w:pPr>
      <w:bookmarkStart w:id="175" w:name="_Toc484807069"/>
      <w:bookmarkStart w:id="176" w:name="_Toc453516114"/>
      <w:bookmarkStart w:id="177" w:name="_Toc453495115"/>
      <w:bookmarkStart w:id="178" w:name="_Toc485570987"/>
      <w:bookmarkStart w:id="179" w:name="_Toc64529061"/>
      <w:r>
        <w:rPr>
          <w:noProof/>
          <w:lang w:eastAsia="en-AU"/>
        </w:rPr>
        <w:lastRenderedPageBreak/>
        <mc:AlternateContent>
          <mc:Choice Requires="wps">
            <w:drawing>
              <wp:anchor distT="91440" distB="91440" distL="114300" distR="114300" simplePos="0" relativeHeight="251669504" behindDoc="0" locked="0" layoutInCell="1" allowOverlap="1" wp14:anchorId="70AB0374" wp14:editId="5E7E0175">
                <wp:simplePos x="0" y="0"/>
                <wp:positionH relativeFrom="margin">
                  <wp:align>left</wp:align>
                </wp:positionH>
                <wp:positionV relativeFrom="paragraph">
                  <wp:posOffset>375920</wp:posOffset>
                </wp:positionV>
                <wp:extent cx="5683250" cy="918845"/>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919162"/>
                        </a:xfrm>
                        <a:prstGeom prst="rect">
                          <a:avLst/>
                        </a:prstGeom>
                        <a:noFill/>
                        <a:ln w="9525">
                          <a:noFill/>
                          <a:miter lim="800000"/>
                          <a:headEnd/>
                          <a:tailEnd/>
                        </a:ln>
                      </wps:spPr>
                      <wps:txbx>
                        <w:txbxContent>
                          <w:p w14:paraId="5CD77BE8" w14:textId="77777777" w:rsidR="00A30ABA" w:rsidRDefault="00A30ABA" w:rsidP="003F0A28">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V</w:t>
                            </w:r>
                            <w:r w:rsidRPr="00C32D1E">
                              <w:rPr>
                                <w:i/>
                                <w:iCs/>
                                <w:color w:val="5B9BD5" w:themeColor="accent1"/>
                                <w:sz w:val="24"/>
                                <w:szCs w:val="24"/>
                              </w:rPr>
                              <w:t xml:space="preserve">aluation effects, </w:t>
                            </w:r>
                            <w:r>
                              <w:rPr>
                                <w:i/>
                                <w:iCs/>
                                <w:color w:val="5B9BD5" w:themeColor="accent1"/>
                                <w:sz w:val="24"/>
                                <w:szCs w:val="24"/>
                              </w:rPr>
                              <w:t xml:space="preserve">accounting treatments and timing issues continue </w:t>
                            </w:r>
                            <w:r w:rsidRPr="002E18EB">
                              <w:rPr>
                                <w:i/>
                                <w:iCs/>
                                <w:color w:val="5B9BD5" w:themeColor="accent1"/>
                                <w:sz w:val="24"/>
                                <w:szCs w:val="24"/>
                              </w:rPr>
                              <w:t xml:space="preserve">to have </w:t>
                            </w:r>
                            <w:r w:rsidRPr="00C32D1E">
                              <w:rPr>
                                <w:i/>
                                <w:iCs/>
                                <w:color w:val="5B9BD5" w:themeColor="accent1"/>
                                <w:sz w:val="24"/>
                                <w:szCs w:val="24"/>
                              </w:rPr>
                              <w:t>large impacts on the budget aggregates</w:t>
                            </w:r>
                            <w:r>
                              <w:rPr>
                                <w:i/>
                                <w:iCs/>
                                <w:color w:val="5B9BD5" w:themeColor="accent1"/>
                                <w:sz w:val="24"/>
                                <w:szCs w:val="24"/>
                              </w:rPr>
                              <w:t xml:space="preserve"> and on the reported budget balance</w:t>
                            </w:r>
                            <w:r w:rsidRPr="00C32D1E">
                              <w:rPr>
                                <w:i/>
                                <w:iCs/>
                                <w:color w:val="5B9BD5"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0374" id="Text Box 23" o:spid="_x0000_s1040" type="#_x0000_t202" style="position:absolute;margin-left:0;margin-top:29.6pt;width:447.5pt;height:72.35pt;z-index:2516695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" filled="f" stroked="f">
                <v:textbox>
                  <w:txbxContent>
                    <w:p w14:paraId="5CD77BE8" w14:textId="77777777" w:rsidR="00A30ABA" w:rsidRDefault="00A30ABA" w:rsidP="003F0A28">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V</w:t>
                      </w:r>
                      <w:r w:rsidRPr="00C32D1E">
                        <w:rPr>
                          <w:i/>
                          <w:iCs/>
                          <w:color w:val="5B9BD5" w:themeColor="accent1"/>
                          <w:sz w:val="24"/>
                          <w:szCs w:val="24"/>
                        </w:rPr>
                        <w:t xml:space="preserve">aluation effects, </w:t>
                      </w:r>
                      <w:r>
                        <w:rPr>
                          <w:i/>
                          <w:iCs/>
                          <w:color w:val="5B9BD5" w:themeColor="accent1"/>
                          <w:sz w:val="24"/>
                          <w:szCs w:val="24"/>
                        </w:rPr>
                        <w:t xml:space="preserve">accounting treatments and timing issues continue </w:t>
                      </w:r>
                      <w:r w:rsidRPr="002E18EB">
                        <w:rPr>
                          <w:i/>
                          <w:iCs/>
                          <w:color w:val="5B9BD5" w:themeColor="accent1"/>
                          <w:sz w:val="24"/>
                          <w:szCs w:val="24"/>
                        </w:rPr>
                        <w:t xml:space="preserve">to have </w:t>
                      </w:r>
                      <w:r w:rsidRPr="00C32D1E">
                        <w:rPr>
                          <w:i/>
                          <w:iCs/>
                          <w:color w:val="5B9BD5" w:themeColor="accent1"/>
                          <w:sz w:val="24"/>
                          <w:szCs w:val="24"/>
                        </w:rPr>
                        <w:t>large impacts on the budget aggregates</w:t>
                      </w:r>
                      <w:r>
                        <w:rPr>
                          <w:i/>
                          <w:iCs/>
                          <w:color w:val="5B9BD5" w:themeColor="accent1"/>
                          <w:sz w:val="24"/>
                          <w:szCs w:val="24"/>
                        </w:rPr>
                        <w:t xml:space="preserve"> and on the reported budget balance</w:t>
                      </w:r>
                      <w:r w:rsidRPr="00C32D1E">
                        <w:rPr>
                          <w:i/>
                          <w:iCs/>
                          <w:color w:val="5B9BD5" w:themeColor="accent1"/>
                          <w:sz w:val="24"/>
                          <w:szCs w:val="24"/>
                        </w:rPr>
                        <w:t>.</w:t>
                      </w:r>
                    </w:p>
                  </w:txbxContent>
                </v:textbox>
                <w10:wrap type="topAndBottom" anchorx="margin"/>
              </v:shape>
            </w:pict>
          </mc:Fallback>
        </mc:AlternateContent>
      </w:r>
      <w:r w:rsidR="00E81ABF">
        <w:t>9</w:t>
      </w:r>
      <w:r w:rsidR="0008199A">
        <w:t>.</w:t>
      </w:r>
      <w:r w:rsidR="003F0A28">
        <w:tab/>
      </w:r>
      <w:r w:rsidR="003F0A28" w:rsidRPr="006967FF">
        <w:t>Budget accounting</w:t>
      </w:r>
      <w:r w:rsidRPr="006967FF">
        <w:t xml:space="preserve">, </w:t>
      </w:r>
      <w:r w:rsidR="003F0A28" w:rsidRPr="006967FF">
        <w:t xml:space="preserve">classification </w:t>
      </w:r>
      <w:r w:rsidRPr="006967FF">
        <w:t>and valuation issues</w:t>
      </w:r>
      <w:bookmarkEnd w:id="179"/>
    </w:p>
    <w:p w14:paraId="20F8A6FC" w14:textId="44E4139C" w:rsidR="001957E2" w:rsidRDefault="00E81ABF" w:rsidP="001957E2">
      <w:pPr>
        <w:pStyle w:val="Heading2"/>
      </w:pPr>
      <w:bookmarkStart w:id="180" w:name="_Toc64529062"/>
      <w:r w:rsidRPr="00EA67B3">
        <w:t>9</w:t>
      </w:r>
      <w:r w:rsidR="001957E2" w:rsidRPr="00EA67B3">
        <w:t>.1</w:t>
      </w:r>
      <w:r w:rsidR="001957E2" w:rsidRPr="00EA67B3">
        <w:tab/>
        <w:t>Overview</w:t>
      </w:r>
      <w:bookmarkEnd w:id="180"/>
    </w:p>
    <w:p w14:paraId="074374FD" w14:textId="77777777" w:rsidR="00DF2A08" w:rsidRDefault="00DF2A08" w:rsidP="00DF2A08">
      <w:pPr>
        <w:spacing w:before="200" w:after="200"/>
      </w:pPr>
      <w:r>
        <w:t xml:space="preserve">The 2020-21 Budget reflects decisions on a number of accounting, classification and valuation issues. </w:t>
      </w:r>
    </w:p>
    <w:p w14:paraId="41EBC834" w14:textId="77777777" w:rsidR="00DF2A08" w:rsidRDefault="00DF2A08" w:rsidP="00DF2A08">
      <w:pPr>
        <w:spacing w:before="200" w:after="200"/>
      </w:pPr>
      <w:r>
        <w:t xml:space="preserve">The following sections provide comment on the budget accounting and classification issues that have material impacts on the Budget aggregates and how they are presented. </w:t>
      </w:r>
    </w:p>
    <w:p w14:paraId="6CB45FBF" w14:textId="72C38813" w:rsidR="001957E2" w:rsidRDefault="00E81ABF" w:rsidP="001957E2">
      <w:pPr>
        <w:pStyle w:val="Heading2"/>
      </w:pPr>
      <w:bookmarkStart w:id="181" w:name="_Toc64529063"/>
      <w:r w:rsidRPr="00EA67B3">
        <w:t>9</w:t>
      </w:r>
      <w:r w:rsidR="001957E2" w:rsidRPr="00EA67B3">
        <w:t>.</w:t>
      </w:r>
      <w:r w:rsidR="00C462C7" w:rsidRPr="00EA67B3">
        <w:t>2</w:t>
      </w:r>
      <w:r w:rsidR="001957E2" w:rsidRPr="00EA67B3">
        <w:tab/>
        <w:t>Disclosure of Key Accounting Policies</w:t>
      </w:r>
      <w:bookmarkEnd w:id="181"/>
      <w:r w:rsidR="001957E2" w:rsidRPr="006F466F">
        <w:t xml:space="preserve"> </w:t>
      </w:r>
    </w:p>
    <w:p w14:paraId="513F5DCE" w14:textId="747D446E" w:rsidR="00DF2A08" w:rsidRDefault="00DF2A08" w:rsidP="00DF2A08">
      <w:pPr>
        <w:spacing w:before="200" w:after="200"/>
      </w:pPr>
      <w:r>
        <w:t xml:space="preserve">The Budget financial statements, including the budget deficit, and associated tables, are presented in Chapter 4 of the principal Budget Paper </w:t>
      </w:r>
      <w:sdt>
        <w:sdtPr>
          <w:id w:val="1484745104"/>
          <w:citation/>
        </w:sdtPr>
        <w:sdtContent>
          <w:r>
            <w:fldChar w:fldCharType="begin"/>
          </w:r>
          <w:r w:rsidR="00DA22D6">
            <w:instrText xml:space="preserve">CITATION ACT21 \l 3081 </w:instrText>
          </w:r>
          <w:r>
            <w:fldChar w:fldCharType="separate"/>
          </w:r>
          <w:r w:rsidR="00DA22D6">
            <w:rPr>
              <w:noProof/>
            </w:rPr>
            <w:t>(ACT Government, 2021)</w:t>
          </w:r>
          <w:r>
            <w:fldChar w:fldCharType="end"/>
          </w:r>
        </w:sdtContent>
      </w:sdt>
      <w:r>
        <w:t xml:space="preserve">. Section 4.1 relates to the General Government Sector (GGS) and Appendix D includes the financial statements for the ACT’s Public Trading Enterprises. The GGS statements are titled “GFS/GAAP HARMONISED FINANCIAL STATEMENTS” suggesting that Australian </w:t>
      </w:r>
      <w:r w:rsidR="006B386E">
        <w:t xml:space="preserve">Accounting Standards Board </w:t>
      </w:r>
      <w:sdt>
        <w:sdtPr>
          <w:id w:val="-1303372368"/>
          <w:citation/>
        </w:sdtPr>
        <w:sdtContent>
          <w:r w:rsidR="006B386E">
            <w:fldChar w:fldCharType="begin"/>
          </w:r>
          <w:r w:rsidR="00A443CD">
            <w:instrText xml:space="preserve">CITATION Aus122 \n  \t  \l 3081 </w:instrText>
          </w:r>
          <w:r w:rsidR="006B386E">
            <w:fldChar w:fldCharType="separate"/>
          </w:r>
          <w:r w:rsidR="00A443CD">
            <w:rPr>
              <w:noProof/>
            </w:rPr>
            <w:t>(2012)</w:t>
          </w:r>
          <w:r w:rsidR="006B386E">
            <w:fldChar w:fldCharType="end"/>
          </w:r>
        </w:sdtContent>
      </w:sdt>
      <w:r w:rsidR="006B386E">
        <w:t xml:space="preserve"> </w:t>
      </w:r>
      <w:r>
        <w:t xml:space="preserve">accounting standard AASB 1049 </w:t>
      </w:r>
      <w:r w:rsidRPr="006B386E">
        <w:rPr>
          <w:i/>
          <w:iCs/>
        </w:rPr>
        <w:t>Whole of Government and General Government Sector Financial Reporting</w:t>
      </w:r>
      <w:r>
        <w:t xml:space="preserve"> has been adopted as the key basis for the preparation of the statements. The presentation format of the statements suggests this is the case. AASB 1049, which forms the basis for the Australian Heads of Treasuries Uniform Presentation Framework, requires compliance with all other applicable accounting standards in the preparation of the statements.</w:t>
      </w:r>
    </w:p>
    <w:p w14:paraId="06FE8B58" w14:textId="7168FD07" w:rsidR="00DF2A08" w:rsidRDefault="00DF2A08" w:rsidP="00DF2A08">
      <w:pPr>
        <w:spacing w:before="200" w:after="200"/>
      </w:pPr>
      <w:r>
        <w:t>Unlike several other Australian jurisdictions, including the Commonwealth, the basis of accounting and the key accounting policies and assumptions adopted in preparing the statements, except in respect to Public Private Partnerships and Concessional Loans, Appendix G, have not been disclosed. In addition, and whilst key revenue streams and key expenses are detail</w:t>
      </w:r>
      <w:r w:rsidR="006B386E">
        <w:t>ed</w:t>
      </w:r>
      <w:r>
        <w:t xml:space="preserve"> at </w:t>
      </w:r>
      <w:r w:rsidR="00A92B50">
        <w:t>sub-</w:t>
      </w:r>
      <w:r w:rsidRPr="00A92B50">
        <w:t xml:space="preserve">section </w:t>
      </w:r>
      <w:r w:rsidR="00A92B50" w:rsidRPr="00A92B50">
        <w:t>3.</w:t>
      </w:r>
      <w:r w:rsidR="00A92B50">
        <w:t>1</w:t>
      </w:r>
      <w:r>
        <w:t xml:space="preserve">, there is no disclosure of key assets such as investments and loans, investments in other public sector entities, and produced and non-produced property plant and equipment, nor key liabilities such as advances received, borrowings, superannuation and employee benefits. </w:t>
      </w:r>
    </w:p>
    <w:p w14:paraId="6E346AD5" w14:textId="77777777" w:rsidR="00DF2A08" w:rsidRDefault="00DF2A08" w:rsidP="00DF2A08">
      <w:pPr>
        <w:spacing w:before="200" w:after="200"/>
      </w:pPr>
      <w:r>
        <w:t xml:space="preserve">Although some of these items, such as liabilities associated with Public Private Partnership arrangements, are described elsewhere in the Budget Papers, typically the financial statements would be accompanied by a series of notes, describing the accounting policies and assumptions adopted and providing a breakdown of key financial statement items. By way of comparison, some other jurisdictions include a statement of the basis of accounting adopted, significant accounting policies and forecast assumptions and include disclosure of the likely impact of new or amended accounting standards applicable in the future. </w:t>
      </w:r>
    </w:p>
    <w:p w14:paraId="6BF37299" w14:textId="77777777" w:rsidR="00DF2A08" w:rsidRDefault="00DF2A08" w:rsidP="00DF2A08">
      <w:pPr>
        <w:spacing w:before="200" w:after="200"/>
      </w:pPr>
      <w:r>
        <w:t>Such an approach enhances accountability and transparency for the user/s of the statements.</w:t>
      </w:r>
    </w:p>
    <w:p w14:paraId="75805648" w14:textId="4EE1CB3E" w:rsidR="00DF2A08" w:rsidRDefault="00DF2A08" w:rsidP="00DF2A08">
      <w:pPr>
        <w:rPr>
          <w:rFonts w:cstheme="minorHAnsi"/>
          <w:lang w:val="en-US"/>
        </w:rPr>
      </w:pPr>
      <w:r>
        <w:rPr>
          <w:rFonts w:cstheme="minorHAnsi"/>
          <w:lang w:val="en-US"/>
        </w:rPr>
        <w:t>The Committee may wish to explore with officials a number of issues in relation to the non-disclosure of key accounting policies and assumptions and key balance sheet items. These include:</w:t>
      </w:r>
    </w:p>
    <w:p w14:paraId="577B0E5A" w14:textId="77777777" w:rsidR="00DF2A08" w:rsidRDefault="00DF2A08" w:rsidP="00DF2A08">
      <w:pPr>
        <w:pStyle w:val="ListParagraph"/>
        <w:numPr>
          <w:ilvl w:val="0"/>
          <w:numId w:val="25"/>
        </w:numPr>
        <w:spacing w:line="254" w:lineRule="auto"/>
        <w:rPr>
          <w:rFonts w:cstheme="minorHAnsi"/>
          <w:lang w:val="en-US"/>
        </w:rPr>
      </w:pPr>
      <w:r>
        <w:rPr>
          <w:rFonts w:cstheme="minorHAnsi"/>
          <w:lang w:val="en-US"/>
        </w:rPr>
        <w:t>Was AASB 1049 adopted as the basis of accounting and presentation in preparing the budget financial statements?</w:t>
      </w:r>
    </w:p>
    <w:p w14:paraId="26E278D3" w14:textId="77777777" w:rsidR="00DF2A08" w:rsidRDefault="00DF2A08" w:rsidP="00DF2A08">
      <w:pPr>
        <w:pStyle w:val="ListParagraph"/>
        <w:numPr>
          <w:ilvl w:val="0"/>
          <w:numId w:val="25"/>
        </w:numPr>
        <w:spacing w:line="254" w:lineRule="auto"/>
        <w:rPr>
          <w:rFonts w:cstheme="minorHAnsi"/>
          <w:lang w:val="en-US"/>
        </w:rPr>
      </w:pPr>
      <w:r>
        <w:rPr>
          <w:rFonts w:cstheme="minorHAnsi"/>
          <w:lang w:val="en-US"/>
        </w:rPr>
        <w:lastRenderedPageBreak/>
        <w:t>Why, unlike other Australian jurisdictions, are the bases of accounting, key accounting policies and a disaggregation of key assets and liabilities not disclosed in notes accompanying the financial statement?</w:t>
      </w:r>
    </w:p>
    <w:p w14:paraId="2ACE560C" w14:textId="43DDC47F" w:rsidR="003F0A28" w:rsidRPr="00232388" w:rsidRDefault="00E81ABF" w:rsidP="007B00D7">
      <w:pPr>
        <w:pStyle w:val="Heading2"/>
      </w:pPr>
      <w:bookmarkStart w:id="182" w:name="_Toc64529064"/>
      <w:bookmarkEnd w:id="175"/>
      <w:bookmarkEnd w:id="176"/>
      <w:bookmarkEnd w:id="177"/>
      <w:bookmarkEnd w:id="178"/>
      <w:r w:rsidRPr="003F088B">
        <w:t>9</w:t>
      </w:r>
      <w:r w:rsidR="00837443" w:rsidRPr="003F088B">
        <w:t>.</w:t>
      </w:r>
      <w:r w:rsidR="006B386E" w:rsidRPr="003F088B">
        <w:t>3</w:t>
      </w:r>
      <w:r w:rsidR="00837443" w:rsidRPr="003F088B">
        <w:tab/>
      </w:r>
      <w:r w:rsidR="003F0A28" w:rsidRPr="003F088B">
        <w:t>Super</w:t>
      </w:r>
      <w:r w:rsidR="00A2792E" w:rsidRPr="003F088B">
        <w:t>annuation</w:t>
      </w:r>
      <w:r w:rsidR="003F0A28" w:rsidRPr="003F088B">
        <w:t xml:space="preserve"> return adjustment</w:t>
      </w:r>
      <w:bookmarkEnd w:id="182"/>
    </w:p>
    <w:p w14:paraId="50FCE62B" w14:textId="77777777" w:rsidR="003F088B" w:rsidRPr="00232388" w:rsidRDefault="003F088B" w:rsidP="003F088B">
      <w:pPr>
        <w:pStyle w:val="BodyText"/>
      </w:pPr>
      <w:r w:rsidRPr="00232388">
        <w:t xml:space="preserve">As </w:t>
      </w:r>
      <w:r>
        <w:t>has been the case since 2006-07</w:t>
      </w:r>
      <w:r w:rsidRPr="00232388">
        <w:t xml:space="preserve">, the presentation of the headline </w:t>
      </w:r>
      <w:r>
        <w:t xml:space="preserve">net </w:t>
      </w:r>
      <w:r w:rsidRPr="00232388">
        <w:t>operating balance for 2019-20 includes an adjustment for long-term expected superannuation investment earnings.</w:t>
      </w:r>
    </w:p>
    <w:p w14:paraId="1116D15F" w14:textId="77777777" w:rsidR="003F088B" w:rsidRDefault="003F088B" w:rsidP="003F088B">
      <w:pPr>
        <w:pStyle w:val="BodyText"/>
      </w:pPr>
      <w:r w:rsidRPr="00232388">
        <w:t xml:space="preserve">The </w:t>
      </w:r>
      <w:r>
        <w:t>Government has</w:t>
      </w:r>
      <w:r w:rsidRPr="00232388">
        <w:t xml:space="preserve"> argued </w:t>
      </w:r>
      <w:r>
        <w:t xml:space="preserve">in the past </w:t>
      </w:r>
      <w:r w:rsidRPr="00232388">
        <w:t xml:space="preserve">that a superannuation return adjustment </w:t>
      </w:r>
      <w:r>
        <w:t>is</w:t>
      </w:r>
      <w:r w:rsidRPr="00232388">
        <w:t xml:space="preserve"> necessary because, although the Government Finance Statistics (GFS) reporting framework requires the inclusion of superannuation interest costs and other superannuation expenses in the operating balance, it only allows for interest income and dividends to be included as a transactional revenue item in the net operating balance, ignoring the capital growth on the assets in the Superannuation Provision Account </w:t>
      </w:r>
      <w:r w:rsidRPr="00232388">
        <w:rPr>
          <w:noProof/>
          <w:lang w:val="en-NZ"/>
        </w:rPr>
        <w:t>(ACT Government, 2016, p. 42)</w:t>
      </w:r>
      <w:r w:rsidRPr="00232388">
        <w:t xml:space="preserve">. </w:t>
      </w:r>
      <w:r>
        <w:t xml:space="preserve"> </w:t>
      </w:r>
    </w:p>
    <w:p w14:paraId="336AE382" w14:textId="44543A22" w:rsidR="003F088B" w:rsidRDefault="003F088B" w:rsidP="003F088B">
      <w:pPr>
        <w:pStyle w:val="BodyText"/>
      </w:pPr>
      <w:r>
        <w:t xml:space="preserve">There is an argument for allowing an offset to the reported interest cost to recognise the fact that the Government is holding assets in the Superannuation Provision Account to meet superannuation liabilities. </w:t>
      </w:r>
      <w:r w:rsidRPr="00232388">
        <w:t xml:space="preserve"> </w:t>
      </w:r>
      <w:r>
        <w:t xml:space="preserve">The combination of an unfunded liability partially offset by assets in the Account can be considered analogous to </w:t>
      </w:r>
      <w:r w:rsidRPr="00232388">
        <w:t xml:space="preserve">a partially </w:t>
      </w:r>
      <w:r>
        <w:t>f</w:t>
      </w:r>
      <w:r w:rsidRPr="00232388">
        <w:t>unded superannuation scheme</w:t>
      </w:r>
      <w:r>
        <w:t>. In reporting the interest costs for a partially funded superannuation scheme</w:t>
      </w:r>
      <w:r w:rsidRPr="00232388">
        <w:t xml:space="preserve">, the assets of the scheme would be netted off the gross liability and the interest cost would arise only on the unfunded component of the liability. This effectively allows for </w:t>
      </w:r>
      <w:r>
        <w:t xml:space="preserve">fund </w:t>
      </w:r>
      <w:r w:rsidRPr="00232388">
        <w:t xml:space="preserve">assets to earn a rate of return equal to the discount rate. </w:t>
      </w:r>
      <w:r>
        <w:t xml:space="preserve"> In the context of the ACT arrangements, the assets in the Account do not directly reduce the unfunded superannuation liability and the ACT Government must report the interest cost on the total unfunded liability, without any recognition of the assets that are held against this liability. In calculating the superannuation return adjustment, however, the ACT Government uses</w:t>
      </w:r>
      <w:r w:rsidRPr="00232388">
        <w:t xml:space="preserve"> </w:t>
      </w:r>
      <w:r>
        <w:t>a</w:t>
      </w:r>
      <w:r w:rsidRPr="00232388">
        <w:t xml:space="preserve"> projected total investment return</w:t>
      </w:r>
      <w:r>
        <w:t xml:space="preserve"> that is greater than the discount rate used to value the liability. This has the effect of improving the Headline Net Operating Balance</w:t>
      </w:r>
      <w:r w:rsidRPr="00232388">
        <w:t xml:space="preserve"> </w:t>
      </w:r>
      <w:r>
        <w:t xml:space="preserve">beyond the position that would be reported for a partially funded superannuation scheme with the same level of funding. In the Budget year, the use of the projected long-term investment return rather than the valuation discount rate reduces the headline net operating balance by around $75 million. </w:t>
      </w:r>
    </w:p>
    <w:p w14:paraId="0C907000" w14:textId="6E46F966" w:rsidR="002C330A" w:rsidRDefault="002C330A" w:rsidP="002C330A">
      <w:pPr>
        <w:pStyle w:val="Default"/>
        <w:rPr>
          <w:rFonts w:asciiTheme="minorHAnsi" w:hAnsiTheme="minorHAnsi" w:cstheme="minorHAnsi"/>
          <w:color w:val="auto"/>
          <w:sz w:val="22"/>
          <w:szCs w:val="22"/>
        </w:rPr>
      </w:pPr>
      <w:r w:rsidRPr="00232388">
        <w:rPr>
          <w:rFonts w:asciiTheme="minorHAnsi" w:hAnsiTheme="minorHAnsi" w:cstheme="minorHAnsi"/>
          <w:color w:val="auto"/>
          <w:sz w:val="22"/>
          <w:szCs w:val="22"/>
        </w:rPr>
        <w:t xml:space="preserve">The </w:t>
      </w:r>
      <w:r>
        <w:rPr>
          <w:rFonts w:asciiTheme="minorHAnsi" w:hAnsiTheme="minorHAnsi" w:cstheme="minorHAnsi"/>
          <w:color w:val="auto"/>
          <w:sz w:val="22"/>
          <w:szCs w:val="22"/>
        </w:rPr>
        <w:t xml:space="preserve">ACT Government’s response to the Pegasus report on the 2019-20 ACT Budget described the process used to calculate the </w:t>
      </w:r>
      <w:r w:rsidRPr="00232388">
        <w:rPr>
          <w:rFonts w:asciiTheme="minorHAnsi" w:hAnsiTheme="minorHAnsi" w:cstheme="minorHAnsi"/>
          <w:color w:val="auto"/>
          <w:sz w:val="22"/>
          <w:szCs w:val="22"/>
        </w:rPr>
        <w:t xml:space="preserve">superannuation return adjustment </w:t>
      </w:r>
      <w:r>
        <w:rPr>
          <w:rFonts w:asciiTheme="minorHAnsi" w:hAnsiTheme="minorHAnsi" w:cstheme="minorHAnsi"/>
          <w:color w:val="auto"/>
          <w:sz w:val="22"/>
          <w:szCs w:val="22"/>
        </w:rPr>
        <w:t xml:space="preserve">in more detail </w:t>
      </w:r>
      <w:sdt>
        <w:sdtPr>
          <w:rPr>
            <w:rFonts w:asciiTheme="minorHAnsi" w:hAnsiTheme="minorHAnsi" w:cstheme="minorHAnsi"/>
            <w:color w:val="auto"/>
            <w:sz w:val="22"/>
            <w:szCs w:val="22"/>
          </w:rPr>
          <w:id w:val="2108918161"/>
          <w:citation/>
        </w:sdtPr>
        <w:sdtContent>
          <w:r>
            <w:rPr>
              <w:rFonts w:asciiTheme="minorHAnsi" w:hAnsiTheme="minorHAnsi" w:cstheme="minorHAnsi"/>
              <w:color w:val="auto"/>
              <w:sz w:val="22"/>
              <w:szCs w:val="22"/>
            </w:rPr>
            <w:fldChar w:fldCharType="begin"/>
          </w:r>
          <w:r>
            <w:rPr>
              <w:rFonts w:asciiTheme="minorHAnsi" w:hAnsiTheme="minorHAnsi" w:cstheme="minorHAnsi"/>
              <w:color w:val="auto"/>
              <w:sz w:val="22"/>
              <w:szCs w:val="22"/>
            </w:rPr>
            <w:instrText xml:space="preserve">CITATION ACT9a1 \p 14-16 \t  \l 3081 </w:instrText>
          </w:r>
          <w:r>
            <w:rPr>
              <w:rFonts w:asciiTheme="minorHAnsi" w:hAnsiTheme="minorHAnsi" w:cstheme="minorHAnsi"/>
              <w:color w:val="auto"/>
              <w:sz w:val="22"/>
              <w:szCs w:val="22"/>
            </w:rPr>
            <w:fldChar w:fldCharType="separate"/>
          </w:r>
          <w:r w:rsidRPr="002C330A">
            <w:rPr>
              <w:rFonts w:asciiTheme="minorHAnsi" w:hAnsiTheme="minorHAnsi" w:cstheme="minorHAnsi"/>
              <w:noProof/>
              <w:color w:val="auto"/>
              <w:sz w:val="22"/>
              <w:szCs w:val="22"/>
            </w:rPr>
            <w:t>(ACT Government, 2019a, pp. 14-16)</w:t>
          </w:r>
          <w:r>
            <w:rPr>
              <w:rFonts w:asciiTheme="minorHAnsi" w:hAnsiTheme="minorHAnsi" w:cstheme="minorHAnsi"/>
              <w:color w:val="auto"/>
              <w:sz w:val="22"/>
              <w:szCs w:val="22"/>
            </w:rPr>
            <w:fldChar w:fldCharType="end"/>
          </w:r>
        </w:sdtContent>
      </w:sdt>
      <w:r>
        <w:rPr>
          <w:rFonts w:asciiTheme="minorHAnsi" w:hAnsiTheme="minorHAnsi" w:cstheme="minorHAnsi"/>
          <w:color w:val="auto"/>
          <w:sz w:val="22"/>
          <w:szCs w:val="22"/>
        </w:rPr>
        <w:t>. This has allowed the figures to be replicated. However, some issues of concern remain.</w:t>
      </w:r>
    </w:p>
    <w:p w14:paraId="06276A03" w14:textId="1C766456" w:rsidR="003F088B" w:rsidRDefault="003F088B" w:rsidP="003F088B">
      <w:pPr>
        <w:pStyle w:val="Default"/>
        <w:rPr>
          <w:rFonts w:asciiTheme="minorHAnsi" w:hAnsiTheme="minorHAnsi" w:cstheme="minorHAnsi"/>
          <w:color w:val="auto"/>
          <w:sz w:val="22"/>
          <w:szCs w:val="22"/>
        </w:rPr>
      </w:pPr>
      <w:r>
        <w:rPr>
          <w:rFonts w:asciiTheme="minorHAnsi" w:hAnsiTheme="minorHAnsi" w:cstheme="minorHAnsi"/>
          <w:color w:val="auto"/>
          <w:sz w:val="22"/>
          <w:szCs w:val="22"/>
        </w:rPr>
        <w:t>The CPI assumption used for the purpose of calculating the nominal investment return is 2 per cent per annum (the inflation assumption adopted in the most recent triennial valuation of the liabilities) and differs from the rates set out in Table 1.2.1. It would be helpful to explain the rationale for the adoption of the 2 per cent assumption and provide an assurance that the estimates of investment income included in Budget Statements B for CMTEDD</w:t>
      </w:r>
      <w:sdt>
        <w:sdtPr>
          <w:rPr>
            <w:rFonts w:asciiTheme="minorHAnsi" w:hAnsiTheme="minorHAnsi" w:cstheme="minorHAnsi"/>
            <w:color w:val="auto"/>
            <w:sz w:val="22"/>
            <w:szCs w:val="22"/>
          </w:rPr>
          <w:id w:val="-1787265531"/>
          <w:citation/>
        </w:sdtPr>
        <w:sdtContent>
          <w:r>
            <w:rPr>
              <w:rFonts w:asciiTheme="minorHAnsi" w:hAnsiTheme="minorHAnsi" w:cstheme="minorHAnsi"/>
              <w:color w:val="auto"/>
              <w:sz w:val="22"/>
              <w:szCs w:val="22"/>
            </w:rPr>
            <w:fldChar w:fldCharType="begin"/>
          </w:r>
          <w:r>
            <w:rPr>
              <w:rFonts w:asciiTheme="minorHAnsi" w:hAnsiTheme="minorHAnsi" w:cstheme="minorHAnsi"/>
              <w:color w:val="auto"/>
              <w:sz w:val="22"/>
              <w:szCs w:val="22"/>
            </w:rPr>
            <w:instrText xml:space="preserve">CITATION ACT21 \p 303 \t  \l 3081 </w:instrText>
          </w:r>
          <w:r>
            <w:rPr>
              <w:rFonts w:asciiTheme="minorHAnsi" w:hAnsiTheme="minorHAnsi" w:cstheme="minorHAnsi"/>
              <w:color w:val="auto"/>
              <w:sz w:val="22"/>
              <w:szCs w:val="22"/>
            </w:rPr>
            <w:fldChar w:fldCharType="separate"/>
          </w:r>
          <w:r>
            <w:rPr>
              <w:rFonts w:asciiTheme="minorHAnsi" w:hAnsiTheme="minorHAnsi" w:cstheme="minorHAnsi"/>
              <w:noProof/>
              <w:color w:val="auto"/>
              <w:sz w:val="22"/>
              <w:szCs w:val="22"/>
            </w:rPr>
            <w:t xml:space="preserve"> </w:t>
          </w:r>
          <w:r w:rsidRPr="003F088B">
            <w:rPr>
              <w:rFonts w:asciiTheme="minorHAnsi" w:hAnsiTheme="minorHAnsi" w:cstheme="minorHAnsi"/>
              <w:noProof/>
              <w:color w:val="auto"/>
              <w:sz w:val="22"/>
              <w:szCs w:val="22"/>
            </w:rPr>
            <w:t>(ACT Government, 2021, p. 303)</w:t>
          </w:r>
          <w:r>
            <w:rPr>
              <w:rFonts w:asciiTheme="minorHAnsi" w:hAnsiTheme="minorHAnsi" w:cstheme="minorHAnsi"/>
              <w:color w:val="auto"/>
              <w:sz w:val="22"/>
              <w:szCs w:val="22"/>
            </w:rPr>
            <w:fldChar w:fldCharType="end"/>
          </w:r>
        </w:sdtContent>
      </w:sdt>
      <w:r>
        <w:rPr>
          <w:rFonts w:asciiTheme="minorHAnsi" w:hAnsiTheme="minorHAnsi" w:cstheme="minorHAnsi"/>
          <w:color w:val="auto"/>
          <w:sz w:val="22"/>
          <w:szCs w:val="22"/>
        </w:rPr>
        <w:t xml:space="preserve"> have been calculated on the same basis.</w:t>
      </w:r>
    </w:p>
    <w:p w14:paraId="311AA306" w14:textId="647A5CBA" w:rsidR="003F088B" w:rsidRDefault="003F088B" w:rsidP="003F088B">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The </w:t>
      </w:r>
      <w:r w:rsidRPr="00232388">
        <w:rPr>
          <w:rFonts w:asciiTheme="minorHAnsi" w:hAnsiTheme="minorHAnsi" w:cstheme="minorHAnsi"/>
          <w:color w:val="auto"/>
          <w:sz w:val="22"/>
          <w:szCs w:val="22"/>
        </w:rPr>
        <w:t>Budget Papers note that over the past 2</w:t>
      </w:r>
      <w:r>
        <w:rPr>
          <w:rFonts w:asciiTheme="minorHAnsi" w:hAnsiTheme="minorHAnsi" w:cstheme="minorHAnsi"/>
          <w:color w:val="auto"/>
          <w:sz w:val="22"/>
          <w:szCs w:val="22"/>
        </w:rPr>
        <w:t>4</w:t>
      </w:r>
      <w:r w:rsidRPr="00232388">
        <w:rPr>
          <w:rFonts w:asciiTheme="minorHAnsi" w:hAnsiTheme="minorHAnsi" w:cstheme="minorHAnsi"/>
          <w:color w:val="auto"/>
          <w:sz w:val="22"/>
          <w:szCs w:val="22"/>
        </w:rPr>
        <w:t xml:space="preserve"> years (1996-97 to 201</w:t>
      </w:r>
      <w:r>
        <w:rPr>
          <w:rFonts w:asciiTheme="minorHAnsi" w:hAnsiTheme="minorHAnsi" w:cstheme="minorHAnsi"/>
          <w:color w:val="auto"/>
          <w:sz w:val="22"/>
          <w:szCs w:val="22"/>
        </w:rPr>
        <w:t>9</w:t>
      </w:r>
      <w:r w:rsidRPr="00232388">
        <w:rPr>
          <w:rFonts w:asciiTheme="minorHAnsi" w:hAnsiTheme="minorHAnsi" w:cstheme="minorHAnsi"/>
          <w:color w:val="auto"/>
          <w:sz w:val="22"/>
          <w:szCs w:val="22"/>
        </w:rPr>
        <w:t>-</w:t>
      </w:r>
      <w:r>
        <w:rPr>
          <w:rFonts w:asciiTheme="minorHAnsi" w:hAnsiTheme="minorHAnsi" w:cstheme="minorHAnsi"/>
          <w:color w:val="auto"/>
          <w:sz w:val="22"/>
          <w:szCs w:val="22"/>
        </w:rPr>
        <w:t>20</w:t>
      </w:r>
      <w:r w:rsidRPr="00232388">
        <w:rPr>
          <w:rFonts w:asciiTheme="minorHAnsi" w:hAnsiTheme="minorHAnsi" w:cstheme="minorHAnsi"/>
          <w:color w:val="auto"/>
          <w:sz w:val="22"/>
          <w:szCs w:val="22"/>
        </w:rPr>
        <w:t xml:space="preserve">), the Superannuation Provision Account portfolio has generated a </w:t>
      </w:r>
      <w:r>
        <w:rPr>
          <w:rFonts w:asciiTheme="minorHAnsi" w:hAnsiTheme="minorHAnsi" w:cstheme="minorHAnsi"/>
          <w:color w:val="auto"/>
          <w:sz w:val="22"/>
          <w:szCs w:val="22"/>
        </w:rPr>
        <w:t>real</w:t>
      </w:r>
      <w:r w:rsidRPr="00232388">
        <w:rPr>
          <w:rFonts w:asciiTheme="minorHAnsi" w:hAnsiTheme="minorHAnsi" w:cstheme="minorHAnsi"/>
          <w:color w:val="auto"/>
          <w:sz w:val="22"/>
          <w:szCs w:val="22"/>
        </w:rPr>
        <w:t xml:space="preserve"> investment return </w:t>
      </w:r>
      <w:r>
        <w:rPr>
          <w:rFonts w:asciiTheme="minorHAnsi" w:hAnsiTheme="minorHAnsi" w:cstheme="minorHAnsi"/>
          <w:color w:val="auto"/>
          <w:sz w:val="22"/>
          <w:szCs w:val="22"/>
        </w:rPr>
        <w:t>(above the</w:t>
      </w:r>
      <w:r w:rsidRPr="00232388">
        <w:rPr>
          <w:rFonts w:asciiTheme="minorHAnsi" w:hAnsiTheme="minorHAnsi" w:cstheme="minorHAnsi"/>
          <w:color w:val="auto"/>
          <w:sz w:val="22"/>
          <w:szCs w:val="22"/>
        </w:rPr>
        <w:t xml:space="preserve"> CPI</w:t>
      </w:r>
      <w:r>
        <w:rPr>
          <w:rFonts w:asciiTheme="minorHAnsi" w:hAnsiTheme="minorHAnsi" w:cstheme="minorHAnsi"/>
          <w:color w:val="auto"/>
          <w:sz w:val="22"/>
          <w:szCs w:val="22"/>
        </w:rPr>
        <w:t>)</w:t>
      </w:r>
      <w:r w:rsidRPr="00232388">
        <w:rPr>
          <w:rFonts w:asciiTheme="minorHAnsi" w:hAnsiTheme="minorHAnsi" w:cstheme="minorHAnsi"/>
          <w:color w:val="auto"/>
          <w:sz w:val="22"/>
          <w:szCs w:val="22"/>
        </w:rPr>
        <w:t xml:space="preserve"> </w:t>
      </w:r>
      <w:r>
        <w:rPr>
          <w:rFonts w:asciiTheme="minorHAnsi" w:hAnsiTheme="minorHAnsi" w:cstheme="minorHAnsi"/>
          <w:color w:val="auto"/>
          <w:sz w:val="22"/>
          <w:szCs w:val="22"/>
        </w:rPr>
        <w:t>of</w:t>
      </w:r>
      <w:r w:rsidRPr="00232388">
        <w:rPr>
          <w:rFonts w:asciiTheme="minorHAnsi" w:hAnsiTheme="minorHAnsi" w:cstheme="minorHAnsi"/>
          <w:color w:val="auto"/>
          <w:sz w:val="22"/>
          <w:szCs w:val="22"/>
        </w:rPr>
        <w:t xml:space="preserve"> 5.2 per</w:t>
      </w:r>
      <w:r>
        <w:rPr>
          <w:rFonts w:asciiTheme="minorHAnsi" w:hAnsiTheme="minorHAnsi" w:cstheme="minorHAnsi"/>
          <w:color w:val="auto"/>
          <w:sz w:val="22"/>
          <w:szCs w:val="22"/>
        </w:rPr>
        <w:t xml:space="preserve"> </w:t>
      </w:r>
      <w:r w:rsidRPr="00232388">
        <w:rPr>
          <w:rFonts w:asciiTheme="minorHAnsi" w:hAnsiTheme="minorHAnsi" w:cstheme="minorHAnsi"/>
          <w:color w:val="auto"/>
          <w:sz w:val="22"/>
          <w:szCs w:val="22"/>
        </w:rPr>
        <w:t>cent</w:t>
      </w:r>
      <w:r>
        <w:rPr>
          <w:rFonts w:asciiTheme="minorHAnsi" w:hAnsiTheme="minorHAnsi" w:cstheme="minorHAnsi"/>
          <w:color w:val="auto"/>
          <w:sz w:val="22"/>
          <w:szCs w:val="22"/>
        </w:rPr>
        <w:t xml:space="preserve"> per annum</w:t>
      </w:r>
      <w:r w:rsidRPr="00232388">
        <w:rPr>
          <w:rFonts w:asciiTheme="minorHAnsi" w:hAnsiTheme="minorHAnsi" w:cstheme="minorHAnsi"/>
          <w:color w:val="auto"/>
          <w:sz w:val="22"/>
          <w:szCs w:val="22"/>
        </w:rPr>
        <w:t xml:space="preserve"> (ACT Government, 20</w:t>
      </w:r>
      <w:r>
        <w:rPr>
          <w:rFonts w:asciiTheme="minorHAnsi" w:hAnsiTheme="minorHAnsi" w:cstheme="minorHAnsi"/>
          <w:color w:val="auto"/>
          <w:sz w:val="22"/>
          <w:szCs w:val="22"/>
        </w:rPr>
        <w:t>21</w:t>
      </w:r>
      <w:r w:rsidRPr="00232388">
        <w:rPr>
          <w:rFonts w:asciiTheme="minorHAnsi" w:hAnsiTheme="minorHAnsi" w:cstheme="minorHAnsi"/>
          <w:color w:val="auto"/>
          <w:sz w:val="22"/>
          <w:szCs w:val="22"/>
        </w:rPr>
        <w:t xml:space="preserve">, p. </w:t>
      </w:r>
      <w:r>
        <w:rPr>
          <w:rFonts w:asciiTheme="minorHAnsi" w:hAnsiTheme="minorHAnsi" w:cstheme="minorHAnsi"/>
          <w:color w:val="auto"/>
          <w:sz w:val="22"/>
          <w:szCs w:val="22"/>
        </w:rPr>
        <w:t>197</w:t>
      </w:r>
      <w:r w:rsidRPr="00232388">
        <w:rPr>
          <w:rFonts w:asciiTheme="minorHAnsi" w:hAnsiTheme="minorHAnsi" w:cstheme="minorHAnsi"/>
          <w:color w:val="auto"/>
          <w:sz w:val="22"/>
          <w:szCs w:val="22"/>
        </w:rPr>
        <w:t>). However, this has been a period of historically high investment returns</w:t>
      </w:r>
      <w:r>
        <w:rPr>
          <w:rFonts w:asciiTheme="minorHAnsi" w:hAnsiTheme="minorHAnsi" w:cstheme="minorHAnsi"/>
          <w:color w:val="auto"/>
          <w:sz w:val="22"/>
          <w:szCs w:val="22"/>
        </w:rPr>
        <w:t xml:space="preserve">. The </w:t>
      </w:r>
      <w:r w:rsidRPr="00232388">
        <w:rPr>
          <w:rFonts w:asciiTheme="minorHAnsi" w:hAnsiTheme="minorHAnsi" w:cstheme="minorHAnsi"/>
          <w:color w:val="auto"/>
          <w:sz w:val="22"/>
          <w:szCs w:val="22"/>
        </w:rPr>
        <w:t xml:space="preserve">current return objective of CPI plus 4.75 percentage </w:t>
      </w:r>
      <w:r>
        <w:rPr>
          <w:rFonts w:asciiTheme="minorHAnsi" w:hAnsiTheme="minorHAnsi" w:cstheme="minorHAnsi"/>
          <w:color w:val="auto"/>
          <w:sz w:val="22"/>
          <w:szCs w:val="22"/>
        </w:rPr>
        <w:t>is slightly higher than the mid-point of the</w:t>
      </w:r>
      <w:r w:rsidRPr="0023238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current </w:t>
      </w:r>
      <w:r w:rsidRPr="00232388">
        <w:rPr>
          <w:rFonts w:asciiTheme="minorHAnsi" w:hAnsiTheme="minorHAnsi" w:cstheme="minorHAnsi"/>
          <w:color w:val="auto"/>
          <w:sz w:val="22"/>
          <w:szCs w:val="22"/>
        </w:rPr>
        <w:t>Future Fund mandate</w:t>
      </w:r>
      <w:r>
        <w:rPr>
          <w:rFonts w:asciiTheme="minorHAnsi" w:hAnsiTheme="minorHAnsi" w:cstheme="minorHAnsi"/>
          <w:color w:val="auto"/>
          <w:sz w:val="22"/>
          <w:szCs w:val="22"/>
        </w:rPr>
        <w:t xml:space="preserve">. </w:t>
      </w:r>
      <w:r>
        <w:rPr>
          <w:rFonts w:asciiTheme="minorHAnsi" w:hAnsiTheme="minorHAnsi" w:cstheme="minorHAnsi"/>
          <w:sz w:val="22"/>
          <w:szCs w:val="22"/>
          <w:lang w:val="en-US"/>
        </w:rPr>
        <w:t>T</w:t>
      </w:r>
      <w:r w:rsidRPr="00232388">
        <w:rPr>
          <w:rFonts w:asciiTheme="minorHAnsi" w:hAnsiTheme="minorHAnsi" w:cstheme="minorHAnsi"/>
          <w:sz w:val="22"/>
          <w:szCs w:val="22"/>
          <w:lang w:val="en-US"/>
        </w:rPr>
        <w:t>he</w:t>
      </w:r>
      <w:r w:rsidRPr="00232388">
        <w:rPr>
          <w:rFonts w:asciiTheme="minorHAnsi" w:hAnsiTheme="minorHAnsi" w:cstheme="minorHAnsi"/>
          <w:spacing w:val="-3"/>
          <w:sz w:val="22"/>
          <w:szCs w:val="22"/>
          <w:lang w:val="en-US"/>
        </w:rPr>
        <w:t xml:space="preserve"> </w:t>
      </w:r>
      <w:r w:rsidRPr="00232388">
        <w:rPr>
          <w:rFonts w:asciiTheme="minorHAnsi" w:hAnsiTheme="minorHAnsi" w:cstheme="minorHAnsi"/>
          <w:sz w:val="22"/>
          <w:szCs w:val="22"/>
          <w:lang w:val="en-US"/>
        </w:rPr>
        <w:t>bench</w:t>
      </w:r>
      <w:r w:rsidRPr="00232388">
        <w:rPr>
          <w:rFonts w:asciiTheme="minorHAnsi" w:hAnsiTheme="minorHAnsi" w:cstheme="minorHAnsi"/>
          <w:spacing w:val="-2"/>
          <w:sz w:val="22"/>
          <w:szCs w:val="22"/>
          <w:lang w:val="en-US"/>
        </w:rPr>
        <w:t>m</w:t>
      </w:r>
      <w:r w:rsidRPr="00232388">
        <w:rPr>
          <w:rFonts w:asciiTheme="minorHAnsi" w:hAnsiTheme="minorHAnsi" w:cstheme="minorHAnsi"/>
          <w:sz w:val="22"/>
          <w:szCs w:val="22"/>
          <w:lang w:val="en-US"/>
        </w:rPr>
        <w:t>ark return</w:t>
      </w:r>
      <w:r w:rsidRPr="00232388">
        <w:rPr>
          <w:rFonts w:asciiTheme="minorHAnsi" w:hAnsiTheme="minorHAnsi" w:cstheme="minorHAnsi"/>
          <w:spacing w:val="-6"/>
          <w:sz w:val="22"/>
          <w:szCs w:val="22"/>
          <w:lang w:val="en-US"/>
        </w:rPr>
        <w:t xml:space="preserve"> </w:t>
      </w:r>
      <w:r>
        <w:rPr>
          <w:rFonts w:asciiTheme="minorHAnsi" w:hAnsiTheme="minorHAnsi" w:cstheme="minorHAnsi"/>
          <w:color w:val="auto"/>
          <w:sz w:val="22"/>
          <w:szCs w:val="22"/>
        </w:rPr>
        <w:t>for the Future Fund is a long-term</w:t>
      </w:r>
      <w:r w:rsidRPr="00232388">
        <w:rPr>
          <w:rFonts w:asciiTheme="minorHAnsi" w:hAnsiTheme="minorHAnsi" w:cstheme="minorHAnsi"/>
          <w:spacing w:val="-2"/>
          <w:sz w:val="22"/>
          <w:szCs w:val="22"/>
          <w:lang w:val="en-US"/>
        </w:rPr>
        <w:t xml:space="preserve"> </w:t>
      </w:r>
      <w:r w:rsidRPr="00232388">
        <w:rPr>
          <w:rFonts w:asciiTheme="minorHAnsi" w:hAnsiTheme="minorHAnsi" w:cstheme="minorHAnsi"/>
          <w:sz w:val="22"/>
          <w:szCs w:val="22"/>
          <w:lang w:val="en-US"/>
        </w:rPr>
        <w:t>average</w:t>
      </w:r>
      <w:r w:rsidRPr="00232388">
        <w:rPr>
          <w:rFonts w:asciiTheme="minorHAnsi" w:hAnsiTheme="minorHAnsi" w:cstheme="minorHAnsi"/>
          <w:spacing w:val="-7"/>
          <w:sz w:val="22"/>
          <w:szCs w:val="22"/>
          <w:lang w:val="en-US"/>
        </w:rPr>
        <w:t xml:space="preserve"> </w:t>
      </w:r>
      <w:r w:rsidRPr="00232388">
        <w:rPr>
          <w:rFonts w:asciiTheme="minorHAnsi" w:hAnsiTheme="minorHAnsi" w:cstheme="minorHAnsi"/>
          <w:sz w:val="22"/>
          <w:szCs w:val="22"/>
          <w:lang w:val="en-US"/>
        </w:rPr>
        <w:t>return</w:t>
      </w:r>
      <w:r w:rsidRPr="00232388">
        <w:rPr>
          <w:rFonts w:asciiTheme="minorHAnsi" w:hAnsiTheme="minorHAnsi" w:cstheme="minorHAnsi"/>
          <w:spacing w:val="-6"/>
          <w:sz w:val="22"/>
          <w:szCs w:val="22"/>
          <w:lang w:val="en-US"/>
        </w:rPr>
        <w:t xml:space="preserve"> </w:t>
      </w:r>
      <w:r w:rsidRPr="00232388">
        <w:rPr>
          <w:rFonts w:asciiTheme="minorHAnsi" w:hAnsiTheme="minorHAnsi" w:cstheme="minorHAnsi"/>
          <w:sz w:val="22"/>
          <w:szCs w:val="22"/>
          <w:lang w:val="en-US"/>
        </w:rPr>
        <w:t>of at</w:t>
      </w:r>
      <w:r w:rsidRPr="00232388">
        <w:rPr>
          <w:rFonts w:asciiTheme="minorHAnsi" w:hAnsiTheme="minorHAnsi" w:cstheme="minorHAnsi"/>
          <w:spacing w:val="-2"/>
          <w:sz w:val="22"/>
          <w:szCs w:val="22"/>
          <w:lang w:val="en-US"/>
        </w:rPr>
        <w:t xml:space="preserve"> </w:t>
      </w:r>
      <w:r w:rsidRPr="00232388">
        <w:rPr>
          <w:rFonts w:asciiTheme="minorHAnsi" w:hAnsiTheme="minorHAnsi" w:cstheme="minorHAnsi"/>
          <w:sz w:val="22"/>
          <w:szCs w:val="22"/>
          <w:lang w:val="en-US"/>
        </w:rPr>
        <w:t>least</w:t>
      </w:r>
      <w:r w:rsidRPr="00232388">
        <w:rPr>
          <w:rFonts w:asciiTheme="minorHAnsi" w:hAnsiTheme="minorHAnsi" w:cstheme="minorHAnsi"/>
          <w:spacing w:val="-4"/>
          <w:sz w:val="22"/>
          <w:szCs w:val="22"/>
          <w:lang w:val="en-US"/>
        </w:rPr>
        <w:t xml:space="preserve"> </w:t>
      </w:r>
      <w:r w:rsidRPr="00232388">
        <w:rPr>
          <w:rFonts w:asciiTheme="minorHAnsi" w:hAnsiTheme="minorHAnsi" w:cstheme="minorHAnsi"/>
          <w:sz w:val="22"/>
          <w:szCs w:val="22"/>
          <w:lang w:val="en-US"/>
        </w:rPr>
        <w:t>the</w:t>
      </w:r>
      <w:r w:rsidRPr="00232388">
        <w:rPr>
          <w:rFonts w:asciiTheme="minorHAnsi" w:hAnsiTheme="minorHAnsi" w:cstheme="minorHAnsi"/>
          <w:spacing w:val="-3"/>
          <w:sz w:val="22"/>
          <w:szCs w:val="22"/>
          <w:lang w:val="en-US"/>
        </w:rPr>
        <w:t xml:space="preserve"> </w:t>
      </w:r>
      <w:r w:rsidRPr="00232388">
        <w:rPr>
          <w:rFonts w:asciiTheme="minorHAnsi" w:hAnsiTheme="minorHAnsi" w:cstheme="minorHAnsi"/>
          <w:sz w:val="22"/>
          <w:szCs w:val="22"/>
          <w:lang w:val="en-US"/>
        </w:rPr>
        <w:t>Consu</w:t>
      </w:r>
      <w:r w:rsidRPr="00232388">
        <w:rPr>
          <w:rFonts w:asciiTheme="minorHAnsi" w:hAnsiTheme="minorHAnsi" w:cstheme="minorHAnsi"/>
          <w:spacing w:val="-2"/>
          <w:sz w:val="22"/>
          <w:szCs w:val="22"/>
          <w:lang w:val="en-US"/>
        </w:rPr>
        <w:t>m</w:t>
      </w:r>
      <w:r w:rsidRPr="00232388">
        <w:rPr>
          <w:rFonts w:asciiTheme="minorHAnsi" w:hAnsiTheme="minorHAnsi" w:cstheme="minorHAnsi"/>
          <w:sz w:val="22"/>
          <w:szCs w:val="22"/>
          <w:lang w:val="en-US"/>
        </w:rPr>
        <w:t>er</w:t>
      </w:r>
      <w:r w:rsidRPr="00232388">
        <w:rPr>
          <w:rFonts w:asciiTheme="minorHAnsi" w:hAnsiTheme="minorHAnsi" w:cstheme="minorHAnsi"/>
          <w:spacing w:val="-10"/>
          <w:sz w:val="22"/>
          <w:szCs w:val="22"/>
          <w:lang w:val="en-US"/>
        </w:rPr>
        <w:t xml:space="preserve"> </w:t>
      </w:r>
      <w:r w:rsidRPr="00232388">
        <w:rPr>
          <w:rFonts w:asciiTheme="minorHAnsi" w:hAnsiTheme="minorHAnsi" w:cstheme="minorHAnsi"/>
          <w:sz w:val="22"/>
          <w:szCs w:val="22"/>
          <w:lang w:val="en-US"/>
        </w:rPr>
        <w:t>Price</w:t>
      </w:r>
      <w:r w:rsidRPr="00232388">
        <w:rPr>
          <w:rFonts w:asciiTheme="minorHAnsi" w:hAnsiTheme="minorHAnsi" w:cstheme="minorHAnsi"/>
          <w:spacing w:val="-5"/>
          <w:sz w:val="22"/>
          <w:szCs w:val="22"/>
          <w:lang w:val="en-US"/>
        </w:rPr>
        <w:t xml:space="preserve"> </w:t>
      </w:r>
      <w:r w:rsidRPr="00232388">
        <w:rPr>
          <w:rFonts w:asciiTheme="minorHAnsi" w:hAnsiTheme="minorHAnsi" w:cstheme="minorHAnsi"/>
          <w:sz w:val="22"/>
          <w:szCs w:val="22"/>
          <w:lang w:val="en-US"/>
        </w:rPr>
        <w:t>Index (CPI) plus</w:t>
      </w:r>
      <w:r w:rsidRPr="00232388">
        <w:rPr>
          <w:rFonts w:asciiTheme="minorHAnsi" w:hAnsiTheme="minorHAnsi" w:cstheme="minorHAnsi"/>
          <w:spacing w:val="-1"/>
          <w:sz w:val="22"/>
          <w:szCs w:val="22"/>
          <w:lang w:val="en-US"/>
        </w:rPr>
        <w:t xml:space="preserve"> </w:t>
      </w:r>
      <w:r w:rsidRPr="00232388">
        <w:rPr>
          <w:rFonts w:asciiTheme="minorHAnsi" w:hAnsiTheme="minorHAnsi" w:cstheme="minorHAnsi"/>
          <w:sz w:val="22"/>
          <w:szCs w:val="22"/>
          <w:lang w:val="en-US"/>
        </w:rPr>
        <w:t>4 to</w:t>
      </w:r>
      <w:r w:rsidRPr="00232388">
        <w:rPr>
          <w:rFonts w:asciiTheme="minorHAnsi" w:hAnsiTheme="minorHAnsi" w:cstheme="minorHAnsi"/>
          <w:spacing w:val="-2"/>
          <w:sz w:val="22"/>
          <w:szCs w:val="22"/>
          <w:lang w:val="en-US"/>
        </w:rPr>
        <w:t xml:space="preserve"> </w:t>
      </w:r>
      <w:r w:rsidRPr="00232388">
        <w:rPr>
          <w:rFonts w:asciiTheme="minorHAnsi" w:hAnsiTheme="minorHAnsi" w:cstheme="minorHAnsi"/>
          <w:sz w:val="22"/>
          <w:szCs w:val="22"/>
          <w:lang w:val="en-US"/>
        </w:rPr>
        <w:t>5 percentage points</w:t>
      </w:r>
      <w:r w:rsidRPr="00232388">
        <w:rPr>
          <w:rFonts w:asciiTheme="minorHAnsi" w:hAnsiTheme="minorHAnsi" w:cstheme="minorHAnsi"/>
          <w:spacing w:val="-4"/>
          <w:sz w:val="22"/>
          <w:szCs w:val="22"/>
          <w:lang w:val="en-US"/>
        </w:rPr>
        <w:t xml:space="preserve"> </w:t>
      </w:r>
      <w:r w:rsidRPr="00232388">
        <w:rPr>
          <w:rFonts w:asciiTheme="minorHAnsi" w:hAnsiTheme="minorHAnsi" w:cstheme="minorHAnsi"/>
          <w:sz w:val="22"/>
          <w:szCs w:val="22"/>
          <w:lang w:val="en-US"/>
        </w:rPr>
        <w:t>per</w:t>
      </w:r>
      <w:r w:rsidRPr="00232388">
        <w:rPr>
          <w:rFonts w:asciiTheme="minorHAnsi" w:hAnsiTheme="minorHAnsi" w:cstheme="minorHAnsi"/>
          <w:spacing w:val="-3"/>
          <w:sz w:val="22"/>
          <w:szCs w:val="22"/>
          <w:lang w:val="en-US"/>
        </w:rPr>
        <w:t xml:space="preserve"> </w:t>
      </w:r>
      <w:r w:rsidRPr="00232388">
        <w:rPr>
          <w:rFonts w:asciiTheme="minorHAnsi" w:hAnsiTheme="minorHAnsi" w:cstheme="minorHAnsi"/>
          <w:sz w:val="22"/>
          <w:szCs w:val="22"/>
          <w:lang w:val="en-US"/>
        </w:rPr>
        <w:t>annum</w:t>
      </w:r>
      <w:r w:rsidRPr="00232388">
        <w:rPr>
          <w:rFonts w:asciiTheme="minorHAnsi" w:hAnsiTheme="minorHAnsi" w:cstheme="minorHAnsi"/>
          <w:spacing w:val="-7"/>
          <w:sz w:val="22"/>
          <w:szCs w:val="22"/>
          <w:lang w:val="en-US"/>
        </w:rPr>
        <w:t xml:space="preserve"> </w:t>
      </w:r>
      <w:r w:rsidRPr="00232388">
        <w:rPr>
          <w:rFonts w:asciiTheme="minorHAnsi" w:hAnsiTheme="minorHAnsi" w:cstheme="minorHAnsi"/>
          <w:noProof/>
          <w:color w:val="auto"/>
          <w:sz w:val="22"/>
          <w:szCs w:val="22"/>
          <w:lang w:val="en-NZ"/>
        </w:rPr>
        <w:t>(Commonwealth of Australia, 2017a)</w:t>
      </w:r>
      <w:r>
        <w:rPr>
          <w:rFonts w:asciiTheme="minorHAnsi" w:hAnsiTheme="minorHAnsi" w:cstheme="minorHAnsi"/>
          <w:color w:val="auto"/>
          <w:sz w:val="22"/>
          <w:szCs w:val="22"/>
        </w:rPr>
        <w:t>. Given the economic uncertainties outlined earlier, a more conservative approach by the ACT Government would appear to be warranted.</w:t>
      </w:r>
    </w:p>
    <w:p w14:paraId="65ECDDEA" w14:textId="7B0DB9D8" w:rsidR="003F088B" w:rsidRDefault="003F088B" w:rsidP="003F088B">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While the superannuation return adjustment is calculated assuming a constant total investment return on the Account over the Budget and forward year, the return assumption adopted in projecting the assets of the Account over the Budget year is 12.1 per cent of the opening balance</w:t>
      </w:r>
      <w:r w:rsidRPr="00232388">
        <w:rPr>
          <w:rFonts w:asciiTheme="minorHAnsi" w:hAnsiTheme="minorHAnsi" w:cstheme="minorHAnsi"/>
          <w:color w:val="auto"/>
          <w:sz w:val="22"/>
          <w:szCs w:val="22"/>
        </w:rPr>
        <w:t xml:space="preserve"> (ACT Government, 20</w:t>
      </w:r>
      <w:r>
        <w:rPr>
          <w:rFonts w:asciiTheme="minorHAnsi" w:hAnsiTheme="minorHAnsi" w:cstheme="minorHAnsi"/>
          <w:color w:val="auto"/>
          <w:sz w:val="22"/>
          <w:szCs w:val="22"/>
        </w:rPr>
        <w:t>21</w:t>
      </w:r>
      <w:r w:rsidRPr="00232388">
        <w:rPr>
          <w:rFonts w:asciiTheme="minorHAnsi" w:hAnsiTheme="minorHAnsi" w:cstheme="minorHAnsi"/>
          <w:color w:val="auto"/>
          <w:sz w:val="22"/>
          <w:szCs w:val="22"/>
        </w:rPr>
        <w:t xml:space="preserve">, p. </w:t>
      </w:r>
      <w:r>
        <w:rPr>
          <w:rFonts w:asciiTheme="minorHAnsi" w:hAnsiTheme="minorHAnsi" w:cstheme="minorHAnsi"/>
          <w:color w:val="auto"/>
          <w:sz w:val="22"/>
          <w:szCs w:val="22"/>
        </w:rPr>
        <w:t>198</w:t>
      </w:r>
      <w:r w:rsidRPr="0023238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Higher than average returns might be expected following the downturn associated with COVID. However, there are questions about the plausibility of a 2021 forecast that is some $80 million more than the pre-COVID 2019-20 Budget forecast. </w:t>
      </w:r>
      <w:r w:rsidRPr="00232388">
        <w:rPr>
          <w:rFonts w:asciiTheme="minorHAnsi" w:hAnsiTheme="minorHAnsi" w:cstheme="minorHAnsi"/>
          <w:color w:val="auto"/>
          <w:sz w:val="22"/>
          <w:szCs w:val="22"/>
        </w:rPr>
        <w:t xml:space="preserve">The </w:t>
      </w:r>
      <w:r>
        <w:rPr>
          <w:rFonts w:asciiTheme="minorHAnsi" w:hAnsiTheme="minorHAnsi" w:cstheme="minorHAnsi"/>
          <w:color w:val="auto"/>
          <w:sz w:val="22"/>
          <w:szCs w:val="22"/>
        </w:rPr>
        <w:t xml:space="preserve">higher the estimated balance in the Account, the greater the superannuation return adjustment in future years and the greater the benefit for the headline fiscal balance.  </w:t>
      </w:r>
    </w:p>
    <w:p w14:paraId="4B0A57D0" w14:textId="77777777" w:rsidR="003F088B" w:rsidRPr="00232388" w:rsidRDefault="003F088B" w:rsidP="003F088B">
      <w:pPr>
        <w:pStyle w:val="Default"/>
        <w:rPr>
          <w:rFonts w:asciiTheme="minorHAnsi" w:hAnsiTheme="minorHAnsi" w:cstheme="minorHAnsi"/>
          <w:color w:val="auto"/>
          <w:sz w:val="22"/>
          <w:szCs w:val="22"/>
        </w:rPr>
      </w:pPr>
      <w:r>
        <w:rPr>
          <w:rFonts w:asciiTheme="minorHAnsi" w:hAnsiTheme="minorHAnsi" w:cstheme="minorHAnsi"/>
          <w:color w:val="auto"/>
          <w:sz w:val="22"/>
          <w:szCs w:val="22"/>
        </w:rPr>
        <w:t>T</w:t>
      </w:r>
      <w:r w:rsidRPr="00232388">
        <w:rPr>
          <w:rFonts w:asciiTheme="minorHAnsi" w:hAnsiTheme="minorHAnsi" w:cstheme="minorHAnsi"/>
          <w:color w:val="auto"/>
          <w:sz w:val="22"/>
          <w:szCs w:val="22"/>
        </w:rPr>
        <w:t>he Committee should note that the return assumption in this adjustment has the potential to materially shift the budget aggregates and that variations in investment returns from the Territory’s Superannuation Provision Account can by themselves be significant enough to swing the balance from surplus to deficit.</w:t>
      </w:r>
    </w:p>
    <w:p w14:paraId="29740D3A" w14:textId="5DD04FEF" w:rsidR="0090518A" w:rsidRDefault="00E81ABF" w:rsidP="00975ECB">
      <w:pPr>
        <w:pStyle w:val="Heading2"/>
        <w:rPr>
          <w:rStyle w:val="Heading2Char"/>
        </w:rPr>
      </w:pPr>
      <w:bookmarkStart w:id="183" w:name="_Toc516578197"/>
      <w:bookmarkStart w:id="184" w:name="_Toc516672695"/>
      <w:bookmarkStart w:id="185" w:name="_Toc516675566"/>
      <w:bookmarkStart w:id="186" w:name="_Toc64529065"/>
      <w:r w:rsidRPr="00EA67B3">
        <w:t>9</w:t>
      </w:r>
      <w:r w:rsidR="0090518A" w:rsidRPr="00EA67B3">
        <w:t>.</w:t>
      </w:r>
      <w:r w:rsidR="006B386E" w:rsidRPr="00EA67B3">
        <w:t>4</w:t>
      </w:r>
      <w:r w:rsidR="0090518A" w:rsidRPr="00EA67B3">
        <w:tab/>
      </w:r>
      <w:r w:rsidR="0090518A" w:rsidRPr="00EA67B3">
        <w:rPr>
          <w:rStyle w:val="Heading2Char"/>
        </w:rPr>
        <w:t>Superannuation liability valuation</w:t>
      </w:r>
      <w:bookmarkEnd w:id="183"/>
      <w:bookmarkEnd w:id="184"/>
      <w:bookmarkEnd w:id="185"/>
      <w:r w:rsidR="00944057" w:rsidRPr="00EA67B3">
        <w:rPr>
          <w:rStyle w:val="Heading2Char"/>
        </w:rPr>
        <w:t xml:space="preserve"> and service costs</w:t>
      </w:r>
      <w:bookmarkEnd w:id="186"/>
    </w:p>
    <w:p w14:paraId="25D52BB4" w14:textId="77777777" w:rsidR="002C330A" w:rsidRPr="00232388" w:rsidRDefault="002C330A" w:rsidP="002C330A">
      <w:pPr>
        <w:spacing w:before="200" w:after="200"/>
      </w:pPr>
      <w:r w:rsidRPr="00232388">
        <w:t xml:space="preserve">The discount rate used to calculate the present value of the Territory’s superannuation liability has a significant impact on the estimated value of the superannuation liability and related superannuation expenses. </w:t>
      </w:r>
    </w:p>
    <w:p w14:paraId="7DFA4CFD" w14:textId="7807049B" w:rsidR="002C330A" w:rsidRPr="00232388" w:rsidRDefault="002C330A" w:rsidP="002C330A">
      <w:pPr>
        <w:spacing w:before="200" w:after="200"/>
      </w:pPr>
      <w:r w:rsidRPr="00232388">
        <w:t>It is also important to note that the Budget forecasts for the superannuation liability and associated expenses are calculated using a different discount rate from that used in reporting for the Territory’s financial statements. The Budget forecasts use a long-term discount rate while for financial reporting the prevailing Government bond rate is used.</w:t>
      </w:r>
    </w:p>
    <w:p w14:paraId="06687362" w14:textId="77777777" w:rsidR="002C330A" w:rsidRPr="00232388" w:rsidRDefault="002C330A" w:rsidP="002C330A">
      <w:pPr>
        <w:spacing w:before="200" w:after="200"/>
      </w:pPr>
      <w:r w:rsidRPr="00232388">
        <w:t>The long-term discount rate utilised in the 201</w:t>
      </w:r>
      <w:r>
        <w:t>9</w:t>
      </w:r>
      <w:r w:rsidRPr="00232388">
        <w:t>-</w:t>
      </w:r>
      <w:r>
        <w:t>20</w:t>
      </w:r>
      <w:r w:rsidRPr="00232388">
        <w:t xml:space="preserve"> Budget </w:t>
      </w:r>
      <w:r>
        <w:t>of</w:t>
      </w:r>
      <w:r w:rsidRPr="00232388">
        <w:t xml:space="preserve"> 5 per</w:t>
      </w:r>
      <w:r>
        <w:t xml:space="preserve"> </w:t>
      </w:r>
      <w:r w:rsidRPr="00232388">
        <w:t>cent per</w:t>
      </w:r>
      <w:r>
        <w:t> </w:t>
      </w:r>
      <w:r w:rsidRPr="00232388">
        <w:t xml:space="preserve">annum </w:t>
      </w:r>
      <w:r>
        <w:t>has been retained for the</w:t>
      </w:r>
      <w:r w:rsidRPr="00232388">
        <w:t xml:space="preserve"> 20</w:t>
      </w:r>
      <w:r>
        <w:t>20</w:t>
      </w:r>
      <w:r w:rsidRPr="00232388">
        <w:t>-2</w:t>
      </w:r>
      <w:r>
        <w:t>1</w:t>
      </w:r>
      <w:r w:rsidRPr="00232388">
        <w:t xml:space="preserve"> Budget. This rate is consistent with the long-term discount rate used by the Commonwealth Government to estimate the liability valuation for its own defined benefit employer superannuation liabilities </w:t>
      </w:r>
      <w:r w:rsidRPr="00232388">
        <w:rPr>
          <w:rFonts w:cstheme="minorHAnsi"/>
        </w:rPr>
        <w:t>(ACT Government, 20</w:t>
      </w:r>
      <w:r>
        <w:rPr>
          <w:rFonts w:cstheme="minorHAnsi"/>
        </w:rPr>
        <w:t>21</w:t>
      </w:r>
      <w:r w:rsidRPr="00232388">
        <w:rPr>
          <w:rFonts w:cstheme="minorHAnsi"/>
        </w:rPr>
        <w:t xml:space="preserve">, p. </w:t>
      </w:r>
      <w:r>
        <w:rPr>
          <w:rFonts w:cstheme="minorHAnsi"/>
        </w:rPr>
        <w:t>196</w:t>
      </w:r>
      <w:r w:rsidRPr="00232388">
        <w:rPr>
          <w:rFonts w:cstheme="minorHAnsi"/>
        </w:rPr>
        <w:t>)</w:t>
      </w:r>
      <w:r w:rsidRPr="00232388">
        <w:t>.</w:t>
      </w:r>
    </w:p>
    <w:p w14:paraId="701F389C" w14:textId="0C6481BA" w:rsidR="002C330A" w:rsidRPr="00232388" w:rsidRDefault="002C330A" w:rsidP="002C330A">
      <w:pPr>
        <w:spacing w:before="200" w:after="200"/>
      </w:pPr>
      <w:r w:rsidRPr="00232388">
        <w:t>Reporting at the end of the financial year in the financial statements is required under the Australian Accounting Standards (AASB 119) to be prepared on the basis of the yield on a suitable Commonwealth Government bond. The liability valuation at 30 June 20</w:t>
      </w:r>
      <w:r>
        <w:t>20</w:t>
      </w:r>
      <w:r w:rsidRPr="00232388">
        <w:t xml:space="preserve"> utilised a discount rate assumption of </w:t>
      </w:r>
      <w:r>
        <w:t>1.73</w:t>
      </w:r>
      <w:r w:rsidRPr="00232388">
        <w:t xml:space="preserve"> per</w:t>
      </w:r>
      <w:r w:rsidR="009E51ED">
        <w:t xml:space="preserve"> </w:t>
      </w:r>
      <w:r w:rsidRPr="00232388">
        <w:t xml:space="preserve">cent </w:t>
      </w:r>
      <w:r w:rsidRPr="00232388">
        <w:rPr>
          <w:rFonts w:cstheme="minorHAnsi"/>
        </w:rPr>
        <w:t>(ACT Government, 20</w:t>
      </w:r>
      <w:r>
        <w:rPr>
          <w:rFonts w:cstheme="minorHAnsi"/>
        </w:rPr>
        <w:t>21</w:t>
      </w:r>
      <w:r w:rsidRPr="00232388">
        <w:rPr>
          <w:rFonts w:cstheme="minorHAnsi"/>
        </w:rPr>
        <w:t xml:space="preserve">, p. </w:t>
      </w:r>
      <w:r>
        <w:rPr>
          <w:rFonts w:cstheme="minorHAnsi"/>
        </w:rPr>
        <w:t>196</w:t>
      </w:r>
      <w:r w:rsidRPr="00232388">
        <w:rPr>
          <w:rFonts w:cstheme="minorHAnsi"/>
        </w:rPr>
        <w:t>)</w:t>
      </w:r>
      <w:r w:rsidRPr="00232388">
        <w:t>.</w:t>
      </w:r>
    </w:p>
    <w:p w14:paraId="78CBB9D8" w14:textId="4048B0E9" w:rsidR="002C330A" w:rsidRPr="00232388" w:rsidRDefault="002C330A" w:rsidP="002C330A">
      <w:pPr>
        <w:spacing w:before="200" w:after="200"/>
      </w:pPr>
      <w:r>
        <w:t xml:space="preserve">Commonwealth Government bond </w:t>
      </w:r>
      <w:r w:rsidRPr="00232388">
        <w:t xml:space="preserve">rates remain </w:t>
      </w:r>
      <w:r>
        <w:t>close to zero with no indication that there will be any substantial increase in the short term</w:t>
      </w:r>
      <w:r w:rsidRPr="00232388">
        <w:t>. It would, therefore, be expected that the reported superannuation liability as at 30 June 20</w:t>
      </w:r>
      <w:r>
        <w:t>21</w:t>
      </w:r>
      <w:r w:rsidRPr="00232388">
        <w:t xml:space="preserve"> will, as in 20</w:t>
      </w:r>
      <w:r>
        <w:t>20</w:t>
      </w:r>
      <w:r w:rsidRPr="00232388">
        <w:t>, be considerably higher than the figure forecast in the Budget Papers.</w:t>
      </w:r>
    </w:p>
    <w:p w14:paraId="3AA5995E" w14:textId="0744C1F7" w:rsidR="002C330A" w:rsidRPr="00232388" w:rsidRDefault="002C330A" w:rsidP="002C330A">
      <w:pPr>
        <w:spacing w:before="200" w:after="200"/>
      </w:pPr>
      <w:r w:rsidRPr="00232388">
        <w:rPr>
          <w:rFonts w:cstheme="minorHAnsi"/>
        </w:rPr>
        <w:t xml:space="preserve">Table </w:t>
      </w:r>
      <w:r>
        <w:rPr>
          <w:rFonts w:cstheme="minorHAnsi"/>
        </w:rPr>
        <w:t>J.6</w:t>
      </w:r>
      <w:r w:rsidRPr="00232388">
        <w:rPr>
          <w:rFonts w:cstheme="minorHAnsi"/>
        </w:rPr>
        <w:t xml:space="preserve"> in the Appendices to </w:t>
      </w:r>
      <w:r>
        <w:rPr>
          <w:rFonts w:cstheme="minorHAnsi"/>
        </w:rPr>
        <w:t>the Budget Outlook</w:t>
      </w:r>
      <w:r w:rsidRPr="00232388">
        <w:rPr>
          <w:rFonts w:cstheme="minorHAnsi"/>
        </w:rPr>
        <w:t xml:space="preserve"> indicates that a 1 per cent decrease in the discount rate from the long-term budget assumption of 5 per cent would increase the estimated liability by </w:t>
      </w:r>
      <w:r>
        <w:rPr>
          <w:rFonts w:cstheme="minorHAnsi"/>
        </w:rPr>
        <w:t>almost</w:t>
      </w:r>
      <w:r w:rsidRPr="00232388">
        <w:rPr>
          <w:rFonts w:cstheme="minorHAnsi"/>
        </w:rPr>
        <w:t xml:space="preserve"> $1</w:t>
      </w:r>
      <w:r>
        <w:rPr>
          <w:rFonts w:cstheme="minorHAnsi"/>
        </w:rPr>
        <w:t>.5</w:t>
      </w:r>
      <w:r w:rsidRPr="00232388">
        <w:rPr>
          <w:rFonts w:cstheme="minorHAnsi"/>
        </w:rPr>
        <w:t xml:space="preserve"> billion</w:t>
      </w:r>
      <w:r w:rsidR="00A92B50">
        <w:rPr>
          <w:rFonts w:cstheme="minorHAnsi"/>
        </w:rPr>
        <w:t xml:space="preserve"> </w:t>
      </w:r>
      <w:sdt>
        <w:sdtPr>
          <w:rPr>
            <w:rFonts w:cstheme="minorHAnsi"/>
          </w:rPr>
          <w:id w:val="374433921"/>
          <w:citation/>
        </w:sdtPr>
        <w:sdtContent>
          <w:r w:rsidR="00A92B50">
            <w:rPr>
              <w:rFonts w:cstheme="minorHAnsi"/>
            </w:rPr>
            <w:fldChar w:fldCharType="begin"/>
          </w:r>
          <w:r w:rsidR="00A92B50">
            <w:rPr>
              <w:rFonts w:cstheme="minorHAnsi"/>
            </w:rPr>
            <w:instrText xml:space="preserve">CITATION ACT21 \p 301 \t  \l 3081 </w:instrText>
          </w:r>
          <w:r w:rsidR="00A92B50">
            <w:rPr>
              <w:rFonts w:cstheme="minorHAnsi"/>
            </w:rPr>
            <w:fldChar w:fldCharType="separate"/>
          </w:r>
          <w:r w:rsidR="00A92B50" w:rsidRPr="00A92B50">
            <w:rPr>
              <w:rFonts w:cstheme="minorHAnsi"/>
              <w:noProof/>
            </w:rPr>
            <w:t>(ACT Government, 2021, p. 301)</w:t>
          </w:r>
          <w:r w:rsidR="00A92B50">
            <w:rPr>
              <w:rFonts w:cstheme="minorHAnsi"/>
            </w:rPr>
            <w:fldChar w:fldCharType="end"/>
          </w:r>
        </w:sdtContent>
      </w:sdt>
      <w:r w:rsidRPr="00232388">
        <w:t>.</w:t>
      </w:r>
    </w:p>
    <w:p w14:paraId="7DF97566" w14:textId="7B5976B6" w:rsidR="002C330A" w:rsidRPr="00232388" w:rsidRDefault="002C330A" w:rsidP="002C330A">
      <w:pPr>
        <w:pStyle w:val="Caption"/>
        <w:rPr>
          <w:rFonts w:cstheme="minorHAnsi"/>
        </w:rPr>
      </w:pPr>
      <w:bookmarkStart w:id="187" w:name="_Toc516578216"/>
      <w:bookmarkStart w:id="188" w:name="_Toc516673015"/>
      <w:bookmarkStart w:id="189" w:name="_Toc516675585"/>
      <w:bookmarkStart w:id="190" w:name="_Toc64529091"/>
      <w:r w:rsidRPr="00232388">
        <w:t xml:space="preserve">Table </w:t>
      </w:r>
      <w:r w:rsidRPr="00232388">
        <w:rPr>
          <w:noProof/>
        </w:rPr>
        <w:fldChar w:fldCharType="begin"/>
      </w:r>
      <w:r w:rsidRPr="00232388">
        <w:rPr>
          <w:noProof/>
        </w:rPr>
        <w:instrText xml:space="preserve"> SEQ Table \* ARABIC </w:instrText>
      </w:r>
      <w:r w:rsidRPr="00232388">
        <w:rPr>
          <w:noProof/>
        </w:rPr>
        <w:fldChar w:fldCharType="separate"/>
      </w:r>
      <w:r w:rsidR="00AB7125">
        <w:rPr>
          <w:noProof/>
        </w:rPr>
        <w:t>11</w:t>
      </w:r>
      <w:r w:rsidRPr="00232388">
        <w:rPr>
          <w:noProof/>
        </w:rPr>
        <w:fldChar w:fldCharType="end"/>
      </w:r>
      <w:r w:rsidRPr="00232388">
        <w:t>: Impact of a 1 percentage point</w:t>
      </w:r>
      <w:r w:rsidRPr="00232388" w:rsidDel="00DE1576">
        <w:t xml:space="preserve"> </w:t>
      </w:r>
      <w:r w:rsidRPr="00232388">
        <w:t xml:space="preserve">decrease in the discount rate on superannuation </w:t>
      </w:r>
      <w:bookmarkEnd w:id="187"/>
      <w:bookmarkEnd w:id="188"/>
      <w:bookmarkEnd w:id="189"/>
      <w:r>
        <w:t>liability</w:t>
      </w:r>
      <w:bookmarkEnd w:id="190"/>
    </w:p>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2C330A" w:rsidRPr="00232388" w14:paraId="75152390" w14:textId="77777777" w:rsidTr="0029330D">
        <w:trPr>
          <w:jc w:val="center"/>
        </w:trPr>
        <w:tc>
          <w:tcPr>
            <w:tcW w:w="4160" w:type="dxa"/>
            <w:tcBorders>
              <w:top w:val="single" w:sz="4" w:space="0" w:color="auto"/>
            </w:tcBorders>
          </w:tcPr>
          <w:p w14:paraId="6619CA7B" w14:textId="77777777" w:rsidR="002C330A" w:rsidRPr="00232388" w:rsidRDefault="002C330A" w:rsidP="0029330D">
            <w:pPr>
              <w:pStyle w:val="EmptyCell"/>
            </w:pPr>
          </w:p>
        </w:tc>
        <w:tc>
          <w:tcPr>
            <w:tcW w:w="1228" w:type="dxa"/>
            <w:tcBorders>
              <w:top w:val="single" w:sz="4" w:space="0" w:color="auto"/>
            </w:tcBorders>
          </w:tcPr>
          <w:p w14:paraId="0679B76A" w14:textId="77777777" w:rsidR="002C330A" w:rsidRPr="00232388" w:rsidRDefault="002C330A" w:rsidP="0029330D">
            <w:pPr>
              <w:pStyle w:val="BStableheading"/>
              <w:framePr w:wrap="auto" w:vAnchor="margin" w:yAlign="inline"/>
              <w:rPr>
                <w:lang w:val="en-AU"/>
              </w:rPr>
            </w:pPr>
            <w:r w:rsidRPr="00232388">
              <w:rPr>
                <w:lang w:val="en-AU"/>
              </w:rPr>
              <w:t>2020-21</w:t>
            </w:r>
          </w:p>
        </w:tc>
        <w:tc>
          <w:tcPr>
            <w:tcW w:w="1228" w:type="dxa"/>
            <w:tcBorders>
              <w:top w:val="single" w:sz="4" w:space="0" w:color="auto"/>
            </w:tcBorders>
          </w:tcPr>
          <w:p w14:paraId="067E121C" w14:textId="77777777" w:rsidR="002C330A" w:rsidRPr="00232388" w:rsidRDefault="002C330A" w:rsidP="0029330D">
            <w:pPr>
              <w:pStyle w:val="BStableheading"/>
              <w:framePr w:wrap="auto" w:vAnchor="margin" w:yAlign="inline"/>
              <w:rPr>
                <w:lang w:val="en-AU"/>
              </w:rPr>
            </w:pPr>
            <w:r w:rsidRPr="00232388">
              <w:rPr>
                <w:lang w:val="en-AU"/>
              </w:rPr>
              <w:t>2021-22</w:t>
            </w:r>
          </w:p>
        </w:tc>
        <w:tc>
          <w:tcPr>
            <w:tcW w:w="1228" w:type="dxa"/>
            <w:tcBorders>
              <w:top w:val="single" w:sz="4" w:space="0" w:color="auto"/>
            </w:tcBorders>
          </w:tcPr>
          <w:p w14:paraId="2D898348" w14:textId="77777777" w:rsidR="002C330A" w:rsidRPr="00232388" w:rsidRDefault="002C330A" w:rsidP="0029330D">
            <w:pPr>
              <w:pStyle w:val="BStableheading"/>
              <w:framePr w:wrap="auto" w:vAnchor="margin" w:yAlign="inline"/>
              <w:rPr>
                <w:lang w:val="en-AU"/>
              </w:rPr>
            </w:pPr>
            <w:r w:rsidRPr="00232388">
              <w:rPr>
                <w:lang w:val="en-AU"/>
              </w:rPr>
              <w:t>2022-23</w:t>
            </w:r>
          </w:p>
        </w:tc>
        <w:tc>
          <w:tcPr>
            <w:tcW w:w="1228" w:type="dxa"/>
            <w:tcBorders>
              <w:top w:val="single" w:sz="4" w:space="0" w:color="auto"/>
            </w:tcBorders>
          </w:tcPr>
          <w:p w14:paraId="0F7E2319" w14:textId="77777777" w:rsidR="002C330A" w:rsidRPr="00232388" w:rsidRDefault="002C330A" w:rsidP="0029330D">
            <w:pPr>
              <w:pStyle w:val="BStableheading"/>
              <w:framePr w:wrap="auto" w:vAnchor="margin" w:yAlign="inline"/>
              <w:rPr>
                <w:lang w:val="en-AU"/>
              </w:rPr>
            </w:pPr>
            <w:r w:rsidRPr="00232388">
              <w:rPr>
                <w:lang w:val="en-AU"/>
              </w:rPr>
              <w:t>202</w:t>
            </w:r>
            <w:r>
              <w:rPr>
                <w:lang w:val="en-AU"/>
              </w:rPr>
              <w:t>3</w:t>
            </w:r>
            <w:r w:rsidRPr="00232388">
              <w:rPr>
                <w:lang w:val="en-AU"/>
              </w:rPr>
              <w:t>-2</w:t>
            </w:r>
            <w:r>
              <w:rPr>
                <w:lang w:val="en-AU"/>
              </w:rPr>
              <w:t>4</w:t>
            </w:r>
          </w:p>
        </w:tc>
      </w:tr>
      <w:tr w:rsidR="002C330A" w:rsidRPr="00232388" w14:paraId="6EB8E997" w14:textId="77777777" w:rsidTr="0029330D">
        <w:trPr>
          <w:jc w:val="center"/>
        </w:trPr>
        <w:tc>
          <w:tcPr>
            <w:tcW w:w="4160" w:type="dxa"/>
            <w:tcBorders>
              <w:bottom w:val="single" w:sz="4" w:space="0" w:color="auto"/>
            </w:tcBorders>
          </w:tcPr>
          <w:p w14:paraId="47022EF8" w14:textId="77777777" w:rsidR="002C330A" w:rsidRPr="00232388" w:rsidRDefault="002C330A" w:rsidP="0029330D">
            <w:pPr>
              <w:pStyle w:val="EmptyCell"/>
            </w:pPr>
            <w:r w:rsidRPr="00232388">
              <w:t xml:space="preserve"> </w:t>
            </w:r>
          </w:p>
        </w:tc>
        <w:tc>
          <w:tcPr>
            <w:tcW w:w="1228" w:type="dxa"/>
            <w:tcBorders>
              <w:bottom w:val="single" w:sz="4" w:space="0" w:color="auto"/>
            </w:tcBorders>
          </w:tcPr>
          <w:p w14:paraId="39D0AA0C"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151872EB"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65FD4BB4"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414E2A48" w14:textId="77777777" w:rsidR="002C330A" w:rsidRPr="00232388" w:rsidRDefault="002C330A" w:rsidP="0029330D">
            <w:pPr>
              <w:pStyle w:val="BStableheading"/>
              <w:framePr w:wrap="auto" w:vAnchor="margin" w:yAlign="inline"/>
              <w:rPr>
                <w:lang w:val="en-AU"/>
              </w:rPr>
            </w:pPr>
            <w:r w:rsidRPr="00232388">
              <w:rPr>
                <w:lang w:val="en-AU"/>
              </w:rPr>
              <w:t>$’000</w:t>
            </w:r>
          </w:p>
        </w:tc>
      </w:tr>
      <w:tr w:rsidR="002C330A" w:rsidRPr="00232388" w14:paraId="0961644E" w14:textId="77777777" w:rsidTr="0029330D">
        <w:trPr>
          <w:jc w:val="center"/>
        </w:trPr>
        <w:tc>
          <w:tcPr>
            <w:tcW w:w="4160" w:type="dxa"/>
            <w:tcBorders>
              <w:bottom w:val="single" w:sz="4" w:space="0" w:color="auto"/>
            </w:tcBorders>
          </w:tcPr>
          <w:p w14:paraId="46E6331A" w14:textId="77777777" w:rsidR="002C330A" w:rsidRPr="00232388" w:rsidRDefault="002C330A" w:rsidP="0029330D">
            <w:pPr>
              <w:pStyle w:val="BStabletextunbold"/>
              <w:rPr>
                <w:lang w:eastAsia="en-AU"/>
              </w:rPr>
            </w:pPr>
            <w:r w:rsidRPr="00232388">
              <w:rPr>
                <w:lang w:eastAsia="en-AU"/>
              </w:rPr>
              <w:t xml:space="preserve">Superannuation </w:t>
            </w:r>
            <w:r>
              <w:rPr>
                <w:lang w:eastAsia="en-AU"/>
              </w:rPr>
              <w:t>Liability</w:t>
            </w:r>
          </w:p>
        </w:tc>
        <w:tc>
          <w:tcPr>
            <w:tcW w:w="1228" w:type="dxa"/>
            <w:tcBorders>
              <w:bottom w:val="single" w:sz="4" w:space="0" w:color="auto"/>
            </w:tcBorders>
          </w:tcPr>
          <w:p w14:paraId="08433FFE" w14:textId="77777777" w:rsidR="002C330A" w:rsidRPr="00232388" w:rsidRDefault="002C330A" w:rsidP="0029330D">
            <w:pPr>
              <w:pStyle w:val="BStablefiguresunbold"/>
              <w:rPr>
                <w:lang w:eastAsia="en-AU"/>
              </w:rPr>
            </w:pPr>
            <w:r w:rsidRPr="00EB1775">
              <w:t>1,457,200</w:t>
            </w:r>
          </w:p>
        </w:tc>
        <w:tc>
          <w:tcPr>
            <w:tcW w:w="1228" w:type="dxa"/>
            <w:tcBorders>
              <w:bottom w:val="single" w:sz="4" w:space="0" w:color="auto"/>
            </w:tcBorders>
          </w:tcPr>
          <w:p w14:paraId="16FABB0F" w14:textId="77777777" w:rsidR="002C330A" w:rsidRPr="00232388" w:rsidRDefault="002C330A" w:rsidP="0029330D">
            <w:pPr>
              <w:pStyle w:val="BStablefiguresunbold"/>
              <w:rPr>
                <w:lang w:eastAsia="en-AU"/>
              </w:rPr>
            </w:pPr>
            <w:r w:rsidRPr="00EB1775">
              <w:t>1,472,414</w:t>
            </w:r>
          </w:p>
        </w:tc>
        <w:tc>
          <w:tcPr>
            <w:tcW w:w="1228" w:type="dxa"/>
            <w:tcBorders>
              <w:bottom w:val="single" w:sz="4" w:space="0" w:color="auto"/>
            </w:tcBorders>
          </w:tcPr>
          <w:p w14:paraId="2BE6E260" w14:textId="77777777" w:rsidR="002C330A" w:rsidRPr="00232388" w:rsidRDefault="002C330A" w:rsidP="0029330D">
            <w:pPr>
              <w:pStyle w:val="BStablefiguresunbold"/>
              <w:rPr>
                <w:lang w:eastAsia="en-AU"/>
              </w:rPr>
            </w:pPr>
            <w:r w:rsidRPr="00EB1775">
              <w:t>1,483,438</w:t>
            </w:r>
          </w:p>
        </w:tc>
        <w:tc>
          <w:tcPr>
            <w:tcW w:w="1228" w:type="dxa"/>
            <w:tcBorders>
              <w:bottom w:val="single" w:sz="4" w:space="0" w:color="auto"/>
            </w:tcBorders>
          </w:tcPr>
          <w:p w14:paraId="538751FE" w14:textId="77777777" w:rsidR="002C330A" w:rsidRPr="00232388" w:rsidRDefault="002C330A" w:rsidP="0029330D">
            <w:pPr>
              <w:pStyle w:val="BStablefiguresunbold"/>
              <w:rPr>
                <w:lang w:eastAsia="en-AU"/>
              </w:rPr>
            </w:pPr>
            <w:r w:rsidRPr="00EB1775">
              <w:t>1,490,352</w:t>
            </w:r>
          </w:p>
        </w:tc>
      </w:tr>
    </w:tbl>
    <w:p w14:paraId="7851AE71" w14:textId="564BAB00" w:rsidR="002C330A" w:rsidRPr="00232388" w:rsidRDefault="002C330A" w:rsidP="002C330A">
      <w:pPr>
        <w:spacing w:before="0" w:after="40"/>
        <w:rPr>
          <w:sz w:val="20"/>
          <w:szCs w:val="20"/>
        </w:rPr>
      </w:pPr>
      <w:r w:rsidRPr="00232388">
        <w:rPr>
          <w:sz w:val="20"/>
          <w:szCs w:val="20"/>
        </w:rPr>
        <w:t xml:space="preserve">Source: </w:t>
      </w:r>
      <w:r w:rsidRPr="00232388">
        <w:rPr>
          <w:noProof/>
          <w:sz w:val="20"/>
          <w:szCs w:val="20"/>
          <w:lang w:val="en-NZ"/>
        </w:rPr>
        <w:t xml:space="preserve">ACT Government </w:t>
      </w:r>
      <w:r w:rsidR="00317405">
        <w:rPr>
          <w:noProof/>
          <w:sz w:val="20"/>
          <w:szCs w:val="20"/>
          <w:lang w:val="en-NZ"/>
        </w:rPr>
        <w:t>(</w:t>
      </w:r>
      <w:r w:rsidRPr="00232388">
        <w:rPr>
          <w:noProof/>
          <w:sz w:val="20"/>
          <w:szCs w:val="20"/>
          <w:lang w:val="en-NZ"/>
        </w:rPr>
        <w:t>20</w:t>
      </w:r>
      <w:r>
        <w:rPr>
          <w:noProof/>
          <w:sz w:val="20"/>
          <w:szCs w:val="20"/>
          <w:lang w:val="en-NZ"/>
        </w:rPr>
        <w:t>21</w:t>
      </w:r>
      <w:r w:rsidRPr="00232388">
        <w:rPr>
          <w:noProof/>
          <w:sz w:val="20"/>
          <w:szCs w:val="20"/>
          <w:lang w:val="en-NZ"/>
        </w:rPr>
        <w:t xml:space="preserve">, p. </w:t>
      </w:r>
      <w:r>
        <w:rPr>
          <w:noProof/>
          <w:sz w:val="20"/>
          <w:szCs w:val="20"/>
          <w:lang w:val="en-NZ"/>
        </w:rPr>
        <w:t>303</w:t>
      </w:r>
      <w:r w:rsidRPr="00232388">
        <w:rPr>
          <w:noProof/>
          <w:sz w:val="20"/>
          <w:szCs w:val="20"/>
          <w:lang w:val="en-NZ"/>
        </w:rPr>
        <w:t>)</w:t>
      </w:r>
      <w:r w:rsidRPr="00232388">
        <w:rPr>
          <w:sz w:val="20"/>
          <w:szCs w:val="20"/>
        </w:rPr>
        <w:t xml:space="preserve"> </w:t>
      </w:r>
    </w:p>
    <w:p w14:paraId="709E2866" w14:textId="2C2C4452" w:rsidR="002C330A" w:rsidRDefault="002C330A" w:rsidP="002C330A">
      <w:pPr>
        <w:spacing w:before="200" w:after="200"/>
      </w:pPr>
      <w:r w:rsidRPr="00232388">
        <w:t xml:space="preserve">The lower discount rate will also have an impact on the service cost, which would be expected to be somewhat higher, with an offsetting reduction in the interest cost. Based on the figures reported in </w:t>
      </w:r>
      <w:r>
        <w:t>the Budget Outlook</w:t>
      </w:r>
      <w:r w:rsidRPr="00232388">
        <w:t xml:space="preserve"> </w:t>
      </w:r>
      <w:r w:rsidRPr="00232388">
        <w:rPr>
          <w:rFonts w:cstheme="minorHAnsi"/>
        </w:rPr>
        <w:t>(ACT Government, 20</w:t>
      </w:r>
      <w:r>
        <w:rPr>
          <w:rFonts w:cstheme="minorHAnsi"/>
        </w:rPr>
        <w:t>21</w:t>
      </w:r>
      <w:r w:rsidRPr="00232388">
        <w:rPr>
          <w:rFonts w:cstheme="minorHAnsi"/>
        </w:rPr>
        <w:t>, p. 30</w:t>
      </w:r>
      <w:r>
        <w:rPr>
          <w:rFonts w:cstheme="minorHAnsi"/>
        </w:rPr>
        <w:t>3</w:t>
      </w:r>
      <w:r w:rsidRPr="00232388">
        <w:rPr>
          <w:rFonts w:cstheme="minorHAnsi"/>
        </w:rPr>
        <w:t>)</w:t>
      </w:r>
      <w:r w:rsidRPr="00232388">
        <w:t xml:space="preserve">, the net effect of these adjustments to the </w:t>
      </w:r>
      <w:r w:rsidRPr="00232388">
        <w:lastRenderedPageBreak/>
        <w:t xml:space="preserve">service and interest costs </w:t>
      </w:r>
      <w:r>
        <w:t xml:space="preserve">is a small increase in the superannuation expense as shown in </w:t>
      </w:r>
      <w:r w:rsidRPr="00317405">
        <w:t>Table</w:t>
      </w:r>
      <w:r w:rsidR="00317405">
        <w:t xml:space="preserve"> 12</w:t>
      </w:r>
      <w:r>
        <w:t xml:space="preserve"> below. This contrasts with the 2019-20 Budget where the net effect was a small decrease in the superannuation expense. It is not clear why the impact has reversed. </w:t>
      </w:r>
      <w:r w:rsidRPr="00232388">
        <w:t xml:space="preserve">However, </w:t>
      </w:r>
      <w:r>
        <w:t xml:space="preserve">the changes in the superannuation expense are not material in the context of the overall liability. </w:t>
      </w:r>
    </w:p>
    <w:p w14:paraId="7E80BAED" w14:textId="7954F049" w:rsidR="002C330A" w:rsidRPr="00232388" w:rsidRDefault="002C330A" w:rsidP="002C330A">
      <w:pPr>
        <w:pStyle w:val="Caption"/>
      </w:pPr>
      <w:bookmarkStart w:id="191" w:name="_Toc64529092"/>
      <w:r w:rsidRPr="00232388">
        <w:t xml:space="preserve">Table </w:t>
      </w:r>
      <w:fldSimple w:instr=" SEQ Table \* ARABIC ">
        <w:r w:rsidR="00AB7125">
          <w:rPr>
            <w:noProof/>
          </w:rPr>
          <w:t>12</w:t>
        </w:r>
      </w:fldSimple>
      <w:r w:rsidRPr="00232388">
        <w:t>: Impact of a 1 percentage point</w:t>
      </w:r>
      <w:r w:rsidRPr="00232388" w:rsidDel="00DE1576">
        <w:t xml:space="preserve"> </w:t>
      </w:r>
      <w:r w:rsidRPr="00232388">
        <w:t>decrease in the discount rate on superannuation expense</w:t>
      </w:r>
      <w:bookmarkEnd w:id="191"/>
    </w:p>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2C330A" w:rsidRPr="00232388" w14:paraId="08968417" w14:textId="77777777" w:rsidTr="0029330D">
        <w:trPr>
          <w:jc w:val="center"/>
        </w:trPr>
        <w:tc>
          <w:tcPr>
            <w:tcW w:w="4160" w:type="dxa"/>
            <w:tcBorders>
              <w:top w:val="single" w:sz="4" w:space="0" w:color="auto"/>
            </w:tcBorders>
          </w:tcPr>
          <w:p w14:paraId="2B900944" w14:textId="77777777" w:rsidR="002C330A" w:rsidRPr="00232388" w:rsidRDefault="002C330A" w:rsidP="0029330D">
            <w:pPr>
              <w:pStyle w:val="EmptyCell"/>
            </w:pPr>
          </w:p>
        </w:tc>
        <w:tc>
          <w:tcPr>
            <w:tcW w:w="1228" w:type="dxa"/>
            <w:tcBorders>
              <w:top w:val="single" w:sz="4" w:space="0" w:color="auto"/>
            </w:tcBorders>
          </w:tcPr>
          <w:p w14:paraId="4FC03039" w14:textId="77777777" w:rsidR="002C330A" w:rsidRPr="00232388" w:rsidRDefault="002C330A" w:rsidP="0029330D">
            <w:pPr>
              <w:pStyle w:val="BStableheading"/>
              <w:framePr w:wrap="auto" w:vAnchor="margin" w:yAlign="inline"/>
              <w:rPr>
                <w:lang w:val="en-AU"/>
              </w:rPr>
            </w:pPr>
            <w:r w:rsidRPr="00232388">
              <w:rPr>
                <w:lang w:val="en-AU"/>
              </w:rPr>
              <w:t>2020-21</w:t>
            </w:r>
          </w:p>
        </w:tc>
        <w:tc>
          <w:tcPr>
            <w:tcW w:w="1228" w:type="dxa"/>
            <w:tcBorders>
              <w:top w:val="single" w:sz="4" w:space="0" w:color="auto"/>
            </w:tcBorders>
          </w:tcPr>
          <w:p w14:paraId="1B06CF3B" w14:textId="77777777" w:rsidR="002C330A" w:rsidRPr="00232388" w:rsidRDefault="002C330A" w:rsidP="0029330D">
            <w:pPr>
              <w:pStyle w:val="BStableheading"/>
              <w:framePr w:wrap="auto" w:vAnchor="margin" w:yAlign="inline"/>
              <w:rPr>
                <w:lang w:val="en-AU"/>
              </w:rPr>
            </w:pPr>
            <w:r w:rsidRPr="00232388">
              <w:rPr>
                <w:lang w:val="en-AU"/>
              </w:rPr>
              <w:t>2021-22</w:t>
            </w:r>
          </w:p>
        </w:tc>
        <w:tc>
          <w:tcPr>
            <w:tcW w:w="1228" w:type="dxa"/>
            <w:tcBorders>
              <w:top w:val="single" w:sz="4" w:space="0" w:color="auto"/>
            </w:tcBorders>
          </w:tcPr>
          <w:p w14:paraId="6F48B9B6" w14:textId="77777777" w:rsidR="002C330A" w:rsidRPr="00232388" w:rsidRDefault="002C330A" w:rsidP="0029330D">
            <w:pPr>
              <w:pStyle w:val="BStableheading"/>
              <w:framePr w:wrap="auto" w:vAnchor="margin" w:yAlign="inline"/>
              <w:rPr>
                <w:lang w:val="en-AU"/>
              </w:rPr>
            </w:pPr>
            <w:r w:rsidRPr="00232388">
              <w:rPr>
                <w:lang w:val="en-AU"/>
              </w:rPr>
              <w:t>2022-23</w:t>
            </w:r>
          </w:p>
        </w:tc>
        <w:tc>
          <w:tcPr>
            <w:tcW w:w="1228" w:type="dxa"/>
            <w:tcBorders>
              <w:top w:val="single" w:sz="4" w:space="0" w:color="auto"/>
            </w:tcBorders>
          </w:tcPr>
          <w:p w14:paraId="54096C8F" w14:textId="77777777" w:rsidR="002C330A" w:rsidRPr="00232388" w:rsidRDefault="002C330A" w:rsidP="0029330D">
            <w:pPr>
              <w:pStyle w:val="BStableheading"/>
              <w:framePr w:wrap="auto" w:vAnchor="margin" w:yAlign="inline"/>
              <w:rPr>
                <w:lang w:val="en-AU"/>
              </w:rPr>
            </w:pPr>
            <w:r w:rsidRPr="00232388">
              <w:rPr>
                <w:lang w:val="en-AU"/>
              </w:rPr>
              <w:t>202</w:t>
            </w:r>
            <w:r>
              <w:rPr>
                <w:lang w:val="en-AU"/>
              </w:rPr>
              <w:t>3</w:t>
            </w:r>
            <w:r w:rsidRPr="00232388">
              <w:rPr>
                <w:lang w:val="en-AU"/>
              </w:rPr>
              <w:t>-2</w:t>
            </w:r>
            <w:r>
              <w:rPr>
                <w:lang w:val="en-AU"/>
              </w:rPr>
              <w:t>4</w:t>
            </w:r>
          </w:p>
        </w:tc>
      </w:tr>
      <w:tr w:rsidR="002C330A" w:rsidRPr="00232388" w14:paraId="29DF0797" w14:textId="77777777" w:rsidTr="0029330D">
        <w:trPr>
          <w:jc w:val="center"/>
        </w:trPr>
        <w:tc>
          <w:tcPr>
            <w:tcW w:w="4160" w:type="dxa"/>
            <w:tcBorders>
              <w:bottom w:val="single" w:sz="4" w:space="0" w:color="auto"/>
            </w:tcBorders>
          </w:tcPr>
          <w:p w14:paraId="11562D8A" w14:textId="77777777" w:rsidR="002C330A" w:rsidRPr="00232388" w:rsidRDefault="002C330A" w:rsidP="0029330D">
            <w:pPr>
              <w:pStyle w:val="EmptyCell"/>
            </w:pPr>
            <w:r w:rsidRPr="00232388">
              <w:t xml:space="preserve"> </w:t>
            </w:r>
          </w:p>
        </w:tc>
        <w:tc>
          <w:tcPr>
            <w:tcW w:w="1228" w:type="dxa"/>
            <w:tcBorders>
              <w:bottom w:val="single" w:sz="4" w:space="0" w:color="auto"/>
            </w:tcBorders>
          </w:tcPr>
          <w:p w14:paraId="321DD00A"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3CC2DF5B"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1AFF8A17" w14:textId="77777777" w:rsidR="002C330A" w:rsidRPr="00232388" w:rsidRDefault="002C330A" w:rsidP="0029330D">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58615AA3" w14:textId="77777777" w:rsidR="002C330A" w:rsidRPr="00232388" w:rsidRDefault="002C330A" w:rsidP="0029330D">
            <w:pPr>
              <w:pStyle w:val="BStableheading"/>
              <w:framePr w:wrap="auto" w:vAnchor="margin" w:yAlign="inline"/>
              <w:rPr>
                <w:lang w:val="en-AU"/>
              </w:rPr>
            </w:pPr>
            <w:r w:rsidRPr="00232388">
              <w:rPr>
                <w:lang w:val="en-AU"/>
              </w:rPr>
              <w:t>$’000</w:t>
            </w:r>
          </w:p>
        </w:tc>
      </w:tr>
      <w:tr w:rsidR="002C330A" w:rsidRPr="00232388" w14:paraId="308712AC" w14:textId="77777777" w:rsidTr="0029330D">
        <w:trPr>
          <w:jc w:val="center"/>
        </w:trPr>
        <w:tc>
          <w:tcPr>
            <w:tcW w:w="4160" w:type="dxa"/>
            <w:tcBorders>
              <w:bottom w:val="single" w:sz="4" w:space="0" w:color="auto"/>
            </w:tcBorders>
          </w:tcPr>
          <w:p w14:paraId="6C3306AB" w14:textId="77777777" w:rsidR="002C330A" w:rsidRPr="00232388" w:rsidRDefault="002C330A" w:rsidP="0029330D">
            <w:pPr>
              <w:pStyle w:val="BStabletextunbold"/>
              <w:rPr>
                <w:lang w:eastAsia="en-AU"/>
              </w:rPr>
            </w:pPr>
            <w:r w:rsidRPr="00232388">
              <w:rPr>
                <w:lang w:eastAsia="en-AU"/>
              </w:rPr>
              <w:t xml:space="preserve">Superannuation </w:t>
            </w:r>
            <w:r>
              <w:rPr>
                <w:lang w:eastAsia="en-AU"/>
              </w:rPr>
              <w:t>Expense</w:t>
            </w:r>
          </w:p>
        </w:tc>
        <w:tc>
          <w:tcPr>
            <w:tcW w:w="1228" w:type="dxa"/>
            <w:tcBorders>
              <w:bottom w:val="single" w:sz="4" w:space="0" w:color="auto"/>
            </w:tcBorders>
          </w:tcPr>
          <w:p w14:paraId="7C93ADA7" w14:textId="77777777" w:rsidR="002C330A" w:rsidRPr="00232388" w:rsidRDefault="002C330A" w:rsidP="0029330D">
            <w:pPr>
              <w:pStyle w:val="BStablefiguresunbold"/>
              <w:rPr>
                <w:lang w:eastAsia="en-AU"/>
              </w:rPr>
            </w:pPr>
            <w:r w:rsidRPr="00EB1775">
              <w:t>19,634</w:t>
            </w:r>
          </w:p>
        </w:tc>
        <w:tc>
          <w:tcPr>
            <w:tcW w:w="1228" w:type="dxa"/>
            <w:tcBorders>
              <w:bottom w:val="single" w:sz="4" w:space="0" w:color="auto"/>
            </w:tcBorders>
          </w:tcPr>
          <w:p w14:paraId="4879D049" w14:textId="77777777" w:rsidR="002C330A" w:rsidRPr="00232388" w:rsidRDefault="002C330A" w:rsidP="0029330D">
            <w:pPr>
              <w:pStyle w:val="BStablefiguresunbold"/>
              <w:rPr>
                <w:lang w:eastAsia="en-AU"/>
              </w:rPr>
            </w:pPr>
            <w:r w:rsidRPr="00EB1775">
              <w:t>15,473</w:t>
            </w:r>
          </w:p>
        </w:tc>
        <w:tc>
          <w:tcPr>
            <w:tcW w:w="1228" w:type="dxa"/>
            <w:tcBorders>
              <w:bottom w:val="single" w:sz="4" w:space="0" w:color="auto"/>
            </w:tcBorders>
          </w:tcPr>
          <w:p w14:paraId="04385AAA" w14:textId="77777777" w:rsidR="002C330A" w:rsidRPr="00232388" w:rsidRDefault="002C330A" w:rsidP="0029330D">
            <w:pPr>
              <w:pStyle w:val="BStablefiguresunbold"/>
              <w:rPr>
                <w:lang w:eastAsia="en-AU"/>
              </w:rPr>
            </w:pPr>
            <w:r w:rsidRPr="00EB1775">
              <w:t>11,511</w:t>
            </w:r>
          </w:p>
        </w:tc>
        <w:tc>
          <w:tcPr>
            <w:tcW w:w="1228" w:type="dxa"/>
            <w:tcBorders>
              <w:bottom w:val="single" w:sz="4" w:space="0" w:color="auto"/>
            </w:tcBorders>
          </w:tcPr>
          <w:p w14:paraId="00FACC95" w14:textId="77777777" w:rsidR="002C330A" w:rsidRPr="00232388" w:rsidRDefault="002C330A" w:rsidP="0029330D">
            <w:pPr>
              <w:pStyle w:val="BStablefiguresunbold"/>
              <w:rPr>
                <w:lang w:eastAsia="en-AU"/>
              </w:rPr>
            </w:pPr>
            <w:r w:rsidRPr="00EB1775">
              <w:t>7,686</w:t>
            </w:r>
          </w:p>
        </w:tc>
      </w:tr>
    </w:tbl>
    <w:p w14:paraId="48E42036" w14:textId="77777777" w:rsidR="002C330A" w:rsidRPr="00232388" w:rsidRDefault="002C330A" w:rsidP="002C330A">
      <w:pPr>
        <w:spacing w:before="0" w:after="40"/>
        <w:rPr>
          <w:sz w:val="20"/>
          <w:szCs w:val="20"/>
        </w:rPr>
      </w:pPr>
      <w:r w:rsidRPr="00232388">
        <w:rPr>
          <w:sz w:val="20"/>
          <w:szCs w:val="20"/>
        </w:rPr>
        <w:t xml:space="preserve">Source: </w:t>
      </w:r>
      <w:r w:rsidRPr="00232388">
        <w:rPr>
          <w:rFonts w:cstheme="minorHAnsi"/>
          <w:sz w:val="20"/>
        </w:rPr>
        <w:t>(</w:t>
      </w:r>
      <w:r w:rsidRPr="00232388">
        <w:rPr>
          <w:noProof/>
          <w:sz w:val="20"/>
          <w:szCs w:val="20"/>
          <w:lang w:val="en-NZ"/>
        </w:rPr>
        <w:t>ACT Government, 20</w:t>
      </w:r>
      <w:r>
        <w:rPr>
          <w:noProof/>
          <w:sz w:val="20"/>
          <w:szCs w:val="20"/>
          <w:lang w:val="en-NZ"/>
        </w:rPr>
        <w:t>21</w:t>
      </w:r>
      <w:r w:rsidRPr="00232388">
        <w:rPr>
          <w:noProof/>
          <w:sz w:val="20"/>
          <w:szCs w:val="20"/>
          <w:lang w:val="en-NZ"/>
        </w:rPr>
        <w:t xml:space="preserve">, p. </w:t>
      </w:r>
      <w:r>
        <w:rPr>
          <w:noProof/>
          <w:sz w:val="20"/>
          <w:szCs w:val="20"/>
          <w:lang w:val="en-NZ"/>
        </w:rPr>
        <w:t>303</w:t>
      </w:r>
      <w:r w:rsidRPr="00232388">
        <w:rPr>
          <w:noProof/>
          <w:sz w:val="20"/>
          <w:szCs w:val="20"/>
          <w:lang w:val="en-NZ"/>
        </w:rPr>
        <w:t>)</w:t>
      </w:r>
      <w:r w:rsidRPr="00232388">
        <w:rPr>
          <w:sz w:val="20"/>
          <w:szCs w:val="20"/>
        </w:rPr>
        <w:t xml:space="preserve"> </w:t>
      </w:r>
    </w:p>
    <w:p w14:paraId="72B480C8" w14:textId="3B2D088D" w:rsidR="002C330A" w:rsidRPr="00232388" w:rsidRDefault="002C330A" w:rsidP="002C330A">
      <w:pPr>
        <w:spacing w:before="200" w:after="200"/>
      </w:pPr>
      <w:r>
        <w:t>T</w:t>
      </w:r>
      <w:r w:rsidRPr="00232388">
        <w:t xml:space="preserve">he application of a higher discount rate to the Budget estimate of the Territory’s superannuation liabilities will generally have the effect of decreasing the estimate of the superannuation liability and service costs. There is thus a trade-off between achieving consistency between </w:t>
      </w:r>
      <w:r w:rsidR="00331AFD">
        <w:t>B</w:t>
      </w:r>
      <w:r w:rsidRPr="00232388">
        <w:t>udget and forward year figures and the need for a subsequent revision of the estimates when the final outcome for the year is known.</w:t>
      </w:r>
    </w:p>
    <w:p w14:paraId="11BD73FE" w14:textId="2EAA9176" w:rsidR="002C330A" w:rsidRDefault="002C330A" w:rsidP="002C330A">
      <w:pPr>
        <w:spacing w:before="200" w:after="200"/>
      </w:pPr>
      <w:r w:rsidRPr="00232388">
        <w:t xml:space="preserve">Further discussion of the impact of the changes in the superannuation liability are provided in section </w:t>
      </w:r>
      <w:r w:rsidR="00331AFD">
        <w:t>7</w:t>
      </w:r>
      <w:r w:rsidRPr="00232388">
        <w:t>.5 on superannuation liabilities and section 3.3 on balance sheet measures of the fiscal position.</w:t>
      </w:r>
      <w:r>
        <w:t xml:space="preserve"> </w:t>
      </w:r>
    </w:p>
    <w:p w14:paraId="1109259E" w14:textId="3277ED1B" w:rsidR="003F0A28" w:rsidRDefault="00E81ABF">
      <w:pPr>
        <w:pStyle w:val="Heading2"/>
      </w:pPr>
      <w:bookmarkStart w:id="192" w:name="_Toc516675567"/>
      <w:bookmarkStart w:id="193" w:name="_Toc64529066"/>
      <w:r w:rsidRPr="00EA67B3">
        <w:t>9</w:t>
      </w:r>
      <w:r w:rsidR="0090518A" w:rsidRPr="00EA67B3">
        <w:t>.</w:t>
      </w:r>
      <w:r w:rsidR="006B386E" w:rsidRPr="00EA67B3">
        <w:t>5</w:t>
      </w:r>
      <w:r w:rsidR="0090518A" w:rsidRPr="00EA67B3">
        <w:tab/>
        <w:t>Public Private Partnerships</w:t>
      </w:r>
      <w:bookmarkEnd w:id="192"/>
      <w:bookmarkEnd w:id="193"/>
      <w:r w:rsidR="0090518A" w:rsidRPr="005675A0">
        <w:t xml:space="preserve"> </w:t>
      </w:r>
    </w:p>
    <w:p w14:paraId="28995382" w14:textId="1C9DA2DB" w:rsidR="006B386E" w:rsidRPr="006B386E" w:rsidRDefault="006B386E" w:rsidP="006B386E">
      <w:pPr>
        <w:spacing w:before="200" w:after="200"/>
        <w:rPr>
          <w:rFonts w:cstheme="minorHAnsi"/>
          <w:lang w:val="en-NZ"/>
        </w:rPr>
      </w:pPr>
      <w:r>
        <w:t xml:space="preserve">The ACT Government </w:t>
      </w:r>
      <w:sdt>
        <w:sdtPr>
          <w:id w:val="-1935732390"/>
          <w:citation/>
        </w:sdtPr>
        <w:sdtContent>
          <w:r>
            <w:fldChar w:fldCharType="begin"/>
          </w:r>
          <w:r w:rsidR="00DA22D6">
            <w:instrText xml:space="preserve">CITATION ACT21 \p 277-278 \n  \t  \l 3081 </w:instrText>
          </w:r>
          <w:r>
            <w:fldChar w:fldCharType="separate"/>
          </w:r>
          <w:r w:rsidR="00DA22D6">
            <w:rPr>
              <w:noProof/>
            </w:rPr>
            <w:t>(2021, pp. 277-278)</w:t>
          </w:r>
          <w:r>
            <w:fldChar w:fldCharType="end"/>
          </w:r>
        </w:sdtContent>
      </w:sdt>
      <w:r>
        <w:t xml:space="preserve"> is currently engaged in two Public Private Partnerships (PPP) projects: the ACT Law Courts Facilities, and Light Rail Stage</w:t>
      </w:r>
      <w:r>
        <w:rPr>
          <w:rFonts w:cstheme="minorHAnsi"/>
          <w:lang w:val="en-NZ"/>
        </w:rPr>
        <w:t xml:space="preserve"> 1.</w:t>
      </w:r>
    </w:p>
    <w:p w14:paraId="1D256E48" w14:textId="3A4BF640" w:rsidR="006B386E" w:rsidRDefault="006B386E" w:rsidP="006B386E">
      <w:pPr>
        <w:rPr>
          <w:rFonts w:cstheme="minorHAnsi"/>
          <w:lang w:val="en-US"/>
        </w:rPr>
      </w:pPr>
      <w:r>
        <w:rPr>
          <w:rFonts w:cstheme="minorHAnsi"/>
          <w:lang w:val="en-US"/>
        </w:rPr>
        <w:t xml:space="preserve">The Committee would be aware that the ACT Government has adopted an accounting policy for these projects that results in their being accounted for as leases on a risk and rewards approach </w:t>
      </w:r>
      <w:sdt>
        <w:sdtPr>
          <w:rPr>
            <w:rFonts w:cstheme="minorHAnsi"/>
            <w:lang w:val="en-US"/>
          </w:rPr>
          <w:id w:val="254867189"/>
          <w:citation/>
        </w:sdtPr>
        <w:sdtContent>
          <w:r>
            <w:rPr>
              <w:rFonts w:cstheme="minorHAnsi"/>
              <w:lang w:val="en-US"/>
            </w:rPr>
            <w:fldChar w:fldCharType="begin"/>
          </w:r>
          <w:r>
            <w:rPr>
              <w:rFonts w:cstheme="minorHAnsi"/>
            </w:rPr>
            <w:instrText xml:space="preserve">CITATION ACT19 \p 349 \t  \l 3081 </w:instrText>
          </w:r>
          <w:r>
            <w:rPr>
              <w:rFonts w:cstheme="minorHAnsi"/>
              <w:lang w:val="en-US"/>
            </w:rPr>
            <w:fldChar w:fldCharType="separate"/>
          </w:r>
          <w:r>
            <w:rPr>
              <w:rFonts w:cstheme="minorHAnsi"/>
              <w:noProof/>
            </w:rPr>
            <w:t>(ACT Government, 2019, p. 349)</w:t>
          </w:r>
          <w:r>
            <w:rPr>
              <w:rFonts w:cstheme="minorHAnsi"/>
              <w:lang w:val="en-US"/>
            </w:rPr>
            <w:fldChar w:fldCharType="end"/>
          </w:r>
        </w:sdtContent>
      </w:sdt>
      <w:r>
        <w:rPr>
          <w:rFonts w:cstheme="minorHAnsi"/>
          <w:lang w:val="en-US"/>
        </w:rPr>
        <w:t xml:space="preserve">. The treatment of these projects as leases impacts on the way they are described in the </w:t>
      </w:r>
      <w:r w:rsidR="00331AFD">
        <w:rPr>
          <w:rFonts w:cstheme="minorHAnsi"/>
          <w:lang w:val="en-US"/>
        </w:rPr>
        <w:t>B</w:t>
      </w:r>
      <w:r>
        <w:rPr>
          <w:rFonts w:cstheme="minorHAnsi"/>
          <w:lang w:val="en-US"/>
        </w:rPr>
        <w:t>udget.</w:t>
      </w:r>
    </w:p>
    <w:p w14:paraId="400481A5" w14:textId="77777777" w:rsidR="006B386E" w:rsidRDefault="006B386E" w:rsidP="006B386E">
      <w:pPr>
        <w:rPr>
          <w:rFonts w:cstheme="minorHAnsi"/>
          <w:lang w:val="en-US"/>
        </w:rPr>
      </w:pPr>
      <w:r>
        <w:rPr>
          <w:rFonts w:cstheme="minorHAnsi"/>
          <w:lang w:val="en-US"/>
        </w:rPr>
        <w:t>The value of the leased assets, and the corresponding lease liabilities, are recognised in the balance sheet at the commencement of the lease term, which will be when the assets are ready for the provision of services. The ACT Government’s initial direct costs are capitalised when incurred and will be added to the final lease assets at the commencement of the lease term.</w:t>
      </w:r>
    </w:p>
    <w:p w14:paraId="07EE6758" w14:textId="67DD347C" w:rsidR="006B386E" w:rsidRDefault="006B386E" w:rsidP="006B386E">
      <w:pPr>
        <w:rPr>
          <w:rFonts w:cstheme="minorHAnsi"/>
          <w:lang w:val="en-US"/>
        </w:rPr>
      </w:pPr>
      <w:r>
        <w:rPr>
          <w:rFonts w:cstheme="minorHAnsi"/>
          <w:lang w:val="en-US"/>
        </w:rPr>
        <w:t xml:space="preserve">It is noted that Light Rail-Stage 1 commenced services on 20 April 2019 and that lease assets, liabilities, maintenance costs and service payments have been accounted for in the </w:t>
      </w:r>
      <w:r w:rsidR="00331AFD">
        <w:rPr>
          <w:rFonts w:cstheme="minorHAnsi"/>
          <w:lang w:val="en-US"/>
        </w:rPr>
        <w:t>B</w:t>
      </w:r>
      <w:r>
        <w:rPr>
          <w:rFonts w:cstheme="minorHAnsi"/>
          <w:lang w:val="en-US"/>
        </w:rPr>
        <w:t xml:space="preserve">udget financial statements for the </w:t>
      </w:r>
      <w:r w:rsidR="00331AFD">
        <w:rPr>
          <w:rFonts w:cstheme="minorHAnsi"/>
          <w:lang w:val="en-US"/>
        </w:rPr>
        <w:t>B</w:t>
      </w:r>
      <w:r>
        <w:rPr>
          <w:rFonts w:cstheme="minorHAnsi"/>
          <w:lang w:val="en-US"/>
        </w:rPr>
        <w:t>udget and forward years.</w:t>
      </w:r>
    </w:p>
    <w:p w14:paraId="5FFF4A9F" w14:textId="2C336C23" w:rsidR="006B386E" w:rsidRDefault="006B386E" w:rsidP="006B386E">
      <w:pPr>
        <w:rPr>
          <w:rFonts w:cstheme="minorHAnsi"/>
          <w:lang w:val="en-US"/>
        </w:rPr>
      </w:pPr>
      <w:r>
        <w:rPr>
          <w:rFonts w:cstheme="minorHAnsi"/>
          <w:lang w:val="en-US"/>
        </w:rPr>
        <w:t>At the end of the construction contracts, the infrastructure will become ACT assets. This is taken to mean that once the projects are operational, the infrastructure is owned by the Territory. It is noted that Light Rail – Stage 1 is operational.</w:t>
      </w:r>
    </w:p>
    <w:p w14:paraId="5FDEA3AE" w14:textId="46D7D2B1" w:rsidR="006B386E" w:rsidRDefault="006B386E" w:rsidP="006B386E">
      <w:pPr>
        <w:rPr>
          <w:rFonts w:cstheme="minorHAnsi"/>
          <w:lang w:val="en-US"/>
        </w:rPr>
      </w:pPr>
      <w:r>
        <w:rPr>
          <w:rFonts w:cstheme="minorHAnsi"/>
          <w:lang w:val="en-US"/>
        </w:rPr>
        <w:t xml:space="preserve">Appendix G also indicates that similar to other Australian jurisdictions, a United Kingdom accounting standard and application note has been adopted </w:t>
      </w:r>
      <w:sdt>
        <w:sdtPr>
          <w:rPr>
            <w:rFonts w:cstheme="minorHAnsi"/>
            <w:lang w:val="en-US"/>
          </w:rPr>
          <w:id w:val="1352450679"/>
          <w:citation/>
        </w:sdtPr>
        <w:sdtContent>
          <w:r w:rsidR="00A443CD">
            <w:rPr>
              <w:rFonts w:cstheme="minorHAnsi"/>
              <w:lang w:val="en-US"/>
            </w:rPr>
            <w:fldChar w:fldCharType="begin"/>
          </w:r>
          <w:r w:rsidR="00DA22D6">
            <w:rPr>
              <w:rFonts w:cstheme="minorHAnsi"/>
            </w:rPr>
            <w:instrText xml:space="preserve">CITATION ACT21 \p 277 \t  \l 3081 </w:instrText>
          </w:r>
          <w:r w:rsidR="00A443CD">
            <w:rPr>
              <w:rFonts w:cstheme="minorHAnsi"/>
              <w:lang w:val="en-US"/>
            </w:rPr>
            <w:fldChar w:fldCharType="separate"/>
          </w:r>
          <w:r w:rsidR="00DA22D6" w:rsidRPr="00DA22D6">
            <w:rPr>
              <w:rFonts w:cstheme="minorHAnsi"/>
              <w:noProof/>
            </w:rPr>
            <w:t>(ACT Government, 2021, p. 277)</w:t>
          </w:r>
          <w:r w:rsidR="00A443CD">
            <w:rPr>
              <w:rFonts w:cstheme="minorHAnsi"/>
              <w:lang w:val="en-US"/>
            </w:rPr>
            <w:fldChar w:fldCharType="end"/>
          </w:r>
        </w:sdtContent>
      </w:sdt>
      <w:r>
        <w:rPr>
          <w:rFonts w:cstheme="minorHAnsi"/>
          <w:lang w:val="en-US"/>
        </w:rPr>
        <w:t xml:space="preserve">. This particular standard treats such arrangements as leases. Appendix G acknowledges the existence of Australia’s new leases accounting standard, AASB 16 </w:t>
      </w:r>
      <w:r w:rsidRPr="00A443CD">
        <w:rPr>
          <w:rFonts w:cstheme="minorHAnsi"/>
          <w:i/>
          <w:iCs/>
          <w:lang w:val="en-US"/>
        </w:rPr>
        <w:t>Leases</w:t>
      </w:r>
      <w:r>
        <w:rPr>
          <w:rFonts w:cstheme="minorHAnsi"/>
          <w:lang w:val="en-US"/>
        </w:rPr>
        <w:t>, indicating the existing treatment complies with the new leases accounting arrangements</w:t>
      </w:r>
      <w:r w:rsidR="00A443CD">
        <w:rPr>
          <w:rFonts w:cstheme="minorHAnsi"/>
          <w:lang w:val="en-US"/>
        </w:rPr>
        <w:t xml:space="preserve"> </w:t>
      </w:r>
      <w:sdt>
        <w:sdtPr>
          <w:rPr>
            <w:rFonts w:cstheme="minorHAnsi"/>
            <w:lang w:val="en-US"/>
          </w:rPr>
          <w:id w:val="-1643338395"/>
          <w:citation/>
        </w:sdtPr>
        <w:sdtContent>
          <w:r w:rsidR="00A443CD">
            <w:rPr>
              <w:rFonts w:cstheme="minorHAnsi"/>
              <w:lang w:val="en-US"/>
            </w:rPr>
            <w:fldChar w:fldCharType="begin"/>
          </w:r>
          <w:r w:rsidR="00DA22D6">
            <w:rPr>
              <w:rFonts w:cstheme="minorHAnsi"/>
            </w:rPr>
            <w:instrText xml:space="preserve">CITATION ACT21 \p 277 \t  \l 3081 </w:instrText>
          </w:r>
          <w:r w:rsidR="00A443CD">
            <w:rPr>
              <w:rFonts w:cstheme="minorHAnsi"/>
              <w:lang w:val="en-US"/>
            </w:rPr>
            <w:fldChar w:fldCharType="separate"/>
          </w:r>
          <w:r w:rsidR="00DA22D6" w:rsidRPr="00DA22D6">
            <w:rPr>
              <w:rFonts w:cstheme="minorHAnsi"/>
              <w:noProof/>
            </w:rPr>
            <w:t>(ACT Government, 2021, p. 277)</w:t>
          </w:r>
          <w:r w:rsidR="00A443CD">
            <w:rPr>
              <w:rFonts w:cstheme="minorHAnsi"/>
              <w:lang w:val="en-US"/>
            </w:rPr>
            <w:fldChar w:fldCharType="end"/>
          </w:r>
        </w:sdtContent>
      </w:sdt>
      <w:r>
        <w:rPr>
          <w:rFonts w:cstheme="minorHAnsi"/>
          <w:lang w:val="en-US"/>
        </w:rPr>
        <w:t>.</w:t>
      </w:r>
      <w:r w:rsidR="00A443CD">
        <w:rPr>
          <w:rStyle w:val="FootnoteReference"/>
          <w:rFonts w:cstheme="minorHAnsi"/>
          <w:lang w:val="en-US"/>
        </w:rPr>
        <w:footnoteReference w:id="6"/>
      </w:r>
    </w:p>
    <w:p w14:paraId="7B3A35F4" w14:textId="0801EA27" w:rsidR="006B386E" w:rsidRDefault="006B386E" w:rsidP="006B386E">
      <w:pPr>
        <w:rPr>
          <w:rFonts w:cstheme="minorHAnsi"/>
          <w:lang w:val="en-US"/>
        </w:rPr>
      </w:pPr>
      <w:r>
        <w:rPr>
          <w:rFonts w:cstheme="minorHAnsi"/>
          <w:lang w:val="en-US"/>
        </w:rPr>
        <w:lastRenderedPageBreak/>
        <w:t xml:space="preserve">In 2011 the International Public Sector Accounting Standards Board (IPSASB) </w:t>
      </w:r>
      <w:sdt>
        <w:sdtPr>
          <w:rPr>
            <w:rFonts w:cstheme="minorHAnsi"/>
            <w:lang w:val="en-US"/>
          </w:rPr>
          <w:id w:val="-1531560373"/>
          <w:citation/>
        </w:sdtPr>
        <w:sdtContent>
          <w:r>
            <w:rPr>
              <w:rFonts w:cstheme="minorHAnsi"/>
              <w:lang w:val="en-US"/>
            </w:rPr>
            <w:fldChar w:fldCharType="begin"/>
          </w:r>
          <w:r w:rsidR="00CE2FC0">
            <w:rPr>
              <w:rFonts w:cstheme="minorHAnsi"/>
            </w:rPr>
            <w:instrText xml:space="preserve">CITATION Int11 \n  \t  \l 3081 </w:instrText>
          </w:r>
          <w:r>
            <w:rPr>
              <w:rFonts w:cstheme="minorHAnsi"/>
              <w:lang w:val="en-US"/>
            </w:rPr>
            <w:fldChar w:fldCharType="separate"/>
          </w:r>
          <w:r w:rsidR="00CE2FC0" w:rsidRPr="00CE2FC0">
            <w:rPr>
              <w:rFonts w:cstheme="minorHAnsi"/>
              <w:noProof/>
            </w:rPr>
            <w:t>(2011)</w:t>
          </w:r>
          <w:r>
            <w:rPr>
              <w:rFonts w:cstheme="minorHAnsi"/>
              <w:lang w:val="en-US"/>
            </w:rPr>
            <w:fldChar w:fldCharType="end"/>
          </w:r>
        </w:sdtContent>
      </w:sdt>
      <w:r>
        <w:rPr>
          <w:rFonts w:cstheme="minorHAnsi"/>
          <w:lang w:val="en-US"/>
        </w:rPr>
        <w:t xml:space="preserve"> issued </w:t>
      </w:r>
      <w:r w:rsidRPr="00CE2FC0">
        <w:rPr>
          <w:rFonts w:cstheme="minorHAnsi"/>
          <w:i/>
          <w:iCs/>
          <w:lang w:val="en-US"/>
        </w:rPr>
        <w:t>IPSAS 32</w:t>
      </w:r>
      <w:r w:rsidR="00CE2FC0" w:rsidRPr="00CE2FC0">
        <w:rPr>
          <w:rFonts w:cstheme="minorHAnsi"/>
          <w:i/>
          <w:iCs/>
          <w:lang w:val="en-US"/>
        </w:rPr>
        <w:t xml:space="preserve"> – Service </w:t>
      </w:r>
      <w:r w:rsidRPr="00CE2FC0">
        <w:rPr>
          <w:rFonts w:cstheme="minorHAnsi"/>
          <w:i/>
          <w:iCs/>
          <w:lang w:val="en-US"/>
        </w:rPr>
        <w:t>Concession Arrangements: Grantor</w:t>
      </w:r>
      <w:r>
        <w:rPr>
          <w:rFonts w:cstheme="minorHAnsi"/>
          <w:lang w:val="en-US"/>
        </w:rPr>
        <w:t>. This standard established the accounting for PPP arrangements from the grantor’s (government’s) perspective. In terms of the hierarchy of accounting policies, this standard is relevant.</w:t>
      </w:r>
    </w:p>
    <w:p w14:paraId="0334D97D" w14:textId="5F609D42" w:rsidR="006B386E" w:rsidRDefault="006B386E" w:rsidP="006B386E">
      <w:pPr>
        <w:rPr>
          <w:rFonts w:cstheme="minorHAnsi"/>
          <w:lang w:val="en-US"/>
        </w:rPr>
      </w:pPr>
      <w:r>
        <w:rPr>
          <w:rFonts w:cstheme="minorHAnsi"/>
          <w:lang w:val="en-US"/>
        </w:rPr>
        <w:t xml:space="preserve">In July 2017 the Australian Accounting Standards Board </w:t>
      </w:r>
      <w:r w:rsidR="00A443CD">
        <w:rPr>
          <w:rFonts w:cstheme="minorHAnsi"/>
          <w:lang w:val="en-US"/>
        </w:rPr>
        <w:t xml:space="preserve">(AASB) </w:t>
      </w:r>
      <w:sdt>
        <w:sdtPr>
          <w:rPr>
            <w:rFonts w:cstheme="minorHAnsi"/>
            <w:lang w:val="en-US"/>
          </w:rPr>
          <w:id w:val="-1775702329"/>
          <w:citation/>
        </w:sdtPr>
        <w:sdtContent>
          <w:r>
            <w:rPr>
              <w:rFonts w:cstheme="minorHAnsi"/>
              <w:lang w:val="en-US"/>
            </w:rPr>
            <w:fldChar w:fldCharType="begin"/>
          </w:r>
          <w:r>
            <w:rPr>
              <w:rFonts w:cstheme="minorHAnsi"/>
            </w:rPr>
            <w:instrText xml:space="preserve">CITATION Aus176 \n  \t  \l 3081 </w:instrText>
          </w:r>
          <w:r>
            <w:rPr>
              <w:rFonts w:cstheme="minorHAnsi"/>
              <w:lang w:val="en-US"/>
            </w:rPr>
            <w:fldChar w:fldCharType="separate"/>
          </w:r>
          <w:r>
            <w:rPr>
              <w:rFonts w:cstheme="minorHAnsi"/>
              <w:noProof/>
            </w:rPr>
            <w:t>(2017)</w:t>
          </w:r>
          <w:r>
            <w:rPr>
              <w:rFonts w:cstheme="minorHAnsi"/>
              <w:lang w:val="en-US"/>
            </w:rPr>
            <w:fldChar w:fldCharType="end"/>
          </w:r>
        </w:sdtContent>
      </w:sdt>
      <w:r>
        <w:rPr>
          <w:rFonts w:cstheme="minorHAnsi"/>
          <w:lang w:val="en-US"/>
        </w:rPr>
        <w:t xml:space="preserve"> issued AASB 1059 </w:t>
      </w:r>
      <w:r w:rsidRPr="00A443CD">
        <w:rPr>
          <w:rFonts w:cstheme="minorHAnsi"/>
          <w:i/>
          <w:iCs/>
          <w:lang w:val="en-US"/>
        </w:rPr>
        <w:t>Service Concession Arrangements: Grantor</w:t>
      </w:r>
      <w:r>
        <w:rPr>
          <w:rFonts w:cstheme="minorHAnsi"/>
          <w:lang w:val="en-US"/>
        </w:rPr>
        <w:t xml:space="preserve">. AASB 1059 is based on IPSASB 32. In October 2018 the AASB </w:t>
      </w:r>
      <w:sdt>
        <w:sdtPr>
          <w:rPr>
            <w:rFonts w:cstheme="minorHAnsi"/>
            <w:lang w:val="en-US"/>
          </w:rPr>
          <w:id w:val="560985941"/>
          <w:citation/>
        </w:sdtPr>
        <w:sdtContent>
          <w:r>
            <w:rPr>
              <w:rFonts w:cstheme="minorHAnsi"/>
              <w:lang w:val="en-US"/>
            </w:rPr>
            <w:fldChar w:fldCharType="begin"/>
          </w:r>
          <w:r>
            <w:rPr>
              <w:rFonts w:cstheme="minorHAnsi"/>
            </w:rPr>
            <w:instrText xml:space="preserve">CITATION Aus1811 \n  \t  \l 3081 </w:instrText>
          </w:r>
          <w:r>
            <w:rPr>
              <w:rFonts w:cstheme="minorHAnsi"/>
              <w:lang w:val="en-US"/>
            </w:rPr>
            <w:fldChar w:fldCharType="separate"/>
          </w:r>
          <w:r>
            <w:rPr>
              <w:rFonts w:cstheme="minorHAnsi"/>
              <w:noProof/>
            </w:rPr>
            <w:t>(2018)</w:t>
          </w:r>
          <w:r>
            <w:rPr>
              <w:rFonts w:cstheme="minorHAnsi"/>
              <w:lang w:val="en-US"/>
            </w:rPr>
            <w:fldChar w:fldCharType="end"/>
          </w:r>
        </w:sdtContent>
      </w:sdt>
      <w:r>
        <w:rPr>
          <w:rFonts w:cstheme="minorHAnsi"/>
          <w:lang w:val="en-US"/>
        </w:rPr>
        <w:t xml:space="preserve"> issued an amendment standard that deferred the commencement of AASB 1059 from 1</w:t>
      </w:r>
      <w:r w:rsidR="00331AFD">
        <w:rPr>
          <w:rFonts w:cstheme="minorHAnsi"/>
          <w:lang w:val="en-US"/>
        </w:rPr>
        <w:t> </w:t>
      </w:r>
      <w:r>
        <w:rPr>
          <w:rFonts w:cstheme="minorHAnsi"/>
          <w:lang w:val="en-US"/>
        </w:rPr>
        <w:t>January 2019 to 1 January 2020. Specifically, AASB 1059 applies to reporting years commencing on or after this new date. This change is reflected at Appendix G, indicating that AASB 1059 will be implemented in the preparation of the 2021-22 Budget.</w:t>
      </w:r>
    </w:p>
    <w:p w14:paraId="5492618D" w14:textId="0231891D" w:rsidR="00CA2463" w:rsidRPr="00CA2463" w:rsidRDefault="00CA2463" w:rsidP="00CA2463">
      <w:pPr>
        <w:rPr>
          <w:rFonts w:cstheme="minorHAnsi"/>
          <w:lang w:val="en-US"/>
        </w:rPr>
      </w:pPr>
      <w:r w:rsidRPr="00CA2463">
        <w:rPr>
          <w:rFonts w:cstheme="minorHAnsi"/>
          <w:lang w:val="en-US"/>
        </w:rPr>
        <w:t xml:space="preserve">AASB 1059 has not been applied to the Budget and forward years, despite being applicable. The Committee should note that other jurisdictions with major PPP arrangements, particularly NSW and Victoria, adopted AASB 1059 in the preparation of their respective 2020-21 budgets. NSW, whilst not adopting AASB 1059 in the 2020-21 budget year, did adopt the standard in each of the forward years. Victoria </w:t>
      </w:r>
      <w:r w:rsidR="001461C7">
        <w:rPr>
          <w:rFonts w:cstheme="minorHAnsi"/>
          <w:lang w:val="en-US"/>
        </w:rPr>
        <w:t>became the first state to fully adopt AASB 1059 from 1 July 2019 and has now applied it on a full retrospective basis as outlined</w:t>
      </w:r>
      <w:r w:rsidRPr="00CA2463">
        <w:rPr>
          <w:rFonts w:cstheme="minorHAnsi"/>
          <w:lang w:val="en-US"/>
        </w:rPr>
        <w:t xml:space="preserve"> by the Victorian Auditor-General</w:t>
      </w:r>
      <w:r w:rsidR="001461C7">
        <w:rPr>
          <w:rFonts w:cstheme="minorHAnsi"/>
          <w:lang w:val="en-US"/>
        </w:rPr>
        <w:t xml:space="preserve"> </w:t>
      </w:r>
      <w:sdt>
        <w:sdtPr>
          <w:rPr>
            <w:rFonts w:cstheme="minorHAnsi"/>
            <w:lang w:val="en-US"/>
          </w:rPr>
          <w:id w:val="-756518947"/>
          <w:citation/>
        </w:sdtPr>
        <w:sdtContent>
          <w:r w:rsidR="001461C7">
            <w:rPr>
              <w:rFonts w:cstheme="minorHAnsi"/>
              <w:lang w:val="en-US"/>
            </w:rPr>
            <w:fldChar w:fldCharType="begin"/>
          </w:r>
          <w:r w:rsidR="001461C7">
            <w:rPr>
              <w:rFonts w:cstheme="minorHAnsi"/>
            </w:rPr>
            <w:instrText xml:space="preserve">CITATION Vic20 \p 25 \n  \t  \l 3081 </w:instrText>
          </w:r>
          <w:r w:rsidR="001461C7">
            <w:rPr>
              <w:rFonts w:cstheme="minorHAnsi"/>
              <w:lang w:val="en-US"/>
            </w:rPr>
            <w:fldChar w:fldCharType="separate"/>
          </w:r>
          <w:r w:rsidR="001461C7" w:rsidRPr="001461C7">
            <w:rPr>
              <w:rFonts w:cstheme="minorHAnsi"/>
              <w:noProof/>
            </w:rPr>
            <w:t>(2020, p. 25)</w:t>
          </w:r>
          <w:r w:rsidR="001461C7">
            <w:rPr>
              <w:rFonts w:cstheme="minorHAnsi"/>
              <w:lang w:val="en-US"/>
            </w:rPr>
            <w:fldChar w:fldCharType="end"/>
          </w:r>
        </w:sdtContent>
      </w:sdt>
      <w:r w:rsidRPr="00CA2463">
        <w:rPr>
          <w:rFonts w:cstheme="minorHAnsi"/>
          <w:lang w:val="en-US"/>
        </w:rPr>
        <w:t>.</w:t>
      </w:r>
    </w:p>
    <w:p w14:paraId="1D885007" w14:textId="77FF4A7D" w:rsidR="006B386E" w:rsidRDefault="00CA2463" w:rsidP="006B386E">
      <w:pPr>
        <w:rPr>
          <w:rFonts w:cstheme="minorHAnsi"/>
          <w:lang w:val="en-US"/>
        </w:rPr>
      </w:pPr>
      <w:r w:rsidRPr="00CA2463">
        <w:rPr>
          <w:rFonts w:cstheme="minorHAnsi"/>
          <w:lang w:val="en-US"/>
        </w:rPr>
        <w:t>The statement in Appendix G that the ACT Government’s approach is consistent with other jurisdictions is, therefore, not correct</w:t>
      </w:r>
      <w:r w:rsidR="006B386E">
        <w:rPr>
          <w:rFonts w:cstheme="minorHAnsi"/>
          <w:lang w:val="en-US"/>
        </w:rPr>
        <w:t>.</w:t>
      </w:r>
      <w:r w:rsidR="00462998">
        <w:rPr>
          <w:rStyle w:val="FootnoteReference"/>
          <w:rFonts w:cstheme="minorHAnsi"/>
          <w:lang w:val="en-US"/>
        </w:rPr>
        <w:footnoteReference w:id="7"/>
      </w:r>
    </w:p>
    <w:p w14:paraId="1172D831" w14:textId="77777777" w:rsidR="006B386E" w:rsidRDefault="006B386E" w:rsidP="006B386E">
      <w:pPr>
        <w:rPr>
          <w:rFonts w:cstheme="minorHAnsi"/>
          <w:lang w:val="en-US"/>
        </w:rPr>
      </w:pPr>
      <w:r>
        <w:rPr>
          <w:rFonts w:cstheme="minorHAnsi"/>
          <w:lang w:val="en-US"/>
        </w:rPr>
        <w:t>AASB 1059 does not treat PPP arrangements as leases, but instead, requires the assets and liabilities to be recognised in the balance sheet and valued at current replacement cost, when the government gains control of these assets and liabilities, generally taken to be when the project becomes operational. Any intangible assets such as intellectual property rights, must be included in the aggregate of project assets.</w:t>
      </w:r>
    </w:p>
    <w:p w14:paraId="7DDC8A64" w14:textId="77777777" w:rsidR="006B386E" w:rsidRDefault="006B386E" w:rsidP="006B386E">
      <w:pPr>
        <w:rPr>
          <w:rFonts w:cstheme="minorHAnsi"/>
          <w:lang w:val="en-US"/>
        </w:rPr>
      </w:pPr>
      <w:r>
        <w:rPr>
          <w:rFonts w:cstheme="minorHAnsi"/>
          <w:lang w:val="en-US"/>
        </w:rPr>
        <w:t>The critical issue is which accounting treatment, leases, AASB 1059 or an approach similar to AASB 1059, appropriately reflects the substance of the transaction.</w:t>
      </w:r>
    </w:p>
    <w:p w14:paraId="10B6202F" w14:textId="23DAAC52" w:rsidR="006B386E" w:rsidRDefault="006B386E" w:rsidP="006B386E">
      <w:pPr>
        <w:rPr>
          <w:rFonts w:cstheme="minorHAnsi"/>
          <w:lang w:val="en-US"/>
        </w:rPr>
      </w:pPr>
      <w:r>
        <w:rPr>
          <w:rFonts w:cstheme="minorHAnsi"/>
          <w:lang w:val="en-US"/>
        </w:rPr>
        <w:t xml:space="preserve">In terms of the accounting policy hierarchy in choosing the most appropriate accounting treatments, and as AASB 1049 appears to have been adopted which, as indicated above, requires the application of all other accounting standards, it would in our view have been appropriate to adopt AASB 1059. This approach more faithfully reflects the substance of the transactions. This is particularly so in respect to the Light Rail Stage 1 project, given that the project became operational on 20 April 2019. That is, the Light Rail Stage 1 project assets, liabilities and cash flows were controlled by the </w:t>
      </w:r>
      <w:r w:rsidR="00462998">
        <w:rPr>
          <w:rFonts w:cstheme="minorHAnsi"/>
          <w:lang w:val="en-US"/>
        </w:rPr>
        <w:t>ACT </w:t>
      </w:r>
      <w:r>
        <w:rPr>
          <w:rFonts w:cstheme="minorHAnsi"/>
          <w:lang w:val="en-US"/>
        </w:rPr>
        <w:t>Government from that date.</w:t>
      </w:r>
    </w:p>
    <w:p w14:paraId="35FD564F" w14:textId="77777777" w:rsidR="006B386E" w:rsidRDefault="006B386E" w:rsidP="006B386E">
      <w:pPr>
        <w:rPr>
          <w:rFonts w:cstheme="minorHAnsi"/>
          <w:lang w:val="en-US"/>
        </w:rPr>
      </w:pPr>
      <w:r>
        <w:rPr>
          <w:rFonts w:cstheme="minorHAnsi"/>
          <w:lang w:val="en-US"/>
        </w:rPr>
        <w:t xml:space="preserve">Had AASB 1059 been adopted, the impact on the budget balances is uncertain.  </w:t>
      </w:r>
    </w:p>
    <w:p w14:paraId="52E4E71F" w14:textId="17D9A076" w:rsidR="006B386E" w:rsidRDefault="006B386E" w:rsidP="006B386E">
      <w:pPr>
        <w:rPr>
          <w:rFonts w:cstheme="minorHAnsi"/>
          <w:lang w:val="en-US"/>
        </w:rPr>
      </w:pPr>
      <w:r>
        <w:rPr>
          <w:rFonts w:cstheme="minorHAnsi"/>
          <w:lang w:val="en-US"/>
        </w:rPr>
        <w:t>The Committee may wish to explore with officials a number of issues in relation to the accounting treatment in the Budget for Public Private Partnerships. These include:</w:t>
      </w:r>
    </w:p>
    <w:p w14:paraId="3D36031A" w14:textId="65095485" w:rsidR="00CA2463" w:rsidRPr="00CA2463" w:rsidRDefault="00CA2463" w:rsidP="00CA2463">
      <w:pPr>
        <w:pStyle w:val="ListParagraph"/>
        <w:numPr>
          <w:ilvl w:val="0"/>
          <w:numId w:val="27"/>
        </w:numPr>
        <w:spacing w:line="254" w:lineRule="auto"/>
        <w:rPr>
          <w:rFonts w:cstheme="minorHAnsi"/>
          <w:lang w:val="en-US"/>
        </w:rPr>
      </w:pPr>
      <w:r w:rsidRPr="00CA2463">
        <w:rPr>
          <w:rFonts w:cstheme="minorHAnsi"/>
          <w:lang w:val="en-US"/>
        </w:rPr>
        <w:t xml:space="preserve">Why has </w:t>
      </w:r>
      <w:r w:rsidRPr="00CA2463">
        <w:rPr>
          <w:rFonts w:cstheme="minorHAnsi"/>
          <w:i/>
          <w:iCs/>
          <w:lang w:val="en-US"/>
        </w:rPr>
        <w:t>AASB 1059 Service Concession Arrangements: Grantors</w:t>
      </w:r>
      <w:r w:rsidRPr="00CA2463">
        <w:rPr>
          <w:rFonts w:cstheme="minorHAnsi"/>
          <w:lang w:val="en-US"/>
        </w:rPr>
        <w:t xml:space="preserve"> not been adopted  for the Light Rail Stage 1 and the Law Courts PPP projects, particularly given it was adopted by NSW in its budget forward years and fully by Victoria?</w:t>
      </w:r>
    </w:p>
    <w:p w14:paraId="5C21DAC7" w14:textId="71C1E352" w:rsidR="00CA2463" w:rsidRPr="00CA2463" w:rsidRDefault="00CA2463" w:rsidP="00CA2463">
      <w:pPr>
        <w:pStyle w:val="ListParagraph"/>
        <w:numPr>
          <w:ilvl w:val="0"/>
          <w:numId w:val="27"/>
        </w:numPr>
        <w:spacing w:line="254" w:lineRule="auto"/>
        <w:rPr>
          <w:rFonts w:cstheme="minorHAnsi"/>
          <w:lang w:val="en-US"/>
        </w:rPr>
      </w:pPr>
      <w:r w:rsidRPr="00CA2463">
        <w:rPr>
          <w:rFonts w:cstheme="minorHAnsi"/>
          <w:lang w:val="en-US"/>
        </w:rPr>
        <w:t>Why has AASB 1059 not been adopted in respect to the Budget forward years?</w:t>
      </w:r>
    </w:p>
    <w:p w14:paraId="19D2F86F" w14:textId="08E82D60" w:rsidR="00CA2463" w:rsidRPr="00CA2463" w:rsidRDefault="00CA2463" w:rsidP="00CA2463">
      <w:pPr>
        <w:pStyle w:val="ListParagraph"/>
        <w:numPr>
          <w:ilvl w:val="0"/>
          <w:numId w:val="27"/>
        </w:numPr>
        <w:spacing w:line="254" w:lineRule="auto"/>
        <w:rPr>
          <w:rFonts w:cstheme="minorHAnsi"/>
          <w:lang w:val="en-US"/>
        </w:rPr>
      </w:pPr>
      <w:r w:rsidRPr="00CA2463">
        <w:rPr>
          <w:rFonts w:cstheme="minorHAnsi"/>
          <w:lang w:val="en-US"/>
        </w:rPr>
        <w:t xml:space="preserve">Why has IPSASB 32 not been adopted? </w:t>
      </w:r>
    </w:p>
    <w:p w14:paraId="4D9182A1" w14:textId="4E40B6F6" w:rsidR="00CA2463" w:rsidRPr="00CA2463" w:rsidRDefault="00CA2463" w:rsidP="00CA2463">
      <w:pPr>
        <w:pStyle w:val="ListParagraph"/>
        <w:numPr>
          <w:ilvl w:val="0"/>
          <w:numId w:val="27"/>
        </w:numPr>
        <w:spacing w:line="254" w:lineRule="auto"/>
        <w:rPr>
          <w:rFonts w:cstheme="minorHAnsi"/>
          <w:lang w:val="en-US"/>
        </w:rPr>
      </w:pPr>
      <w:r w:rsidRPr="00CA2463">
        <w:rPr>
          <w:rFonts w:cstheme="minorHAnsi"/>
          <w:lang w:val="en-US"/>
        </w:rPr>
        <w:t xml:space="preserve">What would be the impact on the </w:t>
      </w:r>
      <w:r w:rsidR="00331AFD">
        <w:rPr>
          <w:rFonts w:cstheme="minorHAnsi"/>
          <w:lang w:val="en-US"/>
        </w:rPr>
        <w:t>B</w:t>
      </w:r>
      <w:r w:rsidRPr="00CA2463">
        <w:rPr>
          <w:rFonts w:cstheme="minorHAnsi"/>
          <w:lang w:val="en-US"/>
        </w:rPr>
        <w:t>udget balances had AASB 1059 been adopted?</w:t>
      </w:r>
    </w:p>
    <w:p w14:paraId="1C3CB039" w14:textId="77777777" w:rsidR="006B386E" w:rsidRDefault="006B386E" w:rsidP="006B386E">
      <w:pPr>
        <w:tabs>
          <w:tab w:val="left" w:pos="1032"/>
        </w:tabs>
        <w:rPr>
          <w:rFonts w:cstheme="minorHAnsi"/>
          <w:lang w:val="en-US"/>
        </w:rPr>
      </w:pPr>
      <w:r>
        <w:rPr>
          <w:rFonts w:cstheme="minorHAnsi"/>
          <w:lang w:val="en-US"/>
        </w:rPr>
        <w:lastRenderedPageBreak/>
        <w:t>The Committee should note these are complex issues and Pegasus is available should clarification in private, be required.</w:t>
      </w:r>
    </w:p>
    <w:p w14:paraId="42519303" w14:textId="118FC8E9" w:rsidR="00A16B34" w:rsidRDefault="00E81ABF" w:rsidP="00462998">
      <w:pPr>
        <w:pStyle w:val="Heading2"/>
        <w:rPr>
          <w:lang w:val="en-US"/>
        </w:rPr>
      </w:pPr>
      <w:bookmarkStart w:id="194" w:name="_Toc64529067"/>
      <w:r w:rsidRPr="00EA67B3">
        <w:rPr>
          <w:lang w:val="en-US"/>
        </w:rPr>
        <w:t>9</w:t>
      </w:r>
      <w:r w:rsidR="00462998" w:rsidRPr="00EA67B3">
        <w:rPr>
          <w:lang w:val="en-US"/>
        </w:rPr>
        <w:t>.6</w:t>
      </w:r>
      <w:r w:rsidR="00462998" w:rsidRPr="00EA67B3">
        <w:rPr>
          <w:lang w:val="en-US"/>
        </w:rPr>
        <w:tab/>
        <w:t>Concessional Loans</w:t>
      </w:r>
      <w:bookmarkEnd w:id="194"/>
    </w:p>
    <w:p w14:paraId="0F47E5EA" w14:textId="03B7E859" w:rsidR="00462998" w:rsidRDefault="00462998" w:rsidP="00462998">
      <w:pPr>
        <w:tabs>
          <w:tab w:val="left" w:pos="1032"/>
        </w:tabs>
        <w:rPr>
          <w:rFonts w:cstheme="minorHAnsi"/>
          <w:lang w:val="en-US"/>
        </w:rPr>
      </w:pPr>
      <w:r>
        <w:rPr>
          <w:rFonts w:cstheme="minorHAnsi"/>
          <w:lang w:val="en-US"/>
        </w:rPr>
        <w:t xml:space="preserve">Concessional loans are arrangements where a lender, typically a government, provides a loan facility on terms and conditions more favorable than the prevailing market. Concessions can include lower or zero interest rates, interest free periods, and/or an extended maturity term. Appendix G indicates the ACT Government </w:t>
      </w:r>
      <w:sdt>
        <w:sdtPr>
          <w:rPr>
            <w:rFonts w:cstheme="minorHAnsi"/>
            <w:lang w:val="en-US"/>
          </w:rPr>
          <w:id w:val="-2038656797"/>
          <w:citation/>
        </w:sdtPr>
        <w:sdtContent>
          <w:r>
            <w:rPr>
              <w:rFonts w:cstheme="minorHAnsi"/>
              <w:lang w:val="en-US"/>
            </w:rPr>
            <w:fldChar w:fldCharType="begin"/>
          </w:r>
          <w:r w:rsidR="00DA22D6">
            <w:rPr>
              <w:rFonts w:cstheme="minorHAnsi"/>
            </w:rPr>
            <w:instrText xml:space="preserve">CITATION ACT21 \p 280 \n  \t  \l 3081 </w:instrText>
          </w:r>
          <w:r>
            <w:rPr>
              <w:rFonts w:cstheme="minorHAnsi"/>
              <w:lang w:val="en-US"/>
            </w:rPr>
            <w:fldChar w:fldCharType="separate"/>
          </w:r>
          <w:r w:rsidR="00DA22D6" w:rsidRPr="00DA22D6">
            <w:rPr>
              <w:rFonts w:cstheme="minorHAnsi"/>
              <w:noProof/>
            </w:rPr>
            <w:t>(2021, p. 280)</w:t>
          </w:r>
          <w:r>
            <w:rPr>
              <w:rFonts w:cstheme="minorHAnsi"/>
              <w:lang w:val="en-US"/>
            </w:rPr>
            <w:fldChar w:fldCharType="end"/>
          </w:r>
        </w:sdtContent>
      </w:sdt>
      <w:r>
        <w:rPr>
          <w:rFonts w:cstheme="minorHAnsi"/>
          <w:lang w:val="en-US"/>
        </w:rPr>
        <w:t xml:space="preserve"> is providing concessional loans pursuant to its Sustainable Household Scheme.</w:t>
      </w:r>
    </w:p>
    <w:p w14:paraId="544BF675" w14:textId="2394407F" w:rsidR="00462998" w:rsidRDefault="00462998" w:rsidP="00462998">
      <w:pPr>
        <w:tabs>
          <w:tab w:val="left" w:pos="1032"/>
        </w:tabs>
        <w:rPr>
          <w:rFonts w:cstheme="minorHAnsi"/>
          <w:color w:val="002060"/>
          <w:lang w:val="en-US"/>
        </w:rPr>
      </w:pPr>
      <w:r>
        <w:rPr>
          <w:rFonts w:cstheme="minorHAnsi"/>
          <w:lang w:val="en-US"/>
        </w:rPr>
        <w:t xml:space="preserve">The accounting treatment outlined accords with the applicable accounting standard </w:t>
      </w:r>
      <w:r w:rsidRPr="00331AFD">
        <w:rPr>
          <w:rFonts w:cstheme="minorHAnsi"/>
          <w:i/>
          <w:iCs/>
          <w:lang w:val="en-US"/>
        </w:rPr>
        <w:t>AASB 9</w:t>
      </w:r>
      <w:r>
        <w:rPr>
          <w:rFonts w:cstheme="minorHAnsi"/>
          <w:lang w:val="en-US"/>
        </w:rPr>
        <w:t xml:space="preserve"> </w:t>
      </w:r>
      <w:r w:rsidRPr="00462998">
        <w:rPr>
          <w:rFonts w:cstheme="minorHAnsi"/>
          <w:i/>
          <w:iCs/>
          <w:lang w:val="en-US"/>
        </w:rPr>
        <w:t>Financial Instruments</w:t>
      </w:r>
      <w:r>
        <w:rPr>
          <w:rFonts w:cstheme="minorHAnsi"/>
          <w:lang w:val="en-US"/>
        </w:rPr>
        <w:t>.</w:t>
      </w:r>
      <w:r>
        <w:rPr>
          <w:rStyle w:val="FootnoteReference"/>
          <w:rFonts w:cstheme="minorHAnsi"/>
          <w:lang w:val="en-US"/>
        </w:rPr>
        <w:footnoteReference w:id="8"/>
      </w:r>
    </w:p>
    <w:p w14:paraId="4BC609BF" w14:textId="534A97D3" w:rsidR="00BB6A19" w:rsidRDefault="00BB6A19" w:rsidP="00462998">
      <w:pPr>
        <w:rPr>
          <w:lang w:val="en-US"/>
        </w:rPr>
      </w:pPr>
    </w:p>
    <w:p w14:paraId="57863A51" w14:textId="77777777" w:rsidR="00A16B34" w:rsidRDefault="00A16B34">
      <w:r>
        <w:br w:type="page"/>
      </w:r>
    </w:p>
    <w:bookmarkStart w:id="195" w:name="_Toc64529068" w:displacedByCustomXml="next"/>
    <w:sdt>
      <w:sdtPr>
        <w:rPr>
          <w:rFonts w:asciiTheme="minorHAnsi" w:eastAsiaTheme="minorHAnsi" w:hAnsiTheme="minorHAnsi" w:cstheme="minorBidi"/>
          <w:color w:val="auto"/>
          <w:sz w:val="22"/>
          <w:szCs w:val="22"/>
        </w:rPr>
        <w:id w:val="-2075958959"/>
        <w:docPartObj>
          <w:docPartGallery w:val="Bibliographies"/>
          <w:docPartUnique/>
        </w:docPartObj>
      </w:sdtPr>
      <w:sdtContent>
        <w:p w14:paraId="1E16D7A1" w14:textId="4B66CF0D" w:rsidR="00EA67B3" w:rsidRDefault="00EA67B3">
          <w:pPr>
            <w:pStyle w:val="Heading1"/>
          </w:pPr>
          <w:r>
            <w:t>Bibliography</w:t>
          </w:r>
          <w:bookmarkEnd w:id="195"/>
        </w:p>
        <w:sdt>
          <w:sdtPr>
            <w:id w:val="111145805"/>
            <w:bibliography/>
          </w:sdtPr>
          <w:sdtContent>
            <w:p w14:paraId="3D531EDE" w14:textId="77777777" w:rsidR="00E72891" w:rsidRDefault="00EA67B3" w:rsidP="00E72891">
              <w:pPr>
                <w:pStyle w:val="Bibliography"/>
                <w:ind w:left="720" w:hanging="720"/>
                <w:rPr>
                  <w:noProof/>
                  <w:sz w:val="24"/>
                  <w:szCs w:val="24"/>
                </w:rPr>
              </w:pPr>
              <w:r>
                <w:fldChar w:fldCharType="begin"/>
              </w:r>
              <w:r>
                <w:instrText xml:space="preserve"> BIBLIOGRAPHY </w:instrText>
              </w:r>
              <w:r>
                <w:fldChar w:fldCharType="separate"/>
              </w:r>
              <w:r w:rsidR="00E72891">
                <w:rPr>
                  <w:noProof/>
                </w:rPr>
                <w:t xml:space="preserve">ACT Government. (2012). </w:t>
              </w:r>
              <w:r w:rsidR="00E72891">
                <w:rPr>
                  <w:i/>
                  <w:iCs/>
                  <w:noProof/>
                </w:rPr>
                <w:t>Australian Capital Territory Budget 2012-13 Budget Paper No. 3: Budget Overview.</w:t>
              </w:r>
              <w:r w:rsidR="00E72891">
                <w:rPr>
                  <w:noProof/>
                </w:rPr>
                <w:t xml:space="preserve"> Canberra.</w:t>
              </w:r>
            </w:p>
            <w:p w14:paraId="38D40563" w14:textId="77777777" w:rsidR="00E72891" w:rsidRDefault="00E72891" w:rsidP="00E72891">
              <w:pPr>
                <w:pStyle w:val="Bibliography"/>
                <w:ind w:left="720" w:hanging="720"/>
                <w:rPr>
                  <w:noProof/>
                </w:rPr>
              </w:pPr>
              <w:r>
                <w:rPr>
                  <w:noProof/>
                </w:rPr>
                <w:t xml:space="preserve">ACT Government. (2013). </w:t>
              </w:r>
              <w:r>
                <w:rPr>
                  <w:i/>
                  <w:iCs/>
                  <w:noProof/>
                </w:rPr>
                <w:t>Australian Capital Territory Budget 2013‐14 Budget Paper No. 3.</w:t>
              </w:r>
              <w:r>
                <w:rPr>
                  <w:noProof/>
                </w:rPr>
                <w:t xml:space="preserve"> Canberra.</w:t>
              </w:r>
            </w:p>
            <w:p w14:paraId="38DF7F88" w14:textId="77777777" w:rsidR="00E72891" w:rsidRDefault="00E72891" w:rsidP="00E72891">
              <w:pPr>
                <w:pStyle w:val="Bibliography"/>
                <w:ind w:left="720" w:hanging="720"/>
                <w:rPr>
                  <w:noProof/>
                </w:rPr>
              </w:pPr>
              <w:r>
                <w:rPr>
                  <w:noProof/>
                </w:rPr>
                <w:t xml:space="preserve">ACT Government. (2014). </w:t>
              </w:r>
              <w:r>
                <w:rPr>
                  <w:i/>
                  <w:iCs/>
                  <w:noProof/>
                </w:rPr>
                <w:t>Australian Capital Territory Budget 2014-15 Budget Paper No. 3.</w:t>
              </w:r>
              <w:r>
                <w:rPr>
                  <w:noProof/>
                </w:rPr>
                <w:t xml:space="preserve"> Canberra.</w:t>
              </w:r>
            </w:p>
            <w:p w14:paraId="712C52B4" w14:textId="77777777" w:rsidR="00E72891" w:rsidRDefault="00E72891" w:rsidP="00E72891">
              <w:pPr>
                <w:pStyle w:val="Bibliography"/>
                <w:ind w:left="720" w:hanging="720"/>
                <w:rPr>
                  <w:noProof/>
                </w:rPr>
              </w:pPr>
              <w:r>
                <w:rPr>
                  <w:noProof/>
                </w:rPr>
                <w:t xml:space="preserve">ACT Government. (2015). </w:t>
              </w:r>
              <w:r>
                <w:rPr>
                  <w:i/>
                  <w:iCs/>
                  <w:noProof/>
                </w:rPr>
                <w:t>Australian Capital Territory Budget 2015-16 - Budget Paper No. 3 Budget Outlook.</w:t>
              </w:r>
              <w:r>
                <w:rPr>
                  <w:noProof/>
                </w:rPr>
                <w:t xml:space="preserve"> Canberra.</w:t>
              </w:r>
            </w:p>
            <w:p w14:paraId="4C6DBC79" w14:textId="77777777" w:rsidR="00E72891" w:rsidRDefault="00E72891" w:rsidP="00E72891">
              <w:pPr>
                <w:pStyle w:val="Bibliography"/>
                <w:ind w:left="720" w:hanging="720"/>
                <w:rPr>
                  <w:noProof/>
                </w:rPr>
              </w:pPr>
              <w:r>
                <w:rPr>
                  <w:noProof/>
                </w:rPr>
                <w:t xml:space="preserve">ACT Government. (2016). </w:t>
              </w:r>
              <w:r>
                <w:rPr>
                  <w:i/>
                  <w:iCs/>
                  <w:noProof/>
                </w:rPr>
                <w:t>Australian Capital Territory Budget 2016-17 for Canberra - Budget Paper 3: Budget Outlook.</w:t>
              </w:r>
              <w:r>
                <w:rPr>
                  <w:noProof/>
                </w:rPr>
                <w:t xml:space="preserve"> Canberra.</w:t>
              </w:r>
            </w:p>
            <w:p w14:paraId="28E45C2E" w14:textId="77777777" w:rsidR="00E72891" w:rsidRDefault="00E72891" w:rsidP="00E72891">
              <w:pPr>
                <w:pStyle w:val="Bibliography"/>
                <w:ind w:left="720" w:hanging="720"/>
                <w:rPr>
                  <w:noProof/>
                </w:rPr>
              </w:pPr>
              <w:r>
                <w:rPr>
                  <w:noProof/>
                </w:rPr>
                <w:t xml:space="preserve">ACT Government. (2018). </w:t>
              </w:r>
              <w:r>
                <w:rPr>
                  <w:i/>
                  <w:iCs/>
                  <w:noProof/>
                </w:rPr>
                <w:t>Australian Capital Territory Budget 2017-18 Budget Review.</w:t>
              </w:r>
              <w:r>
                <w:rPr>
                  <w:noProof/>
                </w:rPr>
                <w:t xml:space="preserve"> Canberra.</w:t>
              </w:r>
            </w:p>
            <w:p w14:paraId="5BB10B9A" w14:textId="77777777" w:rsidR="00E72891" w:rsidRDefault="00E72891" w:rsidP="00E72891">
              <w:pPr>
                <w:pStyle w:val="Bibliography"/>
                <w:ind w:left="720" w:hanging="720"/>
                <w:rPr>
                  <w:noProof/>
                </w:rPr>
              </w:pPr>
              <w:r>
                <w:rPr>
                  <w:noProof/>
                </w:rPr>
                <w:t xml:space="preserve">ACT Government. (2018a). </w:t>
              </w:r>
              <w:r>
                <w:rPr>
                  <w:i/>
                  <w:iCs/>
                  <w:noProof/>
                </w:rPr>
                <w:t>Australian Capital Territory Budget 2018-19 - Budget Paper 3: Budget Outlook.</w:t>
              </w:r>
              <w:r>
                <w:rPr>
                  <w:noProof/>
                </w:rPr>
                <w:t xml:space="preserve"> Canberra.</w:t>
              </w:r>
            </w:p>
            <w:p w14:paraId="32170A4F" w14:textId="77777777" w:rsidR="00E72891" w:rsidRDefault="00E72891" w:rsidP="00E72891">
              <w:pPr>
                <w:pStyle w:val="Bibliography"/>
                <w:ind w:left="720" w:hanging="720"/>
                <w:rPr>
                  <w:noProof/>
                </w:rPr>
              </w:pPr>
              <w:r>
                <w:rPr>
                  <w:noProof/>
                </w:rPr>
                <w:t xml:space="preserve">ACT Government. (2019). </w:t>
              </w:r>
              <w:r>
                <w:rPr>
                  <w:i/>
                  <w:iCs/>
                  <w:noProof/>
                </w:rPr>
                <w:t>Australian Capital Territory Budget 2019-20 Building for the Future - Budget Paper 3: Budget Outlook.</w:t>
              </w:r>
              <w:r>
                <w:rPr>
                  <w:noProof/>
                </w:rPr>
                <w:t xml:space="preserve"> Canberra.</w:t>
              </w:r>
            </w:p>
            <w:p w14:paraId="38F339BD" w14:textId="77777777" w:rsidR="00E72891" w:rsidRDefault="00E72891" w:rsidP="00E72891">
              <w:pPr>
                <w:pStyle w:val="Bibliography"/>
                <w:ind w:left="720" w:hanging="720"/>
                <w:rPr>
                  <w:noProof/>
                </w:rPr>
              </w:pPr>
              <w:r>
                <w:rPr>
                  <w:noProof/>
                </w:rPr>
                <w:t xml:space="preserve">ACT Government. (2019a). </w:t>
              </w:r>
              <w:r>
                <w:rPr>
                  <w:i/>
                  <w:iCs/>
                  <w:noProof/>
                </w:rPr>
                <w:t>Government Response to the Pegasus Economics report Review of the ACT Budget 2019-</w:t>
              </w:r>
              <w:r>
                <w:rPr>
                  <w:i/>
                  <w:iCs/>
                  <w:noProof/>
                </w:rPr>
                <w:softHyphen/>
                <w:t>20.</w:t>
              </w:r>
              <w:r>
                <w:rPr>
                  <w:noProof/>
                </w:rPr>
                <w:t xml:space="preserve"> Canberra.</w:t>
              </w:r>
            </w:p>
            <w:p w14:paraId="65FAD49C" w14:textId="77777777" w:rsidR="00E72891" w:rsidRDefault="00E72891" w:rsidP="00E72891">
              <w:pPr>
                <w:pStyle w:val="Bibliography"/>
                <w:ind w:left="720" w:hanging="720"/>
                <w:rPr>
                  <w:noProof/>
                </w:rPr>
              </w:pPr>
              <w:r>
                <w:rPr>
                  <w:noProof/>
                </w:rPr>
                <w:t xml:space="preserve">ACT Government. (2020). </w:t>
              </w:r>
              <w:r>
                <w:rPr>
                  <w:i/>
                  <w:iCs/>
                  <w:noProof/>
                </w:rPr>
                <w:t>August 2020 Economic and Fiscal Update.</w:t>
              </w:r>
              <w:r>
                <w:rPr>
                  <w:noProof/>
                </w:rPr>
                <w:t xml:space="preserve"> Canberra.</w:t>
              </w:r>
            </w:p>
            <w:p w14:paraId="62BB536A" w14:textId="77777777" w:rsidR="00E72891" w:rsidRDefault="00E72891" w:rsidP="00E72891">
              <w:pPr>
                <w:pStyle w:val="Bibliography"/>
                <w:ind w:left="720" w:hanging="720"/>
                <w:rPr>
                  <w:noProof/>
                </w:rPr>
              </w:pPr>
              <w:r>
                <w:rPr>
                  <w:noProof/>
                </w:rPr>
                <w:t xml:space="preserve">ACT Government. (2021). </w:t>
              </w:r>
              <w:r>
                <w:rPr>
                  <w:i/>
                  <w:iCs/>
                  <w:noProof/>
                </w:rPr>
                <w:t>Australian Capital Territory Budget 2020-21: Driving Canberra's Recovery - Budget Outlook.</w:t>
              </w:r>
              <w:r>
                <w:rPr>
                  <w:noProof/>
                </w:rPr>
                <w:t xml:space="preserve"> Canberra.</w:t>
              </w:r>
            </w:p>
            <w:p w14:paraId="477BF52E" w14:textId="77777777" w:rsidR="00E72891" w:rsidRDefault="00E72891" w:rsidP="00E72891">
              <w:pPr>
                <w:pStyle w:val="Bibliography"/>
                <w:ind w:left="720" w:hanging="720"/>
                <w:rPr>
                  <w:noProof/>
                </w:rPr>
              </w:pPr>
              <w:r>
                <w:rPr>
                  <w:noProof/>
                </w:rPr>
                <w:t xml:space="preserve">ACT Government. (2021a). </w:t>
              </w:r>
              <w:r>
                <w:rPr>
                  <w:i/>
                  <w:iCs/>
                  <w:noProof/>
                </w:rPr>
                <w:t>Australian Capital Territory Budget 2020-21: Driving Canberra's Recovery - Budget Statement I Major Projects Canberra.</w:t>
              </w:r>
              <w:r>
                <w:rPr>
                  <w:noProof/>
                </w:rPr>
                <w:t xml:space="preserve"> Canberra.</w:t>
              </w:r>
            </w:p>
            <w:p w14:paraId="7979C039" w14:textId="77777777" w:rsidR="00E72891" w:rsidRDefault="00E72891" w:rsidP="00E72891">
              <w:pPr>
                <w:pStyle w:val="Bibliography"/>
                <w:ind w:left="720" w:hanging="720"/>
                <w:rPr>
                  <w:noProof/>
                </w:rPr>
              </w:pPr>
              <w:r>
                <w:rPr>
                  <w:noProof/>
                </w:rPr>
                <w:t xml:space="preserve">Australian Accounting Research Foundation (AARF). (1995). </w:t>
              </w:r>
              <w:r>
                <w:rPr>
                  <w:i/>
                  <w:iCs/>
                  <w:noProof/>
                </w:rPr>
                <w:t>Financial Reporting by Government, Exposure Draft 62.</w:t>
              </w:r>
              <w:r>
                <w:rPr>
                  <w:noProof/>
                </w:rPr>
                <w:t xml:space="preserve"> Melbourne.</w:t>
              </w:r>
            </w:p>
            <w:p w14:paraId="4ED034BB" w14:textId="77777777" w:rsidR="00E72891" w:rsidRDefault="00E72891" w:rsidP="00E72891">
              <w:pPr>
                <w:pStyle w:val="Bibliography"/>
                <w:ind w:left="720" w:hanging="720"/>
                <w:rPr>
                  <w:noProof/>
                </w:rPr>
              </w:pPr>
              <w:r>
                <w:rPr>
                  <w:noProof/>
                </w:rPr>
                <w:t xml:space="preserve">Australian Accounting Standards Board. (2010). </w:t>
              </w:r>
              <w:r>
                <w:rPr>
                  <w:i/>
                  <w:iCs/>
                  <w:noProof/>
                </w:rPr>
                <w:t>AASB 9 - Financial Instruments.</w:t>
              </w:r>
              <w:r>
                <w:rPr>
                  <w:noProof/>
                </w:rPr>
                <w:t xml:space="preserve"> Melbourne.</w:t>
              </w:r>
            </w:p>
            <w:p w14:paraId="2483C4AC" w14:textId="77777777" w:rsidR="00E72891" w:rsidRDefault="00E72891" w:rsidP="00E72891">
              <w:pPr>
                <w:pStyle w:val="Bibliography"/>
                <w:ind w:left="720" w:hanging="720"/>
                <w:rPr>
                  <w:noProof/>
                </w:rPr>
              </w:pPr>
              <w:r>
                <w:rPr>
                  <w:noProof/>
                </w:rPr>
                <w:t xml:space="preserve">Australian Accounting Standards Board. (2012). </w:t>
              </w:r>
              <w:r>
                <w:rPr>
                  <w:i/>
                  <w:iCs/>
                  <w:noProof/>
                </w:rPr>
                <w:t>AASB 1049 - Whole of Government and General Government Sector Financial Reporting.</w:t>
              </w:r>
              <w:r>
                <w:rPr>
                  <w:noProof/>
                </w:rPr>
                <w:t xml:space="preserve"> Melbourne.</w:t>
              </w:r>
            </w:p>
            <w:p w14:paraId="6E1CD30C" w14:textId="77777777" w:rsidR="00E72891" w:rsidRDefault="00E72891" w:rsidP="00E72891">
              <w:pPr>
                <w:pStyle w:val="Bibliography"/>
                <w:ind w:left="720" w:hanging="720"/>
                <w:rPr>
                  <w:noProof/>
                </w:rPr>
              </w:pPr>
              <w:r>
                <w:rPr>
                  <w:noProof/>
                </w:rPr>
                <w:t xml:space="preserve">Australian Accounting Standards Board. (2016). </w:t>
              </w:r>
              <w:r>
                <w:rPr>
                  <w:i/>
                  <w:iCs/>
                  <w:noProof/>
                </w:rPr>
                <w:t>AASB 16 - Leases.</w:t>
              </w:r>
              <w:r>
                <w:rPr>
                  <w:noProof/>
                </w:rPr>
                <w:t xml:space="preserve"> Melbourne.</w:t>
              </w:r>
            </w:p>
            <w:p w14:paraId="62D96805" w14:textId="77777777" w:rsidR="00E72891" w:rsidRDefault="00E72891" w:rsidP="00E72891">
              <w:pPr>
                <w:pStyle w:val="Bibliography"/>
                <w:ind w:left="720" w:hanging="720"/>
                <w:rPr>
                  <w:noProof/>
                </w:rPr>
              </w:pPr>
              <w:r>
                <w:rPr>
                  <w:noProof/>
                </w:rPr>
                <w:t xml:space="preserve">Australian Accounting Standards Board. (2017). </w:t>
              </w:r>
              <w:r>
                <w:rPr>
                  <w:i/>
                  <w:iCs/>
                  <w:noProof/>
                </w:rPr>
                <w:t>AASB 1059 Service Concession Arrangements: Grantor.</w:t>
              </w:r>
              <w:r>
                <w:rPr>
                  <w:noProof/>
                </w:rPr>
                <w:t xml:space="preserve"> Melbourne.</w:t>
              </w:r>
            </w:p>
            <w:p w14:paraId="497880FA" w14:textId="77777777" w:rsidR="00E72891" w:rsidRDefault="00E72891" w:rsidP="00E72891">
              <w:pPr>
                <w:pStyle w:val="Bibliography"/>
                <w:ind w:left="720" w:hanging="720"/>
                <w:rPr>
                  <w:noProof/>
                </w:rPr>
              </w:pPr>
              <w:r>
                <w:rPr>
                  <w:noProof/>
                </w:rPr>
                <w:t xml:space="preserve">Australian Accounting Standards Board. (2018). </w:t>
              </w:r>
              <w:r>
                <w:rPr>
                  <w:i/>
                  <w:iCs/>
                  <w:noProof/>
                </w:rPr>
                <w:t>AASB 2018-5 Amendments to Australian Accounting Standards – Deferral of AASB 1059.</w:t>
              </w:r>
              <w:r>
                <w:rPr>
                  <w:noProof/>
                </w:rPr>
                <w:t xml:space="preserve"> Melbourne.</w:t>
              </w:r>
            </w:p>
            <w:p w14:paraId="2EF8C5A5" w14:textId="77777777" w:rsidR="00E72891" w:rsidRDefault="00E72891" w:rsidP="00E72891">
              <w:pPr>
                <w:pStyle w:val="Bibliography"/>
                <w:ind w:left="720" w:hanging="720"/>
                <w:rPr>
                  <w:noProof/>
                </w:rPr>
              </w:pPr>
              <w:r>
                <w:rPr>
                  <w:noProof/>
                </w:rPr>
                <w:t xml:space="preserve">Australian Bureau of Statistics. (2020). </w:t>
              </w:r>
              <w:r>
                <w:rPr>
                  <w:i/>
                  <w:iCs/>
                  <w:noProof/>
                </w:rPr>
                <w:t>Australian National Accounts: National Income, Expenditure and Product, September 2020.</w:t>
              </w:r>
              <w:r>
                <w:rPr>
                  <w:noProof/>
                </w:rPr>
                <w:t xml:space="preserve"> Canberra.</w:t>
              </w:r>
            </w:p>
            <w:p w14:paraId="18C32814" w14:textId="77777777" w:rsidR="00E72891" w:rsidRDefault="00E72891" w:rsidP="00E72891">
              <w:pPr>
                <w:pStyle w:val="Bibliography"/>
                <w:ind w:left="720" w:hanging="720"/>
                <w:rPr>
                  <w:noProof/>
                </w:rPr>
              </w:pPr>
              <w:r>
                <w:rPr>
                  <w:noProof/>
                </w:rPr>
                <w:t xml:space="preserve">Australian Bureau of Statistics. (2020a). </w:t>
              </w:r>
              <w:r>
                <w:rPr>
                  <w:i/>
                  <w:iCs/>
                  <w:noProof/>
                </w:rPr>
                <w:t>Australian National Accounts: State Accounts, 2019-2020.</w:t>
              </w:r>
              <w:r>
                <w:rPr>
                  <w:noProof/>
                </w:rPr>
                <w:t xml:space="preserve"> Canberra.</w:t>
              </w:r>
            </w:p>
            <w:p w14:paraId="11E558A4" w14:textId="77777777" w:rsidR="00E72891" w:rsidRDefault="00E72891" w:rsidP="00E72891">
              <w:pPr>
                <w:pStyle w:val="Bibliography"/>
                <w:ind w:left="720" w:hanging="720"/>
                <w:rPr>
                  <w:noProof/>
                </w:rPr>
              </w:pPr>
              <w:r>
                <w:rPr>
                  <w:noProof/>
                </w:rPr>
                <w:t xml:space="preserve">Australian Bureau of Statistics. (2020b). </w:t>
              </w:r>
              <w:r>
                <w:rPr>
                  <w:i/>
                  <w:iCs/>
                  <w:noProof/>
                </w:rPr>
                <w:t>National, State and Territory Population June 2020.</w:t>
              </w:r>
              <w:r>
                <w:rPr>
                  <w:noProof/>
                </w:rPr>
                <w:t xml:space="preserve"> Canberra.</w:t>
              </w:r>
            </w:p>
            <w:p w14:paraId="26864919" w14:textId="77777777" w:rsidR="00E72891" w:rsidRDefault="00E72891" w:rsidP="00E72891">
              <w:pPr>
                <w:pStyle w:val="Bibliography"/>
                <w:ind w:left="720" w:hanging="720"/>
                <w:rPr>
                  <w:noProof/>
                </w:rPr>
              </w:pPr>
              <w:r>
                <w:rPr>
                  <w:noProof/>
                </w:rPr>
                <w:t xml:space="preserve">Australian Bureau of Statistics. (2020c). </w:t>
              </w:r>
              <w:r>
                <w:rPr>
                  <w:i/>
                  <w:iCs/>
                  <w:noProof/>
                </w:rPr>
                <w:t>Residential Property Price Indexes: Eight Capital Cities September 2020.</w:t>
              </w:r>
              <w:r>
                <w:rPr>
                  <w:noProof/>
                </w:rPr>
                <w:t xml:space="preserve"> Canberra.</w:t>
              </w:r>
            </w:p>
            <w:p w14:paraId="08AEFC6F" w14:textId="77777777" w:rsidR="00E72891" w:rsidRDefault="00E72891" w:rsidP="00E72891">
              <w:pPr>
                <w:pStyle w:val="Bibliography"/>
                <w:ind w:left="720" w:hanging="720"/>
                <w:rPr>
                  <w:noProof/>
                </w:rPr>
              </w:pPr>
              <w:r>
                <w:rPr>
                  <w:noProof/>
                </w:rPr>
                <w:t xml:space="preserve">Australian Bureau of Statistics. (2020d). </w:t>
              </w:r>
              <w:r>
                <w:rPr>
                  <w:i/>
                  <w:iCs/>
                  <w:noProof/>
                </w:rPr>
                <w:t>Wage Price Index, Australia, September 2020.</w:t>
              </w:r>
              <w:r>
                <w:rPr>
                  <w:noProof/>
                </w:rPr>
                <w:t xml:space="preserve"> Canberra.</w:t>
              </w:r>
            </w:p>
            <w:p w14:paraId="3C16D237" w14:textId="77777777" w:rsidR="00E72891" w:rsidRDefault="00E72891" w:rsidP="00E72891">
              <w:pPr>
                <w:pStyle w:val="Bibliography"/>
                <w:ind w:left="720" w:hanging="720"/>
                <w:rPr>
                  <w:noProof/>
                </w:rPr>
              </w:pPr>
              <w:r>
                <w:rPr>
                  <w:noProof/>
                </w:rPr>
                <w:lastRenderedPageBreak/>
                <w:t xml:space="preserve">Australian Bureau of Statistics. (2021). </w:t>
              </w:r>
              <w:r>
                <w:rPr>
                  <w:i/>
                  <w:iCs/>
                  <w:noProof/>
                </w:rPr>
                <w:t>Consumer Price Index, Australia, December 2020 - ABS Cat no. 6401.0.</w:t>
              </w:r>
              <w:r>
                <w:rPr>
                  <w:noProof/>
                </w:rPr>
                <w:t xml:space="preserve"> Canberra.</w:t>
              </w:r>
            </w:p>
            <w:p w14:paraId="528B620B" w14:textId="77777777" w:rsidR="00E72891" w:rsidRDefault="00E72891" w:rsidP="00E72891">
              <w:pPr>
                <w:pStyle w:val="Bibliography"/>
                <w:ind w:left="720" w:hanging="720"/>
                <w:rPr>
                  <w:noProof/>
                </w:rPr>
              </w:pPr>
              <w:r>
                <w:rPr>
                  <w:noProof/>
                </w:rPr>
                <w:t xml:space="preserve">Australian Bureau of Statistics. (2021a). </w:t>
              </w:r>
              <w:r>
                <w:rPr>
                  <w:i/>
                  <w:iCs/>
                  <w:noProof/>
                </w:rPr>
                <w:t>Labour Force, Australia, December 2020.</w:t>
              </w:r>
              <w:r>
                <w:rPr>
                  <w:noProof/>
                </w:rPr>
                <w:t xml:space="preserve"> Canberra.</w:t>
              </w:r>
            </w:p>
            <w:p w14:paraId="483D2693" w14:textId="77777777" w:rsidR="00E72891" w:rsidRDefault="00E72891" w:rsidP="00E72891">
              <w:pPr>
                <w:pStyle w:val="Bibliography"/>
                <w:ind w:left="720" w:hanging="720"/>
                <w:rPr>
                  <w:noProof/>
                </w:rPr>
              </w:pPr>
              <w:r>
                <w:rPr>
                  <w:noProof/>
                </w:rPr>
                <w:t xml:space="preserve">Australian Bureau of Statistics. (2021b). </w:t>
              </w:r>
              <w:r>
                <w:rPr>
                  <w:i/>
                  <w:iCs/>
                  <w:noProof/>
                </w:rPr>
                <w:t>Retail Trade, Australia - December 2020.</w:t>
              </w:r>
              <w:r>
                <w:rPr>
                  <w:noProof/>
                </w:rPr>
                <w:t xml:space="preserve"> Canberra.</w:t>
              </w:r>
            </w:p>
            <w:p w14:paraId="6CFDA26D" w14:textId="77777777" w:rsidR="00E72891" w:rsidRDefault="00E72891" w:rsidP="00E72891">
              <w:pPr>
                <w:pStyle w:val="Bibliography"/>
                <w:ind w:left="720" w:hanging="720"/>
                <w:rPr>
                  <w:noProof/>
                </w:rPr>
              </w:pPr>
              <w:r>
                <w:rPr>
                  <w:noProof/>
                </w:rPr>
                <w:t xml:space="preserve">Australian Public Service Commission. (2018). </w:t>
              </w:r>
              <w:r>
                <w:rPr>
                  <w:i/>
                  <w:iCs/>
                  <w:noProof/>
                </w:rPr>
                <w:t>Remuneration - the Government's wages policy explained.</w:t>
              </w:r>
              <w:r>
                <w:rPr>
                  <w:noProof/>
                </w:rPr>
                <w:t xml:space="preserve"> Retrieved from Australian Public Service Commission: https://www.apsc.gov.au/remuneration-governments-wages-policy-explained</w:t>
              </w:r>
            </w:p>
            <w:p w14:paraId="594D254F" w14:textId="77777777" w:rsidR="00E72891" w:rsidRDefault="00E72891" w:rsidP="00E72891">
              <w:pPr>
                <w:pStyle w:val="Bibliography"/>
                <w:ind w:left="720" w:hanging="720"/>
                <w:rPr>
                  <w:noProof/>
                </w:rPr>
              </w:pPr>
              <w:r>
                <w:rPr>
                  <w:noProof/>
                </w:rPr>
                <w:t xml:space="preserve">Bahl, R., &amp; Bird, R. (2008). Subnational Taxes in Developing Countries: The Way Forward. </w:t>
              </w:r>
              <w:r>
                <w:rPr>
                  <w:i/>
                  <w:iCs/>
                  <w:noProof/>
                </w:rPr>
                <w:t>Public Budgeting &amp; Finance, 28</w:t>
              </w:r>
              <w:r>
                <w:rPr>
                  <w:noProof/>
                </w:rPr>
                <w:t>(4), 1-25.</w:t>
              </w:r>
            </w:p>
            <w:p w14:paraId="7F9D2F52" w14:textId="77777777" w:rsidR="00E72891" w:rsidRDefault="00E72891" w:rsidP="00E72891">
              <w:pPr>
                <w:pStyle w:val="Bibliography"/>
                <w:ind w:left="720" w:hanging="720"/>
                <w:rPr>
                  <w:noProof/>
                </w:rPr>
              </w:pPr>
              <w:r>
                <w:rPr>
                  <w:noProof/>
                </w:rPr>
                <w:t xml:space="preserve">Bird, R., &amp; Smart, M. (2010). Assigning State Taxes in a Federal Country. In M. Institute, </w:t>
              </w:r>
              <w:r>
                <w:rPr>
                  <w:i/>
                  <w:iCs/>
                  <w:noProof/>
                </w:rPr>
                <w:t>Australia's Future Tax and Transfer Policy Conference : proceedings of a conference</w:t>
              </w:r>
              <w:r>
                <w:rPr>
                  <w:noProof/>
                </w:rPr>
                <w:t xml:space="preserve"> (pp. 72-94). Canberra: Commonwealth of Australia.</w:t>
              </w:r>
            </w:p>
            <w:p w14:paraId="4C2D6502" w14:textId="77777777" w:rsidR="00E72891" w:rsidRDefault="00E72891" w:rsidP="00E72891">
              <w:pPr>
                <w:pStyle w:val="Bibliography"/>
                <w:ind w:left="720" w:hanging="720"/>
                <w:rPr>
                  <w:noProof/>
                </w:rPr>
              </w:pPr>
              <w:r>
                <w:rPr>
                  <w:noProof/>
                </w:rPr>
                <w:t xml:space="preserve">Blanchard, O., Charouaqui, J., Hagemann, R. P., &amp; Sartor, N. (1990). The Sustainability of Fiscal Policy: New Answers to an Old Question. </w:t>
              </w:r>
              <w:r>
                <w:rPr>
                  <w:i/>
                  <w:iCs/>
                  <w:noProof/>
                </w:rPr>
                <w:t>OECD Economic Studies</w:t>
              </w:r>
              <w:r>
                <w:rPr>
                  <w:noProof/>
                </w:rPr>
                <w:t>(15 Autumn).</w:t>
              </w:r>
            </w:p>
            <w:p w14:paraId="0488E043" w14:textId="77777777" w:rsidR="00E72891" w:rsidRDefault="00E72891" w:rsidP="00E72891">
              <w:pPr>
                <w:pStyle w:val="Bibliography"/>
                <w:ind w:left="720" w:hanging="720"/>
                <w:rPr>
                  <w:noProof/>
                </w:rPr>
              </w:pPr>
              <w:r>
                <w:rPr>
                  <w:noProof/>
                </w:rPr>
                <w:t xml:space="preserve">Centre for Population. (2020). </w:t>
              </w:r>
              <w:r>
                <w:rPr>
                  <w:i/>
                  <w:iCs/>
                  <w:noProof/>
                </w:rPr>
                <w:t>Population Statement.</w:t>
              </w:r>
              <w:r>
                <w:rPr>
                  <w:noProof/>
                </w:rPr>
                <w:t xml:space="preserve"> Canberra: Commonwealth of Australia.</w:t>
              </w:r>
            </w:p>
            <w:p w14:paraId="12101859" w14:textId="77777777" w:rsidR="00E72891" w:rsidRDefault="00E72891" w:rsidP="00E72891">
              <w:pPr>
                <w:pStyle w:val="Bibliography"/>
                <w:ind w:left="720" w:hanging="720"/>
                <w:rPr>
                  <w:noProof/>
                </w:rPr>
              </w:pPr>
              <w:r>
                <w:rPr>
                  <w:noProof/>
                </w:rPr>
                <w:t>Commonwealth of Australia. (2017a). Retrieved from Future Fund Investment Mandate Direction 2017: https://www.legislation.gov.au/Details/F2017L00597</w:t>
              </w:r>
            </w:p>
            <w:p w14:paraId="0E82D60B" w14:textId="77777777" w:rsidR="00E72891" w:rsidRDefault="00E72891" w:rsidP="00E72891">
              <w:pPr>
                <w:pStyle w:val="Bibliography"/>
                <w:ind w:left="720" w:hanging="720"/>
                <w:rPr>
                  <w:noProof/>
                </w:rPr>
              </w:pPr>
              <w:r>
                <w:rPr>
                  <w:noProof/>
                </w:rPr>
                <w:t xml:space="preserve">Commonwealth of Australia. (2018a). </w:t>
              </w:r>
              <w:r>
                <w:rPr>
                  <w:i/>
                  <w:iCs/>
                  <w:noProof/>
                </w:rPr>
                <w:t>Regional Australia – A Stronger Economy Delivering Stronger Regions 2018-19.</w:t>
              </w:r>
              <w:r>
                <w:rPr>
                  <w:noProof/>
                </w:rPr>
                <w:t xml:space="preserve"> Canberra: Department of Infrastructure, Regional Development and Cities.</w:t>
              </w:r>
            </w:p>
            <w:p w14:paraId="4C5A10F4" w14:textId="77777777" w:rsidR="00E72891" w:rsidRDefault="00E72891" w:rsidP="00E72891">
              <w:pPr>
                <w:pStyle w:val="Bibliography"/>
                <w:ind w:left="720" w:hanging="720"/>
                <w:rPr>
                  <w:noProof/>
                </w:rPr>
              </w:pPr>
              <w:r>
                <w:rPr>
                  <w:noProof/>
                </w:rPr>
                <w:t xml:space="preserve">Commonwealth of Australia. (2019). </w:t>
              </w:r>
              <w:r>
                <w:rPr>
                  <w:i/>
                  <w:iCs/>
                  <w:noProof/>
                </w:rPr>
                <w:t>Building Stronger Regional Communities.</w:t>
              </w:r>
              <w:r>
                <w:rPr>
                  <w:noProof/>
                </w:rPr>
                <w:t xml:space="preserve"> Canberra.</w:t>
              </w:r>
            </w:p>
            <w:p w14:paraId="364939E2" w14:textId="77777777" w:rsidR="00E72891" w:rsidRDefault="00E72891" w:rsidP="00E72891">
              <w:pPr>
                <w:pStyle w:val="Bibliography"/>
                <w:ind w:left="720" w:hanging="720"/>
                <w:rPr>
                  <w:noProof/>
                </w:rPr>
              </w:pPr>
              <w:r>
                <w:rPr>
                  <w:noProof/>
                </w:rPr>
                <w:t xml:space="preserve">Commonwealth of Australia. (2019a). </w:t>
              </w:r>
              <w:r>
                <w:rPr>
                  <w:i/>
                  <w:iCs/>
                  <w:noProof/>
                </w:rPr>
                <w:t>Mid-Year Economic and Fiscal Outlook 2019-20.</w:t>
              </w:r>
              <w:r>
                <w:rPr>
                  <w:noProof/>
                </w:rPr>
                <w:t xml:space="preserve"> Canberra.</w:t>
              </w:r>
            </w:p>
            <w:p w14:paraId="323E5364" w14:textId="77777777" w:rsidR="00E72891" w:rsidRDefault="00E72891" w:rsidP="00E72891">
              <w:pPr>
                <w:pStyle w:val="Bibliography"/>
                <w:ind w:left="720" w:hanging="720"/>
                <w:rPr>
                  <w:noProof/>
                </w:rPr>
              </w:pPr>
              <w:r>
                <w:rPr>
                  <w:noProof/>
                </w:rPr>
                <w:t xml:space="preserve">Commonwealth of Australia. (2020). </w:t>
              </w:r>
              <w:r>
                <w:rPr>
                  <w:i/>
                  <w:iCs/>
                  <w:noProof/>
                </w:rPr>
                <w:t>Mid-Year Economic and Fiscal Outlook 2020-21 - December 2020.</w:t>
              </w:r>
              <w:r>
                <w:rPr>
                  <w:noProof/>
                </w:rPr>
                <w:t xml:space="preserve"> Canberra.</w:t>
              </w:r>
            </w:p>
            <w:p w14:paraId="1C11F753" w14:textId="77777777" w:rsidR="00E72891" w:rsidRDefault="00E72891" w:rsidP="00E72891">
              <w:pPr>
                <w:pStyle w:val="Bibliography"/>
                <w:ind w:left="720" w:hanging="720"/>
                <w:rPr>
                  <w:noProof/>
                </w:rPr>
              </w:pPr>
              <w:r>
                <w:rPr>
                  <w:noProof/>
                </w:rPr>
                <w:t xml:space="preserve">CoreLogic. (2019). Housing downturn losing steam as the pace of declining home values continues to reduce in May. </w:t>
              </w:r>
              <w:r>
                <w:rPr>
                  <w:i/>
                  <w:iCs/>
                  <w:noProof/>
                </w:rPr>
                <w:t>National Media Release</w:t>
              </w:r>
              <w:r>
                <w:rPr>
                  <w:noProof/>
                </w:rPr>
                <w:t>.</w:t>
              </w:r>
            </w:p>
            <w:p w14:paraId="7849F661" w14:textId="77777777" w:rsidR="00E72891" w:rsidRDefault="00E72891" w:rsidP="00E72891">
              <w:pPr>
                <w:pStyle w:val="Bibliography"/>
                <w:ind w:left="720" w:hanging="720"/>
                <w:rPr>
                  <w:noProof/>
                </w:rPr>
              </w:pPr>
              <w:r>
                <w:rPr>
                  <w:noProof/>
                </w:rPr>
                <w:t xml:space="preserve">Davey, A., &amp; Fisher, R. (2017). </w:t>
              </w:r>
              <w:r>
                <w:rPr>
                  <w:i/>
                  <w:iCs/>
                  <w:noProof/>
                </w:rPr>
                <w:t>Review of the ACT Budget 2017-18.</w:t>
              </w:r>
              <w:r>
                <w:rPr>
                  <w:noProof/>
                </w:rPr>
                <w:t xml:space="preserve"> Canberra.</w:t>
              </w:r>
            </w:p>
            <w:p w14:paraId="487DCF2A" w14:textId="77777777" w:rsidR="00E72891" w:rsidRDefault="00E72891" w:rsidP="00E72891">
              <w:pPr>
                <w:pStyle w:val="Bibliography"/>
                <w:ind w:left="720" w:hanging="720"/>
                <w:rPr>
                  <w:noProof/>
                </w:rPr>
              </w:pPr>
              <w:r>
                <w:rPr>
                  <w:noProof/>
                </w:rPr>
                <w:t xml:space="preserve">Davey, A., Kaufmann, B., Bartos, S., &amp; Antcliff, S. (2019). </w:t>
              </w:r>
              <w:r>
                <w:rPr>
                  <w:i/>
                  <w:iCs/>
                  <w:noProof/>
                </w:rPr>
                <w:t>Review of the ACT Budget 2019-20.</w:t>
              </w:r>
              <w:r>
                <w:rPr>
                  <w:noProof/>
                </w:rPr>
                <w:t xml:space="preserve"> Canberra: Pegasus Economics.</w:t>
              </w:r>
            </w:p>
            <w:p w14:paraId="1D8155B4" w14:textId="77777777" w:rsidR="00E72891" w:rsidRDefault="00E72891" w:rsidP="00E72891">
              <w:pPr>
                <w:pStyle w:val="Bibliography"/>
                <w:ind w:left="720" w:hanging="720"/>
                <w:rPr>
                  <w:noProof/>
                </w:rPr>
              </w:pPr>
              <w:r>
                <w:rPr>
                  <w:noProof/>
                </w:rPr>
                <w:t xml:space="preserve">Dowd, K. (2009). Moral Hazard and the Financial Crisis. </w:t>
              </w:r>
              <w:r>
                <w:rPr>
                  <w:i/>
                  <w:iCs/>
                  <w:noProof/>
                </w:rPr>
                <w:t>Cato Journal, 29</w:t>
              </w:r>
              <w:r>
                <w:rPr>
                  <w:noProof/>
                </w:rPr>
                <w:t>, 141-166.</w:t>
              </w:r>
            </w:p>
            <w:p w14:paraId="05C18CE5" w14:textId="77777777" w:rsidR="00E72891" w:rsidRDefault="00E72891" w:rsidP="00E72891">
              <w:pPr>
                <w:pStyle w:val="Bibliography"/>
                <w:ind w:left="720" w:hanging="720"/>
                <w:rPr>
                  <w:noProof/>
                </w:rPr>
              </w:pPr>
              <w:r>
                <w:rPr>
                  <w:noProof/>
                </w:rPr>
                <w:t xml:space="preserve">Harling, J. (2021, February 8). </w:t>
              </w:r>
              <w:r>
                <w:rPr>
                  <w:i/>
                  <w:iCs/>
                  <w:noProof/>
                </w:rPr>
                <w:t>Preliminary clearance rate improves as volumes rise across the combined capitals.</w:t>
              </w:r>
              <w:r>
                <w:rPr>
                  <w:noProof/>
                </w:rPr>
                <w:t xml:space="preserve"> Retrieved from CoreLogic: https://www.corelogic.com.au/news/preliminary-clearance-rate-improves-volumes-rise-across-combined-capitals</w:t>
              </w:r>
            </w:p>
            <w:p w14:paraId="6D46F100" w14:textId="77777777" w:rsidR="00E72891" w:rsidRDefault="00E72891" w:rsidP="00E72891">
              <w:pPr>
                <w:pStyle w:val="Bibliography"/>
                <w:ind w:left="720" w:hanging="720"/>
                <w:rPr>
                  <w:noProof/>
                </w:rPr>
              </w:pPr>
              <w:r>
                <w:rPr>
                  <w:noProof/>
                </w:rPr>
                <w:t xml:space="preserve">Henry, K., Harmer, J., Piggott, J., Ridout, H., &amp; Smith, G. (2010). </w:t>
              </w:r>
              <w:r>
                <w:rPr>
                  <w:i/>
                  <w:iCs/>
                  <w:noProof/>
                </w:rPr>
                <w:t>Australia's Future Tax System: Report to the Treasurer, Detailed Analysis Volume 1.</w:t>
              </w:r>
              <w:r>
                <w:rPr>
                  <w:noProof/>
                </w:rPr>
                <w:t xml:space="preserve"> Canberra: Commonwealth of Australia.</w:t>
              </w:r>
            </w:p>
            <w:p w14:paraId="55987599" w14:textId="77777777" w:rsidR="00E72891" w:rsidRDefault="00E72891" w:rsidP="00E72891">
              <w:pPr>
                <w:pStyle w:val="Bibliography"/>
                <w:ind w:left="720" w:hanging="720"/>
                <w:rPr>
                  <w:noProof/>
                </w:rPr>
              </w:pPr>
              <w:r>
                <w:rPr>
                  <w:noProof/>
                </w:rPr>
                <w:t xml:space="preserve">Henry, K., Harmer, J., Piggott, J., Ridout, H., &amp; Smith, G. (2010a). </w:t>
              </w:r>
              <w:r>
                <w:rPr>
                  <w:i/>
                  <w:iCs/>
                  <w:noProof/>
                </w:rPr>
                <w:t>Australia's Future Tax System: Report to the Treasurer, Detailed Analysis Volume 2.</w:t>
              </w:r>
              <w:r>
                <w:rPr>
                  <w:noProof/>
                </w:rPr>
                <w:t xml:space="preserve"> Canberra: Commonwealth of Australia.</w:t>
              </w:r>
            </w:p>
            <w:p w14:paraId="54E45E4D" w14:textId="77777777" w:rsidR="00E72891" w:rsidRDefault="00E72891" w:rsidP="00E72891">
              <w:pPr>
                <w:pStyle w:val="Bibliography"/>
                <w:ind w:left="720" w:hanging="720"/>
                <w:rPr>
                  <w:noProof/>
                </w:rPr>
              </w:pPr>
              <w:r>
                <w:rPr>
                  <w:noProof/>
                </w:rPr>
                <w:t xml:space="preserve">International Monetary Fund. (n.d.). </w:t>
              </w:r>
              <w:r>
                <w:rPr>
                  <w:i/>
                  <w:iCs/>
                  <w:noProof/>
                </w:rPr>
                <w:t>Government Finance Manual.</w:t>
              </w:r>
              <w:r>
                <w:rPr>
                  <w:noProof/>
                </w:rPr>
                <w:t xml:space="preserve"> </w:t>
              </w:r>
            </w:p>
            <w:p w14:paraId="58028324" w14:textId="77777777" w:rsidR="00E72891" w:rsidRDefault="00E72891" w:rsidP="00E72891">
              <w:pPr>
                <w:pStyle w:val="Bibliography"/>
                <w:ind w:left="720" w:hanging="720"/>
                <w:rPr>
                  <w:noProof/>
                </w:rPr>
              </w:pPr>
              <w:r>
                <w:rPr>
                  <w:noProof/>
                </w:rPr>
                <w:t xml:space="preserve">International Public Sector Accounting Standards Board. (2011). </w:t>
              </w:r>
              <w:r>
                <w:rPr>
                  <w:i/>
                  <w:iCs/>
                  <w:noProof/>
                </w:rPr>
                <w:t>IPSAS 32 - Service Concession Arrangements: Grantor.</w:t>
              </w:r>
              <w:r>
                <w:rPr>
                  <w:noProof/>
                </w:rPr>
                <w:t xml:space="preserve"> London.</w:t>
              </w:r>
            </w:p>
            <w:p w14:paraId="736DEDBE" w14:textId="77777777" w:rsidR="00E72891" w:rsidRDefault="00E72891" w:rsidP="00E72891">
              <w:pPr>
                <w:pStyle w:val="Bibliography"/>
                <w:ind w:left="720" w:hanging="720"/>
                <w:rPr>
                  <w:noProof/>
                </w:rPr>
              </w:pPr>
              <w:r>
                <w:rPr>
                  <w:noProof/>
                </w:rPr>
                <w:lastRenderedPageBreak/>
                <w:t xml:space="preserve">Joint Committee of Public Accounts (JCPA). (1995). </w:t>
              </w:r>
              <w:r>
                <w:rPr>
                  <w:i/>
                  <w:iCs/>
                  <w:noProof/>
                </w:rPr>
                <w:t>Accrual Accounting-a Cultural Change.</w:t>
              </w:r>
              <w:r>
                <w:rPr>
                  <w:noProof/>
                </w:rPr>
                <w:t xml:space="preserve"> Parliament of the Commonwealth of Australia.</w:t>
              </w:r>
            </w:p>
            <w:p w14:paraId="5B4680EA" w14:textId="77777777" w:rsidR="00E72891" w:rsidRDefault="00E72891" w:rsidP="00E72891">
              <w:pPr>
                <w:pStyle w:val="Bibliography"/>
                <w:ind w:left="720" w:hanging="720"/>
                <w:rPr>
                  <w:noProof/>
                </w:rPr>
              </w:pPr>
              <w:r>
                <w:rPr>
                  <w:noProof/>
                </w:rPr>
                <w:t xml:space="preserve">Kornai, J., Maskin, E., &amp; Roland, G. (2003). Understanding the Soft Budget Constraint. </w:t>
              </w:r>
              <w:r>
                <w:rPr>
                  <w:i/>
                  <w:iCs/>
                  <w:noProof/>
                </w:rPr>
                <w:t>Journal of Economic Literature, 41</w:t>
              </w:r>
              <w:r>
                <w:rPr>
                  <w:noProof/>
                </w:rPr>
                <w:t>, 1095–1136.</w:t>
              </w:r>
            </w:p>
            <w:p w14:paraId="3ACC8A9E" w14:textId="77777777" w:rsidR="00E72891" w:rsidRDefault="00E72891" w:rsidP="00E72891">
              <w:pPr>
                <w:pStyle w:val="Bibliography"/>
                <w:ind w:left="720" w:hanging="720"/>
                <w:rPr>
                  <w:noProof/>
                </w:rPr>
              </w:pPr>
              <w:r>
                <w:rPr>
                  <w:noProof/>
                </w:rPr>
                <w:t xml:space="preserve">Krugman, P. (2009). </w:t>
              </w:r>
              <w:r>
                <w:rPr>
                  <w:i/>
                  <w:iCs/>
                  <w:noProof/>
                </w:rPr>
                <w:t>The Return of Depression Economics and the Crisis of 2008.</w:t>
              </w:r>
              <w:r>
                <w:rPr>
                  <w:noProof/>
                </w:rPr>
                <w:t xml:space="preserve"> New York: W.W. Norton Company Limited.</w:t>
              </w:r>
            </w:p>
            <w:p w14:paraId="53EEA1AB" w14:textId="77777777" w:rsidR="00E72891" w:rsidRDefault="00E72891" w:rsidP="00E72891">
              <w:pPr>
                <w:pStyle w:val="Bibliography"/>
                <w:ind w:left="720" w:hanging="720"/>
                <w:rPr>
                  <w:noProof/>
                </w:rPr>
              </w:pPr>
              <w:r>
                <w:rPr>
                  <w:noProof/>
                </w:rPr>
                <w:t xml:space="preserve">Liberal Party of Australia. (2019). </w:t>
              </w:r>
              <w:r>
                <w:rPr>
                  <w:i/>
                  <w:iCs/>
                  <w:noProof/>
                </w:rPr>
                <w:t>Our Plan to Deliver Budget Surpluses Without Increasing Taxes.</w:t>
              </w:r>
              <w:r>
                <w:rPr>
                  <w:noProof/>
                </w:rPr>
                <w:t xml:space="preserve"> </w:t>
              </w:r>
            </w:p>
            <w:p w14:paraId="04BD07E6" w14:textId="77777777" w:rsidR="00E72891" w:rsidRDefault="00E72891" w:rsidP="00E72891">
              <w:pPr>
                <w:pStyle w:val="Bibliography"/>
                <w:ind w:left="720" w:hanging="720"/>
                <w:rPr>
                  <w:noProof/>
                </w:rPr>
              </w:pPr>
              <w:r>
                <w:rPr>
                  <w:noProof/>
                </w:rPr>
                <w:t xml:space="preserve">Mellor, T. (1996). Why Governments Should Produce Balance Sheets. </w:t>
              </w:r>
              <w:r>
                <w:rPr>
                  <w:i/>
                  <w:iCs/>
                  <w:noProof/>
                </w:rPr>
                <w:t>Australian Journal of Public Administration, 55</w:t>
              </w:r>
              <w:r>
                <w:rPr>
                  <w:noProof/>
                </w:rPr>
                <w:t>, 78-81.</w:t>
              </w:r>
            </w:p>
            <w:p w14:paraId="62E4AFCF" w14:textId="77777777" w:rsidR="00E72891" w:rsidRDefault="00E72891" w:rsidP="00E72891">
              <w:pPr>
                <w:pStyle w:val="Bibliography"/>
                <w:ind w:left="720" w:hanging="720"/>
                <w:rPr>
                  <w:noProof/>
                </w:rPr>
              </w:pPr>
              <w:r>
                <w:rPr>
                  <w:noProof/>
                </w:rPr>
                <w:t xml:space="preserve">Moreton, B. (2020). New wages policy for Commonwealth Public Servants and a review of performance bonus arrangements for senior executives. </w:t>
              </w:r>
              <w:r>
                <w:rPr>
                  <w:i/>
                  <w:iCs/>
                  <w:noProof/>
                </w:rPr>
                <w:t>Press Release by the Assistant Minister to the Prime Minister and Cabinet, Assistant Minister to the Minister for the Public Service, and Assistant Minister for Electoral Matters</w:t>
              </w:r>
              <w:r>
                <w:rPr>
                  <w:noProof/>
                </w:rPr>
                <w:t>, 13 November.</w:t>
              </w:r>
            </w:p>
            <w:p w14:paraId="7A398D4F" w14:textId="77777777" w:rsidR="00E72891" w:rsidRDefault="00E72891" w:rsidP="00E72891">
              <w:pPr>
                <w:pStyle w:val="Bibliography"/>
                <w:ind w:left="720" w:hanging="720"/>
                <w:rPr>
                  <w:noProof/>
                </w:rPr>
              </w:pPr>
              <w:r>
                <w:rPr>
                  <w:noProof/>
                </w:rPr>
                <w:t xml:space="preserve">Nash, F. (2017). Coalition begins decentralisation process. </w:t>
              </w:r>
              <w:r>
                <w:rPr>
                  <w:i/>
                  <w:iCs/>
                  <w:noProof/>
                </w:rPr>
                <w:t>Media Release by the Minister for Regional Development and the Minister for Local Government and Territories</w:t>
              </w:r>
              <w:r>
                <w:rPr>
                  <w:noProof/>
                </w:rPr>
                <w:t>, 19 April.</w:t>
              </w:r>
            </w:p>
            <w:p w14:paraId="0CEF0C3C" w14:textId="77777777" w:rsidR="00E72891" w:rsidRDefault="00E72891" w:rsidP="00E72891">
              <w:pPr>
                <w:pStyle w:val="Bibliography"/>
                <w:ind w:left="720" w:hanging="720"/>
                <w:rPr>
                  <w:noProof/>
                </w:rPr>
              </w:pPr>
              <w:r>
                <w:rPr>
                  <w:noProof/>
                </w:rPr>
                <w:t xml:space="preserve">NSW Government. (2020). </w:t>
              </w:r>
              <w:r>
                <w:rPr>
                  <w:i/>
                  <w:iCs/>
                  <w:noProof/>
                </w:rPr>
                <w:t>Consultation Paper:: Buying in NSW, Building a Future.</w:t>
              </w:r>
              <w:r>
                <w:rPr>
                  <w:noProof/>
                </w:rPr>
                <w:t xml:space="preserve"> Sydney.</w:t>
              </w:r>
            </w:p>
            <w:p w14:paraId="49B50914" w14:textId="77777777" w:rsidR="00E72891" w:rsidRDefault="00E72891" w:rsidP="00E72891">
              <w:pPr>
                <w:pStyle w:val="Bibliography"/>
                <w:ind w:left="720" w:hanging="720"/>
                <w:rPr>
                  <w:noProof/>
                </w:rPr>
              </w:pPr>
              <w:r>
                <w:rPr>
                  <w:noProof/>
                </w:rPr>
                <w:t xml:space="preserve">Oates, W. E. (1972). </w:t>
              </w:r>
              <w:r>
                <w:rPr>
                  <w:i/>
                  <w:iCs/>
                  <w:noProof/>
                </w:rPr>
                <w:t>Fiscal Federalism.</w:t>
              </w:r>
              <w:r>
                <w:rPr>
                  <w:noProof/>
                </w:rPr>
                <w:t xml:space="preserve"> New York: Harcourt Brace Jovanovich.</w:t>
              </w:r>
            </w:p>
            <w:p w14:paraId="412A0F58" w14:textId="77777777" w:rsidR="00E72891" w:rsidRDefault="00E72891" w:rsidP="00E72891">
              <w:pPr>
                <w:pStyle w:val="Bibliography"/>
                <w:ind w:left="720" w:hanging="720"/>
                <w:rPr>
                  <w:noProof/>
                </w:rPr>
              </w:pPr>
              <w:r>
                <w:rPr>
                  <w:noProof/>
                </w:rPr>
                <w:t xml:space="preserve">Oates, W. E. (1999). An Essay on Fiscal Federalism. </w:t>
              </w:r>
              <w:r>
                <w:rPr>
                  <w:i/>
                  <w:iCs/>
                  <w:noProof/>
                </w:rPr>
                <w:t>Journal of Economic Literature, 37</w:t>
              </w:r>
              <w:r>
                <w:rPr>
                  <w:noProof/>
                </w:rPr>
                <w:t>, 1120-1149.</w:t>
              </w:r>
            </w:p>
            <w:p w14:paraId="059B7CF6" w14:textId="77777777" w:rsidR="00E72891" w:rsidRDefault="00E72891" w:rsidP="00E72891">
              <w:pPr>
                <w:pStyle w:val="Bibliography"/>
                <w:ind w:left="720" w:hanging="720"/>
                <w:rPr>
                  <w:noProof/>
                </w:rPr>
              </w:pPr>
              <w:r>
                <w:rPr>
                  <w:noProof/>
                </w:rPr>
                <w:t xml:space="preserve">Oates, W. E. (2008). On The Evolution of Fiscal Federalism: Theory and Institutions. </w:t>
              </w:r>
              <w:r>
                <w:rPr>
                  <w:i/>
                  <w:iCs/>
                  <w:noProof/>
                </w:rPr>
                <w:t>National Tax Journal, LXI</w:t>
              </w:r>
              <w:r>
                <w:rPr>
                  <w:noProof/>
                </w:rPr>
                <w:t>, 313-334.</w:t>
              </w:r>
            </w:p>
            <w:p w14:paraId="3915A29D" w14:textId="77777777" w:rsidR="00E72891" w:rsidRDefault="00E72891" w:rsidP="00E72891">
              <w:pPr>
                <w:pStyle w:val="Bibliography"/>
                <w:ind w:left="720" w:hanging="720"/>
                <w:rPr>
                  <w:noProof/>
                </w:rPr>
              </w:pPr>
              <w:r>
                <w:rPr>
                  <w:noProof/>
                </w:rPr>
                <w:t xml:space="preserve">Reardon, T., &amp; Hopkins, D. (2018, February 15). Analysis ACT Tax reform Initiative. </w:t>
              </w:r>
              <w:r>
                <w:rPr>
                  <w:i/>
                  <w:iCs/>
                  <w:noProof/>
                </w:rPr>
                <w:t>HIA National Outlook: A quarterly update on the housing &amp; renovation industry - Summer Edition 2018</w:t>
              </w:r>
              <w:r>
                <w:rPr>
                  <w:noProof/>
                </w:rPr>
                <w:t>, pp. 4-11.</w:t>
              </w:r>
            </w:p>
            <w:p w14:paraId="0E0C3230" w14:textId="77777777" w:rsidR="00E72891" w:rsidRDefault="00E72891" w:rsidP="00E72891">
              <w:pPr>
                <w:pStyle w:val="Bibliography"/>
                <w:ind w:left="720" w:hanging="720"/>
                <w:rPr>
                  <w:noProof/>
                </w:rPr>
              </w:pPr>
              <w:r>
                <w:rPr>
                  <w:noProof/>
                </w:rPr>
                <w:t xml:space="preserve">Robinson, M. (1996). </w:t>
              </w:r>
              <w:r>
                <w:rPr>
                  <w:i/>
                  <w:iCs/>
                  <w:noProof/>
                </w:rPr>
                <w:t>Public Sector Net Worth: Is it Worth Measuring?</w:t>
              </w:r>
              <w:r>
                <w:rPr>
                  <w:noProof/>
                </w:rPr>
                <w:t xml:space="preserve"> Department of the Parliamentary Library.</w:t>
              </w:r>
            </w:p>
            <w:p w14:paraId="04EE040D" w14:textId="77777777" w:rsidR="00E72891" w:rsidRDefault="00E72891" w:rsidP="00E72891">
              <w:pPr>
                <w:pStyle w:val="Bibliography"/>
                <w:ind w:left="720" w:hanging="720"/>
                <w:rPr>
                  <w:noProof/>
                </w:rPr>
              </w:pPr>
              <w:r>
                <w:rPr>
                  <w:noProof/>
                </w:rPr>
                <w:t xml:space="preserve">Rowles, T. (1992). </w:t>
              </w:r>
              <w:r>
                <w:rPr>
                  <w:i/>
                  <w:iCs/>
                  <w:noProof/>
                </w:rPr>
                <w:t>Financial Reporting of Infrastructure and Heritage Assets by Public Sector Entities.</w:t>
              </w:r>
              <w:r>
                <w:rPr>
                  <w:noProof/>
                </w:rPr>
                <w:t xml:space="preserve"> Melbourne: AARF Discussion Paper No. 17.</w:t>
              </w:r>
            </w:p>
            <w:p w14:paraId="3A1E2B6F" w14:textId="77777777" w:rsidR="00E72891" w:rsidRDefault="00E72891" w:rsidP="00E72891">
              <w:pPr>
                <w:pStyle w:val="Bibliography"/>
                <w:ind w:left="720" w:hanging="720"/>
                <w:rPr>
                  <w:noProof/>
                </w:rPr>
              </w:pPr>
              <w:r>
                <w:rPr>
                  <w:noProof/>
                </w:rPr>
                <w:t xml:space="preserve">Victorian Auditor-General. (2020). </w:t>
              </w:r>
              <w:r>
                <w:rPr>
                  <w:i/>
                  <w:iCs/>
                  <w:noProof/>
                </w:rPr>
                <w:t>Auditor-General’s Report on the Annual Financial Report of the State of Victoria: 2019-20.</w:t>
              </w:r>
              <w:r>
                <w:rPr>
                  <w:noProof/>
                </w:rPr>
                <w:t xml:space="preserve"> Melbourne: Victorian Government Printer.</w:t>
              </w:r>
            </w:p>
            <w:p w14:paraId="32750A75" w14:textId="77777777" w:rsidR="00E72891" w:rsidRDefault="00E72891" w:rsidP="00E72891">
              <w:pPr>
                <w:pStyle w:val="Bibliography"/>
                <w:ind w:left="720" w:hanging="720"/>
                <w:rPr>
                  <w:noProof/>
                </w:rPr>
              </w:pPr>
              <w:r>
                <w:rPr>
                  <w:noProof/>
                </w:rPr>
                <w:t xml:space="preserve">Wolf, C. (1999). Financial Crises and the Challenge of “Moral Hazard”. </w:t>
              </w:r>
              <w:r>
                <w:rPr>
                  <w:i/>
                  <w:iCs/>
                  <w:noProof/>
                </w:rPr>
                <w:t>Society, 35</w:t>
              </w:r>
              <w:r>
                <w:rPr>
                  <w:noProof/>
                </w:rPr>
                <w:t>(5), 60-62.</w:t>
              </w:r>
            </w:p>
            <w:p w14:paraId="6D5AFDA6" w14:textId="736D83D1" w:rsidR="00EA67B3" w:rsidRDefault="00EA67B3" w:rsidP="00E72891">
              <w:r>
                <w:rPr>
                  <w:b/>
                  <w:bCs/>
                  <w:noProof/>
                </w:rPr>
                <w:fldChar w:fldCharType="end"/>
              </w:r>
            </w:p>
          </w:sdtContent>
        </w:sdt>
      </w:sdtContent>
    </w:sdt>
    <w:p w14:paraId="1F3B6E3C" w14:textId="26E43F07" w:rsidR="00D74FAB" w:rsidRPr="00D74FAB" w:rsidRDefault="00D74FAB" w:rsidP="00EA67B3"/>
    <w:sectPr w:rsidR="00D74FAB" w:rsidRPr="00D74FAB" w:rsidSect="005E47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2C1A7" w14:textId="77777777" w:rsidR="000A4368" w:rsidRDefault="000A4368" w:rsidP="00F509B9">
      <w:pPr>
        <w:spacing w:after="0"/>
      </w:pPr>
      <w:r>
        <w:separator/>
      </w:r>
    </w:p>
  </w:endnote>
  <w:endnote w:type="continuationSeparator" w:id="0">
    <w:p w14:paraId="297DD160" w14:textId="77777777" w:rsidR="000A4368" w:rsidRDefault="000A4368" w:rsidP="00F509B9">
      <w:pPr>
        <w:spacing w:after="0"/>
      </w:pPr>
      <w:r>
        <w:continuationSeparator/>
      </w:r>
    </w:p>
  </w:endnote>
  <w:endnote w:type="continuationNotice" w:id="1">
    <w:p w14:paraId="609BB63C" w14:textId="77777777" w:rsidR="000A4368" w:rsidRDefault="000A43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QKXAS F+ Calibri">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052012"/>
      <w:docPartObj>
        <w:docPartGallery w:val="Page Numbers (Bottom of Page)"/>
        <w:docPartUnique/>
      </w:docPartObj>
    </w:sdtPr>
    <w:sdtEndPr>
      <w:rPr>
        <w:noProof/>
      </w:rPr>
    </w:sdtEndPr>
    <w:sdtContent>
      <w:p w14:paraId="49C2CC65" w14:textId="22E5A10C" w:rsidR="00A30ABA" w:rsidRDefault="00A30ABA">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51282CD6" w14:textId="77777777" w:rsidR="00A30ABA" w:rsidRDefault="00A30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B41CA" w14:textId="77777777" w:rsidR="000A4368" w:rsidRDefault="000A4368" w:rsidP="00F509B9">
      <w:pPr>
        <w:spacing w:after="0"/>
      </w:pPr>
      <w:r>
        <w:separator/>
      </w:r>
    </w:p>
  </w:footnote>
  <w:footnote w:type="continuationSeparator" w:id="0">
    <w:p w14:paraId="7FB4B0A7" w14:textId="77777777" w:rsidR="000A4368" w:rsidRDefault="000A4368" w:rsidP="00F509B9">
      <w:pPr>
        <w:spacing w:after="0"/>
      </w:pPr>
      <w:r>
        <w:continuationSeparator/>
      </w:r>
    </w:p>
  </w:footnote>
  <w:footnote w:type="continuationNotice" w:id="1">
    <w:p w14:paraId="16E763D0" w14:textId="77777777" w:rsidR="000A4368" w:rsidRDefault="000A4368">
      <w:pPr>
        <w:spacing w:after="0"/>
      </w:pPr>
    </w:p>
  </w:footnote>
  <w:footnote w:id="2">
    <w:p w14:paraId="0E030A09" w14:textId="568E046B" w:rsidR="00A30ABA" w:rsidRDefault="00A30ABA">
      <w:pPr>
        <w:pStyle w:val="FootnoteText"/>
      </w:pPr>
      <w:r>
        <w:rPr>
          <w:rStyle w:val="FootnoteReference"/>
        </w:rPr>
        <w:footnoteRef/>
      </w:r>
      <w:r>
        <w:t xml:space="preserve"> See ABS </w:t>
      </w:r>
      <w:sdt>
        <w:sdtPr>
          <w:id w:val="1244225011"/>
          <w:citation/>
        </w:sdtPr>
        <w:sdtContent>
          <w:r>
            <w:fldChar w:fldCharType="begin"/>
          </w:r>
          <w:r>
            <w:instrText xml:space="preserve">CITATION Aus2016 \n  \t  \l 3081 </w:instrText>
          </w:r>
          <w:r>
            <w:fldChar w:fldCharType="separate"/>
          </w:r>
          <w:r>
            <w:rPr>
              <w:noProof/>
            </w:rPr>
            <w:t>(2020b)</w:t>
          </w:r>
          <w:r>
            <w:fldChar w:fldCharType="end"/>
          </w:r>
        </w:sdtContent>
      </w:sdt>
      <w:r>
        <w:t>.</w:t>
      </w:r>
    </w:p>
  </w:footnote>
  <w:footnote w:id="3">
    <w:p w14:paraId="342496FF" w14:textId="5EA0A287" w:rsidR="00A30ABA" w:rsidRPr="00EB4F9E" w:rsidRDefault="00A30ABA" w:rsidP="00CA735B">
      <w:pPr>
        <w:pStyle w:val="FootnoteText"/>
      </w:pPr>
      <w:r>
        <w:rPr>
          <w:rStyle w:val="FootnoteReference"/>
        </w:rPr>
        <w:footnoteRef/>
      </w:r>
      <w:r>
        <w:t xml:space="preserve"> Definitions and further discussion of the application of these measures are provided </w:t>
      </w:r>
      <w:r w:rsidRPr="00D84FDE">
        <w:t xml:space="preserve">in </w:t>
      </w:r>
      <w:r w:rsidRPr="00EC4DDE">
        <w:t xml:space="preserve">section </w:t>
      </w:r>
      <w:r w:rsidRPr="00D84FDE">
        <w:t>7</w:t>
      </w:r>
      <w:r>
        <w:t xml:space="preserve"> of this report.</w:t>
      </w:r>
    </w:p>
  </w:footnote>
  <w:footnote w:id="4">
    <w:p w14:paraId="1AC34238" w14:textId="77777777" w:rsidR="00A30ABA" w:rsidRDefault="00A30ABA" w:rsidP="00A62E78">
      <w:pPr>
        <w:pStyle w:val="FootnoteText"/>
        <w:rPr>
          <w:lang w:val="en-NZ"/>
        </w:rPr>
      </w:pPr>
      <w:r>
        <w:rPr>
          <w:rStyle w:val="FootnoteReference"/>
        </w:rPr>
        <w:footnoteRef/>
      </w:r>
      <w:r>
        <w:t xml:space="preserve"> Net debt takes account of gross debt liabilities, which include market and Commonwealth borrowings, and liabilities such as those associated with the impact of public private partnerships such as the Light Rail project, as well as financial assets, such as cash, deposits and investments.  </w:t>
      </w:r>
    </w:p>
  </w:footnote>
  <w:footnote w:id="5">
    <w:p w14:paraId="4FD00CF3" w14:textId="03372695" w:rsidR="00A30ABA" w:rsidRPr="009F7E8D" w:rsidRDefault="00A30ABA" w:rsidP="00A62E78">
      <w:pPr>
        <w:pStyle w:val="BodyText"/>
      </w:pPr>
      <w:r>
        <w:rPr>
          <w:rStyle w:val="FootnoteReference"/>
        </w:rPr>
        <w:footnoteRef/>
      </w:r>
      <w:r>
        <w:t xml:space="preserve"> The ACT Government’s n</w:t>
      </w:r>
      <w:r w:rsidRPr="00330009">
        <w:t>et financial liabilities were forecast as $7.3 billion in 2019-20 in the 2019-20 ACT Budget. The actual outcome for 2019-20 is reported in the Budget Papers as $12.0 billion, an increase of almost $5 billion, in 2019-20 and are then forecast to fall to a little over $9 billion in 2020-21. The reasons for these large fluctuations are not clear but it is possible that the difference between the Budget and outcome for 2019-20 reflect changes in discount rates applied to the superannuation liability in 2019-20. If this is the case, the figures are not directly comparable across these years. The Committee should seek clarification of the reason for these variations from the ACT Government.</w:t>
      </w:r>
    </w:p>
    <w:p w14:paraId="7B8D9F5D" w14:textId="77777777" w:rsidR="00A30ABA" w:rsidRDefault="00A30ABA" w:rsidP="00A62E78">
      <w:pPr>
        <w:pStyle w:val="FootnoteText"/>
      </w:pPr>
    </w:p>
  </w:footnote>
  <w:footnote w:id="6">
    <w:p w14:paraId="19ADD231" w14:textId="5820A661" w:rsidR="00A30ABA" w:rsidRDefault="00A30ABA">
      <w:pPr>
        <w:pStyle w:val="FootnoteText"/>
      </w:pPr>
      <w:r>
        <w:rPr>
          <w:rStyle w:val="FootnoteReference"/>
        </w:rPr>
        <w:footnoteRef/>
      </w:r>
      <w:r>
        <w:t xml:space="preserve"> See Australian Accounting Standards Board </w:t>
      </w:r>
      <w:sdt>
        <w:sdtPr>
          <w:id w:val="-70117232"/>
          <w:citation/>
        </w:sdtPr>
        <w:sdtContent>
          <w:r>
            <w:fldChar w:fldCharType="begin"/>
          </w:r>
          <w:r>
            <w:instrText xml:space="preserve">CITATION Aus164 \n  \t  \l 3081 </w:instrText>
          </w:r>
          <w:r>
            <w:fldChar w:fldCharType="separate"/>
          </w:r>
          <w:r>
            <w:rPr>
              <w:noProof/>
            </w:rPr>
            <w:t>(2016)</w:t>
          </w:r>
          <w:r>
            <w:fldChar w:fldCharType="end"/>
          </w:r>
        </w:sdtContent>
      </w:sdt>
      <w:r>
        <w:t>.</w:t>
      </w:r>
    </w:p>
  </w:footnote>
  <w:footnote w:id="7">
    <w:p w14:paraId="3AFB691D" w14:textId="712BA7E5" w:rsidR="00A30ABA" w:rsidRDefault="00A30ABA">
      <w:pPr>
        <w:pStyle w:val="FootnoteText"/>
      </w:pPr>
      <w:r>
        <w:rPr>
          <w:rStyle w:val="FootnoteReference"/>
        </w:rPr>
        <w:footnoteRef/>
      </w:r>
      <w:r>
        <w:t xml:space="preserve"> See ACT Government </w:t>
      </w:r>
      <w:sdt>
        <w:sdtPr>
          <w:id w:val="-1134093971"/>
          <w:citation/>
        </w:sdtPr>
        <w:sdtContent>
          <w:r>
            <w:fldChar w:fldCharType="begin"/>
          </w:r>
          <w:r>
            <w:instrText xml:space="preserve">CITATION ACT21 \p 277 \n  \t  \l 3081 </w:instrText>
          </w:r>
          <w:r>
            <w:fldChar w:fldCharType="separate"/>
          </w:r>
          <w:r>
            <w:rPr>
              <w:noProof/>
            </w:rPr>
            <w:t>(2021, p. 277)</w:t>
          </w:r>
          <w:r>
            <w:fldChar w:fldCharType="end"/>
          </w:r>
        </w:sdtContent>
      </w:sdt>
      <w:r>
        <w:t>.</w:t>
      </w:r>
    </w:p>
  </w:footnote>
  <w:footnote w:id="8">
    <w:p w14:paraId="097B1085" w14:textId="6BD27B19" w:rsidR="00A30ABA" w:rsidRDefault="00A30ABA">
      <w:pPr>
        <w:pStyle w:val="FootnoteText"/>
      </w:pPr>
      <w:r>
        <w:rPr>
          <w:rStyle w:val="FootnoteReference"/>
        </w:rPr>
        <w:footnoteRef/>
      </w:r>
      <w:r>
        <w:t xml:space="preserve"> See A</w:t>
      </w:r>
      <w:r>
        <w:rPr>
          <w:noProof/>
        </w:rPr>
        <w:t xml:space="preserve">ustralian Accounting Standards Board </w:t>
      </w:r>
      <w:sdt>
        <w:sdtPr>
          <w:rPr>
            <w:noProof/>
          </w:rPr>
          <w:id w:val="-23486241"/>
          <w:citation/>
        </w:sdtPr>
        <w:sdtContent>
          <w:r>
            <w:rPr>
              <w:noProof/>
            </w:rPr>
            <w:fldChar w:fldCharType="begin"/>
          </w:r>
          <w:r>
            <w:rPr>
              <w:noProof/>
            </w:rPr>
            <w:instrText xml:space="preserve">CITATION Aus101 \n  \t  \l 3081 </w:instrText>
          </w:r>
          <w:r>
            <w:rPr>
              <w:noProof/>
            </w:rPr>
            <w:fldChar w:fldCharType="separate"/>
          </w:r>
          <w:r>
            <w:rPr>
              <w:noProof/>
            </w:rPr>
            <w:t>(2010)</w:t>
          </w:r>
          <w:r>
            <w:rPr>
              <w:noProof/>
            </w:rPr>
            <w:fldChar w:fldCharType="end"/>
          </w:r>
        </w:sdtContent>
      </w:sdt>
      <w:r>
        <w:rPr>
          <w:noProo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14930"/>
    <w:multiLevelType w:val="hybridMultilevel"/>
    <w:tmpl w:val="EE7CD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5E5895"/>
    <w:multiLevelType w:val="hybridMultilevel"/>
    <w:tmpl w:val="27AAF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531E1"/>
    <w:multiLevelType w:val="hybridMultilevel"/>
    <w:tmpl w:val="BC58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E550B"/>
    <w:multiLevelType w:val="hybridMultilevel"/>
    <w:tmpl w:val="7CBE0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F46E6E"/>
    <w:multiLevelType w:val="hybridMultilevel"/>
    <w:tmpl w:val="A8EE5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AB2AF3E6">
      <w:start w:val="1"/>
      <w:numFmt w:val="bullet"/>
      <w:lvlText w:val="­"/>
      <w:lvlJc w:val="left"/>
      <w:pPr>
        <w:ind w:left="1440" w:hanging="360"/>
      </w:pPr>
      <w:rPr>
        <w:rFonts w:ascii="Courier New" w:hAnsi="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76A38C9"/>
    <w:multiLevelType w:val="hybridMultilevel"/>
    <w:tmpl w:val="FFD2C39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8CF36A2"/>
    <w:multiLevelType w:val="hybridMultilevel"/>
    <w:tmpl w:val="6526EC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2A5C3AB4"/>
    <w:multiLevelType w:val="hybridMultilevel"/>
    <w:tmpl w:val="B9EAC750"/>
    <w:lvl w:ilvl="0" w:tplc="AB2AF3E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907C7E"/>
    <w:multiLevelType w:val="hybridMultilevel"/>
    <w:tmpl w:val="838053AA"/>
    <w:lvl w:ilvl="0" w:tplc="0C090001">
      <w:start w:val="1"/>
      <w:numFmt w:val="bullet"/>
      <w:lvlText w:val=""/>
      <w:lvlJc w:val="left"/>
      <w:pPr>
        <w:ind w:left="819" w:hanging="360"/>
      </w:pPr>
      <w:rPr>
        <w:rFonts w:ascii="Symbol" w:hAnsi="Symbol" w:hint="default"/>
      </w:rPr>
    </w:lvl>
    <w:lvl w:ilvl="1" w:tplc="0C090003">
      <w:start w:val="1"/>
      <w:numFmt w:val="bullet"/>
      <w:lvlText w:val="o"/>
      <w:lvlJc w:val="left"/>
      <w:pPr>
        <w:ind w:left="1539" w:hanging="360"/>
      </w:pPr>
      <w:rPr>
        <w:rFonts w:ascii="Courier New" w:hAnsi="Courier New" w:cs="Courier New" w:hint="default"/>
      </w:rPr>
    </w:lvl>
    <w:lvl w:ilvl="2" w:tplc="0C090005">
      <w:start w:val="1"/>
      <w:numFmt w:val="bullet"/>
      <w:lvlText w:val=""/>
      <w:lvlJc w:val="left"/>
      <w:pPr>
        <w:ind w:left="2259" w:hanging="360"/>
      </w:pPr>
      <w:rPr>
        <w:rFonts w:ascii="Wingdings" w:hAnsi="Wingdings" w:hint="default"/>
      </w:rPr>
    </w:lvl>
    <w:lvl w:ilvl="3" w:tplc="0C090001">
      <w:start w:val="1"/>
      <w:numFmt w:val="bullet"/>
      <w:lvlText w:val=""/>
      <w:lvlJc w:val="left"/>
      <w:pPr>
        <w:ind w:left="2979" w:hanging="360"/>
      </w:pPr>
      <w:rPr>
        <w:rFonts w:ascii="Symbol" w:hAnsi="Symbol" w:hint="default"/>
      </w:rPr>
    </w:lvl>
    <w:lvl w:ilvl="4" w:tplc="0C090003">
      <w:start w:val="1"/>
      <w:numFmt w:val="bullet"/>
      <w:lvlText w:val="o"/>
      <w:lvlJc w:val="left"/>
      <w:pPr>
        <w:ind w:left="3699" w:hanging="360"/>
      </w:pPr>
      <w:rPr>
        <w:rFonts w:ascii="Courier New" w:hAnsi="Courier New" w:cs="Courier New" w:hint="default"/>
      </w:rPr>
    </w:lvl>
    <w:lvl w:ilvl="5" w:tplc="0C090005">
      <w:start w:val="1"/>
      <w:numFmt w:val="bullet"/>
      <w:lvlText w:val=""/>
      <w:lvlJc w:val="left"/>
      <w:pPr>
        <w:ind w:left="4419" w:hanging="360"/>
      </w:pPr>
      <w:rPr>
        <w:rFonts w:ascii="Wingdings" w:hAnsi="Wingdings" w:hint="default"/>
      </w:rPr>
    </w:lvl>
    <w:lvl w:ilvl="6" w:tplc="0C090001">
      <w:start w:val="1"/>
      <w:numFmt w:val="bullet"/>
      <w:lvlText w:val=""/>
      <w:lvlJc w:val="left"/>
      <w:pPr>
        <w:ind w:left="5139" w:hanging="360"/>
      </w:pPr>
      <w:rPr>
        <w:rFonts w:ascii="Symbol" w:hAnsi="Symbol" w:hint="default"/>
      </w:rPr>
    </w:lvl>
    <w:lvl w:ilvl="7" w:tplc="0C090003">
      <w:start w:val="1"/>
      <w:numFmt w:val="bullet"/>
      <w:lvlText w:val="o"/>
      <w:lvlJc w:val="left"/>
      <w:pPr>
        <w:ind w:left="5859" w:hanging="360"/>
      </w:pPr>
      <w:rPr>
        <w:rFonts w:ascii="Courier New" w:hAnsi="Courier New" w:cs="Courier New" w:hint="default"/>
      </w:rPr>
    </w:lvl>
    <w:lvl w:ilvl="8" w:tplc="0C090005">
      <w:start w:val="1"/>
      <w:numFmt w:val="bullet"/>
      <w:lvlText w:val=""/>
      <w:lvlJc w:val="left"/>
      <w:pPr>
        <w:ind w:left="6579" w:hanging="360"/>
      </w:pPr>
      <w:rPr>
        <w:rFonts w:ascii="Wingdings" w:hAnsi="Wingdings" w:hint="default"/>
      </w:rPr>
    </w:lvl>
  </w:abstractNum>
  <w:abstractNum w:abstractNumId="9" w15:restartNumberingAfterBreak="0">
    <w:nsid w:val="311E12C7"/>
    <w:multiLevelType w:val="hybridMultilevel"/>
    <w:tmpl w:val="45A88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CE688D"/>
    <w:multiLevelType w:val="hybridMultilevel"/>
    <w:tmpl w:val="7794D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99C5B28"/>
    <w:multiLevelType w:val="hybridMultilevel"/>
    <w:tmpl w:val="A6A6D3D8"/>
    <w:lvl w:ilvl="0" w:tplc="0C090001">
      <w:start w:val="1"/>
      <w:numFmt w:val="bullet"/>
      <w:lvlText w:val=""/>
      <w:lvlJc w:val="left"/>
      <w:pPr>
        <w:ind w:left="720" w:hanging="360"/>
      </w:pPr>
      <w:rPr>
        <w:rFonts w:ascii="Symbol" w:hAnsi="Symbol" w:hint="default"/>
      </w:rPr>
    </w:lvl>
    <w:lvl w:ilvl="1" w:tplc="9AD8E054">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9E344F"/>
    <w:multiLevelType w:val="hybridMultilevel"/>
    <w:tmpl w:val="12F00684"/>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964A98"/>
    <w:multiLevelType w:val="hybridMultilevel"/>
    <w:tmpl w:val="E18A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BA4452"/>
    <w:multiLevelType w:val="hybridMultilevel"/>
    <w:tmpl w:val="9E0E11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400B166E"/>
    <w:multiLevelType w:val="hybridMultilevel"/>
    <w:tmpl w:val="44864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45324E"/>
    <w:multiLevelType w:val="hybridMultilevel"/>
    <w:tmpl w:val="E11EE516"/>
    <w:lvl w:ilvl="0" w:tplc="14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A706E95"/>
    <w:multiLevelType w:val="hybridMultilevel"/>
    <w:tmpl w:val="27CE8CEE"/>
    <w:lvl w:ilvl="0" w:tplc="AB2AF3E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D1E40DE"/>
    <w:multiLevelType w:val="hybridMultilevel"/>
    <w:tmpl w:val="94F2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512F6"/>
    <w:multiLevelType w:val="hybridMultilevel"/>
    <w:tmpl w:val="1A4A0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DCA540A"/>
    <w:multiLevelType w:val="hybridMultilevel"/>
    <w:tmpl w:val="704819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9D5712C"/>
    <w:multiLevelType w:val="hybridMultilevel"/>
    <w:tmpl w:val="F9143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237FD"/>
    <w:multiLevelType w:val="hybridMultilevel"/>
    <w:tmpl w:val="48D20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27355"/>
    <w:multiLevelType w:val="hybridMultilevel"/>
    <w:tmpl w:val="5E961FB0"/>
    <w:lvl w:ilvl="0" w:tplc="0C090001">
      <w:start w:val="1"/>
      <w:numFmt w:val="bullet"/>
      <w:lvlText w:val=""/>
      <w:lvlJc w:val="left"/>
      <w:pPr>
        <w:ind w:left="720" w:hanging="360"/>
      </w:pPr>
      <w:rPr>
        <w:rFonts w:ascii="Symbol" w:hAnsi="Symbol" w:hint="default"/>
      </w:rPr>
    </w:lvl>
    <w:lvl w:ilvl="1" w:tplc="9AD8E054">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421053"/>
    <w:multiLevelType w:val="hybridMultilevel"/>
    <w:tmpl w:val="E1A4E5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A71E1B"/>
    <w:multiLevelType w:val="hybridMultilevel"/>
    <w:tmpl w:val="60A2B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AB2AF3E6">
      <w:start w:val="1"/>
      <w:numFmt w:val="bullet"/>
      <w:lvlText w:val="­"/>
      <w:lvlJc w:val="left"/>
      <w:pPr>
        <w:ind w:left="1440" w:hanging="360"/>
      </w:pPr>
      <w:rPr>
        <w:rFonts w:ascii="Courier New" w:hAnsi="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7" w15:restartNumberingAfterBreak="0">
    <w:nsid w:val="7F762DFA"/>
    <w:multiLevelType w:val="hybridMultilevel"/>
    <w:tmpl w:val="2020E47A"/>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3"/>
  </w:num>
  <w:num w:numId="4">
    <w:abstractNumId w:val="3"/>
  </w:num>
  <w:num w:numId="5">
    <w:abstractNumId w:val="9"/>
  </w:num>
  <w:num w:numId="6">
    <w:abstractNumId w:val="2"/>
  </w:num>
  <w:num w:numId="7">
    <w:abstractNumId w:val="6"/>
  </w:num>
  <w:num w:numId="8">
    <w:abstractNumId w:val="14"/>
  </w:num>
  <w:num w:numId="9">
    <w:abstractNumId w:val="16"/>
  </w:num>
  <w:num w:numId="10">
    <w:abstractNumId w:val="8"/>
  </w:num>
  <w:num w:numId="11">
    <w:abstractNumId w:val="25"/>
  </w:num>
  <w:num w:numId="12">
    <w:abstractNumId w:val="21"/>
  </w:num>
  <w:num w:numId="13">
    <w:abstractNumId w:val="0"/>
  </w:num>
  <w:num w:numId="14">
    <w:abstractNumId w:val="16"/>
  </w:num>
  <w:num w:numId="15">
    <w:abstractNumId w:val="15"/>
  </w:num>
  <w:num w:numId="16">
    <w:abstractNumId w:val="11"/>
  </w:num>
  <w:num w:numId="17">
    <w:abstractNumId w:val="24"/>
  </w:num>
  <w:num w:numId="18">
    <w:abstractNumId w:val="22"/>
  </w:num>
  <w:num w:numId="19">
    <w:abstractNumId w:val="19"/>
  </w:num>
  <w:num w:numId="20">
    <w:abstractNumId w:val="20"/>
  </w:num>
  <w:num w:numId="21">
    <w:abstractNumId w:val="12"/>
  </w:num>
  <w:num w:numId="22">
    <w:abstractNumId w:val="27"/>
  </w:num>
  <w:num w:numId="23">
    <w:abstractNumId w:val="23"/>
  </w:num>
  <w:num w:numId="24">
    <w:abstractNumId w:val="26"/>
  </w:num>
  <w:num w:numId="25">
    <w:abstractNumId w:val="6"/>
  </w:num>
  <w:num w:numId="26">
    <w:abstractNumId w:val="6"/>
  </w:num>
  <w:num w:numId="27">
    <w:abstractNumId w:val="6"/>
  </w:num>
  <w:num w:numId="28">
    <w:abstractNumId w:val="1"/>
  </w:num>
  <w:num w:numId="29">
    <w:abstractNumId w:val="18"/>
  </w:num>
  <w:num w:numId="30">
    <w:abstractNumId w:val="17"/>
  </w:num>
  <w:num w:numId="31">
    <w:abstractNumId w:val="4"/>
  </w:num>
  <w:num w:numId="32">
    <w:abstractNumId w:val="7"/>
  </w:num>
  <w:num w:numId="3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7FA"/>
    <w:rsid w:val="00000E1F"/>
    <w:rsid w:val="00001CF6"/>
    <w:rsid w:val="000035C8"/>
    <w:rsid w:val="00004591"/>
    <w:rsid w:val="00004D4D"/>
    <w:rsid w:val="000051D7"/>
    <w:rsid w:val="000062B0"/>
    <w:rsid w:val="00007EA3"/>
    <w:rsid w:val="00010C5E"/>
    <w:rsid w:val="000115AD"/>
    <w:rsid w:val="000127B5"/>
    <w:rsid w:val="00013DCC"/>
    <w:rsid w:val="000143F2"/>
    <w:rsid w:val="00014A5C"/>
    <w:rsid w:val="00014E37"/>
    <w:rsid w:val="00015B28"/>
    <w:rsid w:val="000164A7"/>
    <w:rsid w:val="00016CC3"/>
    <w:rsid w:val="00016E40"/>
    <w:rsid w:val="0002026F"/>
    <w:rsid w:val="000203D0"/>
    <w:rsid w:val="0002195E"/>
    <w:rsid w:val="0002213C"/>
    <w:rsid w:val="000228A2"/>
    <w:rsid w:val="000228A8"/>
    <w:rsid w:val="00022CB9"/>
    <w:rsid w:val="00023136"/>
    <w:rsid w:val="0002391C"/>
    <w:rsid w:val="000265F1"/>
    <w:rsid w:val="00026D05"/>
    <w:rsid w:val="00032A79"/>
    <w:rsid w:val="0003405B"/>
    <w:rsid w:val="000341D8"/>
    <w:rsid w:val="0003424F"/>
    <w:rsid w:val="00034465"/>
    <w:rsid w:val="00034A34"/>
    <w:rsid w:val="00035C3A"/>
    <w:rsid w:val="0003647F"/>
    <w:rsid w:val="00036B59"/>
    <w:rsid w:val="00037C40"/>
    <w:rsid w:val="00037C85"/>
    <w:rsid w:val="00037D7A"/>
    <w:rsid w:val="000415E2"/>
    <w:rsid w:val="00041D2B"/>
    <w:rsid w:val="00042098"/>
    <w:rsid w:val="000438C2"/>
    <w:rsid w:val="0004403D"/>
    <w:rsid w:val="0004462F"/>
    <w:rsid w:val="00047209"/>
    <w:rsid w:val="0005019F"/>
    <w:rsid w:val="00050904"/>
    <w:rsid w:val="00050B69"/>
    <w:rsid w:val="00051499"/>
    <w:rsid w:val="0005285B"/>
    <w:rsid w:val="00054259"/>
    <w:rsid w:val="00055D94"/>
    <w:rsid w:val="00055E68"/>
    <w:rsid w:val="000560A0"/>
    <w:rsid w:val="0005623F"/>
    <w:rsid w:val="000564CC"/>
    <w:rsid w:val="00056D92"/>
    <w:rsid w:val="00056FA3"/>
    <w:rsid w:val="0005722B"/>
    <w:rsid w:val="000577D5"/>
    <w:rsid w:val="00057812"/>
    <w:rsid w:val="00057E05"/>
    <w:rsid w:val="0006045F"/>
    <w:rsid w:val="00060575"/>
    <w:rsid w:val="0006068F"/>
    <w:rsid w:val="000609A2"/>
    <w:rsid w:val="000621AC"/>
    <w:rsid w:val="0006230E"/>
    <w:rsid w:val="000634DF"/>
    <w:rsid w:val="00063F96"/>
    <w:rsid w:val="000647F8"/>
    <w:rsid w:val="000649A5"/>
    <w:rsid w:val="00064C40"/>
    <w:rsid w:val="00065959"/>
    <w:rsid w:val="00065AF9"/>
    <w:rsid w:val="00066ED0"/>
    <w:rsid w:val="00067526"/>
    <w:rsid w:val="00070A01"/>
    <w:rsid w:val="0007124B"/>
    <w:rsid w:val="00071634"/>
    <w:rsid w:val="0007256C"/>
    <w:rsid w:val="00072F94"/>
    <w:rsid w:val="0007314A"/>
    <w:rsid w:val="000734D9"/>
    <w:rsid w:val="00073F6E"/>
    <w:rsid w:val="000744A6"/>
    <w:rsid w:val="0007572C"/>
    <w:rsid w:val="0007575A"/>
    <w:rsid w:val="00077016"/>
    <w:rsid w:val="00080842"/>
    <w:rsid w:val="0008199A"/>
    <w:rsid w:val="000821F2"/>
    <w:rsid w:val="00082856"/>
    <w:rsid w:val="000829A9"/>
    <w:rsid w:val="00082EF4"/>
    <w:rsid w:val="00084429"/>
    <w:rsid w:val="00084B1E"/>
    <w:rsid w:val="00084BB0"/>
    <w:rsid w:val="0008702B"/>
    <w:rsid w:val="00087125"/>
    <w:rsid w:val="00090CC3"/>
    <w:rsid w:val="000912B8"/>
    <w:rsid w:val="00092098"/>
    <w:rsid w:val="00092A64"/>
    <w:rsid w:val="00092B9C"/>
    <w:rsid w:val="00095356"/>
    <w:rsid w:val="0009686E"/>
    <w:rsid w:val="00096881"/>
    <w:rsid w:val="0009761A"/>
    <w:rsid w:val="000A13FE"/>
    <w:rsid w:val="000A2878"/>
    <w:rsid w:val="000A31B3"/>
    <w:rsid w:val="000A32C8"/>
    <w:rsid w:val="000A3C97"/>
    <w:rsid w:val="000A4368"/>
    <w:rsid w:val="000A6078"/>
    <w:rsid w:val="000A6656"/>
    <w:rsid w:val="000A70D5"/>
    <w:rsid w:val="000A78B8"/>
    <w:rsid w:val="000B04FC"/>
    <w:rsid w:val="000B161D"/>
    <w:rsid w:val="000B216B"/>
    <w:rsid w:val="000B2493"/>
    <w:rsid w:val="000B2D3C"/>
    <w:rsid w:val="000B5DEA"/>
    <w:rsid w:val="000B61A2"/>
    <w:rsid w:val="000B71DF"/>
    <w:rsid w:val="000B7783"/>
    <w:rsid w:val="000C0C23"/>
    <w:rsid w:val="000C1C8B"/>
    <w:rsid w:val="000C1EBD"/>
    <w:rsid w:val="000C2288"/>
    <w:rsid w:val="000C3C45"/>
    <w:rsid w:val="000C3E47"/>
    <w:rsid w:val="000C5435"/>
    <w:rsid w:val="000D031E"/>
    <w:rsid w:val="000D0C72"/>
    <w:rsid w:val="000D1793"/>
    <w:rsid w:val="000D19C8"/>
    <w:rsid w:val="000D32E8"/>
    <w:rsid w:val="000D41FA"/>
    <w:rsid w:val="000D4719"/>
    <w:rsid w:val="000D504F"/>
    <w:rsid w:val="000D5331"/>
    <w:rsid w:val="000D5B10"/>
    <w:rsid w:val="000D6328"/>
    <w:rsid w:val="000D6FAC"/>
    <w:rsid w:val="000D7192"/>
    <w:rsid w:val="000D7A59"/>
    <w:rsid w:val="000D7F20"/>
    <w:rsid w:val="000E0BAC"/>
    <w:rsid w:val="000E19DB"/>
    <w:rsid w:val="000E3996"/>
    <w:rsid w:val="000E4050"/>
    <w:rsid w:val="000E4848"/>
    <w:rsid w:val="000E53B4"/>
    <w:rsid w:val="000E72F1"/>
    <w:rsid w:val="000E73B1"/>
    <w:rsid w:val="000E75C4"/>
    <w:rsid w:val="000E77F6"/>
    <w:rsid w:val="000E7B04"/>
    <w:rsid w:val="000E7E11"/>
    <w:rsid w:val="000F11E8"/>
    <w:rsid w:val="000F29D3"/>
    <w:rsid w:val="000F2EEA"/>
    <w:rsid w:val="000F3240"/>
    <w:rsid w:val="000F5237"/>
    <w:rsid w:val="000F5D12"/>
    <w:rsid w:val="000F69E6"/>
    <w:rsid w:val="000F7CFC"/>
    <w:rsid w:val="00100C3C"/>
    <w:rsid w:val="0010123D"/>
    <w:rsid w:val="001014FB"/>
    <w:rsid w:val="00101EC7"/>
    <w:rsid w:val="0010284E"/>
    <w:rsid w:val="001032A3"/>
    <w:rsid w:val="00103DEC"/>
    <w:rsid w:val="00103E92"/>
    <w:rsid w:val="0010425C"/>
    <w:rsid w:val="001043BF"/>
    <w:rsid w:val="00106E44"/>
    <w:rsid w:val="001074A0"/>
    <w:rsid w:val="0010765A"/>
    <w:rsid w:val="0011005D"/>
    <w:rsid w:val="001111E4"/>
    <w:rsid w:val="00111571"/>
    <w:rsid w:val="00111A77"/>
    <w:rsid w:val="001127A9"/>
    <w:rsid w:val="00114E67"/>
    <w:rsid w:val="001158A9"/>
    <w:rsid w:val="00116BCE"/>
    <w:rsid w:val="00116EF7"/>
    <w:rsid w:val="001177AB"/>
    <w:rsid w:val="001178F8"/>
    <w:rsid w:val="00120132"/>
    <w:rsid w:val="001208AE"/>
    <w:rsid w:val="00121CFC"/>
    <w:rsid w:val="00121D2A"/>
    <w:rsid w:val="00122987"/>
    <w:rsid w:val="00123938"/>
    <w:rsid w:val="00123FFE"/>
    <w:rsid w:val="001249D9"/>
    <w:rsid w:val="001250E5"/>
    <w:rsid w:val="001263B0"/>
    <w:rsid w:val="001267E4"/>
    <w:rsid w:val="00126FB4"/>
    <w:rsid w:val="0013019B"/>
    <w:rsid w:val="00130531"/>
    <w:rsid w:val="00131079"/>
    <w:rsid w:val="0013343D"/>
    <w:rsid w:val="00133911"/>
    <w:rsid w:val="00133FEF"/>
    <w:rsid w:val="0013418F"/>
    <w:rsid w:val="001345C8"/>
    <w:rsid w:val="00134768"/>
    <w:rsid w:val="001364C8"/>
    <w:rsid w:val="00136740"/>
    <w:rsid w:val="00137E13"/>
    <w:rsid w:val="001400AF"/>
    <w:rsid w:val="00140418"/>
    <w:rsid w:val="00140543"/>
    <w:rsid w:val="001405FF"/>
    <w:rsid w:val="001409AB"/>
    <w:rsid w:val="00141019"/>
    <w:rsid w:val="00142EF4"/>
    <w:rsid w:val="0014332A"/>
    <w:rsid w:val="00144183"/>
    <w:rsid w:val="00144CC7"/>
    <w:rsid w:val="00144F75"/>
    <w:rsid w:val="001451E0"/>
    <w:rsid w:val="001453BC"/>
    <w:rsid w:val="001458A9"/>
    <w:rsid w:val="001461C7"/>
    <w:rsid w:val="00146E6E"/>
    <w:rsid w:val="001474BF"/>
    <w:rsid w:val="00147781"/>
    <w:rsid w:val="00147E52"/>
    <w:rsid w:val="00150958"/>
    <w:rsid w:val="00150AC0"/>
    <w:rsid w:val="00151B47"/>
    <w:rsid w:val="00152960"/>
    <w:rsid w:val="001533C0"/>
    <w:rsid w:val="0015363F"/>
    <w:rsid w:val="00153965"/>
    <w:rsid w:val="00153B8D"/>
    <w:rsid w:val="0015582A"/>
    <w:rsid w:val="00155A16"/>
    <w:rsid w:val="00155C8D"/>
    <w:rsid w:val="00155D9D"/>
    <w:rsid w:val="00156B29"/>
    <w:rsid w:val="00160615"/>
    <w:rsid w:val="001609D3"/>
    <w:rsid w:val="00160BC9"/>
    <w:rsid w:val="00160E16"/>
    <w:rsid w:val="00160E27"/>
    <w:rsid w:val="00160EA5"/>
    <w:rsid w:val="00161A65"/>
    <w:rsid w:val="001628CE"/>
    <w:rsid w:val="00162C27"/>
    <w:rsid w:val="00163830"/>
    <w:rsid w:val="0016391C"/>
    <w:rsid w:val="00164670"/>
    <w:rsid w:val="001648BC"/>
    <w:rsid w:val="00164DE7"/>
    <w:rsid w:val="00164E39"/>
    <w:rsid w:val="0016506B"/>
    <w:rsid w:val="00165176"/>
    <w:rsid w:val="00165518"/>
    <w:rsid w:val="00166F35"/>
    <w:rsid w:val="001706D6"/>
    <w:rsid w:val="0017080C"/>
    <w:rsid w:val="0017144D"/>
    <w:rsid w:val="001715D5"/>
    <w:rsid w:val="00171743"/>
    <w:rsid w:val="0017174A"/>
    <w:rsid w:val="00171AC0"/>
    <w:rsid w:val="00171E59"/>
    <w:rsid w:val="00172E34"/>
    <w:rsid w:val="0017329E"/>
    <w:rsid w:val="00173C1E"/>
    <w:rsid w:val="001743D1"/>
    <w:rsid w:val="00174F98"/>
    <w:rsid w:val="00176605"/>
    <w:rsid w:val="00177632"/>
    <w:rsid w:val="001778E5"/>
    <w:rsid w:val="00177BE1"/>
    <w:rsid w:val="00177E12"/>
    <w:rsid w:val="00181001"/>
    <w:rsid w:val="00182085"/>
    <w:rsid w:val="00182324"/>
    <w:rsid w:val="001824C8"/>
    <w:rsid w:val="0018317B"/>
    <w:rsid w:val="00183E51"/>
    <w:rsid w:val="001850C8"/>
    <w:rsid w:val="001855E2"/>
    <w:rsid w:val="001869E1"/>
    <w:rsid w:val="00186EFC"/>
    <w:rsid w:val="001912F2"/>
    <w:rsid w:val="001915D3"/>
    <w:rsid w:val="0019191A"/>
    <w:rsid w:val="001921F4"/>
    <w:rsid w:val="00193A0D"/>
    <w:rsid w:val="00194446"/>
    <w:rsid w:val="001957E2"/>
    <w:rsid w:val="001A094D"/>
    <w:rsid w:val="001A0BBF"/>
    <w:rsid w:val="001A0CA8"/>
    <w:rsid w:val="001A116B"/>
    <w:rsid w:val="001A190D"/>
    <w:rsid w:val="001A3191"/>
    <w:rsid w:val="001A34C8"/>
    <w:rsid w:val="001A6E43"/>
    <w:rsid w:val="001B001B"/>
    <w:rsid w:val="001B2BD7"/>
    <w:rsid w:val="001B2DB3"/>
    <w:rsid w:val="001B3122"/>
    <w:rsid w:val="001B331D"/>
    <w:rsid w:val="001B3552"/>
    <w:rsid w:val="001B3EA4"/>
    <w:rsid w:val="001B40E1"/>
    <w:rsid w:val="001B4F63"/>
    <w:rsid w:val="001B4FE9"/>
    <w:rsid w:val="001B4FF2"/>
    <w:rsid w:val="001B5DB9"/>
    <w:rsid w:val="001B6488"/>
    <w:rsid w:val="001B64FB"/>
    <w:rsid w:val="001B659A"/>
    <w:rsid w:val="001B7041"/>
    <w:rsid w:val="001B7083"/>
    <w:rsid w:val="001B751A"/>
    <w:rsid w:val="001B7B3C"/>
    <w:rsid w:val="001B7C99"/>
    <w:rsid w:val="001B7DD0"/>
    <w:rsid w:val="001C0843"/>
    <w:rsid w:val="001C12AF"/>
    <w:rsid w:val="001C2049"/>
    <w:rsid w:val="001C239B"/>
    <w:rsid w:val="001C2995"/>
    <w:rsid w:val="001C2BFC"/>
    <w:rsid w:val="001C37DB"/>
    <w:rsid w:val="001C3EDC"/>
    <w:rsid w:val="001C4241"/>
    <w:rsid w:val="001C469C"/>
    <w:rsid w:val="001C5727"/>
    <w:rsid w:val="001C5E0F"/>
    <w:rsid w:val="001C5FEC"/>
    <w:rsid w:val="001C641E"/>
    <w:rsid w:val="001C7C4F"/>
    <w:rsid w:val="001C7C74"/>
    <w:rsid w:val="001D0DAE"/>
    <w:rsid w:val="001D15F1"/>
    <w:rsid w:val="001D162C"/>
    <w:rsid w:val="001D32C6"/>
    <w:rsid w:val="001D4875"/>
    <w:rsid w:val="001D5470"/>
    <w:rsid w:val="001D5589"/>
    <w:rsid w:val="001D6411"/>
    <w:rsid w:val="001D76BA"/>
    <w:rsid w:val="001E5C8A"/>
    <w:rsid w:val="001E5EB6"/>
    <w:rsid w:val="001E6F64"/>
    <w:rsid w:val="001E732A"/>
    <w:rsid w:val="001E7E56"/>
    <w:rsid w:val="001F0568"/>
    <w:rsid w:val="001F10F5"/>
    <w:rsid w:val="001F2545"/>
    <w:rsid w:val="001F2F6B"/>
    <w:rsid w:val="001F4013"/>
    <w:rsid w:val="001F4869"/>
    <w:rsid w:val="001F51D1"/>
    <w:rsid w:val="001F5CC6"/>
    <w:rsid w:val="001F5FAB"/>
    <w:rsid w:val="001F6FBF"/>
    <w:rsid w:val="001F7FB7"/>
    <w:rsid w:val="002000A7"/>
    <w:rsid w:val="002023D2"/>
    <w:rsid w:val="00202972"/>
    <w:rsid w:val="00202989"/>
    <w:rsid w:val="002033EB"/>
    <w:rsid w:val="00203E43"/>
    <w:rsid w:val="002053A0"/>
    <w:rsid w:val="00207529"/>
    <w:rsid w:val="00210851"/>
    <w:rsid w:val="00210C4D"/>
    <w:rsid w:val="00210D98"/>
    <w:rsid w:val="00211670"/>
    <w:rsid w:val="00212945"/>
    <w:rsid w:val="00212DA3"/>
    <w:rsid w:val="00213E1D"/>
    <w:rsid w:val="0021457E"/>
    <w:rsid w:val="00215C70"/>
    <w:rsid w:val="00215F59"/>
    <w:rsid w:val="00216D60"/>
    <w:rsid w:val="002176DA"/>
    <w:rsid w:val="002201EB"/>
    <w:rsid w:val="0022020C"/>
    <w:rsid w:val="002209FD"/>
    <w:rsid w:val="00220E1A"/>
    <w:rsid w:val="00221BED"/>
    <w:rsid w:val="002223A7"/>
    <w:rsid w:val="002238DD"/>
    <w:rsid w:val="00223D2A"/>
    <w:rsid w:val="00224197"/>
    <w:rsid w:val="002248BD"/>
    <w:rsid w:val="00226277"/>
    <w:rsid w:val="0022665B"/>
    <w:rsid w:val="00227165"/>
    <w:rsid w:val="00227BB6"/>
    <w:rsid w:val="0023065F"/>
    <w:rsid w:val="00232388"/>
    <w:rsid w:val="00232C20"/>
    <w:rsid w:val="00232C45"/>
    <w:rsid w:val="002331B7"/>
    <w:rsid w:val="00234355"/>
    <w:rsid w:val="0023467A"/>
    <w:rsid w:val="0023543E"/>
    <w:rsid w:val="00235922"/>
    <w:rsid w:val="00236929"/>
    <w:rsid w:val="00236998"/>
    <w:rsid w:val="00236D48"/>
    <w:rsid w:val="00237089"/>
    <w:rsid w:val="00237CDB"/>
    <w:rsid w:val="0024076A"/>
    <w:rsid w:val="00241E1D"/>
    <w:rsid w:val="00242267"/>
    <w:rsid w:val="00244C88"/>
    <w:rsid w:val="00245BAD"/>
    <w:rsid w:val="00245C82"/>
    <w:rsid w:val="00246653"/>
    <w:rsid w:val="00246C35"/>
    <w:rsid w:val="00246CD3"/>
    <w:rsid w:val="00247147"/>
    <w:rsid w:val="00247A53"/>
    <w:rsid w:val="00247AB8"/>
    <w:rsid w:val="0025037D"/>
    <w:rsid w:val="002503BC"/>
    <w:rsid w:val="00250448"/>
    <w:rsid w:val="002507C7"/>
    <w:rsid w:val="00250A08"/>
    <w:rsid w:val="00250AA7"/>
    <w:rsid w:val="00250E7C"/>
    <w:rsid w:val="00251086"/>
    <w:rsid w:val="00251A0A"/>
    <w:rsid w:val="00252C33"/>
    <w:rsid w:val="00253306"/>
    <w:rsid w:val="00253805"/>
    <w:rsid w:val="00253A85"/>
    <w:rsid w:val="00253D1B"/>
    <w:rsid w:val="0025442C"/>
    <w:rsid w:val="00254562"/>
    <w:rsid w:val="00254ABE"/>
    <w:rsid w:val="00257C98"/>
    <w:rsid w:val="00261290"/>
    <w:rsid w:val="00261B04"/>
    <w:rsid w:val="00261E6C"/>
    <w:rsid w:val="00263260"/>
    <w:rsid w:val="0026377A"/>
    <w:rsid w:val="0026439C"/>
    <w:rsid w:val="00265229"/>
    <w:rsid w:val="00266959"/>
    <w:rsid w:val="002700B0"/>
    <w:rsid w:val="00270524"/>
    <w:rsid w:val="00270DF7"/>
    <w:rsid w:val="00271012"/>
    <w:rsid w:val="00271735"/>
    <w:rsid w:val="0027230B"/>
    <w:rsid w:val="00272517"/>
    <w:rsid w:val="002746A8"/>
    <w:rsid w:val="002758A4"/>
    <w:rsid w:val="00276EAA"/>
    <w:rsid w:val="00277CD3"/>
    <w:rsid w:val="0028034D"/>
    <w:rsid w:val="00280D55"/>
    <w:rsid w:val="00280F58"/>
    <w:rsid w:val="00281C57"/>
    <w:rsid w:val="0028228F"/>
    <w:rsid w:val="00282686"/>
    <w:rsid w:val="002830D2"/>
    <w:rsid w:val="00283312"/>
    <w:rsid w:val="00283C2E"/>
    <w:rsid w:val="002846BF"/>
    <w:rsid w:val="00284C03"/>
    <w:rsid w:val="00284D58"/>
    <w:rsid w:val="0028507A"/>
    <w:rsid w:val="002860A5"/>
    <w:rsid w:val="002866B9"/>
    <w:rsid w:val="0028765D"/>
    <w:rsid w:val="002920FC"/>
    <w:rsid w:val="00292197"/>
    <w:rsid w:val="0029282F"/>
    <w:rsid w:val="0029330D"/>
    <w:rsid w:val="0029465B"/>
    <w:rsid w:val="002949B0"/>
    <w:rsid w:val="002949F6"/>
    <w:rsid w:val="00295695"/>
    <w:rsid w:val="00296016"/>
    <w:rsid w:val="00296053"/>
    <w:rsid w:val="00296EEC"/>
    <w:rsid w:val="002974A5"/>
    <w:rsid w:val="002A07CA"/>
    <w:rsid w:val="002A08B1"/>
    <w:rsid w:val="002A0E20"/>
    <w:rsid w:val="002A13BC"/>
    <w:rsid w:val="002A194C"/>
    <w:rsid w:val="002A214C"/>
    <w:rsid w:val="002A34C4"/>
    <w:rsid w:val="002A3757"/>
    <w:rsid w:val="002A3BF2"/>
    <w:rsid w:val="002A43DA"/>
    <w:rsid w:val="002A6BAB"/>
    <w:rsid w:val="002A77A1"/>
    <w:rsid w:val="002B1D10"/>
    <w:rsid w:val="002B325B"/>
    <w:rsid w:val="002B568B"/>
    <w:rsid w:val="002B5BF8"/>
    <w:rsid w:val="002B5D2C"/>
    <w:rsid w:val="002B6C2D"/>
    <w:rsid w:val="002B78FF"/>
    <w:rsid w:val="002B79EE"/>
    <w:rsid w:val="002C1187"/>
    <w:rsid w:val="002C17A0"/>
    <w:rsid w:val="002C1F58"/>
    <w:rsid w:val="002C2BD6"/>
    <w:rsid w:val="002C330A"/>
    <w:rsid w:val="002C3540"/>
    <w:rsid w:val="002C37E7"/>
    <w:rsid w:val="002C431F"/>
    <w:rsid w:val="002C44A3"/>
    <w:rsid w:val="002C4AE7"/>
    <w:rsid w:val="002C4C98"/>
    <w:rsid w:val="002C5920"/>
    <w:rsid w:val="002C59EE"/>
    <w:rsid w:val="002D0480"/>
    <w:rsid w:val="002D11D8"/>
    <w:rsid w:val="002D1914"/>
    <w:rsid w:val="002D390E"/>
    <w:rsid w:val="002D4010"/>
    <w:rsid w:val="002D4AA1"/>
    <w:rsid w:val="002D505F"/>
    <w:rsid w:val="002D6243"/>
    <w:rsid w:val="002D7B15"/>
    <w:rsid w:val="002D7C46"/>
    <w:rsid w:val="002D7CCA"/>
    <w:rsid w:val="002D7F11"/>
    <w:rsid w:val="002E00B5"/>
    <w:rsid w:val="002E07D2"/>
    <w:rsid w:val="002E18EB"/>
    <w:rsid w:val="002E1A0F"/>
    <w:rsid w:val="002E1A71"/>
    <w:rsid w:val="002E21F4"/>
    <w:rsid w:val="002E275D"/>
    <w:rsid w:val="002E2949"/>
    <w:rsid w:val="002E3531"/>
    <w:rsid w:val="002E453D"/>
    <w:rsid w:val="002E4685"/>
    <w:rsid w:val="002E4CFC"/>
    <w:rsid w:val="002E54A5"/>
    <w:rsid w:val="002E5D06"/>
    <w:rsid w:val="002E5DA7"/>
    <w:rsid w:val="002E63E5"/>
    <w:rsid w:val="002E6D9C"/>
    <w:rsid w:val="002F013D"/>
    <w:rsid w:val="002F2878"/>
    <w:rsid w:val="002F2DF0"/>
    <w:rsid w:val="002F6974"/>
    <w:rsid w:val="002F7184"/>
    <w:rsid w:val="002F76CA"/>
    <w:rsid w:val="002F779B"/>
    <w:rsid w:val="00300284"/>
    <w:rsid w:val="00300CD1"/>
    <w:rsid w:val="003018D9"/>
    <w:rsid w:val="00301CAD"/>
    <w:rsid w:val="00302A1B"/>
    <w:rsid w:val="00302AF7"/>
    <w:rsid w:val="0030347B"/>
    <w:rsid w:val="003035A1"/>
    <w:rsid w:val="00303959"/>
    <w:rsid w:val="00304613"/>
    <w:rsid w:val="00305B67"/>
    <w:rsid w:val="00305F74"/>
    <w:rsid w:val="00306CBC"/>
    <w:rsid w:val="00306D17"/>
    <w:rsid w:val="003079DB"/>
    <w:rsid w:val="00307FE2"/>
    <w:rsid w:val="0031003F"/>
    <w:rsid w:val="00310B39"/>
    <w:rsid w:val="00313241"/>
    <w:rsid w:val="003138C4"/>
    <w:rsid w:val="00313A94"/>
    <w:rsid w:val="00313C38"/>
    <w:rsid w:val="003148A6"/>
    <w:rsid w:val="00314D31"/>
    <w:rsid w:val="00315C8B"/>
    <w:rsid w:val="00315F8B"/>
    <w:rsid w:val="00316C0D"/>
    <w:rsid w:val="00316C74"/>
    <w:rsid w:val="00317405"/>
    <w:rsid w:val="00317530"/>
    <w:rsid w:val="0031777A"/>
    <w:rsid w:val="003204EE"/>
    <w:rsid w:val="003208C0"/>
    <w:rsid w:val="0032144C"/>
    <w:rsid w:val="00321B22"/>
    <w:rsid w:val="003258D9"/>
    <w:rsid w:val="00326981"/>
    <w:rsid w:val="00326DE1"/>
    <w:rsid w:val="00327288"/>
    <w:rsid w:val="003276AC"/>
    <w:rsid w:val="00327880"/>
    <w:rsid w:val="00330009"/>
    <w:rsid w:val="00331AFD"/>
    <w:rsid w:val="00331BAA"/>
    <w:rsid w:val="00331BB8"/>
    <w:rsid w:val="0033314B"/>
    <w:rsid w:val="00333DE4"/>
    <w:rsid w:val="0033477A"/>
    <w:rsid w:val="003347F0"/>
    <w:rsid w:val="0033628A"/>
    <w:rsid w:val="003376F0"/>
    <w:rsid w:val="00337A51"/>
    <w:rsid w:val="00340CEA"/>
    <w:rsid w:val="00341766"/>
    <w:rsid w:val="00341768"/>
    <w:rsid w:val="003419F8"/>
    <w:rsid w:val="00341D9E"/>
    <w:rsid w:val="00342A26"/>
    <w:rsid w:val="00342CE2"/>
    <w:rsid w:val="003439AE"/>
    <w:rsid w:val="003450B4"/>
    <w:rsid w:val="0034515C"/>
    <w:rsid w:val="00345E9F"/>
    <w:rsid w:val="003505C0"/>
    <w:rsid w:val="00351DBB"/>
    <w:rsid w:val="00351F24"/>
    <w:rsid w:val="00352298"/>
    <w:rsid w:val="0035338C"/>
    <w:rsid w:val="00353E1F"/>
    <w:rsid w:val="003541B7"/>
    <w:rsid w:val="00354985"/>
    <w:rsid w:val="003555FF"/>
    <w:rsid w:val="003556E9"/>
    <w:rsid w:val="00356757"/>
    <w:rsid w:val="00356EED"/>
    <w:rsid w:val="0035702E"/>
    <w:rsid w:val="00360932"/>
    <w:rsid w:val="00361874"/>
    <w:rsid w:val="00362564"/>
    <w:rsid w:val="00363228"/>
    <w:rsid w:val="00366377"/>
    <w:rsid w:val="0037158C"/>
    <w:rsid w:val="003717E4"/>
    <w:rsid w:val="003724C6"/>
    <w:rsid w:val="00374559"/>
    <w:rsid w:val="003745EA"/>
    <w:rsid w:val="0037487B"/>
    <w:rsid w:val="00374C6B"/>
    <w:rsid w:val="00375C36"/>
    <w:rsid w:val="003764F0"/>
    <w:rsid w:val="00376955"/>
    <w:rsid w:val="003769FE"/>
    <w:rsid w:val="0037726B"/>
    <w:rsid w:val="00381151"/>
    <w:rsid w:val="00381519"/>
    <w:rsid w:val="00382ED7"/>
    <w:rsid w:val="00383409"/>
    <w:rsid w:val="0038345C"/>
    <w:rsid w:val="00383EB8"/>
    <w:rsid w:val="00384212"/>
    <w:rsid w:val="00384D31"/>
    <w:rsid w:val="00385EF9"/>
    <w:rsid w:val="00387668"/>
    <w:rsid w:val="003879F8"/>
    <w:rsid w:val="00387DAA"/>
    <w:rsid w:val="003901F3"/>
    <w:rsid w:val="00390607"/>
    <w:rsid w:val="003910F4"/>
    <w:rsid w:val="00391635"/>
    <w:rsid w:val="00391C1C"/>
    <w:rsid w:val="0039219A"/>
    <w:rsid w:val="00392821"/>
    <w:rsid w:val="003931B8"/>
    <w:rsid w:val="0039322B"/>
    <w:rsid w:val="00393529"/>
    <w:rsid w:val="00393B44"/>
    <w:rsid w:val="00396074"/>
    <w:rsid w:val="00397633"/>
    <w:rsid w:val="0039782F"/>
    <w:rsid w:val="00397999"/>
    <w:rsid w:val="003A109B"/>
    <w:rsid w:val="003A1146"/>
    <w:rsid w:val="003A167D"/>
    <w:rsid w:val="003A1707"/>
    <w:rsid w:val="003A235F"/>
    <w:rsid w:val="003A2C24"/>
    <w:rsid w:val="003A3C53"/>
    <w:rsid w:val="003A44A0"/>
    <w:rsid w:val="003A61B9"/>
    <w:rsid w:val="003A6702"/>
    <w:rsid w:val="003A6F9B"/>
    <w:rsid w:val="003B0E85"/>
    <w:rsid w:val="003B11E2"/>
    <w:rsid w:val="003B16F3"/>
    <w:rsid w:val="003B2DA2"/>
    <w:rsid w:val="003B3AE2"/>
    <w:rsid w:val="003B3B3C"/>
    <w:rsid w:val="003B5F1A"/>
    <w:rsid w:val="003B6422"/>
    <w:rsid w:val="003B70DE"/>
    <w:rsid w:val="003B71A7"/>
    <w:rsid w:val="003C0000"/>
    <w:rsid w:val="003C08AA"/>
    <w:rsid w:val="003C08AD"/>
    <w:rsid w:val="003C1241"/>
    <w:rsid w:val="003C1D61"/>
    <w:rsid w:val="003C42BD"/>
    <w:rsid w:val="003C47A5"/>
    <w:rsid w:val="003C5854"/>
    <w:rsid w:val="003C5B34"/>
    <w:rsid w:val="003C628A"/>
    <w:rsid w:val="003C77DE"/>
    <w:rsid w:val="003D1CE4"/>
    <w:rsid w:val="003D307D"/>
    <w:rsid w:val="003D499C"/>
    <w:rsid w:val="003D4FBF"/>
    <w:rsid w:val="003D6286"/>
    <w:rsid w:val="003D636B"/>
    <w:rsid w:val="003D65A3"/>
    <w:rsid w:val="003D69D0"/>
    <w:rsid w:val="003D73D6"/>
    <w:rsid w:val="003D7E49"/>
    <w:rsid w:val="003E020B"/>
    <w:rsid w:val="003E0A60"/>
    <w:rsid w:val="003E0A6D"/>
    <w:rsid w:val="003E17D0"/>
    <w:rsid w:val="003E18ED"/>
    <w:rsid w:val="003E1979"/>
    <w:rsid w:val="003E2346"/>
    <w:rsid w:val="003E262E"/>
    <w:rsid w:val="003E2A02"/>
    <w:rsid w:val="003E2BE8"/>
    <w:rsid w:val="003E2DDA"/>
    <w:rsid w:val="003E2F43"/>
    <w:rsid w:val="003E37C9"/>
    <w:rsid w:val="003E3C17"/>
    <w:rsid w:val="003E5941"/>
    <w:rsid w:val="003E60D1"/>
    <w:rsid w:val="003E6A82"/>
    <w:rsid w:val="003E6EAF"/>
    <w:rsid w:val="003E77D5"/>
    <w:rsid w:val="003E7D37"/>
    <w:rsid w:val="003F088B"/>
    <w:rsid w:val="003F0A28"/>
    <w:rsid w:val="003F0B27"/>
    <w:rsid w:val="003F1412"/>
    <w:rsid w:val="003F190F"/>
    <w:rsid w:val="003F2299"/>
    <w:rsid w:val="003F27B6"/>
    <w:rsid w:val="003F2968"/>
    <w:rsid w:val="003F40FB"/>
    <w:rsid w:val="003F4AE4"/>
    <w:rsid w:val="003F4BE6"/>
    <w:rsid w:val="003F4E9B"/>
    <w:rsid w:val="003F5176"/>
    <w:rsid w:val="003F53CF"/>
    <w:rsid w:val="003F5C07"/>
    <w:rsid w:val="003F6651"/>
    <w:rsid w:val="003F7D4D"/>
    <w:rsid w:val="00400487"/>
    <w:rsid w:val="00401027"/>
    <w:rsid w:val="004011C2"/>
    <w:rsid w:val="00401BE8"/>
    <w:rsid w:val="0040426E"/>
    <w:rsid w:val="00404CF7"/>
    <w:rsid w:val="00404E7E"/>
    <w:rsid w:val="004060A4"/>
    <w:rsid w:val="00407391"/>
    <w:rsid w:val="00407C51"/>
    <w:rsid w:val="00407C9D"/>
    <w:rsid w:val="00407F3E"/>
    <w:rsid w:val="00410597"/>
    <w:rsid w:val="00410A3F"/>
    <w:rsid w:val="00410CF6"/>
    <w:rsid w:val="00411738"/>
    <w:rsid w:val="004130BA"/>
    <w:rsid w:val="00413454"/>
    <w:rsid w:val="00413E38"/>
    <w:rsid w:val="00414637"/>
    <w:rsid w:val="00414638"/>
    <w:rsid w:val="00415F46"/>
    <w:rsid w:val="004160EC"/>
    <w:rsid w:val="004200A7"/>
    <w:rsid w:val="00420958"/>
    <w:rsid w:val="004213F4"/>
    <w:rsid w:val="0042174C"/>
    <w:rsid w:val="00421DFF"/>
    <w:rsid w:val="004236BF"/>
    <w:rsid w:val="00423A7C"/>
    <w:rsid w:val="0042506F"/>
    <w:rsid w:val="00425424"/>
    <w:rsid w:val="00425B10"/>
    <w:rsid w:val="00426A2D"/>
    <w:rsid w:val="00426A66"/>
    <w:rsid w:val="00426CDD"/>
    <w:rsid w:val="004276DC"/>
    <w:rsid w:val="00431BCA"/>
    <w:rsid w:val="0043205A"/>
    <w:rsid w:val="00432C2D"/>
    <w:rsid w:val="0043312B"/>
    <w:rsid w:val="004341D4"/>
    <w:rsid w:val="0043446A"/>
    <w:rsid w:val="00435789"/>
    <w:rsid w:val="00435B66"/>
    <w:rsid w:val="00437B0F"/>
    <w:rsid w:val="00437BAF"/>
    <w:rsid w:val="00440D63"/>
    <w:rsid w:val="00441BE5"/>
    <w:rsid w:val="00441EE8"/>
    <w:rsid w:val="00443995"/>
    <w:rsid w:val="00443AA3"/>
    <w:rsid w:val="00444546"/>
    <w:rsid w:val="00444E35"/>
    <w:rsid w:val="0044689D"/>
    <w:rsid w:val="00446BC2"/>
    <w:rsid w:val="00450122"/>
    <w:rsid w:val="004504EF"/>
    <w:rsid w:val="004511FF"/>
    <w:rsid w:val="0045208A"/>
    <w:rsid w:val="0045270B"/>
    <w:rsid w:val="00452BA4"/>
    <w:rsid w:val="00452CC6"/>
    <w:rsid w:val="00453FAD"/>
    <w:rsid w:val="00454253"/>
    <w:rsid w:val="0045437A"/>
    <w:rsid w:val="00454FAF"/>
    <w:rsid w:val="00457F95"/>
    <w:rsid w:val="00460AE7"/>
    <w:rsid w:val="00460DED"/>
    <w:rsid w:val="00461B86"/>
    <w:rsid w:val="004623AD"/>
    <w:rsid w:val="00462998"/>
    <w:rsid w:val="00462AC6"/>
    <w:rsid w:val="00463CC1"/>
    <w:rsid w:val="00464540"/>
    <w:rsid w:val="004647E4"/>
    <w:rsid w:val="00465D9A"/>
    <w:rsid w:val="00466758"/>
    <w:rsid w:val="00466D11"/>
    <w:rsid w:val="0046741C"/>
    <w:rsid w:val="00467957"/>
    <w:rsid w:val="00467DE0"/>
    <w:rsid w:val="0047039A"/>
    <w:rsid w:val="004703CD"/>
    <w:rsid w:val="00471EFA"/>
    <w:rsid w:val="00472411"/>
    <w:rsid w:val="00472500"/>
    <w:rsid w:val="004729D1"/>
    <w:rsid w:val="004731D9"/>
    <w:rsid w:val="004732A1"/>
    <w:rsid w:val="004733C7"/>
    <w:rsid w:val="00473637"/>
    <w:rsid w:val="00473CE3"/>
    <w:rsid w:val="00474240"/>
    <w:rsid w:val="004745D8"/>
    <w:rsid w:val="00475550"/>
    <w:rsid w:val="00480964"/>
    <w:rsid w:val="00481452"/>
    <w:rsid w:val="00481719"/>
    <w:rsid w:val="00482FC3"/>
    <w:rsid w:val="004837C5"/>
    <w:rsid w:val="00484221"/>
    <w:rsid w:val="004855E2"/>
    <w:rsid w:val="00485ABF"/>
    <w:rsid w:val="0048609C"/>
    <w:rsid w:val="00486C95"/>
    <w:rsid w:val="00487AB5"/>
    <w:rsid w:val="00490874"/>
    <w:rsid w:val="0049274D"/>
    <w:rsid w:val="0049296C"/>
    <w:rsid w:val="0049306F"/>
    <w:rsid w:val="00494208"/>
    <w:rsid w:val="004A00F7"/>
    <w:rsid w:val="004A01F0"/>
    <w:rsid w:val="004A0F95"/>
    <w:rsid w:val="004A231F"/>
    <w:rsid w:val="004A425E"/>
    <w:rsid w:val="004A4624"/>
    <w:rsid w:val="004B00D0"/>
    <w:rsid w:val="004B0995"/>
    <w:rsid w:val="004B18C6"/>
    <w:rsid w:val="004B1F1B"/>
    <w:rsid w:val="004B3AF4"/>
    <w:rsid w:val="004B5509"/>
    <w:rsid w:val="004B5E40"/>
    <w:rsid w:val="004B69CD"/>
    <w:rsid w:val="004B6B5F"/>
    <w:rsid w:val="004B7269"/>
    <w:rsid w:val="004C0766"/>
    <w:rsid w:val="004C13F2"/>
    <w:rsid w:val="004C1866"/>
    <w:rsid w:val="004C1AA5"/>
    <w:rsid w:val="004C294F"/>
    <w:rsid w:val="004C3F3F"/>
    <w:rsid w:val="004C5448"/>
    <w:rsid w:val="004D2267"/>
    <w:rsid w:val="004D3155"/>
    <w:rsid w:val="004D3229"/>
    <w:rsid w:val="004D4983"/>
    <w:rsid w:val="004D49B3"/>
    <w:rsid w:val="004D5756"/>
    <w:rsid w:val="004D5F03"/>
    <w:rsid w:val="004D78A1"/>
    <w:rsid w:val="004E0853"/>
    <w:rsid w:val="004E15BD"/>
    <w:rsid w:val="004E229D"/>
    <w:rsid w:val="004E234F"/>
    <w:rsid w:val="004E2E8F"/>
    <w:rsid w:val="004E3171"/>
    <w:rsid w:val="004E517F"/>
    <w:rsid w:val="004E6927"/>
    <w:rsid w:val="004E70DE"/>
    <w:rsid w:val="004E7B38"/>
    <w:rsid w:val="004F236B"/>
    <w:rsid w:val="004F242B"/>
    <w:rsid w:val="004F2CE2"/>
    <w:rsid w:val="004F53D7"/>
    <w:rsid w:val="004F5443"/>
    <w:rsid w:val="004F7F68"/>
    <w:rsid w:val="00500308"/>
    <w:rsid w:val="00500651"/>
    <w:rsid w:val="00501144"/>
    <w:rsid w:val="00501F27"/>
    <w:rsid w:val="005022AE"/>
    <w:rsid w:val="0050258E"/>
    <w:rsid w:val="00502768"/>
    <w:rsid w:val="0050293E"/>
    <w:rsid w:val="00503D38"/>
    <w:rsid w:val="005063FC"/>
    <w:rsid w:val="00506F3C"/>
    <w:rsid w:val="0051070A"/>
    <w:rsid w:val="00511925"/>
    <w:rsid w:val="005127D1"/>
    <w:rsid w:val="00513198"/>
    <w:rsid w:val="00513AA2"/>
    <w:rsid w:val="00513D68"/>
    <w:rsid w:val="005143F5"/>
    <w:rsid w:val="00514A3B"/>
    <w:rsid w:val="00514B73"/>
    <w:rsid w:val="0051516D"/>
    <w:rsid w:val="00515F96"/>
    <w:rsid w:val="00516572"/>
    <w:rsid w:val="00516CF4"/>
    <w:rsid w:val="00516DB0"/>
    <w:rsid w:val="00517484"/>
    <w:rsid w:val="005179C8"/>
    <w:rsid w:val="00517FB6"/>
    <w:rsid w:val="00521C79"/>
    <w:rsid w:val="00522A73"/>
    <w:rsid w:val="00522DF0"/>
    <w:rsid w:val="00523A3B"/>
    <w:rsid w:val="00523D4B"/>
    <w:rsid w:val="00525AE1"/>
    <w:rsid w:val="00526D8D"/>
    <w:rsid w:val="00527282"/>
    <w:rsid w:val="005277AA"/>
    <w:rsid w:val="00531118"/>
    <w:rsid w:val="00531FC2"/>
    <w:rsid w:val="0053315B"/>
    <w:rsid w:val="0053355B"/>
    <w:rsid w:val="0053378B"/>
    <w:rsid w:val="00533A8B"/>
    <w:rsid w:val="00533CDF"/>
    <w:rsid w:val="0053408D"/>
    <w:rsid w:val="00535A4D"/>
    <w:rsid w:val="0053607C"/>
    <w:rsid w:val="00536702"/>
    <w:rsid w:val="00537FBC"/>
    <w:rsid w:val="00541B34"/>
    <w:rsid w:val="005427D8"/>
    <w:rsid w:val="005429B2"/>
    <w:rsid w:val="00542DC9"/>
    <w:rsid w:val="005439EB"/>
    <w:rsid w:val="005447FA"/>
    <w:rsid w:val="00544A7B"/>
    <w:rsid w:val="00544F1B"/>
    <w:rsid w:val="0054514E"/>
    <w:rsid w:val="005457DD"/>
    <w:rsid w:val="005464E2"/>
    <w:rsid w:val="00546CA9"/>
    <w:rsid w:val="005470E5"/>
    <w:rsid w:val="005473ED"/>
    <w:rsid w:val="0054781E"/>
    <w:rsid w:val="005502EB"/>
    <w:rsid w:val="005505CA"/>
    <w:rsid w:val="00550A61"/>
    <w:rsid w:val="00550AB1"/>
    <w:rsid w:val="00553362"/>
    <w:rsid w:val="005537CB"/>
    <w:rsid w:val="00553E45"/>
    <w:rsid w:val="00553E9B"/>
    <w:rsid w:val="00553F0F"/>
    <w:rsid w:val="005548D2"/>
    <w:rsid w:val="0055503F"/>
    <w:rsid w:val="00555D0F"/>
    <w:rsid w:val="00556DD8"/>
    <w:rsid w:val="00561CED"/>
    <w:rsid w:val="00561EF1"/>
    <w:rsid w:val="00562485"/>
    <w:rsid w:val="00562AFC"/>
    <w:rsid w:val="00563396"/>
    <w:rsid w:val="00564CB4"/>
    <w:rsid w:val="005652CD"/>
    <w:rsid w:val="005654BC"/>
    <w:rsid w:val="005655A9"/>
    <w:rsid w:val="00565BED"/>
    <w:rsid w:val="00565C9A"/>
    <w:rsid w:val="00566635"/>
    <w:rsid w:val="005668C3"/>
    <w:rsid w:val="005671CB"/>
    <w:rsid w:val="005675A0"/>
    <w:rsid w:val="00567BF8"/>
    <w:rsid w:val="00571414"/>
    <w:rsid w:val="00571888"/>
    <w:rsid w:val="00571F58"/>
    <w:rsid w:val="00572E6F"/>
    <w:rsid w:val="00573CB9"/>
    <w:rsid w:val="005758D3"/>
    <w:rsid w:val="00575CDA"/>
    <w:rsid w:val="0057619B"/>
    <w:rsid w:val="00581513"/>
    <w:rsid w:val="0058165A"/>
    <w:rsid w:val="00583E6D"/>
    <w:rsid w:val="0058437E"/>
    <w:rsid w:val="005848DF"/>
    <w:rsid w:val="005849E2"/>
    <w:rsid w:val="005879EA"/>
    <w:rsid w:val="00591328"/>
    <w:rsid w:val="00593A3F"/>
    <w:rsid w:val="00593C1E"/>
    <w:rsid w:val="00594B2A"/>
    <w:rsid w:val="00594C41"/>
    <w:rsid w:val="0059504C"/>
    <w:rsid w:val="00596EF4"/>
    <w:rsid w:val="005A061B"/>
    <w:rsid w:val="005A0688"/>
    <w:rsid w:val="005A0C24"/>
    <w:rsid w:val="005A0E1B"/>
    <w:rsid w:val="005A28E2"/>
    <w:rsid w:val="005A4664"/>
    <w:rsid w:val="005A4D64"/>
    <w:rsid w:val="005A4E15"/>
    <w:rsid w:val="005A5175"/>
    <w:rsid w:val="005A5607"/>
    <w:rsid w:val="005A5F45"/>
    <w:rsid w:val="005A6069"/>
    <w:rsid w:val="005A782A"/>
    <w:rsid w:val="005A7C47"/>
    <w:rsid w:val="005A7E2A"/>
    <w:rsid w:val="005B074A"/>
    <w:rsid w:val="005B0F34"/>
    <w:rsid w:val="005B14E7"/>
    <w:rsid w:val="005B1901"/>
    <w:rsid w:val="005B1DB7"/>
    <w:rsid w:val="005B35E1"/>
    <w:rsid w:val="005B431E"/>
    <w:rsid w:val="005B4964"/>
    <w:rsid w:val="005B4E03"/>
    <w:rsid w:val="005B56BC"/>
    <w:rsid w:val="005B5FC1"/>
    <w:rsid w:val="005B6E11"/>
    <w:rsid w:val="005B6FC8"/>
    <w:rsid w:val="005B74DF"/>
    <w:rsid w:val="005C0069"/>
    <w:rsid w:val="005C0E20"/>
    <w:rsid w:val="005C15DE"/>
    <w:rsid w:val="005C2758"/>
    <w:rsid w:val="005C314F"/>
    <w:rsid w:val="005C3222"/>
    <w:rsid w:val="005C3547"/>
    <w:rsid w:val="005C3B46"/>
    <w:rsid w:val="005C4FA9"/>
    <w:rsid w:val="005C4FFA"/>
    <w:rsid w:val="005C59E8"/>
    <w:rsid w:val="005C5DE4"/>
    <w:rsid w:val="005C5EF5"/>
    <w:rsid w:val="005C743A"/>
    <w:rsid w:val="005C7AD5"/>
    <w:rsid w:val="005D08B9"/>
    <w:rsid w:val="005D0BE4"/>
    <w:rsid w:val="005D338E"/>
    <w:rsid w:val="005D3687"/>
    <w:rsid w:val="005D3886"/>
    <w:rsid w:val="005D491B"/>
    <w:rsid w:val="005D494D"/>
    <w:rsid w:val="005D61C2"/>
    <w:rsid w:val="005D6D31"/>
    <w:rsid w:val="005D7043"/>
    <w:rsid w:val="005D71E6"/>
    <w:rsid w:val="005E0E0E"/>
    <w:rsid w:val="005E1C02"/>
    <w:rsid w:val="005E261F"/>
    <w:rsid w:val="005E2E1D"/>
    <w:rsid w:val="005E2FA1"/>
    <w:rsid w:val="005E3D2C"/>
    <w:rsid w:val="005E4723"/>
    <w:rsid w:val="005E4887"/>
    <w:rsid w:val="005E514F"/>
    <w:rsid w:val="005E5E8E"/>
    <w:rsid w:val="005E6490"/>
    <w:rsid w:val="005F11BD"/>
    <w:rsid w:val="005F1A3E"/>
    <w:rsid w:val="005F2FDB"/>
    <w:rsid w:val="005F5D40"/>
    <w:rsid w:val="005F60B8"/>
    <w:rsid w:val="005F6B08"/>
    <w:rsid w:val="005F6C61"/>
    <w:rsid w:val="005F6EF7"/>
    <w:rsid w:val="005F7BF1"/>
    <w:rsid w:val="006000DB"/>
    <w:rsid w:val="006003EB"/>
    <w:rsid w:val="006004BE"/>
    <w:rsid w:val="00600CFE"/>
    <w:rsid w:val="00600E9A"/>
    <w:rsid w:val="006017DC"/>
    <w:rsid w:val="0060220B"/>
    <w:rsid w:val="00603959"/>
    <w:rsid w:val="00605955"/>
    <w:rsid w:val="00606BD9"/>
    <w:rsid w:val="0060714C"/>
    <w:rsid w:val="00611419"/>
    <w:rsid w:val="0061165D"/>
    <w:rsid w:val="006119A5"/>
    <w:rsid w:val="00612899"/>
    <w:rsid w:val="006130CD"/>
    <w:rsid w:val="0061427C"/>
    <w:rsid w:val="0061599C"/>
    <w:rsid w:val="00616584"/>
    <w:rsid w:val="006171EE"/>
    <w:rsid w:val="00617A19"/>
    <w:rsid w:val="00621469"/>
    <w:rsid w:val="006232B9"/>
    <w:rsid w:val="0062579D"/>
    <w:rsid w:val="006267BC"/>
    <w:rsid w:val="00626962"/>
    <w:rsid w:val="00627179"/>
    <w:rsid w:val="006335EC"/>
    <w:rsid w:val="00633C60"/>
    <w:rsid w:val="00634311"/>
    <w:rsid w:val="00634E39"/>
    <w:rsid w:val="006362A7"/>
    <w:rsid w:val="00637A35"/>
    <w:rsid w:val="006416BF"/>
    <w:rsid w:val="006423D7"/>
    <w:rsid w:val="0064298B"/>
    <w:rsid w:val="0064390D"/>
    <w:rsid w:val="00643998"/>
    <w:rsid w:val="00645407"/>
    <w:rsid w:val="0064540D"/>
    <w:rsid w:val="006470FB"/>
    <w:rsid w:val="00647D43"/>
    <w:rsid w:val="00650ACC"/>
    <w:rsid w:val="00651092"/>
    <w:rsid w:val="0065209E"/>
    <w:rsid w:val="00652F78"/>
    <w:rsid w:val="00653544"/>
    <w:rsid w:val="00653E9E"/>
    <w:rsid w:val="00654AEA"/>
    <w:rsid w:val="006553E2"/>
    <w:rsid w:val="0065580E"/>
    <w:rsid w:val="006560FD"/>
    <w:rsid w:val="00656AC4"/>
    <w:rsid w:val="00656BD8"/>
    <w:rsid w:val="00656F3B"/>
    <w:rsid w:val="00657901"/>
    <w:rsid w:val="00660ED8"/>
    <w:rsid w:val="00662CC6"/>
    <w:rsid w:val="006636A6"/>
    <w:rsid w:val="00664303"/>
    <w:rsid w:val="00664925"/>
    <w:rsid w:val="006657ED"/>
    <w:rsid w:val="00666AA9"/>
    <w:rsid w:val="00666DE4"/>
    <w:rsid w:val="00670392"/>
    <w:rsid w:val="00670E89"/>
    <w:rsid w:val="00671790"/>
    <w:rsid w:val="006721C0"/>
    <w:rsid w:val="00672265"/>
    <w:rsid w:val="00672BD8"/>
    <w:rsid w:val="00672E8C"/>
    <w:rsid w:val="00675474"/>
    <w:rsid w:val="00676D7D"/>
    <w:rsid w:val="00680A2B"/>
    <w:rsid w:val="00681D2A"/>
    <w:rsid w:val="00681E9A"/>
    <w:rsid w:val="0068231D"/>
    <w:rsid w:val="00682ABB"/>
    <w:rsid w:val="00683FA7"/>
    <w:rsid w:val="006849B7"/>
    <w:rsid w:val="006865EF"/>
    <w:rsid w:val="006871F2"/>
    <w:rsid w:val="00690FBE"/>
    <w:rsid w:val="006918B5"/>
    <w:rsid w:val="00692382"/>
    <w:rsid w:val="00692685"/>
    <w:rsid w:val="00692F2E"/>
    <w:rsid w:val="00693228"/>
    <w:rsid w:val="006937B6"/>
    <w:rsid w:val="00694026"/>
    <w:rsid w:val="00694589"/>
    <w:rsid w:val="00694C12"/>
    <w:rsid w:val="006967FF"/>
    <w:rsid w:val="006972B3"/>
    <w:rsid w:val="00697A04"/>
    <w:rsid w:val="00697ADE"/>
    <w:rsid w:val="00697D6E"/>
    <w:rsid w:val="006A022F"/>
    <w:rsid w:val="006A111C"/>
    <w:rsid w:val="006A1CFB"/>
    <w:rsid w:val="006A1DC2"/>
    <w:rsid w:val="006A289C"/>
    <w:rsid w:val="006A2903"/>
    <w:rsid w:val="006A2B61"/>
    <w:rsid w:val="006A2EB1"/>
    <w:rsid w:val="006A31C7"/>
    <w:rsid w:val="006A444E"/>
    <w:rsid w:val="006A46A7"/>
    <w:rsid w:val="006A59E2"/>
    <w:rsid w:val="006A5BE9"/>
    <w:rsid w:val="006A67A0"/>
    <w:rsid w:val="006B00A4"/>
    <w:rsid w:val="006B0E73"/>
    <w:rsid w:val="006B148A"/>
    <w:rsid w:val="006B1F44"/>
    <w:rsid w:val="006B386E"/>
    <w:rsid w:val="006B45FD"/>
    <w:rsid w:val="006B466F"/>
    <w:rsid w:val="006B5DBA"/>
    <w:rsid w:val="006B65D4"/>
    <w:rsid w:val="006C13CF"/>
    <w:rsid w:val="006C42D0"/>
    <w:rsid w:val="006C44BE"/>
    <w:rsid w:val="006C44C1"/>
    <w:rsid w:val="006C458F"/>
    <w:rsid w:val="006C581A"/>
    <w:rsid w:val="006C5E55"/>
    <w:rsid w:val="006C7A6A"/>
    <w:rsid w:val="006D0BF8"/>
    <w:rsid w:val="006D16A7"/>
    <w:rsid w:val="006D1A91"/>
    <w:rsid w:val="006D27DC"/>
    <w:rsid w:val="006D31A0"/>
    <w:rsid w:val="006D3AE2"/>
    <w:rsid w:val="006D4276"/>
    <w:rsid w:val="006D4368"/>
    <w:rsid w:val="006D440A"/>
    <w:rsid w:val="006D47CD"/>
    <w:rsid w:val="006D4AA5"/>
    <w:rsid w:val="006D53F1"/>
    <w:rsid w:val="006D549E"/>
    <w:rsid w:val="006D592E"/>
    <w:rsid w:val="006D62F6"/>
    <w:rsid w:val="006D691C"/>
    <w:rsid w:val="006D7AA7"/>
    <w:rsid w:val="006E15E8"/>
    <w:rsid w:val="006E1DAF"/>
    <w:rsid w:val="006E2333"/>
    <w:rsid w:val="006E2509"/>
    <w:rsid w:val="006E3258"/>
    <w:rsid w:val="006E3B34"/>
    <w:rsid w:val="006E4644"/>
    <w:rsid w:val="006E4F81"/>
    <w:rsid w:val="006E51BC"/>
    <w:rsid w:val="006E5343"/>
    <w:rsid w:val="006E6A9D"/>
    <w:rsid w:val="006E6B07"/>
    <w:rsid w:val="006E74A8"/>
    <w:rsid w:val="006E7667"/>
    <w:rsid w:val="006F0489"/>
    <w:rsid w:val="006F0C22"/>
    <w:rsid w:val="006F0F80"/>
    <w:rsid w:val="006F23EC"/>
    <w:rsid w:val="006F28F3"/>
    <w:rsid w:val="006F41ED"/>
    <w:rsid w:val="006F466F"/>
    <w:rsid w:val="006F74E8"/>
    <w:rsid w:val="006F7649"/>
    <w:rsid w:val="00700155"/>
    <w:rsid w:val="0070080F"/>
    <w:rsid w:val="00701B00"/>
    <w:rsid w:val="007022FA"/>
    <w:rsid w:val="007026EC"/>
    <w:rsid w:val="00702BBF"/>
    <w:rsid w:val="007032D6"/>
    <w:rsid w:val="007051C0"/>
    <w:rsid w:val="00705D8D"/>
    <w:rsid w:val="0070630A"/>
    <w:rsid w:val="007069CC"/>
    <w:rsid w:val="00706C16"/>
    <w:rsid w:val="007070EE"/>
    <w:rsid w:val="007126B2"/>
    <w:rsid w:val="007132D7"/>
    <w:rsid w:val="00713F7B"/>
    <w:rsid w:val="0071404D"/>
    <w:rsid w:val="00714B12"/>
    <w:rsid w:val="00715282"/>
    <w:rsid w:val="0071567B"/>
    <w:rsid w:val="00715911"/>
    <w:rsid w:val="00715B1D"/>
    <w:rsid w:val="007165CD"/>
    <w:rsid w:val="007179A4"/>
    <w:rsid w:val="00717A06"/>
    <w:rsid w:val="0072134F"/>
    <w:rsid w:val="00721CFE"/>
    <w:rsid w:val="007229C2"/>
    <w:rsid w:val="007235CD"/>
    <w:rsid w:val="00724A9A"/>
    <w:rsid w:val="0072515A"/>
    <w:rsid w:val="0072544B"/>
    <w:rsid w:val="00725603"/>
    <w:rsid w:val="00726405"/>
    <w:rsid w:val="0072741C"/>
    <w:rsid w:val="00730E74"/>
    <w:rsid w:val="0073180D"/>
    <w:rsid w:val="00731B8C"/>
    <w:rsid w:val="00733247"/>
    <w:rsid w:val="007365CD"/>
    <w:rsid w:val="00736B91"/>
    <w:rsid w:val="00737242"/>
    <w:rsid w:val="00737E45"/>
    <w:rsid w:val="0074081C"/>
    <w:rsid w:val="00741845"/>
    <w:rsid w:val="00741C0D"/>
    <w:rsid w:val="007435DA"/>
    <w:rsid w:val="00743F6D"/>
    <w:rsid w:val="00743F9E"/>
    <w:rsid w:val="007441E7"/>
    <w:rsid w:val="00744298"/>
    <w:rsid w:val="0074483A"/>
    <w:rsid w:val="00744F17"/>
    <w:rsid w:val="007466CF"/>
    <w:rsid w:val="00746C47"/>
    <w:rsid w:val="007474E5"/>
    <w:rsid w:val="0075158C"/>
    <w:rsid w:val="00751652"/>
    <w:rsid w:val="00751677"/>
    <w:rsid w:val="00752AA1"/>
    <w:rsid w:val="00754189"/>
    <w:rsid w:val="00755C02"/>
    <w:rsid w:val="00755F50"/>
    <w:rsid w:val="007562DF"/>
    <w:rsid w:val="007565E1"/>
    <w:rsid w:val="00756C14"/>
    <w:rsid w:val="00756D27"/>
    <w:rsid w:val="00760E13"/>
    <w:rsid w:val="0076337C"/>
    <w:rsid w:val="00763A6B"/>
    <w:rsid w:val="00763EDE"/>
    <w:rsid w:val="00764920"/>
    <w:rsid w:val="00765757"/>
    <w:rsid w:val="00765FD6"/>
    <w:rsid w:val="0076672F"/>
    <w:rsid w:val="00770220"/>
    <w:rsid w:val="00770BB0"/>
    <w:rsid w:val="00772795"/>
    <w:rsid w:val="00777975"/>
    <w:rsid w:val="007779A1"/>
    <w:rsid w:val="00780FFD"/>
    <w:rsid w:val="00782A0A"/>
    <w:rsid w:val="00784069"/>
    <w:rsid w:val="00784303"/>
    <w:rsid w:val="007846B1"/>
    <w:rsid w:val="00785CBF"/>
    <w:rsid w:val="00785F69"/>
    <w:rsid w:val="007878D7"/>
    <w:rsid w:val="0079045E"/>
    <w:rsid w:val="0079099C"/>
    <w:rsid w:val="00791B98"/>
    <w:rsid w:val="00791FB5"/>
    <w:rsid w:val="00792125"/>
    <w:rsid w:val="0079287D"/>
    <w:rsid w:val="007944D1"/>
    <w:rsid w:val="00796C7B"/>
    <w:rsid w:val="007A05DD"/>
    <w:rsid w:val="007A09F2"/>
    <w:rsid w:val="007A0C05"/>
    <w:rsid w:val="007A3E91"/>
    <w:rsid w:val="007A428C"/>
    <w:rsid w:val="007A48F2"/>
    <w:rsid w:val="007A5C34"/>
    <w:rsid w:val="007A6F31"/>
    <w:rsid w:val="007A7B6F"/>
    <w:rsid w:val="007B00D7"/>
    <w:rsid w:val="007B1D8F"/>
    <w:rsid w:val="007B3CAE"/>
    <w:rsid w:val="007B3D84"/>
    <w:rsid w:val="007B432F"/>
    <w:rsid w:val="007B440C"/>
    <w:rsid w:val="007B494F"/>
    <w:rsid w:val="007B5221"/>
    <w:rsid w:val="007B57FB"/>
    <w:rsid w:val="007B660C"/>
    <w:rsid w:val="007B794C"/>
    <w:rsid w:val="007C042E"/>
    <w:rsid w:val="007C0A7D"/>
    <w:rsid w:val="007C14EC"/>
    <w:rsid w:val="007C2D1B"/>
    <w:rsid w:val="007C3FE6"/>
    <w:rsid w:val="007C4758"/>
    <w:rsid w:val="007C55FA"/>
    <w:rsid w:val="007C6E22"/>
    <w:rsid w:val="007C6EB1"/>
    <w:rsid w:val="007C70B9"/>
    <w:rsid w:val="007D0256"/>
    <w:rsid w:val="007D1852"/>
    <w:rsid w:val="007D2322"/>
    <w:rsid w:val="007D46C4"/>
    <w:rsid w:val="007D46D5"/>
    <w:rsid w:val="007D5348"/>
    <w:rsid w:val="007E0C23"/>
    <w:rsid w:val="007E1AAB"/>
    <w:rsid w:val="007E1FF7"/>
    <w:rsid w:val="007E2AF4"/>
    <w:rsid w:val="007E2DB6"/>
    <w:rsid w:val="007E2EE9"/>
    <w:rsid w:val="007E302C"/>
    <w:rsid w:val="007E3CF4"/>
    <w:rsid w:val="007E3FCD"/>
    <w:rsid w:val="007E438C"/>
    <w:rsid w:val="007E7FC3"/>
    <w:rsid w:val="007F0735"/>
    <w:rsid w:val="007F0D8D"/>
    <w:rsid w:val="007F1978"/>
    <w:rsid w:val="007F19CA"/>
    <w:rsid w:val="007F1A14"/>
    <w:rsid w:val="007F2557"/>
    <w:rsid w:val="007F39D4"/>
    <w:rsid w:val="007F5F7A"/>
    <w:rsid w:val="007F6920"/>
    <w:rsid w:val="007F6BE4"/>
    <w:rsid w:val="007F6E14"/>
    <w:rsid w:val="007F7AEF"/>
    <w:rsid w:val="00801402"/>
    <w:rsid w:val="008018B2"/>
    <w:rsid w:val="00801D4D"/>
    <w:rsid w:val="00801E9C"/>
    <w:rsid w:val="0080260C"/>
    <w:rsid w:val="00803778"/>
    <w:rsid w:val="00804ACF"/>
    <w:rsid w:val="00804B23"/>
    <w:rsid w:val="00804CA4"/>
    <w:rsid w:val="00805D83"/>
    <w:rsid w:val="00805F43"/>
    <w:rsid w:val="00806572"/>
    <w:rsid w:val="00806654"/>
    <w:rsid w:val="00806716"/>
    <w:rsid w:val="00806CAF"/>
    <w:rsid w:val="00807250"/>
    <w:rsid w:val="008075F3"/>
    <w:rsid w:val="00807BAF"/>
    <w:rsid w:val="00810759"/>
    <w:rsid w:val="008114FD"/>
    <w:rsid w:val="008123A4"/>
    <w:rsid w:val="00813125"/>
    <w:rsid w:val="00814112"/>
    <w:rsid w:val="00814BFA"/>
    <w:rsid w:val="00814C61"/>
    <w:rsid w:val="00815613"/>
    <w:rsid w:val="00816FC7"/>
    <w:rsid w:val="0081716A"/>
    <w:rsid w:val="00817F97"/>
    <w:rsid w:val="00821781"/>
    <w:rsid w:val="00821C63"/>
    <w:rsid w:val="00822133"/>
    <w:rsid w:val="00822E80"/>
    <w:rsid w:val="00824A64"/>
    <w:rsid w:val="00826DCA"/>
    <w:rsid w:val="008273D6"/>
    <w:rsid w:val="00827C15"/>
    <w:rsid w:val="0083086C"/>
    <w:rsid w:val="00830D42"/>
    <w:rsid w:val="00831879"/>
    <w:rsid w:val="0083190F"/>
    <w:rsid w:val="00831CA8"/>
    <w:rsid w:val="008325C3"/>
    <w:rsid w:val="00833566"/>
    <w:rsid w:val="00833945"/>
    <w:rsid w:val="008343A7"/>
    <w:rsid w:val="00834B30"/>
    <w:rsid w:val="008354CF"/>
    <w:rsid w:val="00836725"/>
    <w:rsid w:val="00837443"/>
    <w:rsid w:val="00837938"/>
    <w:rsid w:val="00840001"/>
    <w:rsid w:val="008408F8"/>
    <w:rsid w:val="0084096D"/>
    <w:rsid w:val="008410ED"/>
    <w:rsid w:val="0084115F"/>
    <w:rsid w:val="00841D34"/>
    <w:rsid w:val="008426F2"/>
    <w:rsid w:val="00843065"/>
    <w:rsid w:val="00845C1C"/>
    <w:rsid w:val="0084607E"/>
    <w:rsid w:val="00846299"/>
    <w:rsid w:val="0084679F"/>
    <w:rsid w:val="00846E5A"/>
    <w:rsid w:val="00846E9E"/>
    <w:rsid w:val="00850256"/>
    <w:rsid w:val="00850559"/>
    <w:rsid w:val="00851699"/>
    <w:rsid w:val="00851A09"/>
    <w:rsid w:val="0085235E"/>
    <w:rsid w:val="0085327C"/>
    <w:rsid w:val="00853E2A"/>
    <w:rsid w:val="0085452E"/>
    <w:rsid w:val="008548BC"/>
    <w:rsid w:val="00854A97"/>
    <w:rsid w:val="008552BD"/>
    <w:rsid w:val="0085543A"/>
    <w:rsid w:val="00855463"/>
    <w:rsid w:val="00855533"/>
    <w:rsid w:val="008565A6"/>
    <w:rsid w:val="00857338"/>
    <w:rsid w:val="008579E3"/>
    <w:rsid w:val="00857B47"/>
    <w:rsid w:val="008605B3"/>
    <w:rsid w:val="00861D10"/>
    <w:rsid w:val="008627FD"/>
    <w:rsid w:val="00863A2A"/>
    <w:rsid w:val="00863BEF"/>
    <w:rsid w:val="00865F79"/>
    <w:rsid w:val="008660DD"/>
    <w:rsid w:val="00866352"/>
    <w:rsid w:val="008663BB"/>
    <w:rsid w:val="00870510"/>
    <w:rsid w:val="00870529"/>
    <w:rsid w:val="00870C8B"/>
    <w:rsid w:val="00870DAF"/>
    <w:rsid w:val="00871C4D"/>
    <w:rsid w:val="008723D1"/>
    <w:rsid w:val="008740B9"/>
    <w:rsid w:val="00874731"/>
    <w:rsid w:val="00874943"/>
    <w:rsid w:val="0087540F"/>
    <w:rsid w:val="0087706C"/>
    <w:rsid w:val="00877BCF"/>
    <w:rsid w:val="008806F3"/>
    <w:rsid w:val="0088140B"/>
    <w:rsid w:val="00881B6E"/>
    <w:rsid w:val="00885066"/>
    <w:rsid w:val="008852C0"/>
    <w:rsid w:val="00886A87"/>
    <w:rsid w:val="00886C92"/>
    <w:rsid w:val="008871D1"/>
    <w:rsid w:val="00887C10"/>
    <w:rsid w:val="00887C24"/>
    <w:rsid w:val="0089113B"/>
    <w:rsid w:val="008918E0"/>
    <w:rsid w:val="00893020"/>
    <w:rsid w:val="00893518"/>
    <w:rsid w:val="008939A6"/>
    <w:rsid w:val="008952C4"/>
    <w:rsid w:val="008954C0"/>
    <w:rsid w:val="008962AD"/>
    <w:rsid w:val="008963DE"/>
    <w:rsid w:val="008978D5"/>
    <w:rsid w:val="00897C72"/>
    <w:rsid w:val="008A0569"/>
    <w:rsid w:val="008A1158"/>
    <w:rsid w:val="008A1814"/>
    <w:rsid w:val="008A1AB0"/>
    <w:rsid w:val="008A2979"/>
    <w:rsid w:val="008A2DE9"/>
    <w:rsid w:val="008A362F"/>
    <w:rsid w:val="008A366C"/>
    <w:rsid w:val="008A373D"/>
    <w:rsid w:val="008A3CAC"/>
    <w:rsid w:val="008A4863"/>
    <w:rsid w:val="008A5CBF"/>
    <w:rsid w:val="008A67F7"/>
    <w:rsid w:val="008B02E2"/>
    <w:rsid w:val="008B0538"/>
    <w:rsid w:val="008B0C40"/>
    <w:rsid w:val="008B1A6B"/>
    <w:rsid w:val="008B1AE2"/>
    <w:rsid w:val="008B1CB6"/>
    <w:rsid w:val="008B2230"/>
    <w:rsid w:val="008B36EE"/>
    <w:rsid w:val="008B5480"/>
    <w:rsid w:val="008B5F77"/>
    <w:rsid w:val="008B60FD"/>
    <w:rsid w:val="008B6AF6"/>
    <w:rsid w:val="008B76AB"/>
    <w:rsid w:val="008C0152"/>
    <w:rsid w:val="008C18F4"/>
    <w:rsid w:val="008C1E95"/>
    <w:rsid w:val="008C224B"/>
    <w:rsid w:val="008C2A8F"/>
    <w:rsid w:val="008C3446"/>
    <w:rsid w:val="008C3E21"/>
    <w:rsid w:val="008C404D"/>
    <w:rsid w:val="008C4A90"/>
    <w:rsid w:val="008C5E2A"/>
    <w:rsid w:val="008C5F54"/>
    <w:rsid w:val="008C6170"/>
    <w:rsid w:val="008D0CC2"/>
    <w:rsid w:val="008D12DE"/>
    <w:rsid w:val="008D25B2"/>
    <w:rsid w:val="008D32BA"/>
    <w:rsid w:val="008D36E3"/>
    <w:rsid w:val="008D3DD7"/>
    <w:rsid w:val="008D4096"/>
    <w:rsid w:val="008D4306"/>
    <w:rsid w:val="008D5956"/>
    <w:rsid w:val="008D5B53"/>
    <w:rsid w:val="008D725D"/>
    <w:rsid w:val="008D78D5"/>
    <w:rsid w:val="008D796E"/>
    <w:rsid w:val="008E107E"/>
    <w:rsid w:val="008E15A9"/>
    <w:rsid w:val="008E19AA"/>
    <w:rsid w:val="008E41EA"/>
    <w:rsid w:val="008E44A0"/>
    <w:rsid w:val="008E44D2"/>
    <w:rsid w:val="008E4569"/>
    <w:rsid w:val="008E5565"/>
    <w:rsid w:val="008E6EDA"/>
    <w:rsid w:val="008E7B1E"/>
    <w:rsid w:val="008F10C7"/>
    <w:rsid w:val="008F2A41"/>
    <w:rsid w:val="008F330B"/>
    <w:rsid w:val="008F3980"/>
    <w:rsid w:val="008F4093"/>
    <w:rsid w:val="008F4161"/>
    <w:rsid w:val="008F548D"/>
    <w:rsid w:val="008F6E87"/>
    <w:rsid w:val="008F6F8B"/>
    <w:rsid w:val="008F7150"/>
    <w:rsid w:val="008F75F7"/>
    <w:rsid w:val="008F771A"/>
    <w:rsid w:val="008F784F"/>
    <w:rsid w:val="008F7AD7"/>
    <w:rsid w:val="00900550"/>
    <w:rsid w:val="00900719"/>
    <w:rsid w:val="00901611"/>
    <w:rsid w:val="00902626"/>
    <w:rsid w:val="009027FB"/>
    <w:rsid w:val="00902EF1"/>
    <w:rsid w:val="0090424B"/>
    <w:rsid w:val="00904995"/>
    <w:rsid w:val="0090518A"/>
    <w:rsid w:val="0090539E"/>
    <w:rsid w:val="009056A9"/>
    <w:rsid w:val="00906B58"/>
    <w:rsid w:val="00907DAE"/>
    <w:rsid w:val="00910943"/>
    <w:rsid w:val="00910B2F"/>
    <w:rsid w:val="0091178A"/>
    <w:rsid w:val="009127C1"/>
    <w:rsid w:val="00912CB1"/>
    <w:rsid w:val="00913434"/>
    <w:rsid w:val="0091369A"/>
    <w:rsid w:val="0091441A"/>
    <w:rsid w:val="00914C3B"/>
    <w:rsid w:val="00915DB5"/>
    <w:rsid w:val="00916190"/>
    <w:rsid w:val="00916D05"/>
    <w:rsid w:val="0091714E"/>
    <w:rsid w:val="009173FC"/>
    <w:rsid w:val="0091766E"/>
    <w:rsid w:val="00920F5F"/>
    <w:rsid w:val="00921C0A"/>
    <w:rsid w:val="00921C4A"/>
    <w:rsid w:val="00922665"/>
    <w:rsid w:val="009233FD"/>
    <w:rsid w:val="0092388A"/>
    <w:rsid w:val="00923ED9"/>
    <w:rsid w:val="009240D5"/>
    <w:rsid w:val="00924798"/>
    <w:rsid w:val="00924C9C"/>
    <w:rsid w:val="00925061"/>
    <w:rsid w:val="00926098"/>
    <w:rsid w:val="009265B0"/>
    <w:rsid w:val="009271C1"/>
    <w:rsid w:val="0092732B"/>
    <w:rsid w:val="00927B19"/>
    <w:rsid w:val="00927B92"/>
    <w:rsid w:val="00927DE8"/>
    <w:rsid w:val="0093005A"/>
    <w:rsid w:val="009302FE"/>
    <w:rsid w:val="009313F6"/>
    <w:rsid w:val="00931F56"/>
    <w:rsid w:val="0093519C"/>
    <w:rsid w:val="00935CE2"/>
    <w:rsid w:val="00935F0F"/>
    <w:rsid w:val="0093709A"/>
    <w:rsid w:val="00940894"/>
    <w:rsid w:val="00940B69"/>
    <w:rsid w:val="00940FBC"/>
    <w:rsid w:val="00941077"/>
    <w:rsid w:val="0094261F"/>
    <w:rsid w:val="009436B5"/>
    <w:rsid w:val="00943B8D"/>
    <w:rsid w:val="00943C49"/>
    <w:rsid w:val="00944057"/>
    <w:rsid w:val="009446E7"/>
    <w:rsid w:val="009446E8"/>
    <w:rsid w:val="00944995"/>
    <w:rsid w:val="00944A65"/>
    <w:rsid w:val="00945180"/>
    <w:rsid w:val="00945413"/>
    <w:rsid w:val="00947EED"/>
    <w:rsid w:val="00950064"/>
    <w:rsid w:val="00950A58"/>
    <w:rsid w:val="00950BD9"/>
    <w:rsid w:val="00950E91"/>
    <w:rsid w:val="00951203"/>
    <w:rsid w:val="009517F1"/>
    <w:rsid w:val="00952022"/>
    <w:rsid w:val="009526B9"/>
    <w:rsid w:val="00952826"/>
    <w:rsid w:val="0095332A"/>
    <w:rsid w:val="0095450C"/>
    <w:rsid w:val="0095527C"/>
    <w:rsid w:val="009554BF"/>
    <w:rsid w:val="009554E0"/>
    <w:rsid w:val="009562A2"/>
    <w:rsid w:val="009563E6"/>
    <w:rsid w:val="00956952"/>
    <w:rsid w:val="009569BE"/>
    <w:rsid w:val="0096159F"/>
    <w:rsid w:val="00961626"/>
    <w:rsid w:val="00961D48"/>
    <w:rsid w:val="009624B4"/>
    <w:rsid w:val="0096267F"/>
    <w:rsid w:val="00962A26"/>
    <w:rsid w:val="00962C96"/>
    <w:rsid w:val="009631F0"/>
    <w:rsid w:val="009632DE"/>
    <w:rsid w:val="00963FF7"/>
    <w:rsid w:val="009652A2"/>
    <w:rsid w:val="0096531E"/>
    <w:rsid w:val="009663B3"/>
    <w:rsid w:val="00966C7E"/>
    <w:rsid w:val="00967292"/>
    <w:rsid w:val="00967694"/>
    <w:rsid w:val="009676F6"/>
    <w:rsid w:val="00970672"/>
    <w:rsid w:val="00970786"/>
    <w:rsid w:val="00971349"/>
    <w:rsid w:val="00971BB7"/>
    <w:rsid w:val="009729C6"/>
    <w:rsid w:val="00972B18"/>
    <w:rsid w:val="00972C6B"/>
    <w:rsid w:val="009730EB"/>
    <w:rsid w:val="00973583"/>
    <w:rsid w:val="00973CC2"/>
    <w:rsid w:val="00975801"/>
    <w:rsid w:val="009758BA"/>
    <w:rsid w:val="00975ECB"/>
    <w:rsid w:val="00975F43"/>
    <w:rsid w:val="00976523"/>
    <w:rsid w:val="0097657D"/>
    <w:rsid w:val="009766B6"/>
    <w:rsid w:val="009774FE"/>
    <w:rsid w:val="0097795F"/>
    <w:rsid w:val="0098104A"/>
    <w:rsid w:val="00981635"/>
    <w:rsid w:val="00981D33"/>
    <w:rsid w:val="00982CFB"/>
    <w:rsid w:val="00982D19"/>
    <w:rsid w:val="00982EB3"/>
    <w:rsid w:val="009830B1"/>
    <w:rsid w:val="0098337F"/>
    <w:rsid w:val="0098352D"/>
    <w:rsid w:val="0098416C"/>
    <w:rsid w:val="00984DE8"/>
    <w:rsid w:val="00985F31"/>
    <w:rsid w:val="0098600E"/>
    <w:rsid w:val="009861F3"/>
    <w:rsid w:val="0098646D"/>
    <w:rsid w:val="00986833"/>
    <w:rsid w:val="009906D2"/>
    <w:rsid w:val="00990C3E"/>
    <w:rsid w:val="00993073"/>
    <w:rsid w:val="0099324A"/>
    <w:rsid w:val="0099397D"/>
    <w:rsid w:val="00994506"/>
    <w:rsid w:val="00994BBA"/>
    <w:rsid w:val="00994C8F"/>
    <w:rsid w:val="00995DB0"/>
    <w:rsid w:val="00996AC1"/>
    <w:rsid w:val="00997435"/>
    <w:rsid w:val="00997AF6"/>
    <w:rsid w:val="00997C5E"/>
    <w:rsid w:val="009A1ABE"/>
    <w:rsid w:val="009A23F4"/>
    <w:rsid w:val="009A25E8"/>
    <w:rsid w:val="009A391F"/>
    <w:rsid w:val="009A3B53"/>
    <w:rsid w:val="009A4294"/>
    <w:rsid w:val="009A5089"/>
    <w:rsid w:val="009A551D"/>
    <w:rsid w:val="009A598A"/>
    <w:rsid w:val="009A60EF"/>
    <w:rsid w:val="009A73DF"/>
    <w:rsid w:val="009B1A73"/>
    <w:rsid w:val="009B1FFC"/>
    <w:rsid w:val="009B2BCE"/>
    <w:rsid w:val="009B3070"/>
    <w:rsid w:val="009B3455"/>
    <w:rsid w:val="009B38E3"/>
    <w:rsid w:val="009B4139"/>
    <w:rsid w:val="009B4449"/>
    <w:rsid w:val="009B5A43"/>
    <w:rsid w:val="009C2DBF"/>
    <w:rsid w:val="009C368F"/>
    <w:rsid w:val="009C37F8"/>
    <w:rsid w:val="009C43CD"/>
    <w:rsid w:val="009C6317"/>
    <w:rsid w:val="009D00DF"/>
    <w:rsid w:val="009D187E"/>
    <w:rsid w:val="009D34FD"/>
    <w:rsid w:val="009D4424"/>
    <w:rsid w:val="009D5DC3"/>
    <w:rsid w:val="009D65F7"/>
    <w:rsid w:val="009D7E35"/>
    <w:rsid w:val="009E0EAF"/>
    <w:rsid w:val="009E1924"/>
    <w:rsid w:val="009E192B"/>
    <w:rsid w:val="009E1A91"/>
    <w:rsid w:val="009E3076"/>
    <w:rsid w:val="009E3648"/>
    <w:rsid w:val="009E399C"/>
    <w:rsid w:val="009E3AE7"/>
    <w:rsid w:val="009E3D6C"/>
    <w:rsid w:val="009E3F20"/>
    <w:rsid w:val="009E4BFD"/>
    <w:rsid w:val="009E51ED"/>
    <w:rsid w:val="009E5811"/>
    <w:rsid w:val="009E70AA"/>
    <w:rsid w:val="009E7E13"/>
    <w:rsid w:val="009F052C"/>
    <w:rsid w:val="009F1209"/>
    <w:rsid w:val="009F2248"/>
    <w:rsid w:val="009F29B2"/>
    <w:rsid w:val="009F327E"/>
    <w:rsid w:val="009F4607"/>
    <w:rsid w:val="009F62FF"/>
    <w:rsid w:val="009F70E0"/>
    <w:rsid w:val="00A00081"/>
    <w:rsid w:val="00A00596"/>
    <w:rsid w:val="00A01B81"/>
    <w:rsid w:val="00A0439B"/>
    <w:rsid w:val="00A0681E"/>
    <w:rsid w:val="00A0737F"/>
    <w:rsid w:val="00A0775F"/>
    <w:rsid w:val="00A07A3C"/>
    <w:rsid w:val="00A07D89"/>
    <w:rsid w:val="00A07DE0"/>
    <w:rsid w:val="00A10584"/>
    <w:rsid w:val="00A10711"/>
    <w:rsid w:val="00A116B0"/>
    <w:rsid w:val="00A11CD8"/>
    <w:rsid w:val="00A13098"/>
    <w:rsid w:val="00A134C6"/>
    <w:rsid w:val="00A14B8D"/>
    <w:rsid w:val="00A14C36"/>
    <w:rsid w:val="00A1572F"/>
    <w:rsid w:val="00A16978"/>
    <w:rsid w:val="00A16B34"/>
    <w:rsid w:val="00A1765A"/>
    <w:rsid w:val="00A2059C"/>
    <w:rsid w:val="00A20817"/>
    <w:rsid w:val="00A210E5"/>
    <w:rsid w:val="00A239FC"/>
    <w:rsid w:val="00A255C6"/>
    <w:rsid w:val="00A2681E"/>
    <w:rsid w:val="00A26975"/>
    <w:rsid w:val="00A2792E"/>
    <w:rsid w:val="00A27AEC"/>
    <w:rsid w:val="00A30274"/>
    <w:rsid w:val="00A30434"/>
    <w:rsid w:val="00A30A71"/>
    <w:rsid w:val="00A30ABA"/>
    <w:rsid w:val="00A30B26"/>
    <w:rsid w:val="00A30F76"/>
    <w:rsid w:val="00A31D84"/>
    <w:rsid w:val="00A329F1"/>
    <w:rsid w:val="00A32A53"/>
    <w:rsid w:val="00A32F61"/>
    <w:rsid w:val="00A33EAD"/>
    <w:rsid w:val="00A34893"/>
    <w:rsid w:val="00A35A58"/>
    <w:rsid w:val="00A363A1"/>
    <w:rsid w:val="00A368A9"/>
    <w:rsid w:val="00A36F43"/>
    <w:rsid w:val="00A40664"/>
    <w:rsid w:val="00A408C3"/>
    <w:rsid w:val="00A40D56"/>
    <w:rsid w:val="00A41A01"/>
    <w:rsid w:val="00A423E4"/>
    <w:rsid w:val="00A42C7D"/>
    <w:rsid w:val="00A4438F"/>
    <w:rsid w:val="00A443CD"/>
    <w:rsid w:val="00A452AC"/>
    <w:rsid w:val="00A45EEE"/>
    <w:rsid w:val="00A46039"/>
    <w:rsid w:val="00A4634E"/>
    <w:rsid w:val="00A474C5"/>
    <w:rsid w:val="00A47598"/>
    <w:rsid w:val="00A478DF"/>
    <w:rsid w:val="00A50657"/>
    <w:rsid w:val="00A50DD2"/>
    <w:rsid w:val="00A51501"/>
    <w:rsid w:val="00A52E36"/>
    <w:rsid w:val="00A53241"/>
    <w:rsid w:val="00A5579D"/>
    <w:rsid w:val="00A57D85"/>
    <w:rsid w:val="00A60175"/>
    <w:rsid w:val="00A60BDC"/>
    <w:rsid w:val="00A62E78"/>
    <w:rsid w:val="00A64B18"/>
    <w:rsid w:val="00A64CB5"/>
    <w:rsid w:val="00A66397"/>
    <w:rsid w:val="00A674DC"/>
    <w:rsid w:val="00A70F71"/>
    <w:rsid w:val="00A72277"/>
    <w:rsid w:val="00A72481"/>
    <w:rsid w:val="00A72C2D"/>
    <w:rsid w:val="00A74FD8"/>
    <w:rsid w:val="00A75331"/>
    <w:rsid w:val="00A756BC"/>
    <w:rsid w:val="00A76CDF"/>
    <w:rsid w:val="00A807E7"/>
    <w:rsid w:val="00A8173D"/>
    <w:rsid w:val="00A81DB1"/>
    <w:rsid w:val="00A85946"/>
    <w:rsid w:val="00A85AB7"/>
    <w:rsid w:val="00A86CFF"/>
    <w:rsid w:val="00A8754C"/>
    <w:rsid w:val="00A90410"/>
    <w:rsid w:val="00A904FD"/>
    <w:rsid w:val="00A90A30"/>
    <w:rsid w:val="00A9126B"/>
    <w:rsid w:val="00A918D0"/>
    <w:rsid w:val="00A92832"/>
    <w:rsid w:val="00A92B50"/>
    <w:rsid w:val="00A94167"/>
    <w:rsid w:val="00A941C6"/>
    <w:rsid w:val="00A94744"/>
    <w:rsid w:val="00A9487A"/>
    <w:rsid w:val="00A94915"/>
    <w:rsid w:val="00A953B7"/>
    <w:rsid w:val="00A96C94"/>
    <w:rsid w:val="00AA08AD"/>
    <w:rsid w:val="00AA1C87"/>
    <w:rsid w:val="00AA27E5"/>
    <w:rsid w:val="00AA2B80"/>
    <w:rsid w:val="00AA3302"/>
    <w:rsid w:val="00AA3A7C"/>
    <w:rsid w:val="00AA4134"/>
    <w:rsid w:val="00AA5161"/>
    <w:rsid w:val="00AA5C72"/>
    <w:rsid w:val="00AA72EA"/>
    <w:rsid w:val="00AA7348"/>
    <w:rsid w:val="00AB05D0"/>
    <w:rsid w:val="00AB281D"/>
    <w:rsid w:val="00AB2E18"/>
    <w:rsid w:val="00AB2E45"/>
    <w:rsid w:val="00AB3510"/>
    <w:rsid w:val="00AB40E9"/>
    <w:rsid w:val="00AB4318"/>
    <w:rsid w:val="00AB4F9B"/>
    <w:rsid w:val="00AB5F74"/>
    <w:rsid w:val="00AB5FC9"/>
    <w:rsid w:val="00AB5FCE"/>
    <w:rsid w:val="00AB6525"/>
    <w:rsid w:val="00AB6FFA"/>
    <w:rsid w:val="00AB7125"/>
    <w:rsid w:val="00AC0A9B"/>
    <w:rsid w:val="00AC28E3"/>
    <w:rsid w:val="00AC3C73"/>
    <w:rsid w:val="00AC4A6F"/>
    <w:rsid w:val="00AC5456"/>
    <w:rsid w:val="00AC5A03"/>
    <w:rsid w:val="00AC60BB"/>
    <w:rsid w:val="00AC6727"/>
    <w:rsid w:val="00AC6A0D"/>
    <w:rsid w:val="00AC7747"/>
    <w:rsid w:val="00AD08C2"/>
    <w:rsid w:val="00AD2896"/>
    <w:rsid w:val="00AD3349"/>
    <w:rsid w:val="00AD4FE7"/>
    <w:rsid w:val="00AD5581"/>
    <w:rsid w:val="00AD5972"/>
    <w:rsid w:val="00AD59AE"/>
    <w:rsid w:val="00AD6314"/>
    <w:rsid w:val="00AE0BA9"/>
    <w:rsid w:val="00AE1C04"/>
    <w:rsid w:val="00AE297C"/>
    <w:rsid w:val="00AE29E2"/>
    <w:rsid w:val="00AE2E01"/>
    <w:rsid w:val="00AE3020"/>
    <w:rsid w:val="00AE3566"/>
    <w:rsid w:val="00AE445F"/>
    <w:rsid w:val="00AE5702"/>
    <w:rsid w:val="00AE68EB"/>
    <w:rsid w:val="00AF0545"/>
    <w:rsid w:val="00AF09C1"/>
    <w:rsid w:val="00AF10C4"/>
    <w:rsid w:val="00AF207D"/>
    <w:rsid w:val="00AF21DA"/>
    <w:rsid w:val="00AF4573"/>
    <w:rsid w:val="00AF47DC"/>
    <w:rsid w:val="00AF4AA5"/>
    <w:rsid w:val="00AF5030"/>
    <w:rsid w:val="00AF54CC"/>
    <w:rsid w:val="00AF5700"/>
    <w:rsid w:val="00AF585A"/>
    <w:rsid w:val="00AF6665"/>
    <w:rsid w:val="00B004ED"/>
    <w:rsid w:val="00B01BC2"/>
    <w:rsid w:val="00B02047"/>
    <w:rsid w:val="00B02281"/>
    <w:rsid w:val="00B02DA3"/>
    <w:rsid w:val="00B033CE"/>
    <w:rsid w:val="00B05D2A"/>
    <w:rsid w:val="00B05ED3"/>
    <w:rsid w:val="00B0634E"/>
    <w:rsid w:val="00B06D0B"/>
    <w:rsid w:val="00B07BF7"/>
    <w:rsid w:val="00B1042C"/>
    <w:rsid w:val="00B124D4"/>
    <w:rsid w:val="00B127E3"/>
    <w:rsid w:val="00B12EFE"/>
    <w:rsid w:val="00B13889"/>
    <w:rsid w:val="00B14529"/>
    <w:rsid w:val="00B148EA"/>
    <w:rsid w:val="00B1594C"/>
    <w:rsid w:val="00B15B48"/>
    <w:rsid w:val="00B163C7"/>
    <w:rsid w:val="00B21528"/>
    <w:rsid w:val="00B21F75"/>
    <w:rsid w:val="00B224FE"/>
    <w:rsid w:val="00B23092"/>
    <w:rsid w:val="00B232C8"/>
    <w:rsid w:val="00B24A3F"/>
    <w:rsid w:val="00B24D25"/>
    <w:rsid w:val="00B2552E"/>
    <w:rsid w:val="00B267EE"/>
    <w:rsid w:val="00B269FC"/>
    <w:rsid w:val="00B26E70"/>
    <w:rsid w:val="00B30E60"/>
    <w:rsid w:val="00B31790"/>
    <w:rsid w:val="00B320D8"/>
    <w:rsid w:val="00B32720"/>
    <w:rsid w:val="00B32750"/>
    <w:rsid w:val="00B34092"/>
    <w:rsid w:val="00B34E75"/>
    <w:rsid w:val="00B34F76"/>
    <w:rsid w:val="00B34F96"/>
    <w:rsid w:val="00B35CDD"/>
    <w:rsid w:val="00B36B3A"/>
    <w:rsid w:val="00B37563"/>
    <w:rsid w:val="00B40E2D"/>
    <w:rsid w:val="00B43E61"/>
    <w:rsid w:val="00B455AF"/>
    <w:rsid w:val="00B45976"/>
    <w:rsid w:val="00B466E5"/>
    <w:rsid w:val="00B4788C"/>
    <w:rsid w:val="00B5037A"/>
    <w:rsid w:val="00B5095E"/>
    <w:rsid w:val="00B51124"/>
    <w:rsid w:val="00B519C8"/>
    <w:rsid w:val="00B51DE9"/>
    <w:rsid w:val="00B51EF2"/>
    <w:rsid w:val="00B52BF9"/>
    <w:rsid w:val="00B52EC0"/>
    <w:rsid w:val="00B53648"/>
    <w:rsid w:val="00B54E37"/>
    <w:rsid w:val="00B55595"/>
    <w:rsid w:val="00B56FB7"/>
    <w:rsid w:val="00B56FC0"/>
    <w:rsid w:val="00B61BFC"/>
    <w:rsid w:val="00B62FFE"/>
    <w:rsid w:val="00B638A7"/>
    <w:rsid w:val="00B643F5"/>
    <w:rsid w:val="00B65FF6"/>
    <w:rsid w:val="00B669F0"/>
    <w:rsid w:val="00B705A7"/>
    <w:rsid w:val="00B71495"/>
    <w:rsid w:val="00B714BB"/>
    <w:rsid w:val="00B71621"/>
    <w:rsid w:val="00B71BB5"/>
    <w:rsid w:val="00B730C6"/>
    <w:rsid w:val="00B74477"/>
    <w:rsid w:val="00B74560"/>
    <w:rsid w:val="00B74E9C"/>
    <w:rsid w:val="00B74ED5"/>
    <w:rsid w:val="00B7514C"/>
    <w:rsid w:val="00B76721"/>
    <w:rsid w:val="00B77F1C"/>
    <w:rsid w:val="00B80DB9"/>
    <w:rsid w:val="00B816CA"/>
    <w:rsid w:val="00B81871"/>
    <w:rsid w:val="00B82151"/>
    <w:rsid w:val="00B82800"/>
    <w:rsid w:val="00B836A6"/>
    <w:rsid w:val="00B84B90"/>
    <w:rsid w:val="00B852C5"/>
    <w:rsid w:val="00B85564"/>
    <w:rsid w:val="00B865B2"/>
    <w:rsid w:val="00B86840"/>
    <w:rsid w:val="00B86A1D"/>
    <w:rsid w:val="00B90396"/>
    <w:rsid w:val="00B905C5"/>
    <w:rsid w:val="00B90E34"/>
    <w:rsid w:val="00B91724"/>
    <w:rsid w:val="00B91CB9"/>
    <w:rsid w:val="00B92402"/>
    <w:rsid w:val="00B92F68"/>
    <w:rsid w:val="00B94740"/>
    <w:rsid w:val="00B95112"/>
    <w:rsid w:val="00B95E1B"/>
    <w:rsid w:val="00B9644F"/>
    <w:rsid w:val="00B96921"/>
    <w:rsid w:val="00B9702F"/>
    <w:rsid w:val="00B974BD"/>
    <w:rsid w:val="00B97E78"/>
    <w:rsid w:val="00BA0EDF"/>
    <w:rsid w:val="00BA116F"/>
    <w:rsid w:val="00BA15B5"/>
    <w:rsid w:val="00BA1618"/>
    <w:rsid w:val="00BA17BD"/>
    <w:rsid w:val="00BA1939"/>
    <w:rsid w:val="00BA2056"/>
    <w:rsid w:val="00BA27B5"/>
    <w:rsid w:val="00BA2D58"/>
    <w:rsid w:val="00BA37ED"/>
    <w:rsid w:val="00BA3E3B"/>
    <w:rsid w:val="00BA5C81"/>
    <w:rsid w:val="00BA64E5"/>
    <w:rsid w:val="00BA66D9"/>
    <w:rsid w:val="00BB21C0"/>
    <w:rsid w:val="00BB2E52"/>
    <w:rsid w:val="00BB45B0"/>
    <w:rsid w:val="00BB4637"/>
    <w:rsid w:val="00BB503C"/>
    <w:rsid w:val="00BB576B"/>
    <w:rsid w:val="00BB5817"/>
    <w:rsid w:val="00BB6176"/>
    <w:rsid w:val="00BB6383"/>
    <w:rsid w:val="00BB67D8"/>
    <w:rsid w:val="00BB6A19"/>
    <w:rsid w:val="00BB73C5"/>
    <w:rsid w:val="00BB7550"/>
    <w:rsid w:val="00BC11F0"/>
    <w:rsid w:val="00BC212D"/>
    <w:rsid w:val="00BC241B"/>
    <w:rsid w:val="00BC4A37"/>
    <w:rsid w:val="00BC5460"/>
    <w:rsid w:val="00BC54BF"/>
    <w:rsid w:val="00BC63CC"/>
    <w:rsid w:val="00BC6713"/>
    <w:rsid w:val="00BC7356"/>
    <w:rsid w:val="00BD0725"/>
    <w:rsid w:val="00BD1DF3"/>
    <w:rsid w:val="00BD2F54"/>
    <w:rsid w:val="00BD3F8D"/>
    <w:rsid w:val="00BD442D"/>
    <w:rsid w:val="00BD46A3"/>
    <w:rsid w:val="00BD5628"/>
    <w:rsid w:val="00BD669B"/>
    <w:rsid w:val="00BD6F18"/>
    <w:rsid w:val="00BD75BB"/>
    <w:rsid w:val="00BD7B34"/>
    <w:rsid w:val="00BE0523"/>
    <w:rsid w:val="00BE16C6"/>
    <w:rsid w:val="00BE1E29"/>
    <w:rsid w:val="00BE3083"/>
    <w:rsid w:val="00BE3254"/>
    <w:rsid w:val="00BE3F08"/>
    <w:rsid w:val="00BE6A82"/>
    <w:rsid w:val="00BE7487"/>
    <w:rsid w:val="00BE7F77"/>
    <w:rsid w:val="00BF066C"/>
    <w:rsid w:val="00BF12C4"/>
    <w:rsid w:val="00BF39F3"/>
    <w:rsid w:val="00BF3EBB"/>
    <w:rsid w:val="00BF4297"/>
    <w:rsid w:val="00BF429F"/>
    <w:rsid w:val="00BF4968"/>
    <w:rsid w:val="00BF4E31"/>
    <w:rsid w:val="00BF515D"/>
    <w:rsid w:val="00BF578B"/>
    <w:rsid w:val="00BF663E"/>
    <w:rsid w:val="00BF7643"/>
    <w:rsid w:val="00BF7BE9"/>
    <w:rsid w:val="00C00B65"/>
    <w:rsid w:val="00C01337"/>
    <w:rsid w:val="00C01769"/>
    <w:rsid w:val="00C02A0A"/>
    <w:rsid w:val="00C040ED"/>
    <w:rsid w:val="00C04BB0"/>
    <w:rsid w:val="00C04BF4"/>
    <w:rsid w:val="00C060FD"/>
    <w:rsid w:val="00C06635"/>
    <w:rsid w:val="00C06911"/>
    <w:rsid w:val="00C06D6B"/>
    <w:rsid w:val="00C10483"/>
    <w:rsid w:val="00C11CE8"/>
    <w:rsid w:val="00C11FFD"/>
    <w:rsid w:val="00C12100"/>
    <w:rsid w:val="00C12216"/>
    <w:rsid w:val="00C12411"/>
    <w:rsid w:val="00C1262A"/>
    <w:rsid w:val="00C12DBA"/>
    <w:rsid w:val="00C13314"/>
    <w:rsid w:val="00C13EAA"/>
    <w:rsid w:val="00C15694"/>
    <w:rsid w:val="00C15B19"/>
    <w:rsid w:val="00C15CFF"/>
    <w:rsid w:val="00C167BF"/>
    <w:rsid w:val="00C16A8A"/>
    <w:rsid w:val="00C1780C"/>
    <w:rsid w:val="00C2071C"/>
    <w:rsid w:val="00C20E12"/>
    <w:rsid w:val="00C20F2D"/>
    <w:rsid w:val="00C2154D"/>
    <w:rsid w:val="00C21E98"/>
    <w:rsid w:val="00C227EC"/>
    <w:rsid w:val="00C239C1"/>
    <w:rsid w:val="00C23BA5"/>
    <w:rsid w:val="00C24611"/>
    <w:rsid w:val="00C247F7"/>
    <w:rsid w:val="00C248E0"/>
    <w:rsid w:val="00C25690"/>
    <w:rsid w:val="00C25943"/>
    <w:rsid w:val="00C26027"/>
    <w:rsid w:val="00C260E3"/>
    <w:rsid w:val="00C271A1"/>
    <w:rsid w:val="00C277FA"/>
    <w:rsid w:val="00C303EF"/>
    <w:rsid w:val="00C30E7A"/>
    <w:rsid w:val="00C32D1E"/>
    <w:rsid w:val="00C32E6A"/>
    <w:rsid w:val="00C3322F"/>
    <w:rsid w:val="00C332A1"/>
    <w:rsid w:val="00C3367F"/>
    <w:rsid w:val="00C33697"/>
    <w:rsid w:val="00C3384F"/>
    <w:rsid w:val="00C33B50"/>
    <w:rsid w:val="00C33F22"/>
    <w:rsid w:val="00C35627"/>
    <w:rsid w:val="00C372EB"/>
    <w:rsid w:val="00C40AB2"/>
    <w:rsid w:val="00C411CF"/>
    <w:rsid w:val="00C42526"/>
    <w:rsid w:val="00C43143"/>
    <w:rsid w:val="00C43B66"/>
    <w:rsid w:val="00C45599"/>
    <w:rsid w:val="00C45B2D"/>
    <w:rsid w:val="00C462C7"/>
    <w:rsid w:val="00C47E78"/>
    <w:rsid w:val="00C47EB1"/>
    <w:rsid w:val="00C5081C"/>
    <w:rsid w:val="00C52439"/>
    <w:rsid w:val="00C52685"/>
    <w:rsid w:val="00C52B2E"/>
    <w:rsid w:val="00C52C9F"/>
    <w:rsid w:val="00C52FD6"/>
    <w:rsid w:val="00C52FF0"/>
    <w:rsid w:val="00C53C28"/>
    <w:rsid w:val="00C55793"/>
    <w:rsid w:val="00C55AE8"/>
    <w:rsid w:val="00C57E06"/>
    <w:rsid w:val="00C6062E"/>
    <w:rsid w:val="00C62913"/>
    <w:rsid w:val="00C63112"/>
    <w:rsid w:val="00C63DEF"/>
    <w:rsid w:val="00C64815"/>
    <w:rsid w:val="00C659BA"/>
    <w:rsid w:val="00C65FCF"/>
    <w:rsid w:val="00C66055"/>
    <w:rsid w:val="00C66915"/>
    <w:rsid w:val="00C67047"/>
    <w:rsid w:val="00C70611"/>
    <w:rsid w:val="00C710FF"/>
    <w:rsid w:val="00C711E0"/>
    <w:rsid w:val="00C713A1"/>
    <w:rsid w:val="00C72130"/>
    <w:rsid w:val="00C7280D"/>
    <w:rsid w:val="00C73A68"/>
    <w:rsid w:val="00C74A99"/>
    <w:rsid w:val="00C74D73"/>
    <w:rsid w:val="00C74E01"/>
    <w:rsid w:val="00C75A71"/>
    <w:rsid w:val="00C76C4D"/>
    <w:rsid w:val="00C772B2"/>
    <w:rsid w:val="00C82FCA"/>
    <w:rsid w:val="00C831A0"/>
    <w:rsid w:val="00C84C5F"/>
    <w:rsid w:val="00C85046"/>
    <w:rsid w:val="00C85946"/>
    <w:rsid w:val="00C85D3E"/>
    <w:rsid w:val="00C85E3C"/>
    <w:rsid w:val="00C87247"/>
    <w:rsid w:val="00C87679"/>
    <w:rsid w:val="00C87BA4"/>
    <w:rsid w:val="00C91801"/>
    <w:rsid w:val="00C92898"/>
    <w:rsid w:val="00C9317F"/>
    <w:rsid w:val="00C94140"/>
    <w:rsid w:val="00C95DAA"/>
    <w:rsid w:val="00C96547"/>
    <w:rsid w:val="00C965F1"/>
    <w:rsid w:val="00C9774B"/>
    <w:rsid w:val="00C97FF8"/>
    <w:rsid w:val="00CA08BA"/>
    <w:rsid w:val="00CA157A"/>
    <w:rsid w:val="00CA1DFF"/>
    <w:rsid w:val="00CA2463"/>
    <w:rsid w:val="00CA2E7A"/>
    <w:rsid w:val="00CA36A4"/>
    <w:rsid w:val="00CA3E65"/>
    <w:rsid w:val="00CA4E52"/>
    <w:rsid w:val="00CA6F22"/>
    <w:rsid w:val="00CA735B"/>
    <w:rsid w:val="00CB02C9"/>
    <w:rsid w:val="00CB03B5"/>
    <w:rsid w:val="00CB0A29"/>
    <w:rsid w:val="00CB0C14"/>
    <w:rsid w:val="00CB129F"/>
    <w:rsid w:val="00CB1B8D"/>
    <w:rsid w:val="00CB268B"/>
    <w:rsid w:val="00CB3EB6"/>
    <w:rsid w:val="00CB4BA1"/>
    <w:rsid w:val="00CB5457"/>
    <w:rsid w:val="00CB74F9"/>
    <w:rsid w:val="00CB79C2"/>
    <w:rsid w:val="00CB7C58"/>
    <w:rsid w:val="00CC0093"/>
    <w:rsid w:val="00CC10B6"/>
    <w:rsid w:val="00CC1223"/>
    <w:rsid w:val="00CC1D9C"/>
    <w:rsid w:val="00CC2371"/>
    <w:rsid w:val="00CC2FCE"/>
    <w:rsid w:val="00CC38A8"/>
    <w:rsid w:val="00CC7B0F"/>
    <w:rsid w:val="00CD21AE"/>
    <w:rsid w:val="00CD2769"/>
    <w:rsid w:val="00CD277E"/>
    <w:rsid w:val="00CD44A4"/>
    <w:rsid w:val="00CD4DD2"/>
    <w:rsid w:val="00CD5F55"/>
    <w:rsid w:val="00CD5F9C"/>
    <w:rsid w:val="00CD66B2"/>
    <w:rsid w:val="00CD69EB"/>
    <w:rsid w:val="00CD75EE"/>
    <w:rsid w:val="00CE0725"/>
    <w:rsid w:val="00CE0998"/>
    <w:rsid w:val="00CE2119"/>
    <w:rsid w:val="00CE228C"/>
    <w:rsid w:val="00CE2751"/>
    <w:rsid w:val="00CE28CB"/>
    <w:rsid w:val="00CE2FC0"/>
    <w:rsid w:val="00CE3137"/>
    <w:rsid w:val="00CE320A"/>
    <w:rsid w:val="00CE3580"/>
    <w:rsid w:val="00CE4287"/>
    <w:rsid w:val="00CE4706"/>
    <w:rsid w:val="00CE6750"/>
    <w:rsid w:val="00CF0384"/>
    <w:rsid w:val="00CF0C81"/>
    <w:rsid w:val="00CF275E"/>
    <w:rsid w:val="00CF4272"/>
    <w:rsid w:val="00CF54F1"/>
    <w:rsid w:val="00CF713D"/>
    <w:rsid w:val="00D01AC9"/>
    <w:rsid w:val="00D01CFD"/>
    <w:rsid w:val="00D0479F"/>
    <w:rsid w:val="00D04EC5"/>
    <w:rsid w:val="00D05734"/>
    <w:rsid w:val="00D05C20"/>
    <w:rsid w:val="00D063D0"/>
    <w:rsid w:val="00D0665B"/>
    <w:rsid w:val="00D06BC4"/>
    <w:rsid w:val="00D06D98"/>
    <w:rsid w:val="00D06F20"/>
    <w:rsid w:val="00D076F4"/>
    <w:rsid w:val="00D078C5"/>
    <w:rsid w:val="00D112D7"/>
    <w:rsid w:val="00D113E6"/>
    <w:rsid w:val="00D118B7"/>
    <w:rsid w:val="00D12780"/>
    <w:rsid w:val="00D129F0"/>
    <w:rsid w:val="00D14751"/>
    <w:rsid w:val="00D1481C"/>
    <w:rsid w:val="00D1682D"/>
    <w:rsid w:val="00D173D5"/>
    <w:rsid w:val="00D17C72"/>
    <w:rsid w:val="00D2070B"/>
    <w:rsid w:val="00D210CF"/>
    <w:rsid w:val="00D21AEA"/>
    <w:rsid w:val="00D21E4E"/>
    <w:rsid w:val="00D23D7B"/>
    <w:rsid w:val="00D248C7"/>
    <w:rsid w:val="00D255F3"/>
    <w:rsid w:val="00D25F2C"/>
    <w:rsid w:val="00D26765"/>
    <w:rsid w:val="00D26C8D"/>
    <w:rsid w:val="00D26C91"/>
    <w:rsid w:val="00D303AB"/>
    <w:rsid w:val="00D3081B"/>
    <w:rsid w:val="00D30966"/>
    <w:rsid w:val="00D31245"/>
    <w:rsid w:val="00D315BF"/>
    <w:rsid w:val="00D32B70"/>
    <w:rsid w:val="00D33039"/>
    <w:rsid w:val="00D35642"/>
    <w:rsid w:val="00D3591C"/>
    <w:rsid w:val="00D35C92"/>
    <w:rsid w:val="00D35F92"/>
    <w:rsid w:val="00D36784"/>
    <w:rsid w:val="00D36B7D"/>
    <w:rsid w:val="00D3736C"/>
    <w:rsid w:val="00D37EA5"/>
    <w:rsid w:val="00D407FA"/>
    <w:rsid w:val="00D40B06"/>
    <w:rsid w:val="00D41DC0"/>
    <w:rsid w:val="00D43372"/>
    <w:rsid w:val="00D43D8F"/>
    <w:rsid w:val="00D4426A"/>
    <w:rsid w:val="00D461EC"/>
    <w:rsid w:val="00D4640F"/>
    <w:rsid w:val="00D46B16"/>
    <w:rsid w:val="00D476AF"/>
    <w:rsid w:val="00D50722"/>
    <w:rsid w:val="00D51A68"/>
    <w:rsid w:val="00D525D7"/>
    <w:rsid w:val="00D52B70"/>
    <w:rsid w:val="00D54051"/>
    <w:rsid w:val="00D54DE9"/>
    <w:rsid w:val="00D56B40"/>
    <w:rsid w:val="00D60781"/>
    <w:rsid w:val="00D60CAE"/>
    <w:rsid w:val="00D6275F"/>
    <w:rsid w:val="00D62C00"/>
    <w:rsid w:val="00D63ED0"/>
    <w:rsid w:val="00D64894"/>
    <w:rsid w:val="00D65153"/>
    <w:rsid w:val="00D6564B"/>
    <w:rsid w:val="00D65728"/>
    <w:rsid w:val="00D66F54"/>
    <w:rsid w:val="00D67CE6"/>
    <w:rsid w:val="00D701F3"/>
    <w:rsid w:val="00D7125F"/>
    <w:rsid w:val="00D712E6"/>
    <w:rsid w:val="00D7159B"/>
    <w:rsid w:val="00D72BBE"/>
    <w:rsid w:val="00D73070"/>
    <w:rsid w:val="00D74FAB"/>
    <w:rsid w:val="00D74FCF"/>
    <w:rsid w:val="00D75FE8"/>
    <w:rsid w:val="00D7611A"/>
    <w:rsid w:val="00D7640C"/>
    <w:rsid w:val="00D765CB"/>
    <w:rsid w:val="00D7664C"/>
    <w:rsid w:val="00D77623"/>
    <w:rsid w:val="00D81E08"/>
    <w:rsid w:val="00D8261F"/>
    <w:rsid w:val="00D82811"/>
    <w:rsid w:val="00D828A1"/>
    <w:rsid w:val="00D82A5E"/>
    <w:rsid w:val="00D82E54"/>
    <w:rsid w:val="00D839C9"/>
    <w:rsid w:val="00D84FDE"/>
    <w:rsid w:val="00D85C14"/>
    <w:rsid w:val="00D8615A"/>
    <w:rsid w:val="00D86B01"/>
    <w:rsid w:val="00D86E49"/>
    <w:rsid w:val="00D90BF9"/>
    <w:rsid w:val="00D90DC3"/>
    <w:rsid w:val="00D91F2E"/>
    <w:rsid w:val="00D9439A"/>
    <w:rsid w:val="00D95DFE"/>
    <w:rsid w:val="00D95F67"/>
    <w:rsid w:val="00D964EC"/>
    <w:rsid w:val="00D96785"/>
    <w:rsid w:val="00D97B30"/>
    <w:rsid w:val="00DA0035"/>
    <w:rsid w:val="00DA04DA"/>
    <w:rsid w:val="00DA1321"/>
    <w:rsid w:val="00DA153B"/>
    <w:rsid w:val="00DA1A27"/>
    <w:rsid w:val="00DA22D6"/>
    <w:rsid w:val="00DA2E22"/>
    <w:rsid w:val="00DA2F10"/>
    <w:rsid w:val="00DA3404"/>
    <w:rsid w:val="00DA4591"/>
    <w:rsid w:val="00DA73C0"/>
    <w:rsid w:val="00DB0A54"/>
    <w:rsid w:val="00DB1179"/>
    <w:rsid w:val="00DB2112"/>
    <w:rsid w:val="00DB222D"/>
    <w:rsid w:val="00DB2236"/>
    <w:rsid w:val="00DB234C"/>
    <w:rsid w:val="00DB281B"/>
    <w:rsid w:val="00DB3531"/>
    <w:rsid w:val="00DB4942"/>
    <w:rsid w:val="00DB4B84"/>
    <w:rsid w:val="00DB5A6B"/>
    <w:rsid w:val="00DB6964"/>
    <w:rsid w:val="00DB6BF3"/>
    <w:rsid w:val="00DB7156"/>
    <w:rsid w:val="00DB7F26"/>
    <w:rsid w:val="00DC0302"/>
    <w:rsid w:val="00DC083F"/>
    <w:rsid w:val="00DC10B0"/>
    <w:rsid w:val="00DC18A9"/>
    <w:rsid w:val="00DC21C8"/>
    <w:rsid w:val="00DC33A9"/>
    <w:rsid w:val="00DC3619"/>
    <w:rsid w:val="00DC372B"/>
    <w:rsid w:val="00DC3CC0"/>
    <w:rsid w:val="00DC5C61"/>
    <w:rsid w:val="00DC60CE"/>
    <w:rsid w:val="00DD0529"/>
    <w:rsid w:val="00DD0A1C"/>
    <w:rsid w:val="00DD34C4"/>
    <w:rsid w:val="00DD351E"/>
    <w:rsid w:val="00DD4A6F"/>
    <w:rsid w:val="00DD52A9"/>
    <w:rsid w:val="00DD59BB"/>
    <w:rsid w:val="00DD6378"/>
    <w:rsid w:val="00DD6929"/>
    <w:rsid w:val="00DD6E38"/>
    <w:rsid w:val="00DD74FA"/>
    <w:rsid w:val="00DD7856"/>
    <w:rsid w:val="00DE0AF3"/>
    <w:rsid w:val="00DE2CE6"/>
    <w:rsid w:val="00DE41AF"/>
    <w:rsid w:val="00DE6336"/>
    <w:rsid w:val="00DE67F9"/>
    <w:rsid w:val="00DF0346"/>
    <w:rsid w:val="00DF1962"/>
    <w:rsid w:val="00DF2532"/>
    <w:rsid w:val="00DF2A08"/>
    <w:rsid w:val="00DF2E5C"/>
    <w:rsid w:val="00DF39B6"/>
    <w:rsid w:val="00DF3E69"/>
    <w:rsid w:val="00DF41BF"/>
    <w:rsid w:val="00DF427C"/>
    <w:rsid w:val="00DF5570"/>
    <w:rsid w:val="00DF5924"/>
    <w:rsid w:val="00DF5DC2"/>
    <w:rsid w:val="00DF5F92"/>
    <w:rsid w:val="00E002AC"/>
    <w:rsid w:val="00E01F7E"/>
    <w:rsid w:val="00E027DA"/>
    <w:rsid w:val="00E0399B"/>
    <w:rsid w:val="00E04551"/>
    <w:rsid w:val="00E051BC"/>
    <w:rsid w:val="00E0520D"/>
    <w:rsid w:val="00E05F8C"/>
    <w:rsid w:val="00E07024"/>
    <w:rsid w:val="00E078CC"/>
    <w:rsid w:val="00E07C1F"/>
    <w:rsid w:val="00E07C5C"/>
    <w:rsid w:val="00E10FCF"/>
    <w:rsid w:val="00E12241"/>
    <w:rsid w:val="00E12CB2"/>
    <w:rsid w:val="00E12E86"/>
    <w:rsid w:val="00E13A0A"/>
    <w:rsid w:val="00E14B48"/>
    <w:rsid w:val="00E16313"/>
    <w:rsid w:val="00E163EC"/>
    <w:rsid w:val="00E16884"/>
    <w:rsid w:val="00E20613"/>
    <w:rsid w:val="00E20C58"/>
    <w:rsid w:val="00E21932"/>
    <w:rsid w:val="00E21A90"/>
    <w:rsid w:val="00E24C3C"/>
    <w:rsid w:val="00E2567E"/>
    <w:rsid w:val="00E278FD"/>
    <w:rsid w:val="00E27B75"/>
    <w:rsid w:val="00E30B7C"/>
    <w:rsid w:val="00E30EB7"/>
    <w:rsid w:val="00E30F44"/>
    <w:rsid w:val="00E31780"/>
    <w:rsid w:val="00E31B72"/>
    <w:rsid w:val="00E32D98"/>
    <w:rsid w:val="00E33903"/>
    <w:rsid w:val="00E33A78"/>
    <w:rsid w:val="00E33FFA"/>
    <w:rsid w:val="00E34036"/>
    <w:rsid w:val="00E3468B"/>
    <w:rsid w:val="00E35BB5"/>
    <w:rsid w:val="00E37216"/>
    <w:rsid w:val="00E4048C"/>
    <w:rsid w:val="00E40793"/>
    <w:rsid w:val="00E41783"/>
    <w:rsid w:val="00E429A4"/>
    <w:rsid w:val="00E42A25"/>
    <w:rsid w:val="00E43B27"/>
    <w:rsid w:val="00E45D88"/>
    <w:rsid w:val="00E47483"/>
    <w:rsid w:val="00E47EF0"/>
    <w:rsid w:val="00E50A02"/>
    <w:rsid w:val="00E51258"/>
    <w:rsid w:val="00E531EF"/>
    <w:rsid w:val="00E53239"/>
    <w:rsid w:val="00E53AD1"/>
    <w:rsid w:val="00E545AA"/>
    <w:rsid w:val="00E55056"/>
    <w:rsid w:val="00E55361"/>
    <w:rsid w:val="00E55CDE"/>
    <w:rsid w:val="00E55E96"/>
    <w:rsid w:val="00E6041D"/>
    <w:rsid w:val="00E64296"/>
    <w:rsid w:val="00E64808"/>
    <w:rsid w:val="00E66F28"/>
    <w:rsid w:val="00E70194"/>
    <w:rsid w:val="00E703EB"/>
    <w:rsid w:val="00E70559"/>
    <w:rsid w:val="00E70B47"/>
    <w:rsid w:val="00E7170D"/>
    <w:rsid w:val="00E719C7"/>
    <w:rsid w:val="00E71E2D"/>
    <w:rsid w:val="00E72891"/>
    <w:rsid w:val="00E72C9C"/>
    <w:rsid w:val="00E739F1"/>
    <w:rsid w:val="00E7455E"/>
    <w:rsid w:val="00E74652"/>
    <w:rsid w:val="00E74993"/>
    <w:rsid w:val="00E7574E"/>
    <w:rsid w:val="00E75B24"/>
    <w:rsid w:val="00E75BEF"/>
    <w:rsid w:val="00E75EF6"/>
    <w:rsid w:val="00E76D9F"/>
    <w:rsid w:val="00E76E07"/>
    <w:rsid w:val="00E77748"/>
    <w:rsid w:val="00E80D99"/>
    <w:rsid w:val="00E81ABF"/>
    <w:rsid w:val="00E81E83"/>
    <w:rsid w:val="00E839BB"/>
    <w:rsid w:val="00E83EDC"/>
    <w:rsid w:val="00E84792"/>
    <w:rsid w:val="00E85AF4"/>
    <w:rsid w:val="00E8622E"/>
    <w:rsid w:val="00E8629B"/>
    <w:rsid w:val="00E86DE0"/>
    <w:rsid w:val="00E871CE"/>
    <w:rsid w:val="00E900F5"/>
    <w:rsid w:val="00E91360"/>
    <w:rsid w:val="00E930E7"/>
    <w:rsid w:val="00E94C73"/>
    <w:rsid w:val="00E9515A"/>
    <w:rsid w:val="00E9545F"/>
    <w:rsid w:val="00E95AA3"/>
    <w:rsid w:val="00E95B97"/>
    <w:rsid w:val="00E96974"/>
    <w:rsid w:val="00E97EDE"/>
    <w:rsid w:val="00EA09B5"/>
    <w:rsid w:val="00EA110A"/>
    <w:rsid w:val="00EA22BE"/>
    <w:rsid w:val="00EA2DFE"/>
    <w:rsid w:val="00EA34A2"/>
    <w:rsid w:val="00EA3A00"/>
    <w:rsid w:val="00EA3A96"/>
    <w:rsid w:val="00EA49AD"/>
    <w:rsid w:val="00EA4A54"/>
    <w:rsid w:val="00EA67B3"/>
    <w:rsid w:val="00EA6ABF"/>
    <w:rsid w:val="00EA6E1D"/>
    <w:rsid w:val="00EA6FA1"/>
    <w:rsid w:val="00EA7D57"/>
    <w:rsid w:val="00EB0D5A"/>
    <w:rsid w:val="00EB154D"/>
    <w:rsid w:val="00EB19C8"/>
    <w:rsid w:val="00EB1BF1"/>
    <w:rsid w:val="00EB1C8A"/>
    <w:rsid w:val="00EB1D73"/>
    <w:rsid w:val="00EB2737"/>
    <w:rsid w:val="00EB33E6"/>
    <w:rsid w:val="00EB4A49"/>
    <w:rsid w:val="00EB4B5E"/>
    <w:rsid w:val="00EB4F9E"/>
    <w:rsid w:val="00EB5DF0"/>
    <w:rsid w:val="00EB60A4"/>
    <w:rsid w:val="00EB78B3"/>
    <w:rsid w:val="00EC03A8"/>
    <w:rsid w:val="00EC086B"/>
    <w:rsid w:val="00EC1650"/>
    <w:rsid w:val="00EC186F"/>
    <w:rsid w:val="00EC2652"/>
    <w:rsid w:val="00EC2B3A"/>
    <w:rsid w:val="00EC2B80"/>
    <w:rsid w:val="00EC37B1"/>
    <w:rsid w:val="00EC453E"/>
    <w:rsid w:val="00EC4988"/>
    <w:rsid w:val="00EC4DDE"/>
    <w:rsid w:val="00EC4F44"/>
    <w:rsid w:val="00EC5EAD"/>
    <w:rsid w:val="00EC615A"/>
    <w:rsid w:val="00EC6269"/>
    <w:rsid w:val="00EC78B3"/>
    <w:rsid w:val="00ED02CC"/>
    <w:rsid w:val="00ED0C7C"/>
    <w:rsid w:val="00ED11A1"/>
    <w:rsid w:val="00ED230B"/>
    <w:rsid w:val="00ED2656"/>
    <w:rsid w:val="00ED2F64"/>
    <w:rsid w:val="00ED3731"/>
    <w:rsid w:val="00ED4302"/>
    <w:rsid w:val="00ED4676"/>
    <w:rsid w:val="00ED6578"/>
    <w:rsid w:val="00ED743F"/>
    <w:rsid w:val="00ED7562"/>
    <w:rsid w:val="00ED7E8D"/>
    <w:rsid w:val="00ED7F91"/>
    <w:rsid w:val="00EE0AF9"/>
    <w:rsid w:val="00EE0D44"/>
    <w:rsid w:val="00EE0F91"/>
    <w:rsid w:val="00EE1103"/>
    <w:rsid w:val="00EE3722"/>
    <w:rsid w:val="00EE536B"/>
    <w:rsid w:val="00EE6362"/>
    <w:rsid w:val="00EE646A"/>
    <w:rsid w:val="00EE7027"/>
    <w:rsid w:val="00EE745B"/>
    <w:rsid w:val="00EF0C9A"/>
    <w:rsid w:val="00EF2089"/>
    <w:rsid w:val="00EF28F8"/>
    <w:rsid w:val="00EF2BE6"/>
    <w:rsid w:val="00EF309C"/>
    <w:rsid w:val="00EF32EA"/>
    <w:rsid w:val="00EF3459"/>
    <w:rsid w:val="00EF500B"/>
    <w:rsid w:val="00EF533A"/>
    <w:rsid w:val="00EF575E"/>
    <w:rsid w:val="00EF5EC7"/>
    <w:rsid w:val="00EF616F"/>
    <w:rsid w:val="00EF73C2"/>
    <w:rsid w:val="00EF7821"/>
    <w:rsid w:val="00EF7AC1"/>
    <w:rsid w:val="00F000D0"/>
    <w:rsid w:val="00F02440"/>
    <w:rsid w:val="00F0585B"/>
    <w:rsid w:val="00F05A30"/>
    <w:rsid w:val="00F07034"/>
    <w:rsid w:val="00F0729C"/>
    <w:rsid w:val="00F100D7"/>
    <w:rsid w:val="00F101C0"/>
    <w:rsid w:val="00F106E8"/>
    <w:rsid w:val="00F11ACA"/>
    <w:rsid w:val="00F11D46"/>
    <w:rsid w:val="00F11EF5"/>
    <w:rsid w:val="00F1243C"/>
    <w:rsid w:val="00F129FD"/>
    <w:rsid w:val="00F12B43"/>
    <w:rsid w:val="00F13F44"/>
    <w:rsid w:val="00F16DB3"/>
    <w:rsid w:val="00F17484"/>
    <w:rsid w:val="00F21890"/>
    <w:rsid w:val="00F22614"/>
    <w:rsid w:val="00F259F3"/>
    <w:rsid w:val="00F26086"/>
    <w:rsid w:val="00F26A5C"/>
    <w:rsid w:val="00F2715A"/>
    <w:rsid w:val="00F3000D"/>
    <w:rsid w:val="00F31189"/>
    <w:rsid w:val="00F320E3"/>
    <w:rsid w:val="00F32C7A"/>
    <w:rsid w:val="00F33352"/>
    <w:rsid w:val="00F3444E"/>
    <w:rsid w:val="00F345D5"/>
    <w:rsid w:val="00F34B3B"/>
    <w:rsid w:val="00F34BFF"/>
    <w:rsid w:val="00F35362"/>
    <w:rsid w:val="00F35452"/>
    <w:rsid w:val="00F35821"/>
    <w:rsid w:val="00F37D8B"/>
    <w:rsid w:val="00F37E73"/>
    <w:rsid w:val="00F40419"/>
    <w:rsid w:val="00F4058E"/>
    <w:rsid w:val="00F4156B"/>
    <w:rsid w:val="00F42132"/>
    <w:rsid w:val="00F43914"/>
    <w:rsid w:val="00F44034"/>
    <w:rsid w:val="00F44604"/>
    <w:rsid w:val="00F44CBF"/>
    <w:rsid w:val="00F46FFC"/>
    <w:rsid w:val="00F50226"/>
    <w:rsid w:val="00F5096B"/>
    <w:rsid w:val="00F509B9"/>
    <w:rsid w:val="00F50CD0"/>
    <w:rsid w:val="00F50DB2"/>
    <w:rsid w:val="00F50EE8"/>
    <w:rsid w:val="00F5188F"/>
    <w:rsid w:val="00F5283B"/>
    <w:rsid w:val="00F52FFF"/>
    <w:rsid w:val="00F53374"/>
    <w:rsid w:val="00F54076"/>
    <w:rsid w:val="00F5475E"/>
    <w:rsid w:val="00F55A03"/>
    <w:rsid w:val="00F55D16"/>
    <w:rsid w:val="00F55DD4"/>
    <w:rsid w:val="00F563A9"/>
    <w:rsid w:val="00F565B9"/>
    <w:rsid w:val="00F5684B"/>
    <w:rsid w:val="00F57C12"/>
    <w:rsid w:val="00F61423"/>
    <w:rsid w:val="00F61CF5"/>
    <w:rsid w:val="00F62439"/>
    <w:rsid w:val="00F62930"/>
    <w:rsid w:val="00F6295A"/>
    <w:rsid w:val="00F62C32"/>
    <w:rsid w:val="00F6304F"/>
    <w:rsid w:val="00F63440"/>
    <w:rsid w:val="00F64B7F"/>
    <w:rsid w:val="00F656DC"/>
    <w:rsid w:val="00F66BA3"/>
    <w:rsid w:val="00F6706B"/>
    <w:rsid w:val="00F71C8C"/>
    <w:rsid w:val="00F71F82"/>
    <w:rsid w:val="00F73101"/>
    <w:rsid w:val="00F73116"/>
    <w:rsid w:val="00F7362F"/>
    <w:rsid w:val="00F7388F"/>
    <w:rsid w:val="00F73FA8"/>
    <w:rsid w:val="00F743E1"/>
    <w:rsid w:val="00F75309"/>
    <w:rsid w:val="00F75A0C"/>
    <w:rsid w:val="00F762D8"/>
    <w:rsid w:val="00F76369"/>
    <w:rsid w:val="00F8042B"/>
    <w:rsid w:val="00F810F9"/>
    <w:rsid w:val="00F81407"/>
    <w:rsid w:val="00F81AF3"/>
    <w:rsid w:val="00F828B8"/>
    <w:rsid w:val="00F842BB"/>
    <w:rsid w:val="00F84868"/>
    <w:rsid w:val="00F84BEA"/>
    <w:rsid w:val="00F866EF"/>
    <w:rsid w:val="00F86CFC"/>
    <w:rsid w:val="00F87970"/>
    <w:rsid w:val="00F908F5"/>
    <w:rsid w:val="00F90966"/>
    <w:rsid w:val="00F90CE5"/>
    <w:rsid w:val="00F90D4C"/>
    <w:rsid w:val="00F911BD"/>
    <w:rsid w:val="00F917F6"/>
    <w:rsid w:val="00F918F5"/>
    <w:rsid w:val="00F91B8E"/>
    <w:rsid w:val="00F92730"/>
    <w:rsid w:val="00F93BC0"/>
    <w:rsid w:val="00F94484"/>
    <w:rsid w:val="00F95542"/>
    <w:rsid w:val="00F969B7"/>
    <w:rsid w:val="00F96A74"/>
    <w:rsid w:val="00F96D2E"/>
    <w:rsid w:val="00FA0B11"/>
    <w:rsid w:val="00FA10F0"/>
    <w:rsid w:val="00FA1410"/>
    <w:rsid w:val="00FA1C40"/>
    <w:rsid w:val="00FA1DD9"/>
    <w:rsid w:val="00FA1EC3"/>
    <w:rsid w:val="00FA287B"/>
    <w:rsid w:val="00FA3CF5"/>
    <w:rsid w:val="00FA3D45"/>
    <w:rsid w:val="00FA55B2"/>
    <w:rsid w:val="00FA5F75"/>
    <w:rsid w:val="00FA68AC"/>
    <w:rsid w:val="00FA6B67"/>
    <w:rsid w:val="00FA6C2E"/>
    <w:rsid w:val="00FB0B96"/>
    <w:rsid w:val="00FB1C4B"/>
    <w:rsid w:val="00FB2302"/>
    <w:rsid w:val="00FB2700"/>
    <w:rsid w:val="00FB3D1C"/>
    <w:rsid w:val="00FB4465"/>
    <w:rsid w:val="00FB5C1F"/>
    <w:rsid w:val="00FB5F08"/>
    <w:rsid w:val="00FB6136"/>
    <w:rsid w:val="00FB63FF"/>
    <w:rsid w:val="00FB67A7"/>
    <w:rsid w:val="00FB6F1D"/>
    <w:rsid w:val="00FB700B"/>
    <w:rsid w:val="00FB7782"/>
    <w:rsid w:val="00FC1A2C"/>
    <w:rsid w:val="00FC32A8"/>
    <w:rsid w:val="00FC41B9"/>
    <w:rsid w:val="00FC571D"/>
    <w:rsid w:val="00FC6179"/>
    <w:rsid w:val="00FC7299"/>
    <w:rsid w:val="00FD0183"/>
    <w:rsid w:val="00FD085D"/>
    <w:rsid w:val="00FD0EBD"/>
    <w:rsid w:val="00FD1C4C"/>
    <w:rsid w:val="00FD2B9F"/>
    <w:rsid w:val="00FD5AF7"/>
    <w:rsid w:val="00FD620A"/>
    <w:rsid w:val="00FD629E"/>
    <w:rsid w:val="00FD6386"/>
    <w:rsid w:val="00FD7407"/>
    <w:rsid w:val="00FE029E"/>
    <w:rsid w:val="00FE0B32"/>
    <w:rsid w:val="00FE110A"/>
    <w:rsid w:val="00FE20C2"/>
    <w:rsid w:val="00FE2985"/>
    <w:rsid w:val="00FE4562"/>
    <w:rsid w:val="00FE5010"/>
    <w:rsid w:val="00FE555C"/>
    <w:rsid w:val="00FE5F56"/>
    <w:rsid w:val="00FE6A23"/>
    <w:rsid w:val="00FE6D2D"/>
    <w:rsid w:val="00FF0655"/>
    <w:rsid w:val="00FF0A92"/>
    <w:rsid w:val="00FF26CF"/>
    <w:rsid w:val="00FF3792"/>
    <w:rsid w:val="00FF419F"/>
    <w:rsid w:val="00FF52D8"/>
    <w:rsid w:val="00FF5D91"/>
    <w:rsid w:val="00FF63BC"/>
    <w:rsid w:val="00FF6E31"/>
    <w:rsid w:val="00FF7301"/>
  </w:rsids>
  <m:mathPr>
    <m:mathFont m:val="Cambria Math"/>
    <m:brkBin m:val="before"/>
    <m:brkBinSub m:val="--"/>
    <m:smallFrac/>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70E30"/>
  <w15:docId w15:val="{62CE6CDE-647A-4E58-8921-A22AB18A8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8D5"/>
  </w:style>
  <w:style w:type="paragraph" w:styleId="Heading1">
    <w:name w:val="heading 1"/>
    <w:basedOn w:val="Normal"/>
    <w:next w:val="Normal"/>
    <w:link w:val="Heading1Char"/>
    <w:uiPriority w:val="9"/>
    <w:qFormat/>
    <w:rsid w:val="00F62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23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715911"/>
    <w:pPr>
      <w:keepNext/>
      <w:keepLines/>
      <w:spacing w:after="189"/>
      <w:ind w:left="10" w:hanging="10"/>
      <w:outlineLvl w:val="2"/>
    </w:pPr>
    <w:rPr>
      <w:rFonts w:ascii="Calibri" w:eastAsia="Calibri" w:hAnsi="Calibri" w:cs="Calibri"/>
      <w:i/>
      <w:color w:val="235A9C"/>
      <w:sz w:val="24"/>
      <w:lang w:val="en-NZ" w:eastAsia="en-NZ"/>
    </w:rPr>
  </w:style>
  <w:style w:type="paragraph" w:styleId="Heading4">
    <w:name w:val="heading 4"/>
    <w:basedOn w:val="Normal"/>
    <w:next w:val="Normal"/>
    <w:link w:val="Heading4Char"/>
    <w:uiPriority w:val="9"/>
    <w:unhideWhenUsed/>
    <w:qFormat/>
    <w:rsid w:val="00C30E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next w:val="Normal"/>
    <w:link w:val="Heading5Char"/>
    <w:uiPriority w:val="9"/>
    <w:unhideWhenUsed/>
    <w:qFormat/>
    <w:rsid w:val="00C30E7A"/>
    <w:pPr>
      <w:keepNext/>
      <w:keepLines/>
      <w:spacing w:after="0"/>
      <w:ind w:left="11" w:hanging="10"/>
      <w:outlineLvl w:val="4"/>
    </w:pPr>
    <w:rPr>
      <w:rFonts w:ascii="Calibri" w:eastAsia="Calibri" w:hAnsi="Calibri" w:cs="Calibri"/>
      <w:b/>
      <w:color w:val="4F82BC"/>
      <w:sz w:val="24"/>
      <w:lang w:val="en-NZ" w:eastAsia="en-NZ"/>
    </w:rPr>
  </w:style>
  <w:style w:type="paragraph" w:styleId="Heading6">
    <w:name w:val="heading 6"/>
    <w:next w:val="Normal"/>
    <w:link w:val="Heading6Char"/>
    <w:uiPriority w:val="9"/>
    <w:unhideWhenUsed/>
    <w:qFormat/>
    <w:rsid w:val="00C30E7A"/>
    <w:pPr>
      <w:keepNext/>
      <w:keepLines/>
      <w:spacing w:after="3"/>
      <w:ind w:left="11" w:hanging="10"/>
      <w:outlineLvl w:val="5"/>
    </w:pPr>
    <w:rPr>
      <w:rFonts w:ascii="Calibri" w:eastAsia="Calibri" w:hAnsi="Calibri" w:cs="Calibri"/>
      <w:b/>
      <w:color w:val="000000"/>
      <w:sz w:val="1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74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4F75"/>
    <w:pPr>
      <w:spacing w:after="0"/>
    </w:pPr>
    <w:rPr>
      <w:b/>
      <w:i/>
      <w:iCs/>
      <w:color w:val="44546A" w:themeColor="text2"/>
    </w:rPr>
  </w:style>
  <w:style w:type="paragraph" w:styleId="NoSpacing">
    <w:name w:val="No Spacing"/>
    <w:link w:val="NoSpacingChar"/>
    <w:uiPriority w:val="1"/>
    <w:qFormat/>
    <w:rsid w:val="00F62C32"/>
    <w:pPr>
      <w:spacing w:after="0"/>
    </w:pPr>
    <w:rPr>
      <w:rFonts w:eastAsiaTheme="minorEastAsia"/>
      <w:lang w:val="en-US"/>
    </w:rPr>
  </w:style>
  <w:style w:type="character" w:customStyle="1" w:styleId="NoSpacingChar">
    <w:name w:val="No Spacing Char"/>
    <w:basedOn w:val="DefaultParagraphFont"/>
    <w:link w:val="NoSpacing"/>
    <w:uiPriority w:val="1"/>
    <w:rsid w:val="00F62C32"/>
    <w:rPr>
      <w:rFonts w:eastAsiaTheme="minorEastAsia"/>
      <w:lang w:val="en-US"/>
    </w:rPr>
  </w:style>
  <w:style w:type="character" w:customStyle="1" w:styleId="Heading1Char">
    <w:name w:val="Heading 1 Char"/>
    <w:basedOn w:val="DefaultParagraphFont"/>
    <w:link w:val="Heading1"/>
    <w:uiPriority w:val="9"/>
    <w:rsid w:val="00F62C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23A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F509B9"/>
    <w:pPr>
      <w:spacing w:after="0"/>
    </w:pPr>
    <w:rPr>
      <w:sz w:val="20"/>
      <w:szCs w:val="20"/>
    </w:rPr>
  </w:style>
  <w:style w:type="character" w:customStyle="1" w:styleId="FootnoteTextChar">
    <w:name w:val="Footnote Text Char"/>
    <w:basedOn w:val="DefaultParagraphFont"/>
    <w:link w:val="FootnoteText"/>
    <w:uiPriority w:val="99"/>
    <w:semiHidden/>
    <w:rsid w:val="00F509B9"/>
    <w:rPr>
      <w:sz w:val="20"/>
      <w:szCs w:val="20"/>
    </w:rPr>
  </w:style>
  <w:style w:type="character" w:styleId="FootnoteReference">
    <w:name w:val="footnote reference"/>
    <w:basedOn w:val="DefaultParagraphFont"/>
    <w:uiPriority w:val="99"/>
    <w:semiHidden/>
    <w:unhideWhenUsed/>
    <w:rsid w:val="00F509B9"/>
    <w:rPr>
      <w:vertAlign w:val="superscript"/>
    </w:rPr>
  </w:style>
  <w:style w:type="paragraph" w:customStyle="1" w:styleId="BStablefigures">
    <w:name w:val="BS_table figures"/>
    <w:basedOn w:val="BStabletext"/>
    <w:link w:val="BStablefiguresChar"/>
    <w:autoRedefine/>
    <w:qFormat/>
    <w:rsid w:val="00E2567E"/>
    <w:pPr>
      <w:jc w:val="right"/>
    </w:pPr>
    <w:rPr>
      <w:bCs/>
    </w:rPr>
  </w:style>
  <w:style w:type="paragraph" w:customStyle="1" w:styleId="BStabletext">
    <w:name w:val="BS_table text"/>
    <w:basedOn w:val="Normal"/>
    <w:link w:val="BStabletextChar"/>
    <w:autoRedefine/>
    <w:qFormat/>
    <w:rsid w:val="00F84BEA"/>
    <w:pPr>
      <w:keepNext/>
      <w:tabs>
        <w:tab w:val="left" w:pos="337"/>
      </w:tabs>
      <w:spacing w:after="0" w:line="256" w:lineRule="auto"/>
    </w:pPr>
    <w:rPr>
      <w:rFonts w:ascii="Calibri" w:eastAsia="Times New Roman" w:hAnsi="Calibri" w:cs="Times New Roman"/>
      <w:sz w:val="20"/>
      <w:szCs w:val="20"/>
      <w:lang w:val="en-NZ" w:eastAsia="en-AU"/>
    </w:rPr>
  </w:style>
  <w:style w:type="character" w:customStyle="1" w:styleId="BStablefiguresChar">
    <w:name w:val="BS_table figures Char"/>
    <w:basedOn w:val="DefaultParagraphFont"/>
    <w:link w:val="BStablefigures"/>
    <w:rsid w:val="00E2567E"/>
    <w:rPr>
      <w:rFonts w:ascii="Calibri" w:eastAsia="Times New Roman" w:hAnsi="Calibri" w:cs="Times New Roman"/>
      <w:sz w:val="20"/>
      <w:szCs w:val="20"/>
      <w:lang w:val="en-NZ" w:eastAsia="en-AU"/>
    </w:rPr>
  </w:style>
  <w:style w:type="character" w:customStyle="1" w:styleId="BStabletextChar">
    <w:name w:val="BS_table text Char"/>
    <w:link w:val="BStabletext"/>
    <w:rsid w:val="00F84BEA"/>
    <w:rPr>
      <w:rFonts w:ascii="Calibri" w:eastAsia="Times New Roman" w:hAnsi="Calibri" w:cs="Times New Roman"/>
      <w:sz w:val="20"/>
      <w:szCs w:val="20"/>
      <w:lang w:val="en-NZ" w:eastAsia="en-AU"/>
    </w:rPr>
  </w:style>
  <w:style w:type="paragraph" w:customStyle="1" w:styleId="BStableheading">
    <w:name w:val="BS_table heading"/>
    <w:basedOn w:val="Normal"/>
    <w:link w:val="BStableheadingChar"/>
    <w:qFormat/>
    <w:rsid w:val="00E2567E"/>
    <w:pPr>
      <w:framePr w:wrap="around" w:vAnchor="text" w:hAnchor="text" w:y="1"/>
      <w:spacing w:after="0"/>
      <w:jc w:val="right"/>
    </w:pPr>
    <w:rPr>
      <w:rFonts w:ascii="Calibri" w:eastAsia="Times New Roman" w:hAnsi="Calibri" w:cs="Times New Roman"/>
      <w:b/>
      <w:sz w:val="20"/>
      <w:szCs w:val="20"/>
      <w:lang w:val="en-NZ"/>
    </w:rPr>
  </w:style>
  <w:style w:type="character" w:customStyle="1" w:styleId="BStableheadingChar">
    <w:name w:val="BS_table heading Char"/>
    <w:basedOn w:val="DefaultParagraphFont"/>
    <w:link w:val="BStableheading"/>
    <w:rsid w:val="00E2567E"/>
    <w:rPr>
      <w:rFonts w:ascii="Calibri" w:eastAsia="Times New Roman" w:hAnsi="Calibri" w:cs="Times New Roman"/>
      <w:b/>
      <w:sz w:val="20"/>
      <w:szCs w:val="20"/>
      <w:lang w:val="en-NZ"/>
    </w:rPr>
  </w:style>
  <w:style w:type="paragraph" w:customStyle="1" w:styleId="BStabletextbold">
    <w:name w:val="BS_table text bold"/>
    <w:basedOn w:val="BStabletext"/>
    <w:qFormat/>
    <w:rsid w:val="00E2567E"/>
    <w:rPr>
      <w:b/>
    </w:rPr>
  </w:style>
  <w:style w:type="paragraph" w:customStyle="1" w:styleId="BStablefiguresbold">
    <w:name w:val="BS_table figures bold"/>
    <w:basedOn w:val="BStablefigures"/>
    <w:link w:val="BStablefiguresboldChar"/>
    <w:qFormat/>
    <w:rsid w:val="00E2567E"/>
    <w:rPr>
      <w:b/>
    </w:rPr>
  </w:style>
  <w:style w:type="paragraph" w:customStyle="1" w:styleId="EmptyCell">
    <w:name w:val="Empty Cell"/>
    <w:basedOn w:val="Normal"/>
    <w:qFormat/>
    <w:rsid w:val="00E2567E"/>
    <w:pPr>
      <w:spacing w:after="0"/>
      <w:jc w:val="right"/>
    </w:pPr>
    <w:rPr>
      <w:rFonts w:ascii="Calibri" w:eastAsia="Times New Roman" w:hAnsi="Calibri" w:cs="Calibri"/>
      <w:color w:val="FFFFFF"/>
      <w:sz w:val="8"/>
      <w:szCs w:val="20"/>
    </w:rPr>
  </w:style>
  <w:style w:type="character" w:customStyle="1" w:styleId="BStablefiguresboldChar">
    <w:name w:val="BS_table figures bold Char"/>
    <w:link w:val="BStablefiguresbold"/>
    <w:rsid w:val="00E2567E"/>
    <w:rPr>
      <w:rFonts w:ascii="Calibri" w:eastAsia="Times New Roman" w:hAnsi="Calibri" w:cs="Times New Roman"/>
      <w:b/>
      <w:sz w:val="20"/>
      <w:szCs w:val="20"/>
      <w:lang w:val="en-NZ" w:eastAsia="en-AU"/>
    </w:rPr>
  </w:style>
  <w:style w:type="paragraph" w:styleId="ListParagraph">
    <w:name w:val="List Paragraph"/>
    <w:basedOn w:val="Normal"/>
    <w:uiPriority w:val="34"/>
    <w:qFormat/>
    <w:rsid w:val="00EB33E6"/>
    <w:pPr>
      <w:ind w:left="720"/>
      <w:contextualSpacing/>
    </w:pPr>
  </w:style>
  <w:style w:type="paragraph" w:styleId="BodyText">
    <w:name w:val="Body Text"/>
    <w:link w:val="BodyTextChar"/>
    <w:qFormat/>
    <w:rsid w:val="00DC3CC0"/>
    <w:rPr>
      <w:rFonts w:ascii="Calibri" w:eastAsia="Times New Roman" w:hAnsi="Calibri" w:cs="Times New Roman"/>
      <w:szCs w:val="24"/>
      <w:lang w:eastAsia="en-AU"/>
    </w:rPr>
  </w:style>
  <w:style w:type="character" w:customStyle="1" w:styleId="BodyTextChar">
    <w:name w:val="Body Text Char"/>
    <w:basedOn w:val="DefaultParagraphFont"/>
    <w:link w:val="BodyText"/>
    <w:rsid w:val="00DC3CC0"/>
    <w:rPr>
      <w:rFonts w:ascii="Calibri" w:eastAsia="Times New Roman" w:hAnsi="Calibri" w:cs="Times New Roman"/>
      <w:szCs w:val="24"/>
      <w:lang w:eastAsia="en-AU"/>
    </w:rPr>
  </w:style>
  <w:style w:type="paragraph" w:styleId="Header">
    <w:name w:val="header"/>
    <w:basedOn w:val="Normal"/>
    <w:link w:val="HeaderChar"/>
    <w:uiPriority w:val="99"/>
    <w:unhideWhenUsed/>
    <w:rsid w:val="004504EF"/>
    <w:pPr>
      <w:tabs>
        <w:tab w:val="center" w:pos="4513"/>
        <w:tab w:val="right" w:pos="9026"/>
      </w:tabs>
      <w:spacing w:after="0"/>
    </w:pPr>
  </w:style>
  <w:style w:type="character" w:customStyle="1" w:styleId="HeaderChar">
    <w:name w:val="Header Char"/>
    <w:basedOn w:val="DefaultParagraphFont"/>
    <w:link w:val="Header"/>
    <w:uiPriority w:val="99"/>
    <w:rsid w:val="004504EF"/>
  </w:style>
  <w:style w:type="paragraph" w:styleId="Footer">
    <w:name w:val="footer"/>
    <w:basedOn w:val="Normal"/>
    <w:link w:val="FooterChar"/>
    <w:uiPriority w:val="99"/>
    <w:unhideWhenUsed/>
    <w:rsid w:val="004504EF"/>
    <w:pPr>
      <w:tabs>
        <w:tab w:val="center" w:pos="4513"/>
        <w:tab w:val="right" w:pos="9026"/>
      </w:tabs>
      <w:spacing w:after="0"/>
    </w:pPr>
  </w:style>
  <w:style w:type="character" w:customStyle="1" w:styleId="FooterChar">
    <w:name w:val="Footer Char"/>
    <w:basedOn w:val="DefaultParagraphFont"/>
    <w:link w:val="Footer"/>
    <w:uiPriority w:val="99"/>
    <w:rsid w:val="004504EF"/>
  </w:style>
  <w:style w:type="paragraph" w:styleId="Bibliography">
    <w:name w:val="Bibliography"/>
    <w:basedOn w:val="Normal"/>
    <w:next w:val="Normal"/>
    <w:uiPriority w:val="37"/>
    <w:unhideWhenUsed/>
    <w:rsid w:val="00D74FAB"/>
  </w:style>
  <w:style w:type="paragraph" w:customStyle="1" w:styleId="BSnoteslist">
    <w:name w:val="BS_notes list"/>
    <w:basedOn w:val="Normal"/>
    <w:link w:val="BSnoteslistChar"/>
    <w:qFormat/>
    <w:rsid w:val="00E278FD"/>
    <w:pPr>
      <w:numPr>
        <w:numId w:val="1"/>
      </w:numPr>
      <w:spacing w:after="0"/>
    </w:pPr>
    <w:rPr>
      <w:rFonts w:ascii="Calibri" w:eastAsia="Times New Roman" w:hAnsi="Calibri" w:cs="Times New Roman"/>
      <w:sz w:val="18"/>
      <w:szCs w:val="24"/>
    </w:rPr>
  </w:style>
  <w:style w:type="character" w:styleId="Strong">
    <w:name w:val="Strong"/>
    <w:basedOn w:val="DefaultParagraphFont"/>
    <w:qFormat/>
    <w:rsid w:val="0011005D"/>
    <w:rPr>
      <w:b/>
      <w:bCs/>
      <w:color w:val="333333"/>
    </w:rPr>
  </w:style>
  <w:style w:type="character" w:customStyle="1" w:styleId="Heading4Char">
    <w:name w:val="Heading 4 Char"/>
    <w:basedOn w:val="DefaultParagraphFont"/>
    <w:link w:val="Heading4"/>
    <w:rsid w:val="00C30E7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15911"/>
    <w:rPr>
      <w:rFonts w:ascii="Calibri" w:eastAsia="Calibri" w:hAnsi="Calibri" w:cs="Calibri"/>
      <w:i/>
      <w:color w:val="235A9C"/>
      <w:sz w:val="24"/>
      <w:lang w:val="en-NZ" w:eastAsia="en-NZ"/>
    </w:rPr>
  </w:style>
  <w:style w:type="character" w:customStyle="1" w:styleId="Heading5Char">
    <w:name w:val="Heading 5 Char"/>
    <w:basedOn w:val="DefaultParagraphFont"/>
    <w:link w:val="Heading5"/>
    <w:uiPriority w:val="9"/>
    <w:rsid w:val="00C30E7A"/>
    <w:rPr>
      <w:rFonts w:ascii="Calibri" w:eastAsia="Calibri" w:hAnsi="Calibri" w:cs="Calibri"/>
      <w:b/>
      <w:color w:val="4F82BC"/>
      <w:sz w:val="24"/>
      <w:lang w:val="en-NZ" w:eastAsia="en-NZ"/>
    </w:rPr>
  </w:style>
  <w:style w:type="character" w:customStyle="1" w:styleId="Heading6Char">
    <w:name w:val="Heading 6 Char"/>
    <w:basedOn w:val="DefaultParagraphFont"/>
    <w:link w:val="Heading6"/>
    <w:uiPriority w:val="9"/>
    <w:rsid w:val="00C30E7A"/>
    <w:rPr>
      <w:rFonts w:ascii="Calibri" w:eastAsia="Calibri" w:hAnsi="Calibri" w:cs="Calibri"/>
      <w:b/>
      <w:color w:val="000000"/>
      <w:sz w:val="18"/>
      <w:lang w:val="en-NZ" w:eastAsia="en-NZ"/>
    </w:rPr>
  </w:style>
  <w:style w:type="paragraph" w:customStyle="1" w:styleId="footnotedescription">
    <w:name w:val="footnote description"/>
    <w:next w:val="Normal"/>
    <w:link w:val="footnotedescriptionChar"/>
    <w:hidden/>
    <w:rsid w:val="00C30E7A"/>
    <w:pPr>
      <w:spacing w:after="0" w:line="216" w:lineRule="auto"/>
      <w:ind w:left="2" w:right="53" w:hanging="1"/>
    </w:pPr>
    <w:rPr>
      <w:rFonts w:ascii="Calibri" w:eastAsia="Calibri" w:hAnsi="Calibri" w:cs="Calibri"/>
      <w:color w:val="000000"/>
      <w:sz w:val="20"/>
      <w:lang w:val="en-NZ" w:eastAsia="en-NZ"/>
    </w:rPr>
  </w:style>
  <w:style w:type="character" w:customStyle="1" w:styleId="footnotedescriptionChar">
    <w:name w:val="footnote description Char"/>
    <w:link w:val="footnotedescription"/>
    <w:rsid w:val="00C30E7A"/>
    <w:rPr>
      <w:rFonts w:ascii="Calibri" w:eastAsia="Calibri" w:hAnsi="Calibri" w:cs="Calibri"/>
      <w:color w:val="000000"/>
      <w:sz w:val="20"/>
      <w:lang w:val="en-NZ" w:eastAsia="en-NZ"/>
    </w:rPr>
  </w:style>
  <w:style w:type="paragraph" w:styleId="TOC1">
    <w:name w:val="toc 1"/>
    <w:hidden/>
    <w:uiPriority w:val="39"/>
    <w:rsid w:val="00C30E7A"/>
    <w:pPr>
      <w:spacing w:after="219"/>
      <w:ind w:left="26" w:right="21" w:hanging="10"/>
    </w:pPr>
    <w:rPr>
      <w:rFonts w:ascii="Calibri" w:eastAsia="Calibri" w:hAnsi="Calibri" w:cs="Calibri"/>
      <w:b/>
      <w:color w:val="000000"/>
      <w:lang w:val="en-NZ" w:eastAsia="en-NZ"/>
    </w:rPr>
  </w:style>
  <w:style w:type="paragraph" w:styleId="TOC2">
    <w:name w:val="toc 2"/>
    <w:hidden/>
    <w:uiPriority w:val="39"/>
    <w:rsid w:val="00C30E7A"/>
    <w:pPr>
      <w:spacing w:after="1" w:line="348" w:lineRule="auto"/>
      <w:ind w:left="441" w:right="32" w:hanging="10"/>
      <w:jc w:val="center"/>
    </w:pPr>
    <w:rPr>
      <w:rFonts w:ascii="Calibri" w:eastAsia="Calibri" w:hAnsi="Calibri" w:cs="Calibri"/>
      <w:color w:val="000000"/>
      <w:lang w:val="en-NZ" w:eastAsia="en-NZ"/>
    </w:rPr>
  </w:style>
  <w:style w:type="character" w:customStyle="1" w:styleId="footnotemark">
    <w:name w:val="footnote mark"/>
    <w:hidden/>
    <w:rsid w:val="00C30E7A"/>
    <w:rPr>
      <w:rFonts w:ascii="Calibri" w:eastAsia="Calibri" w:hAnsi="Calibri" w:cs="Calibri"/>
      <w:b/>
      <w:color w:val="000000"/>
      <w:sz w:val="18"/>
      <w:vertAlign w:val="superscript"/>
    </w:rPr>
  </w:style>
  <w:style w:type="table" w:customStyle="1" w:styleId="TableGrid0">
    <w:name w:val="TableGrid"/>
    <w:rsid w:val="00C30E7A"/>
    <w:pPr>
      <w:spacing w:after="0"/>
    </w:pPr>
    <w:rPr>
      <w:rFonts w:eastAsiaTheme="minorEastAsia"/>
      <w:lang w:val="en-NZ" w:eastAsia="en-NZ"/>
    </w:rPr>
    <w:tblPr>
      <w:tblCellMar>
        <w:top w:w="0" w:type="dxa"/>
        <w:left w:w="0" w:type="dxa"/>
        <w:bottom w:w="0" w:type="dxa"/>
        <w:right w:w="0" w:type="dxa"/>
      </w:tblCellMar>
    </w:tblPr>
  </w:style>
  <w:style w:type="character" w:styleId="Emphasis">
    <w:name w:val="Emphasis"/>
    <w:qFormat/>
    <w:rsid w:val="007C14EC"/>
    <w:rPr>
      <w:rFonts w:ascii="Calibri" w:hAnsi="Calibri"/>
      <w:i/>
      <w:iCs/>
    </w:rPr>
  </w:style>
  <w:style w:type="paragraph" w:customStyle="1" w:styleId="BSnote">
    <w:name w:val="BS_note"/>
    <w:basedOn w:val="NoteHeading"/>
    <w:link w:val="BSnoteChar"/>
    <w:qFormat/>
    <w:rsid w:val="007C14EC"/>
    <w:pPr>
      <w:keepNext/>
    </w:pPr>
    <w:rPr>
      <w:rFonts w:ascii="Calibri" w:eastAsia="Times New Roman" w:hAnsi="Calibri" w:cs="Times New Roman"/>
      <w:b/>
      <w:sz w:val="18"/>
      <w:szCs w:val="16"/>
    </w:rPr>
  </w:style>
  <w:style w:type="character" w:customStyle="1" w:styleId="BSnoteChar">
    <w:name w:val="BS_note Char"/>
    <w:link w:val="BSnote"/>
    <w:rsid w:val="007C14EC"/>
    <w:rPr>
      <w:rFonts w:ascii="Calibri" w:eastAsia="Times New Roman" w:hAnsi="Calibri" w:cs="Times New Roman"/>
      <w:b/>
      <w:sz w:val="18"/>
      <w:szCs w:val="16"/>
    </w:rPr>
  </w:style>
  <w:style w:type="character" w:customStyle="1" w:styleId="BSnoteslistChar">
    <w:name w:val="BS_notes list Char"/>
    <w:basedOn w:val="DefaultParagraphFont"/>
    <w:link w:val="BSnoteslist"/>
    <w:rsid w:val="007C14EC"/>
    <w:rPr>
      <w:rFonts w:ascii="Calibri" w:eastAsia="Times New Roman" w:hAnsi="Calibri" w:cs="Times New Roman"/>
      <w:sz w:val="18"/>
      <w:szCs w:val="24"/>
    </w:rPr>
  </w:style>
  <w:style w:type="paragraph" w:customStyle="1" w:styleId="BSnotetext">
    <w:name w:val="BS_note text"/>
    <w:basedOn w:val="BSnote"/>
    <w:link w:val="BSnotetextChar"/>
    <w:qFormat/>
    <w:rsid w:val="007C14EC"/>
    <w:rPr>
      <w:b w:val="0"/>
    </w:rPr>
  </w:style>
  <w:style w:type="character" w:customStyle="1" w:styleId="BSnotetextChar">
    <w:name w:val="BS_note text Char"/>
    <w:basedOn w:val="BSnoteChar"/>
    <w:link w:val="BSnotetext"/>
    <w:rsid w:val="007C14EC"/>
    <w:rPr>
      <w:rFonts w:ascii="Calibri" w:eastAsia="Times New Roman" w:hAnsi="Calibri" w:cs="Times New Roman"/>
      <w:b w:val="0"/>
      <w:sz w:val="18"/>
      <w:szCs w:val="16"/>
    </w:rPr>
  </w:style>
  <w:style w:type="paragraph" w:styleId="NoteHeading">
    <w:name w:val="Note Heading"/>
    <w:basedOn w:val="Normal"/>
    <w:next w:val="Normal"/>
    <w:link w:val="NoteHeadingChar"/>
    <w:uiPriority w:val="99"/>
    <w:semiHidden/>
    <w:unhideWhenUsed/>
    <w:rsid w:val="007C14EC"/>
    <w:pPr>
      <w:spacing w:after="0"/>
    </w:pPr>
  </w:style>
  <w:style w:type="character" w:customStyle="1" w:styleId="NoteHeadingChar">
    <w:name w:val="Note Heading Char"/>
    <w:basedOn w:val="DefaultParagraphFont"/>
    <w:link w:val="NoteHeading"/>
    <w:uiPriority w:val="99"/>
    <w:semiHidden/>
    <w:rsid w:val="007C14EC"/>
  </w:style>
  <w:style w:type="paragraph" w:customStyle="1" w:styleId="InitTextL">
    <w:name w:val="Init Text L"/>
    <w:basedOn w:val="Normal"/>
    <w:qFormat/>
    <w:rsid w:val="00EE1103"/>
    <w:pPr>
      <w:spacing w:after="0"/>
    </w:pPr>
    <w:rPr>
      <w:rFonts w:ascii="Calibri" w:eastAsia="Times New Roman" w:hAnsi="Calibri" w:cs="Times New Roman"/>
      <w:sz w:val="24"/>
      <w:szCs w:val="20"/>
    </w:rPr>
  </w:style>
  <w:style w:type="paragraph" w:customStyle="1" w:styleId="InitFigR">
    <w:name w:val="Init Fig R"/>
    <w:basedOn w:val="InitTextL"/>
    <w:qFormat/>
    <w:rsid w:val="00EE1103"/>
    <w:pPr>
      <w:jc w:val="right"/>
    </w:pPr>
  </w:style>
  <w:style w:type="paragraph" w:customStyle="1" w:styleId="InitFigBR">
    <w:name w:val="Init Fig BR"/>
    <w:basedOn w:val="InitFigR"/>
    <w:qFormat/>
    <w:rsid w:val="00EE1103"/>
    <w:rPr>
      <w:b/>
    </w:rPr>
  </w:style>
  <w:style w:type="character" w:styleId="CommentReference">
    <w:name w:val="annotation reference"/>
    <w:basedOn w:val="DefaultParagraphFont"/>
    <w:uiPriority w:val="99"/>
    <w:semiHidden/>
    <w:unhideWhenUsed/>
    <w:rsid w:val="00EB4B5E"/>
    <w:rPr>
      <w:sz w:val="16"/>
      <w:szCs w:val="16"/>
    </w:rPr>
  </w:style>
  <w:style w:type="paragraph" w:styleId="CommentText">
    <w:name w:val="annotation text"/>
    <w:basedOn w:val="Normal"/>
    <w:link w:val="CommentTextChar"/>
    <w:uiPriority w:val="99"/>
    <w:unhideWhenUsed/>
    <w:rsid w:val="00EB4B5E"/>
    <w:rPr>
      <w:sz w:val="20"/>
      <w:szCs w:val="20"/>
    </w:rPr>
  </w:style>
  <w:style w:type="character" w:customStyle="1" w:styleId="CommentTextChar">
    <w:name w:val="Comment Text Char"/>
    <w:basedOn w:val="DefaultParagraphFont"/>
    <w:link w:val="CommentText"/>
    <w:uiPriority w:val="99"/>
    <w:rsid w:val="00EB4B5E"/>
    <w:rPr>
      <w:sz w:val="20"/>
      <w:szCs w:val="20"/>
    </w:rPr>
  </w:style>
  <w:style w:type="paragraph" w:styleId="CommentSubject">
    <w:name w:val="annotation subject"/>
    <w:basedOn w:val="CommentText"/>
    <w:next w:val="CommentText"/>
    <w:link w:val="CommentSubjectChar"/>
    <w:uiPriority w:val="99"/>
    <w:semiHidden/>
    <w:unhideWhenUsed/>
    <w:rsid w:val="00EB4B5E"/>
    <w:rPr>
      <w:b/>
      <w:bCs/>
    </w:rPr>
  </w:style>
  <w:style w:type="character" w:customStyle="1" w:styleId="CommentSubjectChar">
    <w:name w:val="Comment Subject Char"/>
    <w:basedOn w:val="CommentTextChar"/>
    <w:link w:val="CommentSubject"/>
    <w:uiPriority w:val="99"/>
    <w:semiHidden/>
    <w:rsid w:val="00EB4B5E"/>
    <w:rPr>
      <w:b/>
      <w:bCs/>
      <w:sz w:val="20"/>
      <w:szCs w:val="20"/>
    </w:rPr>
  </w:style>
  <w:style w:type="paragraph" w:styleId="BalloonText">
    <w:name w:val="Balloon Text"/>
    <w:basedOn w:val="Normal"/>
    <w:link w:val="BalloonTextChar"/>
    <w:uiPriority w:val="99"/>
    <w:semiHidden/>
    <w:unhideWhenUsed/>
    <w:rsid w:val="00EB4B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5E"/>
    <w:rPr>
      <w:rFonts w:ascii="Segoe UI" w:hAnsi="Segoe UI" w:cs="Segoe UI"/>
      <w:sz w:val="18"/>
      <w:szCs w:val="18"/>
    </w:rPr>
  </w:style>
  <w:style w:type="paragraph" w:customStyle="1" w:styleId="BSbullet1">
    <w:name w:val="BS_bullet 1"/>
    <w:basedOn w:val="BodyTextIndent"/>
    <w:link w:val="BSbullet1Char"/>
    <w:qFormat/>
    <w:rsid w:val="004B00D0"/>
    <w:pPr>
      <w:numPr>
        <w:numId w:val="2"/>
      </w:numPr>
      <w:spacing w:before="200"/>
    </w:pPr>
    <w:rPr>
      <w:rFonts w:ascii="Calibri" w:eastAsia="Times New Roman" w:hAnsi="Calibri" w:cs="Times New Roman"/>
      <w:sz w:val="24"/>
      <w:szCs w:val="24"/>
    </w:rPr>
  </w:style>
  <w:style w:type="character" w:customStyle="1" w:styleId="BSbullet1Char">
    <w:name w:val="BS_bullet 1 Char"/>
    <w:basedOn w:val="BodyTextIndentChar"/>
    <w:link w:val="BSbullet1"/>
    <w:rsid w:val="004B00D0"/>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4B00D0"/>
    <w:pPr>
      <w:ind w:left="283"/>
    </w:pPr>
  </w:style>
  <w:style w:type="character" w:customStyle="1" w:styleId="BodyTextIndentChar">
    <w:name w:val="Body Text Indent Char"/>
    <w:basedOn w:val="DefaultParagraphFont"/>
    <w:link w:val="BodyTextIndent"/>
    <w:uiPriority w:val="99"/>
    <w:semiHidden/>
    <w:rsid w:val="004B00D0"/>
  </w:style>
  <w:style w:type="paragraph" w:styleId="TOCHeading">
    <w:name w:val="TOC Heading"/>
    <w:basedOn w:val="Heading1"/>
    <w:next w:val="Normal"/>
    <w:uiPriority w:val="39"/>
    <w:unhideWhenUsed/>
    <w:qFormat/>
    <w:rsid w:val="001E7E56"/>
    <w:pPr>
      <w:outlineLvl w:val="9"/>
    </w:pPr>
    <w:rPr>
      <w:lang w:val="en-US"/>
    </w:rPr>
  </w:style>
  <w:style w:type="character" w:styleId="Hyperlink">
    <w:name w:val="Hyperlink"/>
    <w:basedOn w:val="DefaultParagraphFont"/>
    <w:uiPriority w:val="99"/>
    <w:unhideWhenUsed/>
    <w:rsid w:val="001E7E56"/>
    <w:rPr>
      <w:color w:val="0563C1" w:themeColor="hyperlink"/>
      <w:u w:val="single"/>
    </w:rPr>
  </w:style>
  <w:style w:type="paragraph" w:styleId="TableofFigures">
    <w:name w:val="table of figures"/>
    <w:basedOn w:val="Normal"/>
    <w:next w:val="Normal"/>
    <w:uiPriority w:val="99"/>
    <w:unhideWhenUsed/>
    <w:rsid w:val="001E7E56"/>
    <w:pPr>
      <w:spacing w:after="0"/>
    </w:pPr>
  </w:style>
  <w:style w:type="paragraph" w:customStyle="1" w:styleId="BStableheading1">
    <w:name w:val="BS_table heading 1"/>
    <w:basedOn w:val="NoSpacing"/>
    <w:link w:val="BStableheading1Char"/>
    <w:rsid w:val="00C227EC"/>
    <w:pPr>
      <w:framePr w:wrap="around" w:vAnchor="text" w:hAnchor="text" w:y="1"/>
      <w:jc w:val="right"/>
    </w:pPr>
    <w:rPr>
      <w:rFonts w:ascii="Calibri" w:eastAsia="Times New Roman" w:hAnsi="Calibri" w:cs="Times New Roman"/>
      <w:b/>
      <w:bCs/>
      <w:sz w:val="20"/>
      <w:szCs w:val="20"/>
      <w:lang w:val="en-NZ"/>
    </w:rPr>
  </w:style>
  <w:style w:type="character" w:customStyle="1" w:styleId="BStableheading1Char">
    <w:name w:val="BS_table heading 1 Char"/>
    <w:link w:val="BStableheading1"/>
    <w:rsid w:val="00C227EC"/>
    <w:rPr>
      <w:rFonts w:ascii="Calibri" w:eastAsia="Times New Roman" w:hAnsi="Calibri" w:cs="Times New Roman"/>
      <w:b/>
      <w:bCs/>
      <w:sz w:val="20"/>
      <w:szCs w:val="20"/>
      <w:lang w:val="en-NZ"/>
    </w:rPr>
  </w:style>
  <w:style w:type="character" w:customStyle="1" w:styleId="apple-converted-space">
    <w:name w:val="apple-converted-space"/>
    <w:basedOn w:val="DefaultParagraphFont"/>
    <w:rsid w:val="00AB40E9"/>
  </w:style>
  <w:style w:type="paragraph" w:styleId="Revision">
    <w:name w:val="Revision"/>
    <w:hidden/>
    <w:uiPriority w:val="99"/>
    <w:semiHidden/>
    <w:rsid w:val="00177E12"/>
    <w:pPr>
      <w:spacing w:after="0"/>
    </w:pPr>
  </w:style>
  <w:style w:type="paragraph" w:styleId="Title">
    <w:name w:val="Title"/>
    <w:link w:val="TitleChar"/>
    <w:qFormat/>
    <w:rsid w:val="0051070A"/>
    <w:pPr>
      <w:spacing w:before="180" w:after="0" w:line="560" w:lineRule="exact"/>
      <w:ind w:left="539"/>
      <w:jc w:val="right"/>
    </w:pPr>
    <w:rPr>
      <w:rFonts w:ascii="Century Gothic" w:eastAsia="Times New Roman" w:hAnsi="Century Gothic" w:cs="Times New Roman"/>
      <w:b/>
      <w:kern w:val="40"/>
      <w:sz w:val="40"/>
      <w:szCs w:val="24"/>
    </w:rPr>
  </w:style>
  <w:style w:type="character" w:customStyle="1" w:styleId="TitleChar">
    <w:name w:val="Title Char"/>
    <w:basedOn w:val="DefaultParagraphFont"/>
    <w:link w:val="Title"/>
    <w:rsid w:val="0051070A"/>
    <w:rPr>
      <w:rFonts w:ascii="Century Gothic" w:eastAsia="Times New Roman" w:hAnsi="Century Gothic" w:cs="Times New Roman"/>
      <w:b/>
      <w:kern w:val="40"/>
      <w:sz w:val="40"/>
      <w:szCs w:val="24"/>
    </w:rPr>
  </w:style>
  <w:style w:type="paragraph" w:customStyle="1" w:styleId="UnnumtextBodytext">
    <w:name w:val="Unnum text: Body text"/>
    <w:basedOn w:val="Normal"/>
    <w:qFormat/>
    <w:rsid w:val="00694C12"/>
    <w:pPr>
      <w:spacing w:after="170" w:line="260" w:lineRule="atLeast"/>
    </w:pPr>
    <w:rPr>
      <w:rFonts w:ascii="Garamond" w:eastAsia="Times New Roman" w:hAnsi="Garamond" w:cs="Times New Roman"/>
      <w:lang w:val="en-NZ" w:eastAsia="en-NZ"/>
    </w:rPr>
  </w:style>
  <w:style w:type="paragraph" w:customStyle="1" w:styleId="Quotation">
    <w:name w:val="Quotation"/>
    <w:basedOn w:val="Normal"/>
    <w:rsid w:val="00694C12"/>
    <w:pPr>
      <w:spacing w:after="170" w:line="260" w:lineRule="atLeast"/>
      <w:ind w:left="227"/>
    </w:pPr>
    <w:rPr>
      <w:rFonts w:ascii="Garamond" w:eastAsia="Times New Roman" w:hAnsi="Garamond" w:cs="Times New Roman"/>
      <w:i/>
      <w:spacing w:val="15"/>
      <w:sz w:val="21"/>
      <w:lang w:val="en-NZ" w:eastAsia="en-NZ"/>
    </w:rPr>
  </w:style>
  <w:style w:type="paragraph" w:customStyle="1" w:styleId="Default">
    <w:name w:val="Default"/>
    <w:rsid w:val="00537FBC"/>
    <w:pPr>
      <w:autoSpaceDE w:val="0"/>
      <w:autoSpaceDN w:val="0"/>
      <w:adjustRightInd w:val="0"/>
      <w:spacing w:after="0"/>
    </w:pPr>
    <w:rPr>
      <w:rFonts w:ascii="QKXAS F+ Calibri" w:hAnsi="QKXAS F+ Calibri" w:cs="QKXAS F+ Calibri"/>
      <w:color w:val="000000"/>
      <w:sz w:val="24"/>
      <w:szCs w:val="24"/>
    </w:rPr>
  </w:style>
  <w:style w:type="paragraph" w:styleId="NormalWeb">
    <w:name w:val="Normal (Web)"/>
    <w:basedOn w:val="Normal"/>
    <w:uiPriority w:val="99"/>
    <w:semiHidden/>
    <w:unhideWhenUsed/>
    <w:rsid w:val="009758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Stabletextunbold">
    <w:name w:val="BS_table text unbold"/>
    <w:basedOn w:val="BStabletext"/>
    <w:qFormat/>
    <w:rsid w:val="0033628A"/>
    <w:pPr>
      <w:keepNext w:val="0"/>
      <w:ind w:left="227" w:hanging="227"/>
    </w:pPr>
    <w:rPr>
      <w:b/>
      <w:lang w:eastAsia="en-US"/>
    </w:rPr>
  </w:style>
  <w:style w:type="paragraph" w:customStyle="1" w:styleId="BStablefiguresunbold">
    <w:name w:val="BS_table figures unbold"/>
    <w:basedOn w:val="BStablefigures"/>
    <w:link w:val="BStablefiguresunboldChar"/>
    <w:qFormat/>
    <w:rsid w:val="0033628A"/>
    <w:pPr>
      <w:keepNext w:val="0"/>
      <w:ind w:left="227" w:hanging="227"/>
    </w:pPr>
    <w:rPr>
      <w:b/>
      <w:szCs w:val="24"/>
      <w:lang w:eastAsia="en-US"/>
    </w:rPr>
  </w:style>
  <w:style w:type="character" w:customStyle="1" w:styleId="BStablefiguresunboldChar">
    <w:name w:val="BS_table figures unbold Char"/>
    <w:basedOn w:val="DefaultParagraphFont"/>
    <w:link w:val="BStablefiguresunbold"/>
    <w:locked/>
    <w:rsid w:val="0033628A"/>
    <w:rPr>
      <w:rFonts w:ascii="Calibri" w:eastAsia="Times New Roman" w:hAnsi="Calibri" w:cs="Times New Roman"/>
      <w:sz w:val="20"/>
      <w:szCs w:val="24"/>
    </w:rPr>
  </w:style>
  <w:style w:type="paragraph" w:customStyle="1" w:styleId="Style1">
    <w:name w:val="Style1"/>
    <w:basedOn w:val="Quote"/>
    <w:link w:val="Style1Char"/>
    <w:qFormat/>
    <w:rsid w:val="00846E5A"/>
    <w:pPr>
      <w:jc w:val="left"/>
    </w:pPr>
    <w:rPr>
      <w:color w:val="2E74B5" w:themeColor="accent1" w:themeShade="BF"/>
    </w:rPr>
  </w:style>
  <w:style w:type="paragraph" w:styleId="Quote">
    <w:name w:val="Quote"/>
    <w:basedOn w:val="Normal"/>
    <w:next w:val="Normal"/>
    <w:link w:val="QuoteChar"/>
    <w:rsid w:val="00846E5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846E5A"/>
    <w:rPr>
      <w:i/>
      <w:iCs/>
      <w:color w:val="404040" w:themeColor="text1" w:themeTint="BF"/>
    </w:rPr>
  </w:style>
  <w:style w:type="character" w:customStyle="1" w:styleId="Style1Char">
    <w:name w:val="Style1 Char"/>
    <w:basedOn w:val="QuoteChar"/>
    <w:link w:val="Style1"/>
    <w:rsid w:val="00846E5A"/>
    <w:rPr>
      <w:i/>
      <w:iCs/>
      <w:color w:val="2E74B5" w:themeColor="accent1" w:themeShade="BF"/>
    </w:rPr>
  </w:style>
  <w:style w:type="character" w:customStyle="1" w:styleId="UnresolvedMention1">
    <w:name w:val="Unresolved Mention1"/>
    <w:basedOn w:val="DefaultParagraphFont"/>
    <w:uiPriority w:val="99"/>
    <w:semiHidden/>
    <w:unhideWhenUsed/>
    <w:rsid w:val="00C65FCF"/>
    <w:rPr>
      <w:color w:val="605E5C"/>
      <w:shd w:val="clear" w:color="auto" w:fill="E1DFDD"/>
    </w:rPr>
  </w:style>
  <w:style w:type="paragraph" w:styleId="TOC3">
    <w:name w:val="toc 3"/>
    <w:basedOn w:val="Normal"/>
    <w:next w:val="Normal"/>
    <w:autoRedefine/>
    <w:uiPriority w:val="39"/>
    <w:unhideWhenUsed/>
    <w:rsid w:val="005447FA"/>
    <w:pPr>
      <w:spacing w:after="100"/>
      <w:ind w:left="440"/>
    </w:pPr>
  </w:style>
  <w:style w:type="paragraph" w:customStyle="1" w:styleId="gmail-msolistparagraph">
    <w:name w:val="gmail-msolistparagraph"/>
    <w:basedOn w:val="Normal"/>
    <w:rsid w:val="00202972"/>
    <w:pPr>
      <w:spacing w:before="100" w:beforeAutospacing="1" w:after="100" w:afterAutospacing="1"/>
    </w:pPr>
    <w:rPr>
      <w:rFonts w:ascii="Calibri" w:hAnsi="Calibri" w:cs="Calibri"/>
      <w:lang w:eastAsia="en-AU"/>
    </w:rPr>
  </w:style>
  <w:style w:type="paragraph" w:customStyle="1" w:styleId="Bbodytext">
    <w:name w:val="B_body_text"/>
    <w:basedOn w:val="Normal"/>
    <w:link w:val="BbodytextChar"/>
    <w:qFormat/>
    <w:rsid w:val="00330009"/>
    <w:rPr>
      <w:sz w:val="24"/>
    </w:rPr>
  </w:style>
  <w:style w:type="character" w:customStyle="1" w:styleId="BbodytextChar">
    <w:name w:val="B_body_text Char"/>
    <w:basedOn w:val="DefaultParagraphFont"/>
    <w:link w:val="Bbodytext"/>
    <w:rsid w:val="0033000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440">
      <w:bodyDiv w:val="1"/>
      <w:marLeft w:val="0"/>
      <w:marRight w:val="0"/>
      <w:marTop w:val="0"/>
      <w:marBottom w:val="0"/>
      <w:divBdr>
        <w:top w:val="none" w:sz="0" w:space="0" w:color="auto"/>
        <w:left w:val="none" w:sz="0" w:space="0" w:color="auto"/>
        <w:bottom w:val="none" w:sz="0" w:space="0" w:color="auto"/>
        <w:right w:val="none" w:sz="0" w:space="0" w:color="auto"/>
      </w:divBdr>
    </w:div>
    <w:div w:id="1395509">
      <w:bodyDiv w:val="1"/>
      <w:marLeft w:val="0"/>
      <w:marRight w:val="0"/>
      <w:marTop w:val="0"/>
      <w:marBottom w:val="0"/>
      <w:divBdr>
        <w:top w:val="none" w:sz="0" w:space="0" w:color="auto"/>
        <w:left w:val="none" w:sz="0" w:space="0" w:color="auto"/>
        <w:bottom w:val="none" w:sz="0" w:space="0" w:color="auto"/>
        <w:right w:val="none" w:sz="0" w:space="0" w:color="auto"/>
      </w:divBdr>
    </w:div>
    <w:div w:id="2125919">
      <w:bodyDiv w:val="1"/>
      <w:marLeft w:val="0"/>
      <w:marRight w:val="0"/>
      <w:marTop w:val="0"/>
      <w:marBottom w:val="0"/>
      <w:divBdr>
        <w:top w:val="none" w:sz="0" w:space="0" w:color="auto"/>
        <w:left w:val="none" w:sz="0" w:space="0" w:color="auto"/>
        <w:bottom w:val="none" w:sz="0" w:space="0" w:color="auto"/>
        <w:right w:val="none" w:sz="0" w:space="0" w:color="auto"/>
      </w:divBdr>
    </w:div>
    <w:div w:id="3095911">
      <w:bodyDiv w:val="1"/>
      <w:marLeft w:val="0"/>
      <w:marRight w:val="0"/>
      <w:marTop w:val="0"/>
      <w:marBottom w:val="0"/>
      <w:divBdr>
        <w:top w:val="none" w:sz="0" w:space="0" w:color="auto"/>
        <w:left w:val="none" w:sz="0" w:space="0" w:color="auto"/>
        <w:bottom w:val="none" w:sz="0" w:space="0" w:color="auto"/>
        <w:right w:val="none" w:sz="0" w:space="0" w:color="auto"/>
      </w:divBdr>
    </w:div>
    <w:div w:id="6293762">
      <w:bodyDiv w:val="1"/>
      <w:marLeft w:val="0"/>
      <w:marRight w:val="0"/>
      <w:marTop w:val="0"/>
      <w:marBottom w:val="0"/>
      <w:divBdr>
        <w:top w:val="none" w:sz="0" w:space="0" w:color="auto"/>
        <w:left w:val="none" w:sz="0" w:space="0" w:color="auto"/>
        <w:bottom w:val="none" w:sz="0" w:space="0" w:color="auto"/>
        <w:right w:val="none" w:sz="0" w:space="0" w:color="auto"/>
      </w:divBdr>
    </w:div>
    <w:div w:id="8257561">
      <w:bodyDiv w:val="1"/>
      <w:marLeft w:val="0"/>
      <w:marRight w:val="0"/>
      <w:marTop w:val="0"/>
      <w:marBottom w:val="0"/>
      <w:divBdr>
        <w:top w:val="none" w:sz="0" w:space="0" w:color="auto"/>
        <w:left w:val="none" w:sz="0" w:space="0" w:color="auto"/>
        <w:bottom w:val="none" w:sz="0" w:space="0" w:color="auto"/>
        <w:right w:val="none" w:sz="0" w:space="0" w:color="auto"/>
      </w:divBdr>
    </w:div>
    <w:div w:id="8918502">
      <w:bodyDiv w:val="1"/>
      <w:marLeft w:val="0"/>
      <w:marRight w:val="0"/>
      <w:marTop w:val="0"/>
      <w:marBottom w:val="0"/>
      <w:divBdr>
        <w:top w:val="none" w:sz="0" w:space="0" w:color="auto"/>
        <w:left w:val="none" w:sz="0" w:space="0" w:color="auto"/>
        <w:bottom w:val="none" w:sz="0" w:space="0" w:color="auto"/>
        <w:right w:val="none" w:sz="0" w:space="0" w:color="auto"/>
      </w:divBdr>
    </w:div>
    <w:div w:id="9838416">
      <w:bodyDiv w:val="1"/>
      <w:marLeft w:val="0"/>
      <w:marRight w:val="0"/>
      <w:marTop w:val="0"/>
      <w:marBottom w:val="0"/>
      <w:divBdr>
        <w:top w:val="none" w:sz="0" w:space="0" w:color="auto"/>
        <w:left w:val="none" w:sz="0" w:space="0" w:color="auto"/>
        <w:bottom w:val="none" w:sz="0" w:space="0" w:color="auto"/>
        <w:right w:val="none" w:sz="0" w:space="0" w:color="auto"/>
      </w:divBdr>
    </w:div>
    <w:div w:id="12387997">
      <w:bodyDiv w:val="1"/>
      <w:marLeft w:val="0"/>
      <w:marRight w:val="0"/>
      <w:marTop w:val="0"/>
      <w:marBottom w:val="0"/>
      <w:divBdr>
        <w:top w:val="none" w:sz="0" w:space="0" w:color="auto"/>
        <w:left w:val="none" w:sz="0" w:space="0" w:color="auto"/>
        <w:bottom w:val="none" w:sz="0" w:space="0" w:color="auto"/>
        <w:right w:val="none" w:sz="0" w:space="0" w:color="auto"/>
      </w:divBdr>
    </w:div>
    <w:div w:id="13118793">
      <w:bodyDiv w:val="1"/>
      <w:marLeft w:val="0"/>
      <w:marRight w:val="0"/>
      <w:marTop w:val="0"/>
      <w:marBottom w:val="0"/>
      <w:divBdr>
        <w:top w:val="none" w:sz="0" w:space="0" w:color="auto"/>
        <w:left w:val="none" w:sz="0" w:space="0" w:color="auto"/>
        <w:bottom w:val="none" w:sz="0" w:space="0" w:color="auto"/>
        <w:right w:val="none" w:sz="0" w:space="0" w:color="auto"/>
      </w:divBdr>
    </w:div>
    <w:div w:id="14574406">
      <w:bodyDiv w:val="1"/>
      <w:marLeft w:val="0"/>
      <w:marRight w:val="0"/>
      <w:marTop w:val="0"/>
      <w:marBottom w:val="0"/>
      <w:divBdr>
        <w:top w:val="none" w:sz="0" w:space="0" w:color="auto"/>
        <w:left w:val="none" w:sz="0" w:space="0" w:color="auto"/>
        <w:bottom w:val="none" w:sz="0" w:space="0" w:color="auto"/>
        <w:right w:val="none" w:sz="0" w:space="0" w:color="auto"/>
      </w:divBdr>
    </w:div>
    <w:div w:id="17779219">
      <w:bodyDiv w:val="1"/>
      <w:marLeft w:val="0"/>
      <w:marRight w:val="0"/>
      <w:marTop w:val="0"/>
      <w:marBottom w:val="0"/>
      <w:divBdr>
        <w:top w:val="none" w:sz="0" w:space="0" w:color="auto"/>
        <w:left w:val="none" w:sz="0" w:space="0" w:color="auto"/>
        <w:bottom w:val="none" w:sz="0" w:space="0" w:color="auto"/>
        <w:right w:val="none" w:sz="0" w:space="0" w:color="auto"/>
      </w:divBdr>
    </w:div>
    <w:div w:id="18090255">
      <w:bodyDiv w:val="1"/>
      <w:marLeft w:val="0"/>
      <w:marRight w:val="0"/>
      <w:marTop w:val="0"/>
      <w:marBottom w:val="0"/>
      <w:divBdr>
        <w:top w:val="none" w:sz="0" w:space="0" w:color="auto"/>
        <w:left w:val="none" w:sz="0" w:space="0" w:color="auto"/>
        <w:bottom w:val="none" w:sz="0" w:space="0" w:color="auto"/>
        <w:right w:val="none" w:sz="0" w:space="0" w:color="auto"/>
      </w:divBdr>
    </w:div>
    <w:div w:id="18822935">
      <w:bodyDiv w:val="1"/>
      <w:marLeft w:val="0"/>
      <w:marRight w:val="0"/>
      <w:marTop w:val="0"/>
      <w:marBottom w:val="0"/>
      <w:divBdr>
        <w:top w:val="none" w:sz="0" w:space="0" w:color="auto"/>
        <w:left w:val="none" w:sz="0" w:space="0" w:color="auto"/>
        <w:bottom w:val="none" w:sz="0" w:space="0" w:color="auto"/>
        <w:right w:val="none" w:sz="0" w:space="0" w:color="auto"/>
      </w:divBdr>
    </w:div>
    <w:div w:id="19164542">
      <w:bodyDiv w:val="1"/>
      <w:marLeft w:val="0"/>
      <w:marRight w:val="0"/>
      <w:marTop w:val="0"/>
      <w:marBottom w:val="0"/>
      <w:divBdr>
        <w:top w:val="none" w:sz="0" w:space="0" w:color="auto"/>
        <w:left w:val="none" w:sz="0" w:space="0" w:color="auto"/>
        <w:bottom w:val="none" w:sz="0" w:space="0" w:color="auto"/>
        <w:right w:val="none" w:sz="0" w:space="0" w:color="auto"/>
      </w:divBdr>
    </w:div>
    <w:div w:id="20325806">
      <w:bodyDiv w:val="1"/>
      <w:marLeft w:val="0"/>
      <w:marRight w:val="0"/>
      <w:marTop w:val="0"/>
      <w:marBottom w:val="0"/>
      <w:divBdr>
        <w:top w:val="none" w:sz="0" w:space="0" w:color="auto"/>
        <w:left w:val="none" w:sz="0" w:space="0" w:color="auto"/>
        <w:bottom w:val="none" w:sz="0" w:space="0" w:color="auto"/>
        <w:right w:val="none" w:sz="0" w:space="0" w:color="auto"/>
      </w:divBdr>
    </w:div>
    <w:div w:id="21370384">
      <w:bodyDiv w:val="1"/>
      <w:marLeft w:val="0"/>
      <w:marRight w:val="0"/>
      <w:marTop w:val="0"/>
      <w:marBottom w:val="0"/>
      <w:divBdr>
        <w:top w:val="none" w:sz="0" w:space="0" w:color="auto"/>
        <w:left w:val="none" w:sz="0" w:space="0" w:color="auto"/>
        <w:bottom w:val="none" w:sz="0" w:space="0" w:color="auto"/>
        <w:right w:val="none" w:sz="0" w:space="0" w:color="auto"/>
      </w:divBdr>
    </w:div>
    <w:div w:id="21979816">
      <w:bodyDiv w:val="1"/>
      <w:marLeft w:val="0"/>
      <w:marRight w:val="0"/>
      <w:marTop w:val="0"/>
      <w:marBottom w:val="0"/>
      <w:divBdr>
        <w:top w:val="none" w:sz="0" w:space="0" w:color="auto"/>
        <w:left w:val="none" w:sz="0" w:space="0" w:color="auto"/>
        <w:bottom w:val="none" w:sz="0" w:space="0" w:color="auto"/>
        <w:right w:val="none" w:sz="0" w:space="0" w:color="auto"/>
      </w:divBdr>
    </w:div>
    <w:div w:id="23218023">
      <w:bodyDiv w:val="1"/>
      <w:marLeft w:val="0"/>
      <w:marRight w:val="0"/>
      <w:marTop w:val="0"/>
      <w:marBottom w:val="0"/>
      <w:divBdr>
        <w:top w:val="none" w:sz="0" w:space="0" w:color="auto"/>
        <w:left w:val="none" w:sz="0" w:space="0" w:color="auto"/>
        <w:bottom w:val="none" w:sz="0" w:space="0" w:color="auto"/>
        <w:right w:val="none" w:sz="0" w:space="0" w:color="auto"/>
      </w:divBdr>
    </w:div>
    <w:div w:id="24138888">
      <w:bodyDiv w:val="1"/>
      <w:marLeft w:val="0"/>
      <w:marRight w:val="0"/>
      <w:marTop w:val="0"/>
      <w:marBottom w:val="0"/>
      <w:divBdr>
        <w:top w:val="none" w:sz="0" w:space="0" w:color="auto"/>
        <w:left w:val="none" w:sz="0" w:space="0" w:color="auto"/>
        <w:bottom w:val="none" w:sz="0" w:space="0" w:color="auto"/>
        <w:right w:val="none" w:sz="0" w:space="0" w:color="auto"/>
      </w:divBdr>
    </w:div>
    <w:div w:id="27030396">
      <w:bodyDiv w:val="1"/>
      <w:marLeft w:val="0"/>
      <w:marRight w:val="0"/>
      <w:marTop w:val="0"/>
      <w:marBottom w:val="0"/>
      <w:divBdr>
        <w:top w:val="none" w:sz="0" w:space="0" w:color="auto"/>
        <w:left w:val="none" w:sz="0" w:space="0" w:color="auto"/>
        <w:bottom w:val="none" w:sz="0" w:space="0" w:color="auto"/>
        <w:right w:val="none" w:sz="0" w:space="0" w:color="auto"/>
      </w:divBdr>
    </w:div>
    <w:div w:id="27419478">
      <w:bodyDiv w:val="1"/>
      <w:marLeft w:val="0"/>
      <w:marRight w:val="0"/>
      <w:marTop w:val="0"/>
      <w:marBottom w:val="0"/>
      <w:divBdr>
        <w:top w:val="none" w:sz="0" w:space="0" w:color="auto"/>
        <w:left w:val="none" w:sz="0" w:space="0" w:color="auto"/>
        <w:bottom w:val="none" w:sz="0" w:space="0" w:color="auto"/>
        <w:right w:val="none" w:sz="0" w:space="0" w:color="auto"/>
      </w:divBdr>
    </w:div>
    <w:div w:id="28456059">
      <w:bodyDiv w:val="1"/>
      <w:marLeft w:val="0"/>
      <w:marRight w:val="0"/>
      <w:marTop w:val="0"/>
      <w:marBottom w:val="0"/>
      <w:divBdr>
        <w:top w:val="none" w:sz="0" w:space="0" w:color="auto"/>
        <w:left w:val="none" w:sz="0" w:space="0" w:color="auto"/>
        <w:bottom w:val="none" w:sz="0" w:space="0" w:color="auto"/>
        <w:right w:val="none" w:sz="0" w:space="0" w:color="auto"/>
      </w:divBdr>
    </w:div>
    <w:div w:id="30306137">
      <w:bodyDiv w:val="1"/>
      <w:marLeft w:val="0"/>
      <w:marRight w:val="0"/>
      <w:marTop w:val="0"/>
      <w:marBottom w:val="0"/>
      <w:divBdr>
        <w:top w:val="none" w:sz="0" w:space="0" w:color="auto"/>
        <w:left w:val="none" w:sz="0" w:space="0" w:color="auto"/>
        <w:bottom w:val="none" w:sz="0" w:space="0" w:color="auto"/>
        <w:right w:val="none" w:sz="0" w:space="0" w:color="auto"/>
      </w:divBdr>
    </w:div>
    <w:div w:id="30619821">
      <w:bodyDiv w:val="1"/>
      <w:marLeft w:val="0"/>
      <w:marRight w:val="0"/>
      <w:marTop w:val="0"/>
      <w:marBottom w:val="0"/>
      <w:divBdr>
        <w:top w:val="none" w:sz="0" w:space="0" w:color="auto"/>
        <w:left w:val="none" w:sz="0" w:space="0" w:color="auto"/>
        <w:bottom w:val="none" w:sz="0" w:space="0" w:color="auto"/>
        <w:right w:val="none" w:sz="0" w:space="0" w:color="auto"/>
      </w:divBdr>
    </w:div>
    <w:div w:id="31078458">
      <w:bodyDiv w:val="1"/>
      <w:marLeft w:val="0"/>
      <w:marRight w:val="0"/>
      <w:marTop w:val="0"/>
      <w:marBottom w:val="0"/>
      <w:divBdr>
        <w:top w:val="none" w:sz="0" w:space="0" w:color="auto"/>
        <w:left w:val="none" w:sz="0" w:space="0" w:color="auto"/>
        <w:bottom w:val="none" w:sz="0" w:space="0" w:color="auto"/>
        <w:right w:val="none" w:sz="0" w:space="0" w:color="auto"/>
      </w:divBdr>
    </w:div>
    <w:div w:id="33241485">
      <w:bodyDiv w:val="1"/>
      <w:marLeft w:val="0"/>
      <w:marRight w:val="0"/>
      <w:marTop w:val="0"/>
      <w:marBottom w:val="0"/>
      <w:divBdr>
        <w:top w:val="none" w:sz="0" w:space="0" w:color="auto"/>
        <w:left w:val="none" w:sz="0" w:space="0" w:color="auto"/>
        <w:bottom w:val="none" w:sz="0" w:space="0" w:color="auto"/>
        <w:right w:val="none" w:sz="0" w:space="0" w:color="auto"/>
      </w:divBdr>
    </w:div>
    <w:div w:id="33505161">
      <w:bodyDiv w:val="1"/>
      <w:marLeft w:val="0"/>
      <w:marRight w:val="0"/>
      <w:marTop w:val="0"/>
      <w:marBottom w:val="0"/>
      <w:divBdr>
        <w:top w:val="none" w:sz="0" w:space="0" w:color="auto"/>
        <w:left w:val="none" w:sz="0" w:space="0" w:color="auto"/>
        <w:bottom w:val="none" w:sz="0" w:space="0" w:color="auto"/>
        <w:right w:val="none" w:sz="0" w:space="0" w:color="auto"/>
      </w:divBdr>
    </w:div>
    <w:div w:id="34082279">
      <w:bodyDiv w:val="1"/>
      <w:marLeft w:val="0"/>
      <w:marRight w:val="0"/>
      <w:marTop w:val="0"/>
      <w:marBottom w:val="0"/>
      <w:divBdr>
        <w:top w:val="none" w:sz="0" w:space="0" w:color="auto"/>
        <w:left w:val="none" w:sz="0" w:space="0" w:color="auto"/>
        <w:bottom w:val="none" w:sz="0" w:space="0" w:color="auto"/>
        <w:right w:val="none" w:sz="0" w:space="0" w:color="auto"/>
      </w:divBdr>
    </w:div>
    <w:div w:id="34232819">
      <w:bodyDiv w:val="1"/>
      <w:marLeft w:val="0"/>
      <w:marRight w:val="0"/>
      <w:marTop w:val="0"/>
      <w:marBottom w:val="0"/>
      <w:divBdr>
        <w:top w:val="none" w:sz="0" w:space="0" w:color="auto"/>
        <w:left w:val="none" w:sz="0" w:space="0" w:color="auto"/>
        <w:bottom w:val="none" w:sz="0" w:space="0" w:color="auto"/>
        <w:right w:val="none" w:sz="0" w:space="0" w:color="auto"/>
      </w:divBdr>
    </w:div>
    <w:div w:id="36509058">
      <w:bodyDiv w:val="1"/>
      <w:marLeft w:val="0"/>
      <w:marRight w:val="0"/>
      <w:marTop w:val="0"/>
      <w:marBottom w:val="0"/>
      <w:divBdr>
        <w:top w:val="none" w:sz="0" w:space="0" w:color="auto"/>
        <w:left w:val="none" w:sz="0" w:space="0" w:color="auto"/>
        <w:bottom w:val="none" w:sz="0" w:space="0" w:color="auto"/>
        <w:right w:val="none" w:sz="0" w:space="0" w:color="auto"/>
      </w:divBdr>
    </w:div>
    <w:div w:id="36666644">
      <w:bodyDiv w:val="1"/>
      <w:marLeft w:val="0"/>
      <w:marRight w:val="0"/>
      <w:marTop w:val="0"/>
      <w:marBottom w:val="0"/>
      <w:divBdr>
        <w:top w:val="none" w:sz="0" w:space="0" w:color="auto"/>
        <w:left w:val="none" w:sz="0" w:space="0" w:color="auto"/>
        <w:bottom w:val="none" w:sz="0" w:space="0" w:color="auto"/>
        <w:right w:val="none" w:sz="0" w:space="0" w:color="auto"/>
      </w:divBdr>
    </w:div>
    <w:div w:id="38090438">
      <w:bodyDiv w:val="1"/>
      <w:marLeft w:val="0"/>
      <w:marRight w:val="0"/>
      <w:marTop w:val="0"/>
      <w:marBottom w:val="0"/>
      <w:divBdr>
        <w:top w:val="none" w:sz="0" w:space="0" w:color="auto"/>
        <w:left w:val="none" w:sz="0" w:space="0" w:color="auto"/>
        <w:bottom w:val="none" w:sz="0" w:space="0" w:color="auto"/>
        <w:right w:val="none" w:sz="0" w:space="0" w:color="auto"/>
      </w:divBdr>
    </w:div>
    <w:div w:id="38281675">
      <w:bodyDiv w:val="1"/>
      <w:marLeft w:val="0"/>
      <w:marRight w:val="0"/>
      <w:marTop w:val="0"/>
      <w:marBottom w:val="0"/>
      <w:divBdr>
        <w:top w:val="none" w:sz="0" w:space="0" w:color="auto"/>
        <w:left w:val="none" w:sz="0" w:space="0" w:color="auto"/>
        <w:bottom w:val="none" w:sz="0" w:space="0" w:color="auto"/>
        <w:right w:val="none" w:sz="0" w:space="0" w:color="auto"/>
      </w:divBdr>
    </w:div>
    <w:div w:id="39013829">
      <w:bodyDiv w:val="1"/>
      <w:marLeft w:val="0"/>
      <w:marRight w:val="0"/>
      <w:marTop w:val="0"/>
      <w:marBottom w:val="0"/>
      <w:divBdr>
        <w:top w:val="none" w:sz="0" w:space="0" w:color="auto"/>
        <w:left w:val="none" w:sz="0" w:space="0" w:color="auto"/>
        <w:bottom w:val="none" w:sz="0" w:space="0" w:color="auto"/>
        <w:right w:val="none" w:sz="0" w:space="0" w:color="auto"/>
      </w:divBdr>
    </w:div>
    <w:div w:id="39205780">
      <w:bodyDiv w:val="1"/>
      <w:marLeft w:val="0"/>
      <w:marRight w:val="0"/>
      <w:marTop w:val="0"/>
      <w:marBottom w:val="0"/>
      <w:divBdr>
        <w:top w:val="none" w:sz="0" w:space="0" w:color="auto"/>
        <w:left w:val="none" w:sz="0" w:space="0" w:color="auto"/>
        <w:bottom w:val="none" w:sz="0" w:space="0" w:color="auto"/>
        <w:right w:val="none" w:sz="0" w:space="0" w:color="auto"/>
      </w:divBdr>
    </w:div>
    <w:div w:id="39209538">
      <w:bodyDiv w:val="1"/>
      <w:marLeft w:val="0"/>
      <w:marRight w:val="0"/>
      <w:marTop w:val="0"/>
      <w:marBottom w:val="0"/>
      <w:divBdr>
        <w:top w:val="none" w:sz="0" w:space="0" w:color="auto"/>
        <w:left w:val="none" w:sz="0" w:space="0" w:color="auto"/>
        <w:bottom w:val="none" w:sz="0" w:space="0" w:color="auto"/>
        <w:right w:val="none" w:sz="0" w:space="0" w:color="auto"/>
      </w:divBdr>
    </w:div>
    <w:div w:id="39256352">
      <w:bodyDiv w:val="1"/>
      <w:marLeft w:val="0"/>
      <w:marRight w:val="0"/>
      <w:marTop w:val="0"/>
      <w:marBottom w:val="0"/>
      <w:divBdr>
        <w:top w:val="none" w:sz="0" w:space="0" w:color="auto"/>
        <w:left w:val="none" w:sz="0" w:space="0" w:color="auto"/>
        <w:bottom w:val="none" w:sz="0" w:space="0" w:color="auto"/>
        <w:right w:val="none" w:sz="0" w:space="0" w:color="auto"/>
      </w:divBdr>
    </w:div>
    <w:div w:id="39599093">
      <w:bodyDiv w:val="1"/>
      <w:marLeft w:val="0"/>
      <w:marRight w:val="0"/>
      <w:marTop w:val="0"/>
      <w:marBottom w:val="0"/>
      <w:divBdr>
        <w:top w:val="none" w:sz="0" w:space="0" w:color="auto"/>
        <w:left w:val="none" w:sz="0" w:space="0" w:color="auto"/>
        <w:bottom w:val="none" w:sz="0" w:space="0" w:color="auto"/>
        <w:right w:val="none" w:sz="0" w:space="0" w:color="auto"/>
      </w:divBdr>
    </w:div>
    <w:div w:id="41877792">
      <w:bodyDiv w:val="1"/>
      <w:marLeft w:val="0"/>
      <w:marRight w:val="0"/>
      <w:marTop w:val="0"/>
      <w:marBottom w:val="0"/>
      <w:divBdr>
        <w:top w:val="none" w:sz="0" w:space="0" w:color="auto"/>
        <w:left w:val="none" w:sz="0" w:space="0" w:color="auto"/>
        <w:bottom w:val="none" w:sz="0" w:space="0" w:color="auto"/>
        <w:right w:val="none" w:sz="0" w:space="0" w:color="auto"/>
      </w:divBdr>
    </w:div>
    <w:div w:id="44305124">
      <w:bodyDiv w:val="1"/>
      <w:marLeft w:val="0"/>
      <w:marRight w:val="0"/>
      <w:marTop w:val="0"/>
      <w:marBottom w:val="0"/>
      <w:divBdr>
        <w:top w:val="none" w:sz="0" w:space="0" w:color="auto"/>
        <w:left w:val="none" w:sz="0" w:space="0" w:color="auto"/>
        <w:bottom w:val="none" w:sz="0" w:space="0" w:color="auto"/>
        <w:right w:val="none" w:sz="0" w:space="0" w:color="auto"/>
      </w:divBdr>
    </w:div>
    <w:div w:id="44761732">
      <w:bodyDiv w:val="1"/>
      <w:marLeft w:val="0"/>
      <w:marRight w:val="0"/>
      <w:marTop w:val="0"/>
      <w:marBottom w:val="0"/>
      <w:divBdr>
        <w:top w:val="none" w:sz="0" w:space="0" w:color="auto"/>
        <w:left w:val="none" w:sz="0" w:space="0" w:color="auto"/>
        <w:bottom w:val="none" w:sz="0" w:space="0" w:color="auto"/>
        <w:right w:val="none" w:sz="0" w:space="0" w:color="auto"/>
      </w:divBdr>
    </w:div>
    <w:div w:id="44909783">
      <w:bodyDiv w:val="1"/>
      <w:marLeft w:val="0"/>
      <w:marRight w:val="0"/>
      <w:marTop w:val="0"/>
      <w:marBottom w:val="0"/>
      <w:divBdr>
        <w:top w:val="none" w:sz="0" w:space="0" w:color="auto"/>
        <w:left w:val="none" w:sz="0" w:space="0" w:color="auto"/>
        <w:bottom w:val="none" w:sz="0" w:space="0" w:color="auto"/>
        <w:right w:val="none" w:sz="0" w:space="0" w:color="auto"/>
      </w:divBdr>
    </w:div>
    <w:div w:id="45498226">
      <w:bodyDiv w:val="1"/>
      <w:marLeft w:val="0"/>
      <w:marRight w:val="0"/>
      <w:marTop w:val="0"/>
      <w:marBottom w:val="0"/>
      <w:divBdr>
        <w:top w:val="none" w:sz="0" w:space="0" w:color="auto"/>
        <w:left w:val="none" w:sz="0" w:space="0" w:color="auto"/>
        <w:bottom w:val="none" w:sz="0" w:space="0" w:color="auto"/>
        <w:right w:val="none" w:sz="0" w:space="0" w:color="auto"/>
      </w:divBdr>
    </w:div>
    <w:div w:id="45571072">
      <w:bodyDiv w:val="1"/>
      <w:marLeft w:val="0"/>
      <w:marRight w:val="0"/>
      <w:marTop w:val="0"/>
      <w:marBottom w:val="0"/>
      <w:divBdr>
        <w:top w:val="none" w:sz="0" w:space="0" w:color="auto"/>
        <w:left w:val="none" w:sz="0" w:space="0" w:color="auto"/>
        <w:bottom w:val="none" w:sz="0" w:space="0" w:color="auto"/>
        <w:right w:val="none" w:sz="0" w:space="0" w:color="auto"/>
      </w:divBdr>
    </w:div>
    <w:div w:id="47802625">
      <w:bodyDiv w:val="1"/>
      <w:marLeft w:val="0"/>
      <w:marRight w:val="0"/>
      <w:marTop w:val="0"/>
      <w:marBottom w:val="0"/>
      <w:divBdr>
        <w:top w:val="none" w:sz="0" w:space="0" w:color="auto"/>
        <w:left w:val="none" w:sz="0" w:space="0" w:color="auto"/>
        <w:bottom w:val="none" w:sz="0" w:space="0" w:color="auto"/>
        <w:right w:val="none" w:sz="0" w:space="0" w:color="auto"/>
      </w:divBdr>
    </w:div>
    <w:div w:id="50464946">
      <w:bodyDiv w:val="1"/>
      <w:marLeft w:val="0"/>
      <w:marRight w:val="0"/>
      <w:marTop w:val="0"/>
      <w:marBottom w:val="0"/>
      <w:divBdr>
        <w:top w:val="none" w:sz="0" w:space="0" w:color="auto"/>
        <w:left w:val="none" w:sz="0" w:space="0" w:color="auto"/>
        <w:bottom w:val="none" w:sz="0" w:space="0" w:color="auto"/>
        <w:right w:val="none" w:sz="0" w:space="0" w:color="auto"/>
      </w:divBdr>
    </w:div>
    <w:div w:id="50470867">
      <w:bodyDiv w:val="1"/>
      <w:marLeft w:val="0"/>
      <w:marRight w:val="0"/>
      <w:marTop w:val="0"/>
      <w:marBottom w:val="0"/>
      <w:divBdr>
        <w:top w:val="none" w:sz="0" w:space="0" w:color="auto"/>
        <w:left w:val="none" w:sz="0" w:space="0" w:color="auto"/>
        <w:bottom w:val="none" w:sz="0" w:space="0" w:color="auto"/>
        <w:right w:val="none" w:sz="0" w:space="0" w:color="auto"/>
      </w:divBdr>
    </w:div>
    <w:div w:id="50934098">
      <w:bodyDiv w:val="1"/>
      <w:marLeft w:val="0"/>
      <w:marRight w:val="0"/>
      <w:marTop w:val="0"/>
      <w:marBottom w:val="0"/>
      <w:divBdr>
        <w:top w:val="none" w:sz="0" w:space="0" w:color="auto"/>
        <w:left w:val="none" w:sz="0" w:space="0" w:color="auto"/>
        <w:bottom w:val="none" w:sz="0" w:space="0" w:color="auto"/>
        <w:right w:val="none" w:sz="0" w:space="0" w:color="auto"/>
      </w:divBdr>
    </w:div>
    <w:div w:id="51003221">
      <w:bodyDiv w:val="1"/>
      <w:marLeft w:val="0"/>
      <w:marRight w:val="0"/>
      <w:marTop w:val="0"/>
      <w:marBottom w:val="0"/>
      <w:divBdr>
        <w:top w:val="none" w:sz="0" w:space="0" w:color="auto"/>
        <w:left w:val="none" w:sz="0" w:space="0" w:color="auto"/>
        <w:bottom w:val="none" w:sz="0" w:space="0" w:color="auto"/>
        <w:right w:val="none" w:sz="0" w:space="0" w:color="auto"/>
      </w:divBdr>
    </w:div>
    <w:div w:id="54015208">
      <w:bodyDiv w:val="1"/>
      <w:marLeft w:val="0"/>
      <w:marRight w:val="0"/>
      <w:marTop w:val="0"/>
      <w:marBottom w:val="0"/>
      <w:divBdr>
        <w:top w:val="none" w:sz="0" w:space="0" w:color="auto"/>
        <w:left w:val="none" w:sz="0" w:space="0" w:color="auto"/>
        <w:bottom w:val="none" w:sz="0" w:space="0" w:color="auto"/>
        <w:right w:val="none" w:sz="0" w:space="0" w:color="auto"/>
      </w:divBdr>
    </w:div>
    <w:div w:id="54395787">
      <w:bodyDiv w:val="1"/>
      <w:marLeft w:val="0"/>
      <w:marRight w:val="0"/>
      <w:marTop w:val="0"/>
      <w:marBottom w:val="0"/>
      <w:divBdr>
        <w:top w:val="none" w:sz="0" w:space="0" w:color="auto"/>
        <w:left w:val="none" w:sz="0" w:space="0" w:color="auto"/>
        <w:bottom w:val="none" w:sz="0" w:space="0" w:color="auto"/>
        <w:right w:val="none" w:sz="0" w:space="0" w:color="auto"/>
      </w:divBdr>
    </w:div>
    <w:div w:id="55471295">
      <w:bodyDiv w:val="1"/>
      <w:marLeft w:val="0"/>
      <w:marRight w:val="0"/>
      <w:marTop w:val="0"/>
      <w:marBottom w:val="0"/>
      <w:divBdr>
        <w:top w:val="none" w:sz="0" w:space="0" w:color="auto"/>
        <w:left w:val="none" w:sz="0" w:space="0" w:color="auto"/>
        <w:bottom w:val="none" w:sz="0" w:space="0" w:color="auto"/>
        <w:right w:val="none" w:sz="0" w:space="0" w:color="auto"/>
      </w:divBdr>
    </w:div>
    <w:div w:id="55710463">
      <w:bodyDiv w:val="1"/>
      <w:marLeft w:val="0"/>
      <w:marRight w:val="0"/>
      <w:marTop w:val="0"/>
      <w:marBottom w:val="0"/>
      <w:divBdr>
        <w:top w:val="none" w:sz="0" w:space="0" w:color="auto"/>
        <w:left w:val="none" w:sz="0" w:space="0" w:color="auto"/>
        <w:bottom w:val="none" w:sz="0" w:space="0" w:color="auto"/>
        <w:right w:val="none" w:sz="0" w:space="0" w:color="auto"/>
      </w:divBdr>
    </w:div>
    <w:div w:id="57215815">
      <w:bodyDiv w:val="1"/>
      <w:marLeft w:val="0"/>
      <w:marRight w:val="0"/>
      <w:marTop w:val="0"/>
      <w:marBottom w:val="0"/>
      <w:divBdr>
        <w:top w:val="none" w:sz="0" w:space="0" w:color="auto"/>
        <w:left w:val="none" w:sz="0" w:space="0" w:color="auto"/>
        <w:bottom w:val="none" w:sz="0" w:space="0" w:color="auto"/>
        <w:right w:val="none" w:sz="0" w:space="0" w:color="auto"/>
      </w:divBdr>
    </w:div>
    <w:div w:id="57556486">
      <w:bodyDiv w:val="1"/>
      <w:marLeft w:val="0"/>
      <w:marRight w:val="0"/>
      <w:marTop w:val="0"/>
      <w:marBottom w:val="0"/>
      <w:divBdr>
        <w:top w:val="none" w:sz="0" w:space="0" w:color="auto"/>
        <w:left w:val="none" w:sz="0" w:space="0" w:color="auto"/>
        <w:bottom w:val="none" w:sz="0" w:space="0" w:color="auto"/>
        <w:right w:val="none" w:sz="0" w:space="0" w:color="auto"/>
      </w:divBdr>
    </w:div>
    <w:div w:id="58288360">
      <w:bodyDiv w:val="1"/>
      <w:marLeft w:val="0"/>
      <w:marRight w:val="0"/>
      <w:marTop w:val="0"/>
      <w:marBottom w:val="0"/>
      <w:divBdr>
        <w:top w:val="none" w:sz="0" w:space="0" w:color="auto"/>
        <w:left w:val="none" w:sz="0" w:space="0" w:color="auto"/>
        <w:bottom w:val="none" w:sz="0" w:space="0" w:color="auto"/>
        <w:right w:val="none" w:sz="0" w:space="0" w:color="auto"/>
      </w:divBdr>
    </w:div>
    <w:div w:id="58403996">
      <w:bodyDiv w:val="1"/>
      <w:marLeft w:val="0"/>
      <w:marRight w:val="0"/>
      <w:marTop w:val="0"/>
      <w:marBottom w:val="0"/>
      <w:divBdr>
        <w:top w:val="none" w:sz="0" w:space="0" w:color="auto"/>
        <w:left w:val="none" w:sz="0" w:space="0" w:color="auto"/>
        <w:bottom w:val="none" w:sz="0" w:space="0" w:color="auto"/>
        <w:right w:val="none" w:sz="0" w:space="0" w:color="auto"/>
      </w:divBdr>
    </w:div>
    <w:div w:id="60062598">
      <w:bodyDiv w:val="1"/>
      <w:marLeft w:val="0"/>
      <w:marRight w:val="0"/>
      <w:marTop w:val="0"/>
      <w:marBottom w:val="0"/>
      <w:divBdr>
        <w:top w:val="none" w:sz="0" w:space="0" w:color="auto"/>
        <w:left w:val="none" w:sz="0" w:space="0" w:color="auto"/>
        <w:bottom w:val="none" w:sz="0" w:space="0" w:color="auto"/>
        <w:right w:val="none" w:sz="0" w:space="0" w:color="auto"/>
      </w:divBdr>
    </w:div>
    <w:div w:id="60374242">
      <w:bodyDiv w:val="1"/>
      <w:marLeft w:val="0"/>
      <w:marRight w:val="0"/>
      <w:marTop w:val="0"/>
      <w:marBottom w:val="0"/>
      <w:divBdr>
        <w:top w:val="none" w:sz="0" w:space="0" w:color="auto"/>
        <w:left w:val="none" w:sz="0" w:space="0" w:color="auto"/>
        <w:bottom w:val="none" w:sz="0" w:space="0" w:color="auto"/>
        <w:right w:val="none" w:sz="0" w:space="0" w:color="auto"/>
      </w:divBdr>
    </w:div>
    <w:div w:id="61173025">
      <w:bodyDiv w:val="1"/>
      <w:marLeft w:val="0"/>
      <w:marRight w:val="0"/>
      <w:marTop w:val="0"/>
      <w:marBottom w:val="0"/>
      <w:divBdr>
        <w:top w:val="none" w:sz="0" w:space="0" w:color="auto"/>
        <w:left w:val="none" w:sz="0" w:space="0" w:color="auto"/>
        <w:bottom w:val="none" w:sz="0" w:space="0" w:color="auto"/>
        <w:right w:val="none" w:sz="0" w:space="0" w:color="auto"/>
      </w:divBdr>
    </w:div>
    <w:div w:id="61761761">
      <w:bodyDiv w:val="1"/>
      <w:marLeft w:val="0"/>
      <w:marRight w:val="0"/>
      <w:marTop w:val="0"/>
      <w:marBottom w:val="0"/>
      <w:divBdr>
        <w:top w:val="none" w:sz="0" w:space="0" w:color="auto"/>
        <w:left w:val="none" w:sz="0" w:space="0" w:color="auto"/>
        <w:bottom w:val="none" w:sz="0" w:space="0" w:color="auto"/>
        <w:right w:val="none" w:sz="0" w:space="0" w:color="auto"/>
      </w:divBdr>
    </w:div>
    <w:div w:id="64225426">
      <w:bodyDiv w:val="1"/>
      <w:marLeft w:val="0"/>
      <w:marRight w:val="0"/>
      <w:marTop w:val="0"/>
      <w:marBottom w:val="0"/>
      <w:divBdr>
        <w:top w:val="none" w:sz="0" w:space="0" w:color="auto"/>
        <w:left w:val="none" w:sz="0" w:space="0" w:color="auto"/>
        <w:bottom w:val="none" w:sz="0" w:space="0" w:color="auto"/>
        <w:right w:val="none" w:sz="0" w:space="0" w:color="auto"/>
      </w:divBdr>
    </w:div>
    <w:div w:id="65081571">
      <w:bodyDiv w:val="1"/>
      <w:marLeft w:val="0"/>
      <w:marRight w:val="0"/>
      <w:marTop w:val="0"/>
      <w:marBottom w:val="0"/>
      <w:divBdr>
        <w:top w:val="none" w:sz="0" w:space="0" w:color="auto"/>
        <w:left w:val="none" w:sz="0" w:space="0" w:color="auto"/>
        <w:bottom w:val="none" w:sz="0" w:space="0" w:color="auto"/>
        <w:right w:val="none" w:sz="0" w:space="0" w:color="auto"/>
      </w:divBdr>
    </w:div>
    <w:div w:id="65953202">
      <w:bodyDiv w:val="1"/>
      <w:marLeft w:val="0"/>
      <w:marRight w:val="0"/>
      <w:marTop w:val="0"/>
      <w:marBottom w:val="0"/>
      <w:divBdr>
        <w:top w:val="none" w:sz="0" w:space="0" w:color="auto"/>
        <w:left w:val="none" w:sz="0" w:space="0" w:color="auto"/>
        <w:bottom w:val="none" w:sz="0" w:space="0" w:color="auto"/>
        <w:right w:val="none" w:sz="0" w:space="0" w:color="auto"/>
      </w:divBdr>
    </w:div>
    <w:div w:id="67265030">
      <w:bodyDiv w:val="1"/>
      <w:marLeft w:val="0"/>
      <w:marRight w:val="0"/>
      <w:marTop w:val="0"/>
      <w:marBottom w:val="0"/>
      <w:divBdr>
        <w:top w:val="none" w:sz="0" w:space="0" w:color="auto"/>
        <w:left w:val="none" w:sz="0" w:space="0" w:color="auto"/>
        <w:bottom w:val="none" w:sz="0" w:space="0" w:color="auto"/>
        <w:right w:val="none" w:sz="0" w:space="0" w:color="auto"/>
      </w:divBdr>
    </w:div>
    <w:div w:id="67584645">
      <w:bodyDiv w:val="1"/>
      <w:marLeft w:val="0"/>
      <w:marRight w:val="0"/>
      <w:marTop w:val="0"/>
      <w:marBottom w:val="0"/>
      <w:divBdr>
        <w:top w:val="none" w:sz="0" w:space="0" w:color="auto"/>
        <w:left w:val="none" w:sz="0" w:space="0" w:color="auto"/>
        <w:bottom w:val="none" w:sz="0" w:space="0" w:color="auto"/>
        <w:right w:val="none" w:sz="0" w:space="0" w:color="auto"/>
      </w:divBdr>
    </w:div>
    <w:div w:id="67919666">
      <w:bodyDiv w:val="1"/>
      <w:marLeft w:val="0"/>
      <w:marRight w:val="0"/>
      <w:marTop w:val="0"/>
      <w:marBottom w:val="0"/>
      <w:divBdr>
        <w:top w:val="none" w:sz="0" w:space="0" w:color="auto"/>
        <w:left w:val="none" w:sz="0" w:space="0" w:color="auto"/>
        <w:bottom w:val="none" w:sz="0" w:space="0" w:color="auto"/>
        <w:right w:val="none" w:sz="0" w:space="0" w:color="auto"/>
      </w:divBdr>
    </w:div>
    <w:div w:id="71050117">
      <w:bodyDiv w:val="1"/>
      <w:marLeft w:val="0"/>
      <w:marRight w:val="0"/>
      <w:marTop w:val="0"/>
      <w:marBottom w:val="0"/>
      <w:divBdr>
        <w:top w:val="none" w:sz="0" w:space="0" w:color="auto"/>
        <w:left w:val="none" w:sz="0" w:space="0" w:color="auto"/>
        <w:bottom w:val="none" w:sz="0" w:space="0" w:color="auto"/>
        <w:right w:val="none" w:sz="0" w:space="0" w:color="auto"/>
      </w:divBdr>
    </w:div>
    <w:div w:id="71658809">
      <w:bodyDiv w:val="1"/>
      <w:marLeft w:val="0"/>
      <w:marRight w:val="0"/>
      <w:marTop w:val="0"/>
      <w:marBottom w:val="0"/>
      <w:divBdr>
        <w:top w:val="none" w:sz="0" w:space="0" w:color="auto"/>
        <w:left w:val="none" w:sz="0" w:space="0" w:color="auto"/>
        <w:bottom w:val="none" w:sz="0" w:space="0" w:color="auto"/>
        <w:right w:val="none" w:sz="0" w:space="0" w:color="auto"/>
      </w:divBdr>
    </w:div>
    <w:div w:id="72165704">
      <w:bodyDiv w:val="1"/>
      <w:marLeft w:val="0"/>
      <w:marRight w:val="0"/>
      <w:marTop w:val="0"/>
      <w:marBottom w:val="0"/>
      <w:divBdr>
        <w:top w:val="none" w:sz="0" w:space="0" w:color="auto"/>
        <w:left w:val="none" w:sz="0" w:space="0" w:color="auto"/>
        <w:bottom w:val="none" w:sz="0" w:space="0" w:color="auto"/>
        <w:right w:val="none" w:sz="0" w:space="0" w:color="auto"/>
      </w:divBdr>
    </w:div>
    <w:div w:id="72435642">
      <w:bodyDiv w:val="1"/>
      <w:marLeft w:val="0"/>
      <w:marRight w:val="0"/>
      <w:marTop w:val="0"/>
      <w:marBottom w:val="0"/>
      <w:divBdr>
        <w:top w:val="none" w:sz="0" w:space="0" w:color="auto"/>
        <w:left w:val="none" w:sz="0" w:space="0" w:color="auto"/>
        <w:bottom w:val="none" w:sz="0" w:space="0" w:color="auto"/>
        <w:right w:val="none" w:sz="0" w:space="0" w:color="auto"/>
      </w:divBdr>
    </w:div>
    <w:div w:id="74329290">
      <w:bodyDiv w:val="1"/>
      <w:marLeft w:val="0"/>
      <w:marRight w:val="0"/>
      <w:marTop w:val="0"/>
      <w:marBottom w:val="0"/>
      <w:divBdr>
        <w:top w:val="none" w:sz="0" w:space="0" w:color="auto"/>
        <w:left w:val="none" w:sz="0" w:space="0" w:color="auto"/>
        <w:bottom w:val="none" w:sz="0" w:space="0" w:color="auto"/>
        <w:right w:val="none" w:sz="0" w:space="0" w:color="auto"/>
      </w:divBdr>
    </w:div>
    <w:div w:id="74479933">
      <w:bodyDiv w:val="1"/>
      <w:marLeft w:val="0"/>
      <w:marRight w:val="0"/>
      <w:marTop w:val="0"/>
      <w:marBottom w:val="0"/>
      <w:divBdr>
        <w:top w:val="none" w:sz="0" w:space="0" w:color="auto"/>
        <w:left w:val="none" w:sz="0" w:space="0" w:color="auto"/>
        <w:bottom w:val="none" w:sz="0" w:space="0" w:color="auto"/>
        <w:right w:val="none" w:sz="0" w:space="0" w:color="auto"/>
      </w:divBdr>
    </w:div>
    <w:div w:id="77606171">
      <w:bodyDiv w:val="1"/>
      <w:marLeft w:val="0"/>
      <w:marRight w:val="0"/>
      <w:marTop w:val="0"/>
      <w:marBottom w:val="0"/>
      <w:divBdr>
        <w:top w:val="none" w:sz="0" w:space="0" w:color="auto"/>
        <w:left w:val="none" w:sz="0" w:space="0" w:color="auto"/>
        <w:bottom w:val="none" w:sz="0" w:space="0" w:color="auto"/>
        <w:right w:val="none" w:sz="0" w:space="0" w:color="auto"/>
      </w:divBdr>
    </w:div>
    <w:div w:id="77946615">
      <w:bodyDiv w:val="1"/>
      <w:marLeft w:val="0"/>
      <w:marRight w:val="0"/>
      <w:marTop w:val="0"/>
      <w:marBottom w:val="0"/>
      <w:divBdr>
        <w:top w:val="none" w:sz="0" w:space="0" w:color="auto"/>
        <w:left w:val="none" w:sz="0" w:space="0" w:color="auto"/>
        <w:bottom w:val="none" w:sz="0" w:space="0" w:color="auto"/>
        <w:right w:val="none" w:sz="0" w:space="0" w:color="auto"/>
      </w:divBdr>
    </w:div>
    <w:div w:id="78332957">
      <w:bodyDiv w:val="1"/>
      <w:marLeft w:val="0"/>
      <w:marRight w:val="0"/>
      <w:marTop w:val="0"/>
      <w:marBottom w:val="0"/>
      <w:divBdr>
        <w:top w:val="none" w:sz="0" w:space="0" w:color="auto"/>
        <w:left w:val="none" w:sz="0" w:space="0" w:color="auto"/>
        <w:bottom w:val="none" w:sz="0" w:space="0" w:color="auto"/>
        <w:right w:val="none" w:sz="0" w:space="0" w:color="auto"/>
      </w:divBdr>
    </w:div>
    <w:div w:id="78524191">
      <w:bodyDiv w:val="1"/>
      <w:marLeft w:val="0"/>
      <w:marRight w:val="0"/>
      <w:marTop w:val="0"/>
      <w:marBottom w:val="0"/>
      <w:divBdr>
        <w:top w:val="none" w:sz="0" w:space="0" w:color="auto"/>
        <w:left w:val="none" w:sz="0" w:space="0" w:color="auto"/>
        <w:bottom w:val="none" w:sz="0" w:space="0" w:color="auto"/>
        <w:right w:val="none" w:sz="0" w:space="0" w:color="auto"/>
      </w:divBdr>
    </w:div>
    <w:div w:id="78985056">
      <w:bodyDiv w:val="1"/>
      <w:marLeft w:val="0"/>
      <w:marRight w:val="0"/>
      <w:marTop w:val="0"/>
      <w:marBottom w:val="0"/>
      <w:divBdr>
        <w:top w:val="none" w:sz="0" w:space="0" w:color="auto"/>
        <w:left w:val="none" w:sz="0" w:space="0" w:color="auto"/>
        <w:bottom w:val="none" w:sz="0" w:space="0" w:color="auto"/>
        <w:right w:val="none" w:sz="0" w:space="0" w:color="auto"/>
      </w:divBdr>
    </w:div>
    <w:div w:id="79260223">
      <w:bodyDiv w:val="1"/>
      <w:marLeft w:val="0"/>
      <w:marRight w:val="0"/>
      <w:marTop w:val="0"/>
      <w:marBottom w:val="0"/>
      <w:divBdr>
        <w:top w:val="none" w:sz="0" w:space="0" w:color="auto"/>
        <w:left w:val="none" w:sz="0" w:space="0" w:color="auto"/>
        <w:bottom w:val="none" w:sz="0" w:space="0" w:color="auto"/>
        <w:right w:val="none" w:sz="0" w:space="0" w:color="auto"/>
      </w:divBdr>
    </w:div>
    <w:div w:id="79525344">
      <w:bodyDiv w:val="1"/>
      <w:marLeft w:val="0"/>
      <w:marRight w:val="0"/>
      <w:marTop w:val="0"/>
      <w:marBottom w:val="0"/>
      <w:divBdr>
        <w:top w:val="none" w:sz="0" w:space="0" w:color="auto"/>
        <w:left w:val="none" w:sz="0" w:space="0" w:color="auto"/>
        <w:bottom w:val="none" w:sz="0" w:space="0" w:color="auto"/>
        <w:right w:val="none" w:sz="0" w:space="0" w:color="auto"/>
      </w:divBdr>
    </w:div>
    <w:div w:id="81608111">
      <w:bodyDiv w:val="1"/>
      <w:marLeft w:val="0"/>
      <w:marRight w:val="0"/>
      <w:marTop w:val="0"/>
      <w:marBottom w:val="0"/>
      <w:divBdr>
        <w:top w:val="none" w:sz="0" w:space="0" w:color="auto"/>
        <w:left w:val="none" w:sz="0" w:space="0" w:color="auto"/>
        <w:bottom w:val="none" w:sz="0" w:space="0" w:color="auto"/>
        <w:right w:val="none" w:sz="0" w:space="0" w:color="auto"/>
      </w:divBdr>
    </w:div>
    <w:div w:id="82578884">
      <w:bodyDiv w:val="1"/>
      <w:marLeft w:val="0"/>
      <w:marRight w:val="0"/>
      <w:marTop w:val="0"/>
      <w:marBottom w:val="0"/>
      <w:divBdr>
        <w:top w:val="none" w:sz="0" w:space="0" w:color="auto"/>
        <w:left w:val="none" w:sz="0" w:space="0" w:color="auto"/>
        <w:bottom w:val="none" w:sz="0" w:space="0" w:color="auto"/>
        <w:right w:val="none" w:sz="0" w:space="0" w:color="auto"/>
      </w:divBdr>
    </w:div>
    <w:div w:id="82604129">
      <w:bodyDiv w:val="1"/>
      <w:marLeft w:val="0"/>
      <w:marRight w:val="0"/>
      <w:marTop w:val="0"/>
      <w:marBottom w:val="0"/>
      <w:divBdr>
        <w:top w:val="none" w:sz="0" w:space="0" w:color="auto"/>
        <w:left w:val="none" w:sz="0" w:space="0" w:color="auto"/>
        <w:bottom w:val="none" w:sz="0" w:space="0" w:color="auto"/>
        <w:right w:val="none" w:sz="0" w:space="0" w:color="auto"/>
      </w:divBdr>
    </w:div>
    <w:div w:id="83650021">
      <w:bodyDiv w:val="1"/>
      <w:marLeft w:val="0"/>
      <w:marRight w:val="0"/>
      <w:marTop w:val="0"/>
      <w:marBottom w:val="0"/>
      <w:divBdr>
        <w:top w:val="none" w:sz="0" w:space="0" w:color="auto"/>
        <w:left w:val="none" w:sz="0" w:space="0" w:color="auto"/>
        <w:bottom w:val="none" w:sz="0" w:space="0" w:color="auto"/>
        <w:right w:val="none" w:sz="0" w:space="0" w:color="auto"/>
      </w:divBdr>
    </w:div>
    <w:div w:id="84307081">
      <w:bodyDiv w:val="1"/>
      <w:marLeft w:val="0"/>
      <w:marRight w:val="0"/>
      <w:marTop w:val="0"/>
      <w:marBottom w:val="0"/>
      <w:divBdr>
        <w:top w:val="none" w:sz="0" w:space="0" w:color="auto"/>
        <w:left w:val="none" w:sz="0" w:space="0" w:color="auto"/>
        <w:bottom w:val="none" w:sz="0" w:space="0" w:color="auto"/>
        <w:right w:val="none" w:sz="0" w:space="0" w:color="auto"/>
      </w:divBdr>
    </w:div>
    <w:div w:id="84503162">
      <w:bodyDiv w:val="1"/>
      <w:marLeft w:val="0"/>
      <w:marRight w:val="0"/>
      <w:marTop w:val="0"/>
      <w:marBottom w:val="0"/>
      <w:divBdr>
        <w:top w:val="none" w:sz="0" w:space="0" w:color="auto"/>
        <w:left w:val="none" w:sz="0" w:space="0" w:color="auto"/>
        <w:bottom w:val="none" w:sz="0" w:space="0" w:color="auto"/>
        <w:right w:val="none" w:sz="0" w:space="0" w:color="auto"/>
      </w:divBdr>
    </w:div>
    <w:div w:id="85227491">
      <w:bodyDiv w:val="1"/>
      <w:marLeft w:val="0"/>
      <w:marRight w:val="0"/>
      <w:marTop w:val="0"/>
      <w:marBottom w:val="0"/>
      <w:divBdr>
        <w:top w:val="none" w:sz="0" w:space="0" w:color="auto"/>
        <w:left w:val="none" w:sz="0" w:space="0" w:color="auto"/>
        <w:bottom w:val="none" w:sz="0" w:space="0" w:color="auto"/>
        <w:right w:val="none" w:sz="0" w:space="0" w:color="auto"/>
      </w:divBdr>
    </w:div>
    <w:div w:id="89354744">
      <w:bodyDiv w:val="1"/>
      <w:marLeft w:val="0"/>
      <w:marRight w:val="0"/>
      <w:marTop w:val="0"/>
      <w:marBottom w:val="0"/>
      <w:divBdr>
        <w:top w:val="none" w:sz="0" w:space="0" w:color="auto"/>
        <w:left w:val="none" w:sz="0" w:space="0" w:color="auto"/>
        <w:bottom w:val="none" w:sz="0" w:space="0" w:color="auto"/>
        <w:right w:val="none" w:sz="0" w:space="0" w:color="auto"/>
      </w:divBdr>
    </w:div>
    <w:div w:id="90198952">
      <w:bodyDiv w:val="1"/>
      <w:marLeft w:val="0"/>
      <w:marRight w:val="0"/>
      <w:marTop w:val="0"/>
      <w:marBottom w:val="0"/>
      <w:divBdr>
        <w:top w:val="none" w:sz="0" w:space="0" w:color="auto"/>
        <w:left w:val="none" w:sz="0" w:space="0" w:color="auto"/>
        <w:bottom w:val="none" w:sz="0" w:space="0" w:color="auto"/>
        <w:right w:val="none" w:sz="0" w:space="0" w:color="auto"/>
      </w:divBdr>
    </w:div>
    <w:div w:id="90706540">
      <w:bodyDiv w:val="1"/>
      <w:marLeft w:val="0"/>
      <w:marRight w:val="0"/>
      <w:marTop w:val="0"/>
      <w:marBottom w:val="0"/>
      <w:divBdr>
        <w:top w:val="none" w:sz="0" w:space="0" w:color="auto"/>
        <w:left w:val="none" w:sz="0" w:space="0" w:color="auto"/>
        <w:bottom w:val="none" w:sz="0" w:space="0" w:color="auto"/>
        <w:right w:val="none" w:sz="0" w:space="0" w:color="auto"/>
      </w:divBdr>
    </w:div>
    <w:div w:id="92556080">
      <w:bodyDiv w:val="1"/>
      <w:marLeft w:val="0"/>
      <w:marRight w:val="0"/>
      <w:marTop w:val="0"/>
      <w:marBottom w:val="0"/>
      <w:divBdr>
        <w:top w:val="none" w:sz="0" w:space="0" w:color="auto"/>
        <w:left w:val="none" w:sz="0" w:space="0" w:color="auto"/>
        <w:bottom w:val="none" w:sz="0" w:space="0" w:color="auto"/>
        <w:right w:val="none" w:sz="0" w:space="0" w:color="auto"/>
      </w:divBdr>
    </w:div>
    <w:div w:id="92602403">
      <w:bodyDiv w:val="1"/>
      <w:marLeft w:val="0"/>
      <w:marRight w:val="0"/>
      <w:marTop w:val="0"/>
      <w:marBottom w:val="0"/>
      <w:divBdr>
        <w:top w:val="none" w:sz="0" w:space="0" w:color="auto"/>
        <w:left w:val="none" w:sz="0" w:space="0" w:color="auto"/>
        <w:bottom w:val="none" w:sz="0" w:space="0" w:color="auto"/>
        <w:right w:val="none" w:sz="0" w:space="0" w:color="auto"/>
      </w:divBdr>
    </w:div>
    <w:div w:id="93861250">
      <w:bodyDiv w:val="1"/>
      <w:marLeft w:val="0"/>
      <w:marRight w:val="0"/>
      <w:marTop w:val="0"/>
      <w:marBottom w:val="0"/>
      <w:divBdr>
        <w:top w:val="none" w:sz="0" w:space="0" w:color="auto"/>
        <w:left w:val="none" w:sz="0" w:space="0" w:color="auto"/>
        <w:bottom w:val="none" w:sz="0" w:space="0" w:color="auto"/>
        <w:right w:val="none" w:sz="0" w:space="0" w:color="auto"/>
      </w:divBdr>
    </w:div>
    <w:div w:id="94133377">
      <w:bodyDiv w:val="1"/>
      <w:marLeft w:val="0"/>
      <w:marRight w:val="0"/>
      <w:marTop w:val="0"/>
      <w:marBottom w:val="0"/>
      <w:divBdr>
        <w:top w:val="none" w:sz="0" w:space="0" w:color="auto"/>
        <w:left w:val="none" w:sz="0" w:space="0" w:color="auto"/>
        <w:bottom w:val="none" w:sz="0" w:space="0" w:color="auto"/>
        <w:right w:val="none" w:sz="0" w:space="0" w:color="auto"/>
      </w:divBdr>
    </w:div>
    <w:div w:id="94326608">
      <w:bodyDiv w:val="1"/>
      <w:marLeft w:val="0"/>
      <w:marRight w:val="0"/>
      <w:marTop w:val="0"/>
      <w:marBottom w:val="0"/>
      <w:divBdr>
        <w:top w:val="none" w:sz="0" w:space="0" w:color="auto"/>
        <w:left w:val="none" w:sz="0" w:space="0" w:color="auto"/>
        <w:bottom w:val="none" w:sz="0" w:space="0" w:color="auto"/>
        <w:right w:val="none" w:sz="0" w:space="0" w:color="auto"/>
      </w:divBdr>
    </w:div>
    <w:div w:id="96222295">
      <w:bodyDiv w:val="1"/>
      <w:marLeft w:val="0"/>
      <w:marRight w:val="0"/>
      <w:marTop w:val="0"/>
      <w:marBottom w:val="0"/>
      <w:divBdr>
        <w:top w:val="none" w:sz="0" w:space="0" w:color="auto"/>
        <w:left w:val="none" w:sz="0" w:space="0" w:color="auto"/>
        <w:bottom w:val="none" w:sz="0" w:space="0" w:color="auto"/>
        <w:right w:val="none" w:sz="0" w:space="0" w:color="auto"/>
      </w:divBdr>
    </w:div>
    <w:div w:id="100146618">
      <w:bodyDiv w:val="1"/>
      <w:marLeft w:val="0"/>
      <w:marRight w:val="0"/>
      <w:marTop w:val="0"/>
      <w:marBottom w:val="0"/>
      <w:divBdr>
        <w:top w:val="none" w:sz="0" w:space="0" w:color="auto"/>
        <w:left w:val="none" w:sz="0" w:space="0" w:color="auto"/>
        <w:bottom w:val="none" w:sz="0" w:space="0" w:color="auto"/>
        <w:right w:val="none" w:sz="0" w:space="0" w:color="auto"/>
      </w:divBdr>
    </w:div>
    <w:div w:id="102120538">
      <w:bodyDiv w:val="1"/>
      <w:marLeft w:val="0"/>
      <w:marRight w:val="0"/>
      <w:marTop w:val="0"/>
      <w:marBottom w:val="0"/>
      <w:divBdr>
        <w:top w:val="none" w:sz="0" w:space="0" w:color="auto"/>
        <w:left w:val="none" w:sz="0" w:space="0" w:color="auto"/>
        <w:bottom w:val="none" w:sz="0" w:space="0" w:color="auto"/>
        <w:right w:val="none" w:sz="0" w:space="0" w:color="auto"/>
      </w:divBdr>
    </w:div>
    <w:div w:id="104083286">
      <w:bodyDiv w:val="1"/>
      <w:marLeft w:val="0"/>
      <w:marRight w:val="0"/>
      <w:marTop w:val="0"/>
      <w:marBottom w:val="0"/>
      <w:divBdr>
        <w:top w:val="none" w:sz="0" w:space="0" w:color="auto"/>
        <w:left w:val="none" w:sz="0" w:space="0" w:color="auto"/>
        <w:bottom w:val="none" w:sz="0" w:space="0" w:color="auto"/>
        <w:right w:val="none" w:sz="0" w:space="0" w:color="auto"/>
      </w:divBdr>
    </w:div>
    <w:div w:id="104159581">
      <w:bodyDiv w:val="1"/>
      <w:marLeft w:val="0"/>
      <w:marRight w:val="0"/>
      <w:marTop w:val="0"/>
      <w:marBottom w:val="0"/>
      <w:divBdr>
        <w:top w:val="none" w:sz="0" w:space="0" w:color="auto"/>
        <w:left w:val="none" w:sz="0" w:space="0" w:color="auto"/>
        <w:bottom w:val="none" w:sz="0" w:space="0" w:color="auto"/>
        <w:right w:val="none" w:sz="0" w:space="0" w:color="auto"/>
      </w:divBdr>
    </w:div>
    <w:div w:id="105543615">
      <w:bodyDiv w:val="1"/>
      <w:marLeft w:val="0"/>
      <w:marRight w:val="0"/>
      <w:marTop w:val="0"/>
      <w:marBottom w:val="0"/>
      <w:divBdr>
        <w:top w:val="none" w:sz="0" w:space="0" w:color="auto"/>
        <w:left w:val="none" w:sz="0" w:space="0" w:color="auto"/>
        <w:bottom w:val="none" w:sz="0" w:space="0" w:color="auto"/>
        <w:right w:val="none" w:sz="0" w:space="0" w:color="auto"/>
      </w:divBdr>
    </w:div>
    <w:div w:id="105586224">
      <w:bodyDiv w:val="1"/>
      <w:marLeft w:val="0"/>
      <w:marRight w:val="0"/>
      <w:marTop w:val="0"/>
      <w:marBottom w:val="0"/>
      <w:divBdr>
        <w:top w:val="none" w:sz="0" w:space="0" w:color="auto"/>
        <w:left w:val="none" w:sz="0" w:space="0" w:color="auto"/>
        <w:bottom w:val="none" w:sz="0" w:space="0" w:color="auto"/>
        <w:right w:val="none" w:sz="0" w:space="0" w:color="auto"/>
      </w:divBdr>
    </w:div>
    <w:div w:id="105588659">
      <w:bodyDiv w:val="1"/>
      <w:marLeft w:val="0"/>
      <w:marRight w:val="0"/>
      <w:marTop w:val="0"/>
      <w:marBottom w:val="0"/>
      <w:divBdr>
        <w:top w:val="none" w:sz="0" w:space="0" w:color="auto"/>
        <w:left w:val="none" w:sz="0" w:space="0" w:color="auto"/>
        <w:bottom w:val="none" w:sz="0" w:space="0" w:color="auto"/>
        <w:right w:val="none" w:sz="0" w:space="0" w:color="auto"/>
      </w:divBdr>
    </w:div>
    <w:div w:id="106972164">
      <w:bodyDiv w:val="1"/>
      <w:marLeft w:val="0"/>
      <w:marRight w:val="0"/>
      <w:marTop w:val="0"/>
      <w:marBottom w:val="0"/>
      <w:divBdr>
        <w:top w:val="none" w:sz="0" w:space="0" w:color="auto"/>
        <w:left w:val="none" w:sz="0" w:space="0" w:color="auto"/>
        <w:bottom w:val="none" w:sz="0" w:space="0" w:color="auto"/>
        <w:right w:val="none" w:sz="0" w:space="0" w:color="auto"/>
      </w:divBdr>
    </w:div>
    <w:div w:id="107966827">
      <w:bodyDiv w:val="1"/>
      <w:marLeft w:val="0"/>
      <w:marRight w:val="0"/>
      <w:marTop w:val="0"/>
      <w:marBottom w:val="0"/>
      <w:divBdr>
        <w:top w:val="none" w:sz="0" w:space="0" w:color="auto"/>
        <w:left w:val="none" w:sz="0" w:space="0" w:color="auto"/>
        <w:bottom w:val="none" w:sz="0" w:space="0" w:color="auto"/>
        <w:right w:val="none" w:sz="0" w:space="0" w:color="auto"/>
      </w:divBdr>
    </w:div>
    <w:div w:id="109016056">
      <w:bodyDiv w:val="1"/>
      <w:marLeft w:val="0"/>
      <w:marRight w:val="0"/>
      <w:marTop w:val="0"/>
      <w:marBottom w:val="0"/>
      <w:divBdr>
        <w:top w:val="none" w:sz="0" w:space="0" w:color="auto"/>
        <w:left w:val="none" w:sz="0" w:space="0" w:color="auto"/>
        <w:bottom w:val="none" w:sz="0" w:space="0" w:color="auto"/>
        <w:right w:val="none" w:sz="0" w:space="0" w:color="auto"/>
      </w:divBdr>
    </w:div>
    <w:div w:id="111436642">
      <w:bodyDiv w:val="1"/>
      <w:marLeft w:val="0"/>
      <w:marRight w:val="0"/>
      <w:marTop w:val="0"/>
      <w:marBottom w:val="0"/>
      <w:divBdr>
        <w:top w:val="none" w:sz="0" w:space="0" w:color="auto"/>
        <w:left w:val="none" w:sz="0" w:space="0" w:color="auto"/>
        <w:bottom w:val="none" w:sz="0" w:space="0" w:color="auto"/>
        <w:right w:val="none" w:sz="0" w:space="0" w:color="auto"/>
      </w:divBdr>
    </w:div>
    <w:div w:id="112943336">
      <w:bodyDiv w:val="1"/>
      <w:marLeft w:val="0"/>
      <w:marRight w:val="0"/>
      <w:marTop w:val="0"/>
      <w:marBottom w:val="0"/>
      <w:divBdr>
        <w:top w:val="none" w:sz="0" w:space="0" w:color="auto"/>
        <w:left w:val="none" w:sz="0" w:space="0" w:color="auto"/>
        <w:bottom w:val="none" w:sz="0" w:space="0" w:color="auto"/>
        <w:right w:val="none" w:sz="0" w:space="0" w:color="auto"/>
      </w:divBdr>
    </w:div>
    <w:div w:id="114951334">
      <w:bodyDiv w:val="1"/>
      <w:marLeft w:val="0"/>
      <w:marRight w:val="0"/>
      <w:marTop w:val="0"/>
      <w:marBottom w:val="0"/>
      <w:divBdr>
        <w:top w:val="none" w:sz="0" w:space="0" w:color="auto"/>
        <w:left w:val="none" w:sz="0" w:space="0" w:color="auto"/>
        <w:bottom w:val="none" w:sz="0" w:space="0" w:color="auto"/>
        <w:right w:val="none" w:sz="0" w:space="0" w:color="auto"/>
      </w:divBdr>
    </w:div>
    <w:div w:id="115608837">
      <w:bodyDiv w:val="1"/>
      <w:marLeft w:val="0"/>
      <w:marRight w:val="0"/>
      <w:marTop w:val="0"/>
      <w:marBottom w:val="0"/>
      <w:divBdr>
        <w:top w:val="none" w:sz="0" w:space="0" w:color="auto"/>
        <w:left w:val="none" w:sz="0" w:space="0" w:color="auto"/>
        <w:bottom w:val="none" w:sz="0" w:space="0" w:color="auto"/>
        <w:right w:val="none" w:sz="0" w:space="0" w:color="auto"/>
      </w:divBdr>
    </w:div>
    <w:div w:id="119032323">
      <w:bodyDiv w:val="1"/>
      <w:marLeft w:val="0"/>
      <w:marRight w:val="0"/>
      <w:marTop w:val="0"/>
      <w:marBottom w:val="0"/>
      <w:divBdr>
        <w:top w:val="none" w:sz="0" w:space="0" w:color="auto"/>
        <w:left w:val="none" w:sz="0" w:space="0" w:color="auto"/>
        <w:bottom w:val="none" w:sz="0" w:space="0" w:color="auto"/>
        <w:right w:val="none" w:sz="0" w:space="0" w:color="auto"/>
      </w:divBdr>
    </w:div>
    <w:div w:id="120539184">
      <w:bodyDiv w:val="1"/>
      <w:marLeft w:val="0"/>
      <w:marRight w:val="0"/>
      <w:marTop w:val="0"/>
      <w:marBottom w:val="0"/>
      <w:divBdr>
        <w:top w:val="none" w:sz="0" w:space="0" w:color="auto"/>
        <w:left w:val="none" w:sz="0" w:space="0" w:color="auto"/>
        <w:bottom w:val="none" w:sz="0" w:space="0" w:color="auto"/>
        <w:right w:val="none" w:sz="0" w:space="0" w:color="auto"/>
      </w:divBdr>
    </w:div>
    <w:div w:id="121198583">
      <w:bodyDiv w:val="1"/>
      <w:marLeft w:val="0"/>
      <w:marRight w:val="0"/>
      <w:marTop w:val="0"/>
      <w:marBottom w:val="0"/>
      <w:divBdr>
        <w:top w:val="none" w:sz="0" w:space="0" w:color="auto"/>
        <w:left w:val="none" w:sz="0" w:space="0" w:color="auto"/>
        <w:bottom w:val="none" w:sz="0" w:space="0" w:color="auto"/>
        <w:right w:val="none" w:sz="0" w:space="0" w:color="auto"/>
      </w:divBdr>
    </w:div>
    <w:div w:id="121652526">
      <w:bodyDiv w:val="1"/>
      <w:marLeft w:val="0"/>
      <w:marRight w:val="0"/>
      <w:marTop w:val="0"/>
      <w:marBottom w:val="0"/>
      <w:divBdr>
        <w:top w:val="none" w:sz="0" w:space="0" w:color="auto"/>
        <w:left w:val="none" w:sz="0" w:space="0" w:color="auto"/>
        <w:bottom w:val="none" w:sz="0" w:space="0" w:color="auto"/>
        <w:right w:val="none" w:sz="0" w:space="0" w:color="auto"/>
      </w:divBdr>
    </w:div>
    <w:div w:id="122618873">
      <w:bodyDiv w:val="1"/>
      <w:marLeft w:val="0"/>
      <w:marRight w:val="0"/>
      <w:marTop w:val="0"/>
      <w:marBottom w:val="0"/>
      <w:divBdr>
        <w:top w:val="none" w:sz="0" w:space="0" w:color="auto"/>
        <w:left w:val="none" w:sz="0" w:space="0" w:color="auto"/>
        <w:bottom w:val="none" w:sz="0" w:space="0" w:color="auto"/>
        <w:right w:val="none" w:sz="0" w:space="0" w:color="auto"/>
      </w:divBdr>
    </w:div>
    <w:div w:id="122619865">
      <w:bodyDiv w:val="1"/>
      <w:marLeft w:val="0"/>
      <w:marRight w:val="0"/>
      <w:marTop w:val="0"/>
      <w:marBottom w:val="0"/>
      <w:divBdr>
        <w:top w:val="none" w:sz="0" w:space="0" w:color="auto"/>
        <w:left w:val="none" w:sz="0" w:space="0" w:color="auto"/>
        <w:bottom w:val="none" w:sz="0" w:space="0" w:color="auto"/>
        <w:right w:val="none" w:sz="0" w:space="0" w:color="auto"/>
      </w:divBdr>
    </w:div>
    <w:div w:id="123280981">
      <w:bodyDiv w:val="1"/>
      <w:marLeft w:val="0"/>
      <w:marRight w:val="0"/>
      <w:marTop w:val="0"/>
      <w:marBottom w:val="0"/>
      <w:divBdr>
        <w:top w:val="none" w:sz="0" w:space="0" w:color="auto"/>
        <w:left w:val="none" w:sz="0" w:space="0" w:color="auto"/>
        <w:bottom w:val="none" w:sz="0" w:space="0" w:color="auto"/>
        <w:right w:val="none" w:sz="0" w:space="0" w:color="auto"/>
      </w:divBdr>
    </w:div>
    <w:div w:id="124782256">
      <w:bodyDiv w:val="1"/>
      <w:marLeft w:val="0"/>
      <w:marRight w:val="0"/>
      <w:marTop w:val="0"/>
      <w:marBottom w:val="0"/>
      <w:divBdr>
        <w:top w:val="none" w:sz="0" w:space="0" w:color="auto"/>
        <w:left w:val="none" w:sz="0" w:space="0" w:color="auto"/>
        <w:bottom w:val="none" w:sz="0" w:space="0" w:color="auto"/>
        <w:right w:val="none" w:sz="0" w:space="0" w:color="auto"/>
      </w:divBdr>
    </w:div>
    <w:div w:id="126557867">
      <w:bodyDiv w:val="1"/>
      <w:marLeft w:val="0"/>
      <w:marRight w:val="0"/>
      <w:marTop w:val="0"/>
      <w:marBottom w:val="0"/>
      <w:divBdr>
        <w:top w:val="none" w:sz="0" w:space="0" w:color="auto"/>
        <w:left w:val="none" w:sz="0" w:space="0" w:color="auto"/>
        <w:bottom w:val="none" w:sz="0" w:space="0" w:color="auto"/>
        <w:right w:val="none" w:sz="0" w:space="0" w:color="auto"/>
      </w:divBdr>
    </w:div>
    <w:div w:id="126582125">
      <w:bodyDiv w:val="1"/>
      <w:marLeft w:val="0"/>
      <w:marRight w:val="0"/>
      <w:marTop w:val="0"/>
      <w:marBottom w:val="0"/>
      <w:divBdr>
        <w:top w:val="none" w:sz="0" w:space="0" w:color="auto"/>
        <w:left w:val="none" w:sz="0" w:space="0" w:color="auto"/>
        <w:bottom w:val="none" w:sz="0" w:space="0" w:color="auto"/>
        <w:right w:val="none" w:sz="0" w:space="0" w:color="auto"/>
      </w:divBdr>
    </w:div>
    <w:div w:id="127939810">
      <w:bodyDiv w:val="1"/>
      <w:marLeft w:val="0"/>
      <w:marRight w:val="0"/>
      <w:marTop w:val="0"/>
      <w:marBottom w:val="0"/>
      <w:divBdr>
        <w:top w:val="none" w:sz="0" w:space="0" w:color="auto"/>
        <w:left w:val="none" w:sz="0" w:space="0" w:color="auto"/>
        <w:bottom w:val="none" w:sz="0" w:space="0" w:color="auto"/>
        <w:right w:val="none" w:sz="0" w:space="0" w:color="auto"/>
      </w:divBdr>
    </w:div>
    <w:div w:id="128018474">
      <w:bodyDiv w:val="1"/>
      <w:marLeft w:val="0"/>
      <w:marRight w:val="0"/>
      <w:marTop w:val="0"/>
      <w:marBottom w:val="0"/>
      <w:divBdr>
        <w:top w:val="none" w:sz="0" w:space="0" w:color="auto"/>
        <w:left w:val="none" w:sz="0" w:space="0" w:color="auto"/>
        <w:bottom w:val="none" w:sz="0" w:space="0" w:color="auto"/>
        <w:right w:val="none" w:sz="0" w:space="0" w:color="auto"/>
      </w:divBdr>
    </w:div>
    <w:div w:id="129829883">
      <w:bodyDiv w:val="1"/>
      <w:marLeft w:val="0"/>
      <w:marRight w:val="0"/>
      <w:marTop w:val="0"/>
      <w:marBottom w:val="0"/>
      <w:divBdr>
        <w:top w:val="none" w:sz="0" w:space="0" w:color="auto"/>
        <w:left w:val="none" w:sz="0" w:space="0" w:color="auto"/>
        <w:bottom w:val="none" w:sz="0" w:space="0" w:color="auto"/>
        <w:right w:val="none" w:sz="0" w:space="0" w:color="auto"/>
      </w:divBdr>
    </w:div>
    <w:div w:id="132672723">
      <w:bodyDiv w:val="1"/>
      <w:marLeft w:val="0"/>
      <w:marRight w:val="0"/>
      <w:marTop w:val="0"/>
      <w:marBottom w:val="0"/>
      <w:divBdr>
        <w:top w:val="none" w:sz="0" w:space="0" w:color="auto"/>
        <w:left w:val="none" w:sz="0" w:space="0" w:color="auto"/>
        <w:bottom w:val="none" w:sz="0" w:space="0" w:color="auto"/>
        <w:right w:val="none" w:sz="0" w:space="0" w:color="auto"/>
      </w:divBdr>
    </w:div>
    <w:div w:id="133914827">
      <w:bodyDiv w:val="1"/>
      <w:marLeft w:val="0"/>
      <w:marRight w:val="0"/>
      <w:marTop w:val="0"/>
      <w:marBottom w:val="0"/>
      <w:divBdr>
        <w:top w:val="none" w:sz="0" w:space="0" w:color="auto"/>
        <w:left w:val="none" w:sz="0" w:space="0" w:color="auto"/>
        <w:bottom w:val="none" w:sz="0" w:space="0" w:color="auto"/>
        <w:right w:val="none" w:sz="0" w:space="0" w:color="auto"/>
      </w:divBdr>
    </w:div>
    <w:div w:id="134031817">
      <w:bodyDiv w:val="1"/>
      <w:marLeft w:val="0"/>
      <w:marRight w:val="0"/>
      <w:marTop w:val="0"/>
      <w:marBottom w:val="0"/>
      <w:divBdr>
        <w:top w:val="none" w:sz="0" w:space="0" w:color="auto"/>
        <w:left w:val="none" w:sz="0" w:space="0" w:color="auto"/>
        <w:bottom w:val="none" w:sz="0" w:space="0" w:color="auto"/>
        <w:right w:val="none" w:sz="0" w:space="0" w:color="auto"/>
      </w:divBdr>
    </w:div>
    <w:div w:id="135882893">
      <w:bodyDiv w:val="1"/>
      <w:marLeft w:val="0"/>
      <w:marRight w:val="0"/>
      <w:marTop w:val="0"/>
      <w:marBottom w:val="0"/>
      <w:divBdr>
        <w:top w:val="none" w:sz="0" w:space="0" w:color="auto"/>
        <w:left w:val="none" w:sz="0" w:space="0" w:color="auto"/>
        <w:bottom w:val="none" w:sz="0" w:space="0" w:color="auto"/>
        <w:right w:val="none" w:sz="0" w:space="0" w:color="auto"/>
      </w:divBdr>
    </w:div>
    <w:div w:id="136263985">
      <w:bodyDiv w:val="1"/>
      <w:marLeft w:val="0"/>
      <w:marRight w:val="0"/>
      <w:marTop w:val="0"/>
      <w:marBottom w:val="0"/>
      <w:divBdr>
        <w:top w:val="none" w:sz="0" w:space="0" w:color="auto"/>
        <w:left w:val="none" w:sz="0" w:space="0" w:color="auto"/>
        <w:bottom w:val="none" w:sz="0" w:space="0" w:color="auto"/>
        <w:right w:val="none" w:sz="0" w:space="0" w:color="auto"/>
      </w:divBdr>
    </w:div>
    <w:div w:id="136264655">
      <w:bodyDiv w:val="1"/>
      <w:marLeft w:val="0"/>
      <w:marRight w:val="0"/>
      <w:marTop w:val="0"/>
      <w:marBottom w:val="0"/>
      <w:divBdr>
        <w:top w:val="none" w:sz="0" w:space="0" w:color="auto"/>
        <w:left w:val="none" w:sz="0" w:space="0" w:color="auto"/>
        <w:bottom w:val="none" w:sz="0" w:space="0" w:color="auto"/>
        <w:right w:val="none" w:sz="0" w:space="0" w:color="auto"/>
      </w:divBdr>
    </w:div>
    <w:div w:id="136844500">
      <w:bodyDiv w:val="1"/>
      <w:marLeft w:val="0"/>
      <w:marRight w:val="0"/>
      <w:marTop w:val="0"/>
      <w:marBottom w:val="0"/>
      <w:divBdr>
        <w:top w:val="none" w:sz="0" w:space="0" w:color="auto"/>
        <w:left w:val="none" w:sz="0" w:space="0" w:color="auto"/>
        <w:bottom w:val="none" w:sz="0" w:space="0" w:color="auto"/>
        <w:right w:val="none" w:sz="0" w:space="0" w:color="auto"/>
      </w:divBdr>
    </w:div>
    <w:div w:id="138497830">
      <w:bodyDiv w:val="1"/>
      <w:marLeft w:val="0"/>
      <w:marRight w:val="0"/>
      <w:marTop w:val="0"/>
      <w:marBottom w:val="0"/>
      <w:divBdr>
        <w:top w:val="none" w:sz="0" w:space="0" w:color="auto"/>
        <w:left w:val="none" w:sz="0" w:space="0" w:color="auto"/>
        <w:bottom w:val="none" w:sz="0" w:space="0" w:color="auto"/>
        <w:right w:val="none" w:sz="0" w:space="0" w:color="auto"/>
      </w:divBdr>
    </w:div>
    <w:div w:id="139153030">
      <w:bodyDiv w:val="1"/>
      <w:marLeft w:val="0"/>
      <w:marRight w:val="0"/>
      <w:marTop w:val="0"/>
      <w:marBottom w:val="0"/>
      <w:divBdr>
        <w:top w:val="none" w:sz="0" w:space="0" w:color="auto"/>
        <w:left w:val="none" w:sz="0" w:space="0" w:color="auto"/>
        <w:bottom w:val="none" w:sz="0" w:space="0" w:color="auto"/>
        <w:right w:val="none" w:sz="0" w:space="0" w:color="auto"/>
      </w:divBdr>
    </w:div>
    <w:div w:id="140198631">
      <w:bodyDiv w:val="1"/>
      <w:marLeft w:val="0"/>
      <w:marRight w:val="0"/>
      <w:marTop w:val="0"/>
      <w:marBottom w:val="0"/>
      <w:divBdr>
        <w:top w:val="none" w:sz="0" w:space="0" w:color="auto"/>
        <w:left w:val="none" w:sz="0" w:space="0" w:color="auto"/>
        <w:bottom w:val="none" w:sz="0" w:space="0" w:color="auto"/>
        <w:right w:val="none" w:sz="0" w:space="0" w:color="auto"/>
      </w:divBdr>
    </w:div>
    <w:div w:id="140463504">
      <w:bodyDiv w:val="1"/>
      <w:marLeft w:val="0"/>
      <w:marRight w:val="0"/>
      <w:marTop w:val="0"/>
      <w:marBottom w:val="0"/>
      <w:divBdr>
        <w:top w:val="none" w:sz="0" w:space="0" w:color="auto"/>
        <w:left w:val="none" w:sz="0" w:space="0" w:color="auto"/>
        <w:bottom w:val="none" w:sz="0" w:space="0" w:color="auto"/>
        <w:right w:val="none" w:sz="0" w:space="0" w:color="auto"/>
      </w:divBdr>
    </w:div>
    <w:div w:id="140579976">
      <w:bodyDiv w:val="1"/>
      <w:marLeft w:val="0"/>
      <w:marRight w:val="0"/>
      <w:marTop w:val="0"/>
      <w:marBottom w:val="0"/>
      <w:divBdr>
        <w:top w:val="none" w:sz="0" w:space="0" w:color="auto"/>
        <w:left w:val="none" w:sz="0" w:space="0" w:color="auto"/>
        <w:bottom w:val="none" w:sz="0" w:space="0" w:color="auto"/>
        <w:right w:val="none" w:sz="0" w:space="0" w:color="auto"/>
      </w:divBdr>
    </w:div>
    <w:div w:id="141580436">
      <w:bodyDiv w:val="1"/>
      <w:marLeft w:val="0"/>
      <w:marRight w:val="0"/>
      <w:marTop w:val="0"/>
      <w:marBottom w:val="0"/>
      <w:divBdr>
        <w:top w:val="none" w:sz="0" w:space="0" w:color="auto"/>
        <w:left w:val="none" w:sz="0" w:space="0" w:color="auto"/>
        <w:bottom w:val="none" w:sz="0" w:space="0" w:color="auto"/>
        <w:right w:val="none" w:sz="0" w:space="0" w:color="auto"/>
      </w:divBdr>
    </w:div>
    <w:div w:id="141654904">
      <w:bodyDiv w:val="1"/>
      <w:marLeft w:val="0"/>
      <w:marRight w:val="0"/>
      <w:marTop w:val="0"/>
      <w:marBottom w:val="0"/>
      <w:divBdr>
        <w:top w:val="none" w:sz="0" w:space="0" w:color="auto"/>
        <w:left w:val="none" w:sz="0" w:space="0" w:color="auto"/>
        <w:bottom w:val="none" w:sz="0" w:space="0" w:color="auto"/>
        <w:right w:val="none" w:sz="0" w:space="0" w:color="auto"/>
      </w:divBdr>
    </w:div>
    <w:div w:id="142086011">
      <w:bodyDiv w:val="1"/>
      <w:marLeft w:val="0"/>
      <w:marRight w:val="0"/>
      <w:marTop w:val="0"/>
      <w:marBottom w:val="0"/>
      <w:divBdr>
        <w:top w:val="none" w:sz="0" w:space="0" w:color="auto"/>
        <w:left w:val="none" w:sz="0" w:space="0" w:color="auto"/>
        <w:bottom w:val="none" w:sz="0" w:space="0" w:color="auto"/>
        <w:right w:val="none" w:sz="0" w:space="0" w:color="auto"/>
      </w:divBdr>
    </w:div>
    <w:div w:id="142503474">
      <w:bodyDiv w:val="1"/>
      <w:marLeft w:val="0"/>
      <w:marRight w:val="0"/>
      <w:marTop w:val="0"/>
      <w:marBottom w:val="0"/>
      <w:divBdr>
        <w:top w:val="none" w:sz="0" w:space="0" w:color="auto"/>
        <w:left w:val="none" w:sz="0" w:space="0" w:color="auto"/>
        <w:bottom w:val="none" w:sz="0" w:space="0" w:color="auto"/>
        <w:right w:val="none" w:sz="0" w:space="0" w:color="auto"/>
      </w:divBdr>
    </w:div>
    <w:div w:id="144515961">
      <w:bodyDiv w:val="1"/>
      <w:marLeft w:val="0"/>
      <w:marRight w:val="0"/>
      <w:marTop w:val="0"/>
      <w:marBottom w:val="0"/>
      <w:divBdr>
        <w:top w:val="none" w:sz="0" w:space="0" w:color="auto"/>
        <w:left w:val="none" w:sz="0" w:space="0" w:color="auto"/>
        <w:bottom w:val="none" w:sz="0" w:space="0" w:color="auto"/>
        <w:right w:val="none" w:sz="0" w:space="0" w:color="auto"/>
      </w:divBdr>
    </w:div>
    <w:div w:id="144670658">
      <w:bodyDiv w:val="1"/>
      <w:marLeft w:val="0"/>
      <w:marRight w:val="0"/>
      <w:marTop w:val="0"/>
      <w:marBottom w:val="0"/>
      <w:divBdr>
        <w:top w:val="none" w:sz="0" w:space="0" w:color="auto"/>
        <w:left w:val="none" w:sz="0" w:space="0" w:color="auto"/>
        <w:bottom w:val="none" w:sz="0" w:space="0" w:color="auto"/>
        <w:right w:val="none" w:sz="0" w:space="0" w:color="auto"/>
      </w:divBdr>
    </w:div>
    <w:div w:id="146167251">
      <w:bodyDiv w:val="1"/>
      <w:marLeft w:val="0"/>
      <w:marRight w:val="0"/>
      <w:marTop w:val="0"/>
      <w:marBottom w:val="0"/>
      <w:divBdr>
        <w:top w:val="none" w:sz="0" w:space="0" w:color="auto"/>
        <w:left w:val="none" w:sz="0" w:space="0" w:color="auto"/>
        <w:bottom w:val="none" w:sz="0" w:space="0" w:color="auto"/>
        <w:right w:val="none" w:sz="0" w:space="0" w:color="auto"/>
      </w:divBdr>
    </w:div>
    <w:div w:id="146171029">
      <w:bodyDiv w:val="1"/>
      <w:marLeft w:val="0"/>
      <w:marRight w:val="0"/>
      <w:marTop w:val="0"/>
      <w:marBottom w:val="0"/>
      <w:divBdr>
        <w:top w:val="none" w:sz="0" w:space="0" w:color="auto"/>
        <w:left w:val="none" w:sz="0" w:space="0" w:color="auto"/>
        <w:bottom w:val="none" w:sz="0" w:space="0" w:color="auto"/>
        <w:right w:val="none" w:sz="0" w:space="0" w:color="auto"/>
      </w:divBdr>
    </w:div>
    <w:div w:id="147790252">
      <w:bodyDiv w:val="1"/>
      <w:marLeft w:val="0"/>
      <w:marRight w:val="0"/>
      <w:marTop w:val="0"/>
      <w:marBottom w:val="0"/>
      <w:divBdr>
        <w:top w:val="none" w:sz="0" w:space="0" w:color="auto"/>
        <w:left w:val="none" w:sz="0" w:space="0" w:color="auto"/>
        <w:bottom w:val="none" w:sz="0" w:space="0" w:color="auto"/>
        <w:right w:val="none" w:sz="0" w:space="0" w:color="auto"/>
      </w:divBdr>
    </w:div>
    <w:div w:id="147980416">
      <w:bodyDiv w:val="1"/>
      <w:marLeft w:val="0"/>
      <w:marRight w:val="0"/>
      <w:marTop w:val="0"/>
      <w:marBottom w:val="0"/>
      <w:divBdr>
        <w:top w:val="none" w:sz="0" w:space="0" w:color="auto"/>
        <w:left w:val="none" w:sz="0" w:space="0" w:color="auto"/>
        <w:bottom w:val="none" w:sz="0" w:space="0" w:color="auto"/>
        <w:right w:val="none" w:sz="0" w:space="0" w:color="auto"/>
      </w:divBdr>
    </w:div>
    <w:div w:id="148712542">
      <w:bodyDiv w:val="1"/>
      <w:marLeft w:val="0"/>
      <w:marRight w:val="0"/>
      <w:marTop w:val="0"/>
      <w:marBottom w:val="0"/>
      <w:divBdr>
        <w:top w:val="none" w:sz="0" w:space="0" w:color="auto"/>
        <w:left w:val="none" w:sz="0" w:space="0" w:color="auto"/>
        <w:bottom w:val="none" w:sz="0" w:space="0" w:color="auto"/>
        <w:right w:val="none" w:sz="0" w:space="0" w:color="auto"/>
      </w:divBdr>
    </w:div>
    <w:div w:id="148984147">
      <w:bodyDiv w:val="1"/>
      <w:marLeft w:val="0"/>
      <w:marRight w:val="0"/>
      <w:marTop w:val="0"/>
      <w:marBottom w:val="0"/>
      <w:divBdr>
        <w:top w:val="none" w:sz="0" w:space="0" w:color="auto"/>
        <w:left w:val="none" w:sz="0" w:space="0" w:color="auto"/>
        <w:bottom w:val="none" w:sz="0" w:space="0" w:color="auto"/>
        <w:right w:val="none" w:sz="0" w:space="0" w:color="auto"/>
      </w:divBdr>
    </w:div>
    <w:div w:id="149642934">
      <w:bodyDiv w:val="1"/>
      <w:marLeft w:val="0"/>
      <w:marRight w:val="0"/>
      <w:marTop w:val="0"/>
      <w:marBottom w:val="0"/>
      <w:divBdr>
        <w:top w:val="none" w:sz="0" w:space="0" w:color="auto"/>
        <w:left w:val="none" w:sz="0" w:space="0" w:color="auto"/>
        <w:bottom w:val="none" w:sz="0" w:space="0" w:color="auto"/>
        <w:right w:val="none" w:sz="0" w:space="0" w:color="auto"/>
      </w:divBdr>
    </w:div>
    <w:div w:id="150606971">
      <w:bodyDiv w:val="1"/>
      <w:marLeft w:val="0"/>
      <w:marRight w:val="0"/>
      <w:marTop w:val="0"/>
      <w:marBottom w:val="0"/>
      <w:divBdr>
        <w:top w:val="none" w:sz="0" w:space="0" w:color="auto"/>
        <w:left w:val="none" w:sz="0" w:space="0" w:color="auto"/>
        <w:bottom w:val="none" w:sz="0" w:space="0" w:color="auto"/>
        <w:right w:val="none" w:sz="0" w:space="0" w:color="auto"/>
      </w:divBdr>
    </w:div>
    <w:div w:id="150800011">
      <w:bodyDiv w:val="1"/>
      <w:marLeft w:val="0"/>
      <w:marRight w:val="0"/>
      <w:marTop w:val="0"/>
      <w:marBottom w:val="0"/>
      <w:divBdr>
        <w:top w:val="none" w:sz="0" w:space="0" w:color="auto"/>
        <w:left w:val="none" w:sz="0" w:space="0" w:color="auto"/>
        <w:bottom w:val="none" w:sz="0" w:space="0" w:color="auto"/>
        <w:right w:val="none" w:sz="0" w:space="0" w:color="auto"/>
      </w:divBdr>
    </w:div>
    <w:div w:id="150872697">
      <w:bodyDiv w:val="1"/>
      <w:marLeft w:val="0"/>
      <w:marRight w:val="0"/>
      <w:marTop w:val="0"/>
      <w:marBottom w:val="0"/>
      <w:divBdr>
        <w:top w:val="none" w:sz="0" w:space="0" w:color="auto"/>
        <w:left w:val="none" w:sz="0" w:space="0" w:color="auto"/>
        <w:bottom w:val="none" w:sz="0" w:space="0" w:color="auto"/>
        <w:right w:val="none" w:sz="0" w:space="0" w:color="auto"/>
      </w:divBdr>
    </w:div>
    <w:div w:id="152796948">
      <w:bodyDiv w:val="1"/>
      <w:marLeft w:val="0"/>
      <w:marRight w:val="0"/>
      <w:marTop w:val="0"/>
      <w:marBottom w:val="0"/>
      <w:divBdr>
        <w:top w:val="none" w:sz="0" w:space="0" w:color="auto"/>
        <w:left w:val="none" w:sz="0" w:space="0" w:color="auto"/>
        <w:bottom w:val="none" w:sz="0" w:space="0" w:color="auto"/>
        <w:right w:val="none" w:sz="0" w:space="0" w:color="auto"/>
      </w:divBdr>
    </w:div>
    <w:div w:id="153229760">
      <w:bodyDiv w:val="1"/>
      <w:marLeft w:val="0"/>
      <w:marRight w:val="0"/>
      <w:marTop w:val="0"/>
      <w:marBottom w:val="0"/>
      <w:divBdr>
        <w:top w:val="none" w:sz="0" w:space="0" w:color="auto"/>
        <w:left w:val="none" w:sz="0" w:space="0" w:color="auto"/>
        <w:bottom w:val="none" w:sz="0" w:space="0" w:color="auto"/>
        <w:right w:val="none" w:sz="0" w:space="0" w:color="auto"/>
      </w:divBdr>
    </w:div>
    <w:div w:id="155149401">
      <w:bodyDiv w:val="1"/>
      <w:marLeft w:val="0"/>
      <w:marRight w:val="0"/>
      <w:marTop w:val="0"/>
      <w:marBottom w:val="0"/>
      <w:divBdr>
        <w:top w:val="none" w:sz="0" w:space="0" w:color="auto"/>
        <w:left w:val="none" w:sz="0" w:space="0" w:color="auto"/>
        <w:bottom w:val="none" w:sz="0" w:space="0" w:color="auto"/>
        <w:right w:val="none" w:sz="0" w:space="0" w:color="auto"/>
      </w:divBdr>
    </w:div>
    <w:div w:id="155192744">
      <w:bodyDiv w:val="1"/>
      <w:marLeft w:val="0"/>
      <w:marRight w:val="0"/>
      <w:marTop w:val="0"/>
      <w:marBottom w:val="0"/>
      <w:divBdr>
        <w:top w:val="none" w:sz="0" w:space="0" w:color="auto"/>
        <w:left w:val="none" w:sz="0" w:space="0" w:color="auto"/>
        <w:bottom w:val="none" w:sz="0" w:space="0" w:color="auto"/>
        <w:right w:val="none" w:sz="0" w:space="0" w:color="auto"/>
      </w:divBdr>
    </w:div>
    <w:div w:id="155730623">
      <w:bodyDiv w:val="1"/>
      <w:marLeft w:val="0"/>
      <w:marRight w:val="0"/>
      <w:marTop w:val="0"/>
      <w:marBottom w:val="0"/>
      <w:divBdr>
        <w:top w:val="none" w:sz="0" w:space="0" w:color="auto"/>
        <w:left w:val="none" w:sz="0" w:space="0" w:color="auto"/>
        <w:bottom w:val="none" w:sz="0" w:space="0" w:color="auto"/>
        <w:right w:val="none" w:sz="0" w:space="0" w:color="auto"/>
      </w:divBdr>
    </w:div>
    <w:div w:id="157383621">
      <w:bodyDiv w:val="1"/>
      <w:marLeft w:val="0"/>
      <w:marRight w:val="0"/>
      <w:marTop w:val="0"/>
      <w:marBottom w:val="0"/>
      <w:divBdr>
        <w:top w:val="none" w:sz="0" w:space="0" w:color="auto"/>
        <w:left w:val="none" w:sz="0" w:space="0" w:color="auto"/>
        <w:bottom w:val="none" w:sz="0" w:space="0" w:color="auto"/>
        <w:right w:val="none" w:sz="0" w:space="0" w:color="auto"/>
      </w:divBdr>
    </w:div>
    <w:div w:id="158810892">
      <w:bodyDiv w:val="1"/>
      <w:marLeft w:val="0"/>
      <w:marRight w:val="0"/>
      <w:marTop w:val="0"/>
      <w:marBottom w:val="0"/>
      <w:divBdr>
        <w:top w:val="none" w:sz="0" w:space="0" w:color="auto"/>
        <w:left w:val="none" w:sz="0" w:space="0" w:color="auto"/>
        <w:bottom w:val="none" w:sz="0" w:space="0" w:color="auto"/>
        <w:right w:val="none" w:sz="0" w:space="0" w:color="auto"/>
      </w:divBdr>
    </w:div>
    <w:div w:id="160194962">
      <w:bodyDiv w:val="1"/>
      <w:marLeft w:val="0"/>
      <w:marRight w:val="0"/>
      <w:marTop w:val="0"/>
      <w:marBottom w:val="0"/>
      <w:divBdr>
        <w:top w:val="none" w:sz="0" w:space="0" w:color="auto"/>
        <w:left w:val="none" w:sz="0" w:space="0" w:color="auto"/>
        <w:bottom w:val="none" w:sz="0" w:space="0" w:color="auto"/>
        <w:right w:val="none" w:sz="0" w:space="0" w:color="auto"/>
      </w:divBdr>
    </w:div>
    <w:div w:id="163513715">
      <w:bodyDiv w:val="1"/>
      <w:marLeft w:val="0"/>
      <w:marRight w:val="0"/>
      <w:marTop w:val="0"/>
      <w:marBottom w:val="0"/>
      <w:divBdr>
        <w:top w:val="none" w:sz="0" w:space="0" w:color="auto"/>
        <w:left w:val="none" w:sz="0" w:space="0" w:color="auto"/>
        <w:bottom w:val="none" w:sz="0" w:space="0" w:color="auto"/>
        <w:right w:val="none" w:sz="0" w:space="0" w:color="auto"/>
      </w:divBdr>
    </w:div>
    <w:div w:id="164326526">
      <w:bodyDiv w:val="1"/>
      <w:marLeft w:val="0"/>
      <w:marRight w:val="0"/>
      <w:marTop w:val="0"/>
      <w:marBottom w:val="0"/>
      <w:divBdr>
        <w:top w:val="none" w:sz="0" w:space="0" w:color="auto"/>
        <w:left w:val="none" w:sz="0" w:space="0" w:color="auto"/>
        <w:bottom w:val="none" w:sz="0" w:space="0" w:color="auto"/>
        <w:right w:val="none" w:sz="0" w:space="0" w:color="auto"/>
      </w:divBdr>
    </w:div>
    <w:div w:id="165287052">
      <w:bodyDiv w:val="1"/>
      <w:marLeft w:val="0"/>
      <w:marRight w:val="0"/>
      <w:marTop w:val="0"/>
      <w:marBottom w:val="0"/>
      <w:divBdr>
        <w:top w:val="none" w:sz="0" w:space="0" w:color="auto"/>
        <w:left w:val="none" w:sz="0" w:space="0" w:color="auto"/>
        <w:bottom w:val="none" w:sz="0" w:space="0" w:color="auto"/>
        <w:right w:val="none" w:sz="0" w:space="0" w:color="auto"/>
      </w:divBdr>
    </w:div>
    <w:div w:id="165554961">
      <w:bodyDiv w:val="1"/>
      <w:marLeft w:val="0"/>
      <w:marRight w:val="0"/>
      <w:marTop w:val="0"/>
      <w:marBottom w:val="0"/>
      <w:divBdr>
        <w:top w:val="none" w:sz="0" w:space="0" w:color="auto"/>
        <w:left w:val="none" w:sz="0" w:space="0" w:color="auto"/>
        <w:bottom w:val="none" w:sz="0" w:space="0" w:color="auto"/>
        <w:right w:val="none" w:sz="0" w:space="0" w:color="auto"/>
      </w:divBdr>
    </w:div>
    <w:div w:id="168375644">
      <w:bodyDiv w:val="1"/>
      <w:marLeft w:val="0"/>
      <w:marRight w:val="0"/>
      <w:marTop w:val="0"/>
      <w:marBottom w:val="0"/>
      <w:divBdr>
        <w:top w:val="none" w:sz="0" w:space="0" w:color="auto"/>
        <w:left w:val="none" w:sz="0" w:space="0" w:color="auto"/>
        <w:bottom w:val="none" w:sz="0" w:space="0" w:color="auto"/>
        <w:right w:val="none" w:sz="0" w:space="0" w:color="auto"/>
      </w:divBdr>
    </w:div>
    <w:div w:id="169177063">
      <w:bodyDiv w:val="1"/>
      <w:marLeft w:val="0"/>
      <w:marRight w:val="0"/>
      <w:marTop w:val="0"/>
      <w:marBottom w:val="0"/>
      <w:divBdr>
        <w:top w:val="none" w:sz="0" w:space="0" w:color="auto"/>
        <w:left w:val="none" w:sz="0" w:space="0" w:color="auto"/>
        <w:bottom w:val="none" w:sz="0" w:space="0" w:color="auto"/>
        <w:right w:val="none" w:sz="0" w:space="0" w:color="auto"/>
      </w:divBdr>
    </w:div>
    <w:div w:id="169180433">
      <w:bodyDiv w:val="1"/>
      <w:marLeft w:val="0"/>
      <w:marRight w:val="0"/>
      <w:marTop w:val="0"/>
      <w:marBottom w:val="0"/>
      <w:divBdr>
        <w:top w:val="none" w:sz="0" w:space="0" w:color="auto"/>
        <w:left w:val="none" w:sz="0" w:space="0" w:color="auto"/>
        <w:bottom w:val="none" w:sz="0" w:space="0" w:color="auto"/>
        <w:right w:val="none" w:sz="0" w:space="0" w:color="auto"/>
      </w:divBdr>
    </w:div>
    <w:div w:id="170027004">
      <w:bodyDiv w:val="1"/>
      <w:marLeft w:val="0"/>
      <w:marRight w:val="0"/>
      <w:marTop w:val="0"/>
      <w:marBottom w:val="0"/>
      <w:divBdr>
        <w:top w:val="none" w:sz="0" w:space="0" w:color="auto"/>
        <w:left w:val="none" w:sz="0" w:space="0" w:color="auto"/>
        <w:bottom w:val="none" w:sz="0" w:space="0" w:color="auto"/>
        <w:right w:val="none" w:sz="0" w:space="0" w:color="auto"/>
      </w:divBdr>
    </w:div>
    <w:div w:id="171579103">
      <w:bodyDiv w:val="1"/>
      <w:marLeft w:val="0"/>
      <w:marRight w:val="0"/>
      <w:marTop w:val="0"/>
      <w:marBottom w:val="0"/>
      <w:divBdr>
        <w:top w:val="none" w:sz="0" w:space="0" w:color="auto"/>
        <w:left w:val="none" w:sz="0" w:space="0" w:color="auto"/>
        <w:bottom w:val="none" w:sz="0" w:space="0" w:color="auto"/>
        <w:right w:val="none" w:sz="0" w:space="0" w:color="auto"/>
      </w:divBdr>
    </w:div>
    <w:div w:id="171846338">
      <w:bodyDiv w:val="1"/>
      <w:marLeft w:val="0"/>
      <w:marRight w:val="0"/>
      <w:marTop w:val="0"/>
      <w:marBottom w:val="0"/>
      <w:divBdr>
        <w:top w:val="none" w:sz="0" w:space="0" w:color="auto"/>
        <w:left w:val="none" w:sz="0" w:space="0" w:color="auto"/>
        <w:bottom w:val="none" w:sz="0" w:space="0" w:color="auto"/>
        <w:right w:val="none" w:sz="0" w:space="0" w:color="auto"/>
      </w:divBdr>
    </w:div>
    <w:div w:id="171997333">
      <w:bodyDiv w:val="1"/>
      <w:marLeft w:val="0"/>
      <w:marRight w:val="0"/>
      <w:marTop w:val="0"/>
      <w:marBottom w:val="0"/>
      <w:divBdr>
        <w:top w:val="none" w:sz="0" w:space="0" w:color="auto"/>
        <w:left w:val="none" w:sz="0" w:space="0" w:color="auto"/>
        <w:bottom w:val="none" w:sz="0" w:space="0" w:color="auto"/>
        <w:right w:val="none" w:sz="0" w:space="0" w:color="auto"/>
      </w:divBdr>
    </w:div>
    <w:div w:id="172190380">
      <w:bodyDiv w:val="1"/>
      <w:marLeft w:val="0"/>
      <w:marRight w:val="0"/>
      <w:marTop w:val="0"/>
      <w:marBottom w:val="0"/>
      <w:divBdr>
        <w:top w:val="none" w:sz="0" w:space="0" w:color="auto"/>
        <w:left w:val="none" w:sz="0" w:space="0" w:color="auto"/>
        <w:bottom w:val="none" w:sz="0" w:space="0" w:color="auto"/>
        <w:right w:val="none" w:sz="0" w:space="0" w:color="auto"/>
      </w:divBdr>
    </w:div>
    <w:div w:id="172651402">
      <w:bodyDiv w:val="1"/>
      <w:marLeft w:val="0"/>
      <w:marRight w:val="0"/>
      <w:marTop w:val="0"/>
      <w:marBottom w:val="0"/>
      <w:divBdr>
        <w:top w:val="none" w:sz="0" w:space="0" w:color="auto"/>
        <w:left w:val="none" w:sz="0" w:space="0" w:color="auto"/>
        <w:bottom w:val="none" w:sz="0" w:space="0" w:color="auto"/>
        <w:right w:val="none" w:sz="0" w:space="0" w:color="auto"/>
      </w:divBdr>
    </w:div>
    <w:div w:id="173306794">
      <w:bodyDiv w:val="1"/>
      <w:marLeft w:val="0"/>
      <w:marRight w:val="0"/>
      <w:marTop w:val="0"/>
      <w:marBottom w:val="0"/>
      <w:divBdr>
        <w:top w:val="none" w:sz="0" w:space="0" w:color="auto"/>
        <w:left w:val="none" w:sz="0" w:space="0" w:color="auto"/>
        <w:bottom w:val="none" w:sz="0" w:space="0" w:color="auto"/>
        <w:right w:val="none" w:sz="0" w:space="0" w:color="auto"/>
      </w:divBdr>
    </w:div>
    <w:div w:id="173885191">
      <w:bodyDiv w:val="1"/>
      <w:marLeft w:val="0"/>
      <w:marRight w:val="0"/>
      <w:marTop w:val="0"/>
      <w:marBottom w:val="0"/>
      <w:divBdr>
        <w:top w:val="none" w:sz="0" w:space="0" w:color="auto"/>
        <w:left w:val="none" w:sz="0" w:space="0" w:color="auto"/>
        <w:bottom w:val="none" w:sz="0" w:space="0" w:color="auto"/>
        <w:right w:val="none" w:sz="0" w:space="0" w:color="auto"/>
      </w:divBdr>
    </w:div>
    <w:div w:id="174002502">
      <w:bodyDiv w:val="1"/>
      <w:marLeft w:val="0"/>
      <w:marRight w:val="0"/>
      <w:marTop w:val="0"/>
      <w:marBottom w:val="0"/>
      <w:divBdr>
        <w:top w:val="none" w:sz="0" w:space="0" w:color="auto"/>
        <w:left w:val="none" w:sz="0" w:space="0" w:color="auto"/>
        <w:bottom w:val="none" w:sz="0" w:space="0" w:color="auto"/>
        <w:right w:val="none" w:sz="0" w:space="0" w:color="auto"/>
      </w:divBdr>
    </w:div>
    <w:div w:id="177739761">
      <w:bodyDiv w:val="1"/>
      <w:marLeft w:val="0"/>
      <w:marRight w:val="0"/>
      <w:marTop w:val="0"/>
      <w:marBottom w:val="0"/>
      <w:divBdr>
        <w:top w:val="none" w:sz="0" w:space="0" w:color="auto"/>
        <w:left w:val="none" w:sz="0" w:space="0" w:color="auto"/>
        <w:bottom w:val="none" w:sz="0" w:space="0" w:color="auto"/>
        <w:right w:val="none" w:sz="0" w:space="0" w:color="auto"/>
      </w:divBdr>
    </w:div>
    <w:div w:id="178740386">
      <w:bodyDiv w:val="1"/>
      <w:marLeft w:val="0"/>
      <w:marRight w:val="0"/>
      <w:marTop w:val="0"/>
      <w:marBottom w:val="0"/>
      <w:divBdr>
        <w:top w:val="none" w:sz="0" w:space="0" w:color="auto"/>
        <w:left w:val="none" w:sz="0" w:space="0" w:color="auto"/>
        <w:bottom w:val="none" w:sz="0" w:space="0" w:color="auto"/>
        <w:right w:val="none" w:sz="0" w:space="0" w:color="auto"/>
      </w:divBdr>
    </w:div>
    <w:div w:id="179320247">
      <w:bodyDiv w:val="1"/>
      <w:marLeft w:val="0"/>
      <w:marRight w:val="0"/>
      <w:marTop w:val="0"/>
      <w:marBottom w:val="0"/>
      <w:divBdr>
        <w:top w:val="none" w:sz="0" w:space="0" w:color="auto"/>
        <w:left w:val="none" w:sz="0" w:space="0" w:color="auto"/>
        <w:bottom w:val="none" w:sz="0" w:space="0" w:color="auto"/>
        <w:right w:val="none" w:sz="0" w:space="0" w:color="auto"/>
      </w:divBdr>
    </w:div>
    <w:div w:id="180436638">
      <w:bodyDiv w:val="1"/>
      <w:marLeft w:val="0"/>
      <w:marRight w:val="0"/>
      <w:marTop w:val="0"/>
      <w:marBottom w:val="0"/>
      <w:divBdr>
        <w:top w:val="none" w:sz="0" w:space="0" w:color="auto"/>
        <w:left w:val="none" w:sz="0" w:space="0" w:color="auto"/>
        <w:bottom w:val="none" w:sz="0" w:space="0" w:color="auto"/>
        <w:right w:val="none" w:sz="0" w:space="0" w:color="auto"/>
      </w:divBdr>
    </w:div>
    <w:div w:id="183327474">
      <w:bodyDiv w:val="1"/>
      <w:marLeft w:val="0"/>
      <w:marRight w:val="0"/>
      <w:marTop w:val="0"/>
      <w:marBottom w:val="0"/>
      <w:divBdr>
        <w:top w:val="none" w:sz="0" w:space="0" w:color="auto"/>
        <w:left w:val="none" w:sz="0" w:space="0" w:color="auto"/>
        <w:bottom w:val="none" w:sz="0" w:space="0" w:color="auto"/>
        <w:right w:val="none" w:sz="0" w:space="0" w:color="auto"/>
      </w:divBdr>
    </w:div>
    <w:div w:id="183904514">
      <w:bodyDiv w:val="1"/>
      <w:marLeft w:val="0"/>
      <w:marRight w:val="0"/>
      <w:marTop w:val="0"/>
      <w:marBottom w:val="0"/>
      <w:divBdr>
        <w:top w:val="none" w:sz="0" w:space="0" w:color="auto"/>
        <w:left w:val="none" w:sz="0" w:space="0" w:color="auto"/>
        <w:bottom w:val="none" w:sz="0" w:space="0" w:color="auto"/>
        <w:right w:val="none" w:sz="0" w:space="0" w:color="auto"/>
      </w:divBdr>
    </w:div>
    <w:div w:id="184948970">
      <w:bodyDiv w:val="1"/>
      <w:marLeft w:val="0"/>
      <w:marRight w:val="0"/>
      <w:marTop w:val="0"/>
      <w:marBottom w:val="0"/>
      <w:divBdr>
        <w:top w:val="none" w:sz="0" w:space="0" w:color="auto"/>
        <w:left w:val="none" w:sz="0" w:space="0" w:color="auto"/>
        <w:bottom w:val="none" w:sz="0" w:space="0" w:color="auto"/>
        <w:right w:val="none" w:sz="0" w:space="0" w:color="auto"/>
      </w:divBdr>
    </w:div>
    <w:div w:id="185758888">
      <w:bodyDiv w:val="1"/>
      <w:marLeft w:val="0"/>
      <w:marRight w:val="0"/>
      <w:marTop w:val="0"/>
      <w:marBottom w:val="0"/>
      <w:divBdr>
        <w:top w:val="none" w:sz="0" w:space="0" w:color="auto"/>
        <w:left w:val="none" w:sz="0" w:space="0" w:color="auto"/>
        <w:bottom w:val="none" w:sz="0" w:space="0" w:color="auto"/>
        <w:right w:val="none" w:sz="0" w:space="0" w:color="auto"/>
      </w:divBdr>
    </w:div>
    <w:div w:id="186600524">
      <w:bodyDiv w:val="1"/>
      <w:marLeft w:val="0"/>
      <w:marRight w:val="0"/>
      <w:marTop w:val="0"/>
      <w:marBottom w:val="0"/>
      <w:divBdr>
        <w:top w:val="none" w:sz="0" w:space="0" w:color="auto"/>
        <w:left w:val="none" w:sz="0" w:space="0" w:color="auto"/>
        <w:bottom w:val="none" w:sz="0" w:space="0" w:color="auto"/>
        <w:right w:val="none" w:sz="0" w:space="0" w:color="auto"/>
      </w:divBdr>
    </w:div>
    <w:div w:id="186993250">
      <w:bodyDiv w:val="1"/>
      <w:marLeft w:val="0"/>
      <w:marRight w:val="0"/>
      <w:marTop w:val="0"/>
      <w:marBottom w:val="0"/>
      <w:divBdr>
        <w:top w:val="none" w:sz="0" w:space="0" w:color="auto"/>
        <w:left w:val="none" w:sz="0" w:space="0" w:color="auto"/>
        <w:bottom w:val="none" w:sz="0" w:space="0" w:color="auto"/>
        <w:right w:val="none" w:sz="0" w:space="0" w:color="auto"/>
      </w:divBdr>
    </w:div>
    <w:div w:id="188690851">
      <w:bodyDiv w:val="1"/>
      <w:marLeft w:val="0"/>
      <w:marRight w:val="0"/>
      <w:marTop w:val="0"/>
      <w:marBottom w:val="0"/>
      <w:divBdr>
        <w:top w:val="none" w:sz="0" w:space="0" w:color="auto"/>
        <w:left w:val="none" w:sz="0" w:space="0" w:color="auto"/>
        <w:bottom w:val="none" w:sz="0" w:space="0" w:color="auto"/>
        <w:right w:val="none" w:sz="0" w:space="0" w:color="auto"/>
      </w:divBdr>
    </w:div>
    <w:div w:id="189923582">
      <w:bodyDiv w:val="1"/>
      <w:marLeft w:val="0"/>
      <w:marRight w:val="0"/>
      <w:marTop w:val="0"/>
      <w:marBottom w:val="0"/>
      <w:divBdr>
        <w:top w:val="none" w:sz="0" w:space="0" w:color="auto"/>
        <w:left w:val="none" w:sz="0" w:space="0" w:color="auto"/>
        <w:bottom w:val="none" w:sz="0" w:space="0" w:color="auto"/>
        <w:right w:val="none" w:sz="0" w:space="0" w:color="auto"/>
      </w:divBdr>
    </w:div>
    <w:div w:id="191234735">
      <w:bodyDiv w:val="1"/>
      <w:marLeft w:val="0"/>
      <w:marRight w:val="0"/>
      <w:marTop w:val="0"/>
      <w:marBottom w:val="0"/>
      <w:divBdr>
        <w:top w:val="none" w:sz="0" w:space="0" w:color="auto"/>
        <w:left w:val="none" w:sz="0" w:space="0" w:color="auto"/>
        <w:bottom w:val="none" w:sz="0" w:space="0" w:color="auto"/>
        <w:right w:val="none" w:sz="0" w:space="0" w:color="auto"/>
      </w:divBdr>
    </w:div>
    <w:div w:id="193081189">
      <w:bodyDiv w:val="1"/>
      <w:marLeft w:val="0"/>
      <w:marRight w:val="0"/>
      <w:marTop w:val="0"/>
      <w:marBottom w:val="0"/>
      <w:divBdr>
        <w:top w:val="none" w:sz="0" w:space="0" w:color="auto"/>
        <w:left w:val="none" w:sz="0" w:space="0" w:color="auto"/>
        <w:bottom w:val="none" w:sz="0" w:space="0" w:color="auto"/>
        <w:right w:val="none" w:sz="0" w:space="0" w:color="auto"/>
      </w:divBdr>
    </w:div>
    <w:div w:id="193081937">
      <w:bodyDiv w:val="1"/>
      <w:marLeft w:val="0"/>
      <w:marRight w:val="0"/>
      <w:marTop w:val="0"/>
      <w:marBottom w:val="0"/>
      <w:divBdr>
        <w:top w:val="none" w:sz="0" w:space="0" w:color="auto"/>
        <w:left w:val="none" w:sz="0" w:space="0" w:color="auto"/>
        <w:bottom w:val="none" w:sz="0" w:space="0" w:color="auto"/>
        <w:right w:val="none" w:sz="0" w:space="0" w:color="auto"/>
      </w:divBdr>
    </w:div>
    <w:div w:id="195243159">
      <w:bodyDiv w:val="1"/>
      <w:marLeft w:val="0"/>
      <w:marRight w:val="0"/>
      <w:marTop w:val="0"/>
      <w:marBottom w:val="0"/>
      <w:divBdr>
        <w:top w:val="none" w:sz="0" w:space="0" w:color="auto"/>
        <w:left w:val="none" w:sz="0" w:space="0" w:color="auto"/>
        <w:bottom w:val="none" w:sz="0" w:space="0" w:color="auto"/>
        <w:right w:val="none" w:sz="0" w:space="0" w:color="auto"/>
      </w:divBdr>
    </w:div>
    <w:div w:id="195580827">
      <w:bodyDiv w:val="1"/>
      <w:marLeft w:val="0"/>
      <w:marRight w:val="0"/>
      <w:marTop w:val="0"/>
      <w:marBottom w:val="0"/>
      <w:divBdr>
        <w:top w:val="none" w:sz="0" w:space="0" w:color="auto"/>
        <w:left w:val="none" w:sz="0" w:space="0" w:color="auto"/>
        <w:bottom w:val="none" w:sz="0" w:space="0" w:color="auto"/>
        <w:right w:val="none" w:sz="0" w:space="0" w:color="auto"/>
      </w:divBdr>
    </w:div>
    <w:div w:id="196089994">
      <w:bodyDiv w:val="1"/>
      <w:marLeft w:val="0"/>
      <w:marRight w:val="0"/>
      <w:marTop w:val="0"/>
      <w:marBottom w:val="0"/>
      <w:divBdr>
        <w:top w:val="none" w:sz="0" w:space="0" w:color="auto"/>
        <w:left w:val="none" w:sz="0" w:space="0" w:color="auto"/>
        <w:bottom w:val="none" w:sz="0" w:space="0" w:color="auto"/>
        <w:right w:val="none" w:sz="0" w:space="0" w:color="auto"/>
      </w:divBdr>
    </w:div>
    <w:div w:id="199829705">
      <w:bodyDiv w:val="1"/>
      <w:marLeft w:val="0"/>
      <w:marRight w:val="0"/>
      <w:marTop w:val="0"/>
      <w:marBottom w:val="0"/>
      <w:divBdr>
        <w:top w:val="none" w:sz="0" w:space="0" w:color="auto"/>
        <w:left w:val="none" w:sz="0" w:space="0" w:color="auto"/>
        <w:bottom w:val="none" w:sz="0" w:space="0" w:color="auto"/>
        <w:right w:val="none" w:sz="0" w:space="0" w:color="auto"/>
      </w:divBdr>
    </w:div>
    <w:div w:id="201402089">
      <w:bodyDiv w:val="1"/>
      <w:marLeft w:val="0"/>
      <w:marRight w:val="0"/>
      <w:marTop w:val="0"/>
      <w:marBottom w:val="0"/>
      <w:divBdr>
        <w:top w:val="none" w:sz="0" w:space="0" w:color="auto"/>
        <w:left w:val="none" w:sz="0" w:space="0" w:color="auto"/>
        <w:bottom w:val="none" w:sz="0" w:space="0" w:color="auto"/>
        <w:right w:val="none" w:sz="0" w:space="0" w:color="auto"/>
      </w:divBdr>
    </w:div>
    <w:div w:id="202640045">
      <w:bodyDiv w:val="1"/>
      <w:marLeft w:val="0"/>
      <w:marRight w:val="0"/>
      <w:marTop w:val="0"/>
      <w:marBottom w:val="0"/>
      <w:divBdr>
        <w:top w:val="none" w:sz="0" w:space="0" w:color="auto"/>
        <w:left w:val="none" w:sz="0" w:space="0" w:color="auto"/>
        <w:bottom w:val="none" w:sz="0" w:space="0" w:color="auto"/>
        <w:right w:val="none" w:sz="0" w:space="0" w:color="auto"/>
      </w:divBdr>
    </w:div>
    <w:div w:id="203447967">
      <w:bodyDiv w:val="1"/>
      <w:marLeft w:val="0"/>
      <w:marRight w:val="0"/>
      <w:marTop w:val="0"/>
      <w:marBottom w:val="0"/>
      <w:divBdr>
        <w:top w:val="none" w:sz="0" w:space="0" w:color="auto"/>
        <w:left w:val="none" w:sz="0" w:space="0" w:color="auto"/>
        <w:bottom w:val="none" w:sz="0" w:space="0" w:color="auto"/>
        <w:right w:val="none" w:sz="0" w:space="0" w:color="auto"/>
      </w:divBdr>
    </w:div>
    <w:div w:id="203949301">
      <w:bodyDiv w:val="1"/>
      <w:marLeft w:val="0"/>
      <w:marRight w:val="0"/>
      <w:marTop w:val="0"/>
      <w:marBottom w:val="0"/>
      <w:divBdr>
        <w:top w:val="none" w:sz="0" w:space="0" w:color="auto"/>
        <w:left w:val="none" w:sz="0" w:space="0" w:color="auto"/>
        <w:bottom w:val="none" w:sz="0" w:space="0" w:color="auto"/>
        <w:right w:val="none" w:sz="0" w:space="0" w:color="auto"/>
      </w:divBdr>
    </w:div>
    <w:div w:id="204370432">
      <w:bodyDiv w:val="1"/>
      <w:marLeft w:val="0"/>
      <w:marRight w:val="0"/>
      <w:marTop w:val="0"/>
      <w:marBottom w:val="0"/>
      <w:divBdr>
        <w:top w:val="none" w:sz="0" w:space="0" w:color="auto"/>
        <w:left w:val="none" w:sz="0" w:space="0" w:color="auto"/>
        <w:bottom w:val="none" w:sz="0" w:space="0" w:color="auto"/>
        <w:right w:val="none" w:sz="0" w:space="0" w:color="auto"/>
      </w:divBdr>
    </w:div>
    <w:div w:id="204566386">
      <w:bodyDiv w:val="1"/>
      <w:marLeft w:val="0"/>
      <w:marRight w:val="0"/>
      <w:marTop w:val="0"/>
      <w:marBottom w:val="0"/>
      <w:divBdr>
        <w:top w:val="none" w:sz="0" w:space="0" w:color="auto"/>
        <w:left w:val="none" w:sz="0" w:space="0" w:color="auto"/>
        <w:bottom w:val="none" w:sz="0" w:space="0" w:color="auto"/>
        <w:right w:val="none" w:sz="0" w:space="0" w:color="auto"/>
      </w:divBdr>
    </w:div>
    <w:div w:id="205653180">
      <w:bodyDiv w:val="1"/>
      <w:marLeft w:val="0"/>
      <w:marRight w:val="0"/>
      <w:marTop w:val="0"/>
      <w:marBottom w:val="0"/>
      <w:divBdr>
        <w:top w:val="none" w:sz="0" w:space="0" w:color="auto"/>
        <w:left w:val="none" w:sz="0" w:space="0" w:color="auto"/>
        <w:bottom w:val="none" w:sz="0" w:space="0" w:color="auto"/>
        <w:right w:val="none" w:sz="0" w:space="0" w:color="auto"/>
      </w:divBdr>
    </w:div>
    <w:div w:id="206571699">
      <w:bodyDiv w:val="1"/>
      <w:marLeft w:val="0"/>
      <w:marRight w:val="0"/>
      <w:marTop w:val="0"/>
      <w:marBottom w:val="0"/>
      <w:divBdr>
        <w:top w:val="none" w:sz="0" w:space="0" w:color="auto"/>
        <w:left w:val="none" w:sz="0" w:space="0" w:color="auto"/>
        <w:bottom w:val="none" w:sz="0" w:space="0" w:color="auto"/>
        <w:right w:val="none" w:sz="0" w:space="0" w:color="auto"/>
      </w:divBdr>
    </w:div>
    <w:div w:id="208345186">
      <w:bodyDiv w:val="1"/>
      <w:marLeft w:val="0"/>
      <w:marRight w:val="0"/>
      <w:marTop w:val="0"/>
      <w:marBottom w:val="0"/>
      <w:divBdr>
        <w:top w:val="none" w:sz="0" w:space="0" w:color="auto"/>
        <w:left w:val="none" w:sz="0" w:space="0" w:color="auto"/>
        <w:bottom w:val="none" w:sz="0" w:space="0" w:color="auto"/>
        <w:right w:val="none" w:sz="0" w:space="0" w:color="auto"/>
      </w:divBdr>
    </w:div>
    <w:div w:id="209847826">
      <w:bodyDiv w:val="1"/>
      <w:marLeft w:val="0"/>
      <w:marRight w:val="0"/>
      <w:marTop w:val="0"/>
      <w:marBottom w:val="0"/>
      <w:divBdr>
        <w:top w:val="none" w:sz="0" w:space="0" w:color="auto"/>
        <w:left w:val="none" w:sz="0" w:space="0" w:color="auto"/>
        <w:bottom w:val="none" w:sz="0" w:space="0" w:color="auto"/>
        <w:right w:val="none" w:sz="0" w:space="0" w:color="auto"/>
      </w:divBdr>
    </w:div>
    <w:div w:id="209851209">
      <w:bodyDiv w:val="1"/>
      <w:marLeft w:val="0"/>
      <w:marRight w:val="0"/>
      <w:marTop w:val="0"/>
      <w:marBottom w:val="0"/>
      <w:divBdr>
        <w:top w:val="none" w:sz="0" w:space="0" w:color="auto"/>
        <w:left w:val="none" w:sz="0" w:space="0" w:color="auto"/>
        <w:bottom w:val="none" w:sz="0" w:space="0" w:color="auto"/>
        <w:right w:val="none" w:sz="0" w:space="0" w:color="auto"/>
      </w:divBdr>
    </w:div>
    <w:div w:id="211582570">
      <w:bodyDiv w:val="1"/>
      <w:marLeft w:val="0"/>
      <w:marRight w:val="0"/>
      <w:marTop w:val="0"/>
      <w:marBottom w:val="0"/>
      <w:divBdr>
        <w:top w:val="none" w:sz="0" w:space="0" w:color="auto"/>
        <w:left w:val="none" w:sz="0" w:space="0" w:color="auto"/>
        <w:bottom w:val="none" w:sz="0" w:space="0" w:color="auto"/>
        <w:right w:val="none" w:sz="0" w:space="0" w:color="auto"/>
      </w:divBdr>
    </w:div>
    <w:div w:id="211617974">
      <w:bodyDiv w:val="1"/>
      <w:marLeft w:val="0"/>
      <w:marRight w:val="0"/>
      <w:marTop w:val="0"/>
      <w:marBottom w:val="0"/>
      <w:divBdr>
        <w:top w:val="none" w:sz="0" w:space="0" w:color="auto"/>
        <w:left w:val="none" w:sz="0" w:space="0" w:color="auto"/>
        <w:bottom w:val="none" w:sz="0" w:space="0" w:color="auto"/>
        <w:right w:val="none" w:sz="0" w:space="0" w:color="auto"/>
      </w:divBdr>
    </w:div>
    <w:div w:id="213585069">
      <w:bodyDiv w:val="1"/>
      <w:marLeft w:val="0"/>
      <w:marRight w:val="0"/>
      <w:marTop w:val="0"/>
      <w:marBottom w:val="0"/>
      <w:divBdr>
        <w:top w:val="none" w:sz="0" w:space="0" w:color="auto"/>
        <w:left w:val="none" w:sz="0" w:space="0" w:color="auto"/>
        <w:bottom w:val="none" w:sz="0" w:space="0" w:color="auto"/>
        <w:right w:val="none" w:sz="0" w:space="0" w:color="auto"/>
      </w:divBdr>
    </w:div>
    <w:div w:id="213810423">
      <w:bodyDiv w:val="1"/>
      <w:marLeft w:val="0"/>
      <w:marRight w:val="0"/>
      <w:marTop w:val="0"/>
      <w:marBottom w:val="0"/>
      <w:divBdr>
        <w:top w:val="none" w:sz="0" w:space="0" w:color="auto"/>
        <w:left w:val="none" w:sz="0" w:space="0" w:color="auto"/>
        <w:bottom w:val="none" w:sz="0" w:space="0" w:color="auto"/>
        <w:right w:val="none" w:sz="0" w:space="0" w:color="auto"/>
      </w:divBdr>
    </w:div>
    <w:div w:id="214509126">
      <w:bodyDiv w:val="1"/>
      <w:marLeft w:val="0"/>
      <w:marRight w:val="0"/>
      <w:marTop w:val="0"/>
      <w:marBottom w:val="0"/>
      <w:divBdr>
        <w:top w:val="none" w:sz="0" w:space="0" w:color="auto"/>
        <w:left w:val="none" w:sz="0" w:space="0" w:color="auto"/>
        <w:bottom w:val="none" w:sz="0" w:space="0" w:color="auto"/>
        <w:right w:val="none" w:sz="0" w:space="0" w:color="auto"/>
      </w:divBdr>
    </w:div>
    <w:div w:id="214705065">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18247930">
      <w:bodyDiv w:val="1"/>
      <w:marLeft w:val="0"/>
      <w:marRight w:val="0"/>
      <w:marTop w:val="0"/>
      <w:marBottom w:val="0"/>
      <w:divBdr>
        <w:top w:val="none" w:sz="0" w:space="0" w:color="auto"/>
        <w:left w:val="none" w:sz="0" w:space="0" w:color="auto"/>
        <w:bottom w:val="none" w:sz="0" w:space="0" w:color="auto"/>
        <w:right w:val="none" w:sz="0" w:space="0" w:color="auto"/>
      </w:divBdr>
    </w:div>
    <w:div w:id="221648035">
      <w:bodyDiv w:val="1"/>
      <w:marLeft w:val="0"/>
      <w:marRight w:val="0"/>
      <w:marTop w:val="0"/>
      <w:marBottom w:val="0"/>
      <w:divBdr>
        <w:top w:val="none" w:sz="0" w:space="0" w:color="auto"/>
        <w:left w:val="none" w:sz="0" w:space="0" w:color="auto"/>
        <w:bottom w:val="none" w:sz="0" w:space="0" w:color="auto"/>
        <w:right w:val="none" w:sz="0" w:space="0" w:color="auto"/>
      </w:divBdr>
    </w:div>
    <w:div w:id="221715974">
      <w:bodyDiv w:val="1"/>
      <w:marLeft w:val="0"/>
      <w:marRight w:val="0"/>
      <w:marTop w:val="0"/>
      <w:marBottom w:val="0"/>
      <w:divBdr>
        <w:top w:val="none" w:sz="0" w:space="0" w:color="auto"/>
        <w:left w:val="none" w:sz="0" w:space="0" w:color="auto"/>
        <w:bottom w:val="none" w:sz="0" w:space="0" w:color="auto"/>
        <w:right w:val="none" w:sz="0" w:space="0" w:color="auto"/>
      </w:divBdr>
    </w:div>
    <w:div w:id="222523289">
      <w:bodyDiv w:val="1"/>
      <w:marLeft w:val="0"/>
      <w:marRight w:val="0"/>
      <w:marTop w:val="0"/>
      <w:marBottom w:val="0"/>
      <w:divBdr>
        <w:top w:val="none" w:sz="0" w:space="0" w:color="auto"/>
        <w:left w:val="none" w:sz="0" w:space="0" w:color="auto"/>
        <w:bottom w:val="none" w:sz="0" w:space="0" w:color="auto"/>
        <w:right w:val="none" w:sz="0" w:space="0" w:color="auto"/>
      </w:divBdr>
    </w:div>
    <w:div w:id="225772206">
      <w:bodyDiv w:val="1"/>
      <w:marLeft w:val="0"/>
      <w:marRight w:val="0"/>
      <w:marTop w:val="0"/>
      <w:marBottom w:val="0"/>
      <w:divBdr>
        <w:top w:val="none" w:sz="0" w:space="0" w:color="auto"/>
        <w:left w:val="none" w:sz="0" w:space="0" w:color="auto"/>
        <w:bottom w:val="none" w:sz="0" w:space="0" w:color="auto"/>
        <w:right w:val="none" w:sz="0" w:space="0" w:color="auto"/>
      </w:divBdr>
    </w:div>
    <w:div w:id="226428362">
      <w:bodyDiv w:val="1"/>
      <w:marLeft w:val="0"/>
      <w:marRight w:val="0"/>
      <w:marTop w:val="0"/>
      <w:marBottom w:val="0"/>
      <w:divBdr>
        <w:top w:val="none" w:sz="0" w:space="0" w:color="auto"/>
        <w:left w:val="none" w:sz="0" w:space="0" w:color="auto"/>
        <w:bottom w:val="none" w:sz="0" w:space="0" w:color="auto"/>
        <w:right w:val="none" w:sz="0" w:space="0" w:color="auto"/>
      </w:divBdr>
    </w:div>
    <w:div w:id="229657904">
      <w:bodyDiv w:val="1"/>
      <w:marLeft w:val="0"/>
      <w:marRight w:val="0"/>
      <w:marTop w:val="0"/>
      <w:marBottom w:val="0"/>
      <w:divBdr>
        <w:top w:val="none" w:sz="0" w:space="0" w:color="auto"/>
        <w:left w:val="none" w:sz="0" w:space="0" w:color="auto"/>
        <w:bottom w:val="none" w:sz="0" w:space="0" w:color="auto"/>
        <w:right w:val="none" w:sz="0" w:space="0" w:color="auto"/>
      </w:divBdr>
    </w:div>
    <w:div w:id="230699916">
      <w:bodyDiv w:val="1"/>
      <w:marLeft w:val="0"/>
      <w:marRight w:val="0"/>
      <w:marTop w:val="0"/>
      <w:marBottom w:val="0"/>
      <w:divBdr>
        <w:top w:val="none" w:sz="0" w:space="0" w:color="auto"/>
        <w:left w:val="none" w:sz="0" w:space="0" w:color="auto"/>
        <w:bottom w:val="none" w:sz="0" w:space="0" w:color="auto"/>
        <w:right w:val="none" w:sz="0" w:space="0" w:color="auto"/>
      </w:divBdr>
    </w:div>
    <w:div w:id="231157242">
      <w:bodyDiv w:val="1"/>
      <w:marLeft w:val="0"/>
      <w:marRight w:val="0"/>
      <w:marTop w:val="0"/>
      <w:marBottom w:val="0"/>
      <w:divBdr>
        <w:top w:val="none" w:sz="0" w:space="0" w:color="auto"/>
        <w:left w:val="none" w:sz="0" w:space="0" w:color="auto"/>
        <w:bottom w:val="none" w:sz="0" w:space="0" w:color="auto"/>
        <w:right w:val="none" w:sz="0" w:space="0" w:color="auto"/>
      </w:divBdr>
    </w:div>
    <w:div w:id="232086968">
      <w:bodyDiv w:val="1"/>
      <w:marLeft w:val="0"/>
      <w:marRight w:val="0"/>
      <w:marTop w:val="0"/>
      <w:marBottom w:val="0"/>
      <w:divBdr>
        <w:top w:val="none" w:sz="0" w:space="0" w:color="auto"/>
        <w:left w:val="none" w:sz="0" w:space="0" w:color="auto"/>
        <w:bottom w:val="none" w:sz="0" w:space="0" w:color="auto"/>
        <w:right w:val="none" w:sz="0" w:space="0" w:color="auto"/>
      </w:divBdr>
    </w:div>
    <w:div w:id="232199614">
      <w:bodyDiv w:val="1"/>
      <w:marLeft w:val="0"/>
      <w:marRight w:val="0"/>
      <w:marTop w:val="0"/>
      <w:marBottom w:val="0"/>
      <w:divBdr>
        <w:top w:val="none" w:sz="0" w:space="0" w:color="auto"/>
        <w:left w:val="none" w:sz="0" w:space="0" w:color="auto"/>
        <w:bottom w:val="none" w:sz="0" w:space="0" w:color="auto"/>
        <w:right w:val="none" w:sz="0" w:space="0" w:color="auto"/>
      </w:divBdr>
    </w:div>
    <w:div w:id="232357508">
      <w:bodyDiv w:val="1"/>
      <w:marLeft w:val="0"/>
      <w:marRight w:val="0"/>
      <w:marTop w:val="0"/>
      <w:marBottom w:val="0"/>
      <w:divBdr>
        <w:top w:val="none" w:sz="0" w:space="0" w:color="auto"/>
        <w:left w:val="none" w:sz="0" w:space="0" w:color="auto"/>
        <w:bottom w:val="none" w:sz="0" w:space="0" w:color="auto"/>
        <w:right w:val="none" w:sz="0" w:space="0" w:color="auto"/>
      </w:divBdr>
    </w:div>
    <w:div w:id="232398568">
      <w:bodyDiv w:val="1"/>
      <w:marLeft w:val="0"/>
      <w:marRight w:val="0"/>
      <w:marTop w:val="0"/>
      <w:marBottom w:val="0"/>
      <w:divBdr>
        <w:top w:val="none" w:sz="0" w:space="0" w:color="auto"/>
        <w:left w:val="none" w:sz="0" w:space="0" w:color="auto"/>
        <w:bottom w:val="none" w:sz="0" w:space="0" w:color="auto"/>
        <w:right w:val="none" w:sz="0" w:space="0" w:color="auto"/>
      </w:divBdr>
    </w:div>
    <w:div w:id="232476581">
      <w:bodyDiv w:val="1"/>
      <w:marLeft w:val="0"/>
      <w:marRight w:val="0"/>
      <w:marTop w:val="0"/>
      <w:marBottom w:val="0"/>
      <w:divBdr>
        <w:top w:val="none" w:sz="0" w:space="0" w:color="auto"/>
        <w:left w:val="none" w:sz="0" w:space="0" w:color="auto"/>
        <w:bottom w:val="none" w:sz="0" w:space="0" w:color="auto"/>
        <w:right w:val="none" w:sz="0" w:space="0" w:color="auto"/>
      </w:divBdr>
    </w:div>
    <w:div w:id="234702941">
      <w:bodyDiv w:val="1"/>
      <w:marLeft w:val="0"/>
      <w:marRight w:val="0"/>
      <w:marTop w:val="0"/>
      <w:marBottom w:val="0"/>
      <w:divBdr>
        <w:top w:val="none" w:sz="0" w:space="0" w:color="auto"/>
        <w:left w:val="none" w:sz="0" w:space="0" w:color="auto"/>
        <w:bottom w:val="none" w:sz="0" w:space="0" w:color="auto"/>
        <w:right w:val="none" w:sz="0" w:space="0" w:color="auto"/>
      </w:divBdr>
    </w:div>
    <w:div w:id="234828722">
      <w:bodyDiv w:val="1"/>
      <w:marLeft w:val="0"/>
      <w:marRight w:val="0"/>
      <w:marTop w:val="0"/>
      <w:marBottom w:val="0"/>
      <w:divBdr>
        <w:top w:val="none" w:sz="0" w:space="0" w:color="auto"/>
        <w:left w:val="none" w:sz="0" w:space="0" w:color="auto"/>
        <w:bottom w:val="none" w:sz="0" w:space="0" w:color="auto"/>
        <w:right w:val="none" w:sz="0" w:space="0" w:color="auto"/>
      </w:divBdr>
    </w:div>
    <w:div w:id="235823426">
      <w:bodyDiv w:val="1"/>
      <w:marLeft w:val="0"/>
      <w:marRight w:val="0"/>
      <w:marTop w:val="0"/>
      <w:marBottom w:val="0"/>
      <w:divBdr>
        <w:top w:val="none" w:sz="0" w:space="0" w:color="auto"/>
        <w:left w:val="none" w:sz="0" w:space="0" w:color="auto"/>
        <w:bottom w:val="none" w:sz="0" w:space="0" w:color="auto"/>
        <w:right w:val="none" w:sz="0" w:space="0" w:color="auto"/>
      </w:divBdr>
    </w:div>
    <w:div w:id="238290067">
      <w:bodyDiv w:val="1"/>
      <w:marLeft w:val="0"/>
      <w:marRight w:val="0"/>
      <w:marTop w:val="0"/>
      <w:marBottom w:val="0"/>
      <w:divBdr>
        <w:top w:val="none" w:sz="0" w:space="0" w:color="auto"/>
        <w:left w:val="none" w:sz="0" w:space="0" w:color="auto"/>
        <w:bottom w:val="none" w:sz="0" w:space="0" w:color="auto"/>
        <w:right w:val="none" w:sz="0" w:space="0" w:color="auto"/>
      </w:divBdr>
    </w:div>
    <w:div w:id="238567070">
      <w:bodyDiv w:val="1"/>
      <w:marLeft w:val="0"/>
      <w:marRight w:val="0"/>
      <w:marTop w:val="0"/>
      <w:marBottom w:val="0"/>
      <w:divBdr>
        <w:top w:val="none" w:sz="0" w:space="0" w:color="auto"/>
        <w:left w:val="none" w:sz="0" w:space="0" w:color="auto"/>
        <w:bottom w:val="none" w:sz="0" w:space="0" w:color="auto"/>
        <w:right w:val="none" w:sz="0" w:space="0" w:color="auto"/>
      </w:divBdr>
    </w:div>
    <w:div w:id="240527764">
      <w:bodyDiv w:val="1"/>
      <w:marLeft w:val="0"/>
      <w:marRight w:val="0"/>
      <w:marTop w:val="0"/>
      <w:marBottom w:val="0"/>
      <w:divBdr>
        <w:top w:val="none" w:sz="0" w:space="0" w:color="auto"/>
        <w:left w:val="none" w:sz="0" w:space="0" w:color="auto"/>
        <w:bottom w:val="none" w:sz="0" w:space="0" w:color="auto"/>
        <w:right w:val="none" w:sz="0" w:space="0" w:color="auto"/>
      </w:divBdr>
    </w:div>
    <w:div w:id="240528138">
      <w:bodyDiv w:val="1"/>
      <w:marLeft w:val="0"/>
      <w:marRight w:val="0"/>
      <w:marTop w:val="0"/>
      <w:marBottom w:val="0"/>
      <w:divBdr>
        <w:top w:val="none" w:sz="0" w:space="0" w:color="auto"/>
        <w:left w:val="none" w:sz="0" w:space="0" w:color="auto"/>
        <w:bottom w:val="none" w:sz="0" w:space="0" w:color="auto"/>
        <w:right w:val="none" w:sz="0" w:space="0" w:color="auto"/>
      </w:divBdr>
    </w:div>
    <w:div w:id="241379183">
      <w:bodyDiv w:val="1"/>
      <w:marLeft w:val="0"/>
      <w:marRight w:val="0"/>
      <w:marTop w:val="0"/>
      <w:marBottom w:val="0"/>
      <w:divBdr>
        <w:top w:val="none" w:sz="0" w:space="0" w:color="auto"/>
        <w:left w:val="none" w:sz="0" w:space="0" w:color="auto"/>
        <w:bottom w:val="none" w:sz="0" w:space="0" w:color="auto"/>
        <w:right w:val="none" w:sz="0" w:space="0" w:color="auto"/>
      </w:divBdr>
    </w:div>
    <w:div w:id="243488637">
      <w:bodyDiv w:val="1"/>
      <w:marLeft w:val="0"/>
      <w:marRight w:val="0"/>
      <w:marTop w:val="0"/>
      <w:marBottom w:val="0"/>
      <w:divBdr>
        <w:top w:val="none" w:sz="0" w:space="0" w:color="auto"/>
        <w:left w:val="none" w:sz="0" w:space="0" w:color="auto"/>
        <w:bottom w:val="none" w:sz="0" w:space="0" w:color="auto"/>
        <w:right w:val="none" w:sz="0" w:space="0" w:color="auto"/>
      </w:divBdr>
    </w:div>
    <w:div w:id="244152826">
      <w:bodyDiv w:val="1"/>
      <w:marLeft w:val="0"/>
      <w:marRight w:val="0"/>
      <w:marTop w:val="0"/>
      <w:marBottom w:val="0"/>
      <w:divBdr>
        <w:top w:val="none" w:sz="0" w:space="0" w:color="auto"/>
        <w:left w:val="none" w:sz="0" w:space="0" w:color="auto"/>
        <w:bottom w:val="none" w:sz="0" w:space="0" w:color="auto"/>
        <w:right w:val="none" w:sz="0" w:space="0" w:color="auto"/>
      </w:divBdr>
    </w:div>
    <w:div w:id="244344651">
      <w:bodyDiv w:val="1"/>
      <w:marLeft w:val="0"/>
      <w:marRight w:val="0"/>
      <w:marTop w:val="0"/>
      <w:marBottom w:val="0"/>
      <w:divBdr>
        <w:top w:val="none" w:sz="0" w:space="0" w:color="auto"/>
        <w:left w:val="none" w:sz="0" w:space="0" w:color="auto"/>
        <w:bottom w:val="none" w:sz="0" w:space="0" w:color="auto"/>
        <w:right w:val="none" w:sz="0" w:space="0" w:color="auto"/>
      </w:divBdr>
    </w:div>
    <w:div w:id="247428303">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249119619">
      <w:bodyDiv w:val="1"/>
      <w:marLeft w:val="0"/>
      <w:marRight w:val="0"/>
      <w:marTop w:val="0"/>
      <w:marBottom w:val="0"/>
      <w:divBdr>
        <w:top w:val="none" w:sz="0" w:space="0" w:color="auto"/>
        <w:left w:val="none" w:sz="0" w:space="0" w:color="auto"/>
        <w:bottom w:val="none" w:sz="0" w:space="0" w:color="auto"/>
        <w:right w:val="none" w:sz="0" w:space="0" w:color="auto"/>
      </w:divBdr>
    </w:div>
    <w:div w:id="249581468">
      <w:bodyDiv w:val="1"/>
      <w:marLeft w:val="0"/>
      <w:marRight w:val="0"/>
      <w:marTop w:val="0"/>
      <w:marBottom w:val="0"/>
      <w:divBdr>
        <w:top w:val="none" w:sz="0" w:space="0" w:color="auto"/>
        <w:left w:val="none" w:sz="0" w:space="0" w:color="auto"/>
        <w:bottom w:val="none" w:sz="0" w:space="0" w:color="auto"/>
        <w:right w:val="none" w:sz="0" w:space="0" w:color="auto"/>
      </w:divBdr>
    </w:div>
    <w:div w:id="250244290">
      <w:bodyDiv w:val="1"/>
      <w:marLeft w:val="0"/>
      <w:marRight w:val="0"/>
      <w:marTop w:val="0"/>
      <w:marBottom w:val="0"/>
      <w:divBdr>
        <w:top w:val="none" w:sz="0" w:space="0" w:color="auto"/>
        <w:left w:val="none" w:sz="0" w:space="0" w:color="auto"/>
        <w:bottom w:val="none" w:sz="0" w:space="0" w:color="auto"/>
        <w:right w:val="none" w:sz="0" w:space="0" w:color="auto"/>
      </w:divBdr>
    </w:div>
    <w:div w:id="250359626">
      <w:bodyDiv w:val="1"/>
      <w:marLeft w:val="0"/>
      <w:marRight w:val="0"/>
      <w:marTop w:val="0"/>
      <w:marBottom w:val="0"/>
      <w:divBdr>
        <w:top w:val="none" w:sz="0" w:space="0" w:color="auto"/>
        <w:left w:val="none" w:sz="0" w:space="0" w:color="auto"/>
        <w:bottom w:val="none" w:sz="0" w:space="0" w:color="auto"/>
        <w:right w:val="none" w:sz="0" w:space="0" w:color="auto"/>
      </w:divBdr>
    </w:div>
    <w:div w:id="250548944">
      <w:bodyDiv w:val="1"/>
      <w:marLeft w:val="0"/>
      <w:marRight w:val="0"/>
      <w:marTop w:val="0"/>
      <w:marBottom w:val="0"/>
      <w:divBdr>
        <w:top w:val="none" w:sz="0" w:space="0" w:color="auto"/>
        <w:left w:val="none" w:sz="0" w:space="0" w:color="auto"/>
        <w:bottom w:val="none" w:sz="0" w:space="0" w:color="auto"/>
        <w:right w:val="none" w:sz="0" w:space="0" w:color="auto"/>
      </w:divBdr>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1010176">
      <w:bodyDiv w:val="1"/>
      <w:marLeft w:val="0"/>
      <w:marRight w:val="0"/>
      <w:marTop w:val="0"/>
      <w:marBottom w:val="0"/>
      <w:divBdr>
        <w:top w:val="none" w:sz="0" w:space="0" w:color="auto"/>
        <w:left w:val="none" w:sz="0" w:space="0" w:color="auto"/>
        <w:bottom w:val="none" w:sz="0" w:space="0" w:color="auto"/>
        <w:right w:val="none" w:sz="0" w:space="0" w:color="auto"/>
      </w:divBdr>
    </w:div>
    <w:div w:id="252012779">
      <w:bodyDiv w:val="1"/>
      <w:marLeft w:val="0"/>
      <w:marRight w:val="0"/>
      <w:marTop w:val="0"/>
      <w:marBottom w:val="0"/>
      <w:divBdr>
        <w:top w:val="none" w:sz="0" w:space="0" w:color="auto"/>
        <w:left w:val="none" w:sz="0" w:space="0" w:color="auto"/>
        <w:bottom w:val="none" w:sz="0" w:space="0" w:color="auto"/>
        <w:right w:val="none" w:sz="0" w:space="0" w:color="auto"/>
      </w:divBdr>
    </w:div>
    <w:div w:id="252594218">
      <w:bodyDiv w:val="1"/>
      <w:marLeft w:val="0"/>
      <w:marRight w:val="0"/>
      <w:marTop w:val="0"/>
      <w:marBottom w:val="0"/>
      <w:divBdr>
        <w:top w:val="none" w:sz="0" w:space="0" w:color="auto"/>
        <w:left w:val="none" w:sz="0" w:space="0" w:color="auto"/>
        <w:bottom w:val="none" w:sz="0" w:space="0" w:color="auto"/>
        <w:right w:val="none" w:sz="0" w:space="0" w:color="auto"/>
      </w:divBdr>
    </w:div>
    <w:div w:id="253056513">
      <w:bodyDiv w:val="1"/>
      <w:marLeft w:val="0"/>
      <w:marRight w:val="0"/>
      <w:marTop w:val="0"/>
      <w:marBottom w:val="0"/>
      <w:divBdr>
        <w:top w:val="none" w:sz="0" w:space="0" w:color="auto"/>
        <w:left w:val="none" w:sz="0" w:space="0" w:color="auto"/>
        <w:bottom w:val="none" w:sz="0" w:space="0" w:color="auto"/>
        <w:right w:val="none" w:sz="0" w:space="0" w:color="auto"/>
      </w:divBdr>
    </w:div>
    <w:div w:id="253591474">
      <w:bodyDiv w:val="1"/>
      <w:marLeft w:val="0"/>
      <w:marRight w:val="0"/>
      <w:marTop w:val="0"/>
      <w:marBottom w:val="0"/>
      <w:divBdr>
        <w:top w:val="none" w:sz="0" w:space="0" w:color="auto"/>
        <w:left w:val="none" w:sz="0" w:space="0" w:color="auto"/>
        <w:bottom w:val="none" w:sz="0" w:space="0" w:color="auto"/>
        <w:right w:val="none" w:sz="0" w:space="0" w:color="auto"/>
      </w:divBdr>
    </w:div>
    <w:div w:id="254099584">
      <w:bodyDiv w:val="1"/>
      <w:marLeft w:val="0"/>
      <w:marRight w:val="0"/>
      <w:marTop w:val="0"/>
      <w:marBottom w:val="0"/>
      <w:divBdr>
        <w:top w:val="none" w:sz="0" w:space="0" w:color="auto"/>
        <w:left w:val="none" w:sz="0" w:space="0" w:color="auto"/>
        <w:bottom w:val="none" w:sz="0" w:space="0" w:color="auto"/>
        <w:right w:val="none" w:sz="0" w:space="0" w:color="auto"/>
      </w:divBdr>
    </w:div>
    <w:div w:id="254170701">
      <w:bodyDiv w:val="1"/>
      <w:marLeft w:val="0"/>
      <w:marRight w:val="0"/>
      <w:marTop w:val="0"/>
      <w:marBottom w:val="0"/>
      <w:divBdr>
        <w:top w:val="none" w:sz="0" w:space="0" w:color="auto"/>
        <w:left w:val="none" w:sz="0" w:space="0" w:color="auto"/>
        <w:bottom w:val="none" w:sz="0" w:space="0" w:color="auto"/>
        <w:right w:val="none" w:sz="0" w:space="0" w:color="auto"/>
      </w:divBdr>
    </w:div>
    <w:div w:id="254483277">
      <w:bodyDiv w:val="1"/>
      <w:marLeft w:val="0"/>
      <w:marRight w:val="0"/>
      <w:marTop w:val="0"/>
      <w:marBottom w:val="0"/>
      <w:divBdr>
        <w:top w:val="none" w:sz="0" w:space="0" w:color="auto"/>
        <w:left w:val="none" w:sz="0" w:space="0" w:color="auto"/>
        <w:bottom w:val="none" w:sz="0" w:space="0" w:color="auto"/>
        <w:right w:val="none" w:sz="0" w:space="0" w:color="auto"/>
      </w:divBdr>
    </w:div>
    <w:div w:id="255555394">
      <w:bodyDiv w:val="1"/>
      <w:marLeft w:val="0"/>
      <w:marRight w:val="0"/>
      <w:marTop w:val="0"/>
      <w:marBottom w:val="0"/>
      <w:divBdr>
        <w:top w:val="none" w:sz="0" w:space="0" w:color="auto"/>
        <w:left w:val="none" w:sz="0" w:space="0" w:color="auto"/>
        <w:bottom w:val="none" w:sz="0" w:space="0" w:color="auto"/>
        <w:right w:val="none" w:sz="0" w:space="0" w:color="auto"/>
      </w:divBdr>
    </w:div>
    <w:div w:id="255870313">
      <w:bodyDiv w:val="1"/>
      <w:marLeft w:val="0"/>
      <w:marRight w:val="0"/>
      <w:marTop w:val="0"/>
      <w:marBottom w:val="0"/>
      <w:divBdr>
        <w:top w:val="none" w:sz="0" w:space="0" w:color="auto"/>
        <w:left w:val="none" w:sz="0" w:space="0" w:color="auto"/>
        <w:bottom w:val="none" w:sz="0" w:space="0" w:color="auto"/>
        <w:right w:val="none" w:sz="0" w:space="0" w:color="auto"/>
      </w:divBdr>
    </w:div>
    <w:div w:id="257104187">
      <w:bodyDiv w:val="1"/>
      <w:marLeft w:val="0"/>
      <w:marRight w:val="0"/>
      <w:marTop w:val="0"/>
      <w:marBottom w:val="0"/>
      <w:divBdr>
        <w:top w:val="none" w:sz="0" w:space="0" w:color="auto"/>
        <w:left w:val="none" w:sz="0" w:space="0" w:color="auto"/>
        <w:bottom w:val="none" w:sz="0" w:space="0" w:color="auto"/>
        <w:right w:val="none" w:sz="0" w:space="0" w:color="auto"/>
      </w:divBdr>
    </w:div>
    <w:div w:id="258687233">
      <w:bodyDiv w:val="1"/>
      <w:marLeft w:val="0"/>
      <w:marRight w:val="0"/>
      <w:marTop w:val="0"/>
      <w:marBottom w:val="0"/>
      <w:divBdr>
        <w:top w:val="none" w:sz="0" w:space="0" w:color="auto"/>
        <w:left w:val="none" w:sz="0" w:space="0" w:color="auto"/>
        <w:bottom w:val="none" w:sz="0" w:space="0" w:color="auto"/>
        <w:right w:val="none" w:sz="0" w:space="0" w:color="auto"/>
      </w:divBdr>
    </w:div>
    <w:div w:id="258880135">
      <w:bodyDiv w:val="1"/>
      <w:marLeft w:val="0"/>
      <w:marRight w:val="0"/>
      <w:marTop w:val="0"/>
      <w:marBottom w:val="0"/>
      <w:divBdr>
        <w:top w:val="none" w:sz="0" w:space="0" w:color="auto"/>
        <w:left w:val="none" w:sz="0" w:space="0" w:color="auto"/>
        <w:bottom w:val="none" w:sz="0" w:space="0" w:color="auto"/>
        <w:right w:val="none" w:sz="0" w:space="0" w:color="auto"/>
      </w:divBdr>
    </w:div>
    <w:div w:id="261306829">
      <w:bodyDiv w:val="1"/>
      <w:marLeft w:val="0"/>
      <w:marRight w:val="0"/>
      <w:marTop w:val="0"/>
      <w:marBottom w:val="0"/>
      <w:divBdr>
        <w:top w:val="none" w:sz="0" w:space="0" w:color="auto"/>
        <w:left w:val="none" w:sz="0" w:space="0" w:color="auto"/>
        <w:bottom w:val="none" w:sz="0" w:space="0" w:color="auto"/>
        <w:right w:val="none" w:sz="0" w:space="0" w:color="auto"/>
      </w:divBdr>
    </w:div>
    <w:div w:id="262227787">
      <w:bodyDiv w:val="1"/>
      <w:marLeft w:val="0"/>
      <w:marRight w:val="0"/>
      <w:marTop w:val="0"/>
      <w:marBottom w:val="0"/>
      <w:divBdr>
        <w:top w:val="none" w:sz="0" w:space="0" w:color="auto"/>
        <w:left w:val="none" w:sz="0" w:space="0" w:color="auto"/>
        <w:bottom w:val="none" w:sz="0" w:space="0" w:color="auto"/>
        <w:right w:val="none" w:sz="0" w:space="0" w:color="auto"/>
      </w:divBdr>
    </w:div>
    <w:div w:id="262347989">
      <w:bodyDiv w:val="1"/>
      <w:marLeft w:val="0"/>
      <w:marRight w:val="0"/>
      <w:marTop w:val="0"/>
      <w:marBottom w:val="0"/>
      <w:divBdr>
        <w:top w:val="none" w:sz="0" w:space="0" w:color="auto"/>
        <w:left w:val="none" w:sz="0" w:space="0" w:color="auto"/>
        <w:bottom w:val="none" w:sz="0" w:space="0" w:color="auto"/>
        <w:right w:val="none" w:sz="0" w:space="0" w:color="auto"/>
      </w:divBdr>
    </w:div>
    <w:div w:id="263003896">
      <w:bodyDiv w:val="1"/>
      <w:marLeft w:val="0"/>
      <w:marRight w:val="0"/>
      <w:marTop w:val="0"/>
      <w:marBottom w:val="0"/>
      <w:divBdr>
        <w:top w:val="none" w:sz="0" w:space="0" w:color="auto"/>
        <w:left w:val="none" w:sz="0" w:space="0" w:color="auto"/>
        <w:bottom w:val="none" w:sz="0" w:space="0" w:color="auto"/>
        <w:right w:val="none" w:sz="0" w:space="0" w:color="auto"/>
      </w:divBdr>
    </w:div>
    <w:div w:id="263274241">
      <w:bodyDiv w:val="1"/>
      <w:marLeft w:val="0"/>
      <w:marRight w:val="0"/>
      <w:marTop w:val="0"/>
      <w:marBottom w:val="0"/>
      <w:divBdr>
        <w:top w:val="none" w:sz="0" w:space="0" w:color="auto"/>
        <w:left w:val="none" w:sz="0" w:space="0" w:color="auto"/>
        <w:bottom w:val="none" w:sz="0" w:space="0" w:color="auto"/>
        <w:right w:val="none" w:sz="0" w:space="0" w:color="auto"/>
      </w:divBdr>
    </w:div>
    <w:div w:id="264190368">
      <w:bodyDiv w:val="1"/>
      <w:marLeft w:val="0"/>
      <w:marRight w:val="0"/>
      <w:marTop w:val="0"/>
      <w:marBottom w:val="0"/>
      <w:divBdr>
        <w:top w:val="none" w:sz="0" w:space="0" w:color="auto"/>
        <w:left w:val="none" w:sz="0" w:space="0" w:color="auto"/>
        <w:bottom w:val="none" w:sz="0" w:space="0" w:color="auto"/>
        <w:right w:val="none" w:sz="0" w:space="0" w:color="auto"/>
      </w:divBdr>
    </w:div>
    <w:div w:id="264314767">
      <w:bodyDiv w:val="1"/>
      <w:marLeft w:val="0"/>
      <w:marRight w:val="0"/>
      <w:marTop w:val="0"/>
      <w:marBottom w:val="0"/>
      <w:divBdr>
        <w:top w:val="none" w:sz="0" w:space="0" w:color="auto"/>
        <w:left w:val="none" w:sz="0" w:space="0" w:color="auto"/>
        <w:bottom w:val="none" w:sz="0" w:space="0" w:color="auto"/>
        <w:right w:val="none" w:sz="0" w:space="0" w:color="auto"/>
      </w:divBdr>
    </w:div>
    <w:div w:id="265773032">
      <w:bodyDiv w:val="1"/>
      <w:marLeft w:val="0"/>
      <w:marRight w:val="0"/>
      <w:marTop w:val="0"/>
      <w:marBottom w:val="0"/>
      <w:divBdr>
        <w:top w:val="none" w:sz="0" w:space="0" w:color="auto"/>
        <w:left w:val="none" w:sz="0" w:space="0" w:color="auto"/>
        <w:bottom w:val="none" w:sz="0" w:space="0" w:color="auto"/>
        <w:right w:val="none" w:sz="0" w:space="0" w:color="auto"/>
      </w:divBdr>
    </w:div>
    <w:div w:id="267205607">
      <w:bodyDiv w:val="1"/>
      <w:marLeft w:val="0"/>
      <w:marRight w:val="0"/>
      <w:marTop w:val="0"/>
      <w:marBottom w:val="0"/>
      <w:divBdr>
        <w:top w:val="none" w:sz="0" w:space="0" w:color="auto"/>
        <w:left w:val="none" w:sz="0" w:space="0" w:color="auto"/>
        <w:bottom w:val="none" w:sz="0" w:space="0" w:color="auto"/>
        <w:right w:val="none" w:sz="0" w:space="0" w:color="auto"/>
      </w:divBdr>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7467698">
      <w:bodyDiv w:val="1"/>
      <w:marLeft w:val="0"/>
      <w:marRight w:val="0"/>
      <w:marTop w:val="0"/>
      <w:marBottom w:val="0"/>
      <w:divBdr>
        <w:top w:val="none" w:sz="0" w:space="0" w:color="auto"/>
        <w:left w:val="none" w:sz="0" w:space="0" w:color="auto"/>
        <w:bottom w:val="none" w:sz="0" w:space="0" w:color="auto"/>
        <w:right w:val="none" w:sz="0" w:space="0" w:color="auto"/>
      </w:divBdr>
    </w:div>
    <w:div w:id="267469747">
      <w:bodyDiv w:val="1"/>
      <w:marLeft w:val="0"/>
      <w:marRight w:val="0"/>
      <w:marTop w:val="0"/>
      <w:marBottom w:val="0"/>
      <w:divBdr>
        <w:top w:val="none" w:sz="0" w:space="0" w:color="auto"/>
        <w:left w:val="none" w:sz="0" w:space="0" w:color="auto"/>
        <w:bottom w:val="none" w:sz="0" w:space="0" w:color="auto"/>
        <w:right w:val="none" w:sz="0" w:space="0" w:color="auto"/>
      </w:divBdr>
    </w:div>
    <w:div w:id="268436662">
      <w:bodyDiv w:val="1"/>
      <w:marLeft w:val="0"/>
      <w:marRight w:val="0"/>
      <w:marTop w:val="0"/>
      <w:marBottom w:val="0"/>
      <w:divBdr>
        <w:top w:val="none" w:sz="0" w:space="0" w:color="auto"/>
        <w:left w:val="none" w:sz="0" w:space="0" w:color="auto"/>
        <w:bottom w:val="none" w:sz="0" w:space="0" w:color="auto"/>
        <w:right w:val="none" w:sz="0" w:space="0" w:color="auto"/>
      </w:divBdr>
    </w:div>
    <w:div w:id="269554016">
      <w:bodyDiv w:val="1"/>
      <w:marLeft w:val="0"/>
      <w:marRight w:val="0"/>
      <w:marTop w:val="0"/>
      <w:marBottom w:val="0"/>
      <w:divBdr>
        <w:top w:val="none" w:sz="0" w:space="0" w:color="auto"/>
        <w:left w:val="none" w:sz="0" w:space="0" w:color="auto"/>
        <w:bottom w:val="none" w:sz="0" w:space="0" w:color="auto"/>
        <w:right w:val="none" w:sz="0" w:space="0" w:color="auto"/>
      </w:divBdr>
    </w:div>
    <w:div w:id="270479413">
      <w:bodyDiv w:val="1"/>
      <w:marLeft w:val="0"/>
      <w:marRight w:val="0"/>
      <w:marTop w:val="0"/>
      <w:marBottom w:val="0"/>
      <w:divBdr>
        <w:top w:val="none" w:sz="0" w:space="0" w:color="auto"/>
        <w:left w:val="none" w:sz="0" w:space="0" w:color="auto"/>
        <w:bottom w:val="none" w:sz="0" w:space="0" w:color="auto"/>
        <w:right w:val="none" w:sz="0" w:space="0" w:color="auto"/>
      </w:divBdr>
    </w:div>
    <w:div w:id="271400541">
      <w:bodyDiv w:val="1"/>
      <w:marLeft w:val="0"/>
      <w:marRight w:val="0"/>
      <w:marTop w:val="0"/>
      <w:marBottom w:val="0"/>
      <w:divBdr>
        <w:top w:val="none" w:sz="0" w:space="0" w:color="auto"/>
        <w:left w:val="none" w:sz="0" w:space="0" w:color="auto"/>
        <w:bottom w:val="none" w:sz="0" w:space="0" w:color="auto"/>
        <w:right w:val="none" w:sz="0" w:space="0" w:color="auto"/>
      </w:divBdr>
    </w:div>
    <w:div w:id="274405076">
      <w:bodyDiv w:val="1"/>
      <w:marLeft w:val="0"/>
      <w:marRight w:val="0"/>
      <w:marTop w:val="0"/>
      <w:marBottom w:val="0"/>
      <w:divBdr>
        <w:top w:val="none" w:sz="0" w:space="0" w:color="auto"/>
        <w:left w:val="none" w:sz="0" w:space="0" w:color="auto"/>
        <w:bottom w:val="none" w:sz="0" w:space="0" w:color="auto"/>
        <w:right w:val="none" w:sz="0" w:space="0" w:color="auto"/>
      </w:divBdr>
    </w:div>
    <w:div w:id="278144248">
      <w:bodyDiv w:val="1"/>
      <w:marLeft w:val="0"/>
      <w:marRight w:val="0"/>
      <w:marTop w:val="0"/>
      <w:marBottom w:val="0"/>
      <w:divBdr>
        <w:top w:val="none" w:sz="0" w:space="0" w:color="auto"/>
        <w:left w:val="none" w:sz="0" w:space="0" w:color="auto"/>
        <w:bottom w:val="none" w:sz="0" w:space="0" w:color="auto"/>
        <w:right w:val="none" w:sz="0" w:space="0" w:color="auto"/>
      </w:divBdr>
    </w:div>
    <w:div w:id="280961374">
      <w:bodyDiv w:val="1"/>
      <w:marLeft w:val="0"/>
      <w:marRight w:val="0"/>
      <w:marTop w:val="0"/>
      <w:marBottom w:val="0"/>
      <w:divBdr>
        <w:top w:val="none" w:sz="0" w:space="0" w:color="auto"/>
        <w:left w:val="none" w:sz="0" w:space="0" w:color="auto"/>
        <w:bottom w:val="none" w:sz="0" w:space="0" w:color="auto"/>
        <w:right w:val="none" w:sz="0" w:space="0" w:color="auto"/>
      </w:divBdr>
    </w:div>
    <w:div w:id="281767140">
      <w:bodyDiv w:val="1"/>
      <w:marLeft w:val="0"/>
      <w:marRight w:val="0"/>
      <w:marTop w:val="0"/>
      <w:marBottom w:val="0"/>
      <w:divBdr>
        <w:top w:val="none" w:sz="0" w:space="0" w:color="auto"/>
        <w:left w:val="none" w:sz="0" w:space="0" w:color="auto"/>
        <w:bottom w:val="none" w:sz="0" w:space="0" w:color="auto"/>
        <w:right w:val="none" w:sz="0" w:space="0" w:color="auto"/>
      </w:divBdr>
    </w:div>
    <w:div w:id="282228160">
      <w:bodyDiv w:val="1"/>
      <w:marLeft w:val="0"/>
      <w:marRight w:val="0"/>
      <w:marTop w:val="0"/>
      <w:marBottom w:val="0"/>
      <w:divBdr>
        <w:top w:val="none" w:sz="0" w:space="0" w:color="auto"/>
        <w:left w:val="none" w:sz="0" w:space="0" w:color="auto"/>
        <w:bottom w:val="none" w:sz="0" w:space="0" w:color="auto"/>
        <w:right w:val="none" w:sz="0" w:space="0" w:color="auto"/>
      </w:divBdr>
    </w:div>
    <w:div w:id="283578019">
      <w:bodyDiv w:val="1"/>
      <w:marLeft w:val="0"/>
      <w:marRight w:val="0"/>
      <w:marTop w:val="0"/>
      <w:marBottom w:val="0"/>
      <w:divBdr>
        <w:top w:val="none" w:sz="0" w:space="0" w:color="auto"/>
        <w:left w:val="none" w:sz="0" w:space="0" w:color="auto"/>
        <w:bottom w:val="none" w:sz="0" w:space="0" w:color="auto"/>
        <w:right w:val="none" w:sz="0" w:space="0" w:color="auto"/>
      </w:divBdr>
    </w:div>
    <w:div w:id="284969280">
      <w:bodyDiv w:val="1"/>
      <w:marLeft w:val="0"/>
      <w:marRight w:val="0"/>
      <w:marTop w:val="0"/>
      <w:marBottom w:val="0"/>
      <w:divBdr>
        <w:top w:val="none" w:sz="0" w:space="0" w:color="auto"/>
        <w:left w:val="none" w:sz="0" w:space="0" w:color="auto"/>
        <w:bottom w:val="none" w:sz="0" w:space="0" w:color="auto"/>
        <w:right w:val="none" w:sz="0" w:space="0" w:color="auto"/>
      </w:divBdr>
    </w:div>
    <w:div w:id="285086256">
      <w:bodyDiv w:val="1"/>
      <w:marLeft w:val="0"/>
      <w:marRight w:val="0"/>
      <w:marTop w:val="0"/>
      <w:marBottom w:val="0"/>
      <w:divBdr>
        <w:top w:val="none" w:sz="0" w:space="0" w:color="auto"/>
        <w:left w:val="none" w:sz="0" w:space="0" w:color="auto"/>
        <w:bottom w:val="none" w:sz="0" w:space="0" w:color="auto"/>
        <w:right w:val="none" w:sz="0" w:space="0" w:color="auto"/>
      </w:divBdr>
    </w:div>
    <w:div w:id="286786668">
      <w:bodyDiv w:val="1"/>
      <w:marLeft w:val="0"/>
      <w:marRight w:val="0"/>
      <w:marTop w:val="0"/>
      <w:marBottom w:val="0"/>
      <w:divBdr>
        <w:top w:val="none" w:sz="0" w:space="0" w:color="auto"/>
        <w:left w:val="none" w:sz="0" w:space="0" w:color="auto"/>
        <w:bottom w:val="none" w:sz="0" w:space="0" w:color="auto"/>
        <w:right w:val="none" w:sz="0" w:space="0" w:color="auto"/>
      </w:divBdr>
    </w:div>
    <w:div w:id="287123056">
      <w:bodyDiv w:val="1"/>
      <w:marLeft w:val="0"/>
      <w:marRight w:val="0"/>
      <w:marTop w:val="0"/>
      <w:marBottom w:val="0"/>
      <w:divBdr>
        <w:top w:val="none" w:sz="0" w:space="0" w:color="auto"/>
        <w:left w:val="none" w:sz="0" w:space="0" w:color="auto"/>
        <w:bottom w:val="none" w:sz="0" w:space="0" w:color="auto"/>
        <w:right w:val="none" w:sz="0" w:space="0" w:color="auto"/>
      </w:divBdr>
    </w:div>
    <w:div w:id="287132555">
      <w:bodyDiv w:val="1"/>
      <w:marLeft w:val="0"/>
      <w:marRight w:val="0"/>
      <w:marTop w:val="0"/>
      <w:marBottom w:val="0"/>
      <w:divBdr>
        <w:top w:val="none" w:sz="0" w:space="0" w:color="auto"/>
        <w:left w:val="none" w:sz="0" w:space="0" w:color="auto"/>
        <w:bottom w:val="none" w:sz="0" w:space="0" w:color="auto"/>
        <w:right w:val="none" w:sz="0" w:space="0" w:color="auto"/>
      </w:divBdr>
    </w:div>
    <w:div w:id="287246225">
      <w:bodyDiv w:val="1"/>
      <w:marLeft w:val="0"/>
      <w:marRight w:val="0"/>
      <w:marTop w:val="0"/>
      <w:marBottom w:val="0"/>
      <w:divBdr>
        <w:top w:val="none" w:sz="0" w:space="0" w:color="auto"/>
        <w:left w:val="none" w:sz="0" w:space="0" w:color="auto"/>
        <w:bottom w:val="none" w:sz="0" w:space="0" w:color="auto"/>
        <w:right w:val="none" w:sz="0" w:space="0" w:color="auto"/>
      </w:divBdr>
    </w:div>
    <w:div w:id="287859699">
      <w:bodyDiv w:val="1"/>
      <w:marLeft w:val="0"/>
      <w:marRight w:val="0"/>
      <w:marTop w:val="0"/>
      <w:marBottom w:val="0"/>
      <w:divBdr>
        <w:top w:val="none" w:sz="0" w:space="0" w:color="auto"/>
        <w:left w:val="none" w:sz="0" w:space="0" w:color="auto"/>
        <w:bottom w:val="none" w:sz="0" w:space="0" w:color="auto"/>
        <w:right w:val="none" w:sz="0" w:space="0" w:color="auto"/>
      </w:divBdr>
    </w:div>
    <w:div w:id="289627487">
      <w:bodyDiv w:val="1"/>
      <w:marLeft w:val="0"/>
      <w:marRight w:val="0"/>
      <w:marTop w:val="0"/>
      <w:marBottom w:val="0"/>
      <w:divBdr>
        <w:top w:val="none" w:sz="0" w:space="0" w:color="auto"/>
        <w:left w:val="none" w:sz="0" w:space="0" w:color="auto"/>
        <w:bottom w:val="none" w:sz="0" w:space="0" w:color="auto"/>
        <w:right w:val="none" w:sz="0" w:space="0" w:color="auto"/>
      </w:divBdr>
    </w:div>
    <w:div w:id="289748274">
      <w:bodyDiv w:val="1"/>
      <w:marLeft w:val="0"/>
      <w:marRight w:val="0"/>
      <w:marTop w:val="0"/>
      <w:marBottom w:val="0"/>
      <w:divBdr>
        <w:top w:val="none" w:sz="0" w:space="0" w:color="auto"/>
        <w:left w:val="none" w:sz="0" w:space="0" w:color="auto"/>
        <w:bottom w:val="none" w:sz="0" w:space="0" w:color="auto"/>
        <w:right w:val="none" w:sz="0" w:space="0" w:color="auto"/>
      </w:divBdr>
    </w:div>
    <w:div w:id="289820670">
      <w:bodyDiv w:val="1"/>
      <w:marLeft w:val="0"/>
      <w:marRight w:val="0"/>
      <w:marTop w:val="0"/>
      <w:marBottom w:val="0"/>
      <w:divBdr>
        <w:top w:val="none" w:sz="0" w:space="0" w:color="auto"/>
        <w:left w:val="none" w:sz="0" w:space="0" w:color="auto"/>
        <w:bottom w:val="none" w:sz="0" w:space="0" w:color="auto"/>
        <w:right w:val="none" w:sz="0" w:space="0" w:color="auto"/>
      </w:divBdr>
    </w:div>
    <w:div w:id="291136480">
      <w:bodyDiv w:val="1"/>
      <w:marLeft w:val="0"/>
      <w:marRight w:val="0"/>
      <w:marTop w:val="0"/>
      <w:marBottom w:val="0"/>
      <w:divBdr>
        <w:top w:val="none" w:sz="0" w:space="0" w:color="auto"/>
        <w:left w:val="none" w:sz="0" w:space="0" w:color="auto"/>
        <w:bottom w:val="none" w:sz="0" w:space="0" w:color="auto"/>
        <w:right w:val="none" w:sz="0" w:space="0" w:color="auto"/>
      </w:divBdr>
    </w:div>
    <w:div w:id="291719320">
      <w:bodyDiv w:val="1"/>
      <w:marLeft w:val="0"/>
      <w:marRight w:val="0"/>
      <w:marTop w:val="0"/>
      <w:marBottom w:val="0"/>
      <w:divBdr>
        <w:top w:val="none" w:sz="0" w:space="0" w:color="auto"/>
        <w:left w:val="none" w:sz="0" w:space="0" w:color="auto"/>
        <w:bottom w:val="none" w:sz="0" w:space="0" w:color="auto"/>
        <w:right w:val="none" w:sz="0" w:space="0" w:color="auto"/>
      </w:divBdr>
    </w:div>
    <w:div w:id="292059136">
      <w:bodyDiv w:val="1"/>
      <w:marLeft w:val="0"/>
      <w:marRight w:val="0"/>
      <w:marTop w:val="0"/>
      <w:marBottom w:val="0"/>
      <w:divBdr>
        <w:top w:val="none" w:sz="0" w:space="0" w:color="auto"/>
        <w:left w:val="none" w:sz="0" w:space="0" w:color="auto"/>
        <w:bottom w:val="none" w:sz="0" w:space="0" w:color="auto"/>
        <w:right w:val="none" w:sz="0" w:space="0" w:color="auto"/>
      </w:divBdr>
    </w:div>
    <w:div w:id="293679441">
      <w:bodyDiv w:val="1"/>
      <w:marLeft w:val="0"/>
      <w:marRight w:val="0"/>
      <w:marTop w:val="0"/>
      <w:marBottom w:val="0"/>
      <w:divBdr>
        <w:top w:val="none" w:sz="0" w:space="0" w:color="auto"/>
        <w:left w:val="none" w:sz="0" w:space="0" w:color="auto"/>
        <w:bottom w:val="none" w:sz="0" w:space="0" w:color="auto"/>
        <w:right w:val="none" w:sz="0" w:space="0" w:color="auto"/>
      </w:divBdr>
    </w:div>
    <w:div w:id="296035655">
      <w:bodyDiv w:val="1"/>
      <w:marLeft w:val="0"/>
      <w:marRight w:val="0"/>
      <w:marTop w:val="0"/>
      <w:marBottom w:val="0"/>
      <w:divBdr>
        <w:top w:val="none" w:sz="0" w:space="0" w:color="auto"/>
        <w:left w:val="none" w:sz="0" w:space="0" w:color="auto"/>
        <w:bottom w:val="none" w:sz="0" w:space="0" w:color="auto"/>
        <w:right w:val="none" w:sz="0" w:space="0" w:color="auto"/>
      </w:divBdr>
    </w:div>
    <w:div w:id="298342365">
      <w:bodyDiv w:val="1"/>
      <w:marLeft w:val="0"/>
      <w:marRight w:val="0"/>
      <w:marTop w:val="0"/>
      <w:marBottom w:val="0"/>
      <w:divBdr>
        <w:top w:val="none" w:sz="0" w:space="0" w:color="auto"/>
        <w:left w:val="none" w:sz="0" w:space="0" w:color="auto"/>
        <w:bottom w:val="none" w:sz="0" w:space="0" w:color="auto"/>
        <w:right w:val="none" w:sz="0" w:space="0" w:color="auto"/>
      </w:divBdr>
    </w:div>
    <w:div w:id="299237863">
      <w:bodyDiv w:val="1"/>
      <w:marLeft w:val="0"/>
      <w:marRight w:val="0"/>
      <w:marTop w:val="0"/>
      <w:marBottom w:val="0"/>
      <w:divBdr>
        <w:top w:val="none" w:sz="0" w:space="0" w:color="auto"/>
        <w:left w:val="none" w:sz="0" w:space="0" w:color="auto"/>
        <w:bottom w:val="none" w:sz="0" w:space="0" w:color="auto"/>
        <w:right w:val="none" w:sz="0" w:space="0" w:color="auto"/>
      </w:divBdr>
    </w:div>
    <w:div w:id="300961267">
      <w:bodyDiv w:val="1"/>
      <w:marLeft w:val="0"/>
      <w:marRight w:val="0"/>
      <w:marTop w:val="0"/>
      <w:marBottom w:val="0"/>
      <w:divBdr>
        <w:top w:val="none" w:sz="0" w:space="0" w:color="auto"/>
        <w:left w:val="none" w:sz="0" w:space="0" w:color="auto"/>
        <w:bottom w:val="none" w:sz="0" w:space="0" w:color="auto"/>
        <w:right w:val="none" w:sz="0" w:space="0" w:color="auto"/>
      </w:divBdr>
    </w:div>
    <w:div w:id="302349937">
      <w:bodyDiv w:val="1"/>
      <w:marLeft w:val="0"/>
      <w:marRight w:val="0"/>
      <w:marTop w:val="0"/>
      <w:marBottom w:val="0"/>
      <w:divBdr>
        <w:top w:val="none" w:sz="0" w:space="0" w:color="auto"/>
        <w:left w:val="none" w:sz="0" w:space="0" w:color="auto"/>
        <w:bottom w:val="none" w:sz="0" w:space="0" w:color="auto"/>
        <w:right w:val="none" w:sz="0" w:space="0" w:color="auto"/>
      </w:divBdr>
    </w:div>
    <w:div w:id="304628681">
      <w:bodyDiv w:val="1"/>
      <w:marLeft w:val="0"/>
      <w:marRight w:val="0"/>
      <w:marTop w:val="0"/>
      <w:marBottom w:val="0"/>
      <w:divBdr>
        <w:top w:val="none" w:sz="0" w:space="0" w:color="auto"/>
        <w:left w:val="none" w:sz="0" w:space="0" w:color="auto"/>
        <w:bottom w:val="none" w:sz="0" w:space="0" w:color="auto"/>
        <w:right w:val="none" w:sz="0" w:space="0" w:color="auto"/>
      </w:divBdr>
    </w:div>
    <w:div w:id="305282801">
      <w:bodyDiv w:val="1"/>
      <w:marLeft w:val="0"/>
      <w:marRight w:val="0"/>
      <w:marTop w:val="0"/>
      <w:marBottom w:val="0"/>
      <w:divBdr>
        <w:top w:val="none" w:sz="0" w:space="0" w:color="auto"/>
        <w:left w:val="none" w:sz="0" w:space="0" w:color="auto"/>
        <w:bottom w:val="none" w:sz="0" w:space="0" w:color="auto"/>
        <w:right w:val="none" w:sz="0" w:space="0" w:color="auto"/>
      </w:divBdr>
    </w:div>
    <w:div w:id="308481173">
      <w:bodyDiv w:val="1"/>
      <w:marLeft w:val="0"/>
      <w:marRight w:val="0"/>
      <w:marTop w:val="0"/>
      <w:marBottom w:val="0"/>
      <w:divBdr>
        <w:top w:val="none" w:sz="0" w:space="0" w:color="auto"/>
        <w:left w:val="none" w:sz="0" w:space="0" w:color="auto"/>
        <w:bottom w:val="none" w:sz="0" w:space="0" w:color="auto"/>
        <w:right w:val="none" w:sz="0" w:space="0" w:color="auto"/>
      </w:divBdr>
    </w:div>
    <w:div w:id="308483770">
      <w:bodyDiv w:val="1"/>
      <w:marLeft w:val="0"/>
      <w:marRight w:val="0"/>
      <w:marTop w:val="0"/>
      <w:marBottom w:val="0"/>
      <w:divBdr>
        <w:top w:val="none" w:sz="0" w:space="0" w:color="auto"/>
        <w:left w:val="none" w:sz="0" w:space="0" w:color="auto"/>
        <w:bottom w:val="none" w:sz="0" w:space="0" w:color="auto"/>
        <w:right w:val="none" w:sz="0" w:space="0" w:color="auto"/>
      </w:divBdr>
    </w:div>
    <w:div w:id="308680693">
      <w:bodyDiv w:val="1"/>
      <w:marLeft w:val="0"/>
      <w:marRight w:val="0"/>
      <w:marTop w:val="0"/>
      <w:marBottom w:val="0"/>
      <w:divBdr>
        <w:top w:val="none" w:sz="0" w:space="0" w:color="auto"/>
        <w:left w:val="none" w:sz="0" w:space="0" w:color="auto"/>
        <w:bottom w:val="none" w:sz="0" w:space="0" w:color="auto"/>
        <w:right w:val="none" w:sz="0" w:space="0" w:color="auto"/>
      </w:divBdr>
    </w:div>
    <w:div w:id="308749779">
      <w:bodyDiv w:val="1"/>
      <w:marLeft w:val="0"/>
      <w:marRight w:val="0"/>
      <w:marTop w:val="0"/>
      <w:marBottom w:val="0"/>
      <w:divBdr>
        <w:top w:val="none" w:sz="0" w:space="0" w:color="auto"/>
        <w:left w:val="none" w:sz="0" w:space="0" w:color="auto"/>
        <w:bottom w:val="none" w:sz="0" w:space="0" w:color="auto"/>
        <w:right w:val="none" w:sz="0" w:space="0" w:color="auto"/>
      </w:divBdr>
    </w:div>
    <w:div w:id="311107106">
      <w:bodyDiv w:val="1"/>
      <w:marLeft w:val="0"/>
      <w:marRight w:val="0"/>
      <w:marTop w:val="0"/>
      <w:marBottom w:val="0"/>
      <w:divBdr>
        <w:top w:val="none" w:sz="0" w:space="0" w:color="auto"/>
        <w:left w:val="none" w:sz="0" w:space="0" w:color="auto"/>
        <w:bottom w:val="none" w:sz="0" w:space="0" w:color="auto"/>
        <w:right w:val="none" w:sz="0" w:space="0" w:color="auto"/>
      </w:divBdr>
    </w:div>
    <w:div w:id="311638726">
      <w:bodyDiv w:val="1"/>
      <w:marLeft w:val="0"/>
      <w:marRight w:val="0"/>
      <w:marTop w:val="0"/>
      <w:marBottom w:val="0"/>
      <w:divBdr>
        <w:top w:val="none" w:sz="0" w:space="0" w:color="auto"/>
        <w:left w:val="none" w:sz="0" w:space="0" w:color="auto"/>
        <w:bottom w:val="none" w:sz="0" w:space="0" w:color="auto"/>
        <w:right w:val="none" w:sz="0" w:space="0" w:color="auto"/>
      </w:divBdr>
    </w:div>
    <w:div w:id="313527325">
      <w:bodyDiv w:val="1"/>
      <w:marLeft w:val="0"/>
      <w:marRight w:val="0"/>
      <w:marTop w:val="0"/>
      <w:marBottom w:val="0"/>
      <w:divBdr>
        <w:top w:val="none" w:sz="0" w:space="0" w:color="auto"/>
        <w:left w:val="none" w:sz="0" w:space="0" w:color="auto"/>
        <w:bottom w:val="none" w:sz="0" w:space="0" w:color="auto"/>
        <w:right w:val="none" w:sz="0" w:space="0" w:color="auto"/>
      </w:divBdr>
    </w:div>
    <w:div w:id="314376476">
      <w:bodyDiv w:val="1"/>
      <w:marLeft w:val="0"/>
      <w:marRight w:val="0"/>
      <w:marTop w:val="0"/>
      <w:marBottom w:val="0"/>
      <w:divBdr>
        <w:top w:val="none" w:sz="0" w:space="0" w:color="auto"/>
        <w:left w:val="none" w:sz="0" w:space="0" w:color="auto"/>
        <w:bottom w:val="none" w:sz="0" w:space="0" w:color="auto"/>
        <w:right w:val="none" w:sz="0" w:space="0" w:color="auto"/>
      </w:divBdr>
    </w:div>
    <w:div w:id="314724279">
      <w:bodyDiv w:val="1"/>
      <w:marLeft w:val="0"/>
      <w:marRight w:val="0"/>
      <w:marTop w:val="0"/>
      <w:marBottom w:val="0"/>
      <w:divBdr>
        <w:top w:val="none" w:sz="0" w:space="0" w:color="auto"/>
        <w:left w:val="none" w:sz="0" w:space="0" w:color="auto"/>
        <w:bottom w:val="none" w:sz="0" w:space="0" w:color="auto"/>
        <w:right w:val="none" w:sz="0" w:space="0" w:color="auto"/>
      </w:divBdr>
    </w:div>
    <w:div w:id="314919048">
      <w:bodyDiv w:val="1"/>
      <w:marLeft w:val="0"/>
      <w:marRight w:val="0"/>
      <w:marTop w:val="0"/>
      <w:marBottom w:val="0"/>
      <w:divBdr>
        <w:top w:val="none" w:sz="0" w:space="0" w:color="auto"/>
        <w:left w:val="none" w:sz="0" w:space="0" w:color="auto"/>
        <w:bottom w:val="none" w:sz="0" w:space="0" w:color="auto"/>
        <w:right w:val="none" w:sz="0" w:space="0" w:color="auto"/>
      </w:divBdr>
    </w:div>
    <w:div w:id="318272328">
      <w:bodyDiv w:val="1"/>
      <w:marLeft w:val="0"/>
      <w:marRight w:val="0"/>
      <w:marTop w:val="0"/>
      <w:marBottom w:val="0"/>
      <w:divBdr>
        <w:top w:val="none" w:sz="0" w:space="0" w:color="auto"/>
        <w:left w:val="none" w:sz="0" w:space="0" w:color="auto"/>
        <w:bottom w:val="none" w:sz="0" w:space="0" w:color="auto"/>
        <w:right w:val="none" w:sz="0" w:space="0" w:color="auto"/>
      </w:divBdr>
    </w:div>
    <w:div w:id="319117785">
      <w:bodyDiv w:val="1"/>
      <w:marLeft w:val="0"/>
      <w:marRight w:val="0"/>
      <w:marTop w:val="0"/>
      <w:marBottom w:val="0"/>
      <w:divBdr>
        <w:top w:val="none" w:sz="0" w:space="0" w:color="auto"/>
        <w:left w:val="none" w:sz="0" w:space="0" w:color="auto"/>
        <w:bottom w:val="none" w:sz="0" w:space="0" w:color="auto"/>
        <w:right w:val="none" w:sz="0" w:space="0" w:color="auto"/>
      </w:divBdr>
    </w:div>
    <w:div w:id="320544464">
      <w:bodyDiv w:val="1"/>
      <w:marLeft w:val="0"/>
      <w:marRight w:val="0"/>
      <w:marTop w:val="0"/>
      <w:marBottom w:val="0"/>
      <w:divBdr>
        <w:top w:val="none" w:sz="0" w:space="0" w:color="auto"/>
        <w:left w:val="none" w:sz="0" w:space="0" w:color="auto"/>
        <w:bottom w:val="none" w:sz="0" w:space="0" w:color="auto"/>
        <w:right w:val="none" w:sz="0" w:space="0" w:color="auto"/>
      </w:divBdr>
    </w:div>
    <w:div w:id="322583776">
      <w:bodyDiv w:val="1"/>
      <w:marLeft w:val="0"/>
      <w:marRight w:val="0"/>
      <w:marTop w:val="0"/>
      <w:marBottom w:val="0"/>
      <w:divBdr>
        <w:top w:val="none" w:sz="0" w:space="0" w:color="auto"/>
        <w:left w:val="none" w:sz="0" w:space="0" w:color="auto"/>
        <w:bottom w:val="none" w:sz="0" w:space="0" w:color="auto"/>
        <w:right w:val="none" w:sz="0" w:space="0" w:color="auto"/>
      </w:divBdr>
    </w:div>
    <w:div w:id="322902031">
      <w:bodyDiv w:val="1"/>
      <w:marLeft w:val="0"/>
      <w:marRight w:val="0"/>
      <w:marTop w:val="0"/>
      <w:marBottom w:val="0"/>
      <w:divBdr>
        <w:top w:val="none" w:sz="0" w:space="0" w:color="auto"/>
        <w:left w:val="none" w:sz="0" w:space="0" w:color="auto"/>
        <w:bottom w:val="none" w:sz="0" w:space="0" w:color="auto"/>
        <w:right w:val="none" w:sz="0" w:space="0" w:color="auto"/>
      </w:divBdr>
    </w:div>
    <w:div w:id="324286510">
      <w:bodyDiv w:val="1"/>
      <w:marLeft w:val="0"/>
      <w:marRight w:val="0"/>
      <w:marTop w:val="0"/>
      <w:marBottom w:val="0"/>
      <w:divBdr>
        <w:top w:val="none" w:sz="0" w:space="0" w:color="auto"/>
        <w:left w:val="none" w:sz="0" w:space="0" w:color="auto"/>
        <w:bottom w:val="none" w:sz="0" w:space="0" w:color="auto"/>
        <w:right w:val="none" w:sz="0" w:space="0" w:color="auto"/>
      </w:divBdr>
    </w:div>
    <w:div w:id="325593939">
      <w:bodyDiv w:val="1"/>
      <w:marLeft w:val="0"/>
      <w:marRight w:val="0"/>
      <w:marTop w:val="0"/>
      <w:marBottom w:val="0"/>
      <w:divBdr>
        <w:top w:val="none" w:sz="0" w:space="0" w:color="auto"/>
        <w:left w:val="none" w:sz="0" w:space="0" w:color="auto"/>
        <w:bottom w:val="none" w:sz="0" w:space="0" w:color="auto"/>
        <w:right w:val="none" w:sz="0" w:space="0" w:color="auto"/>
      </w:divBdr>
    </w:div>
    <w:div w:id="325594268">
      <w:bodyDiv w:val="1"/>
      <w:marLeft w:val="0"/>
      <w:marRight w:val="0"/>
      <w:marTop w:val="0"/>
      <w:marBottom w:val="0"/>
      <w:divBdr>
        <w:top w:val="none" w:sz="0" w:space="0" w:color="auto"/>
        <w:left w:val="none" w:sz="0" w:space="0" w:color="auto"/>
        <w:bottom w:val="none" w:sz="0" w:space="0" w:color="auto"/>
        <w:right w:val="none" w:sz="0" w:space="0" w:color="auto"/>
      </w:divBdr>
    </w:div>
    <w:div w:id="328487642">
      <w:bodyDiv w:val="1"/>
      <w:marLeft w:val="0"/>
      <w:marRight w:val="0"/>
      <w:marTop w:val="0"/>
      <w:marBottom w:val="0"/>
      <w:divBdr>
        <w:top w:val="none" w:sz="0" w:space="0" w:color="auto"/>
        <w:left w:val="none" w:sz="0" w:space="0" w:color="auto"/>
        <w:bottom w:val="none" w:sz="0" w:space="0" w:color="auto"/>
        <w:right w:val="none" w:sz="0" w:space="0" w:color="auto"/>
      </w:divBdr>
    </w:div>
    <w:div w:id="329064074">
      <w:bodyDiv w:val="1"/>
      <w:marLeft w:val="0"/>
      <w:marRight w:val="0"/>
      <w:marTop w:val="0"/>
      <w:marBottom w:val="0"/>
      <w:divBdr>
        <w:top w:val="none" w:sz="0" w:space="0" w:color="auto"/>
        <w:left w:val="none" w:sz="0" w:space="0" w:color="auto"/>
        <w:bottom w:val="none" w:sz="0" w:space="0" w:color="auto"/>
        <w:right w:val="none" w:sz="0" w:space="0" w:color="auto"/>
      </w:divBdr>
    </w:div>
    <w:div w:id="329452480">
      <w:bodyDiv w:val="1"/>
      <w:marLeft w:val="0"/>
      <w:marRight w:val="0"/>
      <w:marTop w:val="0"/>
      <w:marBottom w:val="0"/>
      <w:divBdr>
        <w:top w:val="none" w:sz="0" w:space="0" w:color="auto"/>
        <w:left w:val="none" w:sz="0" w:space="0" w:color="auto"/>
        <w:bottom w:val="none" w:sz="0" w:space="0" w:color="auto"/>
        <w:right w:val="none" w:sz="0" w:space="0" w:color="auto"/>
      </w:divBdr>
    </w:div>
    <w:div w:id="330067431">
      <w:bodyDiv w:val="1"/>
      <w:marLeft w:val="0"/>
      <w:marRight w:val="0"/>
      <w:marTop w:val="0"/>
      <w:marBottom w:val="0"/>
      <w:divBdr>
        <w:top w:val="none" w:sz="0" w:space="0" w:color="auto"/>
        <w:left w:val="none" w:sz="0" w:space="0" w:color="auto"/>
        <w:bottom w:val="none" w:sz="0" w:space="0" w:color="auto"/>
        <w:right w:val="none" w:sz="0" w:space="0" w:color="auto"/>
      </w:divBdr>
    </w:div>
    <w:div w:id="330648693">
      <w:bodyDiv w:val="1"/>
      <w:marLeft w:val="0"/>
      <w:marRight w:val="0"/>
      <w:marTop w:val="0"/>
      <w:marBottom w:val="0"/>
      <w:divBdr>
        <w:top w:val="none" w:sz="0" w:space="0" w:color="auto"/>
        <w:left w:val="none" w:sz="0" w:space="0" w:color="auto"/>
        <w:bottom w:val="none" w:sz="0" w:space="0" w:color="auto"/>
        <w:right w:val="none" w:sz="0" w:space="0" w:color="auto"/>
      </w:divBdr>
    </w:div>
    <w:div w:id="331031809">
      <w:bodyDiv w:val="1"/>
      <w:marLeft w:val="0"/>
      <w:marRight w:val="0"/>
      <w:marTop w:val="0"/>
      <w:marBottom w:val="0"/>
      <w:divBdr>
        <w:top w:val="none" w:sz="0" w:space="0" w:color="auto"/>
        <w:left w:val="none" w:sz="0" w:space="0" w:color="auto"/>
        <w:bottom w:val="none" w:sz="0" w:space="0" w:color="auto"/>
        <w:right w:val="none" w:sz="0" w:space="0" w:color="auto"/>
      </w:divBdr>
    </w:div>
    <w:div w:id="332032379">
      <w:bodyDiv w:val="1"/>
      <w:marLeft w:val="0"/>
      <w:marRight w:val="0"/>
      <w:marTop w:val="0"/>
      <w:marBottom w:val="0"/>
      <w:divBdr>
        <w:top w:val="none" w:sz="0" w:space="0" w:color="auto"/>
        <w:left w:val="none" w:sz="0" w:space="0" w:color="auto"/>
        <w:bottom w:val="none" w:sz="0" w:space="0" w:color="auto"/>
        <w:right w:val="none" w:sz="0" w:space="0" w:color="auto"/>
      </w:divBdr>
    </w:div>
    <w:div w:id="333922699">
      <w:bodyDiv w:val="1"/>
      <w:marLeft w:val="0"/>
      <w:marRight w:val="0"/>
      <w:marTop w:val="0"/>
      <w:marBottom w:val="0"/>
      <w:divBdr>
        <w:top w:val="none" w:sz="0" w:space="0" w:color="auto"/>
        <w:left w:val="none" w:sz="0" w:space="0" w:color="auto"/>
        <w:bottom w:val="none" w:sz="0" w:space="0" w:color="auto"/>
        <w:right w:val="none" w:sz="0" w:space="0" w:color="auto"/>
      </w:divBdr>
    </w:div>
    <w:div w:id="340133112">
      <w:bodyDiv w:val="1"/>
      <w:marLeft w:val="0"/>
      <w:marRight w:val="0"/>
      <w:marTop w:val="0"/>
      <w:marBottom w:val="0"/>
      <w:divBdr>
        <w:top w:val="none" w:sz="0" w:space="0" w:color="auto"/>
        <w:left w:val="none" w:sz="0" w:space="0" w:color="auto"/>
        <w:bottom w:val="none" w:sz="0" w:space="0" w:color="auto"/>
        <w:right w:val="none" w:sz="0" w:space="0" w:color="auto"/>
      </w:divBdr>
    </w:div>
    <w:div w:id="341322684">
      <w:bodyDiv w:val="1"/>
      <w:marLeft w:val="0"/>
      <w:marRight w:val="0"/>
      <w:marTop w:val="0"/>
      <w:marBottom w:val="0"/>
      <w:divBdr>
        <w:top w:val="none" w:sz="0" w:space="0" w:color="auto"/>
        <w:left w:val="none" w:sz="0" w:space="0" w:color="auto"/>
        <w:bottom w:val="none" w:sz="0" w:space="0" w:color="auto"/>
        <w:right w:val="none" w:sz="0" w:space="0" w:color="auto"/>
      </w:divBdr>
    </w:div>
    <w:div w:id="341400712">
      <w:bodyDiv w:val="1"/>
      <w:marLeft w:val="0"/>
      <w:marRight w:val="0"/>
      <w:marTop w:val="0"/>
      <w:marBottom w:val="0"/>
      <w:divBdr>
        <w:top w:val="none" w:sz="0" w:space="0" w:color="auto"/>
        <w:left w:val="none" w:sz="0" w:space="0" w:color="auto"/>
        <w:bottom w:val="none" w:sz="0" w:space="0" w:color="auto"/>
        <w:right w:val="none" w:sz="0" w:space="0" w:color="auto"/>
      </w:divBdr>
    </w:div>
    <w:div w:id="345836372">
      <w:bodyDiv w:val="1"/>
      <w:marLeft w:val="0"/>
      <w:marRight w:val="0"/>
      <w:marTop w:val="0"/>
      <w:marBottom w:val="0"/>
      <w:divBdr>
        <w:top w:val="none" w:sz="0" w:space="0" w:color="auto"/>
        <w:left w:val="none" w:sz="0" w:space="0" w:color="auto"/>
        <w:bottom w:val="none" w:sz="0" w:space="0" w:color="auto"/>
        <w:right w:val="none" w:sz="0" w:space="0" w:color="auto"/>
      </w:divBdr>
    </w:div>
    <w:div w:id="348340812">
      <w:bodyDiv w:val="1"/>
      <w:marLeft w:val="0"/>
      <w:marRight w:val="0"/>
      <w:marTop w:val="0"/>
      <w:marBottom w:val="0"/>
      <w:divBdr>
        <w:top w:val="none" w:sz="0" w:space="0" w:color="auto"/>
        <w:left w:val="none" w:sz="0" w:space="0" w:color="auto"/>
        <w:bottom w:val="none" w:sz="0" w:space="0" w:color="auto"/>
        <w:right w:val="none" w:sz="0" w:space="0" w:color="auto"/>
      </w:divBdr>
    </w:div>
    <w:div w:id="349069981">
      <w:bodyDiv w:val="1"/>
      <w:marLeft w:val="0"/>
      <w:marRight w:val="0"/>
      <w:marTop w:val="0"/>
      <w:marBottom w:val="0"/>
      <w:divBdr>
        <w:top w:val="none" w:sz="0" w:space="0" w:color="auto"/>
        <w:left w:val="none" w:sz="0" w:space="0" w:color="auto"/>
        <w:bottom w:val="none" w:sz="0" w:space="0" w:color="auto"/>
        <w:right w:val="none" w:sz="0" w:space="0" w:color="auto"/>
      </w:divBdr>
    </w:div>
    <w:div w:id="349180837">
      <w:bodyDiv w:val="1"/>
      <w:marLeft w:val="0"/>
      <w:marRight w:val="0"/>
      <w:marTop w:val="0"/>
      <w:marBottom w:val="0"/>
      <w:divBdr>
        <w:top w:val="none" w:sz="0" w:space="0" w:color="auto"/>
        <w:left w:val="none" w:sz="0" w:space="0" w:color="auto"/>
        <w:bottom w:val="none" w:sz="0" w:space="0" w:color="auto"/>
        <w:right w:val="none" w:sz="0" w:space="0" w:color="auto"/>
      </w:divBdr>
    </w:div>
    <w:div w:id="349569075">
      <w:bodyDiv w:val="1"/>
      <w:marLeft w:val="0"/>
      <w:marRight w:val="0"/>
      <w:marTop w:val="0"/>
      <w:marBottom w:val="0"/>
      <w:divBdr>
        <w:top w:val="none" w:sz="0" w:space="0" w:color="auto"/>
        <w:left w:val="none" w:sz="0" w:space="0" w:color="auto"/>
        <w:bottom w:val="none" w:sz="0" w:space="0" w:color="auto"/>
        <w:right w:val="none" w:sz="0" w:space="0" w:color="auto"/>
      </w:divBdr>
    </w:div>
    <w:div w:id="350032983">
      <w:bodyDiv w:val="1"/>
      <w:marLeft w:val="0"/>
      <w:marRight w:val="0"/>
      <w:marTop w:val="0"/>
      <w:marBottom w:val="0"/>
      <w:divBdr>
        <w:top w:val="none" w:sz="0" w:space="0" w:color="auto"/>
        <w:left w:val="none" w:sz="0" w:space="0" w:color="auto"/>
        <w:bottom w:val="none" w:sz="0" w:space="0" w:color="auto"/>
        <w:right w:val="none" w:sz="0" w:space="0" w:color="auto"/>
      </w:divBdr>
    </w:div>
    <w:div w:id="353772155">
      <w:bodyDiv w:val="1"/>
      <w:marLeft w:val="0"/>
      <w:marRight w:val="0"/>
      <w:marTop w:val="0"/>
      <w:marBottom w:val="0"/>
      <w:divBdr>
        <w:top w:val="none" w:sz="0" w:space="0" w:color="auto"/>
        <w:left w:val="none" w:sz="0" w:space="0" w:color="auto"/>
        <w:bottom w:val="none" w:sz="0" w:space="0" w:color="auto"/>
        <w:right w:val="none" w:sz="0" w:space="0" w:color="auto"/>
      </w:divBdr>
    </w:div>
    <w:div w:id="355471003">
      <w:bodyDiv w:val="1"/>
      <w:marLeft w:val="0"/>
      <w:marRight w:val="0"/>
      <w:marTop w:val="0"/>
      <w:marBottom w:val="0"/>
      <w:divBdr>
        <w:top w:val="none" w:sz="0" w:space="0" w:color="auto"/>
        <w:left w:val="none" w:sz="0" w:space="0" w:color="auto"/>
        <w:bottom w:val="none" w:sz="0" w:space="0" w:color="auto"/>
        <w:right w:val="none" w:sz="0" w:space="0" w:color="auto"/>
      </w:divBdr>
    </w:div>
    <w:div w:id="355622247">
      <w:bodyDiv w:val="1"/>
      <w:marLeft w:val="0"/>
      <w:marRight w:val="0"/>
      <w:marTop w:val="0"/>
      <w:marBottom w:val="0"/>
      <w:divBdr>
        <w:top w:val="none" w:sz="0" w:space="0" w:color="auto"/>
        <w:left w:val="none" w:sz="0" w:space="0" w:color="auto"/>
        <w:bottom w:val="none" w:sz="0" w:space="0" w:color="auto"/>
        <w:right w:val="none" w:sz="0" w:space="0" w:color="auto"/>
      </w:divBdr>
    </w:div>
    <w:div w:id="359816865">
      <w:bodyDiv w:val="1"/>
      <w:marLeft w:val="0"/>
      <w:marRight w:val="0"/>
      <w:marTop w:val="0"/>
      <w:marBottom w:val="0"/>
      <w:divBdr>
        <w:top w:val="none" w:sz="0" w:space="0" w:color="auto"/>
        <w:left w:val="none" w:sz="0" w:space="0" w:color="auto"/>
        <w:bottom w:val="none" w:sz="0" w:space="0" w:color="auto"/>
        <w:right w:val="none" w:sz="0" w:space="0" w:color="auto"/>
      </w:divBdr>
    </w:div>
    <w:div w:id="361790213">
      <w:bodyDiv w:val="1"/>
      <w:marLeft w:val="0"/>
      <w:marRight w:val="0"/>
      <w:marTop w:val="0"/>
      <w:marBottom w:val="0"/>
      <w:divBdr>
        <w:top w:val="none" w:sz="0" w:space="0" w:color="auto"/>
        <w:left w:val="none" w:sz="0" w:space="0" w:color="auto"/>
        <w:bottom w:val="none" w:sz="0" w:space="0" w:color="auto"/>
        <w:right w:val="none" w:sz="0" w:space="0" w:color="auto"/>
      </w:divBdr>
    </w:div>
    <w:div w:id="362748026">
      <w:bodyDiv w:val="1"/>
      <w:marLeft w:val="0"/>
      <w:marRight w:val="0"/>
      <w:marTop w:val="0"/>
      <w:marBottom w:val="0"/>
      <w:divBdr>
        <w:top w:val="none" w:sz="0" w:space="0" w:color="auto"/>
        <w:left w:val="none" w:sz="0" w:space="0" w:color="auto"/>
        <w:bottom w:val="none" w:sz="0" w:space="0" w:color="auto"/>
        <w:right w:val="none" w:sz="0" w:space="0" w:color="auto"/>
      </w:divBdr>
    </w:div>
    <w:div w:id="362827670">
      <w:bodyDiv w:val="1"/>
      <w:marLeft w:val="0"/>
      <w:marRight w:val="0"/>
      <w:marTop w:val="0"/>
      <w:marBottom w:val="0"/>
      <w:divBdr>
        <w:top w:val="none" w:sz="0" w:space="0" w:color="auto"/>
        <w:left w:val="none" w:sz="0" w:space="0" w:color="auto"/>
        <w:bottom w:val="none" w:sz="0" w:space="0" w:color="auto"/>
        <w:right w:val="none" w:sz="0" w:space="0" w:color="auto"/>
      </w:divBdr>
    </w:div>
    <w:div w:id="368189729">
      <w:bodyDiv w:val="1"/>
      <w:marLeft w:val="0"/>
      <w:marRight w:val="0"/>
      <w:marTop w:val="0"/>
      <w:marBottom w:val="0"/>
      <w:divBdr>
        <w:top w:val="none" w:sz="0" w:space="0" w:color="auto"/>
        <w:left w:val="none" w:sz="0" w:space="0" w:color="auto"/>
        <w:bottom w:val="none" w:sz="0" w:space="0" w:color="auto"/>
        <w:right w:val="none" w:sz="0" w:space="0" w:color="auto"/>
      </w:divBdr>
    </w:div>
    <w:div w:id="370809060">
      <w:bodyDiv w:val="1"/>
      <w:marLeft w:val="0"/>
      <w:marRight w:val="0"/>
      <w:marTop w:val="0"/>
      <w:marBottom w:val="0"/>
      <w:divBdr>
        <w:top w:val="none" w:sz="0" w:space="0" w:color="auto"/>
        <w:left w:val="none" w:sz="0" w:space="0" w:color="auto"/>
        <w:bottom w:val="none" w:sz="0" w:space="0" w:color="auto"/>
        <w:right w:val="none" w:sz="0" w:space="0" w:color="auto"/>
      </w:divBdr>
    </w:div>
    <w:div w:id="370962258">
      <w:bodyDiv w:val="1"/>
      <w:marLeft w:val="0"/>
      <w:marRight w:val="0"/>
      <w:marTop w:val="0"/>
      <w:marBottom w:val="0"/>
      <w:divBdr>
        <w:top w:val="none" w:sz="0" w:space="0" w:color="auto"/>
        <w:left w:val="none" w:sz="0" w:space="0" w:color="auto"/>
        <w:bottom w:val="none" w:sz="0" w:space="0" w:color="auto"/>
        <w:right w:val="none" w:sz="0" w:space="0" w:color="auto"/>
      </w:divBdr>
    </w:div>
    <w:div w:id="373703484">
      <w:bodyDiv w:val="1"/>
      <w:marLeft w:val="0"/>
      <w:marRight w:val="0"/>
      <w:marTop w:val="0"/>
      <w:marBottom w:val="0"/>
      <w:divBdr>
        <w:top w:val="none" w:sz="0" w:space="0" w:color="auto"/>
        <w:left w:val="none" w:sz="0" w:space="0" w:color="auto"/>
        <w:bottom w:val="none" w:sz="0" w:space="0" w:color="auto"/>
        <w:right w:val="none" w:sz="0" w:space="0" w:color="auto"/>
      </w:divBdr>
    </w:div>
    <w:div w:id="373971629">
      <w:bodyDiv w:val="1"/>
      <w:marLeft w:val="0"/>
      <w:marRight w:val="0"/>
      <w:marTop w:val="0"/>
      <w:marBottom w:val="0"/>
      <w:divBdr>
        <w:top w:val="none" w:sz="0" w:space="0" w:color="auto"/>
        <w:left w:val="none" w:sz="0" w:space="0" w:color="auto"/>
        <w:bottom w:val="none" w:sz="0" w:space="0" w:color="auto"/>
        <w:right w:val="none" w:sz="0" w:space="0" w:color="auto"/>
      </w:divBdr>
    </w:div>
    <w:div w:id="374282474">
      <w:bodyDiv w:val="1"/>
      <w:marLeft w:val="0"/>
      <w:marRight w:val="0"/>
      <w:marTop w:val="0"/>
      <w:marBottom w:val="0"/>
      <w:divBdr>
        <w:top w:val="none" w:sz="0" w:space="0" w:color="auto"/>
        <w:left w:val="none" w:sz="0" w:space="0" w:color="auto"/>
        <w:bottom w:val="none" w:sz="0" w:space="0" w:color="auto"/>
        <w:right w:val="none" w:sz="0" w:space="0" w:color="auto"/>
      </w:divBdr>
    </w:div>
    <w:div w:id="374813541">
      <w:bodyDiv w:val="1"/>
      <w:marLeft w:val="0"/>
      <w:marRight w:val="0"/>
      <w:marTop w:val="0"/>
      <w:marBottom w:val="0"/>
      <w:divBdr>
        <w:top w:val="none" w:sz="0" w:space="0" w:color="auto"/>
        <w:left w:val="none" w:sz="0" w:space="0" w:color="auto"/>
        <w:bottom w:val="none" w:sz="0" w:space="0" w:color="auto"/>
        <w:right w:val="none" w:sz="0" w:space="0" w:color="auto"/>
      </w:divBdr>
    </w:div>
    <w:div w:id="376778543">
      <w:bodyDiv w:val="1"/>
      <w:marLeft w:val="0"/>
      <w:marRight w:val="0"/>
      <w:marTop w:val="0"/>
      <w:marBottom w:val="0"/>
      <w:divBdr>
        <w:top w:val="none" w:sz="0" w:space="0" w:color="auto"/>
        <w:left w:val="none" w:sz="0" w:space="0" w:color="auto"/>
        <w:bottom w:val="none" w:sz="0" w:space="0" w:color="auto"/>
        <w:right w:val="none" w:sz="0" w:space="0" w:color="auto"/>
      </w:divBdr>
    </w:div>
    <w:div w:id="377245196">
      <w:bodyDiv w:val="1"/>
      <w:marLeft w:val="0"/>
      <w:marRight w:val="0"/>
      <w:marTop w:val="0"/>
      <w:marBottom w:val="0"/>
      <w:divBdr>
        <w:top w:val="none" w:sz="0" w:space="0" w:color="auto"/>
        <w:left w:val="none" w:sz="0" w:space="0" w:color="auto"/>
        <w:bottom w:val="none" w:sz="0" w:space="0" w:color="auto"/>
        <w:right w:val="none" w:sz="0" w:space="0" w:color="auto"/>
      </w:divBdr>
    </w:div>
    <w:div w:id="377321415">
      <w:bodyDiv w:val="1"/>
      <w:marLeft w:val="0"/>
      <w:marRight w:val="0"/>
      <w:marTop w:val="0"/>
      <w:marBottom w:val="0"/>
      <w:divBdr>
        <w:top w:val="none" w:sz="0" w:space="0" w:color="auto"/>
        <w:left w:val="none" w:sz="0" w:space="0" w:color="auto"/>
        <w:bottom w:val="none" w:sz="0" w:space="0" w:color="auto"/>
        <w:right w:val="none" w:sz="0" w:space="0" w:color="auto"/>
      </w:divBdr>
    </w:div>
    <w:div w:id="377703201">
      <w:bodyDiv w:val="1"/>
      <w:marLeft w:val="0"/>
      <w:marRight w:val="0"/>
      <w:marTop w:val="0"/>
      <w:marBottom w:val="0"/>
      <w:divBdr>
        <w:top w:val="none" w:sz="0" w:space="0" w:color="auto"/>
        <w:left w:val="none" w:sz="0" w:space="0" w:color="auto"/>
        <w:bottom w:val="none" w:sz="0" w:space="0" w:color="auto"/>
        <w:right w:val="none" w:sz="0" w:space="0" w:color="auto"/>
      </w:divBdr>
    </w:div>
    <w:div w:id="378014582">
      <w:bodyDiv w:val="1"/>
      <w:marLeft w:val="0"/>
      <w:marRight w:val="0"/>
      <w:marTop w:val="0"/>
      <w:marBottom w:val="0"/>
      <w:divBdr>
        <w:top w:val="none" w:sz="0" w:space="0" w:color="auto"/>
        <w:left w:val="none" w:sz="0" w:space="0" w:color="auto"/>
        <w:bottom w:val="none" w:sz="0" w:space="0" w:color="auto"/>
        <w:right w:val="none" w:sz="0" w:space="0" w:color="auto"/>
      </w:divBdr>
    </w:div>
    <w:div w:id="378481369">
      <w:bodyDiv w:val="1"/>
      <w:marLeft w:val="0"/>
      <w:marRight w:val="0"/>
      <w:marTop w:val="0"/>
      <w:marBottom w:val="0"/>
      <w:divBdr>
        <w:top w:val="none" w:sz="0" w:space="0" w:color="auto"/>
        <w:left w:val="none" w:sz="0" w:space="0" w:color="auto"/>
        <w:bottom w:val="none" w:sz="0" w:space="0" w:color="auto"/>
        <w:right w:val="none" w:sz="0" w:space="0" w:color="auto"/>
      </w:divBdr>
    </w:div>
    <w:div w:id="382020315">
      <w:bodyDiv w:val="1"/>
      <w:marLeft w:val="0"/>
      <w:marRight w:val="0"/>
      <w:marTop w:val="0"/>
      <w:marBottom w:val="0"/>
      <w:divBdr>
        <w:top w:val="none" w:sz="0" w:space="0" w:color="auto"/>
        <w:left w:val="none" w:sz="0" w:space="0" w:color="auto"/>
        <w:bottom w:val="none" w:sz="0" w:space="0" w:color="auto"/>
        <w:right w:val="none" w:sz="0" w:space="0" w:color="auto"/>
      </w:divBdr>
    </w:div>
    <w:div w:id="382103766">
      <w:bodyDiv w:val="1"/>
      <w:marLeft w:val="0"/>
      <w:marRight w:val="0"/>
      <w:marTop w:val="0"/>
      <w:marBottom w:val="0"/>
      <w:divBdr>
        <w:top w:val="none" w:sz="0" w:space="0" w:color="auto"/>
        <w:left w:val="none" w:sz="0" w:space="0" w:color="auto"/>
        <w:bottom w:val="none" w:sz="0" w:space="0" w:color="auto"/>
        <w:right w:val="none" w:sz="0" w:space="0" w:color="auto"/>
      </w:divBdr>
    </w:div>
    <w:div w:id="382796541">
      <w:bodyDiv w:val="1"/>
      <w:marLeft w:val="0"/>
      <w:marRight w:val="0"/>
      <w:marTop w:val="0"/>
      <w:marBottom w:val="0"/>
      <w:divBdr>
        <w:top w:val="none" w:sz="0" w:space="0" w:color="auto"/>
        <w:left w:val="none" w:sz="0" w:space="0" w:color="auto"/>
        <w:bottom w:val="none" w:sz="0" w:space="0" w:color="auto"/>
        <w:right w:val="none" w:sz="0" w:space="0" w:color="auto"/>
      </w:divBdr>
    </w:div>
    <w:div w:id="383408711">
      <w:bodyDiv w:val="1"/>
      <w:marLeft w:val="0"/>
      <w:marRight w:val="0"/>
      <w:marTop w:val="0"/>
      <w:marBottom w:val="0"/>
      <w:divBdr>
        <w:top w:val="none" w:sz="0" w:space="0" w:color="auto"/>
        <w:left w:val="none" w:sz="0" w:space="0" w:color="auto"/>
        <w:bottom w:val="none" w:sz="0" w:space="0" w:color="auto"/>
        <w:right w:val="none" w:sz="0" w:space="0" w:color="auto"/>
      </w:divBdr>
    </w:div>
    <w:div w:id="386223130">
      <w:bodyDiv w:val="1"/>
      <w:marLeft w:val="0"/>
      <w:marRight w:val="0"/>
      <w:marTop w:val="0"/>
      <w:marBottom w:val="0"/>
      <w:divBdr>
        <w:top w:val="none" w:sz="0" w:space="0" w:color="auto"/>
        <w:left w:val="none" w:sz="0" w:space="0" w:color="auto"/>
        <w:bottom w:val="none" w:sz="0" w:space="0" w:color="auto"/>
        <w:right w:val="none" w:sz="0" w:space="0" w:color="auto"/>
      </w:divBdr>
    </w:div>
    <w:div w:id="388456197">
      <w:bodyDiv w:val="1"/>
      <w:marLeft w:val="0"/>
      <w:marRight w:val="0"/>
      <w:marTop w:val="0"/>
      <w:marBottom w:val="0"/>
      <w:divBdr>
        <w:top w:val="none" w:sz="0" w:space="0" w:color="auto"/>
        <w:left w:val="none" w:sz="0" w:space="0" w:color="auto"/>
        <w:bottom w:val="none" w:sz="0" w:space="0" w:color="auto"/>
        <w:right w:val="none" w:sz="0" w:space="0" w:color="auto"/>
      </w:divBdr>
    </w:div>
    <w:div w:id="388696850">
      <w:bodyDiv w:val="1"/>
      <w:marLeft w:val="0"/>
      <w:marRight w:val="0"/>
      <w:marTop w:val="0"/>
      <w:marBottom w:val="0"/>
      <w:divBdr>
        <w:top w:val="none" w:sz="0" w:space="0" w:color="auto"/>
        <w:left w:val="none" w:sz="0" w:space="0" w:color="auto"/>
        <w:bottom w:val="none" w:sz="0" w:space="0" w:color="auto"/>
        <w:right w:val="none" w:sz="0" w:space="0" w:color="auto"/>
      </w:divBdr>
    </w:div>
    <w:div w:id="388842472">
      <w:bodyDiv w:val="1"/>
      <w:marLeft w:val="0"/>
      <w:marRight w:val="0"/>
      <w:marTop w:val="0"/>
      <w:marBottom w:val="0"/>
      <w:divBdr>
        <w:top w:val="none" w:sz="0" w:space="0" w:color="auto"/>
        <w:left w:val="none" w:sz="0" w:space="0" w:color="auto"/>
        <w:bottom w:val="none" w:sz="0" w:space="0" w:color="auto"/>
        <w:right w:val="none" w:sz="0" w:space="0" w:color="auto"/>
      </w:divBdr>
    </w:div>
    <w:div w:id="390037361">
      <w:bodyDiv w:val="1"/>
      <w:marLeft w:val="0"/>
      <w:marRight w:val="0"/>
      <w:marTop w:val="0"/>
      <w:marBottom w:val="0"/>
      <w:divBdr>
        <w:top w:val="none" w:sz="0" w:space="0" w:color="auto"/>
        <w:left w:val="none" w:sz="0" w:space="0" w:color="auto"/>
        <w:bottom w:val="none" w:sz="0" w:space="0" w:color="auto"/>
        <w:right w:val="none" w:sz="0" w:space="0" w:color="auto"/>
      </w:divBdr>
    </w:div>
    <w:div w:id="390424380">
      <w:bodyDiv w:val="1"/>
      <w:marLeft w:val="0"/>
      <w:marRight w:val="0"/>
      <w:marTop w:val="0"/>
      <w:marBottom w:val="0"/>
      <w:divBdr>
        <w:top w:val="none" w:sz="0" w:space="0" w:color="auto"/>
        <w:left w:val="none" w:sz="0" w:space="0" w:color="auto"/>
        <w:bottom w:val="none" w:sz="0" w:space="0" w:color="auto"/>
        <w:right w:val="none" w:sz="0" w:space="0" w:color="auto"/>
      </w:divBdr>
    </w:div>
    <w:div w:id="392125031">
      <w:bodyDiv w:val="1"/>
      <w:marLeft w:val="0"/>
      <w:marRight w:val="0"/>
      <w:marTop w:val="0"/>
      <w:marBottom w:val="0"/>
      <w:divBdr>
        <w:top w:val="none" w:sz="0" w:space="0" w:color="auto"/>
        <w:left w:val="none" w:sz="0" w:space="0" w:color="auto"/>
        <w:bottom w:val="none" w:sz="0" w:space="0" w:color="auto"/>
        <w:right w:val="none" w:sz="0" w:space="0" w:color="auto"/>
      </w:divBdr>
    </w:div>
    <w:div w:id="393509949">
      <w:bodyDiv w:val="1"/>
      <w:marLeft w:val="0"/>
      <w:marRight w:val="0"/>
      <w:marTop w:val="0"/>
      <w:marBottom w:val="0"/>
      <w:divBdr>
        <w:top w:val="none" w:sz="0" w:space="0" w:color="auto"/>
        <w:left w:val="none" w:sz="0" w:space="0" w:color="auto"/>
        <w:bottom w:val="none" w:sz="0" w:space="0" w:color="auto"/>
        <w:right w:val="none" w:sz="0" w:space="0" w:color="auto"/>
      </w:divBdr>
    </w:div>
    <w:div w:id="394548653">
      <w:bodyDiv w:val="1"/>
      <w:marLeft w:val="0"/>
      <w:marRight w:val="0"/>
      <w:marTop w:val="0"/>
      <w:marBottom w:val="0"/>
      <w:divBdr>
        <w:top w:val="none" w:sz="0" w:space="0" w:color="auto"/>
        <w:left w:val="none" w:sz="0" w:space="0" w:color="auto"/>
        <w:bottom w:val="none" w:sz="0" w:space="0" w:color="auto"/>
        <w:right w:val="none" w:sz="0" w:space="0" w:color="auto"/>
      </w:divBdr>
    </w:div>
    <w:div w:id="395445344">
      <w:bodyDiv w:val="1"/>
      <w:marLeft w:val="0"/>
      <w:marRight w:val="0"/>
      <w:marTop w:val="0"/>
      <w:marBottom w:val="0"/>
      <w:divBdr>
        <w:top w:val="none" w:sz="0" w:space="0" w:color="auto"/>
        <w:left w:val="none" w:sz="0" w:space="0" w:color="auto"/>
        <w:bottom w:val="none" w:sz="0" w:space="0" w:color="auto"/>
        <w:right w:val="none" w:sz="0" w:space="0" w:color="auto"/>
      </w:divBdr>
    </w:div>
    <w:div w:id="396633086">
      <w:bodyDiv w:val="1"/>
      <w:marLeft w:val="0"/>
      <w:marRight w:val="0"/>
      <w:marTop w:val="0"/>
      <w:marBottom w:val="0"/>
      <w:divBdr>
        <w:top w:val="none" w:sz="0" w:space="0" w:color="auto"/>
        <w:left w:val="none" w:sz="0" w:space="0" w:color="auto"/>
        <w:bottom w:val="none" w:sz="0" w:space="0" w:color="auto"/>
        <w:right w:val="none" w:sz="0" w:space="0" w:color="auto"/>
      </w:divBdr>
    </w:div>
    <w:div w:id="397437529">
      <w:bodyDiv w:val="1"/>
      <w:marLeft w:val="0"/>
      <w:marRight w:val="0"/>
      <w:marTop w:val="0"/>
      <w:marBottom w:val="0"/>
      <w:divBdr>
        <w:top w:val="none" w:sz="0" w:space="0" w:color="auto"/>
        <w:left w:val="none" w:sz="0" w:space="0" w:color="auto"/>
        <w:bottom w:val="none" w:sz="0" w:space="0" w:color="auto"/>
        <w:right w:val="none" w:sz="0" w:space="0" w:color="auto"/>
      </w:divBdr>
    </w:div>
    <w:div w:id="39879484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399788174">
      <w:bodyDiv w:val="1"/>
      <w:marLeft w:val="0"/>
      <w:marRight w:val="0"/>
      <w:marTop w:val="0"/>
      <w:marBottom w:val="0"/>
      <w:divBdr>
        <w:top w:val="none" w:sz="0" w:space="0" w:color="auto"/>
        <w:left w:val="none" w:sz="0" w:space="0" w:color="auto"/>
        <w:bottom w:val="none" w:sz="0" w:space="0" w:color="auto"/>
        <w:right w:val="none" w:sz="0" w:space="0" w:color="auto"/>
      </w:divBdr>
    </w:div>
    <w:div w:id="400837789">
      <w:bodyDiv w:val="1"/>
      <w:marLeft w:val="0"/>
      <w:marRight w:val="0"/>
      <w:marTop w:val="0"/>
      <w:marBottom w:val="0"/>
      <w:divBdr>
        <w:top w:val="none" w:sz="0" w:space="0" w:color="auto"/>
        <w:left w:val="none" w:sz="0" w:space="0" w:color="auto"/>
        <w:bottom w:val="none" w:sz="0" w:space="0" w:color="auto"/>
        <w:right w:val="none" w:sz="0" w:space="0" w:color="auto"/>
      </w:divBdr>
    </w:div>
    <w:div w:id="402333040">
      <w:bodyDiv w:val="1"/>
      <w:marLeft w:val="0"/>
      <w:marRight w:val="0"/>
      <w:marTop w:val="0"/>
      <w:marBottom w:val="0"/>
      <w:divBdr>
        <w:top w:val="none" w:sz="0" w:space="0" w:color="auto"/>
        <w:left w:val="none" w:sz="0" w:space="0" w:color="auto"/>
        <w:bottom w:val="none" w:sz="0" w:space="0" w:color="auto"/>
        <w:right w:val="none" w:sz="0" w:space="0" w:color="auto"/>
      </w:divBdr>
    </w:div>
    <w:div w:id="402486252">
      <w:bodyDiv w:val="1"/>
      <w:marLeft w:val="0"/>
      <w:marRight w:val="0"/>
      <w:marTop w:val="0"/>
      <w:marBottom w:val="0"/>
      <w:divBdr>
        <w:top w:val="none" w:sz="0" w:space="0" w:color="auto"/>
        <w:left w:val="none" w:sz="0" w:space="0" w:color="auto"/>
        <w:bottom w:val="none" w:sz="0" w:space="0" w:color="auto"/>
        <w:right w:val="none" w:sz="0" w:space="0" w:color="auto"/>
      </w:divBdr>
    </w:div>
    <w:div w:id="404453307">
      <w:bodyDiv w:val="1"/>
      <w:marLeft w:val="0"/>
      <w:marRight w:val="0"/>
      <w:marTop w:val="0"/>
      <w:marBottom w:val="0"/>
      <w:divBdr>
        <w:top w:val="none" w:sz="0" w:space="0" w:color="auto"/>
        <w:left w:val="none" w:sz="0" w:space="0" w:color="auto"/>
        <w:bottom w:val="none" w:sz="0" w:space="0" w:color="auto"/>
        <w:right w:val="none" w:sz="0" w:space="0" w:color="auto"/>
      </w:divBdr>
    </w:div>
    <w:div w:id="406391012">
      <w:bodyDiv w:val="1"/>
      <w:marLeft w:val="0"/>
      <w:marRight w:val="0"/>
      <w:marTop w:val="0"/>
      <w:marBottom w:val="0"/>
      <w:divBdr>
        <w:top w:val="none" w:sz="0" w:space="0" w:color="auto"/>
        <w:left w:val="none" w:sz="0" w:space="0" w:color="auto"/>
        <w:bottom w:val="none" w:sz="0" w:space="0" w:color="auto"/>
        <w:right w:val="none" w:sz="0" w:space="0" w:color="auto"/>
      </w:divBdr>
    </w:div>
    <w:div w:id="406418256">
      <w:bodyDiv w:val="1"/>
      <w:marLeft w:val="0"/>
      <w:marRight w:val="0"/>
      <w:marTop w:val="0"/>
      <w:marBottom w:val="0"/>
      <w:divBdr>
        <w:top w:val="none" w:sz="0" w:space="0" w:color="auto"/>
        <w:left w:val="none" w:sz="0" w:space="0" w:color="auto"/>
        <w:bottom w:val="none" w:sz="0" w:space="0" w:color="auto"/>
        <w:right w:val="none" w:sz="0" w:space="0" w:color="auto"/>
      </w:divBdr>
    </w:div>
    <w:div w:id="407505132">
      <w:bodyDiv w:val="1"/>
      <w:marLeft w:val="0"/>
      <w:marRight w:val="0"/>
      <w:marTop w:val="0"/>
      <w:marBottom w:val="0"/>
      <w:divBdr>
        <w:top w:val="none" w:sz="0" w:space="0" w:color="auto"/>
        <w:left w:val="none" w:sz="0" w:space="0" w:color="auto"/>
        <w:bottom w:val="none" w:sz="0" w:space="0" w:color="auto"/>
        <w:right w:val="none" w:sz="0" w:space="0" w:color="auto"/>
      </w:divBdr>
    </w:div>
    <w:div w:id="408886073">
      <w:bodyDiv w:val="1"/>
      <w:marLeft w:val="0"/>
      <w:marRight w:val="0"/>
      <w:marTop w:val="0"/>
      <w:marBottom w:val="0"/>
      <w:divBdr>
        <w:top w:val="none" w:sz="0" w:space="0" w:color="auto"/>
        <w:left w:val="none" w:sz="0" w:space="0" w:color="auto"/>
        <w:bottom w:val="none" w:sz="0" w:space="0" w:color="auto"/>
        <w:right w:val="none" w:sz="0" w:space="0" w:color="auto"/>
      </w:divBdr>
    </w:div>
    <w:div w:id="410124851">
      <w:bodyDiv w:val="1"/>
      <w:marLeft w:val="0"/>
      <w:marRight w:val="0"/>
      <w:marTop w:val="0"/>
      <w:marBottom w:val="0"/>
      <w:divBdr>
        <w:top w:val="none" w:sz="0" w:space="0" w:color="auto"/>
        <w:left w:val="none" w:sz="0" w:space="0" w:color="auto"/>
        <w:bottom w:val="none" w:sz="0" w:space="0" w:color="auto"/>
        <w:right w:val="none" w:sz="0" w:space="0" w:color="auto"/>
      </w:divBdr>
    </w:div>
    <w:div w:id="411394842">
      <w:bodyDiv w:val="1"/>
      <w:marLeft w:val="0"/>
      <w:marRight w:val="0"/>
      <w:marTop w:val="0"/>
      <w:marBottom w:val="0"/>
      <w:divBdr>
        <w:top w:val="none" w:sz="0" w:space="0" w:color="auto"/>
        <w:left w:val="none" w:sz="0" w:space="0" w:color="auto"/>
        <w:bottom w:val="none" w:sz="0" w:space="0" w:color="auto"/>
        <w:right w:val="none" w:sz="0" w:space="0" w:color="auto"/>
      </w:divBdr>
    </w:div>
    <w:div w:id="413167945">
      <w:bodyDiv w:val="1"/>
      <w:marLeft w:val="0"/>
      <w:marRight w:val="0"/>
      <w:marTop w:val="0"/>
      <w:marBottom w:val="0"/>
      <w:divBdr>
        <w:top w:val="none" w:sz="0" w:space="0" w:color="auto"/>
        <w:left w:val="none" w:sz="0" w:space="0" w:color="auto"/>
        <w:bottom w:val="none" w:sz="0" w:space="0" w:color="auto"/>
        <w:right w:val="none" w:sz="0" w:space="0" w:color="auto"/>
      </w:divBdr>
    </w:div>
    <w:div w:id="413553940">
      <w:bodyDiv w:val="1"/>
      <w:marLeft w:val="0"/>
      <w:marRight w:val="0"/>
      <w:marTop w:val="0"/>
      <w:marBottom w:val="0"/>
      <w:divBdr>
        <w:top w:val="none" w:sz="0" w:space="0" w:color="auto"/>
        <w:left w:val="none" w:sz="0" w:space="0" w:color="auto"/>
        <w:bottom w:val="none" w:sz="0" w:space="0" w:color="auto"/>
        <w:right w:val="none" w:sz="0" w:space="0" w:color="auto"/>
      </w:divBdr>
    </w:div>
    <w:div w:id="414594944">
      <w:bodyDiv w:val="1"/>
      <w:marLeft w:val="0"/>
      <w:marRight w:val="0"/>
      <w:marTop w:val="0"/>
      <w:marBottom w:val="0"/>
      <w:divBdr>
        <w:top w:val="none" w:sz="0" w:space="0" w:color="auto"/>
        <w:left w:val="none" w:sz="0" w:space="0" w:color="auto"/>
        <w:bottom w:val="none" w:sz="0" w:space="0" w:color="auto"/>
        <w:right w:val="none" w:sz="0" w:space="0" w:color="auto"/>
      </w:divBdr>
    </w:div>
    <w:div w:id="416362460">
      <w:bodyDiv w:val="1"/>
      <w:marLeft w:val="0"/>
      <w:marRight w:val="0"/>
      <w:marTop w:val="0"/>
      <w:marBottom w:val="0"/>
      <w:divBdr>
        <w:top w:val="none" w:sz="0" w:space="0" w:color="auto"/>
        <w:left w:val="none" w:sz="0" w:space="0" w:color="auto"/>
        <w:bottom w:val="none" w:sz="0" w:space="0" w:color="auto"/>
        <w:right w:val="none" w:sz="0" w:space="0" w:color="auto"/>
      </w:divBdr>
    </w:div>
    <w:div w:id="416706967">
      <w:bodyDiv w:val="1"/>
      <w:marLeft w:val="0"/>
      <w:marRight w:val="0"/>
      <w:marTop w:val="0"/>
      <w:marBottom w:val="0"/>
      <w:divBdr>
        <w:top w:val="none" w:sz="0" w:space="0" w:color="auto"/>
        <w:left w:val="none" w:sz="0" w:space="0" w:color="auto"/>
        <w:bottom w:val="none" w:sz="0" w:space="0" w:color="auto"/>
        <w:right w:val="none" w:sz="0" w:space="0" w:color="auto"/>
      </w:divBdr>
    </w:div>
    <w:div w:id="416748211">
      <w:bodyDiv w:val="1"/>
      <w:marLeft w:val="0"/>
      <w:marRight w:val="0"/>
      <w:marTop w:val="0"/>
      <w:marBottom w:val="0"/>
      <w:divBdr>
        <w:top w:val="none" w:sz="0" w:space="0" w:color="auto"/>
        <w:left w:val="none" w:sz="0" w:space="0" w:color="auto"/>
        <w:bottom w:val="none" w:sz="0" w:space="0" w:color="auto"/>
        <w:right w:val="none" w:sz="0" w:space="0" w:color="auto"/>
      </w:divBdr>
    </w:div>
    <w:div w:id="418016823">
      <w:bodyDiv w:val="1"/>
      <w:marLeft w:val="0"/>
      <w:marRight w:val="0"/>
      <w:marTop w:val="0"/>
      <w:marBottom w:val="0"/>
      <w:divBdr>
        <w:top w:val="none" w:sz="0" w:space="0" w:color="auto"/>
        <w:left w:val="none" w:sz="0" w:space="0" w:color="auto"/>
        <w:bottom w:val="none" w:sz="0" w:space="0" w:color="auto"/>
        <w:right w:val="none" w:sz="0" w:space="0" w:color="auto"/>
      </w:divBdr>
    </w:div>
    <w:div w:id="419106359">
      <w:bodyDiv w:val="1"/>
      <w:marLeft w:val="0"/>
      <w:marRight w:val="0"/>
      <w:marTop w:val="0"/>
      <w:marBottom w:val="0"/>
      <w:divBdr>
        <w:top w:val="none" w:sz="0" w:space="0" w:color="auto"/>
        <w:left w:val="none" w:sz="0" w:space="0" w:color="auto"/>
        <w:bottom w:val="none" w:sz="0" w:space="0" w:color="auto"/>
        <w:right w:val="none" w:sz="0" w:space="0" w:color="auto"/>
      </w:divBdr>
    </w:div>
    <w:div w:id="420375372">
      <w:bodyDiv w:val="1"/>
      <w:marLeft w:val="0"/>
      <w:marRight w:val="0"/>
      <w:marTop w:val="0"/>
      <w:marBottom w:val="0"/>
      <w:divBdr>
        <w:top w:val="none" w:sz="0" w:space="0" w:color="auto"/>
        <w:left w:val="none" w:sz="0" w:space="0" w:color="auto"/>
        <w:bottom w:val="none" w:sz="0" w:space="0" w:color="auto"/>
        <w:right w:val="none" w:sz="0" w:space="0" w:color="auto"/>
      </w:divBdr>
    </w:div>
    <w:div w:id="421413403">
      <w:bodyDiv w:val="1"/>
      <w:marLeft w:val="0"/>
      <w:marRight w:val="0"/>
      <w:marTop w:val="0"/>
      <w:marBottom w:val="0"/>
      <w:divBdr>
        <w:top w:val="none" w:sz="0" w:space="0" w:color="auto"/>
        <w:left w:val="none" w:sz="0" w:space="0" w:color="auto"/>
        <w:bottom w:val="none" w:sz="0" w:space="0" w:color="auto"/>
        <w:right w:val="none" w:sz="0" w:space="0" w:color="auto"/>
      </w:divBdr>
    </w:div>
    <w:div w:id="421489365">
      <w:bodyDiv w:val="1"/>
      <w:marLeft w:val="0"/>
      <w:marRight w:val="0"/>
      <w:marTop w:val="0"/>
      <w:marBottom w:val="0"/>
      <w:divBdr>
        <w:top w:val="none" w:sz="0" w:space="0" w:color="auto"/>
        <w:left w:val="none" w:sz="0" w:space="0" w:color="auto"/>
        <w:bottom w:val="none" w:sz="0" w:space="0" w:color="auto"/>
        <w:right w:val="none" w:sz="0" w:space="0" w:color="auto"/>
      </w:divBdr>
    </w:div>
    <w:div w:id="422147993">
      <w:bodyDiv w:val="1"/>
      <w:marLeft w:val="0"/>
      <w:marRight w:val="0"/>
      <w:marTop w:val="0"/>
      <w:marBottom w:val="0"/>
      <w:divBdr>
        <w:top w:val="none" w:sz="0" w:space="0" w:color="auto"/>
        <w:left w:val="none" w:sz="0" w:space="0" w:color="auto"/>
        <w:bottom w:val="none" w:sz="0" w:space="0" w:color="auto"/>
        <w:right w:val="none" w:sz="0" w:space="0" w:color="auto"/>
      </w:divBdr>
    </w:div>
    <w:div w:id="422922585">
      <w:bodyDiv w:val="1"/>
      <w:marLeft w:val="0"/>
      <w:marRight w:val="0"/>
      <w:marTop w:val="0"/>
      <w:marBottom w:val="0"/>
      <w:divBdr>
        <w:top w:val="none" w:sz="0" w:space="0" w:color="auto"/>
        <w:left w:val="none" w:sz="0" w:space="0" w:color="auto"/>
        <w:bottom w:val="none" w:sz="0" w:space="0" w:color="auto"/>
        <w:right w:val="none" w:sz="0" w:space="0" w:color="auto"/>
      </w:divBdr>
    </w:div>
    <w:div w:id="422993645">
      <w:bodyDiv w:val="1"/>
      <w:marLeft w:val="0"/>
      <w:marRight w:val="0"/>
      <w:marTop w:val="0"/>
      <w:marBottom w:val="0"/>
      <w:divBdr>
        <w:top w:val="none" w:sz="0" w:space="0" w:color="auto"/>
        <w:left w:val="none" w:sz="0" w:space="0" w:color="auto"/>
        <w:bottom w:val="none" w:sz="0" w:space="0" w:color="auto"/>
        <w:right w:val="none" w:sz="0" w:space="0" w:color="auto"/>
      </w:divBdr>
    </w:div>
    <w:div w:id="424302190">
      <w:bodyDiv w:val="1"/>
      <w:marLeft w:val="0"/>
      <w:marRight w:val="0"/>
      <w:marTop w:val="0"/>
      <w:marBottom w:val="0"/>
      <w:divBdr>
        <w:top w:val="none" w:sz="0" w:space="0" w:color="auto"/>
        <w:left w:val="none" w:sz="0" w:space="0" w:color="auto"/>
        <w:bottom w:val="none" w:sz="0" w:space="0" w:color="auto"/>
        <w:right w:val="none" w:sz="0" w:space="0" w:color="auto"/>
      </w:divBdr>
    </w:div>
    <w:div w:id="424961402">
      <w:bodyDiv w:val="1"/>
      <w:marLeft w:val="0"/>
      <w:marRight w:val="0"/>
      <w:marTop w:val="0"/>
      <w:marBottom w:val="0"/>
      <w:divBdr>
        <w:top w:val="none" w:sz="0" w:space="0" w:color="auto"/>
        <w:left w:val="none" w:sz="0" w:space="0" w:color="auto"/>
        <w:bottom w:val="none" w:sz="0" w:space="0" w:color="auto"/>
        <w:right w:val="none" w:sz="0" w:space="0" w:color="auto"/>
      </w:divBdr>
    </w:div>
    <w:div w:id="425615047">
      <w:bodyDiv w:val="1"/>
      <w:marLeft w:val="0"/>
      <w:marRight w:val="0"/>
      <w:marTop w:val="0"/>
      <w:marBottom w:val="0"/>
      <w:divBdr>
        <w:top w:val="none" w:sz="0" w:space="0" w:color="auto"/>
        <w:left w:val="none" w:sz="0" w:space="0" w:color="auto"/>
        <w:bottom w:val="none" w:sz="0" w:space="0" w:color="auto"/>
        <w:right w:val="none" w:sz="0" w:space="0" w:color="auto"/>
      </w:divBdr>
    </w:div>
    <w:div w:id="426117602">
      <w:bodyDiv w:val="1"/>
      <w:marLeft w:val="0"/>
      <w:marRight w:val="0"/>
      <w:marTop w:val="0"/>
      <w:marBottom w:val="0"/>
      <w:divBdr>
        <w:top w:val="none" w:sz="0" w:space="0" w:color="auto"/>
        <w:left w:val="none" w:sz="0" w:space="0" w:color="auto"/>
        <w:bottom w:val="none" w:sz="0" w:space="0" w:color="auto"/>
        <w:right w:val="none" w:sz="0" w:space="0" w:color="auto"/>
      </w:divBdr>
    </w:div>
    <w:div w:id="426657404">
      <w:bodyDiv w:val="1"/>
      <w:marLeft w:val="0"/>
      <w:marRight w:val="0"/>
      <w:marTop w:val="0"/>
      <w:marBottom w:val="0"/>
      <w:divBdr>
        <w:top w:val="none" w:sz="0" w:space="0" w:color="auto"/>
        <w:left w:val="none" w:sz="0" w:space="0" w:color="auto"/>
        <w:bottom w:val="none" w:sz="0" w:space="0" w:color="auto"/>
        <w:right w:val="none" w:sz="0" w:space="0" w:color="auto"/>
      </w:divBdr>
    </w:div>
    <w:div w:id="426924778">
      <w:bodyDiv w:val="1"/>
      <w:marLeft w:val="0"/>
      <w:marRight w:val="0"/>
      <w:marTop w:val="0"/>
      <w:marBottom w:val="0"/>
      <w:divBdr>
        <w:top w:val="none" w:sz="0" w:space="0" w:color="auto"/>
        <w:left w:val="none" w:sz="0" w:space="0" w:color="auto"/>
        <w:bottom w:val="none" w:sz="0" w:space="0" w:color="auto"/>
        <w:right w:val="none" w:sz="0" w:space="0" w:color="auto"/>
      </w:divBdr>
    </w:div>
    <w:div w:id="427426111">
      <w:bodyDiv w:val="1"/>
      <w:marLeft w:val="0"/>
      <w:marRight w:val="0"/>
      <w:marTop w:val="0"/>
      <w:marBottom w:val="0"/>
      <w:divBdr>
        <w:top w:val="none" w:sz="0" w:space="0" w:color="auto"/>
        <w:left w:val="none" w:sz="0" w:space="0" w:color="auto"/>
        <w:bottom w:val="none" w:sz="0" w:space="0" w:color="auto"/>
        <w:right w:val="none" w:sz="0" w:space="0" w:color="auto"/>
      </w:divBdr>
    </w:div>
    <w:div w:id="427895295">
      <w:bodyDiv w:val="1"/>
      <w:marLeft w:val="0"/>
      <w:marRight w:val="0"/>
      <w:marTop w:val="0"/>
      <w:marBottom w:val="0"/>
      <w:divBdr>
        <w:top w:val="none" w:sz="0" w:space="0" w:color="auto"/>
        <w:left w:val="none" w:sz="0" w:space="0" w:color="auto"/>
        <w:bottom w:val="none" w:sz="0" w:space="0" w:color="auto"/>
        <w:right w:val="none" w:sz="0" w:space="0" w:color="auto"/>
      </w:divBdr>
    </w:div>
    <w:div w:id="429545953">
      <w:bodyDiv w:val="1"/>
      <w:marLeft w:val="0"/>
      <w:marRight w:val="0"/>
      <w:marTop w:val="0"/>
      <w:marBottom w:val="0"/>
      <w:divBdr>
        <w:top w:val="none" w:sz="0" w:space="0" w:color="auto"/>
        <w:left w:val="none" w:sz="0" w:space="0" w:color="auto"/>
        <w:bottom w:val="none" w:sz="0" w:space="0" w:color="auto"/>
        <w:right w:val="none" w:sz="0" w:space="0" w:color="auto"/>
      </w:divBdr>
    </w:div>
    <w:div w:id="431173190">
      <w:bodyDiv w:val="1"/>
      <w:marLeft w:val="0"/>
      <w:marRight w:val="0"/>
      <w:marTop w:val="0"/>
      <w:marBottom w:val="0"/>
      <w:divBdr>
        <w:top w:val="none" w:sz="0" w:space="0" w:color="auto"/>
        <w:left w:val="none" w:sz="0" w:space="0" w:color="auto"/>
        <w:bottom w:val="none" w:sz="0" w:space="0" w:color="auto"/>
        <w:right w:val="none" w:sz="0" w:space="0" w:color="auto"/>
      </w:divBdr>
    </w:div>
    <w:div w:id="432282834">
      <w:bodyDiv w:val="1"/>
      <w:marLeft w:val="0"/>
      <w:marRight w:val="0"/>
      <w:marTop w:val="0"/>
      <w:marBottom w:val="0"/>
      <w:divBdr>
        <w:top w:val="none" w:sz="0" w:space="0" w:color="auto"/>
        <w:left w:val="none" w:sz="0" w:space="0" w:color="auto"/>
        <w:bottom w:val="none" w:sz="0" w:space="0" w:color="auto"/>
        <w:right w:val="none" w:sz="0" w:space="0" w:color="auto"/>
      </w:divBdr>
    </w:div>
    <w:div w:id="434134868">
      <w:bodyDiv w:val="1"/>
      <w:marLeft w:val="0"/>
      <w:marRight w:val="0"/>
      <w:marTop w:val="0"/>
      <w:marBottom w:val="0"/>
      <w:divBdr>
        <w:top w:val="none" w:sz="0" w:space="0" w:color="auto"/>
        <w:left w:val="none" w:sz="0" w:space="0" w:color="auto"/>
        <w:bottom w:val="none" w:sz="0" w:space="0" w:color="auto"/>
        <w:right w:val="none" w:sz="0" w:space="0" w:color="auto"/>
      </w:divBdr>
    </w:div>
    <w:div w:id="437069865">
      <w:bodyDiv w:val="1"/>
      <w:marLeft w:val="0"/>
      <w:marRight w:val="0"/>
      <w:marTop w:val="0"/>
      <w:marBottom w:val="0"/>
      <w:divBdr>
        <w:top w:val="none" w:sz="0" w:space="0" w:color="auto"/>
        <w:left w:val="none" w:sz="0" w:space="0" w:color="auto"/>
        <w:bottom w:val="none" w:sz="0" w:space="0" w:color="auto"/>
        <w:right w:val="none" w:sz="0" w:space="0" w:color="auto"/>
      </w:divBdr>
    </w:div>
    <w:div w:id="437146252">
      <w:bodyDiv w:val="1"/>
      <w:marLeft w:val="0"/>
      <w:marRight w:val="0"/>
      <w:marTop w:val="0"/>
      <w:marBottom w:val="0"/>
      <w:divBdr>
        <w:top w:val="none" w:sz="0" w:space="0" w:color="auto"/>
        <w:left w:val="none" w:sz="0" w:space="0" w:color="auto"/>
        <w:bottom w:val="none" w:sz="0" w:space="0" w:color="auto"/>
        <w:right w:val="none" w:sz="0" w:space="0" w:color="auto"/>
      </w:divBdr>
    </w:div>
    <w:div w:id="437677090">
      <w:bodyDiv w:val="1"/>
      <w:marLeft w:val="0"/>
      <w:marRight w:val="0"/>
      <w:marTop w:val="0"/>
      <w:marBottom w:val="0"/>
      <w:divBdr>
        <w:top w:val="none" w:sz="0" w:space="0" w:color="auto"/>
        <w:left w:val="none" w:sz="0" w:space="0" w:color="auto"/>
        <w:bottom w:val="none" w:sz="0" w:space="0" w:color="auto"/>
        <w:right w:val="none" w:sz="0" w:space="0" w:color="auto"/>
      </w:divBdr>
    </w:div>
    <w:div w:id="438259409">
      <w:bodyDiv w:val="1"/>
      <w:marLeft w:val="0"/>
      <w:marRight w:val="0"/>
      <w:marTop w:val="0"/>
      <w:marBottom w:val="0"/>
      <w:divBdr>
        <w:top w:val="none" w:sz="0" w:space="0" w:color="auto"/>
        <w:left w:val="none" w:sz="0" w:space="0" w:color="auto"/>
        <w:bottom w:val="none" w:sz="0" w:space="0" w:color="auto"/>
        <w:right w:val="none" w:sz="0" w:space="0" w:color="auto"/>
      </w:divBdr>
    </w:div>
    <w:div w:id="438916287">
      <w:bodyDiv w:val="1"/>
      <w:marLeft w:val="0"/>
      <w:marRight w:val="0"/>
      <w:marTop w:val="0"/>
      <w:marBottom w:val="0"/>
      <w:divBdr>
        <w:top w:val="none" w:sz="0" w:space="0" w:color="auto"/>
        <w:left w:val="none" w:sz="0" w:space="0" w:color="auto"/>
        <w:bottom w:val="none" w:sz="0" w:space="0" w:color="auto"/>
        <w:right w:val="none" w:sz="0" w:space="0" w:color="auto"/>
      </w:divBdr>
    </w:div>
    <w:div w:id="439569876">
      <w:bodyDiv w:val="1"/>
      <w:marLeft w:val="0"/>
      <w:marRight w:val="0"/>
      <w:marTop w:val="0"/>
      <w:marBottom w:val="0"/>
      <w:divBdr>
        <w:top w:val="none" w:sz="0" w:space="0" w:color="auto"/>
        <w:left w:val="none" w:sz="0" w:space="0" w:color="auto"/>
        <w:bottom w:val="none" w:sz="0" w:space="0" w:color="auto"/>
        <w:right w:val="none" w:sz="0" w:space="0" w:color="auto"/>
      </w:divBdr>
    </w:div>
    <w:div w:id="440271051">
      <w:bodyDiv w:val="1"/>
      <w:marLeft w:val="0"/>
      <w:marRight w:val="0"/>
      <w:marTop w:val="0"/>
      <w:marBottom w:val="0"/>
      <w:divBdr>
        <w:top w:val="none" w:sz="0" w:space="0" w:color="auto"/>
        <w:left w:val="none" w:sz="0" w:space="0" w:color="auto"/>
        <w:bottom w:val="none" w:sz="0" w:space="0" w:color="auto"/>
        <w:right w:val="none" w:sz="0" w:space="0" w:color="auto"/>
      </w:divBdr>
    </w:div>
    <w:div w:id="440994958">
      <w:bodyDiv w:val="1"/>
      <w:marLeft w:val="0"/>
      <w:marRight w:val="0"/>
      <w:marTop w:val="0"/>
      <w:marBottom w:val="0"/>
      <w:divBdr>
        <w:top w:val="none" w:sz="0" w:space="0" w:color="auto"/>
        <w:left w:val="none" w:sz="0" w:space="0" w:color="auto"/>
        <w:bottom w:val="none" w:sz="0" w:space="0" w:color="auto"/>
        <w:right w:val="none" w:sz="0" w:space="0" w:color="auto"/>
      </w:divBdr>
    </w:div>
    <w:div w:id="441538883">
      <w:bodyDiv w:val="1"/>
      <w:marLeft w:val="0"/>
      <w:marRight w:val="0"/>
      <w:marTop w:val="0"/>
      <w:marBottom w:val="0"/>
      <w:divBdr>
        <w:top w:val="none" w:sz="0" w:space="0" w:color="auto"/>
        <w:left w:val="none" w:sz="0" w:space="0" w:color="auto"/>
        <w:bottom w:val="none" w:sz="0" w:space="0" w:color="auto"/>
        <w:right w:val="none" w:sz="0" w:space="0" w:color="auto"/>
      </w:divBdr>
    </w:div>
    <w:div w:id="442042565">
      <w:bodyDiv w:val="1"/>
      <w:marLeft w:val="0"/>
      <w:marRight w:val="0"/>
      <w:marTop w:val="0"/>
      <w:marBottom w:val="0"/>
      <w:divBdr>
        <w:top w:val="none" w:sz="0" w:space="0" w:color="auto"/>
        <w:left w:val="none" w:sz="0" w:space="0" w:color="auto"/>
        <w:bottom w:val="none" w:sz="0" w:space="0" w:color="auto"/>
        <w:right w:val="none" w:sz="0" w:space="0" w:color="auto"/>
      </w:divBdr>
    </w:div>
    <w:div w:id="444276852">
      <w:bodyDiv w:val="1"/>
      <w:marLeft w:val="0"/>
      <w:marRight w:val="0"/>
      <w:marTop w:val="0"/>
      <w:marBottom w:val="0"/>
      <w:divBdr>
        <w:top w:val="none" w:sz="0" w:space="0" w:color="auto"/>
        <w:left w:val="none" w:sz="0" w:space="0" w:color="auto"/>
        <w:bottom w:val="none" w:sz="0" w:space="0" w:color="auto"/>
        <w:right w:val="none" w:sz="0" w:space="0" w:color="auto"/>
      </w:divBdr>
    </w:div>
    <w:div w:id="444739664">
      <w:bodyDiv w:val="1"/>
      <w:marLeft w:val="0"/>
      <w:marRight w:val="0"/>
      <w:marTop w:val="0"/>
      <w:marBottom w:val="0"/>
      <w:divBdr>
        <w:top w:val="none" w:sz="0" w:space="0" w:color="auto"/>
        <w:left w:val="none" w:sz="0" w:space="0" w:color="auto"/>
        <w:bottom w:val="none" w:sz="0" w:space="0" w:color="auto"/>
        <w:right w:val="none" w:sz="0" w:space="0" w:color="auto"/>
      </w:divBdr>
    </w:div>
    <w:div w:id="445197359">
      <w:bodyDiv w:val="1"/>
      <w:marLeft w:val="0"/>
      <w:marRight w:val="0"/>
      <w:marTop w:val="0"/>
      <w:marBottom w:val="0"/>
      <w:divBdr>
        <w:top w:val="none" w:sz="0" w:space="0" w:color="auto"/>
        <w:left w:val="none" w:sz="0" w:space="0" w:color="auto"/>
        <w:bottom w:val="none" w:sz="0" w:space="0" w:color="auto"/>
        <w:right w:val="none" w:sz="0" w:space="0" w:color="auto"/>
      </w:divBdr>
    </w:div>
    <w:div w:id="445974060">
      <w:bodyDiv w:val="1"/>
      <w:marLeft w:val="0"/>
      <w:marRight w:val="0"/>
      <w:marTop w:val="0"/>
      <w:marBottom w:val="0"/>
      <w:divBdr>
        <w:top w:val="none" w:sz="0" w:space="0" w:color="auto"/>
        <w:left w:val="none" w:sz="0" w:space="0" w:color="auto"/>
        <w:bottom w:val="none" w:sz="0" w:space="0" w:color="auto"/>
        <w:right w:val="none" w:sz="0" w:space="0" w:color="auto"/>
      </w:divBdr>
    </w:div>
    <w:div w:id="446629902">
      <w:bodyDiv w:val="1"/>
      <w:marLeft w:val="0"/>
      <w:marRight w:val="0"/>
      <w:marTop w:val="0"/>
      <w:marBottom w:val="0"/>
      <w:divBdr>
        <w:top w:val="none" w:sz="0" w:space="0" w:color="auto"/>
        <w:left w:val="none" w:sz="0" w:space="0" w:color="auto"/>
        <w:bottom w:val="none" w:sz="0" w:space="0" w:color="auto"/>
        <w:right w:val="none" w:sz="0" w:space="0" w:color="auto"/>
      </w:divBdr>
    </w:div>
    <w:div w:id="447503627">
      <w:bodyDiv w:val="1"/>
      <w:marLeft w:val="0"/>
      <w:marRight w:val="0"/>
      <w:marTop w:val="0"/>
      <w:marBottom w:val="0"/>
      <w:divBdr>
        <w:top w:val="none" w:sz="0" w:space="0" w:color="auto"/>
        <w:left w:val="none" w:sz="0" w:space="0" w:color="auto"/>
        <w:bottom w:val="none" w:sz="0" w:space="0" w:color="auto"/>
        <w:right w:val="none" w:sz="0" w:space="0" w:color="auto"/>
      </w:divBdr>
    </w:div>
    <w:div w:id="449738499">
      <w:bodyDiv w:val="1"/>
      <w:marLeft w:val="0"/>
      <w:marRight w:val="0"/>
      <w:marTop w:val="0"/>
      <w:marBottom w:val="0"/>
      <w:divBdr>
        <w:top w:val="none" w:sz="0" w:space="0" w:color="auto"/>
        <w:left w:val="none" w:sz="0" w:space="0" w:color="auto"/>
        <w:bottom w:val="none" w:sz="0" w:space="0" w:color="auto"/>
        <w:right w:val="none" w:sz="0" w:space="0" w:color="auto"/>
      </w:divBdr>
    </w:div>
    <w:div w:id="449975297">
      <w:bodyDiv w:val="1"/>
      <w:marLeft w:val="0"/>
      <w:marRight w:val="0"/>
      <w:marTop w:val="0"/>
      <w:marBottom w:val="0"/>
      <w:divBdr>
        <w:top w:val="none" w:sz="0" w:space="0" w:color="auto"/>
        <w:left w:val="none" w:sz="0" w:space="0" w:color="auto"/>
        <w:bottom w:val="none" w:sz="0" w:space="0" w:color="auto"/>
        <w:right w:val="none" w:sz="0" w:space="0" w:color="auto"/>
      </w:divBdr>
    </w:div>
    <w:div w:id="450590571">
      <w:bodyDiv w:val="1"/>
      <w:marLeft w:val="0"/>
      <w:marRight w:val="0"/>
      <w:marTop w:val="0"/>
      <w:marBottom w:val="0"/>
      <w:divBdr>
        <w:top w:val="none" w:sz="0" w:space="0" w:color="auto"/>
        <w:left w:val="none" w:sz="0" w:space="0" w:color="auto"/>
        <w:bottom w:val="none" w:sz="0" w:space="0" w:color="auto"/>
        <w:right w:val="none" w:sz="0" w:space="0" w:color="auto"/>
      </w:divBdr>
    </w:div>
    <w:div w:id="451287573">
      <w:bodyDiv w:val="1"/>
      <w:marLeft w:val="0"/>
      <w:marRight w:val="0"/>
      <w:marTop w:val="0"/>
      <w:marBottom w:val="0"/>
      <w:divBdr>
        <w:top w:val="none" w:sz="0" w:space="0" w:color="auto"/>
        <w:left w:val="none" w:sz="0" w:space="0" w:color="auto"/>
        <w:bottom w:val="none" w:sz="0" w:space="0" w:color="auto"/>
        <w:right w:val="none" w:sz="0" w:space="0" w:color="auto"/>
      </w:divBdr>
    </w:div>
    <w:div w:id="453184199">
      <w:bodyDiv w:val="1"/>
      <w:marLeft w:val="0"/>
      <w:marRight w:val="0"/>
      <w:marTop w:val="0"/>
      <w:marBottom w:val="0"/>
      <w:divBdr>
        <w:top w:val="none" w:sz="0" w:space="0" w:color="auto"/>
        <w:left w:val="none" w:sz="0" w:space="0" w:color="auto"/>
        <w:bottom w:val="none" w:sz="0" w:space="0" w:color="auto"/>
        <w:right w:val="none" w:sz="0" w:space="0" w:color="auto"/>
      </w:divBdr>
    </w:div>
    <w:div w:id="453796328">
      <w:bodyDiv w:val="1"/>
      <w:marLeft w:val="0"/>
      <w:marRight w:val="0"/>
      <w:marTop w:val="0"/>
      <w:marBottom w:val="0"/>
      <w:divBdr>
        <w:top w:val="none" w:sz="0" w:space="0" w:color="auto"/>
        <w:left w:val="none" w:sz="0" w:space="0" w:color="auto"/>
        <w:bottom w:val="none" w:sz="0" w:space="0" w:color="auto"/>
        <w:right w:val="none" w:sz="0" w:space="0" w:color="auto"/>
      </w:divBdr>
    </w:div>
    <w:div w:id="453838487">
      <w:bodyDiv w:val="1"/>
      <w:marLeft w:val="0"/>
      <w:marRight w:val="0"/>
      <w:marTop w:val="0"/>
      <w:marBottom w:val="0"/>
      <w:divBdr>
        <w:top w:val="none" w:sz="0" w:space="0" w:color="auto"/>
        <w:left w:val="none" w:sz="0" w:space="0" w:color="auto"/>
        <w:bottom w:val="none" w:sz="0" w:space="0" w:color="auto"/>
        <w:right w:val="none" w:sz="0" w:space="0" w:color="auto"/>
      </w:divBdr>
    </w:div>
    <w:div w:id="455828640">
      <w:bodyDiv w:val="1"/>
      <w:marLeft w:val="0"/>
      <w:marRight w:val="0"/>
      <w:marTop w:val="0"/>
      <w:marBottom w:val="0"/>
      <w:divBdr>
        <w:top w:val="none" w:sz="0" w:space="0" w:color="auto"/>
        <w:left w:val="none" w:sz="0" w:space="0" w:color="auto"/>
        <w:bottom w:val="none" w:sz="0" w:space="0" w:color="auto"/>
        <w:right w:val="none" w:sz="0" w:space="0" w:color="auto"/>
      </w:divBdr>
    </w:div>
    <w:div w:id="457070501">
      <w:bodyDiv w:val="1"/>
      <w:marLeft w:val="0"/>
      <w:marRight w:val="0"/>
      <w:marTop w:val="0"/>
      <w:marBottom w:val="0"/>
      <w:divBdr>
        <w:top w:val="none" w:sz="0" w:space="0" w:color="auto"/>
        <w:left w:val="none" w:sz="0" w:space="0" w:color="auto"/>
        <w:bottom w:val="none" w:sz="0" w:space="0" w:color="auto"/>
        <w:right w:val="none" w:sz="0" w:space="0" w:color="auto"/>
      </w:divBdr>
    </w:div>
    <w:div w:id="459034031">
      <w:bodyDiv w:val="1"/>
      <w:marLeft w:val="0"/>
      <w:marRight w:val="0"/>
      <w:marTop w:val="0"/>
      <w:marBottom w:val="0"/>
      <w:divBdr>
        <w:top w:val="none" w:sz="0" w:space="0" w:color="auto"/>
        <w:left w:val="none" w:sz="0" w:space="0" w:color="auto"/>
        <w:bottom w:val="none" w:sz="0" w:space="0" w:color="auto"/>
        <w:right w:val="none" w:sz="0" w:space="0" w:color="auto"/>
      </w:divBdr>
    </w:div>
    <w:div w:id="460802945">
      <w:bodyDiv w:val="1"/>
      <w:marLeft w:val="0"/>
      <w:marRight w:val="0"/>
      <w:marTop w:val="0"/>
      <w:marBottom w:val="0"/>
      <w:divBdr>
        <w:top w:val="none" w:sz="0" w:space="0" w:color="auto"/>
        <w:left w:val="none" w:sz="0" w:space="0" w:color="auto"/>
        <w:bottom w:val="none" w:sz="0" w:space="0" w:color="auto"/>
        <w:right w:val="none" w:sz="0" w:space="0" w:color="auto"/>
      </w:divBdr>
    </w:div>
    <w:div w:id="463161738">
      <w:bodyDiv w:val="1"/>
      <w:marLeft w:val="0"/>
      <w:marRight w:val="0"/>
      <w:marTop w:val="0"/>
      <w:marBottom w:val="0"/>
      <w:divBdr>
        <w:top w:val="none" w:sz="0" w:space="0" w:color="auto"/>
        <w:left w:val="none" w:sz="0" w:space="0" w:color="auto"/>
        <w:bottom w:val="none" w:sz="0" w:space="0" w:color="auto"/>
        <w:right w:val="none" w:sz="0" w:space="0" w:color="auto"/>
      </w:divBdr>
    </w:div>
    <w:div w:id="464541350">
      <w:bodyDiv w:val="1"/>
      <w:marLeft w:val="0"/>
      <w:marRight w:val="0"/>
      <w:marTop w:val="0"/>
      <w:marBottom w:val="0"/>
      <w:divBdr>
        <w:top w:val="none" w:sz="0" w:space="0" w:color="auto"/>
        <w:left w:val="none" w:sz="0" w:space="0" w:color="auto"/>
        <w:bottom w:val="none" w:sz="0" w:space="0" w:color="auto"/>
        <w:right w:val="none" w:sz="0" w:space="0" w:color="auto"/>
      </w:divBdr>
    </w:div>
    <w:div w:id="464662708">
      <w:bodyDiv w:val="1"/>
      <w:marLeft w:val="0"/>
      <w:marRight w:val="0"/>
      <w:marTop w:val="0"/>
      <w:marBottom w:val="0"/>
      <w:divBdr>
        <w:top w:val="none" w:sz="0" w:space="0" w:color="auto"/>
        <w:left w:val="none" w:sz="0" w:space="0" w:color="auto"/>
        <w:bottom w:val="none" w:sz="0" w:space="0" w:color="auto"/>
        <w:right w:val="none" w:sz="0" w:space="0" w:color="auto"/>
      </w:divBdr>
    </w:div>
    <w:div w:id="465003018">
      <w:bodyDiv w:val="1"/>
      <w:marLeft w:val="0"/>
      <w:marRight w:val="0"/>
      <w:marTop w:val="0"/>
      <w:marBottom w:val="0"/>
      <w:divBdr>
        <w:top w:val="none" w:sz="0" w:space="0" w:color="auto"/>
        <w:left w:val="none" w:sz="0" w:space="0" w:color="auto"/>
        <w:bottom w:val="none" w:sz="0" w:space="0" w:color="auto"/>
        <w:right w:val="none" w:sz="0" w:space="0" w:color="auto"/>
      </w:divBdr>
    </w:div>
    <w:div w:id="467086715">
      <w:bodyDiv w:val="1"/>
      <w:marLeft w:val="0"/>
      <w:marRight w:val="0"/>
      <w:marTop w:val="0"/>
      <w:marBottom w:val="0"/>
      <w:divBdr>
        <w:top w:val="none" w:sz="0" w:space="0" w:color="auto"/>
        <w:left w:val="none" w:sz="0" w:space="0" w:color="auto"/>
        <w:bottom w:val="none" w:sz="0" w:space="0" w:color="auto"/>
        <w:right w:val="none" w:sz="0" w:space="0" w:color="auto"/>
      </w:divBdr>
    </w:div>
    <w:div w:id="467280342">
      <w:bodyDiv w:val="1"/>
      <w:marLeft w:val="0"/>
      <w:marRight w:val="0"/>
      <w:marTop w:val="0"/>
      <w:marBottom w:val="0"/>
      <w:divBdr>
        <w:top w:val="none" w:sz="0" w:space="0" w:color="auto"/>
        <w:left w:val="none" w:sz="0" w:space="0" w:color="auto"/>
        <w:bottom w:val="none" w:sz="0" w:space="0" w:color="auto"/>
        <w:right w:val="none" w:sz="0" w:space="0" w:color="auto"/>
      </w:divBdr>
    </w:div>
    <w:div w:id="469397239">
      <w:bodyDiv w:val="1"/>
      <w:marLeft w:val="0"/>
      <w:marRight w:val="0"/>
      <w:marTop w:val="0"/>
      <w:marBottom w:val="0"/>
      <w:divBdr>
        <w:top w:val="none" w:sz="0" w:space="0" w:color="auto"/>
        <w:left w:val="none" w:sz="0" w:space="0" w:color="auto"/>
        <w:bottom w:val="none" w:sz="0" w:space="0" w:color="auto"/>
        <w:right w:val="none" w:sz="0" w:space="0" w:color="auto"/>
      </w:divBdr>
    </w:div>
    <w:div w:id="471286296">
      <w:bodyDiv w:val="1"/>
      <w:marLeft w:val="0"/>
      <w:marRight w:val="0"/>
      <w:marTop w:val="0"/>
      <w:marBottom w:val="0"/>
      <w:divBdr>
        <w:top w:val="none" w:sz="0" w:space="0" w:color="auto"/>
        <w:left w:val="none" w:sz="0" w:space="0" w:color="auto"/>
        <w:bottom w:val="none" w:sz="0" w:space="0" w:color="auto"/>
        <w:right w:val="none" w:sz="0" w:space="0" w:color="auto"/>
      </w:divBdr>
    </w:div>
    <w:div w:id="471404512">
      <w:bodyDiv w:val="1"/>
      <w:marLeft w:val="0"/>
      <w:marRight w:val="0"/>
      <w:marTop w:val="0"/>
      <w:marBottom w:val="0"/>
      <w:divBdr>
        <w:top w:val="none" w:sz="0" w:space="0" w:color="auto"/>
        <w:left w:val="none" w:sz="0" w:space="0" w:color="auto"/>
        <w:bottom w:val="none" w:sz="0" w:space="0" w:color="auto"/>
        <w:right w:val="none" w:sz="0" w:space="0" w:color="auto"/>
      </w:divBdr>
    </w:div>
    <w:div w:id="473330937">
      <w:bodyDiv w:val="1"/>
      <w:marLeft w:val="0"/>
      <w:marRight w:val="0"/>
      <w:marTop w:val="0"/>
      <w:marBottom w:val="0"/>
      <w:divBdr>
        <w:top w:val="none" w:sz="0" w:space="0" w:color="auto"/>
        <w:left w:val="none" w:sz="0" w:space="0" w:color="auto"/>
        <w:bottom w:val="none" w:sz="0" w:space="0" w:color="auto"/>
        <w:right w:val="none" w:sz="0" w:space="0" w:color="auto"/>
      </w:divBdr>
    </w:div>
    <w:div w:id="473446072">
      <w:bodyDiv w:val="1"/>
      <w:marLeft w:val="0"/>
      <w:marRight w:val="0"/>
      <w:marTop w:val="0"/>
      <w:marBottom w:val="0"/>
      <w:divBdr>
        <w:top w:val="none" w:sz="0" w:space="0" w:color="auto"/>
        <w:left w:val="none" w:sz="0" w:space="0" w:color="auto"/>
        <w:bottom w:val="none" w:sz="0" w:space="0" w:color="auto"/>
        <w:right w:val="none" w:sz="0" w:space="0" w:color="auto"/>
      </w:divBdr>
    </w:div>
    <w:div w:id="473453060">
      <w:bodyDiv w:val="1"/>
      <w:marLeft w:val="0"/>
      <w:marRight w:val="0"/>
      <w:marTop w:val="0"/>
      <w:marBottom w:val="0"/>
      <w:divBdr>
        <w:top w:val="none" w:sz="0" w:space="0" w:color="auto"/>
        <w:left w:val="none" w:sz="0" w:space="0" w:color="auto"/>
        <w:bottom w:val="none" w:sz="0" w:space="0" w:color="auto"/>
        <w:right w:val="none" w:sz="0" w:space="0" w:color="auto"/>
      </w:divBdr>
    </w:div>
    <w:div w:id="473645460">
      <w:bodyDiv w:val="1"/>
      <w:marLeft w:val="0"/>
      <w:marRight w:val="0"/>
      <w:marTop w:val="0"/>
      <w:marBottom w:val="0"/>
      <w:divBdr>
        <w:top w:val="none" w:sz="0" w:space="0" w:color="auto"/>
        <w:left w:val="none" w:sz="0" w:space="0" w:color="auto"/>
        <w:bottom w:val="none" w:sz="0" w:space="0" w:color="auto"/>
        <w:right w:val="none" w:sz="0" w:space="0" w:color="auto"/>
      </w:divBdr>
    </w:div>
    <w:div w:id="475341142">
      <w:bodyDiv w:val="1"/>
      <w:marLeft w:val="0"/>
      <w:marRight w:val="0"/>
      <w:marTop w:val="0"/>
      <w:marBottom w:val="0"/>
      <w:divBdr>
        <w:top w:val="none" w:sz="0" w:space="0" w:color="auto"/>
        <w:left w:val="none" w:sz="0" w:space="0" w:color="auto"/>
        <w:bottom w:val="none" w:sz="0" w:space="0" w:color="auto"/>
        <w:right w:val="none" w:sz="0" w:space="0" w:color="auto"/>
      </w:divBdr>
    </w:div>
    <w:div w:id="476068419">
      <w:bodyDiv w:val="1"/>
      <w:marLeft w:val="0"/>
      <w:marRight w:val="0"/>
      <w:marTop w:val="0"/>
      <w:marBottom w:val="0"/>
      <w:divBdr>
        <w:top w:val="none" w:sz="0" w:space="0" w:color="auto"/>
        <w:left w:val="none" w:sz="0" w:space="0" w:color="auto"/>
        <w:bottom w:val="none" w:sz="0" w:space="0" w:color="auto"/>
        <w:right w:val="none" w:sz="0" w:space="0" w:color="auto"/>
      </w:divBdr>
    </w:div>
    <w:div w:id="476915563">
      <w:bodyDiv w:val="1"/>
      <w:marLeft w:val="0"/>
      <w:marRight w:val="0"/>
      <w:marTop w:val="0"/>
      <w:marBottom w:val="0"/>
      <w:divBdr>
        <w:top w:val="none" w:sz="0" w:space="0" w:color="auto"/>
        <w:left w:val="none" w:sz="0" w:space="0" w:color="auto"/>
        <w:bottom w:val="none" w:sz="0" w:space="0" w:color="auto"/>
        <w:right w:val="none" w:sz="0" w:space="0" w:color="auto"/>
      </w:divBdr>
    </w:div>
    <w:div w:id="479614823">
      <w:bodyDiv w:val="1"/>
      <w:marLeft w:val="0"/>
      <w:marRight w:val="0"/>
      <w:marTop w:val="0"/>
      <w:marBottom w:val="0"/>
      <w:divBdr>
        <w:top w:val="none" w:sz="0" w:space="0" w:color="auto"/>
        <w:left w:val="none" w:sz="0" w:space="0" w:color="auto"/>
        <w:bottom w:val="none" w:sz="0" w:space="0" w:color="auto"/>
        <w:right w:val="none" w:sz="0" w:space="0" w:color="auto"/>
      </w:divBdr>
    </w:div>
    <w:div w:id="480276325">
      <w:bodyDiv w:val="1"/>
      <w:marLeft w:val="0"/>
      <w:marRight w:val="0"/>
      <w:marTop w:val="0"/>
      <w:marBottom w:val="0"/>
      <w:divBdr>
        <w:top w:val="none" w:sz="0" w:space="0" w:color="auto"/>
        <w:left w:val="none" w:sz="0" w:space="0" w:color="auto"/>
        <w:bottom w:val="none" w:sz="0" w:space="0" w:color="auto"/>
        <w:right w:val="none" w:sz="0" w:space="0" w:color="auto"/>
      </w:divBdr>
    </w:div>
    <w:div w:id="480923411">
      <w:bodyDiv w:val="1"/>
      <w:marLeft w:val="0"/>
      <w:marRight w:val="0"/>
      <w:marTop w:val="0"/>
      <w:marBottom w:val="0"/>
      <w:divBdr>
        <w:top w:val="none" w:sz="0" w:space="0" w:color="auto"/>
        <w:left w:val="none" w:sz="0" w:space="0" w:color="auto"/>
        <w:bottom w:val="none" w:sz="0" w:space="0" w:color="auto"/>
        <w:right w:val="none" w:sz="0" w:space="0" w:color="auto"/>
      </w:divBdr>
    </w:div>
    <w:div w:id="481580455">
      <w:bodyDiv w:val="1"/>
      <w:marLeft w:val="0"/>
      <w:marRight w:val="0"/>
      <w:marTop w:val="0"/>
      <w:marBottom w:val="0"/>
      <w:divBdr>
        <w:top w:val="none" w:sz="0" w:space="0" w:color="auto"/>
        <w:left w:val="none" w:sz="0" w:space="0" w:color="auto"/>
        <w:bottom w:val="none" w:sz="0" w:space="0" w:color="auto"/>
        <w:right w:val="none" w:sz="0" w:space="0" w:color="auto"/>
      </w:divBdr>
    </w:div>
    <w:div w:id="481703566">
      <w:bodyDiv w:val="1"/>
      <w:marLeft w:val="0"/>
      <w:marRight w:val="0"/>
      <w:marTop w:val="0"/>
      <w:marBottom w:val="0"/>
      <w:divBdr>
        <w:top w:val="none" w:sz="0" w:space="0" w:color="auto"/>
        <w:left w:val="none" w:sz="0" w:space="0" w:color="auto"/>
        <w:bottom w:val="none" w:sz="0" w:space="0" w:color="auto"/>
        <w:right w:val="none" w:sz="0" w:space="0" w:color="auto"/>
      </w:divBdr>
    </w:div>
    <w:div w:id="484662368">
      <w:bodyDiv w:val="1"/>
      <w:marLeft w:val="0"/>
      <w:marRight w:val="0"/>
      <w:marTop w:val="0"/>
      <w:marBottom w:val="0"/>
      <w:divBdr>
        <w:top w:val="none" w:sz="0" w:space="0" w:color="auto"/>
        <w:left w:val="none" w:sz="0" w:space="0" w:color="auto"/>
        <w:bottom w:val="none" w:sz="0" w:space="0" w:color="auto"/>
        <w:right w:val="none" w:sz="0" w:space="0" w:color="auto"/>
      </w:divBdr>
    </w:div>
    <w:div w:id="485050796">
      <w:bodyDiv w:val="1"/>
      <w:marLeft w:val="0"/>
      <w:marRight w:val="0"/>
      <w:marTop w:val="0"/>
      <w:marBottom w:val="0"/>
      <w:divBdr>
        <w:top w:val="none" w:sz="0" w:space="0" w:color="auto"/>
        <w:left w:val="none" w:sz="0" w:space="0" w:color="auto"/>
        <w:bottom w:val="none" w:sz="0" w:space="0" w:color="auto"/>
        <w:right w:val="none" w:sz="0" w:space="0" w:color="auto"/>
      </w:divBdr>
    </w:div>
    <w:div w:id="485752869">
      <w:bodyDiv w:val="1"/>
      <w:marLeft w:val="0"/>
      <w:marRight w:val="0"/>
      <w:marTop w:val="0"/>
      <w:marBottom w:val="0"/>
      <w:divBdr>
        <w:top w:val="none" w:sz="0" w:space="0" w:color="auto"/>
        <w:left w:val="none" w:sz="0" w:space="0" w:color="auto"/>
        <w:bottom w:val="none" w:sz="0" w:space="0" w:color="auto"/>
        <w:right w:val="none" w:sz="0" w:space="0" w:color="auto"/>
      </w:divBdr>
    </w:div>
    <w:div w:id="486433388">
      <w:bodyDiv w:val="1"/>
      <w:marLeft w:val="0"/>
      <w:marRight w:val="0"/>
      <w:marTop w:val="0"/>
      <w:marBottom w:val="0"/>
      <w:divBdr>
        <w:top w:val="none" w:sz="0" w:space="0" w:color="auto"/>
        <w:left w:val="none" w:sz="0" w:space="0" w:color="auto"/>
        <w:bottom w:val="none" w:sz="0" w:space="0" w:color="auto"/>
        <w:right w:val="none" w:sz="0" w:space="0" w:color="auto"/>
      </w:divBdr>
    </w:div>
    <w:div w:id="487982168">
      <w:bodyDiv w:val="1"/>
      <w:marLeft w:val="0"/>
      <w:marRight w:val="0"/>
      <w:marTop w:val="0"/>
      <w:marBottom w:val="0"/>
      <w:divBdr>
        <w:top w:val="none" w:sz="0" w:space="0" w:color="auto"/>
        <w:left w:val="none" w:sz="0" w:space="0" w:color="auto"/>
        <w:bottom w:val="none" w:sz="0" w:space="0" w:color="auto"/>
        <w:right w:val="none" w:sz="0" w:space="0" w:color="auto"/>
      </w:divBdr>
    </w:div>
    <w:div w:id="488135822">
      <w:bodyDiv w:val="1"/>
      <w:marLeft w:val="0"/>
      <w:marRight w:val="0"/>
      <w:marTop w:val="0"/>
      <w:marBottom w:val="0"/>
      <w:divBdr>
        <w:top w:val="none" w:sz="0" w:space="0" w:color="auto"/>
        <w:left w:val="none" w:sz="0" w:space="0" w:color="auto"/>
        <w:bottom w:val="none" w:sz="0" w:space="0" w:color="auto"/>
        <w:right w:val="none" w:sz="0" w:space="0" w:color="auto"/>
      </w:divBdr>
    </w:div>
    <w:div w:id="488638686">
      <w:bodyDiv w:val="1"/>
      <w:marLeft w:val="0"/>
      <w:marRight w:val="0"/>
      <w:marTop w:val="0"/>
      <w:marBottom w:val="0"/>
      <w:divBdr>
        <w:top w:val="none" w:sz="0" w:space="0" w:color="auto"/>
        <w:left w:val="none" w:sz="0" w:space="0" w:color="auto"/>
        <w:bottom w:val="none" w:sz="0" w:space="0" w:color="auto"/>
        <w:right w:val="none" w:sz="0" w:space="0" w:color="auto"/>
      </w:divBdr>
    </w:div>
    <w:div w:id="488718031">
      <w:bodyDiv w:val="1"/>
      <w:marLeft w:val="0"/>
      <w:marRight w:val="0"/>
      <w:marTop w:val="0"/>
      <w:marBottom w:val="0"/>
      <w:divBdr>
        <w:top w:val="none" w:sz="0" w:space="0" w:color="auto"/>
        <w:left w:val="none" w:sz="0" w:space="0" w:color="auto"/>
        <w:bottom w:val="none" w:sz="0" w:space="0" w:color="auto"/>
        <w:right w:val="none" w:sz="0" w:space="0" w:color="auto"/>
      </w:divBdr>
    </w:div>
    <w:div w:id="490100812">
      <w:bodyDiv w:val="1"/>
      <w:marLeft w:val="0"/>
      <w:marRight w:val="0"/>
      <w:marTop w:val="0"/>
      <w:marBottom w:val="0"/>
      <w:divBdr>
        <w:top w:val="none" w:sz="0" w:space="0" w:color="auto"/>
        <w:left w:val="none" w:sz="0" w:space="0" w:color="auto"/>
        <w:bottom w:val="none" w:sz="0" w:space="0" w:color="auto"/>
        <w:right w:val="none" w:sz="0" w:space="0" w:color="auto"/>
      </w:divBdr>
    </w:div>
    <w:div w:id="490680683">
      <w:bodyDiv w:val="1"/>
      <w:marLeft w:val="0"/>
      <w:marRight w:val="0"/>
      <w:marTop w:val="0"/>
      <w:marBottom w:val="0"/>
      <w:divBdr>
        <w:top w:val="none" w:sz="0" w:space="0" w:color="auto"/>
        <w:left w:val="none" w:sz="0" w:space="0" w:color="auto"/>
        <w:bottom w:val="none" w:sz="0" w:space="0" w:color="auto"/>
        <w:right w:val="none" w:sz="0" w:space="0" w:color="auto"/>
      </w:divBdr>
    </w:div>
    <w:div w:id="491914702">
      <w:bodyDiv w:val="1"/>
      <w:marLeft w:val="0"/>
      <w:marRight w:val="0"/>
      <w:marTop w:val="0"/>
      <w:marBottom w:val="0"/>
      <w:divBdr>
        <w:top w:val="none" w:sz="0" w:space="0" w:color="auto"/>
        <w:left w:val="none" w:sz="0" w:space="0" w:color="auto"/>
        <w:bottom w:val="none" w:sz="0" w:space="0" w:color="auto"/>
        <w:right w:val="none" w:sz="0" w:space="0" w:color="auto"/>
      </w:divBdr>
    </w:div>
    <w:div w:id="491917740">
      <w:bodyDiv w:val="1"/>
      <w:marLeft w:val="0"/>
      <w:marRight w:val="0"/>
      <w:marTop w:val="0"/>
      <w:marBottom w:val="0"/>
      <w:divBdr>
        <w:top w:val="none" w:sz="0" w:space="0" w:color="auto"/>
        <w:left w:val="none" w:sz="0" w:space="0" w:color="auto"/>
        <w:bottom w:val="none" w:sz="0" w:space="0" w:color="auto"/>
        <w:right w:val="none" w:sz="0" w:space="0" w:color="auto"/>
      </w:divBdr>
    </w:div>
    <w:div w:id="491986755">
      <w:bodyDiv w:val="1"/>
      <w:marLeft w:val="0"/>
      <w:marRight w:val="0"/>
      <w:marTop w:val="0"/>
      <w:marBottom w:val="0"/>
      <w:divBdr>
        <w:top w:val="none" w:sz="0" w:space="0" w:color="auto"/>
        <w:left w:val="none" w:sz="0" w:space="0" w:color="auto"/>
        <w:bottom w:val="none" w:sz="0" w:space="0" w:color="auto"/>
        <w:right w:val="none" w:sz="0" w:space="0" w:color="auto"/>
      </w:divBdr>
    </w:div>
    <w:div w:id="492650586">
      <w:bodyDiv w:val="1"/>
      <w:marLeft w:val="0"/>
      <w:marRight w:val="0"/>
      <w:marTop w:val="0"/>
      <w:marBottom w:val="0"/>
      <w:divBdr>
        <w:top w:val="none" w:sz="0" w:space="0" w:color="auto"/>
        <w:left w:val="none" w:sz="0" w:space="0" w:color="auto"/>
        <w:bottom w:val="none" w:sz="0" w:space="0" w:color="auto"/>
        <w:right w:val="none" w:sz="0" w:space="0" w:color="auto"/>
      </w:divBdr>
    </w:div>
    <w:div w:id="493448051">
      <w:bodyDiv w:val="1"/>
      <w:marLeft w:val="0"/>
      <w:marRight w:val="0"/>
      <w:marTop w:val="0"/>
      <w:marBottom w:val="0"/>
      <w:divBdr>
        <w:top w:val="none" w:sz="0" w:space="0" w:color="auto"/>
        <w:left w:val="none" w:sz="0" w:space="0" w:color="auto"/>
        <w:bottom w:val="none" w:sz="0" w:space="0" w:color="auto"/>
        <w:right w:val="none" w:sz="0" w:space="0" w:color="auto"/>
      </w:divBdr>
    </w:div>
    <w:div w:id="494615636">
      <w:bodyDiv w:val="1"/>
      <w:marLeft w:val="0"/>
      <w:marRight w:val="0"/>
      <w:marTop w:val="0"/>
      <w:marBottom w:val="0"/>
      <w:divBdr>
        <w:top w:val="none" w:sz="0" w:space="0" w:color="auto"/>
        <w:left w:val="none" w:sz="0" w:space="0" w:color="auto"/>
        <w:bottom w:val="none" w:sz="0" w:space="0" w:color="auto"/>
        <w:right w:val="none" w:sz="0" w:space="0" w:color="auto"/>
      </w:divBdr>
    </w:div>
    <w:div w:id="494957915">
      <w:bodyDiv w:val="1"/>
      <w:marLeft w:val="0"/>
      <w:marRight w:val="0"/>
      <w:marTop w:val="0"/>
      <w:marBottom w:val="0"/>
      <w:divBdr>
        <w:top w:val="none" w:sz="0" w:space="0" w:color="auto"/>
        <w:left w:val="none" w:sz="0" w:space="0" w:color="auto"/>
        <w:bottom w:val="none" w:sz="0" w:space="0" w:color="auto"/>
        <w:right w:val="none" w:sz="0" w:space="0" w:color="auto"/>
      </w:divBdr>
    </w:div>
    <w:div w:id="500244758">
      <w:bodyDiv w:val="1"/>
      <w:marLeft w:val="0"/>
      <w:marRight w:val="0"/>
      <w:marTop w:val="0"/>
      <w:marBottom w:val="0"/>
      <w:divBdr>
        <w:top w:val="none" w:sz="0" w:space="0" w:color="auto"/>
        <w:left w:val="none" w:sz="0" w:space="0" w:color="auto"/>
        <w:bottom w:val="none" w:sz="0" w:space="0" w:color="auto"/>
        <w:right w:val="none" w:sz="0" w:space="0" w:color="auto"/>
      </w:divBdr>
    </w:div>
    <w:div w:id="500504683">
      <w:bodyDiv w:val="1"/>
      <w:marLeft w:val="0"/>
      <w:marRight w:val="0"/>
      <w:marTop w:val="0"/>
      <w:marBottom w:val="0"/>
      <w:divBdr>
        <w:top w:val="none" w:sz="0" w:space="0" w:color="auto"/>
        <w:left w:val="none" w:sz="0" w:space="0" w:color="auto"/>
        <w:bottom w:val="none" w:sz="0" w:space="0" w:color="auto"/>
        <w:right w:val="none" w:sz="0" w:space="0" w:color="auto"/>
      </w:divBdr>
    </w:div>
    <w:div w:id="501091624">
      <w:bodyDiv w:val="1"/>
      <w:marLeft w:val="0"/>
      <w:marRight w:val="0"/>
      <w:marTop w:val="0"/>
      <w:marBottom w:val="0"/>
      <w:divBdr>
        <w:top w:val="none" w:sz="0" w:space="0" w:color="auto"/>
        <w:left w:val="none" w:sz="0" w:space="0" w:color="auto"/>
        <w:bottom w:val="none" w:sz="0" w:space="0" w:color="auto"/>
        <w:right w:val="none" w:sz="0" w:space="0" w:color="auto"/>
      </w:divBdr>
    </w:div>
    <w:div w:id="503975649">
      <w:bodyDiv w:val="1"/>
      <w:marLeft w:val="0"/>
      <w:marRight w:val="0"/>
      <w:marTop w:val="0"/>
      <w:marBottom w:val="0"/>
      <w:divBdr>
        <w:top w:val="none" w:sz="0" w:space="0" w:color="auto"/>
        <w:left w:val="none" w:sz="0" w:space="0" w:color="auto"/>
        <w:bottom w:val="none" w:sz="0" w:space="0" w:color="auto"/>
        <w:right w:val="none" w:sz="0" w:space="0" w:color="auto"/>
      </w:divBdr>
    </w:div>
    <w:div w:id="504712747">
      <w:bodyDiv w:val="1"/>
      <w:marLeft w:val="0"/>
      <w:marRight w:val="0"/>
      <w:marTop w:val="0"/>
      <w:marBottom w:val="0"/>
      <w:divBdr>
        <w:top w:val="none" w:sz="0" w:space="0" w:color="auto"/>
        <w:left w:val="none" w:sz="0" w:space="0" w:color="auto"/>
        <w:bottom w:val="none" w:sz="0" w:space="0" w:color="auto"/>
        <w:right w:val="none" w:sz="0" w:space="0" w:color="auto"/>
      </w:divBdr>
    </w:div>
    <w:div w:id="507790408">
      <w:bodyDiv w:val="1"/>
      <w:marLeft w:val="0"/>
      <w:marRight w:val="0"/>
      <w:marTop w:val="0"/>
      <w:marBottom w:val="0"/>
      <w:divBdr>
        <w:top w:val="none" w:sz="0" w:space="0" w:color="auto"/>
        <w:left w:val="none" w:sz="0" w:space="0" w:color="auto"/>
        <w:bottom w:val="none" w:sz="0" w:space="0" w:color="auto"/>
        <w:right w:val="none" w:sz="0" w:space="0" w:color="auto"/>
      </w:divBdr>
    </w:div>
    <w:div w:id="508452566">
      <w:bodyDiv w:val="1"/>
      <w:marLeft w:val="0"/>
      <w:marRight w:val="0"/>
      <w:marTop w:val="0"/>
      <w:marBottom w:val="0"/>
      <w:divBdr>
        <w:top w:val="none" w:sz="0" w:space="0" w:color="auto"/>
        <w:left w:val="none" w:sz="0" w:space="0" w:color="auto"/>
        <w:bottom w:val="none" w:sz="0" w:space="0" w:color="auto"/>
        <w:right w:val="none" w:sz="0" w:space="0" w:color="auto"/>
      </w:divBdr>
    </w:div>
    <w:div w:id="508788491">
      <w:bodyDiv w:val="1"/>
      <w:marLeft w:val="0"/>
      <w:marRight w:val="0"/>
      <w:marTop w:val="0"/>
      <w:marBottom w:val="0"/>
      <w:divBdr>
        <w:top w:val="none" w:sz="0" w:space="0" w:color="auto"/>
        <w:left w:val="none" w:sz="0" w:space="0" w:color="auto"/>
        <w:bottom w:val="none" w:sz="0" w:space="0" w:color="auto"/>
        <w:right w:val="none" w:sz="0" w:space="0" w:color="auto"/>
      </w:divBdr>
    </w:div>
    <w:div w:id="510263873">
      <w:bodyDiv w:val="1"/>
      <w:marLeft w:val="0"/>
      <w:marRight w:val="0"/>
      <w:marTop w:val="0"/>
      <w:marBottom w:val="0"/>
      <w:divBdr>
        <w:top w:val="none" w:sz="0" w:space="0" w:color="auto"/>
        <w:left w:val="none" w:sz="0" w:space="0" w:color="auto"/>
        <w:bottom w:val="none" w:sz="0" w:space="0" w:color="auto"/>
        <w:right w:val="none" w:sz="0" w:space="0" w:color="auto"/>
      </w:divBdr>
    </w:div>
    <w:div w:id="510491226">
      <w:bodyDiv w:val="1"/>
      <w:marLeft w:val="0"/>
      <w:marRight w:val="0"/>
      <w:marTop w:val="0"/>
      <w:marBottom w:val="0"/>
      <w:divBdr>
        <w:top w:val="none" w:sz="0" w:space="0" w:color="auto"/>
        <w:left w:val="none" w:sz="0" w:space="0" w:color="auto"/>
        <w:bottom w:val="none" w:sz="0" w:space="0" w:color="auto"/>
        <w:right w:val="none" w:sz="0" w:space="0" w:color="auto"/>
      </w:divBdr>
    </w:div>
    <w:div w:id="511992758">
      <w:bodyDiv w:val="1"/>
      <w:marLeft w:val="0"/>
      <w:marRight w:val="0"/>
      <w:marTop w:val="0"/>
      <w:marBottom w:val="0"/>
      <w:divBdr>
        <w:top w:val="none" w:sz="0" w:space="0" w:color="auto"/>
        <w:left w:val="none" w:sz="0" w:space="0" w:color="auto"/>
        <w:bottom w:val="none" w:sz="0" w:space="0" w:color="auto"/>
        <w:right w:val="none" w:sz="0" w:space="0" w:color="auto"/>
      </w:divBdr>
    </w:div>
    <w:div w:id="514424158">
      <w:bodyDiv w:val="1"/>
      <w:marLeft w:val="0"/>
      <w:marRight w:val="0"/>
      <w:marTop w:val="0"/>
      <w:marBottom w:val="0"/>
      <w:divBdr>
        <w:top w:val="none" w:sz="0" w:space="0" w:color="auto"/>
        <w:left w:val="none" w:sz="0" w:space="0" w:color="auto"/>
        <w:bottom w:val="none" w:sz="0" w:space="0" w:color="auto"/>
        <w:right w:val="none" w:sz="0" w:space="0" w:color="auto"/>
      </w:divBdr>
    </w:div>
    <w:div w:id="514685133">
      <w:bodyDiv w:val="1"/>
      <w:marLeft w:val="0"/>
      <w:marRight w:val="0"/>
      <w:marTop w:val="0"/>
      <w:marBottom w:val="0"/>
      <w:divBdr>
        <w:top w:val="none" w:sz="0" w:space="0" w:color="auto"/>
        <w:left w:val="none" w:sz="0" w:space="0" w:color="auto"/>
        <w:bottom w:val="none" w:sz="0" w:space="0" w:color="auto"/>
        <w:right w:val="none" w:sz="0" w:space="0" w:color="auto"/>
      </w:divBdr>
    </w:div>
    <w:div w:id="515115622">
      <w:bodyDiv w:val="1"/>
      <w:marLeft w:val="0"/>
      <w:marRight w:val="0"/>
      <w:marTop w:val="0"/>
      <w:marBottom w:val="0"/>
      <w:divBdr>
        <w:top w:val="none" w:sz="0" w:space="0" w:color="auto"/>
        <w:left w:val="none" w:sz="0" w:space="0" w:color="auto"/>
        <w:bottom w:val="none" w:sz="0" w:space="0" w:color="auto"/>
        <w:right w:val="none" w:sz="0" w:space="0" w:color="auto"/>
      </w:divBdr>
    </w:div>
    <w:div w:id="515537677">
      <w:bodyDiv w:val="1"/>
      <w:marLeft w:val="0"/>
      <w:marRight w:val="0"/>
      <w:marTop w:val="0"/>
      <w:marBottom w:val="0"/>
      <w:divBdr>
        <w:top w:val="none" w:sz="0" w:space="0" w:color="auto"/>
        <w:left w:val="none" w:sz="0" w:space="0" w:color="auto"/>
        <w:bottom w:val="none" w:sz="0" w:space="0" w:color="auto"/>
        <w:right w:val="none" w:sz="0" w:space="0" w:color="auto"/>
      </w:divBdr>
    </w:div>
    <w:div w:id="516121378">
      <w:bodyDiv w:val="1"/>
      <w:marLeft w:val="0"/>
      <w:marRight w:val="0"/>
      <w:marTop w:val="0"/>
      <w:marBottom w:val="0"/>
      <w:divBdr>
        <w:top w:val="none" w:sz="0" w:space="0" w:color="auto"/>
        <w:left w:val="none" w:sz="0" w:space="0" w:color="auto"/>
        <w:bottom w:val="none" w:sz="0" w:space="0" w:color="auto"/>
        <w:right w:val="none" w:sz="0" w:space="0" w:color="auto"/>
      </w:divBdr>
    </w:div>
    <w:div w:id="517162431">
      <w:bodyDiv w:val="1"/>
      <w:marLeft w:val="0"/>
      <w:marRight w:val="0"/>
      <w:marTop w:val="0"/>
      <w:marBottom w:val="0"/>
      <w:divBdr>
        <w:top w:val="none" w:sz="0" w:space="0" w:color="auto"/>
        <w:left w:val="none" w:sz="0" w:space="0" w:color="auto"/>
        <w:bottom w:val="none" w:sz="0" w:space="0" w:color="auto"/>
        <w:right w:val="none" w:sz="0" w:space="0" w:color="auto"/>
      </w:divBdr>
    </w:div>
    <w:div w:id="522011875">
      <w:bodyDiv w:val="1"/>
      <w:marLeft w:val="0"/>
      <w:marRight w:val="0"/>
      <w:marTop w:val="0"/>
      <w:marBottom w:val="0"/>
      <w:divBdr>
        <w:top w:val="none" w:sz="0" w:space="0" w:color="auto"/>
        <w:left w:val="none" w:sz="0" w:space="0" w:color="auto"/>
        <w:bottom w:val="none" w:sz="0" w:space="0" w:color="auto"/>
        <w:right w:val="none" w:sz="0" w:space="0" w:color="auto"/>
      </w:divBdr>
    </w:div>
    <w:div w:id="522060018">
      <w:bodyDiv w:val="1"/>
      <w:marLeft w:val="0"/>
      <w:marRight w:val="0"/>
      <w:marTop w:val="0"/>
      <w:marBottom w:val="0"/>
      <w:divBdr>
        <w:top w:val="none" w:sz="0" w:space="0" w:color="auto"/>
        <w:left w:val="none" w:sz="0" w:space="0" w:color="auto"/>
        <w:bottom w:val="none" w:sz="0" w:space="0" w:color="auto"/>
        <w:right w:val="none" w:sz="0" w:space="0" w:color="auto"/>
      </w:divBdr>
    </w:div>
    <w:div w:id="522861448">
      <w:bodyDiv w:val="1"/>
      <w:marLeft w:val="0"/>
      <w:marRight w:val="0"/>
      <w:marTop w:val="0"/>
      <w:marBottom w:val="0"/>
      <w:divBdr>
        <w:top w:val="none" w:sz="0" w:space="0" w:color="auto"/>
        <w:left w:val="none" w:sz="0" w:space="0" w:color="auto"/>
        <w:bottom w:val="none" w:sz="0" w:space="0" w:color="auto"/>
        <w:right w:val="none" w:sz="0" w:space="0" w:color="auto"/>
      </w:divBdr>
    </w:div>
    <w:div w:id="524634953">
      <w:bodyDiv w:val="1"/>
      <w:marLeft w:val="0"/>
      <w:marRight w:val="0"/>
      <w:marTop w:val="0"/>
      <w:marBottom w:val="0"/>
      <w:divBdr>
        <w:top w:val="none" w:sz="0" w:space="0" w:color="auto"/>
        <w:left w:val="none" w:sz="0" w:space="0" w:color="auto"/>
        <w:bottom w:val="none" w:sz="0" w:space="0" w:color="auto"/>
        <w:right w:val="none" w:sz="0" w:space="0" w:color="auto"/>
      </w:divBdr>
    </w:div>
    <w:div w:id="525218007">
      <w:bodyDiv w:val="1"/>
      <w:marLeft w:val="0"/>
      <w:marRight w:val="0"/>
      <w:marTop w:val="0"/>
      <w:marBottom w:val="0"/>
      <w:divBdr>
        <w:top w:val="none" w:sz="0" w:space="0" w:color="auto"/>
        <w:left w:val="none" w:sz="0" w:space="0" w:color="auto"/>
        <w:bottom w:val="none" w:sz="0" w:space="0" w:color="auto"/>
        <w:right w:val="none" w:sz="0" w:space="0" w:color="auto"/>
      </w:divBdr>
    </w:div>
    <w:div w:id="526024031">
      <w:bodyDiv w:val="1"/>
      <w:marLeft w:val="0"/>
      <w:marRight w:val="0"/>
      <w:marTop w:val="0"/>
      <w:marBottom w:val="0"/>
      <w:divBdr>
        <w:top w:val="none" w:sz="0" w:space="0" w:color="auto"/>
        <w:left w:val="none" w:sz="0" w:space="0" w:color="auto"/>
        <w:bottom w:val="none" w:sz="0" w:space="0" w:color="auto"/>
        <w:right w:val="none" w:sz="0" w:space="0" w:color="auto"/>
      </w:divBdr>
    </w:div>
    <w:div w:id="526677191">
      <w:bodyDiv w:val="1"/>
      <w:marLeft w:val="0"/>
      <w:marRight w:val="0"/>
      <w:marTop w:val="0"/>
      <w:marBottom w:val="0"/>
      <w:divBdr>
        <w:top w:val="none" w:sz="0" w:space="0" w:color="auto"/>
        <w:left w:val="none" w:sz="0" w:space="0" w:color="auto"/>
        <w:bottom w:val="none" w:sz="0" w:space="0" w:color="auto"/>
        <w:right w:val="none" w:sz="0" w:space="0" w:color="auto"/>
      </w:divBdr>
    </w:div>
    <w:div w:id="526678773">
      <w:bodyDiv w:val="1"/>
      <w:marLeft w:val="0"/>
      <w:marRight w:val="0"/>
      <w:marTop w:val="0"/>
      <w:marBottom w:val="0"/>
      <w:divBdr>
        <w:top w:val="none" w:sz="0" w:space="0" w:color="auto"/>
        <w:left w:val="none" w:sz="0" w:space="0" w:color="auto"/>
        <w:bottom w:val="none" w:sz="0" w:space="0" w:color="auto"/>
        <w:right w:val="none" w:sz="0" w:space="0" w:color="auto"/>
      </w:divBdr>
    </w:div>
    <w:div w:id="528370682">
      <w:bodyDiv w:val="1"/>
      <w:marLeft w:val="0"/>
      <w:marRight w:val="0"/>
      <w:marTop w:val="0"/>
      <w:marBottom w:val="0"/>
      <w:divBdr>
        <w:top w:val="none" w:sz="0" w:space="0" w:color="auto"/>
        <w:left w:val="none" w:sz="0" w:space="0" w:color="auto"/>
        <w:bottom w:val="none" w:sz="0" w:space="0" w:color="auto"/>
        <w:right w:val="none" w:sz="0" w:space="0" w:color="auto"/>
      </w:divBdr>
    </w:div>
    <w:div w:id="528953548">
      <w:bodyDiv w:val="1"/>
      <w:marLeft w:val="0"/>
      <w:marRight w:val="0"/>
      <w:marTop w:val="0"/>
      <w:marBottom w:val="0"/>
      <w:divBdr>
        <w:top w:val="none" w:sz="0" w:space="0" w:color="auto"/>
        <w:left w:val="none" w:sz="0" w:space="0" w:color="auto"/>
        <w:bottom w:val="none" w:sz="0" w:space="0" w:color="auto"/>
        <w:right w:val="none" w:sz="0" w:space="0" w:color="auto"/>
      </w:divBdr>
    </w:div>
    <w:div w:id="530727434">
      <w:bodyDiv w:val="1"/>
      <w:marLeft w:val="0"/>
      <w:marRight w:val="0"/>
      <w:marTop w:val="0"/>
      <w:marBottom w:val="0"/>
      <w:divBdr>
        <w:top w:val="none" w:sz="0" w:space="0" w:color="auto"/>
        <w:left w:val="none" w:sz="0" w:space="0" w:color="auto"/>
        <w:bottom w:val="none" w:sz="0" w:space="0" w:color="auto"/>
        <w:right w:val="none" w:sz="0" w:space="0" w:color="auto"/>
      </w:divBdr>
    </w:div>
    <w:div w:id="532889634">
      <w:bodyDiv w:val="1"/>
      <w:marLeft w:val="0"/>
      <w:marRight w:val="0"/>
      <w:marTop w:val="0"/>
      <w:marBottom w:val="0"/>
      <w:divBdr>
        <w:top w:val="none" w:sz="0" w:space="0" w:color="auto"/>
        <w:left w:val="none" w:sz="0" w:space="0" w:color="auto"/>
        <w:bottom w:val="none" w:sz="0" w:space="0" w:color="auto"/>
        <w:right w:val="none" w:sz="0" w:space="0" w:color="auto"/>
      </w:divBdr>
    </w:div>
    <w:div w:id="533620692">
      <w:bodyDiv w:val="1"/>
      <w:marLeft w:val="0"/>
      <w:marRight w:val="0"/>
      <w:marTop w:val="0"/>
      <w:marBottom w:val="0"/>
      <w:divBdr>
        <w:top w:val="none" w:sz="0" w:space="0" w:color="auto"/>
        <w:left w:val="none" w:sz="0" w:space="0" w:color="auto"/>
        <w:bottom w:val="none" w:sz="0" w:space="0" w:color="auto"/>
        <w:right w:val="none" w:sz="0" w:space="0" w:color="auto"/>
      </w:divBdr>
    </w:div>
    <w:div w:id="534540983">
      <w:bodyDiv w:val="1"/>
      <w:marLeft w:val="0"/>
      <w:marRight w:val="0"/>
      <w:marTop w:val="0"/>
      <w:marBottom w:val="0"/>
      <w:divBdr>
        <w:top w:val="none" w:sz="0" w:space="0" w:color="auto"/>
        <w:left w:val="none" w:sz="0" w:space="0" w:color="auto"/>
        <w:bottom w:val="none" w:sz="0" w:space="0" w:color="auto"/>
        <w:right w:val="none" w:sz="0" w:space="0" w:color="auto"/>
      </w:divBdr>
    </w:div>
    <w:div w:id="534853618">
      <w:bodyDiv w:val="1"/>
      <w:marLeft w:val="0"/>
      <w:marRight w:val="0"/>
      <w:marTop w:val="0"/>
      <w:marBottom w:val="0"/>
      <w:divBdr>
        <w:top w:val="none" w:sz="0" w:space="0" w:color="auto"/>
        <w:left w:val="none" w:sz="0" w:space="0" w:color="auto"/>
        <w:bottom w:val="none" w:sz="0" w:space="0" w:color="auto"/>
        <w:right w:val="none" w:sz="0" w:space="0" w:color="auto"/>
      </w:divBdr>
    </w:div>
    <w:div w:id="535046280">
      <w:bodyDiv w:val="1"/>
      <w:marLeft w:val="0"/>
      <w:marRight w:val="0"/>
      <w:marTop w:val="0"/>
      <w:marBottom w:val="0"/>
      <w:divBdr>
        <w:top w:val="none" w:sz="0" w:space="0" w:color="auto"/>
        <w:left w:val="none" w:sz="0" w:space="0" w:color="auto"/>
        <w:bottom w:val="none" w:sz="0" w:space="0" w:color="auto"/>
        <w:right w:val="none" w:sz="0" w:space="0" w:color="auto"/>
      </w:divBdr>
    </w:div>
    <w:div w:id="535192690">
      <w:bodyDiv w:val="1"/>
      <w:marLeft w:val="0"/>
      <w:marRight w:val="0"/>
      <w:marTop w:val="0"/>
      <w:marBottom w:val="0"/>
      <w:divBdr>
        <w:top w:val="none" w:sz="0" w:space="0" w:color="auto"/>
        <w:left w:val="none" w:sz="0" w:space="0" w:color="auto"/>
        <w:bottom w:val="none" w:sz="0" w:space="0" w:color="auto"/>
        <w:right w:val="none" w:sz="0" w:space="0" w:color="auto"/>
      </w:divBdr>
    </w:div>
    <w:div w:id="535240288">
      <w:bodyDiv w:val="1"/>
      <w:marLeft w:val="0"/>
      <w:marRight w:val="0"/>
      <w:marTop w:val="0"/>
      <w:marBottom w:val="0"/>
      <w:divBdr>
        <w:top w:val="none" w:sz="0" w:space="0" w:color="auto"/>
        <w:left w:val="none" w:sz="0" w:space="0" w:color="auto"/>
        <w:bottom w:val="none" w:sz="0" w:space="0" w:color="auto"/>
        <w:right w:val="none" w:sz="0" w:space="0" w:color="auto"/>
      </w:divBdr>
    </w:div>
    <w:div w:id="535851301">
      <w:bodyDiv w:val="1"/>
      <w:marLeft w:val="0"/>
      <w:marRight w:val="0"/>
      <w:marTop w:val="0"/>
      <w:marBottom w:val="0"/>
      <w:divBdr>
        <w:top w:val="none" w:sz="0" w:space="0" w:color="auto"/>
        <w:left w:val="none" w:sz="0" w:space="0" w:color="auto"/>
        <w:bottom w:val="none" w:sz="0" w:space="0" w:color="auto"/>
        <w:right w:val="none" w:sz="0" w:space="0" w:color="auto"/>
      </w:divBdr>
    </w:div>
    <w:div w:id="535968959">
      <w:bodyDiv w:val="1"/>
      <w:marLeft w:val="0"/>
      <w:marRight w:val="0"/>
      <w:marTop w:val="0"/>
      <w:marBottom w:val="0"/>
      <w:divBdr>
        <w:top w:val="none" w:sz="0" w:space="0" w:color="auto"/>
        <w:left w:val="none" w:sz="0" w:space="0" w:color="auto"/>
        <w:bottom w:val="none" w:sz="0" w:space="0" w:color="auto"/>
        <w:right w:val="none" w:sz="0" w:space="0" w:color="auto"/>
      </w:divBdr>
    </w:div>
    <w:div w:id="537815827">
      <w:bodyDiv w:val="1"/>
      <w:marLeft w:val="0"/>
      <w:marRight w:val="0"/>
      <w:marTop w:val="0"/>
      <w:marBottom w:val="0"/>
      <w:divBdr>
        <w:top w:val="none" w:sz="0" w:space="0" w:color="auto"/>
        <w:left w:val="none" w:sz="0" w:space="0" w:color="auto"/>
        <w:bottom w:val="none" w:sz="0" w:space="0" w:color="auto"/>
        <w:right w:val="none" w:sz="0" w:space="0" w:color="auto"/>
      </w:divBdr>
    </w:div>
    <w:div w:id="537862835">
      <w:bodyDiv w:val="1"/>
      <w:marLeft w:val="0"/>
      <w:marRight w:val="0"/>
      <w:marTop w:val="0"/>
      <w:marBottom w:val="0"/>
      <w:divBdr>
        <w:top w:val="none" w:sz="0" w:space="0" w:color="auto"/>
        <w:left w:val="none" w:sz="0" w:space="0" w:color="auto"/>
        <w:bottom w:val="none" w:sz="0" w:space="0" w:color="auto"/>
        <w:right w:val="none" w:sz="0" w:space="0" w:color="auto"/>
      </w:divBdr>
    </w:div>
    <w:div w:id="538472943">
      <w:bodyDiv w:val="1"/>
      <w:marLeft w:val="0"/>
      <w:marRight w:val="0"/>
      <w:marTop w:val="0"/>
      <w:marBottom w:val="0"/>
      <w:divBdr>
        <w:top w:val="none" w:sz="0" w:space="0" w:color="auto"/>
        <w:left w:val="none" w:sz="0" w:space="0" w:color="auto"/>
        <w:bottom w:val="none" w:sz="0" w:space="0" w:color="auto"/>
        <w:right w:val="none" w:sz="0" w:space="0" w:color="auto"/>
      </w:divBdr>
    </w:div>
    <w:div w:id="538517230">
      <w:bodyDiv w:val="1"/>
      <w:marLeft w:val="0"/>
      <w:marRight w:val="0"/>
      <w:marTop w:val="0"/>
      <w:marBottom w:val="0"/>
      <w:divBdr>
        <w:top w:val="none" w:sz="0" w:space="0" w:color="auto"/>
        <w:left w:val="none" w:sz="0" w:space="0" w:color="auto"/>
        <w:bottom w:val="none" w:sz="0" w:space="0" w:color="auto"/>
        <w:right w:val="none" w:sz="0" w:space="0" w:color="auto"/>
      </w:divBdr>
    </w:div>
    <w:div w:id="540364751">
      <w:bodyDiv w:val="1"/>
      <w:marLeft w:val="0"/>
      <w:marRight w:val="0"/>
      <w:marTop w:val="0"/>
      <w:marBottom w:val="0"/>
      <w:divBdr>
        <w:top w:val="none" w:sz="0" w:space="0" w:color="auto"/>
        <w:left w:val="none" w:sz="0" w:space="0" w:color="auto"/>
        <w:bottom w:val="none" w:sz="0" w:space="0" w:color="auto"/>
        <w:right w:val="none" w:sz="0" w:space="0" w:color="auto"/>
      </w:divBdr>
    </w:div>
    <w:div w:id="541746491">
      <w:bodyDiv w:val="1"/>
      <w:marLeft w:val="0"/>
      <w:marRight w:val="0"/>
      <w:marTop w:val="0"/>
      <w:marBottom w:val="0"/>
      <w:divBdr>
        <w:top w:val="none" w:sz="0" w:space="0" w:color="auto"/>
        <w:left w:val="none" w:sz="0" w:space="0" w:color="auto"/>
        <w:bottom w:val="none" w:sz="0" w:space="0" w:color="auto"/>
        <w:right w:val="none" w:sz="0" w:space="0" w:color="auto"/>
      </w:divBdr>
    </w:div>
    <w:div w:id="541868434">
      <w:bodyDiv w:val="1"/>
      <w:marLeft w:val="0"/>
      <w:marRight w:val="0"/>
      <w:marTop w:val="0"/>
      <w:marBottom w:val="0"/>
      <w:divBdr>
        <w:top w:val="none" w:sz="0" w:space="0" w:color="auto"/>
        <w:left w:val="none" w:sz="0" w:space="0" w:color="auto"/>
        <w:bottom w:val="none" w:sz="0" w:space="0" w:color="auto"/>
        <w:right w:val="none" w:sz="0" w:space="0" w:color="auto"/>
      </w:divBdr>
    </w:div>
    <w:div w:id="542327031">
      <w:bodyDiv w:val="1"/>
      <w:marLeft w:val="0"/>
      <w:marRight w:val="0"/>
      <w:marTop w:val="0"/>
      <w:marBottom w:val="0"/>
      <w:divBdr>
        <w:top w:val="none" w:sz="0" w:space="0" w:color="auto"/>
        <w:left w:val="none" w:sz="0" w:space="0" w:color="auto"/>
        <w:bottom w:val="none" w:sz="0" w:space="0" w:color="auto"/>
        <w:right w:val="none" w:sz="0" w:space="0" w:color="auto"/>
      </w:divBdr>
    </w:div>
    <w:div w:id="542720069">
      <w:bodyDiv w:val="1"/>
      <w:marLeft w:val="0"/>
      <w:marRight w:val="0"/>
      <w:marTop w:val="0"/>
      <w:marBottom w:val="0"/>
      <w:divBdr>
        <w:top w:val="none" w:sz="0" w:space="0" w:color="auto"/>
        <w:left w:val="none" w:sz="0" w:space="0" w:color="auto"/>
        <w:bottom w:val="none" w:sz="0" w:space="0" w:color="auto"/>
        <w:right w:val="none" w:sz="0" w:space="0" w:color="auto"/>
      </w:divBdr>
    </w:div>
    <w:div w:id="544029352">
      <w:bodyDiv w:val="1"/>
      <w:marLeft w:val="0"/>
      <w:marRight w:val="0"/>
      <w:marTop w:val="0"/>
      <w:marBottom w:val="0"/>
      <w:divBdr>
        <w:top w:val="none" w:sz="0" w:space="0" w:color="auto"/>
        <w:left w:val="none" w:sz="0" w:space="0" w:color="auto"/>
        <w:bottom w:val="none" w:sz="0" w:space="0" w:color="auto"/>
        <w:right w:val="none" w:sz="0" w:space="0" w:color="auto"/>
      </w:divBdr>
    </w:div>
    <w:div w:id="544633959">
      <w:bodyDiv w:val="1"/>
      <w:marLeft w:val="0"/>
      <w:marRight w:val="0"/>
      <w:marTop w:val="0"/>
      <w:marBottom w:val="0"/>
      <w:divBdr>
        <w:top w:val="none" w:sz="0" w:space="0" w:color="auto"/>
        <w:left w:val="none" w:sz="0" w:space="0" w:color="auto"/>
        <w:bottom w:val="none" w:sz="0" w:space="0" w:color="auto"/>
        <w:right w:val="none" w:sz="0" w:space="0" w:color="auto"/>
      </w:divBdr>
    </w:div>
    <w:div w:id="545023936">
      <w:bodyDiv w:val="1"/>
      <w:marLeft w:val="0"/>
      <w:marRight w:val="0"/>
      <w:marTop w:val="0"/>
      <w:marBottom w:val="0"/>
      <w:divBdr>
        <w:top w:val="none" w:sz="0" w:space="0" w:color="auto"/>
        <w:left w:val="none" w:sz="0" w:space="0" w:color="auto"/>
        <w:bottom w:val="none" w:sz="0" w:space="0" w:color="auto"/>
        <w:right w:val="none" w:sz="0" w:space="0" w:color="auto"/>
      </w:divBdr>
    </w:div>
    <w:div w:id="545459258">
      <w:bodyDiv w:val="1"/>
      <w:marLeft w:val="0"/>
      <w:marRight w:val="0"/>
      <w:marTop w:val="0"/>
      <w:marBottom w:val="0"/>
      <w:divBdr>
        <w:top w:val="none" w:sz="0" w:space="0" w:color="auto"/>
        <w:left w:val="none" w:sz="0" w:space="0" w:color="auto"/>
        <w:bottom w:val="none" w:sz="0" w:space="0" w:color="auto"/>
        <w:right w:val="none" w:sz="0" w:space="0" w:color="auto"/>
      </w:divBdr>
    </w:div>
    <w:div w:id="548612660">
      <w:bodyDiv w:val="1"/>
      <w:marLeft w:val="0"/>
      <w:marRight w:val="0"/>
      <w:marTop w:val="0"/>
      <w:marBottom w:val="0"/>
      <w:divBdr>
        <w:top w:val="none" w:sz="0" w:space="0" w:color="auto"/>
        <w:left w:val="none" w:sz="0" w:space="0" w:color="auto"/>
        <w:bottom w:val="none" w:sz="0" w:space="0" w:color="auto"/>
        <w:right w:val="none" w:sz="0" w:space="0" w:color="auto"/>
      </w:divBdr>
    </w:div>
    <w:div w:id="549002210">
      <w:bodyDiv w:val="1"/>
      <w:marLeft w:val="0"/>
      <w:marRight w:val="0"/>
      <w:marTop w:val="0"/>
      <w:marBottom w:val="0"/>
      <w:divBdr>
        <w:top w:val="none" w:sz="0" w:space="0" w:color="auto"/>
        <w:left w:val="none" w:sz="0" w:space="0" w:color="auto"/>
        <w:bottom w:val="none" w:sz="0" w:space="0" w:color="auto"/>
        <w:right w:val="none" w:sz="0" w:space="0" w:color="auto"/>
      </w:divBdr>
    </w:div>
    <w:div w:id="549222429">
      <w:bodyDiv w:val="1"/>
      <w:marLeft w:val="0"/>
      <w:marRight w:val="0"/>
      <w:marTop w:val="0"/>
      <w:marBottom w:val="0"/>
      <w:divBdr>
        <w:top w:val="none" w:sz="0" w:space="0" w:color="auto"/>
        <w:left w:val="none" w:sz="0" w:space="0" w:color="auto"/>
        <w:bottom w:val="none" w:sz="0" w:space="0" w:color="auto"/>
        <w:right w:val="none" w:sz="0" w:space="0" w:color="auto"/>
      </w:divBdr>
    </w:div>
    <w:div w:id="549342307">
      <w:bodyDiv w:val="1"/>
      <w:marLeft w:val="0"/>
      <w:marRight w:val="0"/>
      <w:marTop w:val="0"/>
      <w:marBottom w:val="0"/>
      <w:divBdr>
        <w:top w:val="none" w:sz="0" w:space="0" w:color="auto"/>
        <w:left w:val="none" w:sz="0" w:space="0" w:color="auto"/>
        <w:bottom w:val="none" w:sz="0" w:space="0" w:color="auto"/>
        <w:right w:val="none" w:sz="0" w:space="0" w:color="auto"/>
      </w:divBdr>
    </w:div>
    <w:div w:id="549727688">
      <w:bodyDiv w:val="1"/>
      <w:marLeft w:val="0"/>
      <w:marRight w:val="0"/>
      <w:marTop w:val="0"/>
      <w:marBottom w:val="0"/>
      <w:divBdr>
        <w:top w:val="none" w:sz="0" w:space="0" w:color="auto"/>
        <w:left w:val="none" w:sz="0" w:space="0" w:color="auto"/>
        <w:bottom w:val="none" w:sz="0" w:space="0" w:color="auto"/>
        <w:right w:val="none" w:sz="0" w:space="0" w:color="auto"/>
      </w:divBdr>
    </w:div>
    <w:div w:id="549731374">
      <w:bodyDiv w:val="1"/>
      <w:marLeft w:val="0"/>
      <w:marRight w:val="0"/>
      <w:marTop w:val="0"/>
      <w:marBottom w:val="0"/>
      <w:divBdr>
        <w:top w:val="none" w:sz="0" w:space="0" w:color="auto"/>
        <w:left w:val="none" w:sz="0" w:space="0" w:color="auto"/>
        <w:bottom w:val="none" w:sz="0" w:space="0" w:color="auto"/>
        <w:right w:val="none" w:sz="0" w:space="0" w:color="auto"/>
      </w:divBdr>
    </w:div>
    <w:div w:id="552734231">
      <w:bodyDiv w:val="1"/>
      <w:marLeft w:val="0"/>
      <w:marRight w:val="0"/>
      <w:marTop w:val="0"/>
      <w:marBottom w:val="0"/>
      <w:divBdr>
        <w:top w:val="none" w:sz="0" w:space="0" w:color="auto"/>
        <w:left w:val="none" w:sz="0" w:space="0" w:color="auto"/>
        <w:bottom w:val="none" w:sz="0" w:space="0" w:color="auto"/>
        <w:right w:val="none" w:sz="0" w:space="0" w:color="auto"/>
      </w:divBdr>
    </w:div>
    <w:div w:id="553543305">
      <w:bodyDiv w:val="1"/>
      <w:marLeft w:val="0"/>
      <w:marRight w:val="0"/>
      <w:marTop w:val="0"/>
      <w:marBottom w:val="0"/>
      <w:divBdr>
        <w:top w:val="none" w:sz="0" w:space="0" w:color="auto"/>
        <w:left w:val="none" w:sz="0" w:space="0" w:color="auto"/>
        <w:bottom w:val="none" w:sz="0" w:space="0" w:color="auto"/>
        <w:right w:val="none" w:sz="0" w:space="0" w:color="auto"/>
      </w:divBdr>
    </w:div>
    <w:div w:id="553934033">
      <w:bodyDiv w:val="1"/>
      <w:marLeft w:val="0"/>
      <w:marRight w:val="0"/>
      <w:marTop w:val="0"/>
      <w:marBottom w:val="0"/>
      <w:divBdr>
        <w:top w:val="none" w:sz="0" w:space="0" w:color="auto"/>
        <w:left w:val="none" w:sz="0" w:space="0" w:color="auto"/>
        <w:bottom w:val="none" w:sz="0" w:space="0" w:color="auto"/>
        <w:right w:val="none" w:sz="0" w:space="0" w:color="auto"/>
      </w:divBdr>
    </w:div>
    <w:div w:id="555170272">
      <w:bodyDiv w:val="1"/>
      <w:marLeft w:val="0"/>
      <w:marRight w:val="0"/>
      <w:marTop w:val="0"/>
      <w:marBottom w:val="0"/>
      <w:divBdr>
        <w:top w:val="none" w:sz="0" w:space="0" w:color="auto"/>
        <w:left w:val="none" w:sz="0" w:space="0" w:color="auto"/>
        <w:bottom w:val="none" w:sz="0" w:space="0" w:color="auto"/>
        <w:right w:val="none" w:sz="0" w:space="0" w:color="auto"/>
      </w:divBdr>
    </w:div>
    <w:div w:id="557518798">
      <w:bodyDiv w:val="1"/>
      <w:marLeft w:val="0"/>
      <w:marRight w:val="0"/>
      <w:marTop w:val="0"/>
      <w:marBottom w:val="0"/>
      <w:divBdr>
        <w:top w:val="none" w:sz="0" w:space="0" w:color="auto"/>
        <w:left w:val="none" w:sz="0" w:space="0" w:color="auto"/>
        <w:bottom w:val="none" w:sz="0" w:space="0" w:color="auto"/>
        <w:right w:val="none" w:sz="0" w:space="0" w:color="auto"/>
      </w:divBdr>
    </w:div>
    <w:div w:id="559023947">
      <w:bodyDiv w:val="1"/>
      <w:marLeft w:val="0"/>
      <w:marRight w:val="0"/>
      <w:marTop w:val="0"/>
      <w:marBottom w:val="0"/>
      <w:divBdr>
        <w:top w:val="none" w:sz="0" w:space="0" w:color="auto"/>
        <w:left w:val="none" w:sz="0" w:space="0" w:color="auto"/>
        <w:bottom w:val="none" w:sz="0" w:space="0" w:color="auto"/>
        <w:right w:val="none" w:sz="0" w:space="0" w:color="auto"/>
      </w:divBdr>
    </w:div>
    <w:div w:id="563680107">
      <w:bodyDiv w:val="1"/>
      <w:marLeft w:val="0"/>
      <w:marRight w:val="0"/>
      <w:marTop w:val="0"/>
      <w:marBottom w:val="0"/>
      <w:divBdr>
        <w:top w:val="none" w:sz="0" w:space="0" w:color="auto"/>
        <w:left w:val="none" w:sz="0" w:space="0" w:color="auto"/>
        <w:bottom w:val="none" w:sz="0" w:space="0" w:color="auto"/>
        <w:right w:val="none" w:sz="0" w:space="0" w:color="auto"/>
      </w:divBdr>
    </w:div>
    <w:div w:id="563835010">
      <w:bodyDiv w:val="1"/>
      <w:marLeft w:val="0"/>
      <w:marRight w:val="0"/>
      <w:marTop w:val="0"/>
      <w:marBottom w:val="0"/>
      <w:divBdr>
        <w:top w:val="none" w:sz="0" w:space="0" w:color="auto"/>
        <w:left w:val="none" w:sz="0" w:space="0" w:color="auto"/>
        <w:bottom w:val="none" w:sz="0" w:space="0" w:color="auto"/>
        <w:right w:val="none" w:sz="0" w:space="0" w:color="auto"/>
      </w:divBdr>
    </w:div>
    <w:div w:id="563874298">
      <w:bodyDiv w:val="1"/>
      <w:marLeft w:val="0"/>
      <w:marRight w:val="0"/>
      <w:marTop w:val="0"/>
      <w:marBottom w:val="0"/>
      <w:divBdr>
        <w:top w:val="none" w:sz="0" w:space="0" w:color="auto"/>
        <w:left w:val="none" w:sz="0" w:space="0" w:color="auto"/>
        <w:bottom w:val="none" w:sz="0" w:space="0" w:color="auto"/>
        <w:right w:val="none" w:sz="0" w:space="0" w:color="auto"/>
      </w:divBdr>
    </w:div>
    <w:div w:id="569197250">
      <w:bodyDiv w:val="1"/>
      <w:marLeft w:val="0"/>
      <w:marRight w:val="0"/>
      <w:marTop w:val="0"/>
      <w:marBottom w:val="0"/>
      <w:divBdr>
        <w:top w:val="none" w:sz="0" w:space="0" w:color="auto"/>
        <w:left w:val="none" w:sz="0" w:space="0" w:color="auto"/>
        <w:bottom w:val="none" w:sz="0" w:space="0" w:color="auto"/>
        <w:right w:val="none" w:sz="0" w:space="0" w:color="auto"/>
      </w:divBdr>
    </w:div>
    <w:div w:id="571430461">
      <w:bodyDiv w:val="1"/>
      <w:marLeft w:val="0"/>
      <w:marRight w:val="0"/>
      <w:marTop w:val="0"/>
      <w:marBottom w:val="0"/>
      <w:divBdr>
        <w:top w:val="none" w:sz="0" w:space="0" w:color="auto"/>
        <w:left w:val="none" w:sz="0" w:space="0" w:color="auto"/>
        <w:bottom w:val="none" w:sz="0" w:space="0" w:color="auto"/>
        <w:right w:val="none" w:sz="0" w:space="0" w:color="auto"/>
      </w:divBdr>
    </w:div>
    <w:div w:id="573128407">
      <w:bodyDiv w:val="1"/>
      <w:marLeft w:val="0"/>
      <w:marRight w:val="0"/>
      <w:marTop w:val="0"/>
      <w:marBottom w:val="0"/>
      <w:divBdr>
        <w:top w:val="none" w:sz="0" w:space="0" w:color="auto"/>
        <w:left w:val="none" w:sz="0" w:space="0" w:color="auto"/>
        <w:bottom w:val="none" w:sz="0" w:space="0" w:color="auto"/>
        <w:right w:val="none" w:sz="0" w:space="0" w:color="auto"/>
      </w:divBdr>
    </w:div>
    <w:div w:id="575752067">
      <w:bodyDiv w:val="1"/>
      <w:marLeft w:val="0"/>
      <w:marRight w:val="0"/>
      <w:marTop w:val="0"/>
      <w:marBottom w:val="0"/>
      <w:divBdr>
        <w:top w:val="none" w:sz="0" w:space="0" w:color="auto"/>
        <w:left w:val="none" w:sz="0" w:space="0" w:color="auto"/>
        <w:bottom w:val="none" w:sz="0" w:space="0" w:color="auto"/>
        <w:right w:val="none" w:sz="0" w:space="0" w:color="auto"/>
      </w:divBdr>
    </w:div>
    <w:div w:id="576137190">
      <w:bodyDiv w:val="1"/>
      <w:marLeft w:val="0"/>
      <w:marRight w:val="0"/>
      <w:marTop w:val="0"/>
      <w:marBottom w:val="0"/>
      <w:divBdr>
        <w:top w:val="none" w:sz="0" w:space="0" w:color="auto"/>
        <w:left w:val="none" w:sz="0" w:space="0" w:color="auto"/>
        <w:bottom w:val="none" w:sz="0" w:space="0" w:color="auto"/>
        <w:right w:val="none" w:sz="0" w:space="0" w:color="auto"/>
      </w:divBdr>
    </w:div>
    <w:div w:id="576328144">
      <w:bodyDiv w:val="1"/>
      <w:marLeft w:val="0"/>
      <w:marRight w:val="0"/>
      <w:marTop w:val="0"/>
      <w:marBottom w:val="0"/>
      <w:divBdr>
        <w:top w:val="none" w:sz="0" w:space="0" w:color="auto"/>
        <w:left w:val="none" w:sz="0" w:space="0" w:color="auto"/>
        <w:bottom w:val="none" w:sz="0" w:space="0" w:color="auto"/>
        <w:right w:val="none" w:sz="0" w:space="0" w:color="auto"/>
      </w:divBdr>
    </w:div>
    <w:div w:id="577597126">
      <w:bodyDiv w:val="1"/>
      <w:marLeft w:val="0"/>
      <w:marRight w:val="0"/>
      <w:marTop w:val="0"/>
      <w:marBottom w:val="0"/>
      <w:divBdr>
        <w:top w:val="none" w:sz="0" w:space="0" w:color="auto"/>
        <w:left w:val="none" w:sz="0" w:space="0" w:color="auto"/>
        <w:bottom w:val="none" w:sz="0" w:space="0" w:color="auto"/>
        <w:right w:val="none" w:sz="0" w:space="0" w:color="auto"/>
      </w:divBdr>
    </w:div>
    <w:div w:id="578683747">
      <w:bodyDiv w:val="1"/>
      <w:marLeft w:val="0"/>
      <w:marRight w:val="0"/>
      <w:marTop w:val="0"/>
      <w:marBottom w:val="0"/>
      <w:divBdr>
        <w:top w:val="none" w:sz="0" w:space="0" w:color="auto"/>
        <w:left w:val="none" w:sz="0" w:space="0" w:color="auto"/>
        <w:bottom w:val="none" w:sz="0" w:space="0" w:color="auto"/>
        <w:right w:val="none" w:sz="0" w:space="0" w:color="auto"/>
      </w:divBdr>
    </w:div>
    <w:div w:id="579606443">
      <w:bodyDiv w:val="1"/>
      <w:marLeft w:val="0"/>
      <w:marRight w:val="0"/>
      <w:marTop w:val="0"/>
      <w:marBottom w:val="0"/>
      <w:divBdr>
        <w:top w:val="none" w:sz="0" w:space="0" w:color="auto"/>
        <w:left w:val="none" w:sz="0" w:space="0" w:color="auto"/>
        <w:bottom w:val="none" w:sz="0" w:space="0" w:color="auto"/>
        <w:right w:val="none" w:sz="0" w:space="0" w:color="auto"/>
      </w:divBdr>
    </w:div>
    <w:div w:id="580678715">
      <w:bodyDiv w:val="1"/>
      <w:marLeft w:val="0"/>
      <w:marRight w:val="0"/>
      <w:marTop w:val="0"/>
      <w:marBottom w:val="0"/>
      <w:divBdr>
        <w:top w:val="none" w:sz="0" w:space="0" w:color="auto"/>
        <w:left w:val="none" w:sz="0" w:space="0" w:color="auto"/>
        <w:bottom w:val="none" w:sz="0" w:space="0" w:color="auto"/>
        <w:right w:val="none" w:sz="0" w:space="0" w:color="auto"/>
      </w:divBdr>
    </w:div>
    <w:div w:id="580722201">
      <w:bodyDiv w:val="1"/>
      <w:marLeft w:val="0"/>
      <w:marRight w:val="0"/>
      <w:marTop w:val="0"/>
      <w:marBottom w:val="0"/>
      <w:divBdr>
        <w:top w:val="none" w:sz="0" w:space="0" w:color="auto"/>
        <w:left w:val="none" w:sz="0" w:space="0" w:color="auto"/>
        <w:bottom w:val="none" w:sz="0" w:space="0" w:color="auto"/>
        <w:right w:val="none" w:sz="0" w:space="0" w:color="auto"/>
      </w:divBdr>
    </w:div>
    <w:div w:id="581455712">
      <w:bodyDiv w:val="1"/>
      <w:marLeft w:val="0"/>
      <w:marRight w:val="0"/>
      <w:marTop w:val="0"/>
      <w:marBottom w:val="0"/>
      <w:divBdr>
        <w:top w:val="none" w:sz="0" w:space="0" w:color="auto"/>
        <w:left w:val="none" w:sz="0" w:space="0" w:color="auto"/>
        <w:bottom w:val="none" w:sz="0" w:space="0" w:color="auto"/>
        <w:right w:val="none" w:sz="0" w:space="0" w:color="auto"/>
      </w:divBdr>
    </w:div>
    <w:div w:id="583339677">
      <w:bodyDiv w:val="1"/>
      <w:marLeft w:val="0"/>
      <w:marRight w:val="0"/>
      <w:marTop w:val="0"/>
      <w:marBottom w:val="0"/>
      <w:divBdr>
        <w:top w:val="none" w:sz="0" w:space="0" w:color="auto"/>
        <w:left w:val="none" w:sz="0" w:space="0" w:color="auto"/>
        <w:bottom w:val="none" w:sz="0" w:space="0" w:color="auto"/>
        <w:right w:val="none" w:sz="0" w:space="0" w:color="auto"/>
      </w:divBdr>
    </w:div>
    <w:div w:id="583414814">
      <w:bodyDiv w:val="1"/>
      <w:marLeft w:val="0"/>
      <w:marRight w:val="0"/>
      <w:marTop w:val="0"/>
      <w:marBottom w:val="0"/>
      <w:divBdr>
        <w:top w:val="none" w:sz="0" w:space="0" w:color="auto"/>
        <w:left w:val="none" w:sz="0" w:space="0" w:color="auto"/>
        <w:bottom w:val="none" w:sz="0" w:space="0" w:color="auto"/>
        <w:right w:val="none" w:sz="0" w:space="0" w:color="auto"/>
      </w:divBdr>
    </w:div>
    <w:div w:id="584146231">
      <w:bodyDiv w:val="1"/>
      <w:marLeft w:val="0"/>
      <w:marRight w:val="0"/>
      <w:marTop w:val="0"/>
      <w:marBottom w:val="0"/>
      <w:divBdr>
        <w:top w:val="none" w:sz="0" w:space="0" w:color="auto"/>
        <w:left w:val="none" w:sz="0" w:space="0" w:color="auto"/>
        <w:bottom w:val="none" w:sz="0" w:space="0" w:color="auto"/>
        <w:right w:val="none" w:sz="0" w:space="0" w:color="auto"/>
      </w:divBdr>
    </w:div>
    <w:div w:id="587079427">
      <w:bodyDiv w:val="1"/>
      <w:marLeft w:val="0"/>
      <w:marRight w:val="0"/>
      <w:marTop w:val="0"/>
      <w:marBottom w:val="0"/>
      <w:divBdr>
        <w:top w:val="none" w:sz="0" w:space="0" w:color="auto"/>
        <w:left w:val="none" w:sz="0" w:space="0" w:color="auto"/>
        <w:bottom w:val="none" w:sz="0" w:space="0" w:color="auto"/>
        <w:right w:val="none" w:sz="0" w:space="0" w:color="auto"/>
      </w:divBdr>
    </w:div>
    <w:div w:id="587614681">
      <w:bodyDiv w:val="1"/>
      <w:marLeft w:val="0"/>
      <w:marRight w:val="0"/>
      <w:marTop w:val="0"/>
      <w:marBottom w:val="0"/>
      <w:divBdr>
        <w:top w:val="none" w:sz="0" w:space="0" w:color="auto"/>
        <w:left w:val="none" w:sz="0" w:space="0" w:color="auto"/>
        <w:bottom w:val="none" w:sz="0" w:space="0" w:color="auto"/>
        <w:right w:val="none" w:sz="0" w:space="0" w:color="auto"/>
      </w:divBdr>
    </w:div>
    <w:div w:id="588462283">
      <w:bodyDiv w:val="1"/>
      <w:marLeft w:val="0"/>
      <w:marRight w:val="0"/>
      <w:marTop w:val="0"/>
      <w:marBottom w:val="0"/>
      <w:divBdr>
        <w:top w:val="none" w:sz="0" w:space="0" w:color="auto"/>
        <w:left w:val="none" w:sz="0" w:space="0" w:color="auto"/>
        <w:bottom w:val="none" w:sz="0" w:space="0" w:color="auto"/>
        <w:right w:val="none" w:sz="0" w:space="0" w:color="auto"/>
      </w:divBdr>
    </w:div>
    <w:div w:id="588539093">
      <w:bodyDiv w:val="1"/>
      <w:marLeft w:val="0"/>
      <w:marRight w:val="0"/>
      <w:marTop w:val="0"/>
      <w:marBottom w:val="0"/>
      <w:divBdr>
        <w:top w:val="none" w:sz="0" w:space="0" w:color="auto"/>
        <w:left w:val="none" w:sz="0" w:space="0" w:color="auto"/>
        <w:bottom w:val="none" w:sz="0" w:space="0" w:color="auto"/>
        <w:right w:val="none" w:sz="0" w:space="0" w:color="auto"/>
      </w:divBdr>
    </w:div>
    <w:div w:id="589898948">
      <w:bodyDiv w:val="1"/>
      <w:marLeft w:val="0"/>
      <w:marRight w:val="0"/>
      <w:marTop w:val="0"/>
      <w:marBottom w:val="0"/>
      <w:divBdr>
        <w:top w:val="none" w:sz="0" w:space="0" w:color="auto"/>
        <w:left w:val="none" w:sz="0" w:space="0" w:color="auto"/>
        <w:bottom w:val="none" w:sz="0" w:space="0" w:color="auto"/>
        <w:right w:val="none" w:sz="0" w:space="0" w:color="auto"/>
      </w:divBdr>
    </w:div>
    <w:div w:id="590436918">
      <w:bodyDiv w:val="1"/>
      <w:marLeft w:val="0"/>
      <w:marRight w:val="0"/>
      <w:marTop w:val="0"/>
      <w:marBottom w:val="0"/>
      <w:divBdr>
        <w:top w:val="none" w:sz="0" w:space="0" w:color="auto"/>
        <w:left w:val="none" w:sz="0" w:space="0" w:color="auto"/>
        <w:bottom w:val="none" w:sz="0" w:space="0" w:color="auto"/>
        <w:right w:val="none" w:sz="0" w:space="0" w:color="auto"/>
      </w:divBdr>
    </w:div>
    <w:div w:id="590504158">
      <w:bodyDiv w:val="1"/>
      <w:marLeft w:val="0"/>
      <w:marRight w:val="0"/>
      <w:marTop w:val="0"/>
      <w:marBottom w:val="0"/>
      <w:divBdr>
        <w:top w:val="none" w:sz="0" w:space="0" w:color="auto"/>
        <w:left w:val="none" w:sz="0" w:space="0" w:color="auto"/>
        <w:bottom w:val="none" w:sz="0" w:space="0" w:color="auto"/>
        <w:right w:val="none" w:sz="0" w:space="0" w:color="auto"/>
      </w:divBdr>
    </w:div>
    <w:div w:id="590624525">
      <w:bodyDiv w:val="1"/>
      <w:marLeft w:val="0"/>
      <w:marRight w:val="0"/>
      <w:marTop w:val="0"/>
      <w:marBottom w:val="0"/>
      <w:divBdr>
        <w:top w:val="none" w:sz="0" w:space="0" w:color="auto"/>
        <w:left w:val="none" w:sz="0" w:space="0" w:color="auto"/>
        <w:bottom w:val="none" w:sz="0" w:space="0" w:color="auto"/>
        <w:right w:val="none" w:sz="0" w:space="0" w:color="auto"/>
      </w:divBdr>
    </w:div>
    <w:div w:id="590699231">
      <w:bodyDiv w:val="1"/>
      <w:marLeft w:val="0"/>
      <w:marRight w:val="0"/>
      <w:marTop w:val="0"/>
      <w:marBottom w:val="0"/>
      <w:divBdr>
        <w:top w:val="none" w:sz="0" w:space="0" w:color="auto"/>
        <w:left w:val="none" w:sz="0" w:space="0" w:color="auto"/>
        <w:bottom w:val="none" w:sz="0" w:space="0" w:color="auto"/>
        <w:right w:val="none" w:sz="0" w:space="0" w:color="auto"/>
      </w:divBdr>
    </w:div>
    <w:div w:id="591205144">
      <w:bodyDiv w:val="1"/>
      <w:marLeft w:val="0"/>
      <w:marRight w:val="0"/>
      <w:marTop w:val="0"/>
      <w:marBottom w:val="0"/>
      <w:divBdr>
        <w:top w:val="none" w:sz="0" w:space="0" w:color="auto"/>
        <w:left w:val="none" w:sz="0" w:space="0" w:color="auto"/>
        <w:bottom w:val="none" w:sz="0" w:space="0" w:color="auto"/>
        <w:right w:val="none" w:sz="0" w:space="0" w:color="auto"/>
      </w:divBdr>
    </w:div>
    <w:div w:id="592857526">
      <w:bodyDiv w:val="1"/>
      <w:marLeft w:val="0"/>
      <w:marRight w:val="0"/>
      <w:marTop w:val="0"/>
      <w:marBottom w:val="0"/>
      <w:divBdr>
        <w:top w:val="none" w:sz="0" w:space="0" w:color="auto"/>
        <w:left w:val="none" w:sz="0" w:space="0" w:color="auto"/>
        <w:bottom w:val="none" w:sz="0" w:space="0" w:color="auto"/>
        <w:right w:val="none" w:sz="0" w:space="0" w:color="auto"/>
      </w:divBdr>
    </w:div>
    <w:div w:id="592979145">
      <w:bodyDiv w:val="1"/>
      <w:marLeft w:val="0"/>
      <w:marRight w:val="0"/>
      <w:marTop w:val="0"/>
      <w:marBottom w:val="0"/>
      <w:divBdr>
        <w:top w:val="none" w:sz="0" w:space="0" w:color="auto"/>
        <w:left w:val="none" w:sz="0" w:space="0" w:color="auto"/>
        <w:bottom w:val="none" w:sz="0" w:space="0" w:color="auto"/>
        <w:right w:val="none" w:sz="0" w:space="0" w:color="auto"/>
      </w:divBdr>
    </w:div>
    <w:div w:id="594289373">
      <w:bodyDiv w:val="1"/>
      <w:marLeft w:val="0"/>
      <w:marRight w:val="0"/>
      <w:marTop w:val="0"/>
      <w:marBottom w:val="0"/>
      <w:divBdr>
        <w:top w:val="none" w:sz="0" w:space="0" w:color="auto"/>
        <w:left w:val="none" w:sz="0" w:space="0" w:color="auto"/>
        <w:bottom w:val="none" w:sz="0" w:space="0" w:color="auto"/>
        <w:right w:val="none" w:sz="0" w:space="0" w:color="auto"/>
      </w:divBdr>
    </w:div>
    <w:div w:id="595401803">
      <w:bodyDiv w:val="1"/>
      <w:marLeft w:val="0"/>
      <w:marRight w:val="0"/>
      <w:marTop w:val="0"/>
      <w:marBottom w:val="0"/>
      <w:divBdr>
        <w:top w:val="none" w:sz="0" w:space="0" w:color="auto"/>
        <w:left w:val="none" w:sz="0" w:space="0" w:color="auto"/>
        <w:bottom w:val="none" w:sz="0" w:space="0" w:color="auto"/>
        <w:right w:val="none" w:sz="0" w:space="0" w:color="auto"/>
      </w:divBdr>
    </w:div>
    <w:div w:id="597565724">
      <w:bodyDiv w:val="1"/>
      <w:marLeft w:val="0"/>
      <w:marRight w:val="0"/>
      <w:marTop w:val="0"/>
      <w:marBottom w:val="0"/>
      <w:divBdr>
        <w:top w:val="none" w:sz="0" w:space="0" w:color="auto"/>
        <w:left w:val="none" w:sz="0" w:space="0" w:color="auto"/>
        <w:bottom w:val="none" w:sz="0" w:space="0" w:color="auto"/>
        <w:right w:val="none" w:sz="0" w:space="0" w:color="auto"/>
      </w:divBdr>
    </w:div>
    <w:div w:id="599725287">
      <w:bodyDiv w:val="1"/>
      <w:marLeft w:val="0"/>
      <w:marRight w:val="0"/>
      <w:marTop w:val="0"/>
      <w:marBottom w:val="0"/>
      <w:divBdr>
        <w:top w:val="none" w:sz="0" w:space="0" w:color="auto"/>
        <w:left w:val="none" w:sz="0" w:space="0" w:color="auto"/>
        <w:bottom w:val="none" w:sz="0" w:space="0" w:color="auto"/>
        <w:right w:val="none" w:sz="0" w:space="0" w:color="auto"/>
      </w:divBdr>
    </w:div>
    <w:div w:id="601300031">
      <w:bodyDiv w:val="1"/>
      <w:marLeft w:val="0"/>
      <w:marRight w:val="0"/>
      <w:marTop w:val="0"/>
      <w:marBottom w:val="0"/>
      <w:divBdr>
        <w:top w:val="none" w:sz="0" w:space="0" w:color="auto"/>
        <w:left w:val="none" w:sz="0" w:space="0" w:color="auto"/>
        <w:bottom w:val="none" w:sz="0" w:space="0" w:color="auto"/>
        <w:right w:val="none" w:sz="0" w:space="0" w:color="auto"/>
      </w:divBdr>
    </w:div>
    <w:div w:id="601492557">
      <w:bodyDiv w:val="1"/>
      <w:marLeft w:val="0"/>
      <w:marRight w:val="0"/>
      <w:marTop w:val="0"/>
      <w:marBottom w:val="0"/>
      <w:divBdr>
        <w:top w:val="none" w:sz="0" w:space="0" w:color="auto"/>
        <w:left w:val="none" w:sz="0" w:space="0" w:color="auto"/>
        <w:bottom w:val="none" w:sz="0" w:space="0" w:color="auto"/>
        <w:right w:val="none" w:sz="0" w:space="0" w:color="auto"/>
      </w:divBdr>
    </w:div>
    <w:div w:id="601962437">
      <w:bodyDiv w:val="1"/>
      <w:marLeft w:val="0"/>
      <w:marRight w:val="0"/>
      <w:marTop w:val="0"/>
      <w:marBottom w:val="0"/>
      <w:divBdr>
        <w:top w:val="none" w:sz="0" w:space="0" w:color="auto"/>
        <w:left w:val="none" w:sz="0" w:space="0" w:color="auto"/>
        <w:bottom w:val="none" w:sz="0" w:space="0" w:color="auto"/>
        <w:right w:val="none" w:sz="0" w:space="0" w:color="auto"/>
      </w:divBdr>
    </w:div>
    <w:div w:id="602961892">
      <w:bodyDiv w:val="1"/>
      <w:marLeft w:val="0"/>
      <w:marRight w:val="0"/>
      <w:marTop w:val="0"/>
      <w:marBottom w:val="0"/>
      <w:divBdr>
        <w:top w:val="none" w:sz="0" w:space="0" w:color="auto"/>
        <w:left w:val="none" w:sz="0" w:space="0" w:color="auto"/>
        <w:bottom w:val="none" w:sz="0" w:space="0" w:color="auto"/>
        <w:right w:val="none" w:sz="0" w:space="0" w:color="auto"/>
      </w:divBdr>
    </w:div>
    <w:div w:id="604117773">
      <w:bodyDiv w:val="1"/>
      <w:marLeft w:val="0"/>
      <w:marRight w:val="0"/>
      <w:marTop w:val="0"/>
      <w:marBottom w:val="0"/>
      <w:divBdr>
        <w:top w:val="none" w:sz="0" w:space="0" w:color="auto"/>
        <w:left w:val="none" w:sz="0" w:space="0" w:color="auto"/>
        <w:bottom w:val="none" w:sz="0" w:space="0" w:color="auto"/>
        <w:right w:val="none" w:sz="0" w:space="0" w:color="auto"/>
      </w:divBdr>
    </w:div>
    <w:div w:id="605773740">
      <w:bodyDiv w:val="1"/>
      <w:marLeft w:val="0"/>
      <w:marRight w:val="0"/>
      <w:marTop w:val="0"/>
      <w:marBottom w:val="0"/>
      <w:divBdr>
        <w:top w:val="none" w:sz="0" w:space="0" w:color="auto"/>
        <w:left w:val="none" w:sz="0" w:space="0" w:color="auto"/>
        <w:bottom w:val="none" w:sz="0" w:space="0" w:color="auto"/>
        <w:right w:val="none" w:sz="0" w:space="0" w:color="auto"/>
      </w:divBdr>
    </w:div>
    <w:div w:id="607077968">
      <w:bodyDiv w:val="1"/>
      <w:marLeft w:val="0"/>
      <w:marRight w:val="0"/>
      <w:marTop w:val="0"/>
      <w:marBottom w:val="0"/>
      <w:divBdr>
        <w:top w:val="none" w:sz="0" w:space="0" w:color="auto"/>
        <w:left w:val="none" w:sz="0" w:space="0" w:color="auto"/>
        <w:bottom w:val="none" w:sz="0" w:space="0" w:color="auto"/>
        <w:right w:val="none" w:sz="0" w:space="0" w:color="auto"/>
      </w:divBdr>
    </w:div>
    <w:div w:id="608708745">
      <w:bodyDiv w:val="1"/>
      <w:marLeft w:val="0"/>
      <w:marRight w:val="0"/>
      <w:marTop w:val="0"/>
      <w:marBottom w:val="0"/>
      <w:divBdr>
        <w:top w:val="none" w:sz="0" w:space="0" w:color="auto"/>
        <w:left w:val="none" w:sz="0" w:space="0" w:color="auto"/>
        <w:bottom w:val="none" w:sz="0" w:space="0" w:color="auto"/>
        <w:right w:val="none" w:sz="0" w:space="0" w:color="auto"/>
      </w:divBdr>
    </w:div>
    <w:div w:id="608852742">
      <w:bodyDiv w:val="1"/>
      <w:marLeft w:val="0"/>
      <w:marRight w:val="0"/>
      <w:marTop w:val="0"/>
      <w:marBottom w:val="0"/>
      <w:divBdr>
        <w:top w:val="none" w:sz="0" w:space="0" w:color="auto"/>
        <w:left w:val="none" w:sz="0" w:space="0" w:color="auto"/>
        <w:bottom w:val="none" w:sz="0" w:space="0" w:color="auto"/>
        <w:right w:val="none" w:sz="0" w:space="0" w:color="auto"/>
      </w:divBdr>
    </w:div>
    <w:div w:id="610236359">
      <w:bodyDiv w:val="1"/>
      <w:marLeft w:val="0"/>
      <w:marRight w:val="0"/>
      <w:marTop w:val="0"/>
      <w:marBottom w:val="0"/>
      <w:divBdr>
        <w:top w:val="none" w:sz="0" w:space="0" w:color="auto"/>
        <w:left w:val="none" w:sz="0" w:space="0" w:color="auto"/>
        <w:bottom w:val="none" w:sz="0" w:space="0" w:color="auto"/>
        <w:right w:val="none" w:sz="0" w:space="0" w:color="auto"/>
      </w:divBdr>
    </w:div>
    <w:div w:id="613370408">
      <w:bodyDiv w:val="1"/>
      <w:marLeft w:val="0"/>
      <w:marRight w:val="0"/>
      <w:marTop w:val="0"/>
      <w:marBottom w:val="0"/>
      <w:divBdr>
        <w:top w:val="none" w:sz="0" w:space="0" w:color="auto"/>
        <w:left w:val="none" w:sz="0" w:space="0" w:color="auto"/>
        <w:bottom w:val="none" w:sz="0" w:space="0" w:color="auto"/>
        <w:right w:val="none" w:sz="0" w:space="0" w:color="auto"/>
      </w:divBdr>
    </w:div>
    <w:div w:id="614407173">
      <w:bodyDiv w:val="1"/>
      <w:marLeft w:val="0"/>
      <w:marRight w:val="0"/>
      <w:marTop w:val="0"/>
      <w:marBottom w:val="0"/>
      <w:divBdr>
        <w:top w:val="none" w:sz="0" w:space="0" w:color="auto"/>
        <w:left w:val="none" w:sz="0" w:space="0" w:color="auto"/>
        <w:bottom w:val="none" w:sz="0" w:space="0" w:color="auto"/>
        <w:right w:val="none" w:sz="0" w:space="0" w:color="auto"/>
      </w:divBdr>
    </w:div>
    <w:div w:id="615720034">
      <w:bodyDiv w:val="1"/>
      <w:marLeft w:val="0"/>
      <w:marRight w:val="0"/>
      <w:marTop w:val="0"/>
      <w:marBottom w:val="0"/>
      <w:divBdr>
        <w:top w:val="none" w:sz="0" w:space="0" w:color="auto"/>
        <w:left w:val="none" w:sz="0" w:space="0" w:color="auto"/>
        <w:bottom w:val="none" w:sz="0" w:space="0" w:color="auto"/>
        <w:right w:val="none" w:sz="0" w:space="0" w:color="auto"/>
      </w:divBdr>
    </w:div>
    <w:div w:id="616644479">
      <w:bodyDiv w:val="1"/>
      <w:marLeft w:val="0"/>
      <w:marRight w:val="0"/>
      <w:marTop w:val="0"/>
      <w:marBottom w:val="0"/>
      <w:divBdr>
        <w:top w:val="none" w:sz="0" w:space="0" w:color="auto"/>
        <w:left w:val="none" w:sz="0" w:space="0" w:color="auto"/>
        <w:bottom w:val="none" w:sz="0" w:space="0" w:color="auto"/>
        <w:right w:val="none" w:sz="0" w:space="0" w:color="auto"/>
      </w:divBdr>
    </w:div>
    <w:div w:id="618151132">
      <w:bodyDiv w:val="1"/>
      <w:marLeft w:val="0"/>
      <w:marRight w:val="0"/>
      <w:marTop w:val="0"/>
      <w:marBottom w:val="0"/>
      <w:divBdr>
        <w:top w:val="none" w:sz="0" w:space="0" w:color="auto"/>
        <w:left w:val="none" w:sz="0" w:space="0" w:color="auto"/>
        <w:bottom w:val="none" w:sz="0" w:space="0" w:color="auto"/>
        <w:right w:val="none" w:sz="0" w:space="0" w:color="auto"/>
      </w:divBdr>
    </w:div>
    <w:div w:id="619845623">
      <w:bodyDiv w:val="1"/>
      <w:marLeft w:val="0"/>
      <w:marRight w:val="0"/>
      <w:marTop w:val="0"/>
      <w:marBottom w:val="0"/>
      <w:divBdr>
        <w:top w:val="none" w:sz="0" w:space="0" w:color="auto"/>
        <w:left w:val="none" w:sz="0" w:space="0" w:color="auto"/>
        <w:bottom w:val="none" w:sz="0" w:space="0" w:color="auto"/>
        <w:right w:val="none" w:sz="0" w:space="0" w:color="auto"/>
      </w:divBdr>
    </w:div>
    <w:div w:id="620187661">
      <w:bodyDiv w:val="1"/>
      <w:marLeft w:val="0"/>
      <w:marRight w:val="0"/>
      <w:marTop w:val="0"/>
      <w:marBottom w:val="0"/>
      <w:divBdr>
        <w:top w:val="none" w:sz="0" w:space="0" w:color="auto"/>
        <w:left w:val="none" w:sz="0" w:space="0" w:color="auto"/>
        <w:bottom w:val="none" w:sz="0" w:space="0" w:color="auto"/>
        <w:right w:val="none" w:sz="0" w:space="0" w:color="auto"/>
      </w:divBdr>
    </w:div>
    <w:div w:id="620843134">
      <w:bodyDiv w:val="1"/>
      <w:marLeft w:val="0"/>
      <w:marRight w:val="0"/>
      <w:marTop w:val="0"/>
      <w:marBottom w:val="0"/>
      <w:divBdr>
        <w:top w:val="none" w:sz="0" w:space="0" w:color="auto"/>
        <w:left w:val="none" w:sz="0" w:space="0" w:color="auto"/>
        <w:bottom w:val="none" w:sz="0" w:space="0" w:color="auto"/>
        <w:right w:val="none" w:sz="0" w:space="0" w:color="auto"/>
      </w:divBdr>
    </w:div>
    <w:div w:id="621158361">
      <w:bodyDiv w:val="1"/>
      <w:marLeft w:val="0"/>
      <w:marRight w:val="0"/>
      <w:marTop w:val="0"/>
      <w:marBottom w:val="0"/>
      <w:divBdr>
        <w:top w:val="none" w:sz="0" w:space="0" w:color="auto"/>
        <w:left w:val="none" w:sz="0" w:space="0" w:color="auto"/>
        <w:bottom w:val="none" w:sz="0" w:space="0" w:color="auto"/>
        <w:right w:val="none" w:sz="0" w:space="0" w:color="auto"/>
      </w:divBdr>
    </w:div>
    <w:div w:id="622662587">
      <w:bodyDiv w:val="1"/>
      <w:marLeft w:val="0"/>
      <w:marRight w:val="0"/>
      <w:marTop w:val="0"/>
      <w:marBottom w:val="0"/>
      <w:divBdr>
        <w:top w:val="none" w:sz="0" w:space="0" w:color="auto"/>
        <w:left w:val="none" w:sz="0" w:space="0" w:color="auto"/>
        <w:bottom w:val="none" w:sz="0" w:space="0" w:color="auto"/>
        <w:right w:val="none" w:sz="0" w:space="0" w:color="auto"/>
      </w:divBdr>
    </w:div>
    <w:div w:id="622736407">
      <w:bodyDiv w:val="1"/>
      <w:marLeft w:val="0"/>
      <w:marRight w:val="0"/>
      <w:marTop w:val="0"/>
      <w:marBottom w:val="0"/>
      <w:divBdr>
        <w:top w:val="none" w:sz="0" w:space="0" w:color="auto"/>
        <w:left w:val="none" w:sz="0" w:space="0" w:color="auto"/>
        <w:bottom w:val="none" w:sz="0" w:space="0" w:color="auto"/>
        <w:right w:val="none" w:sz="0" w:space="0" w:color="auto"/>
      </w:divBdr>
    </w:div>
    <w:div w:id="623580009">
      <w:bodyDiv w:val="1"/>
      <w:marLeft w:val="0"/>
      <w:marRight w:val="0"/>
      <w:marTop w:val="0"/>
      <w:marBottom w:val="0"/>
      <w:divBdr>
        <w:top w:val="none" w:sz="0" w:space="0" w:color="auto"/>
        <w:left w:val="none" w:sz="0" w:space="0" w:color="auto"/>
        <w:bottom w:val="none" w:sz="0" w:space="0" w:color="auto"/>
        <w:right w:val="none" w:sz="0" w:space="0" w:color="auto"/>
      </w:divBdr>
    </w:div>
    <w:div w:id="623736060">
      <w:bodyDiv w:val="1"/>
      <w:marLeft w:val="0"/>
      <w:marRight w:val="0"/>
      <w:marTop w:val="0"/>
      <w:marBottom w:val="0"/>
      <w:divBdr>
        <w:top w:val="none" w:sz="0" w:space="0" w:color="auto"/>
        <w:left w:val="none" w:sz="0" w:space="0" w:color="auto"/>
        <w:bottom w:val="none" w:sz="0" w:space="0" w:color="auto"/>
        <w:right w:val="none" w:sz="0" w:space="0" w:color="auto"/>
      </w:divBdr>
    </w:div>
    <w:div w:id="627784400">
      <w:bodyDiv w:val="1"/>
      <w:marLeft w:val="0"/>
      <w:marRight w:val="0"/>
      <w:marTop w:val="0"/>
      <w:marBottom w:val="0"/>
      <w:divBdr>
        <w:top w:val="none" w:sz="0" w:space="0" w:color="auto"/>
        <w:left w:val="none" w:sz="0" w:space="0" w:color="auto"/>
        <w:bottom w:val="none" w:sz="0" w:space="0" w:color="auto"/>
        <w:right w:val="none" w:sz="0" w:space="0" w:color="auto"/>
      </w:divBdr>
    </w:div>
    <w:div w:id="628169994">
      <w:bodyDiv w:val="1"/>
      <w:marLeft w:val="0"/>
      <w:marRight w:val="0"/>
      <w:marTop w:val="0"/>
      <w:marBottom w:val="0"/>
      <w:divBdr>
        <w:top w:val="none" w:sz="0" w:space="0" w:color="auto"/>
        <w:left w:val="none" w:sz="0" w:space="0" w:color="auto"/>
        <w:bottom w:val="none" w:sz="0" w:space="0" w:color="auto"/>
        <w:right w:val="none" w:sz="0" w:space="0" w:color="auto"/>
      </w:divBdr>
    </w:div>
    <w:div w:id="628243790">
      <w:bodyDiv w:val="1"/>
      <w:marLeft w:val="0"/>
      <w:marRight w:val="0"/>
      <w:marTop w:val="0"/>
      <w:marBottom w:val="0"/>
      <w:divBdr>
        <w:top w:val="none" w:sz="0" w:space="0" w:color="auto"/>
        <w:left w:val="none" w:sz="0" w:space="0" w:color="auto"/>
        <w:bottom w:val="none" w:sz="0" w:space="0" w:color="auto"/>
        <w:right w:val="none" w:sz="0" w:space="0" w:color="auto"/>
      </w:divBdr>
    </w:div>
    <w:div w:id="628390926">
      <w:bodyDiv w:val="1"/>
      <w:marLeft w:val="0"/>
      <w:marRight w:val="0"/>
      <w:marTop w:val="0"/>
      <w:marBottom w:val="0"/>
      <w:divBdr>
        <w:top w:val="none" w:sz="0" w:space="0" w:color="auto"/>
        <w:left w:val="none" w:sz="0" w:space="0" w:color="auto"/>
        <w:bottom w:val="none" w:sz="0" w:space="0" w:color="auto"/>
        <w:right w:val="none" w:sz="0" w:space="0" w:color="auto"/>
      </w:divBdr>
    </w:div>
    <w:div w:id="628627221">
      <w:bodyDiv w:val="1"/>
      <w:marLeft w:val="0"/>
      <w:marRight w:val="0"/>
      <w:marTop w:val="0"/>
      <w:marBottom w:val="0"/>
      <w:divBdr>
        <w:top w:val="none" w:sz="0" w:space="0" w:color="auto"/>
        <w:left w:val="none" w:sz="0" w:space="0" w:color="auto"/>
        <w:bottom w:val="none" w:sz="0" w:space="0" w:color="auto"/>
        <w:right w:val="none" w:sz="0" w:space="0" w:color="auto"/>
      </w:divBdr>
    </w:div>
    <w:div w:id="629670179">
      <w:bodyDiv w:val="1"/>
      <w:marLeft w:val="0"/>
      <w:marRight w:val="0"/>
      <w:marTop w:val="0"/>
      <w:marBottom w:val="0"/>
      <w:divBdr>
        <w:top w:val="none" w:sz="0" w:space="0" w:color="auto"/>
        <w:left w:val="none" w:sz="0" w:space="0" w:color="auto"/>
        <w:bottom w:val="none" w:sz="0" w:space="0" w:color="auto"/>
        <w:right w:val="none" w:sz="0" w:space="0" w:color="auto"/>
      </w:divBdr>
    </w:div>
    <w:div w:id="630356568">
      <w:bodyDiv w:val="1"/>
      <w:marLeft w:val="0"/>
      <w:marRight w:val="0"/>
      <w:marTop w:val="0"/>
      <w:marBottom w:val="0"/>
      <w:divBdr>
        <w:top w:val="none" w:sz="0" w:space="0" w:color="auto"/>
        <w:left w:val="none" w:sz="0" w:space="0" w:color="auto"/>
        <w:bottom w:val="none" w:sz="0" w:space="0" w:color="auto"/>
        <w:right w:val="none" w:sz="0" w:space="0" w:color="auto"/>
      </w:divBdr>
    </w:div>
    <w:div w:id="630595844">
      <w:bodyDiv w:val="1"/>
      <w:marLeft w:val="0"/>
      <w:marRight w:val="0"/>
      <w:marTop w:val="0"/>
      <w:marBottom w:val="0"/>
      <w:divBdr>
        <w:top w:val="none" w:sz="0" w:space="0" w:color="auto"/>
        <w:left w:val="none" w:sz="0" w:space="0" w:color="auto"/>
        <w:bottom w:val="none" w:sz="0" w:space="0" w:color="auto"/>
        <w:right w:val="none" w:sz="0" w:space="0" w:color="auto"/>
      </w:divBdr>
    </w:div>
    <w:div w:id="631712391">
      <w:bodyDiv w:val="1"/>
      <w:marLeft w:val="0"/>
      <w:marRight w:val="0"/>
      <w:marTop w:val="0"/>
      <w:marBottom w:val="0"/>
      <w:divBdr>
        <w:top w:val="none" w:sz="0" w:space="0" w:color="auto"/>
        <w:left w:val="none" w:sz="0" w:space="0" w:color="auto"/>
        <w:bottom w:val="none" w:sz="0" w:space="0" w:color="auto"/>
        <w:right w:val="none" w:sz="0" w:space="0" w:color="auto"/>
      </w:divBdr>
    </w:div>
    <w:div w:id="631793728">
      <w:bodyDiv w:val="1"/>
      <w:marLeft w:val="0"/>
      <w:marRight w:val="0"/>
      <w:marTop w:val="0"/>
      <w:marBottom w:val="0"/>
      <w:divBdr>
        <w:top w:val="none" w:sz="0" w:space="0" w:color="auto"/>
        <w:left w:val="none" w:sz="0" w:space="0" w:color="auto"/>
        <w:bottom w:val="none" w:sz="0" w:space="0" w:color="auto"/>
        <w:right w:val="none" w:sz="0" w:space="0" w:color="auto"/>
      </w:divBdr>
    </w:div>
    <w:div w:id="635530119">
      <w:bodyDiv w:val="1"/>
      <w:marLeft w:val="0"/>
      <w:marRight w:val="0"/>
      <w:marTop w:val="0"/>
      <w:marBottom w:val="0"/>
      <w:divBdr>
        <w:top w:val="none" w:sz="0" w:space="0" w:color="auto"/>
        <w:left w:val="none" w:sz="0" w:space="0" w:color="auto"/>
        <w:bottom w:val="none" w:sz="0" w:space="0" w:color="auto"/>
        <w:right w:val="none" w:sz="0" w:space="0" w:color="auto"/>
      </w:divBdr>
    </w:div>
    <w:div w:id="636451083">
      <w:bodyDiv w:val="1"/>
      <w:marLeft w:val="0"/>
      <w:marRight w:val="0"/>
      <w:marTop w:val="0"/>
      <w:marBottom w:val="0"/>
      <w:divBdr>
        <w:top w:val="none" w:sz="0" w:space="0" w:color="auto"/>
        <w:left w:val="none" w:sz="0" w:space="0" w:color="auto"/>
        <w:bottom w:val="none" w:sz="0" w:space="0" w:color="auto"/>
        <w:right w:val="none" w:sz="0" w:space="0" w:color="auto"/>
      </w:divBdr>
    </w:div>
    <w:div w:id="637222160">
      <w:bodyDiv w:val="1"/>
      <w:marLeft w:val="0"/>
      <w:marRight w:val="0"/>
      <w:marTop w:val="0"/>
      <w:marBottom w:val="0"/>
      <w:divBdr>
        <w:top w:val="none" w:sz="0" w:space="0" w:color="auto"/>
        <w:left w:val="none" w:sz="0" w:space="0" w:color="auto"/>
        <w:bottom w:val="none" w:sz="0" w:space="0" w:color="auto"/>
        <w:right w:val="none" w:sz="0" w:space="0" w:color="auto"/>
      </w:divBdr>
    </w:div>
    <w:div w:id="637536789">
      <w:bodyDiv w:val="1"/>
      <w:marLeft w:val="0"/>
      <w:marRight w:val="0"/>
      <w:marTop w:val="0"/>
      <w:marBottom w:val="0"/>
      <w:divBdr>
        <w:top w:val="none" w:sz="0" w:space="0" w:color="auto"/>
        <w:left w:val="none" w:sz="0" w:space="0" w:color="auto"/>
        <w:bottom w:val="none" w:sz="0" w:space="0" w:color="auto"/>
        <w:right w:val="none" w:sz="0" w:space="0" w:color="auto"/>
      </w:divBdr>
    </w:div>
    <w:div w:id="638537904">
      <w:bodyDiv w:val="1"/>
      <w:marLeft w:val="0"/>
      <w:marRight w:val="0"/>
      <w:marTop w:val="0"/>
      <w:marBottom w:val="0"/>
      <w:divBdr>
        <w:top w:val="none" w:sz="0" w:space="0" w:color="auto"/>
        <w:left w:val="none" w:sz="0" w:space="0" w:color="auto"/>
        <w:bottom w:val="none" w:sz="0" w:space="0" w:color="auto"/>
        <w:right w:val="none" w:sz="0" w:space="0" w:color="auto"/>
      </w:divBdr>
    </w:div>
    <w:div w:id="638610067">
      <w:bodyDiv w:val="1"/>
      <w:marLeft w:val="0"/>
      <w:marRight w:val="0"/>
      <w:marTop w:val="0"/>
      <w:marBottom w:val="0"/>
      <w:divBdr>
        <w:top w:val="none" w:sz="0" w:space="0" w:color="auto"/>
        <w:left w:val="none" w:sz="0" w:space="0" w:color="auto"/>
        <w:bottom w:val="none" w:sz="0" w:space="0" w:color="auto"/>
        <w:right w:val="none" w:sz="0" w:space="0" w:color="auto"/>
      </w:divBdr>
    </w:div>
    <w:div w:id="638876446">
      <w:bodyDiv w:val="1"/>
      <w:marLeft w:val="0"/>
      <w:marRight w:val="0"/>
      <w:marTop w:val="0"/>
      <w:marBottom w:val="0"/>
      <w:divBdr>
        <w:top w:val="none" w:sz="0" w:space="0" w:color="auto"/>
        <w:left w:val="none" w:sz="0" w:space="0" w:color="auto"/>
        <w:bottom w:val="none" w:sz="0" w:space="0" w:color="auto"/>
        <w:right w:val="none" w:sz="0" w:space="0" w:color="auto"/>
      </w:divBdr>
    </w:div>
    <w:div w:id="639074045">
      <w:bodyDiv w:val="1"/>
      <w:marLeft w:val="0"/>
      <w:marRight w:val="0"/>
      <w:marTop w:val="0"/>
      <w:marBottom w:val="0"/>
      <w:divBdr>
        <w:top w:val="none" w:sz="0" w:space="0" w:color="auto"/>
        <w:left w:val="none" w:sz="0" w:space="0" w:color="auto"/>
        <w:bottom w:val="none" w:sz="0" w:space="0" w:color="auto"/>
        <w:right w:val="none" w:sz="0" w:space="0" w:color="auto"/>
      </w:divBdr>
    </w:div>
    <w:div w:id="639309252">
      <w:bodyDiv w:val="1"/>
      <w:marLeft w:val="0"/>
      <w:marRight w:val="0"/>
      <w:marTop w:val="0"/>
      <w:marBottom w:val="0"/>
      <w:divBdr>
        <w:top w:val="none" w:sz="0" w:space="0" w:color="auto"/>
        <w:left w:val="none" w:sz="0" w:space="0" w:color="auto"/>
        <w:bottom w:val="none" w:sz="0" w:space="0" w:color="auto"/>
        <w:right w:val="none" w:sz="0" w:space="0" w:color="auto"/>
      </w:divBdr>
    </w:div>
    <w:div w:id="642075666">
      <w:bodyDiv w:val="1"/>
      <w:marLeft w:val="0"/>
      <w:marRight w:val="0"/>
      <w:marTop w:val="0"/>
      <w:marBottom w:val="0"/>
      <w:divBdr>
        <w:top w:val="none" w:sz="0" w:space="0" w:color="auto"/>
        <w:left w:val="none" w:sz="0" w:space="0" w:color="auto"/>
        <w:bottom w:val="none" w:sz="0" w:space="0" w:color="auto"/>
        <w:right w:val="none" w:sz="0" w:space="0" w:color="auto"/>
      </w:divBdr>
    </w:div>
    <w:div w:id="642545890">
      <w:bodyDiv w:val="1"/>
      <w:marLeft w:val="0"/>
      <w:marRight w:val="0"/>
      <w:marTop w:val="0"/>
      <w:marBottom w:val="0"/>
      <w:divBdr>
        <w:top w:val="none" w:sz="0" w:space="0" w:color="auto"/>
        <w:left w:val="none" w:sz="0" w:space="0" w:color="auto"/>
        <w:bottom w:val="none" w:sz="0" w:space="0" w:color="auto"/>
        <w:right w:val="none" w:sz="0" w:space="0" w:color="auto"/>
      </w:divBdr>
    </w:div>
    <w:div w:id="642736209">
      <w:bodyDiv w:val="1"/>
      <w:marLeft w:val="0"/>
      <w:marRight w:val="0"/>
      <w:marTop w:val="0"/>
      <w:marBottom w:val="0"/>
      <w:divBdr>
        <w:top w:val="none" w:sz="0" w:space="0" w:color="auto"/>
        <w:left w:val="none" w:sz="0" w:space="0" w:color="auto"/>
        <w:bottom w:val="none" w:sz="0" w:space="0" w:color="auto"/>
        <w:right w:val="none" w:sz="0" w:space="0" w:color="auto"/>
      </w:divBdr>
    </w:div>
    <w:div w:id="642739828">
      <w:bodyDiv w:val="1"/>
      <w:marLeft w:val="0"/>
      <w:marRight w:val="0"/>
      <w:marTop w:val="0"/>
      <w:marBottom w:val="0"/>
      <w:divBdr>
        <w:top w:val="none" w:sz="0" w:space="0" w:color="auto"/>
        <w:left w:val="none" w:sz="0" w:space="0" w:color="auto"/>
        <w:bottom w:val="none" w:sz="0" w:space="0" w:color="auto"/>
        <w:right w:val="none" w:sz="0" w:space="0" w:color="auto"/>
      </w:divBdr>
    </w:div>
    <w:div w:id="642999544">
      <w:bodyDiv w:val="1"/>
      <w:marLeft w:val="0"/>
      <w:marRight w:val="0"/>
      <w:marTop w:val="0"/>
      <w:marBottom w:val="0"/>
      <w:divBdr>
        <w:top w:val="none" w:sz="0" w:space="0" w:color="auto"/>
        <w:left w:val="none" w:sz="0" w:space="0" w:color="auto"/>
        <w:bottom w:val="none" w:sz="0" w:space="0" w:color="auto"/>
        <w:right w:val="none" w:sz="0" w:space="0" w:color="auto"/>
      </w:divBdr>
    </w:div>
    <w:div w:id="643389987">
      <w:bodyDiv w:val="1"/>
      <w:marLeft w:val="0"/>
      <w:marRight w:val="0"/>
      <w:marTop w:val="0"/>
      <w:marBottom w:val="0"/>
      <w:divBdr>
        <w:top w:val="none" w:sz="0" w:space="0" w:color="auto"/>
        <w:left w:val="none" w:sz="0" w:space="0" w:color="auto"/>
        <w:bottom w:val="none" w:sz="0" w:space="0" w:color="auto"/>
        <w:right w:val="none" w:sz="0" w:space="0" w:color="auto"/>
      </w:divBdr>
    </w:div>
    <w:div w:id="643506746">
      <w:bodyDiv w:val="1"/>
      <w:marLeft w:val="0"/>
      <w:marRight w:val="0"/>
      <w:marTop w:val="0"/>
      <w:marBottom w:val="0"/>
      <w:divBdr>
        <w:top w:val="none" w:sz="0" w:space="0" w:color="auto"/>
        <w:left w:val="none" w:sz="0" w:space="0" w:color="auto"/>
        <w:bottom w:val="none" w:sz="0" w:space="0" w:color="auto"/>
        <w:right w:val="none" w:sz="0" w:space="0" w:color="auto"/>
      </w:divBdr>
    </w:div>
    <w:div w:id="646251212">
      <w:bodyDiv w:val="1"/>
      <w:marLeft w:val="0"/>
      <w:marRight w:val="0"/>
      <w:marTop w:val="0"/>
      <w:marBottom w:val="0"/>
      <w:divBdr>
        <w:top w:val="none" w:sz="0" w:space="0" w:color="auto"/>
        <w:left w:val="none" w:sz="0" w:space="0" w:color="auto"/>
        <w:bottom w:val="none" w:sz="0" w:space="0" w:color="auto"/>
        <w:right w:val="none" w:sz="0" w:space="0" w:color="auto"/>
      </w:divBdr>
    </w:div>
    <w:div w:id="647173277">
      <w:bodyDiv w:val="1"/>
      <w:marLeft w:val="0"/>
      <w:marRight w:val="0"/>
      <w:marTop w:val="0"/>
      <w:marBottom w:val="0"/>
      <w:divBdr>
        <w:top w:val="none" w:sz="0" w:space="0" w:color="auto"/>
        <w:left w:val="none" w:sz="0" w:space="0" w:color="auto"/>
        <w:bottom w:val="none" w:sz="0" w:space="0" w:color="auto"/>
        <w:right w:val="none" w:sz="0" w:space="0" w:color="auto"/>
      </w:divBdr>
    </w:div>
    <w:div w:id="647512008">
      <w:bodyDiv w:val="1"/>
      <w:marLeft w:val="0"/>
      <w:marRight w:val="0"/>
      <w:marTop w:val="0"/>
      <w:marBottom w:val="0"/>
      <w:divBdr>
        <w:top w:val="none" w:sz="0" w:space="0" w:color="auto"/>
        <w:left w:val="none" w:sz="0" w:space="0" w:color="auto"/>
        <w:bottom w:val="none" w:sz="0" w:space="0" w:color="auto"/>
        <w:right w:val="none" w:sz="0" w:space="0" w:color="auto"/>
      </w:divBdr>
    </w:div>
    <w:div w:id="648440096">
      <w:bodyDiv w:val="1"/>
      <w:marLeft w:val="0"/>
      <w:marRight w:val="0"/>
      <w:marTop w:val="0"/>
      <w:marBottom w:val="0"/>
      <w:divBdr>
        <w:top w:val="none" w:sz="0" w:space="0" w:color="auto"/>
        <w:left w:val="none" w:sz="0" w:space="0" w:color="auto"/>
        <w:bottom w:val="none" w:sz="0" w:space="0" w:color="auto"/>
        <w:right w:val="none" w:sz="0" w:space="0" w:color="auto"/>
      </w:divBdr>
    </w:div>
    <w:div w:id="648635791">
      <w:bodyDiv w:val="1"/>
      <w:marLeft w:val="0"/>
      <w:marRight w:val="0"/>
      <w:marTop w:val="0"/>
      <w:marBottom w:val="0"/>
      <w:divBdr>
        <w:top w:val="none" w:sz="0" w:space="0" w:color="auto"/>
        <w:left w:val="none" w:sz="0" w:space="0" w:color="auto"/>
        <w:bottom w:val="none" w:sz="0" w:space="0" w:color="auto"/>
        <w:right w:val="none" w:sz="0" w:space="0" w:color="auto"/>
      </w:divBdr>
    </w:div>
    <w:div w:id="648871953">
      <w:bodyDiv w:val="1"/>
      <w:marLeft w:val="0"/>
      <w:marRight w:val="0"/>
      <w:marTop w:val="0"/>
      <w:marBottom w:val="0"/>
      <w:divBdr>
        <w:top w:val="none" w:sz="0" w:space="0" w:color="auto"/>
        <w:left w:val="none" w:sz="0" w:space="0" w:color="auto"/>
        <w:bottom w:val="none" w:sz="0" w:space="0" w:color="auto"/>
        <w:right w:val="none" w:sz="0" w:space="0" w:color="auto"/>
      </w:divBdr>
    </w:div>
    <w:div w:id="649099755">
      <w:bodyDiv w:val="1"/>
      <w:marLeft w:val="0"/>
      <w:marRight w:val="0"/>
      <w:marTop w:val="0"/>
      <w:marBottom w:val="0"/>
      <w:divBdr>
        <w:top w:val="none" w:sz="0" w:space="0" w:color="auto"/>
        <w:left w:val="none" w:sz="0" w:space="0" w:color="auto"/>
        <w:bottom w:val="none" w:sz="0" w:space="0" w:color="auto"/>
        <w:right w:val="none" w:sz="0" w:space="0" w:color="auto"/>
      </w:divBdr>
    </w:div>
    <w:div w:id="650252681">
      <w:bodyDiv w:val="1"/>
      <w:marLeft w:val="0"/>
      <w:marRight w:val="0"/>
      <w:marTop w:val="0"/>
      <w:marBottom w:val="0"/>
      <w:divBdr>
        <w:top w:val="none" w:sz="0" w:space="0" w:color="auto"/>
        <w:left w:val="none" w:sz="0" w:space="0" w:color="auto"/>
        <w:bottom w:val="none" w:sz="0" w:space="0" w:color="auto"/>
        <w:right w:val="none" w:sz="0" w:space="0" w:color="auto"/>
      </w:divBdr>
    </w:div>
    <w:div w:id="651714120">
      <w:bodyDiv w:val="1"/>
      <w:marLeft w:val="0"/>
      <w:marRight w:val="0"/>
      <w:marTop w:val="0"/>
      <w:marBottom w:val="0"/>
      <w:divBdr>
        <w:top w:val="none" w:sz="0" w:space="0" w:color="auto"/>
        <w:left w:val="none" w:sz="0" w:space="0" w:color="auto"/>
        <w:bottom w:val="none" w:sz="0" w:space="0" w:color="auto"/>
        <w:right w:val="none" w:sz="0" w:space="0" w:color="auto"/>
      </w:divBdr>
    </w:div>
    <w:div w:id="651835902">
      <w:bodyDiv w:val="1"/>
      <w:marLeft w:val="0"/>
      <w:marRight w:val="0"/>
      <w:marTop w:val="0"/>
      <w:marBottom w:val="0"/>
      <w:divBdr>
        <w:top w:val="none" w:sz="0" w:space="0" w:color="auto"/>
        <w:left w:val="none" w:sz="0" w:space="0" w:color="auto"/>
        <w:bottom w:val="none" w:sz="0" w:space="0" w:color="auto"/>
        <w:right w:val="none" w:sz="0" w:space="0" w:color="auto"/>
      </w:divBdr>
    </w:div>
    <w:div w:id="653222803">
      <w:bodyDiv w:val="1"/>
      <w:marLeft w:val="0"/>
      <w:marRight w:val="0"/>
      <w:marTop w:val="0"/>
      <w:marBottom w:val="0"/>
      <w:divBdr>
        <w:top w:val="none" w:sz="0" w:space="0" w:color="auto"/>
        <w:left w:val="none" w:sz="0" w:space="0" w:color="auto"/>
        <w:bottom w:val="none" w:sz="0" w:space="0" w:color="auto"/>
        <w:right w:val="none" w:sz="0" w:space="0" w:color="auto"/>
      </w:divBdr>
    </w:div>
    <w:div w:id="653485767">
      <w:bodyDiv w:val="1"/>
      <w:marLeft w:val="0"/>
      <w:marRight w:val="0"/>
      <w:marTop w:val="0"/>
      <w:marBottom w:val="0"/>
      <w:divBdr>
        <w:top w:val="none" w:sz="0" w:space="0" w:color="auto"/>
        <w:left w:val="none" w:sz="0" w:space="0" w:color="auto"/>
        <w:bottom w:val="none" w:sz="0" w:space="0" w:color="auto"/>
        <w:right w:val="none" w:sz="0" w:space="0" w:color="auto"/>
      </w:divBdr>
    </w:div>
    <w:div w:id="654921798">
      <w:bodyDiv w:val="1"/>
      <w:marLeft w:val="0"/>
      <w:marRight w:val="0"/>
      <w:marTop w:val="0"/>
      <w:marBottom w:val="0"/>
      <w:divBdr>
        <w:top w:val="none" w:sz="0" w:space="0" w:color="auto"/>
        <w:left w:val="none" w:sz="0" w:space="0" w:color="auto"/>
        <w:bottom w:val="none" w:sz="0" w:space="0" w:color="auto"/>
        <w:right w:val="none" w:sz="0" w:space="0" w:color="auto"/>
      </w:divBdr>
    </w:div>
    <w:div w:id="659817728">
      <w:bodyDiv w:val="1"/>
      <w:marLeft w:val="0"/>
      <w:marRight w:val="0"/>
      <w:marTop w:val="0"/>
      <w:marBottom w:val="0"/>
      <w:divBdr>
        <w:top w:val="none" w:sz="0" w:space="0" w:color="auto"/>
        <w:left w:val="none" w:sz="0" w:space="0" w:color="auto"/>
        <w:bottom w:val="none" w:sz="0" w:space="0" w:color="auto"/>
        <w:right w:val="none" w:sz="0" w:space="0" w:color="auto"/>
      </w:divBdr>
    </w:div>
    <w:div w:id="659892180">
      <w:bodyDiv w:val="1"/>
      <w:marLeft w:val="0"/>
      <w:marRight w:val="0"/>
      <w:marTop w:val="0"/>
      <w:marBottom w:val="0"/>
      <w:divBdr>
        <w:top w:val="none" w:sz="0" w:space="0" w:color="auto"/>
        <w:left w:val="none" w:sz="0" w:space="0" w:color="auto"/>
        <w:bottom w:val="none" w:sz="0" w:space="0" w:color="auto"/>
        <w:right w:val="none" w:sz="0" w:space="0" w:color="auto"/>
      </w:divBdr>
    </w:div>
    <w:div w:id="664019787">
      <w:bodyDiv w:val="1"/>
      <w:marLeft w:val="0"/>
      <w:marRight w:val="0"/>
      <w:marTop w:val="0"/>
      <w:marBottom w:val="0"/>
      <w:divBdr>
        <w:top w:val="none" w:sz="0" w:space="0" w:color="auto"/>
        <w:left w:val="none" w:sz="0" w:space="0" w:color="auto"/>
        <w:bottom w:val="none" w:sz="0" w:space="0" w:color="auto"/>
        <w:right w:val="none" w:sz="0" w:space="0" w:color="auto"/>
      </w:divBdr>
    </w:div>
    <w:div w:id="664357279">
      <w:bodyDiv w:val="1"/>
      <w:marLeft w:val="0"/>
      <w:marRight w:val="0"/>
      <w:marTop w:val="0"/>
      <w:marBottom w:val="0"/>
      <w:divBdr>
        <w:top w:val="none" w:sz="0" w:space="0" w:color="auto"/>
        <w:left w:val="none" w:sz="0" w:space="0" w:color="auto"/>
        <w:bottom w:val="none" w:sz="0" w:space="0" w:color="auto"/>
        <w:right w:val="none" w:sz="0" w:space="0" w:color="auto"/>
      </w:divBdr>
    </w:div>
    <w:div w:id="665670527">
      <w:bodyDiv w:val="1"/>
      <w:marLeft w:val="0"/>
      <w:marRight w:val="0"/>
      <w:marTop w:val="0"/>
      <w:marBottom w:val="0"/>
      <w:divBdr>
        <w:top w:val="none" w:sz="0" w:space="0" w:color="auto"/>
        <w:left w:val="none" w:sz="0" w:space="0" w:color="auto"/>
        <w:bottom w:val="none" w:sz="0" w:space="0" w:color="auto"/>
        <w:right w:val="none" w:sz="0" w:space="0" w:color="auto"/>
      </w:divBdr>
    </w:div>
    <w:div w:id="665740599">
      <w:bodyDiv w:val="1"/>
      <w:marLeft w:val="0"/>
      <w:marRight w:val="0"/>
      <w:marTop w:val="0"/>
      <w:marBottom w:val="0"/>
      <w:divBdr>
        <w:top w:val="none" w:sz="0" w:space="0" w:color="auto"/>
        <w:left w:val="none" w:sz="0" w:space="0" w:color="auto"/>
        <w:bottom w:val="none" w:sz="0" w:space="0" w:color="auto"/>
        <w:right w:val="none" w:sz="0" w:space="0" w:color="auto"/>
      </w:divBdr>
    </w:div>
    <w:div w:id="665746777">
      <w:bodyDiv w:val="1"/>
      <w:marLeft w:val="0"/>
      <w:marRight w:val="0"/>
      <w:marTop w:val="0"/>
      <w:marBottom w:val="0"/>
      <w:divBdr>
        <w:top w:val="none" w:sz="0" w:space="0" w:color="auto"/>
        <w:left w:val="none" w:sz="0" w:space="0" w:color="auto"/>
        <w:bottom w:val="none" w:sz="0" w:space="0" w:color="auto"/>
        <w:right w:val="none" w:sz="0" w:space="0" w:color="auto"/>
      </w:divBdr>
    </w:div>
    <w:div w:id="667099017">
      <w:bodyDiv w:val="1"/>
      <w:marLeft w:val="0"/>
      <w:marRight w:val="0"/>
      <w:marTop w:val="0"/>
      <w:marBottom w:val="0"/>
      <w:divBdr>
        <w:top w:val="none" w:sz="0" w:space="0" w:color="auto"/>
        <w:left w:val="none" w:sz="0" w:space="0" w:color="auto"/>
        <w:bottom w:val="none" w:sz="0" w:space="0" w:color="auto"/>
        <w:right w:val="none" w:sz="0" w:space="0" w:color="auto"/>
      </w:divBdr>
    </w:div>
    <w:div w:id="667363188">
      <w:bodyDiv w:val="1"/>
      <w:marLeft w:val="0"/>
      <w:marRight w:val="0"/>
      <w:marTop w:val="0"/>
      <w:marBottom w:val="0"/>
      <w:divBdr>
        <w:top w:val="none" w:sz="0" w:space="0" w:color="auto"/>
        <w:left w:val="none" w:sz="0" w:space="0" w:color="auto"/>
        <w:bottom w:val="none" w:sz="0" w:space="0" w:color="auto"/>
        <w:right w:val="none" w:sz="0" w:space="0" w:color="auto"/>
      </w:divBdr>
    </w:div>
    <w:div w:id="667561918">
      <w:bodyDiv w:val="1"/>
      <w:marLeft w:val="0"/>
      <w:marRight w:val="0"/>
      <w:marTop w:val="0"/>
      <w:marBottom w:val="0"/>
      <w:divBdr>
        <w:top w:val="none" w:sz="0" w:space="0" w:color="auto"/>
        <w:left w:val="none" w:sz="0" w:space="0" w:color="auto"/>
        <w:bottom w:val="none" w:sz="0" w:space="0" w:color="auto"/>
        <w:right w:val="none" w:sz="0" w:space="0" w:color="auto"/>
      </w:divBdr>
    </w:div>
    <w:div w:id="667636254">
      <w:bodyDiv w:val="1"/>
      <w:marLeft w:val="0"/>
      <w:marRight w:val="0"/>
      <w:marTop w:val="0"/>
      <w:marBottom w:val="0"/>
      <w:divBdr>
        <w:top w:val="none" w:sz="0" w:space="0" w:color="auto"/>
        <w:left w:val="none" w:sz="0" w:space="0" w:color="auto"/>
        <w:bottom w:val="none" w:sz="0" w:space="0" w:color="auto"/>
        <w:right w:val="none" w:sz="0" w:space="0" w:color="auto"/>
      </w:divBdr>
    </w:div>
    <w:div w:id="670646286">
      <w:bodyDiv w:val="1"/>
      <w:marLeft w:val="0"/>
      <w:marRight w:val="0"/>
      <w:marTop w:val="0"/>
      <w:marBottom w:val="0"/>
      <w:divBdr>
        <w:top w:val="none" w:sz="0" w:space="0" w:color="auto"/>
        <w:left w:val="none" w:sz="0" w:space="0" w:color="auto"/>
        <w:bottom w:val="none" w:sz="0" w:space="0" w:color="auto"/>
        <w:right w:val="none" w:sz="0" w:space="0" w:color="auto"/>
      </w:divBdr>
    </w:div>
    <w:div w:id="671489053">
      <w:bodyDiv w:val="1"/>
      <w:marLeft w:val="0"/>
      <w:marRight w:val="0"/>
      <w:marTop w:val="0"/>
      <w:marBottom w:val="0"/>
      <w:divBdr>
        <w:top w:val="none" w:sz="0" w:space="0" w:color="auto"/>
        <w:left w:val="none" w:sz="0" w:space="0" w:color="auto"/>
        <w:bottom w:val="none" w:sz="0" w:space="0" w:color="auto"/>
        <w:right w:val="none" w:sz="0" w:space="0" w:color="auto"/>
      </w:divBdr>
    </w:div>
    <w:div w:id="672029212">
      <w:bodyDiv w:val="1"/>
      <w:marLeft w:val="0"/>
      <w:marRight w:val="0"/>
      <w:marTop w:val="0"/>
      <w:marBottom w:val="0"/>
      <w:divBdr>
        <w:top w:val="none" w:sz="0" w:space="0" w:color="auto"/>
        <w:left w:val="none" w:sz="0" w:space="0" w:color="auto"/>
        <w:bottom w:val="none" w:sz="0" w:space="0" w:color="auto"/>
        <w:right w:val="none" w:sz="0" w:space="0" w:color="auto"/>
      </w:divBdr>
    </w:div>
    <w:div w:id="673411808">
      <w:bodyDiv w:val="1"/>
      <w:marLeft w:val="0"/>
      <w:marRight w:val="0"/>
      <w:marTop w:val="0"/>
      <w:marBottom w:val="0"/>
      <w:divBdr>
        <w:top w:val="none" w:sz="0" w:space="0" w:color="auto"/>
        <w:left w:val="none" w:sz="0" w:space="0" w:color="auto"/>
        <w:bottom w:val="none" w:sz="0" w:space="0" w:color="auto"/>
        <w:right w:val="none" w:sz="0" w:space="0" w:color="auto"/>
      </w:divBdr>
    </w:div>
    <w:div w:id="675305056">
      <w:bodyDiv w:val="1"/>
      <w:marLeft w:val="0"/>
      <w:marRight w:val="0"/>
      <w:marTop w:val="0"/>
      <w:marBottom w:val="0"/>
      <w:divBdr>
        <w:top w:val="none" w:sz="0" w:space="0" w:color="auto"/>
        <w:left w:val="none" w:sz="0" w:space="0" w:color="auto"/>
        <w:bottom w:val="none" w:sz="0" w:space="0" w:color="auto"/>
        <w:right w:val="none" w:sz="0" w:space="0" w:color="auto"/>
      </w:divBdr>
    </w:div>
    <w:div w:id="675425721">
      <w:bodyDiv w:val="1"/>
      <w:marLeft w:val="0"/>
      <w:marRight w:val="0"/>
      <w:marTop w:val="0"/>
      <w:marBottom w:val="0"/>
      <w:divBdr>
        <w:top w:val="none" w:sz="0" w:space="0" w:color="auto"/>
        <w:left w:val="none" w:sz="0" w:space="0" w:color="auto"/>
        <w:bottom w:val="none" w:sz="0" w:space="0" w:color="auto"/>
        <w:right w:val="none" w:sz="0" w:space="0" w:color="auto"/>
      </w:divBdr>
    </w:div>
    <w:div w:id="675616598">
      <w:bodyDiv w:val="1"/>
      <w:marLeft w:val="0"/>
      <w:marRight w:val="0"/>
      <w:marTop w:val="0"/>
      <w:marBottom w:val="0"/>
      <w:divBdr>
        <w:top w:val="none" w:sz="0" w:space="0" w:color="auto"/>
        <w:left w:val="none" w:sz="0" w:space="0" w:color="auto"/>
        <w:bottom w:val="none" w:sz="0" w:space="0" w:color="auto"/>
        <w:right w:val="none" w:sz="0" w:space="0" w:color="auto"/>
      </w:divBdr>
    </w:div>
    <w:div w:id="677003529">
      <w:bodyDiv w:val="1"/>
      <w:marLeft w:val="0"/>
      <w:marRight w:val="0"/>
      <w:marTop w:val="0"/>
      <w:marBottom w:val="0"/>
      <w:divBdr>
        <w:top w:val="none" w:sz="0" w:space="0" w:color="auto"/>
        <w:left w:val="none" w:sz="0" w:space="0" w:color="auto"/>
        <w:bottom w:val="none" w:sz="0" w:space="0" w:color="auto"/>
        <w:right w:val="none" w:sz="0" w:space="0" w:color="auto"/>
      </w:divBdr>
    </w:div>
    <w:div w:id="680355321">
      <w:bodyDiv w:val="1"/>
      <w:marLeft w:val="0"/>
      <w:marRight w:val="0"/>
      <w:marTop w:val="0"/>
      <w:marBottom w:val="0"/>
      <w:divBdr>
        <w:top w:val="none" w:sz="0" w:space="0" w:color="auto"/>
        <w:left w:val="none" w:sz="0" w:space="0" w:color="auto"/>
        <w:bottom w:val="none" w:sz="0" w:space="0" w:color="auto"/>
        <w:right w:val="none" w:sz="0" w:space="0" w:color="auto"/>
      </w:divBdr>
    </w:div>
    <w:div w:id="680737564">
      <w:bodyDiv w:val="1"/>
      <w:marLeft w:val="0"/>
      <w:marRight w:val="0"/>
      <w:marTop w:val="0"/>
      <w:marBottom w:val="0"/>
      <w:divBdr>
        <w:top w:val="none" w:sz="0" w:space="0" w:color="auto"/>
        <w:left w:val="none" w:sz="0" w:space="0" w:color="auto"/>
        <w:bottom w:val="none" w:sz="0" w:space="0" w:color="auto"/>
        <w:right w:val="none" w:sz="0" w:space="0" w:color="auto"/>
      </w:divBdr>
    </w:div>
    <w:div w:id="681707516">
      <w:bodyDiv w:val="1"/>
      <w:marLeft w:val="0"/>
      <w:marRight w:val="0"/>
      <w:marTop w:val="0"/>
      <w:marBottom w:val="0"/>
      <w:divBdr>
        <w:top w:val="none" w:sz="0" w:space="0" w:color="auto"/>
        <w:left w:val="none" w:sz="0" w:space="0" w:color="auto"/>
        <w:bottom w:val="none" w:sz="0" w:space="0" w:color="auto"/>
        <w:right w:val="none" w:sz="0" w:space="0" w:color="auto"/>
      </w:divBdr>
    </w:div>
    <w:div w:id="681934194">
      <w:bodyDiv w:val="1"/>
      <w:marLeft w:val="0"/>
      <w:marRight w:val="0"/>
      <w:marTop w:val="0"/>
      <w:marBottom w:val="0"/>
      <w:divBdr>
        <w:top w:val="none" w:sz="0" w:space="0" w:color="auto"/>
        <w:left w:val="none" w:sz="0" w:space="0" w:color="auto"/>
        <w:bottom w:val="none" w:sz="0" w:space="0" w:color="auto"/>
        <w:right w:val="none" w:sz="0" w:space="0" w:color="auto"/>
      </w:divBdr>
    </w:div>
    <w:div w:id="682785978">
      <w:bodyDiv w:val="1"/>
      <w:marLeft w:val="0"/>
      <w:marRight w:val="0"/>
      <w:marTop w:val="0"/>
      <w:marBottom w:val="0"/>
      <w:divBdr>
        <w:top w:val="none" w:sz="0" w:space="0" w:color="auto"/>
        <w:left w:val="none" w:sz="0" w:space="0" w:color="auto"/>
        <w:bottom w:val="none" w:sz="0" w:space="0" w:color="auto"/>
        <w:right w:val="none" w:sz="0" w:space="0" w:color="auto"/>
      </w:divBdr>
    </w:div>
    <w:div w:id="683436079">
      <w:bodyDiv w:val="1"/>
      <w:marLeft w:val="0"/>
      <w:marRight w:val="0"/>
      <w:marTop w:val="0"/>
      <w:marBottom w:val="0"/>
      <w:divBdr>
        <w:top w:val="none" w:sz="0" w:space="0" w:color="auto"/>
        <w:left w:val="none" w:sz="0" w:space="0" w:color="auto"/>
        <w:bottom w:val="none" w:sz="0" w:space="0" w:color="auto"/>
        <w:right w:val="none" w:sz="0" w:space="0" w:color="auto"/>
      </w:divBdr>
    </w:div>
    <w:div w:id="683747751">
      <w:bodyDiv w:val="1"/>
      <w:marLeft w:val="0"/>
      <w:marRight w:val="0"/>
      <w:marTop w:val="0"/>
      <w:marBottom w:val="0"/>
      <w:divBdr>
        <w:top w:val="none" w:sz="0" w:space="0" w:color="auto"/>
        <w:left w:val="none" w:sz="0" w:space="0" w:color="auto"/>
        <w:bottom w:val="none" w:sz="0" w:space="0" w:color="auto"/>
        <w:right w:val="none" w:sz="0" w:space="0" w:color="auto"/>
      </w:divBdr>
    </w:div>
    <w:div w:id="684330888">
      <w:bodyDiv w:val="1"/>
      <w:marLeft w:val="0"/>
      <w:marRight w:val="0"/>
      <w:marTop w:val="0"/>
      <w:marBottom w:val="0"/>
      <w:divBdr>
        <w:top w:val="none" w:sz="0" w:space="0" w:color="auto"/>
        <w:left w:val="none" w:sz="0" w:space="0" w:color="auto"/>
        <w:bottom w:val="none" w:sz="0" w:space="0" w:color="auto"/>
        <w:right w:val="none" w:sz="0" w:space="0" w:color="auto"/>
      </w:divBdr>
    </w:div>
    <w:div w:id="685061972">
      <w:bodyDiv w:val="1"/>
      <w:marLeft w:val="0"/>
      <w:marRight w:val="0"/>
      <w:marTop w:val="0"/>
      <w:marBottom w:val="0"/>
      <w:divBdr>
        <w:top w:val="none" w:sz="0" w:space="0" w:color="auto"/>
        <w:left w:val="none" w:sz="0" w:space="0" w:color="auto"/>
        <w:bottom w:val="none" w:sz="0" w:space="0" w:color="auto"/>
        <w:right w:val="none" w:sz="0" w:space="0" w:color="auto"/>
      </w:divBdr>
    </w:div>
    <w:div w:id="686369028">
      <w:bodyDiv w:val="1"/>
      <w:marLeft w:val="0"/>
      <w:marRight w:val="0"/>
      <w:marTop w:val="0"/>
      <w:marBottom w:val="0"/>
      <w:divBdr>
        <w:top w:val="none" w:sz="0" w:space="0" w:color="auto"/>
        <w:left w:val="none" w:sz="0" w:space="0" w:color="auto"/>
        <w:bottom w:val="none" w:sz="0" w:space="0" w:color="auto"/>
        <w:right w:val="none" w:sz="0" w:space="0" w:color="auto"/>
      </w:divBdr>
    </w:div>
    <w:div w:id="687291033">
      <w:bodyDiv w:val="1"/>
      <w:marLeft w:val="0"/>
      <w:marRight w:val="0"/>
      <w:marTop w:val="0"/>
      <w:marBottom w:val="0"/>
      <w:divBdr>
        <w:top w:val="none" w:sz="0" w:space="0" w:color="auto"/>
        <w:left w:val="none" w:sz="0" w:space="0" w:color="auto"/>
        <w:bottom w:val="none" w:sz="0" w:space="0" w:color="auto"/>
        <w:right w:val="none" w:sz="0" w:space="0" w:color="auto"/>
      </w:divBdr>
    </w:div>
    <w:div w:id="688138938">
      <w:bodyDiv w:val="1"/>
      <w:marLeft w:val="0"/>
      <w:marRight w:val="0"/>
      <w:marTop w:val="0"/>
      <w:marBottom w:val="0"/>
      <w:divBdr>
        <w:top w:val="none" w:sz="0" w:space="0" w:color="auto"/>
        <w:left w:val="none" w:sz="0" w:space="0" w:color="auto"/>
        <w:bottom w:val="none" w:sz="0" w:space="0" w:color="auto"/>
        <w:right w:val="none" w:sz="0" w:space="0" w:color="auto"/>
      </w:divBdr>
    </w:div>
    <w:div w:id="688415625">
      <w:bodyDiv w:val="1"/>
      <w:marLeft w:val="0"/>
      <w:marRight w:val="0"/>
      <w:marTop w:val="0"/>
      <w:marBottom w:val="0"/>
      <w:divBdr>
        <w:top w:val="none" w:sz="0" w:space="0" w:color="auto"/>
        <w:left w:val="none" w:sz="0" w:space="0" w:color="auto"/>
        <w:bottom w:val="none" w:sz="0" w:space="0" w:color="auto"/>
        <w:right w:val="none" w:sz="0" w:space="0" w:color="auto"/>
      </w:divBdr>
    </w:div>
    <w:div w:id="688750402">
      <w:bodyDiv w:val="1"/>
      <w:marLeft w:val="0"/>
      <w:marRight w:val="0"/>
      <w:marTop w:val="0"/>
      <w:marBottom w:val="0"/>
      <w:divBdr>
        <w:top w:val="none" w:sz="0" w:space="0" w:color="auto"/>
        <w:left w:val="none" w:sz="0" w:space="0" w:color="auto"/>
        <w:bottom w:val="none" w:sz="0" w:space="0" w:color="auto"/>
        <w:right w:val="none" w:sz="0" w:space="0" w:color="auto"/>
      </w:divBdr>
    </w:div>
    <w:div w:id="689599767">
      <w:bodyDiv w:val="1"/>
      <w:marLeft w:val="0"/>
      <w:marRight w:val="0"/>
      <w:marTop w:val="0"/>
      <w:marBottom w:val="0"/>
      <w:divBdr>
        <w:top w:val="none" w:sz="0" w:space="0" w:color="auto"/>
        <w:left w:val="none" w:sz="0" w:space="0" w:color="auto"/>
        <w:bottom w:val="none" w:sz="0" w:space="0" w:color="auto"/>
        <w:right w:val="none" w:sz="0" w:space="0" w:color="auto"/>
      </w:divBdr>
    </w:div>
    <w:div w:id="690454177">
      <w:bodyDiv w:val="1"/>
      <w:marLeft w:val="0"/>
      <w:marRight w:val="0"/>
      <w:marTop w:val="0"/>
      <w:marBottom w:val="0"/>
      <w:divBdr>
        <w:top w:val="none" w:sz="0" w:space="0" w:color="auto"/>
        <w:left w:val="none" w:sz="0" w:space="0" w:color="auto"/>
        <w:bottom w:val="none" w:sz="0" w:space="0" w:color="auto"/>
        <w:right w:val="none" w:sz="0" w:space="0" w:color="auto"/>
      </w:divBdr>
    </w:div>
    <w:div w:id="692339928">
      <w:bodyDiv w:val="1"/>
      <w:marLeft w:val="0"/>
      <w:marRight w:val="0"/>
      <w:marTop w:val="0"/>
      <w:marBottom w:val="0"/>
      <w:divBdr>
        <w:top w:val="none" w:sz="0" w:space="0" w:color="auto"/>
        <w:left w:val="none" w:sz="0" w:space="0" w:color="auto"/>
        <w:bottom w:val="none" w:sz="0" w:space="0" w:color="auto"/>
        <w:right w:val="none" w:sz="0" w:space="0" w:color="auto"/>
      </w:divBdr>
    </w:div>
    <w:div w:id="693458291">
      <w:bodyDiv w:val="1"/>
      <w:marLeft w:val="0"/>
      <w:marRight w:val="0"/>
      <w:marTop w:val="0"/>
      <w:marBottom w:val="0"/>
      <w:divBdr>
        <w:top w:val="none" w:sz="0" w:space="0" w:color="auto"/>
        <w:left w:val="none" w:sz="0" w:space="0" w:color="auto"/>
        <w:bottom w:val="none" w:sz="0" w:space="0" w:color="auto"/>
        <w:right w:val="none" w:sz="0" w:space="0" w:color="auto"/>
      </w:divBdr>
    </w:div>
    <w:div w:id="693461987">
      <w:bodyDiv w:val="1"/>
      <w:marLeft w:val="0"/>
      <w:marRight w:val="0"/>
      <w:marTop w:val="0"/>
      <w:marBottom w:val="0"/>
      <w:divBdr>
        <w:top w:val="none" w:sz="0" w:space="0" w:color="auto"/>
        <w:left w:val="none" w:sz="0" w:space="0" w:color="auto"/>
        <w:bottom w:val="none" w:sz="0" w:space="0" w:color="auto"/>
        <w:right w:val="none" w:sz="0" w:space="0" w:color="auto"/>
      </w:divBdr>
    </w:div>
    <w:div w:id="694385702">
      <w:bodyDiv w:val="1"/>
      <w:marLeft w:val="0"/>
      <w:marRight w:val="0"/>
      <w:marTop w:val="0"/>
      <w:marBottom w:val="0"/>
      <w:divBdr>
        <w:top w:val="none" w:sz="0" w:space="0" w:color="auto"/>
        <w:left w:val="none" w:sz="0" w:space="0" w:color="auto"/>
        <w:bottom w:val="none" w:sz="0" w:space="0" w:color="auto"/>
        <w:right w:val="none" w:sz="0" w:space="0" w:color="auto"/>
      </w:divBdr>
    </w:div>
    <w:div w:id="695932630">
      <w:bodyDiv w:val="1"/>
      <w:marLeft w:val="0"/>
      <w:marRight w:val="0"/>
      <w:marTop w:val="0"/>
      <w:marBottom w:val="0"/>
      <w:divBdr>
        <w:top w:val="none" w:sz="0" w:space="0" w:color="auto"/>
        <w:left w:val="none" w:sz="0" w:space="0" w:color="auto"/>
        <w:bottom w:val="none" w:sz="0" w:space="0" w:color="auto"/>
        <w:right w:val="none" w:sz="0" w:space="0" w:color="auto"/>
      </w:divBdr>
    </w:div>
    <w:div w:id="699360357">
      <w:bodyDiv w:val="1"/>
      <w:marLeft w:val="0"/>
      <w:marRight w:val="0"/>
      <w:marTop w:val="0"/>
      <w:marBottom w:val="0"/>
      <w:divBdr>
        <w:top w:val="none" w:sz="0" w:space="0" w:color="auto"/>
        <w:left w:val="none" w:sz="0" w:space="0" w:color="auto"/>
        <w:bottom w:val="none" w:sz="0" w:space="0" w:color="auto"/>
        <w:right w:val="none" w:sz="0" w:space="0" w:color="auto"/>
      </w:divBdr>
    </w:div>
    <w:div w:id="700132882">
      <w:bodyDiv w:val="1"/>
      <w:marLeft w:val="0"/>
      <w:marRight w:val="0"/>
      <w:marTop w:val="0"/>
      <w:marBottom w:val="0"/>
      <w:divBdr>
        <w:top w:val="none" w:sz="0" w:space="0" w:color="auto"/>
        <w:left w:val="none" w:sz="0" w:space="0" w:color="auto"/>
        <w:bottom w:val="none" w:sz="0" w:space="0" w:color="auto"/>
        <w:right w:val="none" w:sz="0" w:space="0" w:color="auto"/>
      </w:divBdr>
    </w:div>
    <w:div w:id="700596218">
      <w:bodyDiv w:val="1"/>
      <w:marLeft w:val="0"/>
      <w:marRight w:val="0"/>
      <w:marTop w:val="0"/>
      <w:marBottom w:val="0"/>
      <w:divBdr>
        <w:top w:val="none" w:sz="0" w:space="0" w:color="auto"/>
        <w:left w:val="none" w:sz="0" w:space="0" w:color="auto"/>
        <w:bottom w:val="none" w:sz="0" w:space="0" w:color="auto"/>
        <w:right w:val="none" w:sz="0" w:space="0" w:color="auto"/>
      </w:divBdr>
    </w:div>
    <w:div w:id="700981659">
      <w:bodyDiv w:val="1"/>
      <w:marLeft w:val="0"/>
      <w:marRight w:val="0"/>
      <w:marTop w:val="0"/>
      <w:marBottom w:val="0"/>
      <w:divBdr>
        <w:top w:val="none" w:sz="0" w:space="0" w:color="auto"/>
        <w:left w:val="none" w:sz="0" w:space="0" w:color="auto"/>
        <w:bottom w:val="none" w:sz="0" w:space="0" w:color="auto"/>
        <w:right w:val="none" w:sz="0" w:space="0" w:color="auto"/>
      </w:divBdr>
    </w:div>
    <w:div w:id="701125570">
      <w:bodyDiv w:val="1"/>
      <w:marLeft w:val="0"/>
      <w:marRight w:val="0"/>
      <w:marTop w:val="0"/>
      <w:marBottom w:val="0"/>
      <w:divBdr>
        <w:top w:val="none" w:sz="0" w:space="0" w:color="auto"/>
        <w:left w:val="none" w:sz="0" w:space="0" w:color="auto"/>
        <w:bottom w:val="none" w:sz="0" w:space="0" w:color="auto"/>
        <w:right w:val="none" w:sz="0" w:space="0" w:color="auto"/>
      </w:divBdr>
    </w:div>
    <w:div w:id="701128776">
      <w:bodyDiv w:val="1"/>
      <w:marLeft w:val="0"/>
      <w:marRight w:val="0"/>
      <w:marTop w:val="0"/>
      <w:marBottom w:val="0"/>
      <w:divBdr>
        <w:top w:val="none" w:sz="0" w:space="0" w:color="auto"/>
        <w:left w:val="none" w:sz="0" w:space="0" w:color="auto"/>
        <w:bottom w:val="none" w:sz="0" w:space="0" w:color="auto"/>
        <w:right w:val="none" w:sz="0" w:space="0" w:color="auto"/>
      </w:divBdr>
    </w:div>
    <w:div w:id="702286388">
      <w:bodyDiv w:val="1"/>
      <w:marLeft w:val="0"/>
      <w:marRight w:val="0"/>
      <w:marTop w:val="0"/>
      <w:marBottom w:val="0"/>
      <w:divBdr>
        <w:top w:val="none" w:sz="0" w:space="0" w:color="auto"/>
        <w:left w:val="none" w:sz="0" w:space="0" w:color="auto"/>
        <w:bottom w:val="none" w:sz="0" w:space="0" w:color="auto"/>
        <w:right w:val="none" w:sz="0" w:space="0" w:color="auto"/>
      </w:divBdr>
    </w:div>
    <w:div w:id="703092404">
      <w:bodyDiv w:val="1"/>
      <w:marLeft w:val="0"/>
      <w:marRight w:val="0"/>
      <w:marTop w:val="0"/>
      <w:marBottom w:val="0"/>
      <w:divBdr>
        <w:top w:val="none" w:sz="0" w:space="0" w:color="auto"/>
        <w:left w:val="none" w:sz="0" w:space="0" w:color="auto"/>
        <w:bottom w:val="none" w:sz="0" w:space="0" w:color="auto"/>
        <w:right w:val="none" w:sz="0" w:space="0" w:color="auto"/>
      </w:divBdr>
    </w:div>
    <w:div w:id="703680477">
      <w:bodyDiv w:val="1"/>
      <w:marLeft w:val="0"/>
      <w:marRight w:val="0"/>
      <w:marTop w:val="0"/>
      <w:marBottom w:val="0"/>
      <w:divBdr>
        <w:top w:val="none" w:sz="0" w:space="0" w:color="auto"/>
        <w:left w:val="none" w:sz="0" w:space="0" w:color="auto"/>
        <w:bottom w:val="none" w:sz="0" w:space="0" w:color="auto"/>
        <w:right w:val="none" w:sz="0" w:space="0" w:color="auto"/>
      </w:divBdr>
    </w:div>
    <w:div w:id="703945092">
      <w:bodyDiv w:val="1"/>
      <w:marLeft w:val="0"/>
      <w:marRight w:val="0"/>
      <w:marTop w:val="0"/>
      <w:marBottom w:val="0"/>
      <w:divBdr>
        <w:top w:val="none" w:sz="0" w:space="0" w:color="auto"/>
        <w:left w:val="none" w:sz="0" w:space="0" w:color="auto"/>
        <w:bottom w:val="none" w:sz="0" w:space="0" w:color="auto"/>
        <w:right w:val="none" w:sz="0" w:space="0" w:color="auto"/>
      </w:divBdr>
    </w:div>
    <w:div w:id="704908820">
      <w:bodyDiv w:val="1"/>
      <w:marLeft w:val="0"/>
      <w:marRight w:val="0"/>
      <w:marTop w:val="0"/>
      <w:marBottom w:val="0"/>
      <w:divBdr>
        <w:top w:val="none" w:sz="0" w:space="0" w:color="auto"/>
        <w:left w:val="none" w:sz="0" w:space="0" w:color="auto"/>
        <w:bottom w:val="none" w:sz="0" w:space="0" w:color="auto"/>
        <w:right w:val="none" w:sz="0" w:space="0" w:color="auto"/>
      </w:divBdr>
    </w:div>
    <w:div w:id="705300743">
      <w:bodyDiv w:val="1"/>
      <w:marLeft w:val="0"/>
      <w:marRight w:val="0"/>
      <w:marTop w:val="0"/>
      <w:marBottom w:val="0"/>
      <w:divBdr>
        <w:top w:val="none" w:sz="0" w:space="0" w:color="auto"/>
        <w:left w:val="none" w:sz="0" w:space="0" w:color="auto"/>
        <w:bottom w:val="none" w:sz="0" w:space="0" w:color="auto"/>
        <w:right w:val="none" w:sz="0" w:space="0" w:color="auto"/>
      </w:divBdr>
    </w:div>
    <w:div w:id="706874681">
      <w:bodyDiv w:val="1"/>
      <w:marLeft w:val="0"/>
      <w:marRight w:val="0"/>
      <w:marTop w:val="0"/>
      <w:marBottom w:val="0"/>
      <w:divBdr>
        <w:top w:val="none" w:sz="0" w:space="0" w:color="auto"/>
        <w:left w:val="none" w:sz="0" w:space="0" w:color="auto"/>
        <w:bottom w:val="none" w:sz="0" w:space="0" w:color="auto"/>
        <w:right w:val="none" w:sz="0" w:space="0" w:color="auto"/>
      </w:divBdr>
    </w:div>
    <w:div w:id="707266541">
      <w:bodyDiv w:val="1"/>
      <w:marLeft w:val="0"/>
      <w:marRight w:val="0"/>
      <w:marTop w:val="0"/>
      <w:marBottom w:val="0"/>
      <w:divBdr>
        <w:top w:val="none" w:sz="0" w:space="0" w:color="auto"/>
        <w:left w:val="none" w:sz="0" w:space="0" w:color="auto"/>
        <w:bottom w:val="none" w:sz="0" w:space="0" w:color="auto"/>
        <w:right w:val="none" w:sz="0" w:space="0" w:color="auto"/>
      </w:divBdr>
    </w:div>
    <w:div w:id="707990781">
      <w:bodyDiv w:val="1"/>
      <w:marLeft w:val="0"/>
      <w:marRight w:val="0"/>
      <w:marTop w:val="0"/>
      <w:marBottom w:val="0"/>
      <w:divBdr>
        <w:top w:val="none" w:sz="0" w:space="0" w:color="auto"/>
        <w:left w:val="none" w:sz="0" w:space="0" w:color="auto"/>
        <w:bottom w:val="none" w:sz="0" w:space="0" w:color="auto"/>
        <w:right w:val="none" w:sz="0" w:space="0" w:color="auto"/>
      </w:divBdr>
    </w:div>
    <w:div w:id="710882849">
      <w:bodyDiv w:val="1"/>
      <w:marLeft w:val="0"/>
      <w:marRight w:val="0"/>
      <w:marTop w:val="0"/>
      <w:marBottom w:val="0"/>
      <w:divBdr>
        <w:top w:val="none" w:sz="0" w:space="0" w:color="auto"/>
        <w:left w:val="none" w:sz="0" w:space="0" w:color="auto"/>
        <w:bottom w:val="none" w:sz="0" w:space="0" w:color="auto"/>
        <w:right w:val="none" w:sz="0" w:space="0" w:color="auto"/>
      </w:divBdr>
    </w:div>
    <w:div w:id="711342203">
      <w:bodyDiv w:val="1"/>
      <w:marLeft w:val="0"/>
      <w:marRight w:val="0"/>
      <w:marTop w:val="0"/>
      <w:marBottom w:val="0"/>
      <w:divBdr>
        <w:top w:val="none" w:sz="0" w:space="0" w:color="auto"/>
        <w:left w:val="none" w:sz="0" w:space="0" w:color="auto"/>
        <w:bottom w:val="none" w:sz="0" w:space="0" w:color="auto"/>
        <w:right w:val="none" w:sz="0" w:space="0" w:color="auto"/>
      </w:divBdr>
    </w:div>
    <w:div w:id="712002182">
      <w:bodyDiv w:val="1"/>
      <w:marLeft w:val="0"/>
      <w:marRight w:val="0"/>
      <w:marTop w:val="0"/>
      <w:marBottom w:val="0"/>
      <w:divBdr>
        <w:top w:val="none" w:sz="0" w:space="0" w:color="auto"/>
        <w:left w:val="none" w:sz="0" w:space="0" w:color="auto"/>
        <w:bottom w:val="none" w:sz="0" w:space="0" w:color="auto"/>
        <w:right w:val="none" w:sz="0" w:space="0" w:color="auto"/>
      </w:divBdr>
    </w:div>
    <w:div w:id="715200399">
      <w:bodyDiv w:val="1"/>
      <w:marLeft w:val="0"/>
      <w:marRight w:val="0"/>
      <w:marTop w:val="0"/>
      <w:marBottom w:val="0"/>
      <w:divBdr>
        <w:top w:val="none" w:sz="0" w:space="0" w:color="auto"/>
        <w:left w:val="none" w:sz="0" w:space="0" w:color="auto"/>
        <w:bottom w:val="none" w:sz="0" w:space="0" w:color="auto"/>
        <w:right w:val="none" w:sz="0" w:space="0" w:color="auto"/>
      </w:divBdr>
    </w:div>
    <w:div w:id="715394160">
      <w:bodyDiv w:val="1"/>
      <w:marLeft w:val="0"/>
      <w:marRight w:val="0"/>
      <w:marTop w:val="0"/>
      <w:marBottom w:val="0"/>
      <w:divBdr>
        <w:top w:val="none" w:sz="0" w:space="0" w:color="auto"/>
        <w:left w:val="none" w:sz="0" w:space="0" w:color="auto"/>
        <w:bottom w:val="none" w:sz="0" w:space="0" w:color="auto"/>
        <w:right w:val="none" w:sz="0" w:space="0" w:color="auto"/>
      </w:divBdr>
    </w:div>
    <w:div w:id="716512194">
      <w:bodyDiv w:val="1"/>
      <w:marLeft w:val="0"/>
      <w:marRight w:val="0"/>
      <w:marTop w:val="0"/>
      <w:marBottom w:val="0"/>
      <w:divBdr>
        <w:top w:val="none" w:sz="0" w:space="0" w:color="auto"/>
        <w:left w:val="none" w:sz="0" w:space="0" w:color="auto"/>
        <w:bottom w:val="none" w:sz="0" w:space="0" w:color="auto"/>
        <w:right w:val="none" w:sz="0" w:space="0" w:color="auto"/>
      </w:divBdr>
    </w:div>
    <w:div w:id="716854535">
      <w:bodyDiv w:val="1"/>
      <w:marLeft w:val="0"/>
      <w:marRight w:val="0"/>
      <w:marTop w:val="0"/>
      <w:marBottom w:val="0"/>
      <w:divBdr>
        <w:top w:val="none" w:sz="0" w:space="0" w:color="auto"/>
        <w:left w:val="none" w:sz="0" w:space="0" w:color="auto"/>
        <w:bottom w:val="none" w:sz="0" w:space="0" w:color="auto"/>
        <w:right w:val="none" w:sz="0" w:space="0" w:color="auto"/>
      </w:divBdr>
    </w:div>
    <w:div w:id="718480721">
      <w:bodyDiv w:val="1"/>
      <w:marLeft w:val="0"/>
      <w:marRight w:val="0"/>
      <w:marTop w:val="0"/>
      <w:marBottom w:val="0"/>
      <w:divBdr>
        <w:top w:val="none" w:sz="0" w:space="0" w:color="auto"/>
        <w:left w:val="none" w:sz="0" w:space="0" w:color="auto"/>
        <w:bottom w:val="none" w:sz="0" w:space="0" w:color="auto"/>
        <w:right w:val="none" w:sz="0" w:space="0" w:color="auto"/>
      </w:divBdr>
    </w:div>
    <w:div w:id="719747112">
      <w:bodyDiv w:val="1"/>
      <w:marLeft w:val="0"/>
      <w:marRight w:val="0"/>
      <w:marTop w:val="0"/>
      <w:marBottom w:val="0"/>
      <w:divBdr>
        <w:top w:val="none" w:sz="0" w:space="0" w:color="auto"/>
        <w:left w:val="none" w:sz="0" w:space="0" w:color="auto"/>
        <w:bottom w:val="none" w:sz="0" w:space="0" w:color="auto"/>
        <w:right w:val="none" w:sz="0" w:space="0" w:color="auto"/>
      </w:divBdr>
    </w:div>
    <w:div w:id="719863833">
      <w:bodyDiv w:val="1"/>
      <w:marLeft w:val="0"/>
      <w:marRight w:val="0"/>
      <w:marTop w:val="0"/>
      <w:marBottom w:val="0"/>
      <w:divBdr>
        <w:top w:val="none" w:sz="0" w:space="0" w:color="auto"/>
        <w:left w:val="none" w:sz="0" w:space="0" w:color="auto"/>
        <w:bottom w:val="none" w:sz="0" w:space="0" w:color="auto"/>
        <w:right w:val="none" w:sz="0" w:space="0" w:color="auto"/>
      </w:divBdr>
    </w:div>
    <w:div w:id="721292287">
      <w:bodyDiv w:val="1"/>
      <w:marLeft w:val="0"/>
      <w:marRight w:val="0"/>
      <w:marTop w:val="0"/>
      <w:marBottom w:val="0"/>
      <w:divBdr>
        <w:top w:val="none" w:sz="0" w:space="0" w:color="auto"/>
        <w:left w:val="none" w:sz="0" w:space="0" w:color="auto"/>
        <w:bottom w:val="none" w:sz="0" w:space="0" w:color="auto"/>
        <w:right w:val="none" w:sz="0" w:space="0" w:color="auto"/>
      </w:divBdr>
    </w:div>
    <w:div w:id="724373096">
      <w:bodyDiv w:val="1"/>
      <w:marLeft w:val="0"/>
      <w:marRight w:val="0"/>
      <w:marTop w:val="0"/>
      <w:marBottom w:val="0"/>
      <w:divBdr>
        <w:top w:val="none" w:sz="0" w:space="0" w:color="auto"/>
        <w:left w:val="none" w:sz="0" w:space="0" w:color="auto"/>
        <w:bottom w:val="none" w:sz="0" w:space="0" w:color="auto"/>
        <w:right w:val="none" w:sz="0" w:space="0" w:color="auto"/>
      </w:divBdr>
    </w:div>
    <w:div w:id="724449124">
      <w:bodyDiv w:val="1"/>
      <w:marLeft w:val="0"/>
      <w:marRight w:val="0"/>
      <w:marTop w:val="0"/>
      <w:marBottom w:val="0"/>
      <w:divBdr>
        <w:top w:val="none" w:sz="0" w:space="0" w:color="auto"/>
        <w:left w:val="none" w:sz="0" w:space="0" w:color="auto"/>
        <w:bottom w:val="none" w:sz="0" w:space="0" w:color="auto"/>
        <w:right w:val="none" w:sz="0" w:space="0" w:color="auto"/>
      </w:divBdr>
    </w:div>
    <w:div w:id="724721257">
      <w:bodyDiv w:val="1"/>
      <w:marLeft w:val="0"/>
      <w:marRight w:val="0"/>
      <w:marTop w:val="0"/>
      <w:marBottom w:val="0"/>
      <w:divBdr>
        <w:top w:val="none" w:sz="0" w:space="0" w:color="auto"/>
        <w:left w:val="none" w:sz="0" w:space="0" w:color="auto"/>
        <w:bottom w:val="none" w:sz="0" w:space="0" w:color="auto"/>
        <w:right w:val="none" w:sz="0" w:space="0" w:color="auto"/>
      </w:divBdr>
    </w:div>
    <w:div w:id="725952520">
      <w:bodyDiv w:val="1"/>
      <w:marLeft w:val="0"/>
      <w:marRight w:val="0"/>
      <w:marTop w:val="0"/>
      <w:marBottom w:val="0"/>
      <w:divBdr>
        <w:top w:val="none" w:sz="0" w:space="0" w:color="auto"/>
        <w:left w:val="none" w:sz="0" w:space="0" w:color="auto"/>
        <w:bottom w:val="none" w:sz="0" w:space="0" w:color="auto"/>
        <w:right w:val="none" w:sz="0" w:space="0" w:color="auto"/>
      </w:divBdr>
    </w:div>
    <w:div w:id="726414909">
      <w:bodyDiv w:val="1"/>
      <w:marLeft w:val="0"/>
      <w:marRight w:val="0"/>
      <w:marTop w:val="0"/>
      <w:marBottom w:val="0"/>
      <w:divBdr>
        <w:top w:val="none" w:sz="0" w:space="0" w:color="auto"/>
        <w:left w:val="none" w:sz="0" w:space="0" w:color="auto"/>
        <w:bottom w:val="none" w:sz="0" w:space="0" w:color="auto"/>
        <w:right w:val="none" w:sz="0" w:space="0" w:color="auto"/>
      </w:divBdr>
    </w:div>
    <w:div w:id="729575107">
      <w:bodyDiv w:val="1"/>
      <w:marLeft w:val="0"/>
      <w:marRight w:val="0"/>
      <w:marTop w:val="0"/>
      <w:marBottom w:val="0"/>
      <w:divBdr>
        <w:top w:val="none" w:sz="0" w:space="0" w:color="auto"/>
        <w:left w:val="none" w:sz="0" w:space="0" w:color="auto"/>
        <w:bottom w:val="none" w:sz="0" w:space="0" w:color="auto"/>
        <w:right w:val="none" w:sz="0" w:space="0" w:color="auto"/>
      </w:divBdr>
    </w:div>
    <w:div w:id="729691861">
      <w:bodyDiv w:val="1"/>
      <w:marLeft w:val="0"/>
      <w:marRight w:val="0"/>
      <w:marTop w:val="0"/>
      <w:marBottom w:val="0"/>
      <w:divBdr>
        <w:top w:val="none" w:sz="0" w:space="0" w:color="auto"/>
        <w:left w:val="none" w:sz="0" w:space="0" w:color="auto"/>
        <w:bottom w:val="none" w:sz="0" w:space="0" w:color="auto"/>
        <w:right w:val="none" w:sz="0" w:space="0" w:color="auto"/>
      </w:divBdr>
    </w:div>
    <w:div w:id="730228249">
      <w:bodyDiv w:val="1"/>
      <w:marLeft w:val="0"/>
      <w:marRight w:val="0"/>
      <w:marTop w:val="0"/>
      <w:marBottom w:val="0"/>
      <w:divBdr>
        <w:top w:val="none" w:sz="0" w:space="0" w:color="auto"/>
        <w:left w:val="none" w:sz="0" w:space="0" w:color="auto"/>
        <w:bottom w:val="none" w:sz="0" w:space="0" w:color="auto"/>
        <w:right w:val="none" w:sz="0" w:space="0" w:color="auto"/>
      </w:divBdr>
    </w:div>
    <w:div w:id="731584836">
      <w:bodyDiv w:val="1"/>
      <w:marLeft w:val="0"/>
      <w:marRight w:val="0"/>
      <w:marTop w:val="0"/>
      <w:marBottom w:val="0"/>
      <w:divBdr>
        <w:top w:val="none" w:sz="0" w:space="0" w:color="auto"/>
        <w:left w:val="none" w:sz="0" w:space="0" w:color="auto"/>
        <w:bottom w:val="none" w:sz="0" w:space="0" w:color="auto"/>
        <w:right w:val="none" w:sz="0" w:space="0" w:color="auto"/>
      </w:divBdr>
    </w:div>
    <w:div w:id="732852353">
      <w:bodyDiv w:val="1"/>
      <w:marLeft w:val="0"/>
      <w:marRight w:val="0"/>
      <w:marTop w:val="0"/>
      <w:marBottom w:val="0"/>
      <w:divBdr>
        <w:top w:val="none" w:sz="0" w:space="0" w:color="auto"/>
        <w:left w:val="none" w:sz="0" w:space="0" w:color="auto"/>
        <w:bottom w:val="none" w:sz="0" w:space="0" w:color="auto"/>
        <w:right w:val="none" w:sz="0" w:space="0" w:color="auto"/>
      </w:divBdr>
    </w:div>
    <w:div w:id="733695283">
      <w:bodyDiv w:val="1"/>
      <w:marLeft w:val="0"/>
      <w:marRight w:val="0"/>
      <w:marTop w:val="0"/>
      <w:marBottom w:val="0"/>
      <w:divBdr>
        <w:top w:val="none" w:sz="0" w:space="0" w:color="auto"/>
        <w:left w:val="none" w:sz="0" w:space="0" w:color="auto"/>
        <w:bottom w:val="none" w:sz="0" w:space="0" w:color="auto"/>
        <w:right w:val="none" w:sz="0" w:space="0" w:color="auto"/>
      </w:divBdr>
    </w:div>
    <w:div w:id="735322919">
      <w:bodyDiv w:val="1"/>
      <w:marLeft w:val="0"/>
      <w:marRight w:val="0"/>
      <w:marTop w:val="0"/>
      <w:marBottom w:val="0"/>
      <w:divBdr>
        <w:top w:val="none" w:sz="0" w:space="0" w:color="auto"/>
        <w:left w:val="none" w:sz="0" w:space="0" w:color="auto"/>
        <w:bottom w:val="none" w:sz="0" w:space="0" w:color="auto"/>
        <w:right w:val="none" w:sz="0" w:space="0" w:color="auto"/>
      </w:divBdr>
    </w:div>
    <w:div w:id="735857706">
      <w:bodyDiv w:val="1"/>
      <w:marLeft w:val="0"/>
      <w:marRight w:val="0"/>
      <w:marTop w:val="0"/>
      <w:marBottom w:val="0"/>
      <w:divBdr>
        <w:top w:val="none" w:sz="0" w:space="0" w:color="auto"/>
        <w:left w:val="none" w:sz="0" w:space="0" w:color="auto"/>
        <w:bottom w:val="none" w:sz="0" w:space="0" w:color="auto"/>
        <w:right w:val="none" w:sz="0" w:space="0" w:color="auto"/>
      </w:divBdr>
    </w:div>
    <w:div w:id="736439154">
      <w:bodyDiv w:val="1"/>
      <w:marLeft w:val="0"/>
      <w:marRight w:val="0"/>
      <w:marTop w:val="0"/>
      <w:marBottom w:val="0"/>
      <w:divBdr>
        <w:top w:val="none" w:sz="0" w:space="0" w:color="auto"/>
        <w:left w:val="none" w:sz="0" w:space="0" w:color="auto"/>
        <w:bottom w:val="none" w:sz="0" w:space="0" w:color="auto"/>
        <w:right w:val="none" w:sz="0" w:space="0" w:color="auto"/>
      </w:divBdr>
    </w:div>
    <w:div w:id="736901762">
      <w:bodyDiv w:val="1"/>
      <w:marLeft w:val="0"/>
      <w:marRight w:val="0"/>
      <w:marTop w:val="0"/>
      <w:marBottom w:val="0"/>
      <w:divBdr>
        <w:top w:val="none" w:sz="0" w:space="0" w:color="auto"/>
        <w:left w:val="none" w:sz="0" w:space="0" w:color="auto"/>
        <w:bottom w:val="none" w:sz="0" w:space="0" w:color="auto"/>
        <w:right w:val="none" w:sz="0" w:space="0" w:color="auto"/>
      </w:divBdr>
    </w:div>
    <w:div w:id="736978649">
      <w:bodyDiv w:val="1"/>
      <w:marLeft w:val="0"/>
      <w:marRight w:val="0"/>
      <w:marTop w:val="0"/>
      <w:marBottom w:val="0"/>
      <w:divBdr>
        <w:top w:val="none" w:sz="0" w:space="0" w:color="auto"/>
        <w:left w:val="none" w:sz="0" w:space="0" w:color="auto"/>
        <w:bottom w:val="none" w:sz="0" w:space="0" w:color="auto"/>
        <w:right w:val="none" w:sz="0" w:space="0" w:color="auto"/>
      </w:divBdr>
    </w:div>
    <w:div w:id="737901642">
      <w:bodyDiv w:val="1"/>
      <w:marLeft w:val="0"/>
      <w:marRight w:val="0"/>
      <w:marTop w:val="0"/>
      <w:marBottom w:val="0"/>
      <w:divBdr>
        <w:top w:val="none" w:sz="0" w:space="0" w:color="auto"/>
        <w:left w:val="none" w:sz="0" w:space="0" w:color="auto"/>
        <w:bottom w:val="none" w:sz="0" w:space="0" w:color="auto"/>
        <w:right w:val="none" w:sz="0" w:space="0" w:color="auto"/>
      </w:divBdr>
    </w:div>
    <w:div w:id="740833626">
      <w:bodyDiv w:val="1"/>
      <w:marLeft w:val="0"/>
      <w:marRight w:val="0"/>
      <w:marTop w:val="0"/>
      <w:marBottom w:val="0"/>
      <w:divBdr>
        <w:top w:val="none" w:sz="0" w:space="0" w:color="auto"/>
        <w:left w:val="none" w:sz="0" w:space="0" w:color="auto"/>
        <w:bottom w:val="none" w:sz="0" w:space="0" w:color="auto"/>
        <w:right w:val="none" w:sz="0" w:space="0" w:color="auto"/>
      </w:divBdr>
    </w:div>
    <w:div w:id="741027173">
      <w:bodyDiv w:val="1"/>
      <w:marLeft w:val="0"/>
      <w:marRight w:val="0"/>
      <w:marTop w:val="0"/>
      <w:marBottom w:val="0"/>
      <w:divBdr>
        <w:top w:val="none" w:sz="0" w:space="0" w:color="auto"/>
        <w:left w:val="none" w:sz="0" w:space="0" w:color="auto"/>
        <w:bottom w:val="none" w:sz="0" w:space="0" w:color="auto"/>
        <w:right w:val="none" w:sz="0" w:space="0" w:color="auto"/>
      </w:divBdr>
    </w:div>
    <w:div w:id="741756187">
      <w:bodyDiv w:val="1"/>
      <w:marLeft w:val="0"/>
      <w:marRight w:val="0"/>
      <w:marTop w:val="0"/>
      <w:marBottom w:val="0"/>
      <w:divBdr>
        <w:top w:val="none" w:sz="0" w:space="0" w:color="auto"/>
        <w:left w:val="none" w:sz="0" w:space="0" w:color="auto"/>
        <w:bottom w:val="none" w:sz="0" w:space="0" w:color="auto"/>
        <w:right w:val="none" w:sz="0" w:space="0" w:color="auto"/>
      </w:divBdr>
    </w:div>
    <w:div w:id="743181609">
      <w:bodyDiv w:val="1"/>
      <w:marLeft w:val="0"/>
      <w:marRight w:val="0"/>
      <w:marTop w:val="0"/>
      <w:marBottom w:val="0"/>
      <w:divBdr>
        <w:top w:val="none" w:sz="0" w:space="0" w:color="auto"/>
        <w:left w:val="none" w:sz="0" w:space="0" w:color="auto"/>
        <w:bottom w:val="none" w:sz="0" w:space="0" w:color="auto"/>
        <w:right w:val="none" w:sz="0" w:space="0" w:color="auto"/>
      </w:divBdr>
    </w:div>
    <w:div w:id="744566717">
      <w:bodyDiv w:val="1"/>
      <w:marLeft w:val="0"/>
      <w:marRight w:val="0"/>
      <w:marTop w:val="0"/>
      <w:marBottom w:val="0"/>
      <w:divBdr>
        <w:top w:val="none" w:sz="0" w:space="0" w:color="auto"/>
        <w:left w:val="none" w:sz="0" w:space="0" w:color="auto"/>
        <w:bottom w:val="none" w:sz="0" w:space="0" w:color="auto"/>
        <w:right w:val="none" w:sz="0" w:space="0" w:color="auto"/>
      </w:divBdr>
    </w:div>
    <w:div w:id="745880906">
      <w:bodyDiv w:val="1"/>
      <w:marLeft w:val="0"/>
      <w:marRight w:val="0"/>
      <w:marTop w:val="0"/>
      <w:marBottom w:val="0"/>
      <w:divBdr>
        <w:top w:val="none" w:sz="0" w:space="0" w:color="auto"/>
        <w:left w:val="none" w:sz="0" w:space="0" w:color="auto"/>
        <w:bottom w:val="none" w:sz="0" w:space="0" w:color="auto"/>
        <w:right w:val="none" w:sz="0" w:space="0" w:color="auto"/>
      </w:divBdr>
    </w:div>
    <w:div w:id="746656727">
      <w:bodyDiv w:val="1"/>
      <w:marLeft w:val="0"/>
      <w:marRight w:val="0"/>
      <w:marTop w:val="0"/>
      <w:marBottom w:val="0"/>
      <w:divBdr>
        <w:top w:val="none" w:sz="0" w:space="0" w:color="auto"/>
        <w:left w:val="none" w:sz="0" w:space="0" w:color="auto"/>
        <w:bottom w:val="none" w:sz="0" w:space="0" w:color="auto"/>
        <w:right w:val="none" w:sz="0" w:space="0" w:color="auto"/>
      </w:divBdr>
    </w:div>
    <w:div w:id="746682737">
      <w:bodyDiv w:val="1"/>
      <w:marLeft w:val="0"/>
      <w:marRight w:val="0"/>
      <w:marTop w:val="0"/>
      <w:marBottom w:val="0"/>
      <w:divBdr>
        <w:top w:val="none" w:sz="0" w:space="0" w:color="auto"/>
        <w:left w:val="none" w:sz="0" w:space="0" w:color="auto"/>
        <w:bottom w:val="none" w:sz="0" w:space="0" w:color="auto"/>
        <w:right w:val="none" w:sz="0" w:space="0" w:color="auto"/>
      </w:divBdr>
    </w:div>
    <w:div w:id="747113995">
      <w:bodyDiv w:val="1"/>
      <w:marLeft w:val="0"/>
      <w:marRight w:val="0"/>
      <w:marTop w:val="0"/>
      <w:marBottom w:val="0"/>
      <w:divBdr>
        <w:top w:val="none" w:sz="0" w:space="0" w:color="auto"/>
        <w:left w:val="none" w:sz="0" w:space="0" w:color="auto"/>
        <w:bottom w:val="none" w:sz="0" w:space="0" w:color="auto"/>
        <w:right w:val="none" w:sz="0" w:space="0" w:color="auto"/>
      </w:divBdr>
    </w:div>
    <w:div w:id="747458395">
      <w:bodyDiv w:val="1"/>
      <w:marLeft w:val="0"/>
      <w:marRight w:val="0"/>
      <w:marTop w:val="0"/>
      <w:marBottom w:val="0"/>
      <w:divBdr>
        <w:top w:val="none" w:sz="0" w:space="0" w:color="auto"/>
        <w:left w:val="none" w:sz="0" w:space="0" w:color="auto"/>
        <w:bottom w:val="none" w:sz="0" w:space="0" w:color="auto"/>
        <w:right w:val="none" w:sz="0" w:space="0" w:color="auto"/>
      </w:divBdr>
    </w:div>
    <w:div w:id="748424190">
      <w:bodyDiv w:val="1"/>
      <w:marLeft w:val="0"/>
      <w:marRight w:val="0"/>
      <w:marTop w:val="0"/>
      <w:marBottom w:val="0"/>
      <w:divBdr>
        <w:top w:val="none" w:sz="0" w:space="0" w:color="auto"/>
        <w:left w:val="none" w:sz="0" w:space="0" w:color="auto"/>
        <w:bottom w:val="none" w:sz="0" w:space="0" w:color="auto"/>
        <w:right w:val="none" w:sz="0" w:space="0" w:color="auto"/>
      </w:divBdr>
    </w:div>
    <w:div w:id="748575541">
      <w:bodyDiv w:val="1"/>
      <w:marLeft w:val="0"/>
      <w:marRight w:val="0"/>
      <w:marTop w:val="0"/>
      <w:marBottom w:val="0"/>
      <w:divBdr>
        <w:top w:val="none" w:sz="0" w:space="0" w:color="auto"/>
        <w:left w:val="none" w:sz="0" w:space="0" w:color="auto"/>
        <w:bottom w:val="none" w:sz="0" w:space="0" w:color="auto"/>
        <w:right w:val="none" w:sz="0" w:space="0" w:color="auto"/>
      </w:divBdr>
    </w:div>
    <w:div w:id="749038354">
      <w:bodyDiv w:val="1"/>
      <w:marLeft w:val="0"/>
      <w:marRight w:val="0"/>
      <w:marTop w:val="0"/>
      <w:marBottom w:val="0"/>
      <w:divBdr>
        <w:top w:val="none" w:sz="0" w:space="0" w:color="auto"/>
        <w:left w:val="none" w:sz="0" w:space="0" w:color="auto"/>
        <w:bottom w:val="none" w:sz="0" w:space="0" w:color="auto"/>
        <w:right w:val="none" w:sz="0" w:space="0" w:color="auto"/>
      </w:divBdr>
    </w:div>
    <w:div w:id="749811366">
      <w:bodyDiv w:val="1"/>
      <w:marLeft w:val="0"/>
      <w:marRight w:val="0"/>
      <w:marTop w:val="0"/>
      <w:marBottom w:val="0"/>
      <w:divBdr>
        <w:top w:val="none" w:sz="0" w:space="0" w:color="auto"/>
        <w:left w:val="none" w:sz="0" w:space="0" w:color="auto"/>
        <w:bottom w:val="none" w:sz="0" w:space="0" w:color="auto"/>
        <w:right w:val="none" w:sz="0" w:space="0" w:color="auto"/>
      </w:divBdr>
    </w:div>
    <w:div w:id="752631974">
      <w:bodyDiv w:val="1"/>
      <w:marLeft w:val="0"/>
      <w:marRight w:val="0"/>
      <w:marTop w:val="0"/>
      <w:marBottom w:val="0"/>
      <w:divBdr>
        <w:top w:val="none" w:sz="0" w:space="0" w:color="auto"/>
        <w:left w:val="none" w:sz="0" w:space="0" w:color="auto"/>
        <w:bottom w:val="none" w:sz="0" w:space="0" w:color="auto"/>
        <w:right w:val="none" w:sz="0" w:space="0" w:color="auto"/>
      </w:divBdr>
    </w:div>
    <w:div w:id="753210909">
      <w:bodyDiv w:val="1"/>
      <w:marLeft w:val="0"/>
      <w:marRight w:val="0"/>
      <w:marTop w:val="0"/>
      <w:marBottom w:val="0"/>
      <w:divBdr>
        <w:top w:val="none" w:sz="0" w:space="0" w:color="auto"/>
        <w:left w:val="none" w:sz="0" w:space="0" w:color="auto"/>
        <w:bottom w:val="none" w:sz="0" w:space="0" w:color="auto"/>
        <w:right w:val="none" w:sz="0" w:space="0" w:color="auto"/>
      </w:divBdr>
    </w:div>
    <w:div w:id="755856646">
      <w:bodyDiv w:val="1"/>
      <w:marLeft w:val="0"/>
      <w:marRight w:val="0"/>
      <w:marTop w:val="0"/>
      <w:marBottom w:val="0"/>
      <w:divBdr>
        <w:top w:val="none" w:sz="0" w:space="0" w:color="auto"/>
        <w:left w:val="none" w:sz="0" w:space="0" w:color="auto"/>
        <w:bottom w:val="none" w:sz="0" w:space="0" w:color="auto"/>
        <w:right w:val="none" w:sz="0" w:space="0" w:color="auto"/>
      </w:divBdr>
    </w:div>
    <w:div w:id="760101782">
      <w:bodyDiv w:val="1"/>
      <w:marLeft w:val="0"/>
      <w:marRight w:val="0"/>
      <w:marTop w:val="0"/>
      <w:marBottom w:val="0"/>
      <w:divBdr>
        <w:top w:val="none" w:sz="0" w:space="0" w:color="auto"/>
        <w:left w:val="none" w:sz="0" w:space="0" w:color="auto"/>
        <w:bottom w:val="none" w:sz="0" w:space="0" w:color="auto"/>
        <w:right w:val="none" w:sz="0" w:space="0" w:color="auto"/>
      </w:divBdr>
    </w:div>
    <w:div w:id="760219203">
      <w:bodyDiv w:val="1"/>
      <w:marLeft w:val="0"/>
      <w:marRight w:val="0"/>
      <w:marTop w:val="0"/>
      <w:marBottom w:val="0"/>
      <w:divBdr>
        <w:top w:val="none" w:sz="0" w:space="0" w:color="auto"/>
        <w:left w:val="none" w:sz="0" w:space="0" w:color="auto"/>
        <w:bottom w:val="none" w:sz="0" w:space="0" w:color="auto"/>
        <w:right w:val="none" w:sz="0" w:space="0" w:color="auto"/>
      </w:divBdr>
    </w:div>
    <w:div w:id="761488571">
      <w:bodyDiv w:val="1"/>
      <w:marLeft w:val="0"/>
      <w:marRight w:val="0"/>
      <w:marTop w:val="0"/>
      <w:marBottom w:val="0"/>
      <w:divBdr>
        <w:top w:val="none" w:sz="0" w:space="0" w:color="auto"/>
        <w:left w:val="none" w:sz="0" w:space="0" w:color="auto"/>
        <w:bottom w:val="none" w:sz="0" w:space="0" w:color="auto"/>
        <w:right w:val="none" w:sz="0" w:space="0" w:color="auto"/>
      </w:divBdr>
    </w:div>
    <w:div w:id="762072467">
      <w:bodyDiv w:val="1"/>
      <w:marLeft w:val="0"/>
      <w:marRight w:val="0"/>
      <w:marTop w:val="0"/>
      <w:marBottom w:val="0"/>
      <w:divBdr>
        <w:top w:val="none" w:sz="0" w:space="0" w:color="auto"/>
        <w:left w:val="none" w:sz="0" w:space="0" w:color="auto"/>
        <w:bottom w:val="none" w:sz="0" w:space="0" w:color="auto"/>
        <w:right w:val="none" w:sz="0" w:space="0" w:color="auto"/>
      </w:divBdr>
    </w:div>
    <w:div w:id="762799040">
      <w:bodyDiv w:val="1"/>
      <w:marLeft w:val="0"/>
      <w:marRight w:val="0"/>
      <w:marTop w:val="0"/>
      <w:marBottom w:val="0"/>
      <w:divBdr>
        <w:top w:val="none" w:sz="0" w:space="0" w:color="auto"/>
        <w:left w:val="none" w:sz="0" w:space="0" w:color="auto"/>
        <w:bottom w:val="none" w:sz="0" w:space="0" w:color="auto"/>
        <w:right w:val="none" w:sz="0" w:space="0" w:color="auto"/>
      </w:divBdr>
    </w:div>
    <w:div w:id="763455566">
      <w:bodyDiv w:val="1"/>
      <w:marLeft w:val="0"/>
      <w:marRight w:val="0"/>
      <w:marTop w:val="0"/>
      <w:marBottom w:val="0"/>
      <w:divBdr>
        <w:top w:val="none" w:sz="0" w:space="0" w:color="auto"/>
        <w:left w:val="none" w:sz="0" w:space="0" w:color="auto"/>
        <w:bottom w:val="none" w:sz="0" w:space="0" w:color="auto"/>
        <w:right w:val="none" w:sz="0" w:space="0" w:color="auto"/>
      </w:divBdr>
    </w:div>
    <w:div w:id="763839566">
      <w:bodyDiv w:val="1"/>
      <w:marLeft w:val="0"/>
      <w:marRight w:val="0"/>
      <w:marTop w:val="0"/>
      <w:marBottom w:val="0"/>
      <w:divBdr>
        <w:top w:val="none" w:sz="0" w:space="0" w:color="auto"/>
        <w:left w:val="none" w:sz="0" w:space="0" w:color="auto"/>
        <w:bottom w:val="none" w:sz="0" w:space="0" w:color="auto"/>
        <w:right w:val="none" w:sz="0" w:space="0" w:color="auto"/>
      </w:divBdr>
    </w:div>
    <w:div w:id="764544552">
      <w:bodyDiv w:val="1"/>
      <w:marLeft w:val="0"/>
      <w:marRight w:val="0"/>
      <w:marTop w:val="0"/>
      <w:marBottom w:val="0"/>
      <w:divBdr>
        <w:top w:val="none" w:sz="0" w:space="0" w:color="auto"/>
        <w:left w:val="none" w:sz="0" w:space="0" w:color="auto"/>
        <w:bottom w:val="none" w:sz="0" w:space="0" w:color="auto"/>
        <w:right w:val="none" w:sz="0" w:space="0" w:color="auto"/>
      </w:divBdr>
    </w:div>
    <w:div w:id="764693861">
      <w:bodyDiv w:val="1"/>
      <w:marLeft w:val="0"/>
      <w:marRight w:val="0"/>
      <w:marTop w:val="0"/>
      <w:marBottom w:val="0"/>
      <w:divBdr>
        <w:top w:val="none" w:sz="0" w:space="0" w:color="auto"/>
        <w:left w:val="none" w:sz="0" w:space="0" w:color="auto"/>
        <w:bottom w:val="none" w:sz="0" w:space="0" w:color="auto"/>
        <w:right w:val="none" w:sz="0" w:space="0" w:color="auto"/>
      </w:divBdr>
    </w:div>
    <w:div w:id="766265518">
      <w:bodyDiv w:val="1"/>
      <w:marLeft w:val="0"/>
      <w:marRight w:val="0"/>
      <w:marTop w:val="0"/>
      <w:marBottom w:val="0"/>
      <w:divBdr>
        <w:top w:val="none" w:sz="0" w:space="0" w:color="auto"/>
        <w:left w:val="none" w:sz="0" w:space="0" w:color="auto"/>
        <w:bottom w:val="none" w:sz="0" w:space="0" w:color="auto"/>
        <w:right w:val="none" w:sz="0" w:space="0" w:color="auto"/>
      </w:divBdr>
    </w:div>
    <w:div w:id="766510745">
      <w:bodyDiv w:val="1"/>
      <w:marLeft w:val="0"/>
      <w:marRight w:val="0"/>
      <w:marTop w:val="0"/>
      <w:marBottom w:val="0"/>
      <w:divBdr>
        <w:top w:val="none" w:sz="0" w:space="0" w:color="auto"/>
        <w:left w:val="none" w:sz="0" w:space="0" w:color="auto"/>
        <w:bottom w:val="none" w:sz="0" w:space="0" w:color="auto"/>
        <w:right w:val="none" w:sz="0" w:space="0" w:color="auto"/>
      </w:divBdr>
    </w:div>
    <w:div w:id="767384267">
      <w:bodyDiv w:val="1"/>
      <w:marLeft w:val="0"/>
      <w:marRight w:val="0"/>
      <w:marTop w:val="0"/>
      <w:marBottom w:val="0"/>
      <w:divBdr>
        <w:top w:val="none" w:sz="0" w:space="0" w:color="auto"/>
        <w:left w:val="none" w:sz="0" w:space="0" w:color="auto"/>
        <w:bottom w:val="none" w:sz="0" w:space="0" w:color="auto"/>
        <w:right w:val="none" w:sz="0" w:space="0" w:color="auto"/>
      </w:divBdr>
    </w:div>
    <w:div w:id="767777813">
      <w:bodyDiv w:val="1"/>
      <w:marLeft w:val="0"/>
      <w:marRight w:val="0"/>
      <w:marTop w:val="0"/>
      <w:marBottom w:val="0"/>
      <w:divBdr>
        <w:top w:val="none" w:sz="0" w:space="0" w:color="auto"/>
        <w:left w:val="none" w:sz="0" w:space="0" w:color="auto"/>
        <w:bottom w:val="none" w:sz="0" w:space="0" w:color="auto"/>
        <w:right w:val="none" w:sz="0" w:space="0" w:color="auto"/>
      </w:divBdr>
    </w:div>
    <w:div w:id="768281531">
      <w:bodyDiv w:val="1"/>
      <w:marLeft w:val="0"/>
      <w:marRight w:val="0"/>
      <w:marTop w:val="0"/>
      <w:marBottom w:val="0"/>
      <w:divBdr>
        <w:top w:val="none" w:sz="0" w:space="0" w:color="auto"/>
        <w:left w:val="none" w:sz="0" w:space="0" w:color="auto"/>
        <w:bottom w:val="none" w:sz="0" w:space="0" w:color="auto"/>
        <w:right w:val="none" w:sz="0" w:space="0" w:color="auto"/>
      </w:divBdr>
    </w:div>
    <w:div w:id="770777776">
      <w:bodyDiv w:val="1"/>
      <w:marLeft w:val="0"/>
      <w:marRight w:val="0"/>
      <w:marTop w:val="0"/>
      <w:marBottom w:val="0"/>
      <w:divBdr>
        <w:top w:val="none" w:sz="0" w:space="0" w:color="auto"/>
        <w:left w:val="none" w:sz="0" w:space="0" w:color="auto"/>
        <w:bottom w:val="none" w:sz="0" w:space="0" w:color="auto"/>
        <w:right w:val="none" w:sz="0" w:space="0" w:color="auto"/>
      </w:divBdr>
    </w:div>
    <w:div w:id="771128266">
      <w:bodyDiv w:val="1"/>
      <w:marLeft w:val="0"/>
      <w:marRight w:val="0"/>
      <w:marTop w:val="0"/>
      <w:marBottom w:val="0"/>
      <w:divBdr>
        <w:top w:val="none" w:sz="0" w:space="0" w:color="auto"/>
        <w:left w:val="none" w:sz="0" w:space="0" w:color="auto"/>
        <w:bottom w:val="none" w:sz="0" w:space="0" w:color="auto"/>
        <w:right w:val="none" w:sz="0" w:space="0" w:color="auto"/>
      </w:divBdr>
    </w:div>
    <w:div w:id="772435437">
      <w:bodyDiv w:val="1"/>
      <w:marLeft w:val="0"/>
      <w:marRight w:val="0"/>
      <w:marTop w:val="0"/>
      <w:marBottom w:val="0"/>
      <w:divBdr>
        <w:top w:val="none" w:sz="0" w:space="0" w:color="auto"/>
        <w:left w:val="none" w:sz="0" w:space="0" w:color="auto"/>
        <w:bottom w:val="none" w:sz="0" w:space="0" w:color="auto"/>
        <w:right w:val="none" w:sz="0" w:space="0" w:color="auto"/>
      </w:divBdr>
    </w:div>
    <w:div w:id="772936331">
      <w:bodyDiv w:val="1"/>
      <w:marLeft w:val="0"/>
      <w:marRight w:val="0"/>
      <w:marTop w:val="0"/>
      <w:marBottom w:val="0"/>
      <w:divBdr>
        <w:top w:val="none" w:sz="0" w:space="0" w:color="auto"/>
        <w:left w:val="none" w:sz="0" w:space="0" w:color="auto"/>
        <w:bottom w:val="none" w:sz="0" w:space="0" w:color="auto"/>
        <w:right w:val="none" w:sz="0" w:space="0" w:color="auto"/>
      </w:divBdr>
    </w:div>
    <w:div w:id="774519236">
      <w:bodyDiv w:val="1"/>
      <w:marLeft w:val="0"/>
      <w:marRight w:val="0"/>
      <w:marTop w:val="0"/>
      <w:marBottom w:val="0"/>
      <w:divBdr>
        <w:top w:val="none" w:sz="0" w:space="0" w:color="auto"/>
        <w:left w:val="none" w:sz="0" w:space="0" w:color="auto"/>
        <w:bottom w:val="none" w:sz="0" w:space="0" w:color="auto"/>
        <w:right w:val="none" w:sz="0" w:space="0" w:color="auto"/>
      </w:divBdr>
    </w:div>
    <w:div w:id="774642899">
      <w:bodyDiv w:val="1"/>
      <w:marLeft w:val="0"/>
      <w:marRight w:val="0"/>
      <w:marTop w:val="0"/>
      <w:marBottom w:val="0"/>
      <w:divBdr>
        <w:top w:val="none" w:sz="0" w:space="0" w:color="auto"/>
        <w:left w:val="none" w:sz="0" w:space="0" w:color="auto"/>
        <w:bottom w:val="none" w:sz="0" w:space="0" w:color="auto"/>
        <w:right w:val="none" w:sz="0" w:space="0" w:color="auto"/>
      </w:divBdr>
    </w:div>
    <w:div w:id="777525760">
      <w:bodyDiv w:val="1"/>
      <w:marLeft w:val="0"/>
      <w:marRight w:val="0"/>
      <w:marTop w:val="0"/>
      <w:marBottom w:val="0"/>
      <w:divBdr>
        <w:top w:val="none" w:sz="0" w:space="0" w:color="auto"/>
        <w:left w:val="none" w:sz="0" w:space="0" w:color="auto"/>
        <w:bottom w:val="none" w:sz="0" w:space="0" w:color="auto"/>
        <w:right w:val="none" w:sz="0" w:space="0" w:color="auto"/>
      </w:divBdr>
      <w:divsChild>
        <w:div w:id="1362979428">
          <w:marLeft w:val="0"/>
          <w:marRight w:val="0"/>
          <w:marTop w:val="0"/>
          <w:marBottom w:val="0"/>
          <w:divBdr>
            <w:top w:val="none" w:sz="0" w:space="0" w:color="auto"/>
            <w:left w:val="none" w:sz="0" w:space="0" w:color="auto"/>
            <w:bottom w:val="none" w:sz="0" w:space="0" w:color="auto"/>
            <w:right w:val="none" w:sz="0" w:space="0" w:color="auto"/>
          </w:divBdr>
          <w:divsChild>
            <w:div w:id="407389244">
              <w:marLeft w:val="0"/>
              <w:marRight w:val="0"/>
              <w:marTop w:val="0"/>
              <w:marBottom w:val="0"/>
              <w:divBdr>
                <w:top w:val="none" w:sz="0" w:space="0" w:color="auto"/>
                <w:left w:val="none" w:sz="0" w:space="0" w:color="auto"/>
                <w:bottom w:val="none" w:sz="0" w:space="0" w:color="auto"/>
                <w:right w:val="none" w:sz="0" w:space="0" w:color="auto"/>
              </w:divBdr>
              <w:divsChild>
                <w:div w:id="2098745240">
                  <w:marLeft w:val="0"/>
                  <w:marRight w:val="0"/>
                  <w:marTop w:val="0"/>
                  <w:marBottom w:val="0"/>
                  <w:divBdr>
                    <w:top w:val="none" w:sz="0" w:space="0" w:color="auto"/>
                    <w:left w:val="none" w:sz="0" w:space="0" w:color="auto"/>
                    <w:bottom w:val="none" w:sz="0" w:space="0" w:color="auto"/>
                    <w:right w:val="none" w:sz="0" w:space="0" w:color="auto"/>
                  </w:divBdr>
                  <w:divsChild>
                    <w:div w:id="966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75029">
      <w:bodyDiv w:val="1"/>
      <w:marLeft w:val="0"/>
      <w:marRight w:val="0"/>
      <w:marTop w:val="0"/>
      <w:marBottom w:val="0"/>
      <w:divBdr>
        <w:top w:val="none" w:sz="0" w:space="0" w:color="auto"/>
        <w:left w:val="none" w:sz="0" w:space="0" w:color="auto"/>
        <w:bottom w:val="none" w:sz="0" w:space="0" w:color="auto"/>
        <w:right w:val="none" w:sz="0" w:space="0" w:color="auto"/>
      </w:divBdr>
    </w:div>
    <w:div w:id="782111702">
      <w:bodyDiv w:val="1"/>
      <w:marLeft w:val="0"/>
      <w:marRight w:val="0"/>
      <w:marTop w:val="0"/>
      <w:marBottom w:val="0"/>
      <w:divBdr>
        <w:top w:val="none" w:sz="0" w:space="0" w:color="auto"/>
        <w:left w:val="none" w:sz="0" w:space="0" w:color="auto"/>
        <w:bottom w:val="none" w:sz="0" w:space="0" w:color="auto"/>
        <w:right w:val="none" w:sz="0" w:space="0" w:color="auto"/>
      </w:divBdr>
    </w:div>
    <w:div w:id="782500587">
      <w:bodyDiv w:val="1"/>
      <w:marLeft w:val="0"/>
      <w:marRight w:val="0"/>
      <w:marTop w:val="0"/>
      <w:marBottom w:val="0"/>
      <w:divBdr>
        <w:top w:val="none" w:sz="0" w:space="0" w:color="auto"/>
        <w:left w:val="none" w:sz="0" w:space="0" w:color="auto"/>
        <w:bottom w:val="none" w:sz="0" w:space="0" w:color="auto"/>
        <w:right w:val="none" w:sz="0" w:space="0" w:color="auto"/>
      </w:divBdr>
    </w:div>
    <w:div w:id="782572360">
      <w:bodyDiv w:val="1"/>
      <w:marLeft w:val="0"/>
      <w:marRight w:val="0"/>
      <w:marTop w:val="0"/>
      <w:marBottom w:val="0"/>
      <w:divBdr>
        <w:top w:val="none" w:sz="0" w:space="0" w:color="auto"/>
        <w:left w:val="none" w:sz="0" w:space="0" w:color="auto"/>
        <w:bottom w:val="none" w:sz="0" w:space="0" w:color="auto"/>
        <w:right w:val="none" w:sz="0" w:space="0" w:color="auto"/>
      </w:divBdr>
    </w:div>
    <w:div w:id="782774806">
      <w:bodyDiv w:val="1"/>
      <w:marLeft w:val="0"/>
      <w:marRight w:val="0"/>
      <w:marTop w:val="0"/>
      <w:marBottom w:val="0"/>
      <w:divBdr>
        <w:top w:val="none" w:sz="0" w:space="0" w:color="auto"/>
        <w:left w:val="none" w:sz="0" w:space="0" w:color="auto"/>
        <w:bottom w:val="none" w:sz="0" w:space="0" w:color="auto"/>
        <w:right w:val="none" w:sz="0" w:space="0" w:color="auto"/>
      </w:divBdr>
    </w:div>
    <w:div w:id="784471915">
      <w:bodyDiv w:val="1"/>
      <w:marLeft w:val="0"/>
      <w:marRight w:val="0"/>
      <w:marTop w:val="0"/>
      <w:marBottom w:val="0"/>
      <w:divBdr>
        <w:top w:val="none" w:sz="0" w:space="0" w:color="auto"/>
        <w:left w:val="none" w:sz="0" w:space="0" w:color="auto"/>
        <w:bottom w:val="none" w:sz="0" w:space="0" w:color="auto"/>
        <w:right w:val="none" w:sz="0" w:space="0" w:color="auto"/>
      </w:divBdr>
    </w:div>
    <w:div w:id="785393909">
      <w:bodyDiv w:val="1"/>
      <w:marLeft w:val="0"/>
      <w:marRight w:val="0"/>
      <w:marTop w:val="0"/>
      <w:marBottom w:val="0"/>
      <w:divBdr>
        <w:top w:val="none" w:sz="0" w:space="0" w:color="auto"/>
        <w:left w:val="none" w:sz="0" w:space="0" w:color="auto"/>
        <w:bottom w:val="none" w:sz="0" w:space="0" w:color="auto"/>
        <w:right w:val="none" w:sz="0" w:space="0" w:color="auto"/>
      </w:divBdr>
    </w:div>
    <w:div w:id="785394087">
      <w:bodyDiv w:val="1"/>
      <w:marLeft w:val="0"/>
      <w:marRight w:val="0"/>
      <w:marTop w:val="0"/>
      <w:marBottom w:val="0"/>
      <w:divBdr>
        <w:top w:val="none" w:sz="0" w:space="0" w:color="auto"/>
        <w:left w:val="none" w:sz="0" w:space="0" w:color="auto"/>
        <w:bottom w:val="none" w:sz="0" w:space="0" w:color="auto"/>
        <w:right w:val="none" w:sz="0" w:space="0" w:color="auto"/>
      </w:divBdr>
    </w:div>
    <w:div w:id="787162595">
      <w:bodyDiv w:val="1"/>
      <w:marLeft w:val="0"/>
      <w:marRight w:val="0"/>
      <w:marTop w:val="0"/>
      <w:marBottom w:val="0"/>
      <w:divBdr>
        <w:top w:val="none" w:sz="0" w:space="0" w:color="auto"/>
        <w:left w:val="none" w:sz="0" w:space="0" w:color="auto"/>
        <w:bottom w:val="none" w:sz="0" w:space="0" w:color="auto"/>
        <w:right w:val="none" w:sz="0" w:space="0" w:color="auto"/>
      </w:divBdr>
    </w:div>
    <w:div w:id="787310341">
      <w:bodyDiv w:val="1"/>
      <w:marLeft w:val="0"/>
      <w:marRight w:val="0"/>
      <w:marTop w:val="0"/>
      <w:marBottom w:val="0"/>
      <w:divBdr>
        <w:top w:val="none" w:sz="0" w:space="0" w:color="auto"/>
        <w:left w:val="none" w:sz="0" w:space="0" w:color="auto"/>
        <w:bottom w:val="none" w:sz="0" w:space="0" w:color="auto"/>
        <w:right w:val="none" w:sz="0" w:space="0" w:color="auto"/>
      </w:divBdr>
    </w:div>
    <w:div w:id="787504408">
      <w:bodyDiv w:val="1"/>
      <w:marLeft w:val="0"/>
      <w:marRight w:val="0"/>
      <w:marTop w:val="0"/>
      <w:marBottom w:val="0"/>
      <w:divBdr>
        <w:top w:val="none" w:sz="0" w:space="0" w:color="auto"/>
        <w:left w:val="none" w:sz="0" w:space="0" w:color="auto"/>
        <w:bottom w:val="none" w:sz="0" w:space="0" w:color="auto"/>
        <w:right w:val="none" w:sz="0" w:space="0" w:color="auto"/>
      </w:divBdr>
    </w:div>
    <w:div w:id="789007805">
      <w:bodyDiv w:val="1"/>
      <w:marLeft w:val="0"/>
      <w:marRight w:val="0"/>
      <w:marTop w:val="0"/>
      <w:marBottom w:val="0"/>
      <w:divBdr>
        <w:top w:val="none" w:sz="0" w:space="0" w:color="auto"/>
        <w:left w:val="none" w:sz="0" w:space="0" w:color="auto"/>
        <w:bottom w:val="none" w:sz="0" w:space="0" w:color="auto"/>
        <w:right w:val="none" w:sz="0" w:space="0" w:color="auto"/>
      </w:divBdr>
    </w:div>
    <w:div w:id="790440277">
      <w:bodyDiv w:val="1"/>
      <w:marLeft w:val="0"/>
      <w:marRight w:val="0"/>
      <w:marTop w:val="0"/>
      <w:marBottom w:val="0"/>
      <w:divBdr>
        <w:top w:val="none" w:sz="0" w:space="0" w:color="auto"/>
        <w:left w:val="none" w:sz="0" w:space="0" w:color="auto"/>
        <w:bottom w:val="none" w:sz="0" w:space="0" w:color="auto"/>
        <w:right w:val="none" w:sz="0" w:space="0" w:color="auto"/>
      </w:divBdr>
    </w:div>
    <w:div w:id="790788171">
      <w:bodyDiv w:val="1"/>
      <w:marLeft w:val="0"/>
      <w:marRight w:val="0"/>
      <w:marTop w:val="0"/>
      <w:marBottom w:val="0"/>
      <w:divBdr>
        <w:top w:val="none" w:sz="0" w:space="0" w:color="auto"/>
        <w:left w:val="none" w:sz="0" w:space="0" w:color="auto"/>
        <w:bottom w:val="none" w:sz="0" w:space="0" w:color="auto"/>
        <w:right w:val="none" w:sz="0" w:space="0" w:color="auto"/>
      </w:divBdr>
    </w:div>
    <w:div w:id="793645166">
      <w:bodyDiv w:val="1"/>
      <w:marLeft w:val="0"/>
      <w:marRight w:val="0"/>
      <w:marTop w:val="0"/>
      <w:marBottom w:val="0"/>
      <w:divBdr>
        <w:top w:val="none" w:sz="0" w:space="0" w:color="auto"/>
        <w:left w:val="none" w:sz="0" w:space="0" w:color="auto"/>
        <w:bottom w:val="none" w:sz="0" w:space="0" w:color="auto"/>
        <w:right w:val="none" w:sz="0" w:space="0" w:color="auto"/>
      </w:divBdr>
    </w:div>
    <w:div w:id="794520185">
      <w:bodyDiv w:val="1"/>
      <w:marLeft w:val="0"/>
      <w:marRight w:val="0"/>
      <w:marTop w:val="0"/>
      <w:marBottom w:val="0"/>
      <w:divBdr>
        <w:top w:val="none" w:sz="0" w:space="0" w:color="auto"/>
        <w:left w:val="none" w:sz="0" w:space="0" w:color="auto"/>
        <w:bottom w:val="none" w:sz="0" w:space="0" w:color="auto"/>
        <w:right w:val="none" w:sz="0" w:space="0" w:color="auto"/>
      </w:divBdr>
    </w:div>
    <w:div w:id="794717287">
      <w:bodyDiv w:val="1"/>
      <w:marLeft w:val="0"/>
      <w:marRight w:val="0"/>
      <w:marTop w:val="0"/>
      <w:marBottom w:val="0"/>
      <w:divBdr>
        <w:top w:val="none" w:sz="0" w:space="0" w:color="auto"/>
        <w:left w:val="none" w:sz="0" w:space="0" w:color="auto"/>
        <w:bottom w:val="none" w:sz="0" w:space="0" w:color="auto"/>
        <w:right w:val="none" w:sz="0" w:space="0" w:color="auto"/>
      </w:divBdr>
    </w:div>
    <w:div w:id="795174171">
      <w:bodyDiv w:val="1"/>
      <w:marLeft w:val="0"/>
      <w:marRight w:val="0"/>
      <w:marTop w:val="0"/>
      <w:marBottom w:val="0"/>
      <w:divBdr>
        <w:top w:val="none" w:sz="0" w:space="0" w:color="auto"/>
        <w:left w:val="none" w:sz="0" w:space="0" w:color="auto"/>
        <w:bottom w:val="none" w:sz="0" w:space="0" w:color="auto"/>
        <w:right w:val="none" w:sz="0" w:space="0" w:color="auto"/>
      </w:divBdr>
    </w:div>
    <w:div w:id="795413483">
      <w:bodyDiv w:val="1"/>
      <w:marLeft w:val="0"/>
      <w:marRight w:val="0"/>
      <w:marTop w:val="0"/>
      <w:marBottom w:val="0"/>
      <w:divBdr>
        <w:top w:val="none" w:sz="0" w:space="0" w:color="auto"/>
        <w:left w:val="none" w:sz="0" w:space="0" w:color="auto"/>
        <w:bottom w:val="none" w:sz="0" w:space="0" w:color="auto"/>
        <w:right w:val="none" w:sz="0" w:space="0" w:color="auto"/>
      </w:divBdr>
    </w:div>
    <w:div w:id="796222267">
      <w:bodyDiv w:val="1"/>
      <w:marLeft w:val="0"/>
      <w:marRight w:val="0"/>
      <w:marTop w:val="0"/>
      <w:marBottom w:val="0"/>
      <w:divBdr>
        <w:top w:val="none" w:sz="0" w:space="0" w:color="auto"/>
        <w:left w:val="none" w:sz="0" w:space="0" w:color="auto"/>
        <w:bottom w:val="none" w:sz="0" w:space="0" w:color="auto"/>
        <w:right w:val="none" w:sz="0" w:space="0" w:color="auto"/>
      </w:divBdr>
    </w:div>
    <w:div w:id="798844249">
      <w:bodyDiv w:val="1"/>
      <w:marLeft w:val="0"/>
      <w:marRight w:val="0"/>
      <w:marTop w:val="0"/>
      <w:marBottom w:val="0"/>
      <w:divBdr>
        <w:top w:val="none" w:sz="0" w:space="0" w:color="auto"/>
        <w:left w:val="none" w:sz="0" w:space="0" w:color="auto"/>
        <w:bottom w:val="none" w:sz="0" w:space="0" w:color="auto"/>
        <w:right w:val="none" w:sz="0" w:space="0" w:color="auto"/>
      </w:divBdr>
    </w:div>
    <w:div w:id="800000208">
      <w:bodyDiv w:val="1"/>
      <w:marLeft w:val="0"/>
      <w:marRight w:val="0"/>
      <w:marTop w:val="0"/>
      <w:marBottom w:val="0"/>
      <w:divBdr>
        <w:top w:val="none" w:sz="0" w:space="0" w:color="auto"/>
        <w:left w:val="none" w:sz="0" w:space="0" w:color="auto"/>
        <w:bottom w:val="none" w:sz="0" w:space="0" w:color="auto"/>
        <w:right w:val="none" w:sz="0" w:space="0" w:color="auto"/>
      </w:divBdr>
    </w:div>
    <w:div w:id="800224543">
      <w:bodyDiv w:val="1"/>
      <w:marLeft w:val="0"/>
      <w:marRight w:val="0"/>
      <w:marTop w:val="0"/>
      <w:marBottom w:val="0"/>
      <w:divBdr>
        <w:top w:val="none" w:sz="0" w:space="0" w:color="auto"/>
        <w:left w:val="none" w:sz="0" w:space="0" w:color="auto"/>
        <w:bottom w:val="none" w:sz="0" w:space="0" w:color="auto"/>
        <w:right w:val="none" w:sz="0" w:space="0" w:color="auto"/>
      </w:divBdr>
    </w:div>
    <w:div w:id="800877584">
      <w:bodyDiv w:val="1"/>
      <w:marLeft w:val="0"/>
      <w:marRight w:val="0"/>
      <w:marTop w:val="0"/>
      <w:marBottom w:val="0"/>
      <w:divBdr>
        <w:top w:val="none" w:sz="0" w:space="0" w:color="auto"/>
        <w:left w:val="none" w:sz="0" w:space="0" w:color="auto"/>
        <w:bottom w:val="none" w:sz="0" w:space="0" w:color="auto"/>
        <w:right w:val="none" w:sz="0" w:space="0" w:color="auto"/>
      </w:divBdr>
    </w:div>
    <w:div w:id="804280320">
      <w:bodyDiv w:val="1"/>
      <w:marLeft w:val="0"/>
      <w:marRight w:val="0"/>
      <w:marTop w:val="0"/>
      <w:marBottom w:val="0"/>
      <w:divBdr>
        <w:top w:val="none" w:sz="0" w:space="0" w:color="auto"/>
        <w:left w:val="none" w:sz="0" w:space="0" w:color="auto"/>
        <w:bottom w:val="none" w:sz="0" w:space="0" w:color="auto"/>
        <w:right w:val="none" w:sz="0" w:space="0" w:color="auto"/>
      </w:divBdr>
    </w:div>
    <w:div w:id="805968370">
      <w:bodyDiv w:val="1"/>
      <w:marLeft w:val="0"/>
      <w:marRight w:val="0"/>
      <w:marTop w:val="0"/>
      <w:marBottom w:val="0"/>
      <w:divBdr>
        <w:top w:val="none" w:sz="0" w:space="0" w:color="auto"/>
        <w:left w:val="none" w:sz="0" w:space="0" w:color="auto"/>
        <w:bottom w:val="none" w:sz="0" w:space="0" w:color="auto"/>
        <w:right w:val="none" w:sz="0" w:space="0" w:color="auto"/>
      </w:divBdr>
    </w:div>
    <w:div w:id="806360605">
      <w:bodyDiv w:val="1"/>
      <w:marLeft w:val="0"/>
      <w:marRight w:val="0"/>
      <w:marTop w:val="0"/>
      <w:marBottom w:val="0"/>
      <w:divBdr>
        <w:top w:val="none" w:sz="0" w:space="0" w:color="auto"/>
        <w:left w:val="none" w:sz="0" w:space="0" w:color="auto"/>
        <w:bottom w:val="none" w:sz="0" w:space="0" w:color="auto"/>
        <w:right w:val="none" w:sz="0" w:space="0" w:color="auto"/>
      </w:divBdr>
    </w:div>
    <w:div w:id="806776564">
      <w:bodyDiv w:val="1"/>
      <w:marLeft w:val="0"/>
      <w:marRight w:val="0"/>
      <w:marTop w:val="0"/>
      <w:marBottom w:val="0"/>
      <w:divBdr>
        <w:top w:val="none" w:sz="0" w:space="0" w:color="auto"/>
        <w:left w:val="none" w:sz="0" w:space="0" w:color="auto"/>
        <w:bottom w:val="none" w:sz="0" w:space="0" w:color="auto"/>
        <w:right w:val="none" w:sz="0" w:space="0" w:color="auto"/>
      </w:divBdr>
    </w:div>
    <w:div w:id="807085842">
      <w:bodyDiv w:val="1"/>
      <w:marLeft w:val="0"/>
      <w:marRight w:val="0"/>
      <w:marTop w:val="0"/>
      <w:marBottom w:val="0"/>
      <w:divBdr>
        <w:top w:val="none" w:sz="0" w:space="0" w:color="auto"/>
        <w:left w:val="none" w:sz="0" w:space="0" w:color="auto"/>
        <w:bottom w:val="none" w:sz="0" w:space="0" w:color="auto"/>
        <w:right w:val="none" w:sz="0" w:space="0" w:color="auto"/>
      </w:divBdr>
    </w:div>
    <w:div w:id="807476746">
      <w:bodyDiv w:val="1"/>
      <w:marLeft w:val="0"/>
      <w:marRight w:val="0"/>
      <w:marTop w:val="0"/>
      <w:marBottom w:val="0"/>
      <w:divBdr>
        <w:top w:val="none" w:sz="0" w:space="0" w:color="auto"/>
        <w:left w:val="none" w:sz="0" w:space="0" w:color="auto"/>
        <w:bottom w:val="none" w:sz="0" w:space="0" w:color="auto"/>
        <w:right w:val="none" w:sz="0" w:space="0" w:color="auto"/>
      </w:divBdr>
    </w:div>
    <w:div w:id="808398472">
      <w:bodyDiv w:val="1"/>
      <w:marLeft w:val="0"/>
      <w:marRight w:val="0"/>
      <w:marTop w:val="0"/>
      <w:marBottom w:val="0"/>
      <w:divBdr>
        <w:top w:val="none" w:sz="0" w:space="0" w:color="auto"/>
        <w:left w:val="none" w:sz="0" w:space="0" w:color="auto"/>
        <w:bottom w:val="none" w:sz="0" w:space="0" w:color="auto"/>
        <w:right w:val="none" w:sz="0" w:space="0" w:color="auto"/>
      </w:divBdr>
    </w:div>
    <w:div w:id="809715351">
      <w:bodyDiv w:val="1"/>
      <w:marLeft w:val="0"/>
      <w:marRight w:val="0"/>
      <w:marTop w:val="0"/>
      <w:marBottom w:val="0"/>
      <w:divBdr>
        <w:top w:val="none" w:sz="0" w:space="0" w:color="auto"/>
        <w:left w:val="none" w:sz="0" w:space="0" w:color="auto"/>
        <w:bottom w:val="none" w:sz="0" w:space="0" w:color="auto"/>
        <w:right w:val="none" w:sz="0" w:space="0" w:color="auto"/>
      </w:divBdr>
    </w:div>
    <w:div w:id="809789498">
      <w:bodyDiv w:val="1"/>
      <w:marLeft w:val="0"/>
      <w:marRight w:val="0"/>
      <w:marTop w:val="0"/>
      <w:marBottom w:val="0"/>
      <w:divBdr>
        <w:top w:val="none" w:sz="0" w:space="0" w:color="auto"/>
        <w:left w:val="none" w:sz="0" w:space="0" w:color="auto"/>
        <w:bottom w:val="none" w:sz="0" w:space="0" w:color="auto"/>
        <w:right w:val="none" w:sz="0" w:space="0" w:color="auto"/>
      </w:divBdr>
    </w:div>
    <w:div w:id="810907557">
      <w:bodyDiv w:val="1"/>
      <w:marLeft w:val="0"/>
      <w:marRight w:val="0"/>
      <w:marTop w:val="0"/>
      <w:marBottom w:val="0"/>
      <w:divBdr>
        <w:top w:val="none" w:sz="0" w:space="0" w:color="auto"/>
        <w:left w:val="none" w:sz="0" w:space="0" w:color="auto"/>
        <w:bottom w:val="none" w:sz="0" w:space="0" w:color="auto"/>
        <w:right w:val="none" w:sz="0" w:space="0" w:color="auto"/>
      </w:divBdr>
    </w:div>
    <w:div w:id="811169701">
      <w:bodyDiv w:val="1"/>
      <w:marLeft w:val="0"/>
      <w:marRight w:val="0"/>
      <w:marTop w:val="0"/>
      <w:marBottom w:val="0"/>
      <w:divBdr>
        <w:top w:val="none" w:sz="0" w:space="0" w:color="auto"/>
        <w:left w:val="none" w:sz="0" w:space="0" w:color="auto"/>
        <w:bottom w:val="none" w:sz="0" w:space="0" w:color="auto"/>
        <w:right w:val="none" w:sz="0" w:space="0" w:color="auto"/>
      </w:divBdr>
    </w:div>
    <w:div w:id="812678097">
      <w:bodyDiv w:val="1"/>
      <w:marLeft w:val="0"/>
      <w:marRight w:val="0"/>
      <w:marTop w:val="0"/>
      <w:marBottom w:val="0"/>
      <w:divBdr>
        <w:top w:val="none" w:sz="0" w:space="0" w:color="auto"/>
        <w:left w:val="none" w:sz="0" w:space="0" w:color="auto"/>
        <w:bottom w:val="none" w:sz="0" w:space="0" w:color="auto"/>
        <w:right w:val="none" w:sz="0" w:space="0" w:color="auto"/>
      </w:divBdr>
    </w:div>
    <w:div w:id="813907707">
      <w:bodyDiv w:val="1"/>
      <w:marLeft w:val="0"/>
      <w:marRight w:val="0"/>
      <w:marTop w:val="0"/>
      <w:marBottom w:val="0"/>
      <w:divBdr>
        <w:top w:val="none" w:sz="0" w:space="0" w:color="auto"/>
        <w:left w:val="none" w:sz="0" w:space="0" w:color="auto"/>
        <w:bottom w:val="none" w:sz="0" w:space="0" w:color="auto"/>
        <w:right w:val="none" w:sz="0" w:space="0" w:color="auto"/>
      </w:divBdr>
    </w:div>
    <w:div w:id="815142792">
      <w:bodyDiv w:val="1"/>
      <w:marLeft w:val="0"/>
      <w:marRight w:val="0"/>
      <w:marTop w:val="0"/>
      <w:marBottom w:val="0"/>
      <w:divBdr>
        <w:top w:val="none" w:sz="0" w:space="0" w:color="auto"/>
        <w:left w:val="none" w:sz="0" w:space="0" w:color="auto"/>
        <w:bottom w:val="none" w:sz="0" w:space="0" w:color="auto"/>
        <w:right w:val="none" w:sz="0" w:space="0" w:color="auto"/>
      </w:divBdr>
    </w:div>
    <w:div w:id="815755467">
      <w:bodyDiv w:val="1"/>
      <w:marLeft w:val="0"/>
      <w:marRight w:val="0"/>
      <w:marTop w:val="0"/>
      <w:marBottom w:val="0"/>
      <w:divBdr>
        <w:top w:val="none" w:sz="0" w:space="0" w:color="auto"/>
        <w:left w:val="none" w:sz="0" w:space="0" w:color="auto"/>
        <w:bottom w:val="none" w:sz="0" w:space="0" w:color="auto"/>
        <w:right w:val="none" w:sz="0" w:space="0" w:color="auto"/>
      </w:divBdr>
    </w:div>
    <w:div w:id="816804246">
      <w:bodyDiv w:val="1"/>
      <w:marLeft w:val="0"/>
      <w:marRight w:val="0"/>
      <w:marTop w:val="0"/>
      <w:marBottom w:val="0"/>
      <w:divBdr>
        <w:top w:val="none" w:sz="0" w:space="0" w:color="auto"/>
        <w:left w:val="none" w:sz="0" w:space="0" w:color="auto"/>
        <w:bottom w:val="none" w:sz="0" w:space="0" w:color="auto"/>
        <w:right w:val="none" w:sz="0" w:space="0" w:color="auto"/>
      </w:divBdr>
    </w:div>
    <w:div w:id="816915958">
      <w:bodyDiv w:val="1"/>
      <w:marLeft w:val="0"/>
      <w:marRight w:val="0"/>
      <w:marTop w:val="0"/>
      <w:marBottom w:val="0"/>
      <w:divBdr>
        <w:top w:val="none" w:sz="0" w:space="0" w:color="auto"/>
        <w:left w:val="none" w:sz="0" w:space="0" w:color="auto"/>
        <w:bottom w:val="none" w:sz="0" w:space="0" w:color="auto"/>
        <w:right w:val="none" w:sz="0" w:space="0" w:color="auto"/>
      </w:divBdr>
    </w:div>
    <w:div w:id="817460348">
      <w:bodyDiv w:val="1"/>
      <w:marLeft w:val="0"/>
      <w:marRight w:val="0"/>
      <w:marTop w:val="0"/>
      <w:marBottom w:val="0"/>
      <w:divBdr>
        <w:top w:val="none" w:sz="0" w:space="0" w:color="auto"/>
        <w:left w:val="none" w:sz="0" w:space="0" w:color="auto"/>
        <w:bottom w:val="none" w:sz="0" w:space="0" w:color="auto"/>
        <w:right w:val="none" w:sz="0" w:space="0" w:color="auto"/>
      </w:divBdr>
    </w:div>
    <w:div w:id="817766630">
      <w:bodyDiv w:val="1"/>
      <w:marLeft w:val="0"/>
      <w:marRight w:val="0"/>
      <w:marTop w:val="0"/>
      <w:marBottom w:val="0"/>
      <w:divBdr>
        <w:top w:val="none" w:sz="0" w:space="0" w:color="auto"/>
        <w:left w:val="none" w:sz="0" w:space="0" w:color="auto"/>
        <w:bottom w:val="none" w:sz="0" w:space="0" w:color="auto"/>
        <w:right w:val="none" w:sz="0" w:space="0" w:color="auto"/>
      </w:divBdr>
    </w:div>
    <w:div w:id="817920549">
      <w:bodyDiv w:val="1"/>
      <w:marLeft w:val="0"/>
      <w:marRight w:val="0"/>
      <w:marTop w:val="0"/>
      <w:marBottom w:val="0"/>
      <w:divBdr>
        <w:top w:val="none" w:sz="0" w:space="0" w:color="auto"/>
        <w:left w:val="none" w:sz="0" w:space="0" w:color="auto"/>
        <w:bottom w:val="none" w:sz="0" w:space="0" w:color="auto"/>
        <w:right w:val="none" w:sz="0" w:space="0" w:color="auto"/>
      </w:divBdr>
    </w:div>
    <w:div w:id="818425172">
      <w:bodyDiv w:val="1"/>
      <w:marLeft w:val="0"/>
      <w:marRight w:val="0"/>
      <w:marTop w:val="0"/>
      <w:marBottom w:val="0"/>
      <w:divBdr>
        <w:top w:val="none" w:sz="0" w:space="0" w:color="auto"/>
        <w:left w:val="none" w:sz="0" w:space="0" w:color="auto"/>
        <w:bottom w:val="none" w:sz="0" w:space="0" w:color="auto"/>
        <w:right w:val="none" w:sz="0" w:space="0" w:color="auto"/>
      </w:divBdr>
    </w:div>
    <w:div w:id="818813839">
      <w:bodyDiv w:val="1"/>
      <w:marLeft w:val="0"/>
      <w:marRight w:val="0"/>
      <w:marTop w:val="0"/>
      <w:marBottom w:val="0"/>
      <w:divBdr>
        <w:top w:val="none" w:sz="0" w:space="0" w:color="auto"/>
        <w:left w:val="none" w:sz="0" w:space="0" w:color="auto"/>
        <w:bottom w:val="none" w:sz="0" w:space="0" w:color="auto"/>
        <w:right w:val="none" w:sz="0" w:space="0" w:color="auto"/>
      </w:divBdr>
    </w:div>
    <w:div w:id="822354029">
      <w:bodyDiv w:val="1"/>
      <w:marLeft w:val="0"/>
      <w:marRight w:val="0"/>
      <w:marTop w:val="0"/>
      <w:marBottom w:val="0"/>
      <w:divBdr>
        <w:top w:val="none" w:sz="0" w:space="0" w:color="auto"/>
        <w:left w:val="none" w:sz="0" w:space="0" w:color="auto"/>
        <w:bottom w:val="none" w:sz="0" w:space="0" w:color="auto"/>
        <w:right w:val="none" w:sz="0" w:space="0" w:color="auto"/>
      </w:divBdr>
    </w:div>
    <w:div w:id="822429687">
      <w:bodyDiv w:val="1"/>
      <w:marLeft w:val="0"/>
      <w:marRight w:val="0"/>
      <w:marTop w:val="0"/>
      <w:marBottom w:val="0"/>
      <w:divBdr>
        <w:top w:val="none" w:sz="0" w:space="0" w:color="auto"/>
        <w:left w:val="none" w:sz="0" w:space="0" w:color="auto"/>
        <w:bottom w:val="none" w:sz="0" w:space="0" w:color="auto"/>
        <w:right w:val="none" w:sz="0" w:space="0" w:color="auto"/>
      </w:divBdr>
    </w:div>
    <w:div w:id="822697634">
      <w:bodyDiv w:val="1"/>
      <w:marLeft w:val="0"/>
      <w:marRight w:val="0"/>
      <w:marTop w:val="0"/>
      <w:marBottom w:val="0"/>
      <w:divBdr>
        <w:top w:val="none" w:sz="0" w:space="0" w:color="auto"/>
        <w:left w:val="none" w:sz="0" w:space="0" w:color="auto"/>
        <w:bottom w:val="none" w:sz="0" w:space="0" w:color="auto"/>
        <w:right w:val="none" w:sz="0" w:space="0" w:color="auto"/>
      </w:divBdr>
    </w:div>
    <w:div w:id="824661030">
      <w:bodyDiv w:val="1"/>
      <w:marLeft w:val="0"/>
      <w:marRight w:val="0"/>
      <w:marTop w:val="0"/>
      <w:marBottom w:val="0"/>
      <w:divBdr>
        <w:top w:val="none" w:sz="0" w:space="0" w:color="auto"/>
        <w:left w:val="none" w:sz="0" w:space="0" w:color="auto"/>
        <w:bottom w:val="none" w:sz="0" w:space="0" w:color="auto"/>
        <w:right w:val="none" w:sz="0" w:space="0" w:color="auto"/>
      </w:divBdr>
    </w:div>
    <w:div w:id="824856400">
      <w:bodyDiv w:val="1"/>
      <w:marLeft w:val="0"/>
      <w:marRight w:val="0"/>
      <w:marTop w:val="0"/>
      <w:marBottom w:val="0"/>
      <w:divBdr>
        <w:top w:val="none" w:sz="0" w:space="0" w:color="auto"/>
        <w:left w:val="none" w:sz="0" w:space="0" w:color="auto"/>
        <w:bottom w:val="none" w:sz="0" w:space="0" w:color="auto"/>
        <w:right w:val="none" w:sz="0" w:space="0" w:color="auto"/>
      </w:divBdr>
    </w:div>
    <w:div w:id="828597532">
      <w:bodyDiv w:val="1"/>
      <w:marLeft w:val="0"/>
      <w:marRight w:val="0"/>
      <w:marTop w:val="0"/>
      <w:marBottom w:val="0"/>
      <w:divBdr>
        <w:top w:val="none" w:sz="0" w:space="0" w:color="auto"/>
        <w:left w:val="none" w:sz="0" w:space="0" w:color="auto"/>
        <w:bottom w:val="none" w:sz="0" w:space="0" w:color="auto"/>
        <w:right w:val="none" w:sz="0" w:space="0" w:color="auto"/>
      </w:divBdr>
    </w:div>
    <w:div w:id="828669683">
      <w:bodyDiv w:val="1"/>
      <w:marLeft w:val="0"/>
      <w:marRight w:val="0"/>
      <w:marTop w:val="0"/>
      <w:marBottom w:val="0"/>
      <w:divBdr>
        <w:top w:val="none" w:sz="0" w:space="0" w:color="auto"/>
        <w:left w:val="none" w:sz="0" w:space="0" w:color="auto"/>
        <w:bottom w:val="none" w:sz="0" w:space="0" w:color="auto"/>
        <w:right w:val="none" w:sz="0" w:space="0" w:color="auto"/>
      </w:divBdr>
    </w:div>
    <w:div w:id="828860747">
      <w:bodyDiv w:val="1"/>
      <w:marLeft w:val="0"/>
      <w:marRight w:val="0"/>
      <w:marTop w:val="0"/>
      <w:marBottom w:val="0"/>
      <w:divBdr>
        <w:top w:val="none" w:sz="0" w:space="0" w:color="auto"/>
        <w:left w:val="none" w:sz="0" w:space="0" w:color="auto"/>
        <w:bottom w:val="none" w:sz="0" w:space="0" w:color="auto"/>
        <w:right w:val="none" w:sz="0" w:space="0" w:color="auto"/>
      </w:divBdr>
    </w:div>
    <w:div w:id="828911139">
      <w:bodyDiv w:val="1"/>
      <w:marLeft w:val="0"/>
      <w:marRight w:val="0"/>
      <w:marTop w:val="0"/>
      <w:marBottom w:val="0"/>
      <w:divBdr>
        <w:top w:val="none" w:sz="0" w:space="0" w:color="auto"/>
        <w:left w:val="none" w:sz="0" w:space="0" w:color="auto"/>
        <w:bottom w:val="none" w:sz="0" w:space="0" w:color="auto"/>
        <w:right w:val="none" w:sz="0" w:space="0" w:color="auto"/>
      </w:divBdr>
    </w:div>
    <w:div w:id="830023607">
      <w:bodyDiv w:val="1"/>
      <w:marLeft w:val="0"/>
      <w:marRight w:val="0"/>
      <w:marTop w:val="0"/>
      <w:marBottom w:val="0"/>
      <w:divBdr>
        <w:top w:val="none" w:sz="0" w:space="0" w:color="auto"/>
        <w:left w:val="none" w:sz="0" w:space="0" w:color="auto"/>
        <w:bottom w:val="none" w:sz="0" w:space="0" w:color="auto"/>
        <w:right w:val="none" w:sz="0" w:space="0" w:color="auto"/>
      </w:divBdr>
    </w:div>
    <w:div w:id="830369994">
      <w:bodyDiv w:val="1"/>
      <w:marLeft w:val="0"/>
      <w:marRight w:val="0"/>
      <w:marTop w:val="0"/>
      <w:marBottom w:val="0"/>
      <w:divBdr>
        <w:top w:val="none" w:sz="0" w:space="0" w:color="auto"/>
        <w:left w:val="none" w:sz="0" w:space="0" w:color="auto"/>
        <w:bottom w:val="none" w:sz="0" w:space="0" w:color="auto"/>
        <w:right w:val="none" w:sz="0" w:space="0" w:color="auto"/>
      </w:divBdr>
    </w:div>
    <w:div w:id="830945733">
      <w:bodyDiv w:val="1"/>
      <w:marLeft w:val="0"/>
      <w:marRight w:val="0"/>
      <w:marTop w:val="0"/>
      <w:marBottom w:val="0"/>
      <w:divBdr>
        <w:top w:val="none" w:sz="0" w:space="0" w:color="auto"/>
        <w:left w:val="none" w:sz="0" w:space="0" w:color="auto"/>
        <w:bottom w:val="none" w:sz="0" w:space="0" w:color="auto"/>
        <w:right w:val="none" w:sz="0" w:space="0" w:color="auto"/>
      </w:divBdr>
    </w:div>
    <w:div w:id="831065482">
      <w:bodyDiv w:val="1"/>
      <w:marLeft w:val="0"/>
      <w:marRight w:val="0"/>
      <w:marTop w:val="0"/>
      <w:marBottom w:val="0"/>
      <w:divBdr>
        <w:top w:val="none" w:sz="0" w:space="0" w:color="auto"/>
        <w:left w:val="none" w:sz="0" w:space="0" w:color="auto"/>
        <w:bottom w:val="none" w:sz="0" w:space="0" w:color="auto"/>
        <w:right w:val="none" w:sz="0" w:space="0" w:color="auto"/>
      </w:divBdr>
    </w:div>
    <w:div w:id="832255450">
      <w:bodyDiv w:val="1"/>
      <w:marLeft w:val="0"/>
      <w:marRight w:val="0"/>
      <w:marTop w:val="0"/>
      <w:marBottom w:val="0"/>
      <w:divBdr>
        <w:top w:val="none" w:sz="0" w:space="0" w:color="auto"/>
        <w:left w:val="none" w:sz="0" w:space="0" w:color="auto"/>
        <w:bottom w:val="none" w:sz="0" w:space="0" w:color="auto"/>
        <w:right w:val="none" w:sz="0" w:space="0" w:color="auto"/>
      </w:divBdr>
    </w:div>
    <w:div w:id="832373808">
      <w:bodyDiv w:val="1"/>
      <w:marLeft w:val="0"/>
      <w:marRight w:val="0"/>
      <w:marTop w:val="0"/>
      <w:marBottom w:val="0"/>
      <w:divBdr>
        <w:top w:val="none" w:sz="0" w:space="0" w:color="auto"/>
        <w:left w:val="none" w:sz="0" w:space="0" w:color="auto"/>
        <w:bottom w:val="none" w:sz="0" w:space="0" w:color="auto"/>
        <w:right w:val="none" w:sz="0" w:space="0" w:color="auto"/>
      </w:divBdr>
    </w:div>
    <w:div w:id="835878653">
      <w:bodyDiv w:val="1"/>
      <w:marLeft w:val="0"/>
      <w:marRight w:val="0"/>
      <w:marTop w:val="0"/>
      <w:marBottom w:val="0"/>
      <w:divBdr>
        <w:top w:val="none" w:sz="0" w:space="0" w:color="auto"/>
        <w:left w:val="none" w:sz="0" w:space="0" w:color="auto"/>
        <w:bottom w:val="none" w:sz="0" w:space="0" w:color="auto"/>
        <w:right w:val="none" w:sz="0" w:space="0" w:color="auto"/>
      </w:divBdr>
    </w:div>
    <w:div w:id="836118970">
      <w:bodyDiv w:val="1"/>
      <w:marLeft w:val="0"/>
      <w:marRight w:val="0"/>
      <w:marTop w:val="0"/>
      <w:marBottom w:val="0"/>
      <w:divBdr>
        <w:top w:val="none" w:sz="0" w:space="0" w:color="auto"/>
        <w:left w:val="none" w:sz="0" w:space="0" w:color="auto"/>
        <w:bottom w:val="none" w:sz="0" w:space="0" w:color="auto"/>
        <w:right w:val="none" w:sz="0" w:space="0" w:color="auto"/>
      </w:divBdr>
    </w:div>
    <w:div w:id="837034512">
      <w:bodyDiv w:val="1"/>
      <w:marLeft w:val="0"/>
      <w:marRight w:val="0"/>
      <w:marTop w:val="0"/>
      <w:marBottom w:val="0"/>
      <w:divBdr>
        <w:top w:val="none" w:sz="0" w:space="0" w:color="auto"/>
        <w:left w:val="none" w:sz="0" w:space="0" w:color="auto"/>
        <w:bottom w:val="none" w:sz="0" w:space="0" w:color="auto"/>
        <w:right w:val="none" w:sz="0" w:space="0" w:color="auto"/>
      </w:divBdr>
    </w:div>
    <w:div w:id="837695438">
      <w:bodyDiv w:val="1"/>
      <w:marLeft w:val="0"/>
      <w:marRight w:val="0"/>
      <w:marTop w:val="0"/>
      <w:marBottom w:val="0"/>
      <w:divBdr>
        <w:top w:val="none" w:sz="0" w:space="0" w:color="auto"/>
        <w:left w:val="none" w:sz="0" w:space="0" w:color="auto"/>
        <w:bottom w:val="none" w:sz="0" w:space="0" w:color="auto"/>
        <w:right w:val="none" w:sz="0" w:space="0" w:color="auto"/>
      </w:divBdr>
    </w:div>
    <w:div w:id="837889967">
      <w:bodyDiv w:val="1"/>
      <w:marLeft w:val="0"/>
      <w:marRight w:val="0"/>
      <w:marTop w:val="0"/>
      <w:marBottom w:val="0"/>
      <w:divBdr>
        <w:top w:val="none" w:sz="0" w:space="0" w:color="auto"/>
        <w:left w:val="none" w:sz="0" w:space="0" w:color="auto"/>
        <w:bottom w:val="none" w:sz="0" w:space="0" w:color="auto"/>
        <w:right w:val="none" w:sz="0" w:space="0" w:color="auto"/>
      </w:divBdr>
    </w:div>
    <w:div w:id="838276685">
      <w:bodyDiv w:val="1"/>
      <w:marLeft w:val="0"/>
      <w:marRight w:val="0"/>
      <w:marTop w:val="0"/>
      <w:marBottom w:val="0"/>
      <w:divBdr>
        <w:top w:val="none" w:sz="0" w:space="0" w:color="auto"/>
        <w:left w:val="none" w:sz="0" w:space="0" w:color="auto"/>
        <w:bottom w:val="none" w:sz="0" w:space="0" w:color="auto"/>
        <w:right w:val="none" w:sz="0" w:space="0" w:color="auto"/>
      </w:divBdr>
    </w:div>
    <w:div w:id="839349101">
      <w:bodyDiv w:val="1"/>
      <w:marLeft w:val="0"/>
      <w:marRight w:val="0"/>
      <w:marTop w:val="0"/>
      <w:marBottom w:val="0"/>
      <w:divBdr>
        <w:top w:val="none" w:sz="0" w:space="0" w:color="auto"/>
        <w:left w:val="none" w:sz="0" w:space="0" w:color="auto"/>
        <w:bottom w:val="none" w:sz="0" w:space="0" w:color="auto"/>
        <w:right w:val="none" w:sz="0" w:space="0" w:color="auto"/>
      </w:divBdr>
    </w:div>
    <w:div w:id="841310132">
      <w:bodyDiv w:val="1"/>
      <w:marLeft w:val="0"/>
      <w:marRight w:val="0"/>
      <w:marTop w:val="0"/>
      <w:marBottom w:val="0"/>
      <w:divBdr>
        <w:top w:val="none" w:sz="0" w:space="0" w:color="auto"/>
        <w:left w:val="none" w:sz="0" w:space="0" w:color="auto"/>
        <w:bottom w:val="none" w:sz="0" w:space="0" w:color="auto"/>
        <w:right w:val="none" w:sz="0" w:space="0" w:color="auto"/>
      </w:divBdr>
    </w:div>
    <w:div w:id="841506656">
      <w:bodyDiv w:val="1"/>
      <w:marLeft w:val="0"/>
      <w:marRight w:val="0"/>
      <w:marTop w:val="0"/>
      <w:marBottom w:val="0"/>
      <w:divBdr>
        <w:top w:val="none" w:sz="0" w:space="0" w:color="auto"/>
        <w:left w:val="none" w:sz="0" w:space="0" w:color="auto"/>
        <w:bottom w:val="none" w:sz="0" w:space="0" w:color="auto"/>
        <w:right w:val="none" w:sz="0" w:space="0" w:color="auto"/>
      </w:divBdr>
    </w:div>
    <w:div w:id="843057484">
      <w:bodyDiv w:val="1"/>
      <w:marLeft w:val="0"/>
      <w:marRight w:val="0"/>
      <w:marTop w:val="0"/>
      <w:marBottom w:val="0"/>
      <w:divBdr>
        <w:top w:val="none" w:sz="0" w:space="0" w:color="auto"/>
        <w:left w:val="none" w:sz="0" w:space="0" w:color="auto"/>
        <w:bottom w:val="none" w:sz="0" w:space="0" w:color="auto"/>
        <w:right w:val="none" w:sz="0" w:space="0" w:color="auto"/>
      </w:divBdr>
    </w:div>
    <w:div w:id="845167381">
      <w:bodyDiv w:val="1"/>
      <w:marLeft w:val="0"/>
      <w:marRight w:val="0"/>
      <w:marTop w:val="0"/>
      <w:marBottom w:val="0"/>
      <w:divBdr>
        <w:top w:val="none" w:sz="0" w:space="0" w:color="auto"/>
        <w:left w:val="none" w:sz="0" w:space="0" w:color="auto"/>
        <w:bottom w:val="none" w:sz="0" w:space="0" w:color="auto"/>
        <w:right w:val="none" w:sz="0" w:space="0" w:color="auto"/>
      </w:divBdr>
    </w:div>
    <w:div w:id="848061674">
      <w:bodyDiv w:val="1"/>
      <w:marLeft w:val="0"/>
      <w:marRight w:val="0"/>
      <w:marTop w:val="0"/>
      <w:marBottom w:val="0"/>
      <w:divBdr>
        <w:top w:val="none" w:sz="0" w:space="0" w:color="auto"/>
        <w:left w:val="none" w:sz="0" w:space="0" w:color="auto"/>
        <w:bottom w:val="none" w:sz="0" w:space="0" w:color="auto"/>
        <w:right w:val="none" w:sz="0" w:space="0" w:color="auto"/>
      </w:divBdr>
    </w:div>
    <w:div w:id="849024149">
      <w:bodyDiv w:val="1"/>
      <w:marLeft w:val="0"/>
      <w:marRight w:val="0"/>
      <w:marTop w:val="0"/>
      <w:marBottom w:val="0"/>
      <w:divBdr>
        <w:top w:val="none" w:sz="0" w:space="0" w:color="auto"/>
        <w:left w:val="none" w:sz="0" w:space="0" w:color="auto"/>
        <w:bottom w:val="none" w:sz="0" w:space="0" w:color="auto"/>
        <w:right w:val="none" w:sz="0" w:space="0" w:color="auto"/>
      </w:divBdr>
    </w:div>
    <w:div w:id="851147418">
      <w:bodyDiv w:val="1"/>
      <w:marLeft w:val="0"/>
      <w:marRight w:val="0"/>
      <w:marTop w:val="0"/>
      <w:marBottom w:val="0"/>
      <w:divBdr>
        <w:top w:val="none" w:sz="0" w:space="0" w:color="auto"/>
        <w:left w:val="none" w:sz="0" w:space="0" w:color="auto"/>
        <w:bottom w:val="none" w:sz="0" w:space="0" w:color="auto"/>
        <w:right w:val="none" w:sz="0" w:space="0" w:color="auto"/>
      </w:divBdr>
    </w:div>
    <w:div w:id="851266105">
      <w:bodyDiv w:val="1"/>
      <w:marLeft w:val="0"/>
      <w:marRight w:val="0"/>
      <w:marTop w:val="0"/>
      <w:marBottom w:val="0"/>
      <w:divBdr>
        <w:top w:val="none" w:sz="0" w:space="0" w:color="auto"/>
        <w:left w:val="none" w:sz="0" w:space="0" w:color="auto"/>
        <w:bottom w:val="none" w:sz="0" w:space="0" w:color="auto"/>
        <w:right w:val="none" w:sz="0" w:space="0" w:color="auto"/>
      </w:divBdr>
    </w:div>
    <w:div w:id="851798588">
      <w:bodyDiv w:val="1"/>
      <w:marLeft w:val="0"/>
      <w:marRight w:val="0"/>
      <w:marTop w:val="0"/>
      <w:marBottom w:val="0"/>
      <w:divBdr>
        <w:top w:val="none" w:sz="0" w:space="0" w:color="auto"/>
        <w:left w:val="none" w:sz="0" w:space="0" w:color="auto"/>
        <w:bottom w:val="none" w:sz="0" w:space="0" w:color="auto"/>
        <w:right w:val="none" w:sz="0" w:space="0" w:color="auto"/>
      </w:divBdr>
    </w:div>
    <w:div w:id="854002082">
      <w:bodyDiv w:val="1"/>
      <w:marLeft w:val="0"/>
      <w:marRight w:val="0"/>
      <w:marTop w:val="0"/>
      <w:marBottom w:val="0"/>
      <w:divBdr>
        <w:top w:val="none" w:sz="0" w:space="0" w:color="auto"/>
        <w:left w:val="none" w:sz="0" w:space="0" w:color="auto"/>
        <w:bottom w:val="none" w:sz="0" w:space="0" w:color="auto"/>
        <w:right w:val="none" w:sz="0" w:space="0" w:color="auto"/>
      </w:divBdr>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7043905">
      <w:bodyDiv w:val="1"/>
      <w:marLeft w:val="0"/>
      <w:marRight w:val="0"/>
      <w:marTop w:val="0"/>
      <w:marBottom w:val="0"/>
      <w:divBdr>
        <w:top w:val="none" w:sz="0" w:space="0" w:color="auto"/>
        <w:left w:val="none" w:sz="0" w:space="0" w:color="auto"/>
        <w:bottom w:val="none" w:sz="0" w:space="0" w:color="auto"/>
        <w:right w:val="none" w:sz="0" w:space="0" w:color="auto"/>
      </w:divBdr>
    </w:div>
    <w:div w:id="857347949">
      <w:bodyDiv w:val="1"/>
      <w:marLeft w:val="0"/>
      <w:marRight w:val="0"/>
      <w:marTop w:val="0"/>
      <w:marBottom w:val="0"/>
      <w:divBdr>
        <w:top w:val="none" w:sz="0" w:space="0" w:color="auto"/>
        <w:left w:val="none" w:sz="0" w:space="0" w:color="auto"/>
        <w:bottom w:val="none" w:sz="0" w:space="0" w:color="auto"/>
        <w:right w:val="none" w:sz="0" w:space="0" w:color="auto"/>
      </w:divBdr>
    </w:div>
    <w:div w:id="857963453">
      <w:bodyDiv w:val="1"/>
      <w:marLeft w:val="0"/>
      <w:marRight w:val="0"/>
      <w:marTop w:val="0"/>
      <w:marBottom w:val="0"/>
      <w:divBdr>
        <w:top w:val="none" w:sz="0" w:space="0" w:color="auto"/>
        <w:left w:val="none" w:sz="0" w:space="0" w:color="auto"/>
        <w:bottom w:val="none" w:sz="0" w:space="0" w:color="auto"/>
        <w:right w:val="none" w:sz="0" w:space="0" w:color="auto"/>
      </w:divBdr>
    </w:div>
    <w:div w:id="858200779">
      <w:bodyDiv w:val="1"/>
      <w:marLeft w:val="0"/>
      <w:marRight w:val="0"/>
      <w:marTop w:val="0"/>
      <w:marBottom w:val="0"/>
      <w:divBdr>
        <w:top w:val="none" w:sz="0" w:space="0" w:color="auto"/>
        <w:left w:val="none" w:sz="0" w:space="0" w:color="auto"/>
        <w:bottom w:val="none" w:sz="0" w:space="0" w:color="auto"/>
        <w:right w:val="none" w:sz="0" w:space="0" w:color="auto"/>
      </w:divBdr>
    </w:div>
    <w:div w:id="858278751">
      <w:bodyDiv w:val="1"/>
      <w:marLeft w:val="0"/>
      <w:marRight w:val="0"/>
      <w:marTop w:val="0"/>
      <w:marBottom w:val="0"/>
      <w:divBdr>
        <w:top w:val="none" w:sz="0" w:space="0" w:color="auto"/>
        <w:left w:val="none" w:sz="0" w:space="0" w:color="auto"/>
        <w:bottom w:val="none" w:sz="0" w:space="0" w:color="auto"/>
        <w:right w:val="none" w:sz="0" w:space="0" w:color="auto"/>
      </w:divBdr>
    </w:div>
    <w:div w:id="861287549">
      <w:bodyDiv w:val="1"/>
      <w:marLeft w:val="0"/>
      <w:marRight w:val="0"/>
      <w:marTop w:val="0"/>
      <w:marBottom w:val="0"/>
      <w:divBdr>
        <w:top w:val="none" w:sz="0" w:space="0" w:color="auto"/>
        <w:left w:val="none" w:sz="0" w:space="0" w:color="auto"/>
        <w:bottom w:val="none" w:sz="0" w:space="0" w:color="auto"/>
        <w:right w:val="none" w:sz="0" w:space="0" w:color="auto"/>
      </w:divBdr>
    </w:div>
    <w:div w:id="861548669">
      <w:bodyDiv w:val="1"/>
      <w:marLeft w:val="0"/>
      <w:marRight w:val="0"/>
      <w:marTop w:val="0"/>
      <w:marBottom w:val="0"/>
      <w:divBdr>
        <w:top w:val="none" w:sz="0" w:space="0" w:color="auto"/>
        <w:left w:val="none" w:sz="0" w:space="0" w:color="auto"/>
        <w:bottom w:val="none" w:sz="0" w:space="0" w:color="auto"/>
        <w:right w:val="none" w:sz="0" w:space="0" w:color="auto"/>
      </w:divBdr>
    </w:div>
    <w:div w:id="861699087">
      <w:bodyDiv w:val="1"/>
      <w:marLeft w:val="0"/>
      <w:marRight w:val="0"/>
      <w:marTop w:val="0"/>
      <w:marBottom w:val="0"/>
      <w:divBdr>
        <w:top w:val="none" w:sz="0" w:space="0" w:color="auto"/>
        <w:left w:val="none" w:sz="0" w:space="0" w:color="auto"/>
        <w:bottom w:val="none" w:sz="0" w:space="0" w:color="auto"/>
        <w:right w:val="none" w:sz="0" w:space="0" w:color="auto"/>
      </w:divBdr>
    </w:div>
    <w:div w:id="861893388">
      <w:bodyDiv w:val="1"/>
      <w:marLeft w:val="0"/>
      <w:marRight w:val="0"/>
      <w:marTop w:val="0"/>
      <w:marBottom w:val="0"/>
      <w:divBdr>
        <w:top w:val="none" w:sz="0" w:space="0" w:color="auto"/>
        <w:left w:val="none" w:sz="0" w:space="0" w:color="auto"/>
        <w:bottom w:val="none" w:sz="0" w:space="0" w:color="auto"/>
        <w:right w:val="none" w:sz="0" w:space="0" w:color="auto"/>
      </w:divBdr>
    </w:div>
    <w:div w:id="862015069">
      <w:bodyDiv w:val="1"/>
      <w:marLeft w:val="0"/>
      <w:marRight w:val="0"/>
      <w:marTop w:val="0"/>
      <w:marBottom w:val="0"/>
      <w:divBdr>
        <w:top w:val="none" w:sz="0" w:space="0" w:color="auto"/>
        <w:left w:val="none" w:sz="0" w:space="0" w:color="auto"/>
        <w:bottom w:val="none" w:sz="0" w:space="0" w:color="auto"/>
        <w:right w:val="none" w:sz="0" w:space="0" w:color="auto"/>
      </w:divBdr>
    </w:div>
    <w:div w:id="863831199">
      <w:bodyDiv w:val="1"/>
      <w:marLeft w:val="0"/>
      <w:marRight w:val="0"/>
      <w:marTop w:val="0"/>
      <w:marBottom w:val="0"/>
      <w:divBdr>
        <w:top w:val="none" w:sz="0" w:space="0" w:color="auto"/>
        <w:left w:val="none" w:sz="0" w:space="0" w:color="auto"/>
        <w:bottom w:val="none" w:sz="0" w:space="0" w:color="auto"/>
        <w:right w:val="none" w:sz="0" w:space="0" w:color="auto"/>
      </w:divBdr>
    </w:div>
    <w:div w:id="869226056">
      <w:bodyDiv w:val="1"/>
      <w:marLeft w:val="0"/>
      <w:marRight w:val="0"/>
      <w:marTop w:val="0"/>
      <w:marBottom w:val="0"/>
      <w:divBdr>
        <w:top w:val="none" w:sz="0" w:space="0" w:color="auto"/>
        <w:left w:val="none" w:sz="0" w:space="0" w:color="auto"/>
        <w:bottom w:val="none" w:sz="0" w:space="0" w:color="auto"/>
        <w:right w:val="none" w:sz="0" w:space="0" w:color="auto"/>
      </w:divBdr>
    </w:div>
    <w:div w:id="871765374">
      <w:bodyDiv w:val="1"/>
      <w:marLeft w:val="0"/>
      <w:marRight w:val="0"/>
      <w:marTop w:val="0"/>
      <w:marBottom w:val="0"/>
      <w:divBdr>
        <w:top w:val="none" w:sz="0" w:space="0" w:color="auto"/>
        <w:left w:val="none" w:sz="0" w:space="0" w:color="auto"/>
        <w:bottom w:val="none" w:sz="0" w:space="0" w:color="auto"/>
        <w:right w:val="none" w:sz="0" w:space="0" w:color="auto"/>
      </w:divBdr>
    </w:div>
    <w:div w:id="871766683">
      <w:bodyDiv w:val="1"/>
      <w:marLeft w:val="0"/>
      <w:marRight w:val="0"/>
      <w:marTop w:val="0"/>
      <w:marBottom w:val="0"/>
      <w:divBdr>
        <w:top w:val="none" w:sz="0" w:space="0" w:color="auto"/>
        <w:left w:val="none" w:sz="0" w:space="0" w:color="auto"/>
        <w:bottom w:val="none" w:sz="0" w:space="0" w:color="auto"/>
        <w:right w:val="none" w:sz="0" w:space="0" w:color="auto"/>
      </w:divBdr>
    </w:div>
    <w:div w:id="871770805">
      <w:bodyDiv w:val="1"/>
      <w:marLeft w:val="0"/>
      <w:marRight w:val="0"/>
      <w:marTop w:val="0"/>
      <w:marBottom w:val="0"/>
      <w:divBdr>
        <w:top w:val="none" w:sz="0" w:space="0" w:color="auto"/>
        <w:left w:val="none" w:sz="0" w:space="0" w:color="auto"/>
        <w:bottom w:val="none" w:sz="0" w:space="0" w:color="auto"/>
        <w:right w:val="none" w:sz="0" w:space="0" w:color="auto"/>
      </w:divBdr>
    </w:div>
    <w:div w:id="872814199">
      <w:bodyDiv w:val="1"/>
      <w:marLeft w:val="0"/>
      <w:marRight w:val="0"/>
      <w:marTop w:val="0"/>
      <w:marBottom w:val="0"/>
      <w:divBdr>
        <w:top w:val="none" w:sz="0" w:space="0" w:color="auto"/>
        <w:left w:val="none" w:sz="0" w:space="0" w:color="auto"/>
        <w:bottom w:val="none" w:sz="0" w:space="0" w:color="auto"/>
        <w:right w:val="none" w:sz="0" w:space="0" w:color="auto"/>
      </w:divBdr>
    </w:div>
    <w:div w:id="872965689">
      <w:bodyDiv w:val="1"/>
      <w:marLeft w:val="0"/>
      <w:marRight w:val="0"/>
      <w:marTop w:val="0"/>
      <w:marBottom w:val="0"/>
      <w:divBdr>
        <w:top w:val="none" w:sz="0" w:space="0" w:color="auto"/>
        <w:left w:val="none" w:sz="0" w:space="0" w:color="auto"/>
        <w:bottom w:val="none" w:sz="0" w:space="0" w:color="auto"/>
        <w:right w:val="none" w:sz="0" w:space="0" w:color="auto"/>
      </w:divBdr>
    </w:div>
    <w:div w:id="873156988">
      <w:bodyDiv w:val="1"/>
      <w:marLeft w:val="0"/>
      <w:marRight w:val="0"/>
      <w:marTop w:val="0"/>
      <w:marBottom w:val="0"/>
      <w:divBdr>
        <w:top w:val="none" w:sz="0" w:space="0" w:color="auto"/>
        <w:left w:val="none" w:sz="0" w:space="0" w:color="auto"/>
        <w:bottom w:val="none" w:sz="0" w:space="0" w:color="auto"/>
        <w:right w:val="none" w:sz="0" w:space="0" w:color="auto"/>
      </w:divBdr>
    </w:div>
    <w:div w:id="874775215">
      <w:bodyDiv w:val="1"/>
      <w:marLeft w:val="0"/>
      <w:marRight w:val="0"/>
      <w:marTop w:val="0"/>
      <w:marBottom w:val="0"/>
      <w:divBdr>
        <w:top w:val="none" w:sz="0" w:space="0" w:color="auto"/>
        <w:left w:val="none" w:sz="0" w:space="0" w:color="auto"/>
        <w:bottom w:val="none" w:sz="0" w:space="0" w:color="auto"/>
        <w:right w:val="none" w:sz="0" w:space="0" w:color="auto"/>
      </w:divBdr>
    </w:div>
    <w:div w:id="875239300">
      <w:bodyDiv w:val="1"/>
      <w:marLeft w:val="0"/>
      <w:marRight w:val="0"/>
      <w:marTop w:val="0"/>
      <w:marBottom w:val="0"/>
      <w:divBdr>
        <w:top w:val="none" w:sz="0" w:space="0" w:color="auto"/>
        <w:left w:val="none" w:sz="0" w:space="0" w:color="auto"/>
        <w:bottom w:val="none" w:sz="0" w:space="0" w:color="auto"/>
        <w:right w:val="none" w:sz="0" w:space="0" w:color="auto"/>
      </w:divBdr>
    </w:div>
    <w:div w:id="875855798">
      <w:bodyDiv w:val="1"/>
      <w:marLeft w:val="0"/>
      <w:marRight w:val="0"/>
      <w:marTop w:val="0"/>
      <w:marBottom w:val="0"/>
      <w:divBdr>
        <w:top w:val="none" w:sz="0" w:space="0" w:color="auto"/>
        <w:left w:val="none" w:sz="0" w:space="0" w:color="auto"/>
        <w:bottom w:val="none" w:sz="0" w:space="0" w:color="auto"/>
        <w:right w:val="none" w:sz="0" w:space="0" w:color="auto"/>
      </w:divBdr>
    </w:div>
    <w:div w:id="875965391">
      <w:bodyDiv w:val="1"/>
      <w:marLeft w:val="0"/>
      <w:marRight w:val="0"/>
      <w:marTop w:val="0"/>
      <w:marBottom w:val="0"/>
      <w:divBdr>
        <w:top w:val="none" w:sz="0" w:space="0" w:color="auto"/>
        <w:left w:val="none" w:sz="0" w:space="0" w:color="auto"/>
        <w:bottom w:val="none" w:sz="0" w:space="0" w:color="auto"/>
        <w:right w:val="none" w:sz="0" w:space="0" w:color="auto"/>
      </w:divBdr>
    </w:div>
    <w:div w:id="876505743">
      <w:bodyDiv w:val="1"/>
      <w:marLeft w:val="0"/>
      <w:marRight w:val="0"/>
      <w:marTop w:val="0"/>
      <w:marBottom w:val="0"/>
      <w:divBdr>
        <w:top w:val="none" w:sz="0" w:space="0" w:color="auto"/>
        <w:left w:val="none" w:sz="0" w:space="0" w:color="auto"/>
        <w:bottom w:val="none" w:sz="0" w:space="0" w:color="auto"/>
        <w:right w:val="none" w:sz="0" w:space="0" w:color="auto"/>
      </w:divBdr>
    </w:div>
    <w:div w:id="878055738">
      <w:bodyDiv w:val="1"/>
      <w:marLeft w:val="0"/>
      <w:marRight w:val="0"/>
      <w:marTop w:val="0"/>
      <w:marBottom w:val="0"/>
      <w:divBdr>
        <w:top w:val="none" w:sz="0" w:space="0" w:color="auto"/>
        <w:left w:val="none" w:sz="0" w:space="0" w:color="auto"/>
        <w:bottom w:val="none" w:sz="0" w:space="0" w:color="auto"/>
        <w:right w:val="none" w:sz="0" w:space="0" w:color="auto"/>
      </w:divBdr>
    </w:div>
    <w:div w:id="878124443">
      <w:bodyDiv w:val="1"/>
      <w:marLeft w:val="0"/>
      <w:marRight w:val="0"/>
      <w:marTop w:val="0"/>
      <w:marBottom w:val="0"/>
      <w:divBdr>
        <w:top w:val="none" w:sz="0" w:space="0" w:color="auto"/>
        <w:left w:val="none" w:sz="0" w:space="0" w:color="auto"/>
        <w:bottom w:val="none" w:sz="0" w:space="0" w:color="auto"/>
        <w:right w:val="none" w:sz="0" w:space="0" w:color="auto"/>
      </w:divBdr>
    </w:div>
    <w:div w:id="878513438">
      <w:bodyDiv w:val="1"/>
      <w:marLeft w:val="0"/>
      <w:marRight w:val="0"/>
      <w:marTop w:val="0"/>
      <w:marBottom w:val="0"/>
      <w:divBdr>
        <w:top w:val="none" w:sz="0" w:space="0" w:color="auto"/>
        <w:left w:val="none" w:sz="0" w:space="0" w:color="auto"/>
        <w:bottom w:val="none" w:sz="0" w:space="0" w:color="auto"/>
        <w:right w:val="none" w:sz="0" w:space="0" w:color="auto"/>
      </w:divBdr>
    </w:div>
    <w:div w:id="878973801">
      <w:bodyDiv w:val="1"/>
      <w:marLeft w:val="0"/>
      <w:marRight w:val="0"/>
      <w:marTop w:val="0"/>
      <w:marBottom w:val="0"/>
      <w:divBdr>
        <w:top w:val="none" w:sz="0" w:space="0" w:color="auto"/>
        <w:left w:val="none" w:sz="0" w:space="0" w:color="auto"/>
        <w:bottom w:val="none" w:sz="0" w:space="0" w:color="auto"/>
        <w:right w:val="none" w:sz="0" w:space="0" w:color="auto"/>
      </w:divBdr>
    </w:div>
    <w:div w:id="880751731">
      <w:bodyDiv w:val="1"/>
      <w:marLeft w:val="0"/>
      <w:marRight w:val="0"/>
      <w:marTop w:val="0"/>
      <w:marBottom w:val="0"/>
      <w:divBdr>
        <w:top w:val="none" w:sz="0" w:space="0" w:color="auto"/>
        <w:left w:val="none" w:sz="0" w:space="0" w:color="auto"/>
        <w:bottom w:val="none" w:sz="0" w:space="0" w:color="auto"/>
        <w:right w:val="none" w:sz="0" w:space="0" w:color="auto"/>
      </w:divBdr>
    </w:div>
    <w:div w:id="881748112">
      <w:bodyDiv w:val="1"/>
      <w:marLeft w:val="0"/>
      <w:marRight w:val="0"/>
      <w:marTop w:val="0"/>
      <w:marBottom w:val="0"/>
      <w:divBdr>
        <w:top w:val="none" w:sz="0" w:space="0" w:color="auto"/>
        <w:left w:val="none" w:sz="0" w:space="0" w:color="auto"/>
        <w:bottom w:val="none" w:sz="0" w:space="0" w:color="auto"/>
        <w:right w:val="none" w:sz="0" w:space="0" w:color="auto"/>
      </w:divBdr>
    </w:div>
    <w:div w:id="885146761">
      <w:bodyDiv w:val="1"/>
      <w:marLeft w:val="0"/>
      <w:marRight w:val="0"/>
      <w:marTop w:val="0"/>
      <w:marBottom w:val="0"/>
      <w:divBdr>
        <w:top w:val="none" w:sz="0" w:space="0" w:color="auto"/>
        <w:left w:val="none" w:sz="0" w:space="0" w:color="auto"/>
        <w:bottom w:val="none" w:sz="0" w:space="0" w:color="auto"/>
        <w:right w:val="none" w:sz="0" w:space="0" w:color="auto"/>
      </w:divBdr>
    </w:div>
    <w:div w:id="885334392">
      <w:bodyDiv w:val="1"/>
      <w:marLeft w:val="0"/>
      <w:marRight w:val="0"/>
      <w:marTop w:val="0"/>
      <w:marBottom w:val="0"/>
      <w:divBdr>
        <w:top w:val="none" w:sz="0" w:space="0" w:color="auto"/>
        <w:left w:val="none" w:sz="0" w:space="0" w:color="auto"/>
        <w:bottom w:val="none" w:sz="0" w:space="0" w:color="auto"/>
        <w:right w:val="none" w:sz="0" w:space="0" w:color="auto"/>
      </w:divBdr>
    </w:div>
    <w:div w:id="885874993">
      <w:bodyDiv w:val="1"/>
      <w:marLeft w:val="0"/>
      <w:marRight w:val="0"/>
      <w:marTop w:val="0"/>
      <w:marBottom w:val="0"/>
      <w:divBdr>
        <w:top w:val="none" w:sz="0" w:space="0" w:color="auto"/>
        <w:left w:val="none" w:sz="0" w:space="0" w:color="auto"/>
        <w:bottom w:val="none" w:sz="0" w:space="0" w:color="auto"/>
        <w:right w:val="none" w:sz="0" w:space="0" w:color="auto"/>
      </w:divBdr>
    </w:div>
    <w:div w:id="887643812">
      <w:bodyDiv w:val="1"/>
      <w:marLeft w:val="0"/>
      <w:marRight w:val="0"/>
      <w:marTop w:val="0"/>
      <w:marBottom w:val="0"/>
      <w:divBdr>
        <w:top w:val="none" w:sz="0" w:space="0" w:color="auto"/>
        <w:left w:val="none" w:sz="0" w:space="0" w:color="auto"/>
        <w:bottom w:val="none" w:sz="0" w:space="0" w:color="auto"/>
        <w:right w:val="none" w:sz="0" w:space="0" w:color="auto"/>
      </w:divBdr>
    </w:div>
    <w:div w:id="888303720">
      <w:bodyDiv w:val="1"/>
      <w:marLeft w:val="0"/>
      <w:marRight w:val="0"/>
      <w:marTop w:val="0"/>
      <w:marBottom w:val="0"/>
      <w:divBdr>
        <w:top w:val="none" w:sz="0" w:space="0" w:color="auto"/>
        <w:left w:val="none" w:sz="0" w:space="0" w:color="auto"/>
        <w:bottom w:val="none" w:sz="0" w:space="0" w:color="auto"/>
        <w:right w:val="none" w:sz="0" w:space="0" w:color="auto"/>
      </w:divBdr>
    </w:div>
    <w:div w:id="889728784">
      <w:bodyDiv w:val="1"/>
      <w:marLeft w:val="0"/>
      <w:marRight w:val="0"/>
      <w:marTop w:val="0"/>
      <w:marBottom w:val="0"/>
      <w:divBdr>
        <w:top w:val="none" w:sz="0" w:space="0" w:color="auto"/>
        <w:left w:val="none" w:sz="0" w:space="0" w:color="auto"/>
        <w:bottom w:val="none" w:sz="0" w:space="0" w:color="auto"/>
        <w:right w:val="none" w:sz="0" w:space="0" w:color="auto"/>
      </w:divBdr>
    </w:div>
    <w:div w:id="891692920">
      <w:bodyDiv w:val="1"/>
      <w:marLeft w:val="0"/>
      <w:marRight w:val="0"/>
      <w:marTop w:val="0"/>
      <w:marBottom w:val="0"/>
      <w:divBdr>
        <w:top w:val="none" w:sz="0" w:space="0" w:color="auto"/>
        <w:left w:val="none" w:sz="0" w:space="0" w:color="auto"/>
        <w:bottom w:val="none" w:sz="0" w:space="0" w:color="auto"/>
        <w:right w:val="none" w:sz="0" w:space="0" w:color="auto"/>
      </w:divBdr>
    </w:div>
    <w:div w:id="892231079">
      <w:bodyDiv w:val="1"/>
      <w:marLeft w:val="0"/>
      <w:marRight w:val="0"/>
      <w:marTop w:val="0"/>
      <w:marBottom w:val="0"/>
      <w:divBdr>
        <w:top w:val="none" w:sz="0" w:space="0" w:color="auto"/>
        <w:left w:val="none" w:sz="0" w:space="0" w:color="auto"/>
        <w:bottom w:val="none" w:sz="0" w:space="0" w:color="auto"/>
        <w:right w:val="none" w:sz="0" w:space="0" w:color="auto"/>
      </w:divBdr>
    </w:div>
    <w:div w:id="894975764">
      <w:bodyDiv w:val="1"/>
      <w:marLeft w:val="0"/>
      <w:marRight w:val="0"/>
      <w:marTop w:val="0"/>
      <w:marBottom w:val="0"/>
      <w:divBdr>
        <w:top w:val="none" w:sz="0" w:space="0" w:color="auto"/>
        <w:left w:val="none" w:sz="0" w:space="0" w:color="auto"/>
        <w:bottom w:val="none" w:sz="0" w:space="0" w:color="auto"/>
        <w:right w:val="none" w:sz="0" w:space="0" w:color="auto"/>
      </w:divBdr>
    </w:div>
    <w:div w:id="898398475">
      <w:bodyDiv w:val="1"/>
      <w:marLeft w:val="0"/>
      <w:marRight w:val="0"/>
      <w:marTop w:val="0"/>
      <w:marBottom w:val="0"/>
      <w:divBdr>
        <w:top w:val="none" w:sz="0" w:space="0" w:color="auto"/>
        <w:left w:val="none" w:sz="0" w:space="0" w:color="auto"/>
        <w:bottom w:val="none" w:sz="0" w:space="0" w:color="auto"/>
        <w:right w:val="none" w:sz="0" w:space="0" w:color="auto"/>
      </w:divBdr>
    </w:div>
    <w:div w:id="899243342">
      <w:bodyDiv w:val="1"/>
      <w:marLeft w:val="0"/>
      <w:marRight w:val="0"/>
      <w:marTop w:val="0"/>
      <w:marBottom w:val="0"/>
      <w:divBdr>
        <w:top w:val="none" w:sz="0" w:space="0" w:color="auto"/>
        <w:left w:val="none" w:sz="0" w:space="0" w:color="auto"/>
        <w:bottom w:val="none" w:sz="0" w:space="0" w:color="auto"/>
        <w:right w:val="none" w:sz="0" w:space="0" w:color="auto"/>
      </w:divBdr>
    </w:div>
    <w:div w:id="899827782">
      <w:bodyDiv w:val="1"/>
      <w:marLeft w:val="0"/>
      <w:marRight w:val="0"/>
      <w:marTop w:val="0"/>
      <w:marBottom w:val="0"/>
      <w:divBdr>
        <w:top w:val="none" w:sz="0" w:space="0" w:color="auto"/>
        <w:left w:val="none" w:sz="0" w:space="0" w:color="auto"/>
        <w:bottom w:val="none" w:sz="0" w:space="0" w:color="auto"/>
        <w:right w:val="none" w:sz="0" w:space="0" w:color="auto"/>
      </w:divBdr>
    </w:div>
    <w:div w:id="901254568">
      <w:bodyDiv w:val="1"/>
      <w:marLeft w:val="0"/>
      <w:marRight w:val="0"/>
      <w:marTop w:val="0"/>
      <w:marBottom w:val="0"/>
      <w:divBdr>
        <w:top w:val="none" w:sz="0" w:space="0" w:color="auto"/>
        <w:left w:val="none" w:sz="0" w:space="0" w:color="auto"/>
        <w:bottom w:val="none" w:sz="0" w:space="0" w:color="auto"/>
        <w:right w:val="none" w:sz="0" w:space="0" w:color="auto"/>
      </w:divBdr>
    </w:div>
    <w:div w:id="904100528">
      <w:bodyDiv w:val="1"/>
      <w:marLeft w:val="0"/>
      <w:marRight w:val="0"/>
      <w:marTop w:val="0"/>
      <w:marBottom w:val="0"/>
      <w:divBdr>
        <w:top w:val="none" w:sz="0" w:space="0" w:color="auto"/>
        <w:left w:val="none" w:sz="0" w:space="0" w:color="auto"/>
        <w:bottom w:val="none" w:sz="0" w:space="0" w:color="auto"/>
        <w:right w:val="none" w:sz="0" w:space="0" w:color="auto"/>
      </w:divBdr>
    </w:div>
    <w:div w:id="904998672">
      <w:bodyDiv w:val="1"/>
      <w:marLeft w:val="0"/>
      <w:marRight w:val="0"/>
      <w:marTop w:val="0"/>
      <w:marBottom w:val="0"/>
      <w:divBdr>
        <w:top w:val="none" w:sz="0" w:space="0" w:color="auto"/>
        <w:left w:val="none" w:sz="0" w:space="0" w:color="auto"/>
        <w:bottom w:val="none" w:sz="0" w:space="0" w:color="auto"/>
        <w:right w:val="none" w:sz="0" w:space="0" w:color="auto"/>
      </w:divBdr>
    </w:div>
    <w:div w:id="906064555">
      <w:bodyDiv w:val="1"/>
      <w:marLeft w:val="0"/>
      <w:marRight w:val="0"/>
      <w:marTop w:val="0"/>
      <w:marBottom w:val="0"/>
      <w:divBdr>
        <w:top w:val="none" w:sz="0" w:space="0" w:color="auto"/>
        <w:left w:val="none" w:sz="0" w:space="0" w:color="auto"/>
        <w:bottom w:val="none" w:sz="0" w:space="0" w:color="auto"/>
        <w:right w:val="none" w:sz="0" w:space="0" w:color="auto"/>
      </w:divBdr>
    </w:div>
    <w:div w:id="906526655">
      <w:bodyDiv w:val="1"/>
      <w:marLeft w:val="0"/>
      <w:marRight w:val="0"/>
      <w:marTop w:val="0"/>
      <w:marBottom w:val="0"/>
      <w:divBdr>
        <w:top w:val="none" w:sz="0" w:space="0" w:color="auto"/>
        <w:left w:val="none" w:sz="0" w:space="0" w:color="auto"/>
        <w:bottom w:val="none" w:sz="0" w:space="0" w:color="auto"/>
        <w:right w:val="none" w:sz="0" w:space="0" w:color="auto"/>
      </w:divBdr>
    </w:div>
    <w:div w:id="908074378">
      <w:bodyDiv w:val="1"/>
      <w:marLeft w:val="0"/>
      <w:marRight w:val="0"/>
      <w:marTop w:val="0"/>
      <w:marBottom w:val="0"/>
      <w:divBdr>
        <w:top w:val="none" w:sz="0" w:space="0" w:color="auto"/>
        <w:left w:val="none" w:sz="0" w:space="0" w:color="auto"/>
        <w:bottom w:val="none" w:sz="0" w:space="0" w:color="auto"/>
        <w:right w:val="none" w:sz="0" w:space="0" w:color="auto"/>
      </w:divBdr>
    </w:div>
    <w:div w:id="908686127">
      <w:bodyDiv w:val="1"/>
      <w:marLeft w:val="0"/>
      <w:marRight w:val="0"/>
      <w:marTop w:val="0"/>
      <w:marBottom w:val="0"/>
      <w:divBdr>
        <w:top w:val="none" w:sz="0" w:space="0" w:color="auto"/>
        <w:left w:val="none" w:sz="0" w:space="0" w:color="auto"/>
        <w:bottom w:val="none" w:sz="0" w:space="0" w:color="auto"/>
        <w:right w:val="none" w:sz="0" w:space="0" w:color="auto"/>
      </w:divBdr>
    </w:div>
    <w:div w:id="909116715">
      <w:bodyDiv w:val="1"/>
      <w:marLeft w:val="0"/>
      <w:marRight w:val="0"/>
      <w:marTop w:val="0"/>
      <w:marBottom w:val="0"/>
      <w:divBdr>
        <w:top w:val="none" w:sz="0" w:space="0" w:color="auto"/>
        <w:left w:val="none" w:sz="0" w:space="0" w:color="auto"/>
        <w:bottom w:val="none" w:sz="0" w:space="0" w:color="auto"/>
        <w:right w:val="none" w:sz="0" w:space="0" w:color="auto"/>
      </w:divBdr>
    </w:div>
    <w:div w:id="911548051">
      <w:bodyDiv w:val="1"/>
      <w:marLeft w:val="0"/>
      <w:marRight w:val="0"/>
      <w:marTop w:val="0"/>
      <w:marBottom w:val="0"/>
      <w:divBdr>
        <w:top w:val="none" w:sz="0" w:space="0" w:color="auto"/>
        <w:left w:val="none" w:sz="0" w:space="0" w:color="auto"/>
        <w:bottom w:val="none" w:sz="0" w:space="0" w:color="auto"/>
        <w:right w:val="none" w:sz="0" w:space="0" w:color="auto"/>
      </w:divBdr>
    </w:div>
    <w:div w:id="912349801">
      <w:bodyDiv w:val="1"/>
      <w:marLeft w:val="0"/>
      <w:marRight w:val="0"/>
      <w:marTop w:val="0"/>
      <w:marBottom w:val="0"/>
      <w:divBdr>
        <w:top w:val="none" w:sz="0" w:space="0" w:color="auto"/>
        <w:left w:val="none" w:sz="0" w:space="0" w:color="auto"/>
        <w:bottom w:val="none" w:sz="0" w:space="0" w:color="auto"/>
        <w:right w:val="none" w:sz="0" w:space="0" w:color="auto"/>
      </w:divBdr>
    </w:div>
    <w:div w:id="912664845">
      <w:bodyDiv w:val="1"/>
      <w:marLeft w:val="0"/>
      <w:marRight w:val="0"/>
      <w:marTop w:val="0"/>
      <w:marBottom w:val="0"/>
      <w:divBdr>
        <w:top w:val="none" w:sz="0" w:space="0" w:color="auto"/>
        <w:left w:val="none" w:sz="0" w:space="0" w:color="auto"/>
        <w:bottom w:val="none" w:sz="0" w:space="0" w:color="auto"/>
        <w:right w:val="none" w:sz="0" w:space="0" w:color="auto"/>
      </w:divBdr>
    </w:div>
    <w:div w:id="913205897">
      <w:bodyDiv w:val="1"/>
      <w:marLeft w:val="0"/>
      <w:marRight w:val="0"/>
      <w:marTop w:val="0"/>
      <w:marBottom w:val="0"/>
      <w:divBdr>
        <w:top w:val="none" w:sz="0" w:space="0" w:color="auto"/>
        <w:left w:val="none" w:sz="0" w:space="0" w:color="auto"/>
        <w:bottom w:val="none" w:sz="0" w:space="0" w:color="auto"/>
        <w:right w:val="none" w:sz="0" w:space="0" w:color="auto"/>
      </w:divBdr>
    </w:div>
    <w:div w:id="913315544">
      <w:bodyDiv w:val="1"/>
      <w:marLeft w:val="0"/>
      <w:marRight w:val="0"/>
      <w:marTop w:val="0"/>
      <w:marBottom w:val="0"/>
      <w:divBdr>
        <w:top w:val="none" w:sz="0" w:space="0" w:color="auto"/>
        <w:left w:val="none" w:sz="0" w:space="0" w:color="auto"/>
        <w:bottom w:val="none" w:sz="0" w:space="0" w:color="auto"/>
        <w:right w:val="none" w:sz="0" w:space="0" w:color="auto"/>
      </w:divBdr>
    </w:div>
    <w:div w:id="915095594">
      <w:bodyDiv w:val="1"/>
      <w:marLeft w:val="0"/>
      <w:marRight w:val="0"/>
      <w:marTop w:val="0"/>
      <w:marBottom w:val="0"/>
      <w:divBdr>
        <w:top w:val="none" w:sz="0" w:space="0" w:color="auto"/>
        <w:left w:val="none" w:sz="0" w:space="0" w:color="auto"/>
        <w:bottom w:val="none" w:sz="0" w:space="0" w:color="auto"/>
        <w:right w:val="none" w:sz="0" w:space="0" w:color="auto"/>
      </w:divBdr>
    </w:div>
    <w:div w:id="922647863">
      <w:bodyDiv w:val="1"/>
      <w:marLeft w:val="0"/>
      <w:marRight w:val="0"/>
      <w:marTop w:val="0"/>
      <w:marBottom w:val="0"/>
      <w:divBdr>
        <w:top w:val="none" w:sz="0" w:space="0" w:color="auto"/>
        <w:left w:val="none" w:sz="0" w:space="0" w:color="auto"/>
        <w:bottom w:val="none" w:sz="0" w:space="0" w:color="auto"/>
        <w:right w:val="none" w:sz="0" w:space="0" w:color="auto"/>
      </w:divBdr>
    </w:div>
    <w:div w:id="923297124">
      <w:bodyDiv w:val="1"/>
      <w:marLeft w:val="0"/>
      <w:marRight w:val="0"/>
      <w:marTop w:val="0"/>
      <w:marBottom w:val="0"/>
      <w:divBdr>
        <w:top w:val="none" w:sz="0" w:space="0" w:color="auto"/>
        <w:left w:val="none" w:sz="0" w:space="0" w:color="auto"/>
        <w:bottom w:val="none" w:sz="0" w:space="0" w:color="auto"/>
        <w:right w:val="none" w:sz="0" w:space="0" w:color="auto"/>
      </w:divBdr>
    </w:div>
    <w:div w:id="924342608">
      <w:bodyDiv w:val="1"/>
      <w:marLeft w:val="0"/>
      <w:marRight w:val="0"/>
      <w:marTop w:val="0"/>
      <w:marBottom w:val="0"/>
      <w:divBdr>
        <w:top w:val="none" w:sz="0" w:space="0" w:color="auto"/>
        <w:left w:val="none" w:sz="0" w:space="0" w:color="auto"/>
        <w:bottom w:val="none" w:sz="0" w:space="0" w:color="auto"/>
        <w:right w:val="none" w:sz="0" w:space="0" w:color="auto"/>
      </w:divBdr>
    </w:div>
    <w:div w:id="924537529">
      <w:bodyDiv w:val="1"/>
      <w:marLeft w:val="0"/>
      <w:marRight w:val="0"/>
      <w:marTop w:val="0"/>
      <w:marBottom w:val="0"/>
      <w:divBdr>
        <w:top w:val="none" w:sz="0" w:space="0" w:color="auto"/>
        <w:left w:val="none" w:sz="0" w:space="0" w:color="auto"/>
        <w:bottom w:val="none" w:sz="0" w:space="0" w:color="auto"/>
        <w:right w:val="none" w:sz="0" w:space="0" w:color="auto"/>
      </w:divBdr>
    </w:div>
    <w:div w:id="924613439">
      <w:bodyDiv w:val="1"/>
      <w:marLeft w:val="0"/>
      <w:marRight w:val="0"/>
      <w:marTop w:val="0"/>
      <w:marBottom w:val="0"/>
      <w:divBdr>
        <w:top w:val="none" w:sz="0" w:space="0" w:color="auto"/>
        <w:left w:val="none" w:sz="0" w:space="0" w:color="auto"/>
        <w:bottom w:val="none" w:sz="0" w:space="0" w:color="auto"/>
        <w:right w:val="none" w:sz="0" w:space="0" w:color="auto"/>
      </w:divBdr>
    </w:div>
    <w:div w:id="925187444">
      <w:bodyDiv w:val="1"/>
      <w:marLeft w:val="0"/>
      <w:marRight w:val="0"/>
      <w:marTop w:val="0"/>
      <w:marBottom w:val="0"/>
      <w:divBdr>
        <w:top w:val="none" w:sz="0" w:space="0" w:color="auto"/>
        <w:left w:val="none" w:sz="0" w:space="0" w:color="auto"/>
        <w:bottom w:val="none" w:sz="0" w:space="0" w:color="auto"/>
        <w:right w:val="none" w:sz="0" w:space="0" w:color="auto"/>
      </w:divBdr>
    </w:div>
    <w:div w:id="925769058">
      <w:bodyDiv w:val="1"/>
      <w:marLeft w:val="0"/>
      <w:marRight w:val="0"/>
      <w:marTop w:val="0"/>
      <w:marBottom w:val="0"/>
      <w:divBdr>
        <w:top w:val="none" w:sz="0" w:space="0" w:color="auto"/>
        <w:left w:val="none" w:sz="0" w:space="0" w:color="auto"/>
        <w:bottom w:val="none" w:sz="0" w:space="0" w:color="auto"/>
        <w:right w:val="none" w:sz="0" w:space="0" w:color="auto"/>
      </w:divBdr>
    </w:div>
    <w:div w:id="925769157">
      <w:bodyDiv w:val="1"/>
      <w:marLeft w:val="0"/>
      <w:marRight w:val="0"/>
      <w:marTop w:val="0"/>
      <w:marBottom w:val="0"/>
      <w:divBdr>
        <w:top w:val="none" w:sz="0" w:space="0" w:color="auto"/>
        <w:left w:val="none" w:sz="0" w:space="0" w:color="auto"/>
        <w:bottom w:val="none" w:sz="0" w:space="0" w:color="auto"/>
        <w:right w:val="none" w:sz="0" w:space="0" w:color="auto"/>
      </w:divBdr>
    </w:div>
    <w:div w:id="925966100">
      <w:bodyDiv w:val="1"/>
      <w:marLeft w:val="0"/>
      <w:marRight w:val="0"/>
      <w:marTop w:val="0"/>
      <w:marBottom w:val="0"/>
      <w:divBdr>
        <w:top w:val="none" w:sz="0" w:space="0" w:color="auto"/>
        <w:left w:val="none" w:sz="0" w:space="0" w:color="auto"/>
        <w:bottom w:val="none" w:sz="0" w:space="0" w:color="auto"/>
        <w:right w:val="none" w:sz="0" w:space="0" w:color="auto"/>
      </w:divBdr>
    </w:div>
    <w:div w:id="927814496">
      <w:bodyDiv w:val="1"/>
      <w:marLeft w:val="0"/>
      <w:marRight w:val="0"/>
      <w:marTop w:val="0"/>
      <w:marBottom w:val="0"/>
      <w:divBdr>
        <w:top w:val="none" w:sz="0" w:space="0" w:color="auto"/>
        <w:left w:val="none" w:sz="0" w:space="0" w:color="auto"/>
        <w:bottom w:val="none" w:sz="0" w:space="0" w:color="auto"/>
        <w:right w:val="none" w:sz="0" w:space="0" w:color="auto"/>
      </w:divBdr>
    </w:div>
    <w:div w:id="928200759">
      <w:bodyDiv w:val="1"/>
      <w:marLeft w:val="0"/>
      <w:marRight w:val="0"/>
      <w:marTop w:val="0"/>
      <w:marBottom w:val="0"/>
      <w:divBdr>
        <w:top w:val="none" w:sz="0" w:space="0" w:color="auto"/>
        <w:left w:val="none" w:sz="0" w:space="0" w:color="auto"/>
        <w:bottom w:val="none" w:sz="0" w:space="0" w:color="auto"/>
        <w:right w:val="none" w:sz="0" w:space="0" w:color="auto"/>
      </w:divBdr>
    </w:div>
    <w:div w:id="930237894">
      <w:bodyDiv w:val="1"/>
      <w:marLeft w:val="0"/>
      <w:marRight w:val="0"/>
      <w:marTop w:val="0"/>
      <w:marBottom w:val="0"/>
      <w:divBdr>
        <w:top w:val="none" w:sz="0" w:space="0" w:color="auto"/>
        <w:left w:val="none" w:sz="0" w:space="0" w:color="auto"/>
        <w:bottom w:val="none" w:sz="0" w:space="0" w:color="auto"/>
        <w:right w:val="none" w:sz="0" w:space="0" w:color="auto"/>
      </w:divBdr>
    </w:div>
    <w:div w:id="930284716">
      <w:bodyDiv w:val="1"/>
      <w:marLeft w:val="0"/>
      <w:marRight w:val="0"/>
      <w:marTop w:val="0"/>
      <w:marBottom w:val="0"/>
      <w:divBdr>
        <w:top w:val="none" w:sz="0" w:space="0" w:color="auto"/>
        <w:left w:val="none" w:sz="0" w:space="0" w:color="auto"/>
        <w:bottom w:val="none" w:sz="0" w:space="0" w:color="auto"/>
        <w:right w:val="none" w:sz="0" w:space="0" w:color="auto"/>
      </w:divBdr>
    </w:div>
    <w:div w:id="930628203">
      <w:bodyDiv w:val="1"/>
      <w:marLeft w:val="0"/>
      <w:marRight w:val="0"/>
      <w:marTop w:val="0"/>
      <w:marBottom w:val="0"/>
      <w:divBdr>
        <w:top w:val="none" w:sz="0" w:space="0" w:color="auto"/>
        <w:left w:val="none" w:sz="0" w:space="0" w:color="auto"/>
        <w:bottom w:val="none" w:sz="0" w:space="0" w:color="auto"/>
        <w:right w:val="none" w:sz="0" w:space="0" w:color="auto"/>
      </w:divBdr>
    </w:div>
    <w:div w:id="930813752">
      <w:bodyDiv w:val="1"/>
      <w:marLeft w:val="0"/>
      <w:marRight w:val="0"/>
      <w:marTop w:val="0"/>
      <w:marBottom w:val="0"/>
      <w:divBdr>
        <w:top w:val="none" w:sz="0" w:space="0" w:color="auto"/>
        <w:left w:val="none" w:sz="0" w:space="0" w:color="auto"/>
        <w:bottom w:val="none" w:sz="0" w:space="0" w:color="auto"/>
        <w:right w:val="none" w:sz="0" w:space="0" w:color="auto"/>
      </w:divBdr>
    </w:div>
    <w:div w:id="932593650">
      <w:bodyDiv w:val="1"/>
      <w:marLeft w:val="0"/>
      <w:marRight w:val="0"/>
      <w:marTop w:val="0"/>
      <w:marBottom w:val="0"/>
      <w:divBdr>
        <w:top w:val="none" w:sz="0" w:space="0" w:color="auto"/>
        <w:left w:val="none" w:sz="0" w:space="0" w:color="auto"/>
        <w:bottom w:val="none" w:sz="0" w:space="0" w:color="auto"/>
        <w:right w:val="none" w:sz="0" w:space="0" w:color="auto"/>
      </w:divBdr>
    </w:div>
    <w:div w:id="933897463">
      <w:bodyDiv w:val="1"/>
      <w:marLeft w:val="0"/>
      <w:marRight w:val="0"/>
      <w:marTop w:val="0"/>
      <w:marBottom w:val="0"/>
      <w:divBdr>
        <w:top w:val="none" w:sz="0" w:space="0" w:color="auto"/>
        <w:left w:val="none" w:sz="0" w:space="0" w:color="auto"/>
        <w:bottom w:val="none" w:sz="0" w:space="0" w:color="auto"/>
        <w:right w:val="none" w:sz="0" w:space="0" w:color="auto"/>
      </w:divBdr>
    </w:div>
    <w:div w:id="933975888">
      <w:bodyDiv w:val="1"/>
      <w:marLeft w:val="0"/>
      <w:marRight w:val="0"/>
      <w:marTop w:val="0"/>
      <w:marBottom w:val="0"/>
      <w:divBdr>
        <w:top w:val="none" w:sz="0" w:space="0" w:color="auto"/>
        <w:left w:val="none" w:sz="0" w:space="0" w:color="auto"/>
        <w:bottom w:val="none" w:sz="0" w:space="0" w:color="auto"/>
        <w:right w:val="none" w:sz="0" w:space="0" w:color="auto"/>
      </w:divBdr>
    </w:div>
    <w:div w:id="937908448">
      <w:bodyDiv w:val="1"/>
      <w:marLeft w:val="0"/>
      <w:marRight w:val="0"/>
      <w:marTop w:val="0"/>
      <w:marBottom w:val="0"/>
      <w:divBdr>
        <w:top w:val="none" w:sz="0" w:space="0" w:color="auto"/>
        <w:left w:val="none" w:sz="0" w:space="0" w:color="auto"/>
        <w:bottom w:val="none" w:sz="0" w:space="0" w:color="auto"/>
        <w:right w:val="none" w:sz="0" w:space="0" w:color="auto"/>
      </w:divBdr>
    </w:div>
    <w:div w:id="937982108">
      <w:bodyDiv w:val="1"/>
      <w:marLeft w:val="0"/>
      <w:marRight w:val="0"/>
      <w:marTop w:val="0"/>
      <w:marBottom w:val="0"/>
      <w:divBdr>
        <w:top w:val="none" w:sz="0" w:space="0" w:color="auto"/>
        <w:left w:val="none" w:sz="0" w:space="0" w:color="auto"/>
        <w:bottom w:val="none" w:sz="0" w:space="0" w:color="auto"/>
        <w:right w:val="none" w:sz="0" w:space="0" w:color="auto"/>
      </w:divBdr>
    </w:div>
    <w:div w:id="940337822">
      <w:bodyDiv w:val="1"/>
      <w:marLeft w:val="0"/>
      <w:marRight w:val="0"/>
      <w:marTop w:val="0"/>
      <w:marBottom w:val="0"/>
      <w:divBdr>
        <w:top w:val="none" w:sz="0" w:space="0" w:color="auto"/>
        <w:left w:val="none" w:sz="0" w:space="0" w:color="auto"/>
        <w:bottom w:val="none" w:sz="0" w:space="0" w:color="auto"/>
        <w:right w:val="none" w:sz="0" w:space="0" w:color="auto"/>
      </w:divBdr>
    </w:div>
    <w:div w:id="940378200">
      <w:bodyDiv w:val="1"/>
      <w:marLeft w:val="0"/>
      <w:marRight w:val="0"/>
      <w:marTop w:val="0"/>
      <w:marBottom w:val="0"/>
      <w:divBdr>
        <w:top w:val="none" w:sz="0" w:space="0" w:color="auto"/>
        <w:left w:val="none" w:sz="0" w:space="0" w:color="auto"/>
        <w:bottom w:val="none" w:sz="0" w:space="0" w:color="auto"/>
        <w:right w:val="none" w:sz="0" w:space="0" w:color="auto"/>
      </w:divBdr>
    </w:div>
    <w:div w:id="940380337">
      <w:bodyDiv w:val="1"/>
      <w:marLeft w:val="0"/>
      <w:marRight w:val="0"/>
      <w:marTop w:val="0"/>
      <w:marBottom w:val="0"/>
      <w:divBdr>
        <w:top w:val="none" w:sz="0" w:space="0" w:color="auto"/>
        <w:left w:val="none" w:sz="0" w:space="0" w:color="auto"/>
        <w:bottom w:val="none" w:sz="0" w:space="0" w:color="auto"/>
        <w:right w:val="none" w:sz="0" w:space="0" w:color="auto"/>
      </w:divBdr>
    </w:div>
    <w:div w:id="940915986">
      <w:bodyDiv w:val="1"/>
      <w:marLeft w:val="0"/>
      <w:marRight w:val="0"/>
      <w:marTop w:val="0"/>
      <w:marBottom w:val="0"/>
      <w:divBdr>
        <w:top w:val="none" w:sz="0" w:space="0" w:color="auto"/>
        <w:left w:val="none" w:sz="0" w:space="0" w:color="auto"/>
        <w:bottom w:val="none" w:sz="0" w:space="0" w:color="auto"/>
        <w:right w:val="none" w:sz="0" w:space="0" w:color="auto"/>
      </w:divBdr>
    </w:div>
    <w:div w:id="941496396">
      <w:bodyDiv w:val="1"/>
      <w:marLeft w:val="0"/>
      <w:marRight w:val="0"/>
      <w:marTop w:val="0"/>
      <w:marBottom w:val="0"/>
      <w:divBdr>
        <w:top w:val="none" w:sz="0" w:space="0" w:color="auto"/>
        <w:left w:val="none" w:sz="0" w:space="0" w:color="auto"/>
        <w:bottom w:val="none" w:sz="0" w:space="0" w:color="auto"/>
        <w:right w:val="none" w:sz="0" w:space="0" w:color="auto"/>
      </w:divBdr>
    </w:div>
    <w:div w:id="941568594">
      <w:bodyDiv w:val="1"/>
      <w:marLeft w:val="0"/>
      <w:marRight w:val="0"/>
      <w:marTop w:val="0"/>
      <w:marBottom w:val="0"/>
      <w:divBdr>
        <w:top w:val="none" w:sz="0" w:space="0" w:color="auto"/>
        <w:left w:val="none" w:sz="0" w:space="0" w:color="auto"/>
        <w:bottom w:val="none" w:sz="0" w:space="0" w:color="auto"/>
        <w:right w:val="none" w:sz="0" w:space="0" w:color="auto"/>
      </w:divBdr>
    </w:div>
    <w:div w:id="942344601">
      <w:bodyDiv w:val="1"/>
      <w:marLeft w:val="0"/>
      <w:marRight w:val="0"/>
      <w:marTop w:val="0"/>
      <w:marBottom w:val="0"/>
      <w:divBdr>
        <w:top w:val="none" w:sz="0" w:space="0" w:color="auto"/>
        <w:left w:val="none" w:sz="0" w:space="0" w:color="auto"/>
        <w:bottom w:val="none" w:sz="0" w:space="0" w:color="auto"/>
        <w:right w:val="none" w:sz="0" w:space="0" w:color="auto"/>
      </w:divBdr>
    </w:div>
    <w:div w:id="942764795">
      <w:bodyDiv w:val="1"/>
      <w:marLeft w:val="0"/>
      <w:marRight w:val="0"/>
      <w:marTop w:val="0"/>
      <w:marBottom w:val="0"/>
      <w:divBdr>
        <w:top w:val="none" w:sz="0" w:space="0" w:color="auto"/>
        <w:left w:val="none" w:sz="0" w:space="0" w:color="auto"/>
        <w:bottom w:val="none" w:sz="0" w:space="0" w:color="auto"/>
        <w:right w:val="none" w:sz="0" w:space="0" w:color="auto"/>
      </w:divBdr>
    </w:div>
    <w:div w:id="944272125">
      <w:bodyDiv w:val="1"/>
      <w:marLeft w:val="0"/>
      <w:marRight w:val="0"/>
      <w:marTop w:val="0"/>
      <w:marBottom w:val="0"/>
      <w:divBdr>
        <w:top w:val="none" w:sz="0" w:space="0" w:color="auto"/>
        <w:left w:val="none" w:sz="0" w:space="0" w:color="auto"/>
        <w:bottom w:val="none" w:sz="0" w:space="0" w:color="auto"/>
        <w:right w:val="none" w:sz="0" w:space="0" w:color="auto"/>
      </w:divBdr>
    </w:div>
    <w:div w:id="945386804">
      <w:bodyDiv w:val="1"/>
      <w:marLeft w:val="0"/>
      <w:marRight w:val="0"/>
      <w:marTop w:val="0"/>
      <w:marBottom w:val="0"/>
      <w:divBdr>
        <w:top w:val="none" w:sz="0" w:space="0" w:color="auto"/>
        <w:left w:val="none" w:sz="0" w:space="0" w:color="auto"/>
        <w:bottom w:val="none" w:sz="0" w:space="0" w:color="auto"/>
        <w:right w:val="none" w:sz="0" w:space="0" w:color="auto"/>
      </w:divBdr>
    </w:div>
    <w:div w:id="946429630">
      <w:bodyDiv w:val="1"/>
      <w:marLeft w:val="0"/>
      <w:marRight w:val="0"/>
      <w:marTop w:val="0"/>
      <w:marBottom w:val="0"/>
      <w:divBdr>
        <w:top w:val="none" w:sz="0" w:space="0" w:color="auto"/>
        <w:left w:val="none" w:sz="0" w:space="0" w:color="auto"/>
        <w:bottom w:val="none" w:sz="0" w:space="0" w:color="auto"/>
        <w:right w:val="none" w:sz="0" w:space="0" w:color="auto"/>
      </w:divBdr>
    </w:div>
    <w:div w:id="948774845">
      <w:bodyDiv w:val="1"/>
      <w:marLeft w:val="0"/>
      <w:marRight w:val="0"/>
      <w:marTop w:val="0"/>
      <w:marBottom w:val="0"/>
      <w:divBdr>
        <w:top w:val="none" w:sz="0" w:space="0" w:color="auto"/>
        <w:left w:val="none" w:sz="0" w:space="0" w:color="auto"/>
        <w:bottom w:val="none" w:sz="0" w:space="0" w:color="auto"/>
        <w:right w:val="none" w:sz="0" w:space="0" w:color="auto"/>
      </w:divBdr>
    </w:div>
    <w:div w:id="948926689">
      <w:bodyDiv w:val="1"/>
      <w:marLeft w:val="0"/>
      <w:marRight w:val="0"/>
      <w:marTop w:val="0"/>
      <w:marBottom w:val="0"/>
      <w:divBdr>
        <w:top w:val="none" w:sz="0" w:space="0" w:color="auto"/>
        <w:left w:val="none" w:sz="0" w:space="0" w:color="auto"/>
        <w:bottom w:val="none" w:sz="0" w:space="0" w:color="auto"/>
        <w:right w:val="none" w:sz="0" w:space="0" w:color="auto"/>
      </w:divBdr>
    </w:div>
    <w:div w:id="949699428">
      <w:bodyDiv w:val="1"/>
      <w:marLeft w:val="0"/>
      <w:marRight w:val="0"/>
      <w:marTop w:val="0"/>
      <w:marBottom w:val="0"/>
      <w:divBdr>
        <w:top w:val="none" w:sz="0" w:space="0" w:color="auto"/>
        <w:left w:val="none" w:sz="0" w:space="0" w:color="auto"/>
        <w:bottom w:val="none" w:sz="0" w:space="0" w:color="auto"/>
        <w:right w:val="none" w:sz="0" w:space="0" w:color="auto"/>
      </w:divBdr>
    </w:div>
    <w:div w:id="954873874">
      <w:bodyDiv w:val="1"/>
      <w:marLeft w:val="0"/>
      <w:marRight w:val="0"/>
      <w:marTop w:val="0"/>
      <w:marBottom w:val="0"/>
      <w:divBdr>
        <w:top w:val="none" w:sz="0" w:space="0" w:color="auto"/>
        <w:left w:val="none" w:sz="0" w:space="0" w:color="auto"/>
        <w:bottom w:val="none" w:sz="0" w:space="0" w:color="auto"/>
        <w:right w:val="none" w:sz="0" w:space="0" w:color="auto"/>
      </w:divBdr>
    </w:div>
    <w:div w:id="957486652">
      <w:bodyDiv w:val="1"/>
      <w:marLeft w:val="0"/>
      <w:marRight w:val="0"/>
      <w:marTop w:val="0"/>
      <w:marBottom w:val="0"/>
      <w:divBdr>
        <w:top w:val="none" w:sz="0" w:space="0" w:color="auto"/>
        <w:left w:val="none" w:sz="0" w:space="0" w:color="auto"/>
        <w:bottom w:val="none" w:sz="0" w:space="0" w:color="auto"/>
        <w:right w:val="none" w:sz="0" w:space="0" w:color="auto"/>
      </w:divBdr>
    </w:div>
    <w:div w:id="958267525">
      <w:bodyDiv w:val="1"/>
      <w:marLeft w:val="0"/>
      <w:marRight w:val="0"/>
      <w:marTop w:val="0"/>
      <w:marBottom w:val="0"/>
      <w:divBdr>
        <w:top w:val="none" w:sz="0" w:space="0" w:color="auto"/>
        <w:left w:val="none" w:sz="0" w:space="0" w:color="auto"/>
        <w:bottom w:val="none" w:sz="0" w:space="0" w:color="auto"/>
        <w:right w:val="none" w:sz="0" w:space="0" w:color="auto"/>
      </w:divBdr>
    </w:div>
    <w:div w:id="959916368">
      <w:bodyDiv w:val="1"/>
      <w:marLeft w:val="0"/>
      <w:marRight w:val="0"/>
      <w:marTop w:val="0"/>
      <w:marBottom w:val="0"/>
      <w:divBdr>
        <w:top w:val="none" w:sz="0" w:space="0" w:color="auto"/>
        <w:left w:val="none" w:sz="0" w:space="0" w:color="auto"/>
        <w:bottom w:val="none" w:sz="0" w:space="0" w:color="auto"/>
        <w:right w:val="none" w:sz="0" w:space="0" w:color="auto"/>
      </w:divBdr>
    </w:div>
    <w:div w:id="960302752">
      <w:bodyDiv w:val="1"/>
      <w:marLeft w:val="0"/>
      <w:marRight w:val="0"/>
      <w:marTop w:val="0"/>
      <w:marBottom w:val="0"/>
      <w:divBdr>
        <w:top w:val="none" w:sz="0" w:space="0" w:color="auto"/>
        <w:left w:val="none" w:sz="0" w:space="0" w:color="auto"/>
        <w:bottom w:val="none" w:sz="0" w:space="0" w:color="auto"/>
        <w:right w:val="none" w:sz="0" w:space="0" w:color="auto"/>
      </w:divBdr>
    </w:div>
    <w:div w:id="960453846">
      <w:bodyDiv w:val="1"/>
      <w:marLeft w:val="0"/>
      <w:marRight w:val="0"/>
      <w:marTop w:val="0"/>
      <w:marBottom w:val="0"/>
      <w:divBdr>
        <w:top w:val="none" w:sz="0" w:space="0" w:color="auto"/>
        <w:left w:val="none" w:sz="0" w:space="0" w:color="auto"/>
        <w:bottom w:val="none" w:sz="0" w:space="0" w:color="auto"/>
        <w:right w:val="none" w:sz="0" w:space="0" w:color="auto"/>
      </w:divBdr>
    </w:div>
    <w:div w:id="960962018">
      <w:bodyDiv w:val="1"/>
      <w:marLeft w:val="0"/>
      <w:marRight w:val="0"/>
      <w:marTop w:val="0"/>
      <w:marBottom w:val="0"/>
      <w:divBdr>
        <w:top w:val="none" w:sz="0" w:space="0" w:color="auto"/>
        <w:left w:val="none" w:sz="0" w:space="0" w:color="auto"/>
        <w:bottom w:val="none" w:sz="0" w:space="0" w:color="auto"/>
        <w:right w:val="none" w:sz="0" w:space="0" w:color="auto"/>
      </w:divBdr>
    </w:div>
    <w:div w:id="961152417">
      <w:bodyDiv w:val="1"/>
      <w:marLeft w:val="0"/>
      <w:marRight w:val="0"/>
      <w:marTop w:val="0"/>
      <w:marBottom w:val="0"/>
      <w:divBdr>
        <w:top w:val="none" w:sz="0" w:space="0" w:color="auto"/>
        <w:left w:val="none" w:sz="0" w:space="0" w:color="auto"/>
        <w:bottom w:val="none" w:sz="0" w:space="0" w:color="auto"/>
        <w:right w:val="none" w:sz="0" w:space="0" w:color="auto"/>
      </w:divBdr>
    </w:div>
    <w:div w:id="965235387">
      <w:bodyDiv w:val="1"/>
      <w:marLeft w:val="0"/>
      <w:marRight w:val="0"/>
      <w:marTop w:val="0"/>
      <w:marBottom w:val="0"/>
      <w:divBdr>
        <w:top w:val="none" w:sz="0" w:space="0" w:color="auto"/>
        <w:left w:val="none" w:sz="0" w:space="0" w:color="auto"/>
        <w:bottom w:val="none" w:sz="0" w:space="0" w:color="auto"/>
        <w:right w:val="none" w:sz="0" w:space="0" w:color="auto"/>
      </w:divBdr>
    </w:div>
    <w:div w:id="965768909">
      <w:bodyDiv w:val="1"/>
      <w:marLeft w:val="0"/>
      <w:marRight w:val="0"/>
      <w:marTop w:val="0"/>
      <w:marBottom w:val="0"/>
      <w:divBdr>
        <w:top w:val="none" w:sz="0" w:space="0" w:color="auto"/>
        <w:left w:val="none" w:sz="0" w:space="0" w:color="auto"/>
        <w:bottom w:val="none" w:sz="0" w:space="0" w:color="auto"/>
        <w:right w:val="none" w:sz="0" w:space="0" w:color="auto"/>
      </w:divBdr>
    </w:div>
    <w:div w:id="965966223">
      <w:bodyDiv w:val="1"/>
      <w:marLeft w:val="0"/>
      <w:marRight w:val="0"/>
      <w:marTop w:val="0"/>
      <w:marBottom w:val="0"/>
      <w:divBdr>
        <w:top w:val="none" w:sz="0" w:space="0" w:color="auto"/>
        <w:left w:val="none" w:sz="0" w:space="0" w:color="auto"/>
        <w:bottom w:val="none" w:sz="0" w:space="0" w:color="auto"/>
        <w:right w:val="none" w:sz="0" w:space="0" w:color="auto"/>
      </w:divBdr>
    </w:div>
    <w:div w:id="967008812">
      <w:bodyDiv w:val="1"/>
      <w:marLeft w:val="0"/>
      <w:marRight w:val="0"/>
      <w:marTop w:val="0"/>
      <w:marBottom w:val="0"/>
      <w:divBdr>
        <w:top w:val="none" w:sz="0" w:space="0" w:color="auto"/>
        <w:left w:val="none" w:sz="0" w:space="0" w:color="auto"/>
        <w:bottom w:val="none" w:sz="0" w:space="0" w:color="auto"/>
        <w:right w:val="none" w:sz="0" w:space="0" w:color="auto"/>
      </w:divBdr>
    </w:div>
    <w:div w:id="967129193">
      <w:bodyDiv w:val="1"/>
      <w:marLeft w:val="0"/>
      <w:marRight w:val="0"/>
      <w:marTop w:val="0"/>
      <w:marBottom w:val="0"/>
      <w:divBdr>
        <w:top w:val="none" w:sz="0" w:space="0" w:color="auto"/>
        <w:left w:val="none" w:sz="0" w:space="0" w:color="auto"/>
        <w:bottom w:val="none" w:sz="0" w:space="0" w:color="auto"/>
        <w:right w:val="none" w:sz="0" w:space="0" w:color="auto"/>
      </w:divBdr>
    </w:div>
    <w:div w:id="967667054">
      <w:bodyDiv w:val="1"/>
      <w:marLeft w:val="0"/>
      <w:marRight w:val="0"/>
      <w:marTop w:val="0"/>
      <w:marBottom w:val="0"/>
      <w:divBdr>
        <w:top w:val="none" w:sz="0" w:space="0" w:color="auto"/>
        <w:left w:val="none" w:sz="0" w:space="0" w:color="auto"/>
        <w:bottom w:val="none" w:sz="0" w:space="0" w:color="auto"/>
        <w:right w:val="none" w:sz="0" w:space="0" w:color="auto"/>
      </w:divBdr>
    </w:div>
    <w:div w:id="968556950">
      <w:bodyDiv w:val="1"/>
      <w:marLeft w:val="0"/>
      <w:marRight w:val="0"/>
      <w:marTop w:val="0"/>
      <w:marBottom w:val="0"/>
      <w:divBdr>
        <w:top w:val="none" w:sz="0" w:space="0" w:color="auto"/>
        <w:left w:val="none" w:sz="0" w:space="0" w:color="auto"/>
        <w:bottom w:val="none" w:sz="0" w:space="0" w:color="auto"/>
        <w:right w:val="none" w:sz="0" w:space="0" w:color="auto"/>
      </w:divBdr>
    </w:div>
    <w:div w:id="969285952">
      <w:bodyDiv w:val="1"/>
      <w:marLeft w:val="0"/>
      <w:marRight w:val="0"/>
      <w:marTop w:val="0"/>
      <w:marBottom w:val="0"/>
      <w:divBdr>
        <w:top w:val="none" w:sz="0" w:space="0" w:color="auto"/>
        <w:left w:val="none" w:sz="0" w:space="0" w:color="auto"/>
        <w:bottom w:val="none" w:sz="0" w:space="0" w:color="auto"/>
        <w:right w:val="none" w:sz="0" w:space="0" w:color="auto"/>
      </w:divBdr>
    </w:div>
    <w:div w:id="969435588">
      <w:bodyDiv w:val="1"/>
      <w:marLeft w:val="0"/>
      <w:marRight w:val="0"/>
      <w:marTop w:val="0"/>
      <w:marBottom w:val="0"/>
      <w:divBdr>
        <w:top w:val="none" w:sz="0" w:space="0" w:color="auto"/>
        <w:left w:val="none" w:sz="0" w:space="0" w:color="auto"/>
        <w:bottom w:val="none" w:sz="0" w:space="0" w:color="auto"/>
        <w:right w:val="none" w:sz="0" w:space="0" w:color="auto"/>
      </w:divBdr>
    </w:div>
    <w:div w:id="972977282">
      <w:bodyDiv w:val="1"/>
      <w:marLeft w:val="0"/>
      <w:marRight w:val="0"/>
      <w:marTop w:val="0"/>
      <w:marBottom w:val="0"/>
      <w:divBdr>
        <w:top w:val="none" w:sz="0" w:space="0" w:color="auto"/>
        <w:left w:val="none" w:sz="0" w:space="0" w:color="auto"/>
        <w:bottom w:val="none" w:sz="0" w:space="0" w:color="auto"/>
        <w:right w:val="none" w:sz="0" w:space="0" w:color="auto"/>
      </w:divBdr>
    </w:div>
    <w:div w:id="974137455">
      <w:bodyDiv w:val="1"/>
      <w:marLeft w:val="0"/>
      <w:marRight w:val="0"/>
      <w:marTop w:val="0"/>
      <w:marBottom w:val="0"/>
      <w:divBdr>
        <w:top w:val="none" w:sz="0" w:space="0" w:color="auto"/>
        <w:left w:val="none" w:sz="0" w:space="0" w:color="auto"/>
        <w:bottom w:val="none" w:sz="0" w:space="0" w:color="auto"/>
        <w:right w:val="none" w:sz="0" w:space="0" w:color="auto"/>
      </w:divBdr>
    </w:div>
    <w:div w:id="974599399">
      <w:bodyDiv w:val="1"/>
      <w:marLeft w:val="0"/>
      <w:marRight w:val="0"/>
      <w:marTop w:val="0"/>
      <w:marBottom w:val="0"/>
      <w:divBdr>
        <w:top w:val="none" w:sz="0" w:space="0" w:color="auto"/>
        <w:left w:val="none" w:sz="0" w:space="0" w:color="auto"/>
        <w:bottom w:val="none" w:sz="0" w:space="0" w:color="auto"/>
        <w:right w:val="none" w:sz="0" w:space="0" w:color="auto"/>
      </w:divBdr>
    </w:div>
    <w:div w:id="976684515">
      <w:bodyDiv w:val="1"/>
      <w:marLeft w:val="0"/>
      <w:marRight w:val="0"/>
      <w:marTop w:val="0"/>
      <w:marBottom w:val="0"/>
      <w:divBdr>
        <w:top w:val="none" w:sz="0" w:space="0" w:color="auto"/>
        <w:left w:val="none" w:sz="0" w:space="0" w:color="auto"/>
        <w:bottom w:val="none" w:sz="0" w:space="0" w:color="auto"/>
        <w:right w:val="none" w:sz="0" w:space="0" w:color="auto"/>
      </w:divBdr>
    </w:div>
    <w:div w:id="976880854">
      <w:bodyDiv w:val="1"/>
      <w:marLeft w:val="0"/>
      <w:marRight w:val="0"/>
      <w:marTop w:val="0"/>
      <w:marBottom w:val="0"/>
      <w:divBdr>
        <w:top w:val="none" w:sz="0" w:space="0" w:color="auto"/>
        <w:left w:val="none" w:sz="0" w:space="0" w:color="auto"/>
        <w:bottom w:val="none" w:sz="0" w:space="0" w:color="auto"/>
        <w:right w:val="none" w:sz="0" w:space="0" w:color="auto"/>
      </w:divBdr>
    </w:div>
    <w:div w:id="978194598">
      <w:bodyDiv w:val="1"/>
      <w:marLeft w:val="0"/>
      <w:marRight w:val="0"/>
      <w:marTop w:val="0"/>
      <w:marBottom w:val="0"/>
      <w:divBdr>
        <w:top w:val="none" w:sz="0" w:space="0" w:color="auto"/>
        <w:left w:val="none" w:sz="0" w:space="0" w:color="auto"/>
        <w:bottom w:val="none" w:sz="0" w:space="0" w:color="auto"/>
        <w:right w:val="none" w:sz="0" w:space="0" w:color="auto"/>
      </w:divBdr>
    </w:div>
    <w:div w:id="978802062">
      <w:bodyDiv w:val="1"/>
      <w:marLeft w:val="0"/>
      <w:marRight w:val="0"/>
      <w:marTop w:val="0"/>
      <w:marBottom w:val="0"/>
      <w:divBdr>
        <w:top w:val="none" w:sz="0" w:space="0" w:color="auto"/>
        <w:left w:val="none" w:sz="0" w:space="0" w:color="auto"/>
        <w:bottom w:val="none" w:sz="0" w:space="0" w:color="auto"/>
        <w:right w:val="none" w:sz="0" w:space="0" w:color="auto"/>
      </w:divBdr>
    </w:div>
    <w:div w:id="978875309">
      <w:bodyDiv w:val="1"/>
      <w:marLeft w:val="0"/>
      <w:marRight w:val="0"/>
      <w:marTop w:val="0"/>
      <w:marBottom w:val="0"/>
      <w:divBdr>
        <w:top w:val="none" w:sz="0" w:space="0" w:color="auto"/>
        <w:left w:val="none" w:sz="0" w:space="0" w:color="auto"/>
        <w:bottom w:val="none" w:sz="0" w:space="0" w:color="auto"/>
        <w:right w:val="none" w:sz="0" w:space="0" w:color="auto"/>
      </w:divBdr>
    </w:div>
    <w:div w:id="978917362">
      <w:bodyDiv w:val="1"/>
      <w:marLeft w:val="0"/>
      <w:marRight w:val="0"/>
      <w:marTop w:val="0"/>
      <w:marBottom w:val="0"/>
      <w:divBdr>
        <w:top w:val="none" w:sz="0" w:space="0" w:color="auto"/>
        <w:left w:val="none" w:sz="0" w:space="0" w:color="auto"/>
        <w:bottom w:val="none" w:sz="0" w:space="0" w:color="auto"/>
        <w:right w:val="none" w:sz="0" w:space="0" w:color="auto"/>
      </w:divBdr>
    </w:div>
    <w:div w:id="979191019">
      <w:bodyDiv w:val="1"/>
      <w:marLeft w:val="0"/>
      <w:marRight w:val="0"/>
      <w:marTop w:val="0"/>
      <w:marBottom w:val="0"/>
      <w:divBdr>
        <w:top w:val="none" w:sz="0" w:space="0" w:color="auto"/>
        <w:left w:val="none" w:sz="0" w:space="0" w:color="auto"/>
        <w:bottom w:val="none" w:sz="0" w:space="0" w:color="auto"/>
        <w:right w:val="none" w:sz="0" w:space="0" w:color="auto"/>
      </w:divBdr>
    </w:div>
    <w:div w:id="979961528">
      <w:bodyDiv w:val="1"/>
      <w:marLeft w:val="0"/>
      <w:marRight w:val="0"/>
      <w:marTop w:val="0"/>
      <w:marBottom w:val="0"/>
      <w:divBdr>
        <w:top w:val="none" w:sz="0" w:space="0" w:color="auto"/>
        <w:left w:val="none" w:sz="0" w:space="0" w:color="auto"/>
        <w:bottom w:val="none" w:sz="0" w:space="0" w:color="auto"/>
        <w:right w:val="none" w:sz="0" w:space="0" w:color="auto"/>
      </w:divBdr>
    </w:div>
    <w:div w:id="980034038">
      <w:bodyDiv w:val="1"/>
      <w:marLeft w:val="0"/>
      <w:marRight w:val="0"/>
      <w:marTop w:val="0"/>
      <w:marBottom w:val="0"/>
      <w:divBdr>
        <w:top w:val="none" w:sz="0" w:space="0" w:color="auto"/>
        <w:left w:val="none" w:sz="0" w:space="0" w:color="auto"/>
        <w:bottom w:val="none" w:sz="0" w:space="0" w:color="auto"/>
        <w:right w:val="none" w:sz="0" w:space="0" w:color="auto"/>
      </w:divBdr>
    </w:div>
    <w:div w:id="981806976">
      <w:bodyDiv w:val="1"/>
      <w:marLeft w:val="0"/>
      <w:marRight w:val="0"/>
      <w:marTop w:val="0"/>
      <w:marBottom w:val="0"/>
      <w:divBdr>
        <w:top w:val="none" w:sz="0" w:space="0" w:color="auto"/>
        <w:left w:val="none" w:sz="0" w:space="0" w:color="auto"/>
        <w:bottom w:val="none" w:sz="0" w:space="0" w:color="auto"/>
        <w:right w:val="none" w:sz="0" w:space="0" w:color="auto"/>
      </w:divBdr>
    </w:div>
    <w:div w:id="982393093">
      <w:bodyDiv w:val="1"/>
      <w:marLeft w:val="0"/>
      <w:marRight w:val="0"/>
      <w:marTop w:val="0"/>
      <w:marBottom w:val="0"/>
      <w:divBdr>
        <w:top w:val="none" w:sz="0" w:space="0" w:color="auto"/>
        <w:left w:val="none" w:sz="0" w:space="0" w:color="auto"/>
        <w:bottom w:val="none" w:sz="0" w:space="0" w:color="auto"/>
        <w:right w:val="none" w:sz="0" w:space="0" w:color="auto"/>
      </w:divBdr>
    </w:div>
    <w:div w:id="991254390">
      <w:bodyDiv w:val="1"/>
      <w:marLeft w:val="0"/>
      <w:marRight w:val="0"/>
      <w:marTop w:val="0"/>
      <w:marBottom w:val="0"/>
      <w:divBdr>
        <w:top w:val="none" w:sz="0" w:space="0" w:color="auto"/>
        <w:left w:val="none" w:sz="0" w:space="0" w:color="auto"/>
        <w:bottom w:val="none" w:sz="0" w:space="0" w:color="auto"/>
        <w:right w:val="none" w:sz="0" w:space="0" w:color="auto"/>
      </w:divBdr>
    </w:div>
    <w:div w:id="991714478">
      <w:bodyDiv w:val="1"/>
      <w:marLeft w:val="0"/>
      <w:marRight w:val="0"/>
      <w:marTop w:val="0"/>
      <w:marBottom w:val="0"/>
      <w:divBdr>
        <w:top w:val="none" w:sz="0" w:space="0" w:color="auto"/>
        <w:left w:val="none" w:sz="0" w:space="0" w:color="auto"/>
        <w:bottom w:val="none" w:sz="0" w:space="0" w:color="auto"/>
        <w:right w:val="none" w:sz="0" w:space="0" w:color="auto"/>
      </w:divBdr>
    </w:div>
    <w:div w:id="992678738">
      <w:bodyDiv w:val="1"/>
      <w:marLeft w:val="0"/>
      <w:marRight w:val="0"/>
      <w:marTop w:val="0"/>
      <w:marBottom w:val="0"/>
      <w:divBdr>
        <w:top w:val="none" w:sz="0" w:space="0" w:color="auto"/>
        <w:left w:val="none" w:sz="0" w:space="0" w:color="auto"/>
        <w:bottom w:val="none" w:sz="0" w:space="0" w:color="auto"/>
        <w:right w:val="none" w:sz="0" w:space="0" w:color="auto"/>
      </w:divBdr>
    </w:div>
    <w:div w:id="993682829">
      <w:bodyDiv w:val="1"/>
      <w:marLeft w:val="0"/>
      <w:marRight w:val="0"/>
      <w:marTop w:val="0"/>
      <w:marBottom w:val="0"/>
      <w:divBdr>
        <w:top w:val="none" w:sz="0" w:space="0" w:color="auto"/>
        <w:left w:val="none" w:sz="0" w:space="0" w:color="auto"/>
        <w:bottom w:val="none" w:sz="0" w:space="0" w:color="auto"/>
        <w:right w:val="none" w:sz="0" w:space="0" w:color="auto"/>
      </w:divBdr>
    </w:div>
    <w:div w:id="993796742">
      <w:bodyDiv w:val="1"/>
      <w:marLeft w:val="0"/>
      <w:marRight w:val="0"/>
      <w:marTop w:val="0"/>
      <w:marBottom w:val="0"/>
      <w:divBdr>
        <w:top w:val="none" w:sz="0" w:space="0" w:color="auto"/>
        <w:left w:val="none" w:sz="0" w:space="0" w:color="auto"/>
        <w:bottom w:val="none" w:sz="0" w:space="0" w:color="auto"/>
        <w:right w:val="none" w:sz="0" w:space="0" w:color="auto"/>
      </w:divBdr>
    </w:div>
    <w:div w:id="994837975">
      <w:bodyDiv w:val="1"/>
      <w:marLeft w:val="0"/>
      <w:marRight w:val="0"/>
      <w:marTop w:val="0"/>
      <w:marBottom w:val="0"/>
      <w:divBdr>
        <w:top w:val="none" w:sz="0" w:space="0" w:color="auto"/>
        <w:left w:val="none" w:sz="0" w:space="0" w:color="auto"/>
        <w:bottom w:val="none" w:sz="0" w:space="0" w:color="auto"/>
        <w:right w:val="none" w:sz="0" w:space="0" w:color="auto"/>
      </w:divBdr>
    </w:div>
    <w:div w:id="999117059">
      <w:bodyDiv w:val="1"/>
      <w:marLeft w:val="0"/>
      <w:marRight w:val="0"/>
      <w:marTop w:val="0"/>
      <w:marBottom w:val="0"/>
      <w:divBdr>
        <w:top w:val="none" w:sz="0" w:space="0" w:color="auto"/>
        <w:left w:val="none" w:sz="0" w:space="0" w:color="auto"/>
        <w:bottom w:val="none" w:sz="0" w:space="0" w:color="auto"/>
        <w:right w:val="none" w:sz="0" w:space="0" w:color="auto"/>
      </w:divBdr>
    </w:div>
    <w:div w:id="1000163378">
      <w:bodyDiv w:val="1"/>
      <w:marLeft w:val="0"/>
      <w:marRight w:val="0"/>
      <w:marTop w:val="0"/>
      <w:marBottom w:val="0"/>
      <w:divBdr>
        <w:top w:val="none" w:sz="0" w:space="0" w:color="auto"/>
        <w:left w:val="none" w:sz="0" w:space="0" w:color="auto"/>
        <w:bottom w:val="none" w:sz="0" w:space="0" w:color="auto"/>
        <w:right w:val="none" w:sz="0" w:space="0" w:color="auto"/>
      </w:divBdr>
    </w:div>
    <w:div w:id="1000735486">
      <w:bodyDiv w:val="1"/>
      <w:marLeft w:val="0"/>
      <w:marRight w:val="0"/>
      <w:marTop w:val="0"/>
      <w:marBottom w:val="0"/>
      <w:divBdr>
        <w:top w:val="none" w:sz="0" w:space="0" w:color="auto"/>
        <w:left w:val="none" w:sz="0" w:space="0" w:color="auto"/>
        <w:bottom w:val="none" w:sz="0" w:space="0" w:color="auto"/>
        <w:right w:val="none" w:sz="0" w:space="0" w:color="auto"/>
      </w:divBdr>
    </w:div>
    <w:div w:id="1002005920">
      <w:bodyDiv w:val="1"/>
      <w:marLeft w:val="0"/>
      <w:marRight w:val="0"/>
      <w:marTop w:val="0"/>
      <w:marBottom w:val="0"/>
      <w:divBdr>
        <w:top w:val="none" w:sz="0" w:space="0" w:color="auto"/>
        <w:left w:val="none" w:sz="0" w:space="0" w:color="auto"/>
        <w:bottom w:val="none" w:sz="0" w:space="0" w:color="auto"/>
        <w:right w:val="none" w:sz="0" w:space="0" w:color="auto"/>
      </w:divBdr>
    </w:div>
    <w:div w:id="1004167744">
      <w:bodyDiv w:val="1"/>
      <w:marLeft w:val="0"/>
      <w:marRight w:val="0"/>
      <w:marTop w:val="0"/>
      <w:marBottom w:val="0"/>
      <w:divBdr>
        <w:top w:val="none" w:sz="0" w:space="0" w:color="auto"/>
        <w:left w:val="none" w:sz="0" w:space="0" w:color="auto"/>
        <w:bottom w:val="none" w:sz="0" w:space="0" w:color="auto"/>
        <w:right w:val="none" w:sz="0" w:space="0" w:color="auto"/>
      </w:divBdr>
    </w:div>
    <w:div w:id="1004748080">
      <w:bodyDiv w:val="1"/>
      <w:marLeft w:val="0"/>
      <w:marRight w:val="0"/>
      <w:marTop w:val="0"/>
      <w:marBottom w:val="0"/>
      <w:divBdr>
        <w:top w:val="none" w:sz="0" w:space="0" w:color="auto"/>
        <w:left w:val="none" w:sz="0" w:space="0" w:color="auto"/>
        <w:bottom w:val="none" w:sz="0" w:space="0" w:color="auto"/>
        <w:right w:val="none" w:sz="0" w:space="0" w:color="auto"/>
      </w:divBdr>
    </w:div>
    <w:div w:id="1007487505">
      <w:bodyDiv w:val="1"/>
      <w:marLeft w:val="0"/>
      <w:marRight w:val="0"/>
      <w:marTop w:val="0"/>
      <w:marBottom w:val="0"/>
      <w:divBdr>
        <w:top w:val="none" w:sz="0" w:space="0" w:color="auto"/>
        <w:left w:val="none" w:sz="0" w:space="0" w:color="auto"/>
        <w:bottom w:val="none" w:sz="0" w:space="0" w:color="auto"/>
        <w:right w:val="none" w:sz="0" w:space="0" w:color="auto"/>
      </w:divBdr>
    </w:div>
    <w:div w:id="1011832724">
      <w:bodyDiv w:val="1"/>
      <w:marLeft w:val="0"/>
      <w:marRight w:val="0"/>
      <w:marTop w:val="0"/>
      <w:marBottom w:val="0"/>
      <w:divBdr>
        <w:top w:val="none" w:sz="0" w:space="0" w:color="auto"/>
        <w:left w:val="none" w:sz="0" w:space="0" w:color="auto"/>
        <w:bottom w:val="none" w:sz="0" w:space="0" w:color="auto"/>
        <w:right w:val="none" w:sz="0" w:space="0" w:color="auto"/>
      </w:divBdr>
    </w:div>
    <w:div w:id="1011948782">
      <w:bodyDiv w:val="1"/>
      <w:marLeft w:val="0"/>
      <w:marRight w:val="0"/>
      <w:marTop w:val="0"/>
      <w:marBottom w:val="0"/>
      <w:divBdr>
        <w:top w:val="none" w:sz="0" w:space="0" w:color="auto"/>
        <w:left w:val="none" w:sz="0" w:space="0" w:color="auto"/>
        <w:bottom w:val="none" w:sz="0" w:space="0" w:color="auto"/>
        <w:right w:val="none" w:sz="0" w:space="0" w:color="auto"/>
      </w:divBdr>
    </w:div>
    <w:div w:id="1013142325">
      <w:bodyDiv w:val="1"/>
      <w:marLeft w:val="0"/>
      <w:marRight w:val="0"/>
      <w:marTop w:val="0"/>
      <w:marBottom w:val="0"/>
      <w:divBdr>
        <w:top w:val="none" w:sz="0" w:space="0" w:color="auto"/>
        <w:left w:val="none" w:sz="0" w:space="0" w:color="auto"/>
        <w:bottom w:val="none" w:sz="0" w:space="0" w:color="auto"/>
        <w:right w:val="none" w:sz="0" w:space="0" w:color="auto"/>
      </w:divBdr>
    </w:div>
    <w:div w:id="1013607737">
      <w:bodyDiv w:val="1"/>
      <w:marLeft w:val="0"/>
      <w:marRight w:val="0"/>
      <w:marTop w:val="0"/>
      <w:marBottom w:val="0"/>
      <w:divBdr>
        <w:top w:val="none" w:sz="0" w:space="0" w:color="auto"/>
        <w:left w:val="none" w:sz="0" w:space="0" w:color="auto"/>
        <w:bottom w:val="none" w:sz="0" w:space="0" w:color="auto"/>
        <w:right w:val="none" w:sz="0" w:space="0" w:color="auto"/>
      </w:divBdr>
    </w:div>
    <w:div w:id="1013647217">
      <w:bodyDiv w:val="1"/>
      <w:marLeft w:val="0"/>
      <w:marRight w:val="0"/>
      <w:marTop w:val="0"/>
      <w:marBottom w:val="0"/>
      <w:divBdr>
        <w:top w:val="none" w:sz="0" w:space="0" w:color="auto"/>
        <w:left w:val="none" w:sz="0" w:space="0" w:color="auto"/>
        <w:bottom w:val="none" w:sz="0" w:space="0" w:color="auto"/>
        <w:right w:val="none" w:sz="0" w:space="0" w:color="auto"/>
      </w:divBdr>
    </w:div>
    <w:div w:id="1014646477">
      <w:bodyDiv w:val="1"/>
      <w:marLeft w:val="0"/>
      <w:marRight w:val="0"/>
      <w:marTop w:val="0"/>
      <w:marBottom w:val="0"/>
      <w:divBdr>
        <w:top w:val="none" w:sz="0" w:space="0" w:color="auto"/>
        <w:left w:val="none" w:sz="0" w:space="0" w:color="auto"/>
        <w:bottom w:val="none" w:sz="0" w:space="0" w:color="auto"/>
        <w:right w:val="none" w:sz="0" w:space="0" w:color="auto"/>
      </w:divBdr>
    </w:div>
    <w:div w:id="1015615924">
      <w:bodyDiv w:val="1"/>
      <w:marLeft w:val="0"/>
      <w:marRight w:val="0"/>
      <w:marTop w:val="0"/>
      <w:marBottom w:val="0"/>
      <w:divBdr>
        <w:top w:val="none" w:sz="0" w:space="0" w:color="auto"/>
        <w:left w:val="none" w:sz="0" w:space="0" w:color="auto"/>
        <w:bottom w:val="none" w:sz="0" w:space="0" w:color="auto"/>
        <w:right w:val="none" w:sz="0" w:space="0" w:color="auto"/>
      </w:divBdr>
    </w:div>
    <w:div w:id="1018509396">
      <w:bodyDiv w:val="1"/>
      <w:marLeft w:val="0"/>
      <w:marRight w:val="0"/>
      <w:marTop w:val="0"/>
      <w:marBottom w:val="0"/>
      <w:divBdr>
        <w:top w:val="none" w:sz="0" w:space="0" w:color="auto"/>
        <w:left w:val="none" w:sz="0" w:space="0" w:color="auto"/>
        <w:bottom w:val="none" w:sz="0" w:space="0" w:color="auto"/>
        <w:right w:val="none" w:sz="0" w:space="0" w:color="auto"/>
      </w:divBdr>
    </w:div>
    <w:div w:id="1018772119">
      <w:bodyDiv w:val="1"/>
      <w:marLeft w:val="0"/>
      <w:marRight w:val="0"/>
      <w:marTop w:val="0"/>
      <w:marBottom w:val="0"/>
      <w:divBdr>
        <w:top w:val="none" w:sz="0" w:space="0" w:color="auto"/>
        <w:left w:val="none" w:sz="0" w:space="0" w:color="auto"/>
        <w:bottom w:val="none" w:sz="0" w:space="0" w:color="auto"/>
        <w:right w:val="none" w:sz="0" w:space="0" w:color="auto"/>
      </w:divBdr>
    </w:div>
    <w:div w:id="1021779255">
      <w:bodyDiv w:val="1"/>
      <w:marLeft w:val="0"/>
      <w:marRight w:val="0"/>
      <w:marTop w:val="0"/>
      <w:marBottom w:val="0"/>
      <w:divBdr>
        <w:top w:val="none" w:sz="0" w:space="0" w:color="auto"/>
        <w:left w:val="none" w:sz="0" w:space="0" w:color="auto"/>
        <w:bottom w:val="none" w:sz="0" w:space="0" w:color="auto"/>
        <w:right w:val="none" w:sz="0" w:space="0" w:color="auto"/>
      </w:divBdr>
    </w:div>
    <w:div w:id="1023939430">
      <w:bodyDiv w:val="1"/>
      <w:marLeft w:val="0"/>
      <w:marRight w:val="0"/>
      <w:marTop w:val="0"/>
      <w:marBottom w:val="0"/>
      <w:divBdr>
        <w:top w:val="none" w:sz="0" w:space="0" w:color="auto"/>
        <w:left w:val="none" w:sz="0" w:space="0" w:color="auto"/>
        <w:bottom w:val="none" w:sz="0" w:space="0" w:color="auto"/>
        <w:right w:val="none" w:sz="0" w:space="0" w:color="auto"/>
      </w:divBdr>
    </w:div>
    <w:div w:id="1024403003">
      <w:bodyDiv w:val="1"/>
      <w:marLeft w:val="0"/>
      <w:marRight w:val="0"/>
      <w:marTop w:val="0"/>
      <w:marBottom w:val="0"/>
      <w:divBdr>
        <w:top w:val="none" w:sz="0" w:space="0" w:color="auto"/>
        <w:left w:val="none" w:sz="0" w:space="0" w:color="auto"/>
        <w:bottom w:val="none" w:sz="0" w:space="0" w:color="auto"/>
        <w:right w:val="none" w:sz="0" w:space="0" w:color="auto"/>
      </w:divBdr>
    </w:div>
    <w:div w:id="1025131758">
      <w:bodyDiv w:val="1"/>
      <w:marLeft w:val="0"/>
      <w:marRight w:val="0"/>
      <w:marTop w:val="0"/>
      <w:marBottom w:val="0"/>
      <w:divBdr>
        <w:top w:val="none" w:sz="0" w:space="0" w:color="auto"/>
        <w:left w:val="none" w:sz="0" w:space="0" w:color="auto"/>
        <w:bottom w:val="none" w:sz="0" w:space="0" w:color="auto"/>
        <w:right w:val="none" w:sz="0" w:space="0" w:color="auto"/>
      </w:divBdr>
    </w:div>
    <w:div w:id="1025595068">
      <w:bodyDiv w:val="1"/>
      <w:marLeft w:val="0"/>
      <w:marRight w:val="0"/>
      <w:marTop w:val="0"/>
      <w:marBottom w:val="0"/>
      <w:divBdr>
        <w:top w:val="none" w:sz="0" w:space="0" w:color="auto"/>
        <w:left w:val="none" w:sz="0" w:space="0" w:color="auto"/>
        <w:bottom w:val="none" w:sz="0" w:space="0" w:color="auto"/>
        <w:right w:val="none" w:sz="0" w:space="0" w:color="auto"/>
      </w:divBdr>
    </w:div>
    <w:div w:id="1026322339">
      <w:bodyDiv w:val="1"/>
      <w:marLeft w:val="0"/>
      <w:marRight w:val="0"/>
      <w:marTop w:val="0"/>
      <w:marBottom w:val="0"/>
      <w:divBdr>
        <w:top w:val="none" w:sz="0" w:space="0" w:color="auto"/>
        <w:left w:val="none" w:sz="0" w:space="0" w:color="auto"/>
        <w:bottom w:val="none" w:sz="0" w:space="0" w:color="auto"/>
        <w:right w:val="none" w:sz="0" w:space="0" w:color="auto"/>
      </w:divBdr>
    </w:div>
    <w:div w:id="1026520944">
      <w:bodyDiv w:val="1"/>
      <w:marLeft w:val="0"/>
      <w:marRight w:val="0"/>
      <w:marTop w:val="0"/>
      <w:marBottom w:val="0"/>
      <w:divBdr>
        <w:top w:val="none" w:sz="0" w:space="0" w:color="auto"/>
        <w:left w:val="none" w:sz="0" w:space="0" w:color="auto"/>
        <w:bottom w:val="none" w:sz="0" w:space="0" w:color="auto"/>
        <w:right w:val="none" w:sz="0" w:space="0" w:color="auto"/>
      </w:divBdr>
    </w:div>
    <w:div w:id="1027486247">
      <w:bodyDiv w:val="1"/>
      <w:marLeft w:val="0"/>
      <w:marRight w:val="0"/>
      <w:marTop w:val="0"/>
      <w:marBottom w:val="0"/>
      <w:divBdr>
        <w:top w:val="none" w:sz="0" w:space="0" w:color="auto"/>
        <w:left w:val="none" w:sz="0" w:space="0" w:color="auto"/>
        <w:bottom w:val="none" w:sz="0" w:space="0" w:color="auto"/>
        <w:right w:val="none" w:sz="0" w:space="0" w:color="auto"/>
      </w:divBdr>
    </w:div>
    <w:div w:id="1027679570">
      <w:bodyDiv w:val="1"/>
      <w:marLeft w:val="0"/>
      <w:marRight w:val="0"/>
      <w:marTop w:val="0"/>
      <w:marBottom w:val="0"/>
      <w:divBdr>
        <w:top w:val="none" w:sz="0" w:space="0" w:color="auto"/>
        <w:left w:val="none" w:sz="0" w:space="0" w:color="auto"/>
        <w:bottom w:val="none" w:sz="0" w:space="0" w:color="auto"/>
        <w:right w:val="none" w:sz="0" w:space="0" w:color="auto"/>
      </w:divBdr>
    </w:div>
    <w:div w:id="1027828016">
      <w:bodyDiv w:val="1"/>
      <w:marLeft w:val="0"/>
      <w:marRight w:val="0"/>
      <w:marTop w:val="0"/>
      <w:marBottom w:val="0"/>
      <w:divBdr>
        <w:top w:val="none" w:sz="0" w:space="0" w:color="auto"/>
        <w:left w:val="none" w:sz="0" w:space="0" w:color="auto"/>
        <w:bottom w:val="none" w:sz="0" w:space="0" w:color="auto"/>
        <w:right w:val="none" w:sz="0" w:space="0" w:color="auto"/>
      </w:divBdr>
    </w:div>
    <w:div w:id="1028219025">
      <w:bodyDiv w:val="1"/>
      <w:marLeft w:val="0"/>
      <w:marRight w:val="0"/>
      <w:marTop w:val="0"/>
      <w:marBottom w:val="0"/>
      <w:divBdr>
        <w:top w:val="none" w:sz="0" w:space="0" w:color="auto"/>
        <w:left w:val="none" w:sz="0" w:space="0" w:color="auto"/>
        <w:bottom w:val="none" w:sz="0" w:space="0" w:color="auto"/>
        <w:right w:val="none" w:sz="0" w:space="0" w:color="auto"/>
      </w:divBdr>
    </w:div>
    <w:div w:id="1028724653">
      <w:bodyDiv w:val="1"/>
      <w:marLeft w:val="0"/>
      <w:marRight w:val="0"/>
      <w:marTop w:val="0"/>
      <w:marBottom w:val="0"/>
      <w:divBdr>
        <w:top w:val="none" w:sz="0" w:space="0" w:color="auto"/>
        <w:left w:val="none" w:sz="0" w:space="0" w:color="auto"/>
        <w:bottom w:val="none" w:sz="0" w:space="0" w:color="auto"/>
        <w:right w:val="none" w:sz="0" w:space="0" w:color="auto"/>
      </w:divBdr>
    </w:div>
    <w:div w:id="1029917168">
      <w:bodyDiv w:val="1"/>
      <w:marLeft w:val="0"/>
      <w:marRight w:val="0"/>
      <w:marTop w:val="0"/>
      <w:marBottom w:val="0"/>
      <w:divBdr>
        <w:top w:val="none" w:sz="0" w:space="0" w:color="auto"/>
        <w:left w:val="none" w:sz="0" w:space="0" w:color="auto"/>
        <w:bottom w:val="none" w:sz="0" w:space="0" w:color="auto"/>
        <w:right w:val="none" w:sz="0" w:space="0" w:color="auto"/>
      </w:divBdr>
    </w:div>
    <w:div w:id="1030423029">
      <w:bodyDiv w:val="1"/>
      <w:marLeft w:val="0"/>
      <w:marRight w:val="0"/>
      <w:marTop w:val="0"/>
      <w:marBottom w:val="0"/>
      <w:divBdr>
        <w:top w:val="none" w:sz="0" w:space="0" w:color="auto"/>
        <w:left w:val="none" w:sz="0" w:space="0" w:color="auto"/>
        <w:bottom w:val="none" w:sz="0" w:space="0" w:color="auto"/>
        <w:right w:val="none" w:sz="0" w:space="0" w:color="auto"/>
      </w:divBdr>
    </w:div>
    <w:div w:id="1030767077">
      <w:bodyDiv w:val="1"/>
      <w:marLeft w:val="0"/>
      <w:marRight w:val="0"/>
      <w:marTop w:val="0"/>
      <w:marBottom w:val="0"/>
      <w:divBdr>
        <w:top w:val="none" w:sz="0" w:space="0" w:color="auto"/>
        <w:left w:val="none" w:sz="0" w:space="0" w:color="auto"/>
        <w:bottom w:val="none" w:sz="0" w:space="0" w:color="auto"/>
        <w:right w:val="none" w:sz="0" w:space="0" w:color="auto"/>
      </w:divBdr>
    </w:div>
    <w:div w:id="1032338496">
      <w:bodyDiv w:val="1"/>
      <w:marLeft w:val="0"/>
      <w:marRight w:val="0"/>
      <w:marTop w:val="0"/>
      <w:marBottom w:val="0"/>
      <w:divBdr>
        <w:top w:val="none" w:sz="0" w:space="0" w:color="auto"/>
        <w:left w:val="none" w:sz="0" w:space="0" w:color="auto"/>
        <w:bottom w:val="none" w:sz="0" w:space="0" w:color="auto"/>
        <w:right w:val="none" w:sz="0" w:space="0" w:color="auto"/>
      </w:divBdr>
    </w:div>
    <w:div w:id="1032875132">
      <w:bodyDiv w:val="1"/>
      <w:marLeft w:val="0"/>
      <w:marRight w:val="0"/>
      <w:marTop w:val="0"/>
      <w:marBottom w:val="0"/>
      <w:divBdr>
        <w:top w:val="none" w:sz="0" w:space="0" w:color="auto"/>
        <w:left w:val="none" w:sz="0" w:space="0" w:color="auto"/>
        <w:bottom w:val="none" w:sz="0" w:space="0" w:color="auto"/>
        <w:right w:val="none" w:sz="0" w:space="0" w:color="auto"/>
      </w:divBdr>
    </w:div>
    <w:div w:id="1033190630">
      <w:bodyDiv w:val="1"/>
      <w:marLeft w:val="0"/>
      <w:marRight w:val="0"/>
      <w:marTop w:val="0"/>
      <w:marBottom w:val="0"/>
      <w:divBdr>
        <w:top w:val="none" w:sz="0" w:space="0" w:color="auto"/>
        <w:left w:val="none" w:sz="0" w:space="0" w:color="auto"/>
        <w:bottom w:val="none" w:sz="0" w:space="0" w:color="auto"/>
        <w:right w:val="none" w:sz="0" w:space="0" w:color="auto"/>
      </w:divBdr>
    </w:div>
    <w:div w:id="1033530868">
      <w:bodyDiv w:val="1"/>
      <w:marLeft w:val="0"/>
      <w:marRight w:val="0"/>
      <w:marTop w:val="0"/>
      <w:marBottom w:val="0"/>
      <w:divBdr>
        <w:top w:val="none" w:sz="0" w:space="0" w:color="auto"/>
        <w:left w:val="none" w:sz="0" w:space="0" w:color="auto"/>
        <w:bottom w:val="none" w:sz="0" w:space="0" w:color="auto"/>
        <w:right w:val="none" w:sz="0" w:space="0" w:color="auto"/>
      </w:divBdr>
    </w:div>
    <w:div w:id="1034427602">
      <w:bodyDiv w:val="1"/>
      <w:marLeft w:val="0"/>
      <w:marRight w:val="0"/>
      <w:marTop w:val="0"/>
      <w:marBottom w:val="0"/>
      <w:divBdr>
        <w:top w:val="none" w:sz="0" w:space="0" w:color="auto"/>
        <w:left w:val="none" w:sz="0" w:space="0" w:color="auto"/>
        <w:bottom w:val="none" w:sz="0" w:space="0" w:color="auto"/>
        <w:right w:val="none" w:sz="0" w:space="0" w:color="auto"/>
      </w:divBdr>
    </w:div>
    <w:div w:id="1035080776">
      <w:bodyDiv w:val="1"/>
      <w:marLeft w:val="0"/>
      <w:marRight w:val="0"/>
      <w:marTop w:val="0"/>
      <w:marBottom w:val="0"/>
      <w:divBdr>
        <w:top w:val="none" w:sz="0" w:space="0" w:color="auto"/>
        <w:left w:val="none" w:sz="0" w:space="0" w:color="auto"/>
        <w:bottom w:val="none" w:sz="0" w:space="0" w:color="auto"/>
        <w:right w:val="none" w:sz="0" w:space="0" w:color="auto"/>
      </w:divBdr>
    </w:div>
    <w:div w:id="1035152362">
      <w:bodyDiv w:val="1"/>
      <w:marLeft w:val="0"/>
      <w:marRight w:val="0"/>
      <w:marTop w:val="0"/>
      <w:marBottom w:val="0"/>
      <w:divBdr>
        <w:top w:val="none" w:sz="0" w:space="0" w:color="auto"/>
        <w:left w:val="none" w:sz="0" w:space="0" w:color="auto"/>
        <w:bottom w:val="none" w:sz="0" w:space="0" w:color="auto"/>
        <w:right w:val="none" w:sz="0" w:space="0" w:color="auto"/>
      </w:divBdr>
    </w:div>
    <w:div w:id="1037314536">
      <w:bodyDiv w:val="1"/>
      <w:marLeft w:val="0"/>
      <w:marRight w:val="0"/>
      <w:marTop w:val="0"/>
      <w:marBottom w:val="0"/>
      <w:divBdr>
        <w:top w:val="none" w:sz="0" w:space="0" w:color="auto"/>
        <w:left w:val="none" w:sz="0" w:space="0" w:color="auto"/>
        <w:bottom w:val="none" w:sz="0" w:space="0" w:color="auto"/>
        <w:right w:val="none" w:sz="0" w:space="0" w:color="auto"/>
      </w:divBdr>
    </w:div>
    <w:div w:id="1038621584">
      <w:bodyDiv w:val="1"/>
      <w:marLeft w:val="0"/>
      <w:marRight w:val="0"/>
      <w:marTop w:val="0"/>
      <w:marBottom w:val="0"/>
      <w:divBdr>
        <w:top w:val="none" w:sz="0" w:space="0" w:color="auto"/>
        <w:left w:val="none" w:sz="0" w:space="0" w:color="auto"/>
        <w:bottom w:val="none" w:sz="0" w:space="0" w:color="auto"/>
        <w:right w:val="none" w:sz="0" w:space="0" w:color="auto"/>
      </w:divBdr>
    </w:div>
    <w:div w:id="1040285176">
      <w:bodyDiv w:val="1"/>
      <w:marLeft w:val="0"/>
      <w:marRight w:val="0"/>
      <w:marTop w:val="0"/>
      <w:marBottom w:val="0"/>
      <w:divBdr>
        <w:top w:val="none" w:sz="0" w:space="0" w:color="auto"/>
        <w:left w:val="none" w:sz="0" w:space="0" w:color="auto"/>
        <w:bottom w:val="none" w:sz="0" w:space="0" w:color="auto"/>
        <w:right w:val="none" w:sz="0" w:space="0" w:color="auto"/>
      </w:divBdr>
    </w:div>
    <w:div w:id="1040937576">
      <w:bodyDiv w:val="1"/>
      <w:marLeft w:val="0"/>
      <w:marRight w:val="0"/>
      <w:marTop w:val="0"/>
      <w:marBottom w:val="0"/>
      <w:divBdr>
        <w:top w:val="none" w:sz="0" w:space="0" w:color="auto"/>
        <w:left w:val="none" w:sz="0" w:space="0" w:color="auto"/>
        <w:bottom w:val="none" w:sz="0" w:space="0" w:color="auto"/>
        <w:right w:val="none" w:sz="0" w:space="0" w:color="auto"/>
      </w:divBdr>
    </w:div>
    <w:div w:id="1041051027">
      <w:bodyDiv w:val="1"/>
      <w:marLeft w:val="0"/>
      <w:marRight w:val="0"/>
      <w:marTop w:val="0"/>
      <w:marBottom w:val="0"/>
      <w:divBdr>
        <w:top w:val="none" w:sz="0" w:space="0" w:color="auto"/>
        <w:left w:val="none" w:sz="0" w:space="0" w:color="auto"/>
        <w:bottom w:val="none" w:sz="0" w:space="0" w:color="auto"/>
        <w:right w:val="none" w:sz="0" w:space="0" w:color="auto"/>
      </w:divBdr>
    </w:div>
    <w:div w:id="1041444520">
      <w:bodyDiv w:val="1"/>
      <w:marLeft w:val="0"/>
      <w:marRight w:val="0"/>
      <w:marTop w:val="0"/>
      <w:marBottom w:val="0"/>
      <w:divBdr>
        <w:top w:val="none" w:sz="0" w:space="0" w:color="auto"/>
        <w:left w:val="none" w:sz="0" w:space="0" w:color="auto"/>
        <w:bottom w:val="none" w:sz="0" w:space="0" w:color="auto"/>
        <w:right w:val="none" w:sz="0" w:space="0" w:color="auto"/>
      </w:divBdr>
    </w:div>
    <w:div w:id="1041592882">
      <w:bodyDiv w:val="1"/>
      <w:marLeft w:val="0"/>
      <w:marRight w:val="0"/>
      <w:marTop w:val="0"/>
      <w:marBottom w:val="0"/>
      <w:divBdr>
        <w:top w:val="none" w:sz="0" w:space="0" w:color="auto"/>
        <w:left w:val="none" w:sz="0" w:space="0" w:color="auto"/>
        <w:bottom w:val="none" w:sz="0" w:space="0" w:color="auto"/>
        <w:right w:val="none" w:sz="0" w:space="0" w:color="auto"/>
      </w:divBdr>
    </w:div>
    <w:div w:id="1043822903">
      <w:bodyDiv w:val="1"/>
      <w:marLeft w:val="0"/>
      <w:marRight w:val="0"/>
      <w:marTop w:val="0"/>
      <w:marBottom w:val="0"/>
      <w:divBdr>
        <w:top w:val="none" w:sz="0" w:space="0" w:color="auto"/>
        <w:left w:val="none" w:sz="0" w:space="0" w:color="auto"/>
        <w:bottom w:val="none" w:sz="0" w:space="0" w:color="auto"/>
        <w:right w:val="none" w:sz="0" w:space="0" w:color="auto"/>
      </w:divBdr>
    </w:div>
    <w:div w:id="1043989852">
      <w:bodyDiv w:val="1"/>
      <w:marLeft w:val="0"/>
      <w:marRight w:val="0"/>
      <w:marTop w:val="0"/>
      <w:marBottom w:val="0"/>
      <w:divBdr>
        <w:top w:val="none" w:sz="0" w:space="0" w:color="auto"/>
        <w:left w:val="none" w:sz="0" w:space="0" w:color="auto"/>
        <w:bottom w:val="none" w:sz="0" w:space="0" w:color="auto"/>
        <w:right w:val="none" w:sz="0" w:space="0" w:color="auto"/>
      </w:divBdr>
    </w:div>
    <w:div w:id="1046025203">
      <w:bodyDiv w:val="1"/>
      <w:marLeft w:val="0"/>
      <w:marRight w:val="0"/>
      <w:marTop w:val="0"/>
      <w:marBottom w:val="0"/>
      <w:divBdr>
        <w:top w:val="none" w:sz="0" w:space="0" w:color="auto"/>
        <w:left w:val="none" w:sz="0" w:space="0" w:color="auto"/>
        <w:bottom w:val="none" w:sz="0" w:space="0" w:color="auto"/>
        <w:right w:val="none" w:sz="0" w:space="0" w:color="auto"/>
      </w:divBdr>
    </w:div>
    <w:div w:id="1046874774">
      <w:bodyDiv w:val="1"/>
      <w:marLeft w:val="0"/>
      <w:marRight w:val="0"/>
      <w:marTop w:val="0"/>
      <w:marBottom w:val="0"/>
      <w:divBdr>
        <w:top w:val="none" w:sz="0" w:space="0" w:color="auto"/>
        <w:left w:val="none" w:sz="0" w:space="0" w:color="auto"/>
        <w:bottom w:val="none" w:sz="0" w:space="0" w:color="auto"/>
        <w:right w:val="none" w:sz="0" w:space="0" w:color="auto"/>
      </w:divBdr>
    </w:div>
    <w:div w:id="1049457359">
      <w:bodyDiv w:val="1"/>
      <w:marLeft w:val="0"/>
      <w:marRight w:val="0"/>
      <w:marTop w:val="0"/>
      <w:marBottom w:val="0"/>
      <w:divBdr>
        <w:top w:val="none" w:sz="0" w:space="0" w:color="auto"/>
        <w:left w:val="none" w:sz="0" w:space="0" w:color="auto"/>
        <w:bottom w:val="none" w:sz="0" w:space="0" w:color="auto"/>
        <w:right w:val="none" w:sz="0" w:space="0" w:color="auto"/>
      </w:divBdr>
    </w:div>
    <w:div w:id="1052535998">
      <w:bodyDiv w:val="1"/>
      <w:marLeft w:val="0"/>
      <w:marRight w:val="0"/>
      <w:marTop w:val="0"/>
      <w:marBottom w:val="0"/>
      <w:divBdr>
        <w:top w:val="none" w:sz="0" w:space="0" w:color="auto"/>
        <w:left w:val="none" w:sz="0" w:space="0" w:color="auto"/>
        <w:bottom w:val="none" w:sz="0" w:space="0" w:color="auto"/>
        <w:right w:val="none" w:sz="0" w:space="0" w:color="auto"/>
      </w:divBdr>
    </w:div>
    <w:div w:id="1052579806">
      <w:bodyDiv w:val="1"/>
      <w:marLeft w:val="0"/>
      <w:marRight w:val="0"/>
      <w:marTop w:val="0"/>
      <w:marBottom w:val="0"/>
      <w:divBdr>
        <w:top w:val="none" w:sz="0" w:space="0" w:color="auto"/>
        <w:left w:val="none" w:sz="0" w:space="0" w:color="auto"/>
        <w:bottom w:val="none" w:sz="0" w:space="0" w:color="auto"/>
        <w:right w:val="none" w:sz="0" w:space="0" w:color="auto"/>
      </w:divBdr>
    </w:div>
    <w:div w:id="1053116171">
      <w:bodyDiv w:val="1"/>
      <w:marLeft w:val="0"/>
      <w:marRight w:val="0"/>
      <w:marTop w:val="0"/>
      <w:marBottom w:val="0"/>
      <w:divBdr>
        <w:top w:val="none" w:sz="0" w:space="0" w:color="auto"/>
        <w:left w:val="none" w:sz="0" w:space="0" w:color="auto"/>
        <w:bottom w:val="none" w:sz="0" w:space="0" w:color="auto"/>
        <w:right w:val="none" w:sz="0" w:space="0" w:color="auto"/>
      </w:divBdr>
    </w:div>
    <w:div w:id="1054811397">
      <w:bodyDiv w:val="1"/>
      <w:marLeft w:val="0"/>
      <w:marRight w:val="0"/>
      <w:marTop w:val="0"/>
      <w:marBottom w:val="0"/>
      <w:divBdr>
        <w:top w:val="none" w:sz="0" w:space="0" w:color="auto"/>
        <w:left w:val="none" w:sz="0" w:space="0" w:color="auto"/>
        <w:bottom w:val="none" w:sz="0" w:space="0" w:color="auto"/>
        <w:right w:val="none" w:sz="0" w:space="0" w:color="auto"/>
      </w:divBdr>
    </w:div>
    <w:div w:id="1055858988">
      <w:bodyDiv w:val="1"/>
      <w:marLeft w:val="0"/>
      <w:marRight w:val="0"/>
      <w:marTop w:val="0"/>
      <w:marBottom w:val="0"/>
      <w:divBdr>
        <w:top w:val="none" w:sz="0" w:space="0" w:color="auto"/>
        <w:left w:val="none" w:sz="0" w:space="0" w:color="auto"/>
        <w:bottom w:val="none" w:sz="0" w:space="0" w:color="auto"/>
        <w:right w:val="none" w:sz="0" w:space="0" w:color="auto"/>
      </w:divBdr>
    </w:div>
    <w:div w:id="1058363574">
      <w:bodyDiv w:val="1"/>
      <w:marLeft w:val="0"/>
      <w:marRight w:val="0"/>
      <w:marTop w:val="0"/>
      <w:marBottom w:val="0"/>
      <w:divBdr>
        <w:top w:val="none" w:sz="0" w:space="0" w:color="auto"/>
        <w:left w:val="none" w:sz="0" w:space="0" w:color="auto"/>
        <w:bottom w:val="none" w:sz="0" w:space="0" w:color="auto"/>
        <w:right w:val="none" w:sz="0" w:space="0" w:color="auto"/>
      </w:divBdr>
    </w:div>
    <w:div w:id="1060059877">
      <w:bodyDiv w:val="1"/>
      <w:marLeft w:val="0"/>
      <w:marRight w:val="0"/>
      <w:marTop w:val="0"/>
      <w:marBottom w:val="0"/>
      <w:divBdr>
        <w:top w:val="none" w:sz="0" w:space="0" w:color="auto"/>
        <w:left w:val="none" w:sz="0" w:space="0" w:color="auto"/>
        <w:bottom w:val="none" w:sz="0" w:space="0" w:color="auto"/>
        <w:right w:val="none" w:sz="0" w:space="0" w:color="auto"/>
      </w:divBdr>
    </w:div>
    <w:div w:id="1060444435">
      <w:bodyDiv w:val="1"/>
      <w:marLeft w:val="0"/>
      <w:marRight w:val="0"/>
      <w:marTop w:val="0"/>
      <w:marBottom w:val="0"/>
      <w:divBdr>
        <w:top w:val="none" w:sz="0" w:space="0" w:color="auto"/>
        <w:left w:val="none" w:sz="0" w:space="0" w:color="auto"/>
        <w:bottom w:val="none" w:sz="0" w:space="0" w:color="auto"/>
        <w:right w:val="none" w:sz="0" w:space="0" w:color="auto"/>
      </w:divBdr>
    </w:div>
    <w:div w:id="1060791226">
      <w:bodyDiv w:val="1"/>
      <w:marLeft w:val="0"/>
      <w:marRight w:val="0"/>
      <w:marTop w:val="0"/>
      <w:marBottom w:val="0"/>
      <w:divBdr>
        <w:top w:val="none" w:sz="0" w:space="0" w:color="auto"/>
        <w:left w:val="none" w:sz="0" w:space="0" w:color="auto"/>
        <w:bottom w:val="none" w:sz="0" w:space="0" w:color="auto"/>
        <w:right w:val="none" w:sz="0" w:space="0" w:color="auto"/>
      </w:divBdr>
    </w:div>
    <w:div w:id="1061947054">
      <w:bodyDiv w:val="1"/>
      <w:marLeft w:val="0"/>
      <w:marRight w:val="0"/>
      <w:marTop w:val="0"/>
      <w:marBottom w:val="0"/>
      <w:divBdr>
        <w:top w:val="none" w:sz="0" w:space="0" w:color="auto"/>
        <w:left w:val="none" w:sz="0" w:space="0" w:color="auto"/>
        <w:bottom w:val="none" w:sz="0" w:space="0" w:color="auto"/>
        <w:right w:val="none" w:sz="0" w:space="0" w:color="auto"/>
      </w:divBdr>
    </w:div>
    <w:div w:id="1062680597">
      <w:bodyDiv w:val="1"/>
      <w:marLeft w:val="0"/>
      <w:marRight w:val="0"/>
      <w:marTop w:val="0"/>
      <w:marBottom w:val="0"/>
      <w:divBdr>
        <w:top w:val="none" w:sz="0" w:space="0" w:color="auto"/>
        <w:left w:val="none" w:sz="0" w:space="0" w:color="auto"/>
        <w:bottom w:val="none" w:sz="0" w:space="0" w:color="auto"/>
        <w:right w:val="none" w:sz="0" w:space="0" w:color="auto"/>
      </w:divBdr>
    </w:div>
    <w:div w:id="1062942126">
      <w:bodyDiv w:val="1"/>
      <w:marLeft w:val="0"/>
      <w:marRight w:val="0"/>
      <w:marTop w:val="0"/>
      <w:marBottom w:val="0"/>
      <w:divBdr>
        <w:top w:val="none" w:sz="0" w:space="0" w:color="auto"/>
        <w:left w:val="none" w:sz="0" w:space="0" w:color="auto"/>
        <w:bottom w:val="none" w:sz="0" w:space="0" w:color="auto"/>
        <w:right w:val="none" w:sz="0" w:space="0" w:color="auto"/>
      </w:divBdr>
    </w:div>
    <w:div w:id="1063407371">
      <w:bodyDiv w:val="1"/>
      <w:marLeft w:val="0"/>
      <w:marRight w:val="0"/>
      <w:marTop w:val="0"/>
      <w:marBottom w:val="0"/>
      <w:divBdr>
        <w:top w:val="none" w:sz="0" w:space="0" w:color="auto"/>
        <w:left w:val="none" w:sz="0" w:space="0" w:color="auto"/>
        <w:bottom w:val="none" w:sz="0" w:space="0" w:color="auto"/>
        <w:right w:val="none" w:sz="0" w:space="0" w:color="auto"/>
      </w:divBdr>
    </w:div>
    <w:div w:id="1065110145">
      <w:bodyDiv w:val="1"/>
      <w:marLeft w:val="0"/>
      <w:marRight w:val="0"/>
      <w:marTop w:val="0"/>
      <w:marBottom w:val="0"/>
      <w:divBdr>
        <w:top w:val="none" w:sz="0" w:space="0" w:color="auto"/>
        <w:left w:val="none" w:sz="0" w:space="0" w:color="auto"/>
        <w:bottom w:val="none" w:sz="0" w:space="0" w:color="auto"/>
        <w:right w:val="none" w:sz="0" w:space="0" w:color="auto"/>
      </w:divBdr>
    </w:div>
    <w:div w:id="1066033059">
      <w:bodyDiv w:val="1"/>
      <w:marLeft w:val="0"/>
      <w:marRight w:val="0"/>
      <w:marTop w:val="0"/>
      <w:marBottom w:val="0"/>
      <w:divBdr>
        <w:top w:val="none" w:sz="0" w:space="0" w:color="auto"/>
        <w:left w:val="none" w:sz="0" w:space="0" w:color="auto"/>
        <w:bottom w:val="none" w:sz="0" w:space="0" w:color="auto"/>
        <w:right w:val="none" w:sz="0" w:space="0" w:color="auto"/>
      </w:divBdr>
    </w:div>
    <w:div w:id="1067067364">
      <w:bodyDiv w:val="1"/>
      <w:marLeft w:val="0"/>
      <w:marRight w:val="0"/>
      <w:marTop w:val="0"/>
      <w:marBottom w:val="0"/>
      <w:divBdr>
        <w:top w:val="none" w:sz="0" w:space="0" w:color="auto"/>
        <w:left w:val="none" w:sz="0" w:space="0" w:color="auto"/>
        <w:bottom w:val="none" w:sz="0" w:space="0" w:color="auto"/>
        <w:right w:val="none" w:sz="0" w:space="0" w:color="auto"/>
      </w:divBdr>
    </w:div>
    <w:div w:id="1067798560">
      <w:bodyDiv w:val="1"/>
      <w:marLeft w:val="0"/>
      <w:marRight w:val="0"/>
      <w:marTop w:val="0"/>
      <w:marBottom w:val="0"/>
      <w:divBdr>
        <w:top w:val="none" w:sz="0" w:space="0" w:color="auto"/>
        <w:left w:val="none" w:sz="0" w:space="0" w:color="auto"/>
        <w:bottom w:val="none" w:sz="0" w:space="0" w:color="auto"/>
        <w:right w:val="none" w:sz="0" w:space="0" w:color="auto"/>
      </w:divBdr>
    </w:div>
    <w:div w:id="1068958946">
      <w:bodyDiv w:val="1"/>
      <w:marLeft w:val="0"/>
      <w:marRight w:val="0"/>
      <w:marTop w:val="0"/>
      <w:marBottom w:val="0"/>
      <w:divBdr>
        <w:top w:val="none" w:sz="0" w:space="0" w:color="auto"/>
        <w:left w:val="none" w:sz="0" w:space="0" w:color="auto"/>
        <w:bottom w:val="none" w:sz="0" w:space="0" w:color="auto"/>
        <w:right w:val="none" w:sz="0" w:space="0" w:color="auto"/>
      </w:divBdr>
    </w:div>
    <w:div w:id="1071121262">
      <w:bodyDiv w:val="1"/>
      <w:marLeft w:val="0"/>
      <w:marRight w:val="0"/>
      <w:marTop w:val="0"/>
      <w:marBottom w:val="0"/>
      <w:divBdr>
        <w:top w:val="none" w:sz="0" w:space="0" w:color="auto"/>
        <w:left w:val="none" w:sz="0" w:space="0" w:color="auto"/>
        <w:bottom w:val="none" w:sz="0" w:space="0" w:color="auto"/>
        <w:right w:val="none" w:sz="0" w:space="0" w:color="auto"/>
      </w:divBdr>
    </w:div>
    <w:div w:id="1071585108">
      <w:bodyDiv w:val="1"/>
      <w:marLeft w:val="0"/>
      <w:marRight w:val="0"/>
      <w:marTop w:val="0"/>
      <w:marBottom w:val="0"/>
      <w:divBdr>
        <w:top w:val="none" w:sz="0" w:space="0" w:color="auto"/>
        <w:left w:val="none" w:sz="0" w:space="0" w:color="auto"/>
        <w:bottom w:val="none" w:sz="0" w:space="0" w:color="auto"/>
        <w:right w:val="none" w:sz="0" w:space="0" w:color="auto"/>
      </w:divBdr>
    </w:div>
    <w:div w:id="1072890055">
      <w:bodyDiv w:val="1"/>
      <w:marLeft w:val="0"/>
      <w:marRight w:val="0"/>
      <w:marTop w:val="0"/>
      <w:marBottom w:val="0"/>
      <w:divBdr>
        <w:top w:val="none" w:sz="0" w:space="0" w:color="auto"/>
        <w:left w:val="none" w:sz="0" w:space="0" w:color="auto"/>
        <w:bottom w:val="none" w:sz="0" w:space="0" w:color="auto"/>
        <w:right w:val="none" w:sz="0" w:space="0" w:color="auto"/>
      </w:divBdr>
    </w:div>
    <w:div w:id="1073546762">
      <w:bodyDiv w:val="1"/>
      <w:marLeft w:val="0"/>
      <w:marRight w:val="0"/>
      <w:marTop w:val="0"/>
      <w:marBottom w:val="0"/>
      <w:divBdr>
        <w:top w:val="none" w:sz="0" w:space="0" w:color="auto"/>
        <w:left w:val="none" w:sz="0" w:space="0" w:color="auto"/>
        <w:bottom w:val="none" w:sz="0" w:space="0" w:color="auto"/>
        <w:right w:val="none" w:sz="0" w:space="0" w:color="auto"/>
      </w:divBdr>
    </w:div>
    <w:div w:id="1078676321">
      <w:bodyDiv w:val="1"/>
      <w:marLeft w:val="0"/>
      <w:marRight w:val="0"/>
      <w:marTop w:val="0"/>
      <w:marBottom w:val="0"/>
      <w:divBdr>
        <w:top w:val="none" w:sz="0" w:space="0" w:color="auto"/>
        <w:left w:val="none" w:sz="0" w:space="0" w:color="auto"/>
        <w:bottom w:val="none" w:sz="0" w:space="0" w:color="auto"/>
        <w:right w:val="none" w:sz="0" w:space="0" w:color="auto"/>
      </w:divBdr>
    </w:div>
    <w:div w:id="1079213514">
      <w:bodyDiv w:val="1"/>
      <w:marLeft w:val="0"/>
      <w:marRight w:val="0"/>
      <w:marTop w:val="0"/>
      <w:marBottom w:val="0"/>
      <w:divBdr>
        <w:top w:val="none" w:sz="0" w:space="0" w:color="auto"/>
        <w:left w:val="none" w:sz="0" w:space="0" w:color="auto"/>
        <w:bottom w:val="none" w:sz="0" w:space="0" w:color="auto"/>
        <w:right w:val="none" w:sz="0" w:space="0" w:color="auto"/>
      </w:divBdr>
    </w:div>
    <w:div w:id="1081370213">
      <w:bodyDiv w:val="1"/>
      <w:marLeft w:val="0"/>
      <w:marRight w:val="0"/>
      <w:marTop w:val="0"/>
      <w:marBottom w:val="0"/>
      <w:divBdr>
        <w:top w:val="none" w:sz="0" w:space="0" w:color="auto"/>
        <w:left w:val="none" w:sz="0" w:space="0" w:color="auto"/>
        <w:bottom w:val="none" w:sz="0" w:space="0" w:color="auto"/>
        <w:right w:val="none" w:sz="0" w:space="0" w:color="auto"/>
      </w:divBdr>
    </w:div>
    <w:div w:id="1083258463">
      <w:bodyDiv w:val="1"/>
      <w:marLeft w:val="0"/>
      <w:marRight w:val="0"/>
      <w:marTop w:val="0"/>
      <w:marBottom w:val="0"/>
      <w:divBdr>
        <w:top w:val="none" w:sz="0" w:space="0" w:color="auto"/>
        <w:left w:val="none" w:sz="0" w:space="0" w:color="auto"/>
        <w:bottom w:val="none" w:sz="0" w:space="0" w:color="auto"/>
        <w:right w:val="none" w:sz="0" w:space="0" w:color="auto"/>
      </w:divBdr>
    </w:div>
    <w:div w:id="1084885973">
      <w:bodyDiv w:val="1"/>
      <w:marLeft w:val="0"/>
      <w:marRight w:val="0"/>
      <w:marTop w:val="0"/>
      <w:marBottom w:val="0"/>
      <w:divBdr>
        <w:top w:val="none" w:sz="0" w:space="0" w:color="auto"/>
        <w:left w:val="none" w:sz="0" w:space="0" w:color="auto"/>
        <w:bottom w:val="none" w:sz="0" w:space="0" w:color="auto"/>
        <w:right w:val="none" w:sz="0" w:space="0" w:color="auto"/>
      </w:divBdr>
    </w:div>
    <w:div w:id="1085418623">
      <w:bodyDiv w:val="1"/>
      <w:marLeft w:val="0"/>
      <w:marRight w:val="0"/>
      <w:marTop w:val="0"/>
      <w:marBottom w:val="0"/>
      <w:divBdr>
        <w:top w:val="none" w:sz="0" w:space="0" w:color="auto"/>
        <w:left w:val="none" w:sz="0" w:space="0" w:color="auto"/>
        <w:bottom w:val="none" w:sz="0" w:space="0" w:color="auto"/>
        <w:right w:val="none" w:sz="0" w:space="0" w:color="auto"/>
      </w:divBdr>
    </w:div>
    <w:div w:id="1085491230">
      <w:bodyDiv w:val="1"/>
      <w:marLeft w:val="0"/>
      <w:marRight w:val="0"/>
      <w:marTop w:val="0"/>
      <w:marBottom w:val="0"/>
      <w:divBdr>
        <w:top w:val="none" w:sz="0" w:space="0" w:color="auto"/>
        <w:left w:val="none" w:sz="0" w:space="0" w:color="auto"/>
        <w:bottom w:val="none" w:sz="0" w:space="0" w:color="auto"/>
        <w:right w:val="none" w:sz="0" w:space="0" w:color="auto"/>
      </w:divBdr>
    </w:div>
    <w:div w:id="1086000619">
      <w:bodyDiv w:val="1"/>
      <w:marLeft w:val="0"/>
      <w:marRight w:val="0"/>
      <w:marTop w:val="0"/>
      <w:marBottom w:val="0"/>
      <w:divBdr>
        <w:top w:val="none" w:sz="0" w:space="0" w:color="auto"/>
        <w:left w:val="none" w:sz="0" w:space="0" w:color="auto"/>
        <w:bottom w:val="none" w:sz="0" w:space="0" w:color="auto"/>
        <w:right w:val="none" w:sz="0" w:space="0" w:color="auto"/>
      </w:divBdr>
    </w:div>
    <w:div w:id="1087269152">
      <w:bodyDiv w:val="1"/>
      <w:marLeft w:val="0"/>
      <w:marRight w:val="0"/>
      <w:marTop w:val="0"/>
      <w:marBottom w:val="0"/>
      <w:divBdr>
        <w:top w:val="none" w:sz="0" w:space="0" w:color="auto"/>
        <w:left w:val="none" w:sz="0" w:space="0" w:color="auto"/>
        <w:bottom w:val="none" w:sz="0" w:space="0" w:color="auto"/>
        <w:right w:val="none" w:sz="0" w:space="0" w:color="auto"/>
      </w:divBdr>
    </w:div>
    <w:div w:id="1088160021">
      <w:bodyDiv w:val="1"/>
      <w:marLeft w:val="0"/>
      <w:marRight w:val="0"/>
      <w:marTop w:val="0"/>
      <w:marBottom w:val="0"/>
      <w:divBdr>
        <w:top w:val="none" w:sz="0" w:space="0" w:color="auto"/>
        <w:left w:val="none" w:sz="0" w:space="0" w:color="auto"/>
        <w:bottom w:val="none" w:sz="0" w:space="0" w:color="auto"/>
        <w:right w:val="none" w:sz="0" w:space="0" w:color="auto"/>
      </w:divBdr>
    </w:div>
    <w:div w:id="1088312249">
      <w:bodyDiv w:val="1"/>
      <w:marLeft w:val="0"/>
      <w:marRight w:val="0"/>
      <w:marTop w:val="0"/>
      <w:marBottom w:val="0"/>
      <w:divBdr>
        <w:top w:val="none" w:sz="0" w:space="0" w:color="auto"/>
        <w:left w:val="none" w:sz="0" w:space="0" w:color="auto"/>
        <w:bottom w:val="none" w:sz="0" w:space="0" w:color="auto"/>
        <w:right w:val="none" w:sz="0" w:space="0" w:color="auto"/>
      </w:divBdr>
    </w:div>
    <w:div w:id="1088425909">
      <w:bodyDiv w:val="1"/>
      <w:marLeft w:val="0"/>
      <w:marRight w:val="0"/>
      <w:marTop w:val="0"/>
      <w:marBottom w:val="0"/>
      <w:divBdr>
        <w:top w:val="none" w:sz="0" w:space="0" w:color="auto"/>
        <w:left w:val="none" w:sz="0" w:space="0" w:color="auto"/>
        <w:bottom w:val="none" w:sz="0" w:space="0" w:color="auto"/>
        <w:right w:val="none" w:sz="0" w:space="0" w:color="auto"/>
      </w:divBdr>
    </w:div>
    <w:div w:id="1088624582">
      <w:bodyDiv w:val="1"/>
      <w:marLeft w:val="0"/>
      <w:marRight w:val="0"/>
      <w:marTop w:val="0"/>
      <w:marBottom w:val="0"/>
      <w:divBdr>
        <w:top w:val="none" w:sz="0" w:space="0" w:color="auto"/>
        <w:left w:val="none" w:sz="0" w:space="0" w:color="auto"/>
        <w:bottom w:val="none" w:sz="0" w:space="0" w:color="auto"/>
        <w:right w:val="none" w:sz="0" w:space="0" w:color="auto"/>
      </w:divBdr>
    </w:div>
    <w:div w:id="1089348452">
      <w:bodyDiv w:val="1"/>
      <w:marLeft w:val="0"/>
      <w:marRight w:val="0"/>
      <w:marTop w:val="0"/>
      <w:marBottom w:val="0"/>
      <w:divBdr>
        <w:top w:val="none" w:sz="0" w:space="0" w:color="auto"/>
        <w:left w:val="none" w:sz="0" w:space="0" w:color="auto"/>
        <w:bottom w:val="none" w:sz="0" w:space="0" w:color="auto"/>
        <w:right w:val="none" w:sz="0" w:space="0" w:color="auto"/>
      </w:divBdr>
    </w:div>
    <w:div w:id="1092894497">
      <w:bodyDiv w:val="1"/>
      <w:marLeft w:val="0"/>
      <w:marRight w:val="0"/>
      <w:marTop w:val="0"/>
      <w:marBottom w:val="0"/>
      <w:divBdr>
        <w:top w:val="none" w:sz="0" w:space="0" w:color="auto"/>
        <w:left w:val="none" w:sz="0" w:space="0" w:color="auto"/>
        <w:bottom w:val="none" w:sz="0" w:space="0" w:color="auto"/>
        <w:right w:val="none" w:sz="0" w:space="0" w:color="auto"/>
      </w:divBdr>
    </w:div>
    <w:div w:id="1092898222">
      <w:bodyDiv w:val="1"/>
      <w:marLeft w:val="0"/>
      <w:marRight w:val="0"/>
      <w:marTop w:val="0"/>
      <w:marBottom w:val="0"/>
      <w:divBdr>
        <w:top w:val="none" w:sz="0" w:space="0" w:color="auto"/>
        <w:left w:val="none" w:sz="0" w:space="0" w:color="auto"/>
        <w:bottom w:val="none" w:sz="0" w:space="0" w:color="auto"/>
        <w:right w:val="none" w:sz="0" w:space="0" w:color="auto"/>
      </w:divBdr>
    </w:div>
    <w:div w:id="1095977619">
      <w:bodyDiv w:val="1"/>
      <w:marLeft w:val="0"/>
      <w:marRight w:val="0"/>
      <w:marTop w:val="0"/>
      <w:marBottom w:val="0"/>
      <w:divBdr>
        <w:top w:val="none" w:sz="0" w:space="0" w:color="auto"/>
        <w:left w:val="none" w:sz="0" w:space="0" w:color="auto"/>
        <w:bottom w:val="none" w:sz="0" w:space="0" w:color="auto"/>
        <w:right w:val="none" w:sz="0" w:space="0" w:color="auto"/>
      </w:divBdr>
    </w:div>
    <w:div w:id="1096293431">
      <w:bodyDiv w:val="1"/>
      <w:marLeft w:val="0"/>
      <w:marRight w:val="0"/>
      <w:marTop w:val="0"/>
      <w:marBottom w:val="0"/>
      <w:divBdr>
        <w:top w:val="none" w:sz="0" w:space="0" w:color="auto"/>
        <w:left w:val="none" w:sz="0" w:space="0" w:color="auto"/>
        <w:bottom w:val="none" w:sz="0" w:space="0" w:color="auto"/>
        <w:right w:val="none" w:sz="0" w:space="0" w:color="auto"/>
      </w:divBdr>
    </w:div>
    <w:div w:id="1096711371">
      <w:bodyDiv w:val="1"/>
      <w:marLeft w:val="0"/>
      <w:marRight w:val="0"/>
      <w:marTop w:val="0"/>
      <w:marBottom w:val="0"/>
      <w:divBdr>
        <w:top w:val="none" w:sz="0" w:space="0" w:color="auto"/>
        <w:left w:val="none" w:sz="0" w:space="0" w:color="auto"/>
        <w:bottom w:val="none" w:sz="0" w:space="0" w:color="auto"/>
        <w:right w:val="none" w:sz="0" w:space="0" w:color="auto"/>
      </w:divBdr>
    </w:div>
    <w:div w:id="1099369275">
      <w:bodyDiv w:val="1"/>
      <w:marLeft w:val="0"/>
      <w:marRight w:val="0"/>
      <w:marTop w:val="0"/>
      <w:marBottom w:val="0"/>
      <w:divBdr>
        <w:top w:val="none" w:sz="0" w:space="0" w:color="auto"/>
        <w:left w:val="none" w:sz="0" w:space="0" w:color="auto"/>
        <w:bottom w:val="none" w:sz="0" w:space="0" w:color="auto"/>
        <w:right w:val="none" w:sz="0" w:space="0" w:color="auto"/>
      </w:divBdr>
    </w:div>
    <w:div w:id="1100562783">
      <w:bodyDiv w:val="1"/>
      <w:marLeft w:val="0"/>
      <w:marRight w:val="0"/>
      <w:marTop w:val="0"/>
      <w:marBottom w:val="0"/>
      <w:divBdr>
        <w:top w:val="none" w:sz="0" w:space="0" w:color="auto"/>
        <w:left w:val="none" w:sz="0" w:space="0" w:color="auto"/>
        <w:bottom w:val="none" w:sz="0" w:space="0" w:color="auto"/>
        <w:right w:val="none" w:sz="0" w:space="0" w:color="auto"/>
      </w:divBdr>
    </w:div>
    <w:div w:id="1102339961">
      <w:bodyDiv w:val="1"/>
      <w:marLeft w:val="0"/>
      <w:marRight w:val="0"/>
      <w:marTop w:val="0"/>
      <w:marBottom w:val="0"/>
      <w:divBdr>
        <w:top w:val="none" w:sz="0" w:space="0" w:color="auto"/>
        <w:left w:val="none" w:sz="0" w:space="0" w:color="auto"/>
        <w:bottom w:val="none" w:sz="0" w:space="0" w:color="auto"/>
        <w:right w:val="none" w:sz="0" w:space="0" w:color="auto"/>
      </w:divBdr>
    </w:div>
    <w:div w:id="1104766492">
      <w:bodyDiv w:val="1"/>
      <w:marLeft w:val="0"/>
      <w:marRight w:val="0"/>
      <w:marTop w:val="0"/>
      <w:marBottom w:val="0"/>
      <w:divBdr>
        <w:top w:val="none" w:sz="0" w:space="0" w:color="auto"/>
        <w:left w:val="none" w:sz="0" w:space="0" w:color="auto"/>
        <w:bottom w:val="none" w:sz="0" w:space="0" w:color="auto"/>
        <w:right w:val="none" w:sz="0" w:space="0" w:color="auto"/>
      </w:divBdr>
    </w:div>
    <w:div w:id="1106119001">
      <w:bodyDiv w:val="1"/>
      <w:marLeft w:val="0"/>
      <w:marRight w:val="0"/>
      <w:marTop w:val="0"/>
      <w:marBottom w:val="0"/>
      <w:divBdr>
        <w:top w:val="none" w:sz="0" w:space="0" w:color="auto"/>
        <w:left w:val="none" w:sz="0" w:space="0" w:color="auto"/>
        <w:bottom w:val="none" w:sz="0" w:space="0" w:color="auto"/>
        <w:right w:val="none" w:sz="0" w:space="0" w:color="auto"/>
      </w:divBdr>
    </w:div>
    <w:div w:id="1106121162">
      <w:bodyDiv w:val="1"/>
      <w:marLeft w:val="0"/>
      <w:marRight w:val="0"/>
      <w:marTop w:val="0"/>
      <w:marBottom w:val="0"/>
      <w:divBdr>
        <w:top w:val="none" w:sz="0" w:space="0" w:color="auto"/>
        <w:left w:val="none" w:sz="0" w:space="0" w:color="auto"/>
        <w:bottom w:val="none" w:sz="0" w:space="0" w:color="auto"/>
        <w:right w:val="none" w:sz="0" w:space="0" w:color="auto"/>
      </w:divBdr>
    </w:div>
    <w:div w:id="1108043309">
      <w:bodyDiv w:val="1"/>
      <w:marLeft w:val="0"/>
      <w:marRight w:val="0"/>
      <w:marTop w:val="0"/>
      <w:marBottom w:val="0"/>
      <w:divBdr>
        <w:top w:val="none" w:sz="0" w:space="0" w:color="auto"/>
        <w:left w:val="none" w:sz="0" w:space="0" w:color="auto"/>
        <w:bottom w:val="none" w:sz="0" w:space="0" w:color="auto"/>
        <w:right w:val="none" w:sz="0" w:space="0" w:color="auto"/>
      </w:divBdr>
    </w:div>
    <w:div w:id="1108741809">
      <w:bodyDiv w:val="1"/>
      <w:marLeft w:val="0"/>
      <w:marRight w:val="0"/>
      <w:marTop w:val="0"/>
      <w:marBottom w:val="0"/>
      <w:divBdr>
        <w:top w:val="none" w:sz="0" w:space="0" w:color="auto"/>
        <w:left w:val="none" w:sz="0" w:space="0" w:color="auto"/>
        <w:bottom w:val="none" w:sz="0" w:space="0" w:color="auto"/>
        <w:right w:val="none" w:sz="0" w:space="0" w:color="auto"/>
      </w:divBdr>
    </w:div>
    <w:div w:id="1114179737">
      <w:bodyDiv w:val="1"/>
      <w:marLeft w:val="0"/>
      <w:marRight w:val="0"/>
      <w:marTop w:val="0"/>
      <w:marBottom w:val="0"/>
      <w:divBdr>
        <w:top w:val="none" w:sz="0" w:space="0" w:color="auto"/>
        <w:left w:val="none" w:sz="0" w:space="0" w:color="auto"/>
        <w:bottom w:val="none" w:sz="0" w:space="0" w:color="auto"/>
        <w:right w:val="none" w:sz="0" w:space="0" w:color="auto"/>
      </w:divBdr>
    </w:div>
    <w:div w:id="1115909289">
      <w:bodyDiv w:val="1"/>
      <w:marLeft w:val="0"/>
      <w:marRight w:val="0"/>
      <w:marTop w:val="0"/>
      <w:marBottom w:val="0"/>
      <w:divBdr>
        <w:top w:val="none" w:sz="0" w:space="0" w:color="auto"/>
        <w:left w:val="none" w:sz="0" w:space="0" w:color="auto"/>
        <w:bottom w:val="none" w:sz="0" w:space="0" w:color="auto"/>
        <w:right w:val="none" w:sz="0" w:space="0" w:color="auto"/>
      </w:divBdr>
    </w:div>
    <w:div w:id="1117875161">
      <w:bodyDiv w:val="1"/>
      <w:marLeft w:val="0"/>
      <w:marRight w:val="0"/>
      <w:marTop w:val="0"/>
      <w:marBottom w:val="0"/>
      <w:divBdr>
        <w:top w:val="none" w:sz="0" w:space="0" w:color="auto"/>
        <w:left w:val="none" w:sz="0" w:space="0" w:color="auto"/>
        <w:bottom w:val="none" w:sz="0" w:space="0" w:color="auto"/>
        <w:right w:val="none" w:sz="0" w:space="0" w:color="auto"/>
      </w:divBdr>
    </w:div>
    <w:div w:id="1120032138">
      <w:bodyDiv w:val="1"/>
      <w:marLeft w:val="0"/>
      <w:marRight w:val="0"/>
      <w:marTop w:val="0"/>
      <w:marBottom w:val="0"/>
      <w:divBdr>
        <w:top w:val="none" w:sz="0" w:space="0" w:color="auto"/>
        <w:left w:val="none" w:sz="0" w:space="0" w:color="auto"/>
        <w:bottom w:val="none" w:sz="0" w:space="0" w:color="auto"/>
        <w:right w:val="none" w:sz="0" w:space="0" w:color="auto"/>
      </w:divBdr>
    </w:div>
    <w:div w:id="1120419899">
      <w:bodyDiv w:val="1"/>
      <w:marLeft w:val="0"/>
      <w:marRight w:val="0"/>
      <w:marTop w:val="0"/>
      <w:marBottom w:val="0"/>
      <w:divBdr>
        <w:top w:val="none" w:sz="0" w:space="0" w:color="auto"/>
        <w:left w:val="none" w:sz="0" w:space="0" w:color="auto"/>
        <w:bottom w:val="none" w:sz="0" w:space="0" w:color="auto"/>
        <w:right w:val="none" w:sz="0" w:space="0" w:color="auto"/>
      </w:divBdr>
    </w:div>
    <w:div w:id="1120612302">
      <w:bodyDiv w:val="1"/>
      <w:marLeft w:val="0"/>
      <w:marRight w:val="0"/>
      <w:marTop w:val="0"/>
      <w:marBottom w:val="0"/>
      <w:divBdr>
        <w:top w:val="none" w:sz="0" w:space="0" w:color="auto"/>
        <w:left w:val="none" w:sz="0" w:space="0" w:color="auto"/>
        <w:bottom w:val="none" w:sz="0" w:space="0" w:color="auto"/>
        <w:right w:val="none" w:sz="0" w:space="0" w:color="auto"/>
      </w:divBdr>
    </w:div>
    <w:div w:id="1120957353">
      <w:bodyDiv w:val="1"/>
      <w:marLeft w:val="0"/>
      <w:marRight w:val="0"/>
      <w:marTop w:val="0"/>
      <w:marBottom w:val="0"/>
      <w:divBdr>
        <w:top w:val="none" w:sz="0" w:space="0" w:color="auto"/>
        <w:left w:val="none" w:sz="0" w:space="0" w:color="auto"/>
        <w:bottom w:val="none" w:sz="0" w:space="0" w:color="auto"/>
        <w:right w:val="none" w:sz="0" w:space="0" w:color="auto"/>
      </w:divBdr>
    </w:div>
    <w:div w:id="1122845608">
      <w:bodyDiv w:val="1"/>
      <w:marLeft w:val="0"/>
      <w:marRight w:val="0"/>
      <w:marTop w:val="0"/>
      <w:marBottom w:val="0"/>
      <w:divBdr>
        <w:top w:val="none" w:sz="0" w:space="0" w:color="auto"/>
        <w:left w:val="none" w:sz="0" w:space="0" w:color="auto"/>
        <w:bottom w:val="none" w:sz="0" w:space="0" w:color="auto"/>
        <w:right w:val="none" w:sz="0" w:space="0" w:color="auto"/>
      </w:divBdr>
    </w:div>
    <w:div w:id="1125781551">
      <w:bodyDiv w:val="1"/>
      <w:marLeft w:val="0"/>
      <w:marRight w:val="0"/>
      <w:marTop w:val="0"/>
      <w:marBottom w:val="0"/>
      <w:divBdr>
        <w:top w:val="none" w:sz="0" w:space="0" w:color="auto"/>
        <w:left w:val="none" w:sz="0" w:space="0" w:color="auto"/>
        <w:bottom w:val="none" w:sz="0" w:space="0" w:color="auto"/>
        <w:right w:val="none" w:sz="0" w:space="0" w:color="auto"/>
      </w:divBdr>
    </w:div>
    <w:div w:id="1127815338">
      <w:bodyDiv w:val="1"/>
      <w:marLeft w:val="0"/>
      <w:marRight w:val="0"/>
      <w:marTop w:val="0"/>
      <w:marBottom w:val="0"/>
      <w:divBdr>
        <w:top w:val="none" w:sz="0" w:space="0" w:color="auto"/>
        <w:left w:val="none" w:sz="0" w:space="0" w:color="auto"/>
        <w:bottom w:val="none" w:sz="0" w:space="0" w:color="auto"/>
        <w:right w:val="none" w:sz="0" w:space="0" w:color="auto"/>
      </w:divBdr>
    </w:div>
    <w:div w:id="1127966609">
      <w:bodyDiv w:val="1"/>
      <w:marLeft w:val="0"/>
      <w:marRight w:val="0"/>
      <w:marTop w:val="0"/>
      <w:marBottom w:val="0"/>
      <w:divBdr>
        <w:top w:val="none" w:sz="0" w:space="0" w:color="auto"/>
        <w:left w:val="none" w:sz="0" w:space="0" w:color="auto"/>
        <w:bottom w:val="none" w:sz="0" w:space="0" w:color="auto"/>
        <w:right w:val="none" w:sz="0" w:space="0" w:color="auto"/>
      </w:divBdr>
    </w:div>
    <w:div w:id="1128357829">
      <w:bodyDiv w:val="1"/>
      <w:marLeft w:val="0"/>
      <w:marRight w:val="0"/>
      <w:marTop w:val="0"/>
      <w:marBottom w:val="0"/>
      <w:divBdr>
        <w:top w:val="none" w:sz="0" w:space="0" w:color="auto"/>
        <w:left w:val="none" w:sz="0" w:space="0" w:color="auto"/>
        <w:bottom w:val="none" w:sz="0" w:space="0" w:color="auto"/>
        <w:right w:val="none" w:sz="0" w:space="0" w:color="auto"/>
      </w:divBdr>
    </w:div>
    <w:div w:id="1129054801">
      <w:bodyDiv w:val="1"/>
      <w:marLeft w:val="0"/>
      <w:marRight w:val="0"/>
      <w:marTop w:val="0"/>
      <w:marBottom w:val="0"/>
      <w:divBdr>
        <w:top w:val="none" w:sz="0" w:space="0" w:color="auto"/>
        <w:left w:val="none" w:sz="0" w:space="0" w:color="auto"/>
        <w:bottom w:val="none" w:sz="0" w:space="0" w:color="auto"/>
        <w:right w:val="none" w:sz="0" w:space="0" w:color="auto"/>
      </w:divBdr>
    </w:div>
    <w:div w:id="1129127260">
      <w:bodyDiv w:val="1"/>
      <w:marLeft w:val="0"/>
      <w:marRight w:val="0"/>
      <w:marTop w:val="0"/>
      <w:marBottom w:val="0"/>
      <w:divBdr>
        <w:top w:val="none" w:sz="0" w:space="0" w:color="auto"/>
        <w:left w:val="none" w:sz="0" w:space="0" w:color="auto"/>
        <w:bottom w:val="none" w:sz="0" w:space="0" w:color="auto"/>
        <w:right w:val="none" w:sz="0" w:space="0" w:color="auto"/>
      </w:divBdr>
    </w:div>
    <w:div w:id="1129975166">
      <w:bodyDiv w:val="1"/>
      <w:marLeft w:val="0"/>
      <w:marRight w:val="0"/>
      <w:marTop w:val="0"/>
      <w:marBottom w:val="0"/>
      <w:divBdr>
        <w:top w:val="none" w:sz="0" w:space="0" w:color="auto"/>
        <w:left w:val="none" w:sz="0" w:space="0" w:color="auto"/>
        <w:bottom w:val="none" w:sz="0" w:space="0" w:color="auto"/>
        <w:right w:val="none" w:sz="0" w:space="0" w:color="auto"/>
      </w:divBdr>
    </w:div>
    <w:div w:id="1130051899">
      <w:bodyDiv w:val="1"/>
      <w:marLeft w:val="0"/>
      <w:marRight w:val="0"/>
      <w:marTop w:val="0"/>
      <w:marBottom w:val="0"/>
      <w:divBdr>
        <w:top w:val="none" w:sz="0" w:space="0" w:color="auto"/>
        <w:left w:val="none" w:sz="0" w:space="0" w:color="auto"/>
        <w:bottom w:val="none" w:sz="0" w:space="0" w:color="auto"/>
        <w:right w:val="none" w:sz="0" w:space="0" w:color="auto"/>
      </w:divBdr>
    </w:div>
    <w:div w:id="1130708247">
      <w:bodyDiv w:val="1"/>
      <w:marLeft w:val="0"/>
      <w:marRight w:val="0"/>
      <w:marTop w:val="0"/>
      <w:marBottom w:val="0"/>
      <w:divBdr>
        <w:top w:val="none" w:sz="0" w:space="0" w:color="auto"/>
        <w:left w:val="none" w:sz="0" w:space="0" w:color="auto"/>
        <w:bottom w:val="none" w:sz="0" w:space="0" w:color="auto"/>
        <w:right w:val="none" w:sz="0" w:space="0" w:color="auto"/>
      </w:divBdr>
    </w:div>
    <w:div w:id="1131097470">
      <w:bodyDiv w:val="1"/>
      <w:marLeft w:val="0"/>
      <w:marRight w:val="0"/>
      <w:marTop w:val="0"/>
      <w:marBottom w:val="0"/>
      <w:divBdr>
        <w:top w:val="none" w:sz="0" w:space="0" w:color="auto"/>
        <w:left w:val="none" w:sz="0" w:space="0" w:color="auto"/>
        <w:bottom w:val="none" w:sz="0" w:space="0" w:color="auto"/>
        <w:right w:val="none" w:sz="0" w:space="0" w:color="auto"/>
      </w:divBdr>
    </w:div>
    <w:div w:id="1132023306">
      <w:bodyDiv w:val="1"/>
      <w:marLeft w:val="0"/>
      <w:marRight w:val="0"/>
      <w:marTop w:val="0"/>
      <w:marBottom w:val="0"/>
      <w:divBdr>
        <w:top w:val="none" w:sz="0" w:space="0" w:color="auto"/>
        <w:left w:val="none" w:sz="0" w:space="0" w:color="auto"/>
        <w:bottom w:val="none" w:sz="0" w:space="0" w:color="auto"/>
        <w:right w:val="none" w:sz="0" w:space="0" w:color="auto"/>
      </w:divBdr>
    </w:div>
    <w:div w:id="1132671227">
      <w:bodyDiv w:val="1"/>
      <w:marLeft w:val="0"/>
      <w:marRight w:val="0"/>
      <w:marTop w:val="0"/>
      <w:marBottom w:val="0"/>
      <w:divBdr>
        <w:top w:val="none" w:sz="0" w:space="0" w:color="auto"/>
        <w:left w:val="none" w:sz="0" w:space="0" w:color="auto"/>
        <w:bottom w:val="none" w:sz="0" w:space="0" w:color="auto"/>
        <w:right w:val="none" w:sz="0" w:space="0" w:color="auto"/>
      </w:divBdr>
    </w:div>
    <w:div w:id="1134447959">
      <w:bodyDiv w:val="1"/>
      <w:marLeft w:val="0"/>
      <w:marRight w:val="0"/>
      <w:marTop w:val="0"/>
      <w:marBottom w:val="0"/>
      <w:divBdr>
        <w:top w:val="none" w:sz="0" w:space="0" w:color="auto"/>
        <w:left w:val="none" w:sz="0" w:space="0" w:color="auto"/>
        <w:bottom w:val="none" w:sz="0" w:space="0" w:color="auto"/>
        <w:right w:val="none" w:sz="0" w:space="0" w:color="auto"/>
      </w:divBdr>
    </w:div>
    <w:div w:id="1134449359">
      <w:bodyDiv w:val="1"/>
      <w:marLeft w:val="0"/>
      <w:marRight w:val="0"/>
      <w:marTop w:val="0"/>
      <w:marBottom w:val="0"/>
      <w:divBdr>
        <w:top w:val="none" w:sz="0" w:space="0" w:color="auto"/>
        <w:left w:val="none" w:sz="0" w:space="0" w:color="auto"/>
        <w:bottom w:val="none" w:sz="0" w:space="0" w:color="auto"/>
        <w:right w:val="none" w:sz="0" w:space="0" w:color="auto"/>
      </w:divBdr>
    </w:div>
    <w:div w:id="1135215793">
      <w:bodyDiv w:val="1"/>
      <w:marLeft w:val="0"/>
      <w:marRight w:val="0"/>
      <w:marTop w:val="0"/>
      <w:marBottom w:val="0"/>
      <w:divBdr>
        <w:top w:val="none" w:sz="0" w:space="0" w:color="auto"/>
        <w:left w:val="none" w:sz="0" w:space="0" w:color="auto"/>
        <w:bottom w:val="none" w:sz="0" w:space="0" w:color="auto"/>
        <w:right w:val="none" w:sz="0" w:space="0" w:color="auto"/>
      </w:divBdr>
    </w:div>
    <w:div w:id="1138300576">
      <w:bodyDiv w:val="1"/>
      <w:marLeft w:val="0"/>
      <w:marRight w:val="0"/>
      <w:marTop w:val="0"/>
      <w:marBottom w:val="0"/>
      <w:divBdr>
        <w:top w:val="none" w:sz="0" w:space="0" w:color="auto"/>
        <w:left w:val="none" w:sz="0" w:space="0" w:color="auto"/>
        <w:bottom w:val="none" w:sz="0" w:space="0" w:color="auto"/>
        <w:right w:val="none" w:sz="0" w:space="0" w:color="auto"/>
      </w:divBdr>
    </w:div>
    <w:div w:id="1138841615">
      <w:bodyDiv w:val="1"/>
      <w:marLeft w:val="0"/>
      <w:marRight w:val="0"/>
      <w:marTop w:val="0"/>
      <w:marBottom w:val="0"/>
      <w:divBdr>
        <w:top w:val="none" w:sz="0" w:space="0" w:color="auto"/>
        <w:left w:val="none" w:sz="0" w:space="0" w:color="auto"/>
        <w:bottom w:val="none" w:sz="0" w:space="0" w:color="auto"/>
        <w:right w:val="none" w:sz="0" w:space="0" w:color="auto"/>
      </w:divBdr>
    </w:div>
    <w:div w:id="1139765080">
      <w:bodyDiv w:val="1"/>
      <w:marLeft w:val="0"/>
      <w:marRight w:val="0"/>
      <w:marTop w:val="0"/>
      <w:marBottom w:val="0"/>
      <w:divBdr>
        <w:top w:val="none" w:sz="0" w:space="0" w:color="auto"/>
        <w:left w:val="none" w:sz="0" w:space="0" w:color="auto"/>
        <w:bottom w:val="none" w:sz="0" w:space="0" w:color="auto"/>
        <w:right w:val="none" w:sz="0" w:space="0" w:color="auto"/>
      </w:divBdr>
    </w:div>
    <w:div w:id="1140536063">
      <w:bodyDiv w:val="1"/>
      <w:marLeft w:val="0"/>
      <w:marRight w:val="0"/>
      <w:marTop w:val="0"/>
      <w:marBottom w:val="0"/>
      <w:divBdr>
        <w:top w:val="none" w:sz="0" w:space="0" w:color="auto"/>
        <w:left w:val="none" w:sz="0" w:space="0" w:color="auto"/>
        <w:bottom w:val="none" w:sz="0" w:space="0" w:color="auto"/>
        <w:right w:val="none" w:sz="0" w:space="0" w:color="auto"/>
      </w:divBdr>
    </w:div>
    <w:div w:id="1141194154">
      <w:bodyDiv w:val="1"/>
      <w:marLeft w:val="0"/>
      <w:marRight w:val="0"/>
      <w:marTop w:val="0"/>
      <w:marBottom w:val="0"/>
      <w:divBdr>
        <w:top w:val="none" w:sz="0" w:space="0" w:color="auto"/>
        <w:left w:val="none" w:sz="0" w:space="0" w:color="auto"/>
        <w:bottom w:val="none" w:sz="0" w:space="0" w:color="auto"/>
        <w:right w:val="none" w:sz="0" w:space="0" w:color="auto"/>
      </w:divBdr>
    </w:div>
    <w:div w:id="1141578638">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
    <w:div w:id="1144463871">
      <w:bodyDiv w:val="1"/>
      <w:marLeft w:val="0"/>
      <w:marRight w:val="0"/>
      <w:marTop w:val="0"/>
      <w:marBottom w:val="0"/>
      <w:divBdr>
        <w:top w:val="none" w:sz="0" w:space="0" w:color="auto"/>
        <w:left w:val="none" w:sz="0" w:space="0" w:color="auto"/>
        <w:bottom w:val="none" w:sz="0" w:space="0" w:color="auto"/>
        <w:right w:val="none" w:sz="0" w:space="0" w:color="auto"/>
      </w:divBdr>
    </w:div>
    <w:div w:id="1144615817">
      <w:bodyDiv w:val="1"/>
      <w:marLeft w:val="0"/>
      <w:marRight w:val="0"/>
      <w:marTop w:val="0"/>
      <w:marBottom w:val="0"/>
      <w:divBdr>
        <w:top w:val="none" w:sz="0" w:space="0" w:color="auto"/>
        <w:left w:val="none" w:sz="0" w:space="0" w:color="auto"/>
        <w:bottom w:val="none" w:sz="0" w:space="0" w:color="auto"/>
        <w:right w:val="none" w:sz="0" w:space="0" w:color="auto"/>
      </w:divBdr>
    </w:div>
    <w:div w:id="1145195194">
      <w:bodyDiv w:val="1"/>
      <w:marLeft w:val="0"/>
      <w:marRight w:val="0"/>
      <w:marTop w:val="0"/>
      <w:marBottom w:val="0"/>
      <w:divBdr>
        <w:top w:val="none" w:sz="0" w:space="0" w:color="auto"/>
        <w:left w:val="none" w:sz="0" w:space="0" w:color="auto"/>
        <w:bottom w:val="none" w:sz="0" w:space="0" w:color="auto"/>
        <w:right w:val="none" w:sz="0" w:space="0" w:color="auto"/>
      </w:divBdr>
    </w:div>
    <w:div w:id="1145662346">
      <w:bodyDiv w:val="1"/>
      <w:marLeft w:val="0"/>
      <w:marRight w:val="0"/>
      <w:marTop w:val="0"/>
      <w:marBottom w:val="0"/>
      <w:divBdr>
        <w:top w:val="none" w:sz="0" w:space="0" w:color="auto"/>
        <w:left w:val="none" w:sz="0" w:space="0" w:color="auto"/>
        <w:bottom w:val="none" w:sz="0" w:space="0" w:color="auto"/>
        <w:right w:val="none" w:sz="0" w:space="0" w:color="auto"/>
      </w:divBdr>
    </w:div>
    <w:div w:id="1145706171">
      <w:bodyDiv w:val="1"/>
      <w:marLeft w:val="0"/>
      <w:marRight w:val="0"/>
      <w:marTop w:val="0"/>
      <w:marBottom w:val="0"/>
      <w:divBdr>
        <w:top w:val="none" w:sz="0" w:space="0" w:color="auto"/>
        <w:left w:val="none" w:sz="0" w:space="0" w:color="auto"/>
        <w:bottom w:val="none" w:sz="0" w:space="0" w:color="auto"/>
        <w:right w:val="none" w:sz="0" w:space="0" w:color="auto"/>
      </w:divBdr>
    </w:div>
    <w:div w:id="1145927731">
      <w:bodyDiv w:val="1"/>
      <w:marLeft w:val="0"/>
      <w:marRight w:val="0"/>
      <w:marTop w:val="0"/>
      <w:marBottom w:val="0"/>
      <w:divBdr>
        <w:top w:val="none" w:sz="0" w:space="0" w:color="auto"/>
        <w:left w:val="none" w:sz="0" w:space="0" w:color="auto"/>
        <w:bottom w:val="none" w:sz="0" w:space="0" w:color="auto"/>
        <w:right w:val="none" w:sz="0" w:space="0" w:color="auto"/>
      </w:divBdr>
    </w:div>
    <w:div w:id="1146509908">
      <w:bodyDiv w:val="1"/>
      <w:marLeft w:val="0"/>
      <w:marRight w:val="0"/>
      <w:marTop w:val="0"/>
      <w:marBottom w:val="0"/>
      <w:divBdr>
        <w:top w:val="none" w:sz="0" w:space="0" w:color="auto"/>
        <w:left w:val="none" w:sz="0" w:space="0" w:color="auto"/>
        <w:bottom w:val="none" w:sz="0" w:space="0" w:color="auto"/>
        <w:right w:val="none" w:sz="0" w:space="0" w:color="auto"/>
      </w:divBdr>
    </w:div>
    <w:div w:id="1147284645">
      <w:bodyDiv w:val="1"/>
      <w:marLeft w:val="0"/>
      <w:marRight w:val="0"/>
      <w:marTop w:val="0"/>
      <w:marBottom w:val="0"/>
      <w:divBdr>
        <w:top w:val="none" w:sz="0" w:space="0" w:color="auto"/>
        <w:left w:val="none" w:sz="0" w:space="0" w:color="auto"/>
        <w:bottom w:val="none" w:sz="0" w:space="0" w:color="auto"/>
        <w:right w:val="none" w:sz="0" w:space="0" w:color="auto"/>
      </w:divBdr>
    </w:div>
    <w:div w:id="1147892011">
      <w:bodyDiv w:val="1"/>
      <w:marLeft w:val="0"/>
      <w:marRight w:val="0"/>
      <w:marTop w:val="0"/>
      <w:marBottom w:val="0"/>
      <w:divBdr>
        <w:top w:val="none" w:sz="0" w:space="0" w:color="auto"/>
        <w:left w:val="none" w:sz="0" w:space="0" w:color="auto"/>
        <w:bottom w:val="none" w:sz="0" w:space="0" w:color="auto"/>
        <w:right w:val="none" w:sz="0" w:space="0" w:color="auto"/>
      </w:divBdr>
    </w:div>
    <w:div w:id="1148400447">
      <w:bodyDiv w:val="1"/>
      <w:marLeft w:val="0"/>
      <w:marRight w:val="0"/>
      <w:marTop w:val="0"/>
      <w:marBottom w:val="0"/>
      <w:divBdr>
        <w:top w:val="none" w:sz="0" w:space="0" w:color="auto"/>
        <w:left w:val="none" w:sz="0" w:space="0" w:color="auto"/>
        <w:bottom w:val="none" w:sz="0" w:space="0" w:color="auto"/>
        <w:right w:val="none" w:sz="0" w:space="0" w:color="auto"/>
      </w:divBdr>
    </w:div>
    <w:div w:id="1148673410">
      <w:bodyDiv w:val="1"/>
      <w:marLeft w:val="0"/>
      <w:marRight w:val="0"/>
      <w:marTop w:val="0"/>
      <w:marBottom w:val="0"/>
      <w:divBdr>
        <w:top w:val="none" w:sz="0" w:space="0" w:color="auto"/>
        <w:left w:val="none" w:sz="0" w:space="0" w:color="auto"/>
        <w:bottom w:val="none" w:sz="0" w:space="0" w:color="auto"/>
        <w:right w:val="none" w:sz="0" w:space="0" w:color="auto"/>
      </w:divBdr>
    </w:div>
    <w:div w:id="1149178065">
      <w:bodyDiv w:val="1"/>
      <w:marLeft w:val="0"/>
      <w:marRight w:val="0"/>
      <w:marTop w:val="0"/>
      <w:marBottom w:val="0"/>
      <w:divBdr>
        <w:top w:val="none" w:sz="0" w:space="0" w:color="auto"/>
        <w:left w:val="none" w:sz="0" w:space="0" w:color="auto"/>
        <w:bottom w:val="none" w:sz="0" w:space="0" w:color="auto"/>
        <w:right w:val="none" w:sz="0" w:space="0" w:color="auto"/>
      </w:divBdr>
    </w:div>
    <w:div w:id="1149446359">
      <w:bodyDiv w:val="1"/>
      <w:marLeft w:val="0"/>
      <w:marRight w:val="0"/>
      <w:marTop w:val="0"/>
      <w:marBottom w:val="0"/>
      <w:divBdr>
        <w:top w:val="none" w:sz="0" w:space="0" w:color="auto"/>
        <w:left w:val="none" w:sz="0" w:space="0" w:color="auto"/>
        <w:bottom w:val="none" w:sz="0" w:space="0" w:color="auto"/>
        <w:right w:val="none" w:sz="0" w:space="0" w:color="auto"/>
      </w:divBdr>
    </w:div>
    <w:div w:id="1150756633">
      <w:bodyDiv w:val="1"/>
      <w:marLeft w:val="0"/>
      <w:marRight w:val="0"/>
      <w:marTop w:val="0"/>
      <w:marBottom w:val="0"/>
      <w:divBdr>
        <w:top w:val="none" w:sz="0" w:space="0" w:color="auto"/>
        <w:left w:val="none" w:sz="0" w:space="0" w:color="auto"/>
        <w:bottom w:val="none" w:sz="0" w:space="0" w:color="auto"/>
        <w:right w:val="none" w:sz="0" w:space="0" w:color="auto"/>
      </w:divBdr>
    </w:div>
    <w:div w:id="1152328219">
      <w:bodyDiv w:val="1"/>
      <w:marLeft w:val="0"/>
      <w:marRight w:val="0"/>
      <w:marTop w:val="0"/>
      <w:marBottom w:val="0"/>
      <w:divBdr>
        <w:top w:val="none" w:sz="0" w:space="0" w:color="auto"/>
        <w:left w:val="none" w:sz="0" w:space="0" w:color="auto"/>
        <w:bottom w:val="none" w:sz="0" w:space="0" w:color="auto"/>
        <w:right w:val="none" w:sz="0" w:space="0" w:color="auto"/>
      </w:divBdr>
    </w:div>
    <w:div w:id="1152479423">
      <w:bodyDiv w:val="1"/>
      <w:marLeft w:val="0"/>
      <w:marRight w:val="0"/>
      <w:marTop w:val="0"/>
      <w:marBottom w:val="0"/>
      <w:divBdr>
        <w:top w:val="none" w:sz="0" w:space="0" w:color="auto"/>
        <w:left w:val="none" w:sz="0" w:space="0" w:color="auto"/>
        <w:bottom w:val="none" w:sz="0" w:space="0" w:color="auto"/>
        <w:right w:val="none" w:sz="0" w:space="0" w:color="auto"/>
      </w:divBdr>
    </w:div>
    <w:div w:id="1154372380">
      <w:bodyDiv w:val="1"/>
      <w:marLeft w:val="0"/>
      <w:marRight w:val="0"/>
      <w:marTop w:val="0"/>
      <w:marBottom w:val="0"/>
      <w:divBdr>
        <w:top w:val="none" w:sz="0" w:space="0" w:color="auto"/>
        <w:left w:val="none" w:sz="0" w:space="0" w:color="auto"/>
        <w:bottom w:val="none" w:sz="0" w:space="0" w:color="auto"/>
        <w:right w:val="none" w:sz="0" w:space="0" w:color="auto"/>
      </w:divBdr>
    </w:div>
    <w:div w:id="1154758505">
      <w:bodyDiv w:val="1"/>
      <w:marLeft w:val="0"/>
      <w:marRight w:val="0"/>
      <w:marTop w:val="0"/>
      <w:marBottom w:val="0"/>
      <w:divBdr>
        <w:top w:val="none" w:sz="0" w:space="0" w:color="auto"/>
        <w:left w:val="none" w:sz="0" w:space="0" w:color="auto"/>
        <w:bottom w:val="none" w:sz="0" w:space="0" w:color="auto"/>
        <w:right w:val="none" w:sz="0" w:space="0" w:color="auto"/>
      </w:divBdr>
    </w:div>
    <w:div w:id="1156218674">
      <w:bodyDiv w:val="1"/>
      <w:marLeft w:val="0"/>
      <w:marRight w:val="0"/>
      <w:marTop w:val="0"/>
      <w:marBottom w:val="0"/>
      <w:divBdr>
        <w:top w:val="none" w:sz="0" w:space="0" w:color="auto"/>
        <w:left w:val="none" w:sz="0" w:space="0" w:color="auto"/>
        <w:bottom w:val="none" w:sz="0" w:space="0" w:color="auto"/>
        <w:right w:val="none" w:sz="0" w:space="0" w:color="auto"/>
      </w:divBdr>
    </w:div>
    <w:div w:id="1157378136">
      <w:bodyDiv w:val="1"/>
      <w:marLeft w:val="0"/>
      <w:marRight w:val="0"/>
      <w:marTop w:val="0"/>
      <w:marBottom w:val="0"/>
      <w:divBdr>
        <w:top w:val="none" w:sz="0" w:space="0" w:color="auto"/>
        <w:left w:val="none" w:sz="0" w:space="0" w:color="auto"/>
        <w:bottom w:val="none" w:sz="0" w:space="0" w:color="auto"/>
        <w:right w:val="none" w:sz="0" w:space="0" w:color="auto"/>
      </w:divBdr>
    </w:div>
    <w:div w:id="1157721050">
      <w:bodyDiv w:val="1"/>
      <w:marLeft w:val="0"/>
      <w:marRight w:val="0"/>
      <w:marTop w:val="0"/>
      <w:marBottom w:val="0"/>
      <w:divBdr>
        <w:top w:val="none" w:sz="0" w:space="0" w:color="auto"/>
        <w:left w:val="none" w:sz="0" w:space="0" w:color="auto"/>
        <w:bottom w:val="none" w:sz="0" w:space="0" w:color="auto"/>
        <w:right w:val="none" w:sz="0" w:space="0" w:color="auto"/>
      </w:divBdr>
    </w:div>
    <w:div w:id="1160343035">
      <w:bodyDiv w:val="1"/>
      <w:marLeft w:val="0"/>
      <w:marRight w:val="0"/>
      <w:marTop w:val="0"/>
      <w:marBottom w:val="0"/>
      <w:divBdr>
        <w:top w:val="none" w:sz="0" w:space="0" w:color="auto"/>
        <w:left w:val="none" w:sz="0" w:space="0" w:color="auto"/>
        <w:bottom w:val="none" w:sz="0" w:space="0" w:color="auto"/>
        <w:right w:val="none" w:sz="0" w:space="0" w:color="auto"/>
      </w:divBdr>
    </w:div>
    <w:div w:id="1163856431">
      <w:bodyDiv w:val="1"/>
      <w:marLeft w:val="0"/>
      <w:marRight w:val="0"/>
      <w:marTop w:val="0"/>
      <w:marBottom w:val="0"/>
      <w:divBdr>
        <w:top w:val="none" w:sz="0" w:space="0" w:color="auto"/>
        <w:left w:val="none" w:sz="0" w:space="0" w:color="auto"/>
        <w:bottom w:val="none" w:sz="0" w:space="0" w:color="auto"/>
        <w:right w:val="none" w:sz="0" w:space="0" w:color="auto"/>
      </w:divBdr>
    </w:div>
    <w:div w:id="1164317318">
      <w:bodyDiv w:val="1"/>
      <w:marLeft w:val="0"/>
      <w:marRight w:val="0"/>
      <w:marTop w:val="0"/>
      <w:marBottom w:val="0"/>
      <w:divBdr>
        <w:top w:val="none" w:sz="0" w:space="0" w:color="auto"/>
        <w:left w:val="none" w:sz="0" w:space="0" w:color="auto"/>
        <w:bottom w:val="none" w:sz="0" w:space="0" w:color="auto"/>
        <w:right w:val="none" w:sz="0" w:space="0" w:color="auto"/>
      </w:divBdr>
    </w:div>
    <w:div w:id="1164934210">
      <w:bodyDiv w:val="1"/>
      <w:marLeft w:val="0"/>
      <w:marRight w:val="0"/>
      <w:marTop w:val="0"/>
      <w:marBottom w:val="0"/>
      <w:divBdr>
        <w:top w:val="none" w:sz="0" w:space="0" w:color="auto"/>
        <w:left w:val="none" w:sz="0" w:space="0" w:color="auto"/>
        <w:bottom w:val="none" w:sz="0" w:space="0" w:color="auto"/>
        <w:right w:val="none" w:sz="0" w:space="0" w:color="auto"/>
      </w:divBdr>
    </w:div>
    <w:div w:id="1165052808">
      <w:bodyDiv w:val="1"/>
      <w:marLeft w:val="0"/>
      <w:marRight w:val="0"/>
      <w:marTop w:val="0"/>
      <w:marBottom w:val="0"/>
      <w:divBdr>
        <w:top w:val="none" w:sz="0" w:space="0" w:color="auto"/>
        <w:left w:val="none" w:sz="0" w:space="0" w:color="auto"/>
        <w:bottom w:val="none" w:sz="0" w:space="0" w:color="auto"/>
        <w:right w:val="none" w:sz="0" w:space="0" w:color="auto"/>
      </w:divBdr>
    </w:div>
    <w:div w:id="1165130745">
      <w:bodyDiv w:val="1"/>
      <w:marLeft w:val="0"/>
      <w:marRight w:val="0"/>
      <w:marTop w:val="0"/>
      <w:marBottom w:val="0"/>
      <w:divBdr>
        <w:top w:val="none" w:sz="0" w:space="0" w:color="auto"/>
        <w:left w:val="none" w:sz="0" w:space="0" w:color="auto"/>
        <w:bottom w:val="none" w:sz="0" w:space="0" w:color="auto"/>
        <w:right w:val="none" w:sz="0" w:space="0" w:color="auto"/>
      </w:divBdr>
    </w:div>
    <w:div w:id="1166551450">
      <w:bodyDiv w:val="1"/>
      <w:marLeft w:val="0"/>
      <w:marRight w:val="0"/>
      <w:marTop w:val="0"/>
      <w:marBottom w:val="0"/>
      <w:divBdr>
        <w:top w:val="none" w:sz="0" w:space="0" w:color="auto"/>
        <w:left w:val="none" w:sz="0" w:space="0" w:color="auto"/>
        <w:bottom w:val="none" w:sz="0" w:space="0" w:color="auto"/>
        <w:right w:val="none" w:sz="0" w:space="0" w:color="auto"/>
      </w:divBdr>
    </w:div>
    <w:div w:id="1167481117">
      <w:bodyDiv w:val="1"/>
      <w:marLeft w:val="0"/>
      <w:marRight w:val="0"/>
      <w:marTop w:val="0"/>
      <w:marBottom w:val="0"/>
      <w:divBdr>
        <w:top w:val="none" w:sz="0" w:space="0" w:color="auto"/>
        <w:left w:val="none" w:sz="0" w:space="0" w:color="auto"/>
        <w:bottom w:val="none" w:sz="0" w:space="0" w:color="auto"/>
        <w:right w:val="none" w:sz="0" w:space="0" w:color="auto"/>
      </w:divBdr>
    </w:div>
    <w:div w:id="1168057211">
      <w:bodyDiv w:val="1"/>
      <w:marLeft w:val="0"/>
      <w:marRight w:val="0"/>
      <w:marTop w:val="0"/>
      <w:marBottom w:val="0"/>
      <w:divBdr>
        <w:top w:val="none" w:sz="0" w:space="0" w:color="auto"/>
        <w:left w:val="none" w:sz="0" w:space="0" w:color="auto"/>
        <w:bottom w:val="none" w:sz="0" w:space="0" w:color="auto"/>
        <w:right w:val="none" w:sz="0" w:space="0" w:color="auto"/>
      </w:divBdr>
    </w:div>
    <w:div w:id="1171481092">
      <w:bodyDiv w:val="1"/>
      <w:marLeft w:val="0"/>
      <w:marRight w:val="0"/>
      <w:marTop w:val="0"/>
      <w:marBottom w:val="0"/>
      <w:divBdr>
        <w:top w:val="none" w:sz="0" w:space="0" w:color="auto"/>
        <w:left w:val="none" w:sz="0" w:space="0" w:color="auto"/>
        <w:bottom w:val="none" w:sz="0" w:space="0" w:color="auto"/>
        <w:right w:val="none" w:sz="0" w:space="0" w:color="auto"/>
      </w:divBdr>
    </w:div>
    <w:div w:id="1172140666">
      <w:bodyDiv w:val="1"/>
      <w:marLeft w:val="0"/>
      <w:marRight w:val="0"/>
      <w:marTop w:val="0"/>
      <w:marBottom w:val="0"/>
      <w:divBdr>
        <w:top w:val="none" w:sz="0" w:space="0" w:color="auto"/>
        <w:left w:val="none" w:sz="0" w:space="0" w:color="auto"/>
        <w:bottom w:val="none" w:sz="0" w:space="0" w:color="auto"/>
        <w:right w:val="none" w:sz="0" w:space="0" w:color="auto"/>
      </w:divBdr>
    </w:div>
    <w:div w:id="1172994085">
      <w:bodyDiv w:val="1"/>
      <w:marLeft w:val="0"/>
      <w:marRight w:val="0"/>
      <w:marTop w:val="0"/>
      <w:marBottom w:val="0"/>
      <w:divBdr>
        <w:top w:val="none" w:sz="0" w:space="0" w:color="auto"/>
        <w:left w:val="none" w:sz="0" w:space="0" w:color="auto"/>
        <w:bottom w:val="none" w:sz="0" w:space="0" w:color="auto"/>
        <w:right w:val="none" w:sz="0" w:space="0" w:color="auto"/>
      </w:divBdr>
    </w:div>
    <w:div w:id="1173109498">
      <w:bodyDiv w:val="1"/>
      <w:marLeft w:val="0"/>
      <w:marRight w:val="0"/>
      <w:marTop w:val="0"/>
      <w:marBottom w:val="0"/>
      <w:divBdr>
        <w:top w:val="none" w:sz="0" w:space="0" w:color="auto"/>
        <w:left w:val="none" w:sz="0" w:space="0" w:color="auto"/>
        <w:bottom w:val="none" w:sz="0" w:space="0" w:color="auto"/>
        <w:right w:val="none" w:sz="0" w:space="0" w:color="auto"/>
      </w:divBdr>
    </w:div>
    <w:div w:id="1176191470">
      <w:bodyDiv w:val="1"/>
      <w:marLeft w:val="0"/>
      <w:marRight w:val="0"/>
      <w:marTop w:val="0"/>
      <w:marBottom w:val="0"/>
      <w:divBdr>
        <w:top w:val="none" w:sz="0" w:space="0" w:color="auto"/>
        <w:left w:val="none" w:sz="0" w:space="0" w:color="auto"/>
        <w:bottom w:val="none" w:sz="0" w:space="0" w:color="auto"/>
        <w:right w:val="none" w:sz="0" w:space="0" w:color="auto"/>
      </w:divBdr>
    </w:div>
    <w:div w:id="1178614728">
      <w:bodyDiv w:val="1"/>
      <w:marLeft w:val="0"/>
      <w:marRight w:val="0"/>
      <w:marTop w:val="0"/>
      <w:marBottom w:val="0"/>
      <w:divBdr>
        <w:top w:val="none" w:sz="0" w:space="0" w:color="auto"/>
        <w:left w:val="none" w:sz="0" w:space="0" w:color="auto"/>
        <w:bottom w:val="none" w:sz="0" w:space="0" w:color="auto"/>
        <w:right w:val="none" w:sz="0" w:space="0" w:color="auto"/>
      </w:divBdr>
    </w:div>
    <w:div w:id="1182623298">
      <w:bodyDiv w:val="1"/>
      <w:marLeft w:val="0"/>
      <w:marRight w:val="0"/>
      <w:marTop w:val="0"/>
      <w:marBottom w:val="0"/>
      <w:divBdr>
        <w:top w:val="none" w:sz="0" w:space="0" w:color="auto"/>
        <w:left w:val="none" w:sz="0" w:space="0" w:color="auto"/>
        <w:bottom w:val="none" w:sz="0" w:space="0" w:color="auto"/>
        <w:right w:val="none" w:sz="0" w:space="0" w:color="auto"/>
      </w:divBdr>
    </w:div>
    <w:div w:id="1183738993">
      <w:bodyDiv w:val="1"/>
      <w:marLeft w:val="0"/>
      <w:marRight w:val="0"/>
      <w:marTop w:val="0"/>
      <w:marBottom w:val="0"/>
      <w:divBdr>
        <w:top w:val="none" w:sz="0" w:space="0" w:color="auto"/>
        <w:left w:val="none" w:sz="0" w:space="0" w:color="auto"/>
        <w:bottom w:val="none" w:sz="0" w:space="0" w:color="auto"/>
        <w:right w:val="none" w:sz="0" w:space="0" w:color="auto"/>
      </w:divBdr>
    </w:div>
    <w:div w:id="1184124859">
      <w:bodyDiv w:val="1"/>
      <w:marLeft w:val="0"/>
      <w:marRight w:val="0"/>
      <w:marTop w:val="0"/>
      <w:marBottom w:val="0"/>
      <w:divBdr>
        <w:top w:val="none" w:sz="0" w:space="0" w:color="auto"/>
        <w:left w:val="none" w:sz="0" w:space="0" w:color="auto"/>
        <w:bottom w:val="none" w:sz="0" w:space="0" w:color="auto"/>
        <w:right w:val="none" w:sz="0" w:space="0" w:color="auto"/>
      </w:divBdr>
    </w:div>
    <w:div w:id="1184435688">
      <w:bodyDiv w:val="1"/>
      <w:marLeft w:val="0"/>
      <w:marRight w:val="0"/>
      <w:marTop w:val="0"/>
      <w:marBottom w:val="0"/>
      <w:divBdr>
        <w:top w:val="none" w:sz="0" w:space="0" w:color="auto"/>
        <w:left w:val="none" w:sz="0" w:space="0" w:color="auto"/>
        <w:bottom w:val="none" w:sz="0" w:space="0" w:color="auto"/>
        <w:right w:val="none" w:sz="0" w:space="0" w:color="auto"/>
      </w:divBdr>
    </w:div>
    <w:div w:id="1184515979">
      <w:bodyDiv w:val="1"/>
      <w:marLeft w:val="0"/>
      <w:marRight w:val="0"/>
      <w:marTop w:val="0"/>
      <w:marBottom w:val="0"/>
      <w:divBdr>
        <w:top w:val="none" w:sz="0" w:space="0" w:color="auto"/>
        <w:left w:val="none" w:sz="0" w:space="0" w:color="auto"/>
        <w:bottom w:val="none" w:sz="0" w:space="0" w:color="auto"/>
        <w:right w:val="none" w:sz="0" w:space="0" w:color="auto"/>
      </w:divBdr>
    </w:div>
    <w:div w:id="1185023650">
      <w:bodyDiv w:val="1"/>
      <w:marLeft w:val="0"/>
      <w:marRight w:val="0"/>
      <w:marTop w:val="0"/>
      <w:marBottom w:val="0"/>
      <w:divBdr>
        <w:top w:val="none" w:sz="0" w:space="0" w:color="auto"/>
        <w:left w:val="none" w:sz="0" w:space="0" w:color="auto"/>
        <w:bottom w:val="none" w:sz="0" w:space="0" w:color="auto"/>
        <w:right w:val="none" w:sz="0" w:space="0" w:color="auto"/>
      </w:divBdr>
    </w:div>
    <w:div w:id="1185438957">
      <w:bodyDiv w:val="1"/>
      <w:marLeft w:val="0"/>
      <w:marRight w:val="0"/>
      <w:marTop w:val="0"/>
      <w:marBottom w:val="0"/>
      <w:divBdr>
        <w:top w:val="none" w:sz="0" w:space="0" w:color="auto"/>
        <w:left w:val="none" w:sz="0" w:space="0" w:color="auto"/>
        <w:bottom w:val="none" w:sz="0" w:space="0" w:color="auto"/>
        <w:right w:val="none" w:sz="0" w:space="0" w:color="auto"/>
      </w:divBdr>
    </w:div>
    <w:div w:id="1188518121">
      <w:bodyDiv w:val="1"/>
      <w:marLeft w:val="0"/>
      <w:marRight w:val="0"/>
      <w:marTop w:val="0"/>
      <w:marBottom w:val="0"/>
      <w:divBdr>
        <w:top w:val="none" w:sz="0" w:space="0" w:color="auto"/>
        <w:left w:val="none" w:sz="0" w:space="0" w:color="auto"/>
        <w:bottom w:val="none" w:sz="0" w:space="0" w:color="auto"/>
        <w:right w:val="none" w:sz="0" w:space="0" w:color="auto"/>
      </w:divBdr>
    </w:div>
    <w:div w:id="1190297356">
      <w:bodyDiv w:val="1"/>
      <w:marLeft w:val="0"/>
      <w:marRight w:val="0"/>
      <w:marTop w:val="0"/>
      <w:marBottom w:val="0"/>
      <w:divBdr>
        <w:top w:val="none" w:sz="0" w:space="0" w:color="auto"/>
        <w:left w:val="none" w:sz="0" w:space="0" w:color="auto"/>
        <w:bottom w:val="none" w:sz="0" w:space="0" w:color="auto"/>
        <w:right w:val="none" w:sz="0" w:space="0" w:color="auto"/>
      </w:divBdr>
    </w:div>
    <w:div w:id="1191602381">
      <w:bodyDiv w:val="1"/>
      <w:marLeft w:val="0"/>
      <w:marRight w:val="0"/>
      <w:marTop w:val="0"/>
      <w:marBottom w:val="0"/>
      <w:divBdr>
        <w:top w:val="none" w:sz="0" w:space="0" w:color="auto"/>
        <w:left w:val="none" w:sz="0" w:space="0" w:color="auto"/>
        <w:bottom w:val="none" w:sz="0" w:space="0" w:color="auto"/>
        <w:right w:val="none" w:sz="0" w:space="0" w:color="auto"/>
      </w:divBdr>
    </w:div>
    <w:div w:id="1192914994">
      <w:bodyDiv w:val="1"/>
      <w:marLeft w:val="0"/>
      <w:marRight w:val="0"/>
      <w:marTop w:val="0"/>
      <w:marBottom w:val="0"/>
      <w:divBdr>
        <w:top w:val="none" w:sz="0" w:space="0" w:color="auto"/>
        <w:left w:val="none" w:sz="0" w:space="0" w:color="auto"/>
        <w:bottom w:val="none" w:sz="0" w:space="0" w:color="auto"/>
        <w:right w:val="none" w:sz="0" w:space="0" w:color="auto"/>
      </w:divBdr>
    </w:div>
    <w:div w:id="1193035489">
      <w:bodyDiv w:val="1"/>
      <w:marLeft w:val="0"/>
      <w:marRight w:val="0"/>
      <w:marTop w:val="0"/>
      <w:marBottom w:val="0"/>
      <w:divBdr>
        <w:top w:val="none" w:sz="0" w:space="0" w:color="auto"/>
        <w:left w:val="none" w:sz="0" w:space="0" w:color="auto"/>
        <w:bottom w:val="none" w:sz="0" w:space="0" w:color="auto"/>
        <w:right w:val="none" w:sz="0" w:space="0" w:color="auto"/>
      </w:divBdr>
    </w:div>
    <w:div w:id="1194423444">
      <w:bodyDiv w:val="1"/>
      <w:marLeft w:val="0"/>
      <w:marRight w:val="0"/>
      <w:marTop w:val="0"/>
      <w:marBottom w:val="0"/>
      <w:divBdr>
        <w:top w:val="none" w:sz="0" w:space="0" w:color="auto"/>
        <w:left w:val="none" w:sz="0" w:space="0" w:color="auto"/>
        <w:bottom w:val="none" w:sz="0" w:space="0" w:color="auto"/>
        <w:right w:val="none" w:sz="0" w:space="0" w:color="auto"/>
      </w:divBdr>
    </w:div>
    <w:div w:id="1196889765">
      <w:bodyDiv w:val="1"/>
      <w:marLeft w:val="0"/>
      <w:marRight w:val="0"/>
      <w:marTop w:val="0"/>
      <w:marBottom w:val="0"/>
      <w:divBdr>
        <w:top w:val="none" w:sz="0" w:space="0" w:color="auto"/>
        <w:left w:val="none" w:sz="0" w:space="0" w:color="auto"/>
        <w:bottom w:val="none" w:sz="0" w:space="0" w:color="auto"/>
        <w:right w:val="none" w:sz="0" w:space="0" w:color="auto"/>
      </w:divBdr>
    </w:div>
    <w:div w:id="1197236089">
      <w:bodyDiv w:val="1"/>
      <w:marLeft w:val="0"/>
      <w:marRight w:val="0"/>
      <w:marTop w:val="0"/>
      <w:marBottom w:val="0"/>
      <w:divBdr>
        <w:top w:val="none" w:sz="0" w:space="0" w:color="auto"/>
        <w:left w:val="none" w:sz="0" w:space="0" w:color="auto"/>
        <w:bottom w:val="none" w:sz="0" w:space="0" w:color="auto"/>
        <w:right w:val="none" w:sz="0" w:space="0" w:color="auto"/>
      </w:divBdr>
    </w:div>
    <w:div w:id="1198469398">
      <w:bodyDiv w:val="1"/>
      <w:marLeft w:val="0"/>
      <w:marRight w:val="0"/>
      <w:marTop w:val="0"/>
      <w:marBottom w:val="0"/>
      <w:divBdr>
        <w:top w:val="none" w:sz="0" w:space="0" w:color="auto"/>
        <w:left w:val="none" w:sz="0" w:space="0" w:color="auto"/>
        <w:bottom w:val="none" w:sz="0" w:space="0" w:color="auto"/>
        <w:right w:val="none" w:sz="0" w:space="0" w:color="auto"/>
      </w:divBdr>
    </w:div>
    <w:div w:id="1201623264">
      <w:bodyDiv w:val="1"/>
      <w:marLeft w:val="0"/>
      <w:marRight w:val="0"/>
      <w:marTop w:val="0"/>
      <w:marBottom w:val="0"/>
      <w:divBdr>
        <w:top w:val="none" w:sz="0" w:space="0" w:color="auto"/>
        <w:left w:val="none" w:sz="0" w:space="0" w:color="auto"/>
        <w:bottom w:val="none" w:sz="0" w:space="0" w:color="auto"/>
        <w:right w:val="none" w:sz="0" w:space="0" w:color="auto"/>
      </w:divBdr>
    </w:div>
    <w:div w:id="1202788528">
      <w:bodyDiv w:val="1"/>
      <w:marLeft w:val="0"/>
      <w:marRight w:val="0"/>
      <w:marTop w:val="0"/>
      <w:marBottom w:val="0"/>
      <w:divBdr>
        <w:top w:val="none" w:sz="0" w:space="0" w:color="auto"/>
        <w:left w:val="none" w:sz="0" w:space="0" w:color="auto"/>
        <w:bottom w:val="none" w:sz="0" w:space="0" w:color="auto"/>
        <w:right w:val="none" w:sz="0" w:space="0" w:color="auto"/>
      </w:divBdr>
    </w:div>
    <w:div w:id="1203326688">
      <w:bodyDiv w:val="1"/>
      <w:marLeft w:val="0"/>
      <w:marRight w:val="0"/>
      <w:marTop w:val="0"/>
      <w:marBottom w:val="0"/>
      <w:divBdr>
        <w:top w:val="none" w:sz="0" w:space="0" w:color="auto"/>
        <w:left w:val="none" w:sz="0" w:space="0" w:color="auto"/>
        <w:bottom w:val="none" w:sz="0" w:space="0" w:color="auto"/>
        <w:right w:val="none" w:sz="0" w:space="0" w:color="auto"/>
      </w:divBdr>
    </w:div>
    <w:div w:id="1205630624">
      <w:bodyDiv w:val="1"/>
      <w:marLeft w:val="0"/>
      <w:marRight w:val="0"/>
      <w:marTop w:val="0"/>
      <w:marBottom w:val="0"/>
      <w:divBdr>
        <w:top w:val="none" w:sz="0" w:space="0" w:color="auto"/>
        <w:left w:val="none" w:sz="0" w:space="0" w:color="auto"/>
        <w:bottom w:val="none" w:sz="0" w:space="0" w:color="auto"/>
        <w:right w:val="none" w:sz="0" w:space="0" w:color="auto"/>
      </w:divBdr>
    </w:div>
    <w:div w:id="1205826092">
      <w:bodyDiv w:val="1"/>
      <w:marLeft w:val="0"/>
      <w:marRight w:val="0"/>
      <w:marTop w:val="0"/>
      <w:marBottom w:val="0"/>
      <w:divBdr>
        <w:top w:val="none" w:sz="0" w:space="0" w:color="auto"/>
        <w:left w:val="none" w:sz="0" w:space="0" w:color="auto"/>
        <w:bottom w:val="none" w:sz="0" w:space="0" w:color="auto"/>
        <w:right w:val="none" w:sz="0" w:space="0" w:color="auto"/>
      </w:divBdr>
    </w:div>
    <w:div w:id="1205827919">
      <w:bodyDiv w:val="1"/>
      <w:marLeft w:val="0"/>
      <w:marRight w:val="0"/>
      <w:marTop w:val="0"/>
      <w:marBottom w:val="0"/>
      <w:divBdr>
        <w:top w:val="none" w:sz="0" w:space="0" w:color="auto"/>
        <w:left w:val="none" w:sz="0" w:space="0" w:color="auto"/>
        <w:bottom w:val="none" w:sz="0" w:space="0" w:color="auto"/>
        <w:right w:val="none" w:sz="0" w:space="0" w:color="auto"/>
      </w:divBdr>
    </w:div>
    <w:div w:id="1208031154">
      <w:bodyDiv w:val="1"/>
      <w:marLeft w:val="0"/>
      <w:marRight w:val="0"/>
      <w:marTop w:val="0"/>
      <w:marBottom w:val="0"/>
      <w:divBdr>
        <w:top w:val="none" w:sz="0" w:space="0" w:color="auto"/>
        <w:left w:val="none" w:sz="0" w:space="0" w:color="auto"/>
        <w:bottom w:val="none" w:sz="0" w:space="0" w:color="auto"/>
        <w:right w:val="none" w:sz="0" w:space="0" w:color="auto"/>
      </w:divBdr>
    </w:div>
    <w:div w:id="1208494724">
      <w:bodyDiv w:val="1"/>
      <w:marLeft w:val="0"/>
      <w:marRight w:val="0"/>
      <w:marTop w:val="0"/>
      <w:marBottom w:val="0"/>
      <w:divBdr>
        <w:top w:val="none" w:sz="0" w:space="0" w:color="auto"/>
        <w:left w:val="none" w:sz="0" w:space="0" w:color="auto"/>
        <w:bottom w:val="none" w:sz="0" w:space="0" w:color="auto"/>
        <w:right w:val="none" w:sz="0" w:space="0" w:color="auto"/>
      </w:divBdr>
    </w:div>
    <w:div w:id="1210385873">
      <w:bodyDiv w:val="1"/>
      <w:marLeft w:val="0"/>
      <w:marRight w:val="0"/>
      <w:marTop w:val="0"/>
      <w:marBottom w:val="0"/>
      <w:divBdr>
        <w:top w:val="none" w:sz="0" w:space="0" w:color="auto"/>
        <w:left w:val="none" w:sz="0" w:space="0" w:color="auto"/>
        <w:bottom w:val="none" w:sz="0" w:space="0" w:color="auto"/>
        <w:right w:val="none" w:sz="0" w:space="0" w:color="auto"/>
      </w:divBdr>
    </w:div>
    <w:div w:id="1210729797">
      <w:bodyDiv w:val="1"/>
      <w:marLeft w:val="0"/>
      <w:marRight w:val="0"/>
      <w:marTop w:val="0"/>
      <w:marBottom w:val="0"/>
      <w:divBdr>
        <w:top w:val="none" w:sz="0" w:space="0" w:color="auto"/>
        <w:left w:val="none" w:sz="0" w:space="0" w:color="auto"/>
        <w:bottom w:val="none" w:sz="0" w:space="0" w:color="auto"/>
        <w:right w:val="none" w:sz="0" w:space="0" w:color="auto"/>
      </w:divBdr>
    </w:div>
    <w:div w:id="1211066317">
      <w:bodyDiv w:val="1"/>
      <w:marLeft w:val="0"/>
      <w:marRight w:val="0"/>
      <w:marTop w:val="0"/>
      <w:marBottom w:val="0"/>
      <w:divBdr>
        <w:top w:val="none" w:sz="0" w:space="0" w:color="auto"/>
        <w:left w:val="none" w:sz="0" w:space="0" w:color="auto"/>
        <w:bottom w:val="none" w:sz="0" w:space="0" w:color="auto"/>
        <w:right w:val="none" w:sz="0" w:space="0" w:color="auto"/>
      </w:divBdr>
    </w:div>
    <w:div w:id="1211183854">
      <w:bodyDiv w:val="1"/>
      <w:marLeft w:val="0"/>
      <w:marRight w:val="0"/>
      <w:marTop w:val="0"/>
      <w:marBottom w:val="0"/>
      <w:divBdr>
        <w:top w:val="none" w:sz="0" w:space="0" w:color="auto"/>
        <w:left w:val="none" w:sz="0" w:space="0" w:color="auto"/>
        <w:bottom w:val="none" w:sz="0" w:space="0" w:color="auto"/>
        <w:right w:val="none" w:sz="0" w:space="0" w:color="auto"/>
      </w:divBdr>
    </w:div>
    <w:div w:id="1212232250">
      <w:bodyDiv w:val="1"/>
      <w:marLeft w:val="0"/>
      <w:marRight w:val="0"/>
      <w:marTop w:val="0"/>
      <w:marBottom w:val="0"/>
      <w:divBdr>
        <w:top w:val="none" w:sz="0" w:space="0" w:color="auto"/>
        <w:left w:val="none" w:sz="0" w:space="0" w:color="auto"/>
        <w:bottom w:val="none" w:sz="0" w:space="0" w:color="auto"/>
        <w:right w:val="none" w:sz="0" w:space="0" w:color="auto"/>
      </w:divBdr>
    </w:div>
    <w:div w:id="1212573627">
      <w:bodyDiv w:val="1"/>
      <w:marLeft w:val="0"/>
      <w:marRight w:val="0"/>
      <w:marTop w:val="0"/>
      <w:marBottom w:val="0"/>
      <w:divBdr>
        <w:top w:val="none" w:sz="0" w:space="0" w:color="auto"/>
        <w:left w:val="none" w:sz="0" w:space="0" w:color="auto"/>
        <w:bottom w:val="none" w:sz="0" w:space="0" w:color="auto"/>
        <w:right w:val="none" w:sz="0" w:space="0" w:color="auto"/>
      </w:divBdr>
    </w:div>
    <w:div w:id="1212612838">
      <w:bodyDiv w:val="1"/>
      <w:marLeft w:val="0"/>
      <w:marRight w:val="0"/>
      <w:marTop w:val="0"/>
      <w:marBottom w:val="0"/>
      <w:divBdr>
        <w:top w:val="none" w:sz="0" w:space="0" w:color="auto"/>
        <w:left w:val="none" w:sz="0" w:space="0" w:color="auto"/>
        <w:bottom w:val="none" w:sz="0" w:space="0" w:color="auto"/>
        <w:right w:val="none" w:sz="0" w:space="0" w:color="auto"/>
      </w:divBdr>
    </w:div>
    <w:div w:id="1213493510">
      <w:bodyDiv w:val="1"/>
      <w:marLeft w:val="0"/>
      <w:marRight w:val="0"/>
      <w:marTop w:val="0"/>
      <w:marBottom w:val="0"/>
      <w:divBdr>
        <w:top w:val="none" w:sz="0" w:space="0" w:color="auto"/>
        <w:left w:val="none" w:sz="0" w:space="0" w:color="auto"/>
        <w:bottom w:val="none" w:sz="0" w:space="0" w:color="auto"/>
        <w:right w:val="none" w:sz="0" w:space="0" w:color="auto"/>
      </w:divBdr>
    </w:div>
    <w:div w:id="1216311699">
      <w:bodyDiv w:val="1"/>
      <w:marLeft w:val="0"/>
      <w:marRight w:val="0"/>
      <w:marTop w:val="0"/>
      <w:marBottom w:val="0"/>
      <w:divBdr>
        <w:top w:val="none" w:sz="0" w:space="0" w:color="auto"/>
        <w:left w:val="none" w:sz="0" w:space="0" w:color="auto"/>
        <w:bottom w:val="none" w:sz="0" w:space="0" w:color="auto"/>
        <w:right w:val="none" w:sz="0" w:space="0" w:color="auto"/>
      </w:divBdr>
    </w:div>
    <w:div w:id="1217087064">
      <w:bodyDiv w:val="1"/>
      <w:marLeft w:val="0"/>
      <w:marRight w:val="0"/>
      <w:marTop w:val="0"/>
      <w:marBottom w:val="0"/>
      <w:divBdr>
        <w:top w:val="none" w:sz="0" w:space="0" w:color="auto"/>
        <w:left w:val="none" w:sz="0" w:space="0" w:color="auto"/>
        <w:bottom w:val="none" w:sz="0" w:space="0" w:color="auto"/>
        <w:right w:val="none" w:sz="0" w:space="0" w:color="auto"/>
      </w:divBdr>
    </w:div>
    <w:div w:id="1217428325">
      <w:bodyDiv w:val="1"/>
      <w:marLeft w:val="0"/>
      <w:marRight w:val="0"/>
      <w:marTop w:val="0"/>
      <w:marBottom w:val="0"/>
      <w:divBdr>
        <w:top w:val="none" w:sz="0" w:space="0" w:color="auto"/>
        <w:left w:val="none" w:sz="0" w:space="0" w:color="auto"/>
        <w:bottom w:val="none" w:sz="0" w:space="0" w:color="auto"/>
        <w:right w:val="none" w:sz="0" w:space="0" w:color="auto"/>
      </w:divBdr>
    </w:div>
    <w:div w:id="1217467396">
      <w:bodyDiv w:val="1"/>
      <w:marLeft w:val="0"/>
      <w:marRight w:val="0"/>
      <w:marTop w:val="0"/>
      <w:marBottom w:val="0"/>
      <w:divBdr>
        <w:top w:val="none" w:sz="0" w:space="0" w:color="auto"/>
        <w:left w:val="none" w:sz="0" w:space="0" w:color="auto"/>
        <w:bottom w:val="none" w:sz="0" w:space="0" w:color="auto"/>
        <w:right w:val="none" w:sz="0" w:space="0" w:color="auto"/>
      </w:divBdr>
    </w:div>
    <w:div w:id="1217820494">
      <w:bodyDiv w:val="1"/>
      <w:marLeft w:val="0"/>
      <w:marRight w:val="0"/>
      <w:marTop w:val="0"/>
      <w:marBottom w:val="0"/>
      <w:divBdr>
        <w:top w:val="none" w:sz="0" w:space="0" w:color="auto"/>
        <w:left w:val="none" w:sz="0" w:space="0" w:color="auto"/>
        <w:bottom w:val="none" w:sz="0" w:space="0" w:color="auto"/>
        <w:right w:val="none" w:sz="0" w:space="0" w:color="auto"/>
      </w:divBdr>
    </w:div>
    <w:div w:id="1218855090">
      <w:bodyDiv w:val="1"/>
      <w:marLeft w:val="0"/>
      <w:marRight w:val="0"/>
      <w:marTop w:val="0"/>
      <w:marBottom w:val="0"/>
      <w:divBdr>
        <w:top w:val="none" w:sz="0" w:space="0" w:color="auto"/>
        <w:left w:val="none" w:sz="0" w:space="0" w:color="auto"/>
        <w:bottom w:val="none" w:sz="0" w:space="0" w:color="auto"/>
        <w:right w:val="none" w:sz="0" w:space="0" w:color="auto"/>
      </w:divBdr>
    </w:div>
    <w:div w:id="1219321926">
      <w:bodyDiv w:val="1"/>
      <w:marLeft w:val="0"/>
      <w:marRight w:val="0"/>
      <w:marTop w:val="0"/>
      <w:marBottom w:val="0"/>
      <w:divBdr>
        <w:top w:val="none" w:sz="0" w:space="0" w:color="auto"/>
        <w:left w:val="none" w:sz="0" w:space="0" w:color="auto"/>
        <w:bottom w:val="none" w:sz="0" w:space="0" w:color="auto"/>
        <w:right w:val="none" w:sz="0" w:space="0" w:color="auto"/>
      </w:divBdr>
    </w:div>
    <w:div w:id="1219709089">
      <w:bodyDiv w:val="1"/>
      <w:marLeft w:val="0"/>
      <w:marRight w:val="0"/>
      <w:marTop w:val="0"/>
      <w:marBottom w:val="0"/>
      <w:divBdr>
        <w:top w:val="none" w:sz="0" w:space="0" w:color="auto"/>
        <w:left w:val="none" w:sz="0" w:space="0" w:color="auto"/>
        <w:bottom w:val="none" w:sz="0" w:space="0" w:color="auto"/>
        <w:right w:val="none" w:sz="0" w:space="0" w:color="auto"/>
      </w:divBdr>
    </w:div>
    <w:div w:id="1220047737">
      <w:bodyDiv w:val="1"/>
      <w:marLeft w:val="0"/>
      <w:marRight w:val="0"/>
      <w:marTop w:val="0"/>
      <w:marBottom w:val="0"/>
      <w:divBdr>
        <w:top w:val="none" w:sz="0" w:space="0" w:color="auto"/>
        <w:left w:val="none" w:sz="0" w:space="0" w:color="auto"/>
        <w:bottom w:val="none" w:sz="0" w:space="0" w:color="auto"/>
        <w:right w:val="none" w:sz="0" w:space="0" w:color="auto"/>
      </w:divBdr>
    </w:div>
    <w:div w:id="1220049314">
      <w:bodyDiv w:val="1"/>
      <w:marLeft w:val="0"/>
      <w:marRight w:val="0"/>
      <w:marTop w:val="0"/>
      <w:marBottom w:val="0"/>
      <w:divBdr>
        <w:top w:val="none" w:sz="0" w:space="0" w:color="auto"/>
        <w:left w:val="none" w:sz="0" w:space="0" w:color="auto"/>
        <w:bottom w:val="none" w:sz="0" w:space="0" w:color="auto"/>
        <w:right w:val="none" w:sz="0" w:space="0" w:color="auto"/>
      </w:divBdr>
    </w:div>
    <w:div w:id="1225489415">
      <w:bodyDiv w:val="1"/>
      <w:marLeft w:val="0"/>
      <w:marRight w:val="0"/>
      <w:marTop w:val="0"/>
      <w:marBottom w:val="0"/>
      <w:divBdr>
        <w:top w:val="none" w:sz="0" w:space="0" w:color="auto"/>
        <w:left w:val="none" w:sz="0" w:space="0" w:color="auto"/>
        <w:bottom w:val="none" w:sz="0" w:space="0" w:color="auto"/>
        <w:right w:val="none" w:sz="0" w:space="0" w:color="auto"/>
      </w:divBdr>
    </w:div>
    <w:div w:id="1226330229">
      <w:bodyDiv w:val="1"/>
      <w:marLeft w:val="0"/>
      <w:marRight w:val="0"/>
      <w:marTop w:val="0"/>
      <w:marBottom w:val="0"/>
      <w:divBdr>
        <w:top w:val="none" w:sz="0" w:space="0" w:color="auto"/>
        <w:left w:val="none" w:sz="0" w:space="0" w:color="auto"/>
        <w:bottom w:val="none" w:sz="0" w:space="0" w:color="auto"/>
        <w:right w:val="none" w:sz="0" w:space="0" w:color="auto"/>
      </w:divBdr>
    </w:div>
    <w:div w:id="1227259110">
      <w:bodyDiv w:val="1"/>
      <w:marLeft w:val="0"/>
      <w:marRight w:val="0"/>
      <w:marTop w:val="0"/>
      <w:marBottom w:val="0"/>
      <w:divBdr>
        <w:top w:val="none" w:sz="0" w:space="0" w:color="auto"/>
        <w:left w:val="none" w:sz="0" w:space="0" w:color="auto"/>
        <w:bottom w:val="none" w:sz="0" w:space="0" w:color="auto"/>
        <w:right w:val="none" w:sz="0" w:space="0" w:color="auto"/>
      </w:divBdr>
    </w:div>
    <w:div w:id="1228998688">
      <w:bodyDiv w:val="1"/>
      <w:marLeft w:val="0"/>
      <w:marRight w:val="0"/>
      <w:marTop w:val="0"/>
      <w:marBottom w:val="0"/>
      <w:divBdr>
        <w:top w:val="none" w:sz="0" w:space="0" w:color="auto"/>
        <w:left w:val="none" w:sz="0" w:space="0" w:color="auto"/>
        <w:bottom w:val="none" w:sz="0" w:space="0" w:color="auto"/>
        <w:right w:val="none" w:sz="0" w:space="0" w:color="auto"/>
      </w:divBdr>
    </w:div>
    <w:div w:id="1229220453">
      <w:bodyDiv w:val="1"/>
      <w:marLeft w:val="0"/>
      <w:marRight w:val="0"/>
      <w:marTop w:val="0"/>
      <w:marBottom w:val="0"/>
      <w:divBdr>
        <w:top w:val="none" w:sz="0" w:space="0" w:color="auto"/>
        <w:left w:val="none" w:sz="0" w:space="0" w:color="auto"/>
        <w:bottom w:val="none" w:sz="0" w:space="0" w:color="auto"/>
        <w:right w:val="none" w:sz="0" w:space="0" w:color="auto"/>
      </w:divBdr>
    </w:div>
    <w:div w:id="1229924173">
      <w:bodyDiv w:val="1"/>
      <w:marLeft w:val="0"/>
      <w:marRight w:val="0"/>
      <w:marTop w:val="0"/>
      <w:marBottom w:val="0"/>
      <w:divBdr>
        <w:top w:val="none" w:sz="0" w:space="0" w:color="auto"/>
        <w:left w:val="none" w:sz="0" w:space="0" w:color="auto"/>
        <w:bottom w:val="none" w:sz="0" w:space="0" w:color="auto"/>
        <w:right w:val="none" w:sz="0" w:space="0" w:color="auto"/>
      </w:divBdr>
    </w:div>
    <w:div w:id="1230311669">
      <w:bodyDiv w:val="1"/>
      <w:marLeft w:val="0"/>
      <w:marRight w:val="0"/>
      <w:marTop w:val="0"/>
      <w:marBottom w:val="0"/>
      <w:divBdr>
        <w:top w:val="none" w:sz="0" w:space="0" w:color="auto"/>
        <w:left w:val="none" w:sz="0" w:space="0" w:color="auto"/>
        <w:bottom w:val="none" w:sz="0" w:space="0" w:color="auto"/>
        <w:right w:val="none" w:sz="0" w:space="0" w:color="auto"/>
      </w:divBdr>
    </w:div>
    <w:div w:id="1230338907">
      <w:bodyDiv w:val="1"/>
      <w:marLeft w:val="0"/>
      <w:marRight w:val="0"/>
      <w:marTop w:val="0"/>
      <w:marBottom w:val="0"/>
      <w:divBdr>
        <w:top w:val="none" w:sz="0" w:space="0" w:color="auto"/>
        <w:left w:val="none" w:sz="0" w:space="0" w:color="auto"/>
        <w:bottom w:val="none" w:sz="0" w:space="0" w:color="auto"/>
        <w:right w:val="none" w:sz="0" w:space="0" w:color="auto"/>
      </w:divBdr>
    </w:div>
    <w:div w:id="1230727336">
      <w:bodyDiv w:val="1"/>
      <w:marLeft w:val="0"/>
      <w:marRight w:val="0"/>
      <w:marTop w:val="0"/>
      <w:marBottom w:val="0"/>
      <w:divBdr>
        <w:top w:val="none" w:sz="0" w:space="0" w:color="auto"/>
        <w:left w:val="none" w:sz="0" w:space="0" w:color="auto"/>
        <w:bottom w:val="none" w:sz="0" w:space="0" w:color="auto"/>
        <w:right w:val="none" w:sz="0" w:space="0" w:color="auto"/>
      </w:divBdr>
    </w:div>
    <w:div w:id="1231160284">
      <w:bodyDiv w:val="1"/>
      <w:marLeft w:val="0"/>
      <w:marRight w:val="0"/>
      <w:marTop w:val="0"/>
      <w:marBottom w:val="0"/>
      <w:divBdr>
        <w:top w:val="none" w:sz="0" w:space="0" w:color="auto"/>
        <w:left w:val="none" w:sz="0" w:space="0" w:color="auto"/>
        <w:bottom w:val="none" w:sz="0" w:space="0" w:color="auto"/>
        <w:right w:val="none" w:sz="0" w:space="0" w:color="auto"/>
      </w:divBdr>
    </w:div>
    <w:div w:id="1233657491">
      <w:bodyDiv w:val="1"/>
      <w:marLeft w:val="0"/>
      <w:marRight w:val="0"/>
      <w:marTop w:val="0"/>
      <w:marBottom w:val="0"/>
      <w:divBdr>
        <w:top w:val="none" w:sz="0" w:space="0" w:color="auto"/>
        <w:left w:val="none" w:sz="0" w:space="0" w:color="auto"/>
        <w:bottom w:val="none" w:sz="0" w:space="0" w:color="auto"/>
        <w:right w:val="none" w:sz="0" w:space="0" w:color="auto"/>
      </w:divBdr>
    </w:div>
    <w:div w:id="1235354781">
      <w:bodyDiv w:val="1"/>
      <w:marLeft w:val="0"/>
      <w:marRight w:val="0"/>
      <w:marTop w:val="0"/>
      <w:marBottom w:val="0"/>
      <w:divBdr>
        <w:top w:val="none" w:sz="0" w:space="0" w:color="auto"/>
        <w:left w:val="none" w:sz="0" w:space="0" w:color="auto"/>
        <w:bottom w:val="none" w:sz="0" w:space="0" w:color="auto"/>
        <w:right w:val="none" w:sz="0" w:space="0" w:color="auto"/>
      </w:divBdr>
    </w:div>
    <w:div w:id="1235508871">
      <w:bodyDiv w:val="1"/>
      <w:marLeft w:val="0"/>
      <w:marRight w:val="0"/>
      <w:marTop w:val="0"/>
      <w:marBottom w:val="0"/>
      <w:divBdr>
        <w:top w:val="none" w:sz="0" w:space="0" w:color="auto"/>
        <w:left w:val="none" w:sz="0" w:space="0" w:color="auto"/>
        <w:bottom w:val="none" w:sz="0" w:space="0" w:color="auto"/>
        <w:right w:val="none" w:sz="0" w:space="0" w:color="auto"/>
      </w:divBdr>
    </w:div>
    <w:div w:id="1236428054">
      <w:bodyDiv w:val="1"/>
      <w:marLeft w:val="0"/>
      <w:marRight w:val="0"/>
      <w:marTop w:val="0"/>
      <w:marBottom w:val="0"/>
      <w:divBdr>
        <w:top w:val="none" w:sz="0" w:space="0" w:color="auto"/>
        <w:left w:val="none" w:sz="0" w:space="0" w:color="auto"/>
        <w:bottom w:val="none" w:sz="0" w:space="0" w:color="auto"/>
        <w:right w:val="none" w:sz="0" w:space="0" w:color="auto"/>
      </w:divBdr>
    </w:div>
    <w:div w:id="1237058421">
      <w:bodyDiv w:val="1"/>
      <w:marLeft w:val="0"/>
      <w:marRight w:val="0"/>
      <w:marTop w:val="0"/>
      <w:marBottom w:val="0"/>
      <w:divBdr>
        <w:top w:val="none" w:sz="0" w:space="0" w:color="auto"/>
        <w:left w:val="none" w:sz="0" w:space="0" w:color="auto"/>
        <w:bottom w:val="none" w:sz="0" w:space="0" w:color="auto"/>
        <w:right w:val="none" w:sz="0" w:space="0" w:color="auto"/>
      </w:divBdr>
    </w:div>
    <w:div w:id="1237328215">
      <w:bodyDiv w:val="1"/>
      <w:marLeft w:val="0"/>
      <w:marRight w:val="0"/>
      <w:marTop w:val="0"/>
      <w:marBottom w:val="0"/>
      <w:divBdr>
        <w:top w:val="none" w:sz="0" w:space="0" w:color="auto"/>
        <w:left w:val="none" w:sz="0" w:space="0" w:color="auto"/>
        <w:bottom w:val="none" w:sz="0" w:space="0" w:color="auto"/>
        <w:right w:val="none" w:sz="0" w:space="0" w:color="auto"/>
      </w:divBdr>
    </w:div>
    <w:div w:id="1237668394">
      <w:bodyDiv w:val="1"/>
      <w:marLeft w:val="0"/>
      <w:marRight w:val="0"/>
      <w:marTop w:val="0"/>
      <w:marBottom w:val="0"/>
      <w:divBdr>
        <w:top w:val="none" w:sz="0" w:space="0" w:color="auto"/>
        <w:left w:val="none" w:sz="0" w:space="0" w:color="auto"/>
        <w:bottom w:val="none" w:sz="0" w:space="0" w:color="auto"/>
        <w:right w:val="none" w:sz="0" w:space="0" w:color="auto"/>
      </w:divBdr>
    </w:div>
    <w:div w:id="1238125629">
      <w:bodyDiv w:val="1"/>
      <w:marLeft w:val="0"/>
      <w:marRight w:val="0"/>
      <w:marTop w:val="0"/>
      <w:marBottom w:val="0"/>
      <w:divBdr>
        <w:top w:val="none" w:sz="0" w:space="0" w:color="auto"/>
        <w:left w:val="none" w:sz="0" w:space="0" w:color="auto"/>
        <w:bottom w:val="none" w:sz="0" w:space="0" w:color="auto"/>
        <w:right w:val="none" w:sz="0" w:space="0" w:color="auto"/>
      </w:divBdr>
    </w:div>
    <w:div w:id="1242367695">
      <w:bodyDiv w:val="1"/>
      <w:marLeft w:val="0"/>
      <w:marRight w:val="0"/>
      <w:marTop w:val="0"/>
      <w:marBottom w:val="0"/>
      <w:divBdr>
        <w:top w:val="none" w:sz="0" w:space="0" w:color="auto"/>
        <w:left w:val="none" w:sz="0" w:space="0" w:color="auto"/>
        <w:bottom w:val="none" w:sz="0" w:space="0" w:color="auto"/>
        <w:right w:val="none" w:sz="0" w:space="0" w:color="auto"/>
      </w:divBdr>
    </w:div>
    <w:div w:id="1242568906">
      <w:bodyDiv w:val="1"/>
      <w:marLeft w:val="0"/>
      <w:marRight w:val="0"/>
      <w:marTop w:val="0"/>
      <w:marBottom w:val="0"/>
      <w:divBdr>
        <w:top w:val="none" w:sz="0" w:space="0" w:color="auto"/>
        <w:left w:val="none" w:sz="0" w:space="0" w:color="auto"/>
        <w:bottom w:val="none" w:sz="0" w:space="0" w:color="auto"/>
        <w:right w:val="none" w:sz="0" w:space="0" w:color="auto"/>
      </w:divBdr>
    </w:div>
    <w:div w:id="1243299555">
      <w:bodyDiv w:val="1"/>
      <w:marLeft w:val="0"/>
      <w:marRight w:val="0"/>
      <w:marTop w:val="0"/>
      <w:marBottom w:val="0"/>
      <w:divBdr>
        <w:top w:val="none" w:sz="0" w:space="0" w:color="auto"/>
        <w:left w:val="none" w:sz="0" w:space="0" w:color="auto"/>
        <w:bottom w:val="none" w:sz="0" w:space="0" w:color="auto"/>
        <w:right w:val="none" w:sz="0" w:space="0" w:color="auto"/>
      </w:divBdr>
    </w:div>
    <w:div w:id="1243444910">
      <w:bodyDiv w:val="1"/>
      <w:marLeft w:val="0"/>
      <w:marRight w:val="0"/>
      <w:marTop w:val="0"/>
      <w:marBottom w:val="0"/>
      <w:divBdr>
        <w:top w:val="none" w:sz="0" w:space="0" w:color="auto"/>
        <w:left w:val="none" w:sz="0" w:space="0" w:color="auto"/>
        <w:bottom w:val="none" w:sz="0" w:space="0" w:color="auto"/>
        <w:right w:val="none" w:sz="0" w:space="0" w:color="auto"/>
      </w:divBdr>
    </w:div>
    <w:div w:id="1243445986">
      <w:bodyDiv w:val="1"/>
      <w:marLeft w:val="0"/>
      <w:marRight w:val="0"/>
      <w:marTop w:val="0"/>
      <w:marBottom w:val="0"/>
      <w:divBdr>
        <w:top w:val="none" w:sz="0" w:space="0" w:color="auto"/>
        <w:left w:val="none" w:sz="0" w:space="0" w:color="auto"/>
        <w:bottom w:val="none" w:sz="0" w:space="0" w:color="auto"/>
        <w:right w:val="none" w:sz="0" w:space="0" w:color="auto"/>
      </w:divBdr>
    </w:div>
    <w:div w:id="1244099033">
      <w:bodyDiv w:val="1"/>
      <w:marLeft w:val="0"/>
      <w:marRight w:val="0"/>
      <w:marTop w:val="0"/>
      <w:marBottom w:val="0"/>
      <w:divBdr>
        <w:top w:val="none" w:sz="0" w:space="0" w:color="auto"/>
        <w:left w:val="none" w:sz="0" w:space="0" w:color="auto"/>
        <w:bottom w:val="none" w:sz="0" w:space="0" w:color="auto"/>
        <w:right w:val="none" w:sz="0" w:space="0" w:color="auto"/>
      </w:divBdr>
    </w:div>
    <w:div w:id="1244753322">
      <w:bodyDiv w:val="1"/>
      <w:marLeft w:val="0"/>
      <w:marRight w:val="0"/>
      <w:marTop w:val="0"/>
      <w:marBottom w:val="0"/>
      <w:divBdr>
        <w:top w:val="none" w:sz="0" w:space="0" w:color="auto"/>
        <w:left w:val="none" w:sz="0" w:space="0" w:color="auto"/>
        <w:bottom w:val="none" w:sz="0" w:space="0" w:color="auto"/>
        <w:right w:val="none" w:sz="0" w:space="0" w:color="auto"/>
      </w:divBdr>
    </w:div>
    <w:div w:id="1244795429">
      <w:bodyDiv w:val="1"/>
      <w:marLeft w:val="0"/>
      <w:marRight w:val="0"/>
      <w:marTop w:val="0"/>
      <w:marBottom w:val="0"/>
      <w:divBdr>
        <w:top w:val="none" w:sz="0" w:space="0" w:color="auto"/>
        <w:left w:val="none" w:sz="0" w:space="0" w:color="auto"/>
        <w:bottom w:val="none" w:sz="0" w:space="0" w:color="auto"/>
        <w:right w:val="none" w:sz="0" w:space="0" w:color="auto"/>
      </w:divBdr>
    </w:div>
    <w:div w:id="1246761947">
      <w:bodyDiv w:val="1"/>
      <w:marLeft w:val="0"/>
      <w:marRight w:val="0"/>
      <w:marTop w:val="0"/>
      <w:marBottom w:val="0"/>
      <w:divBdr>
        <w:top w:val="none" w:sz="0" w:space="0" w:color="auto"/>
        <w:left w:val="none" w:sz="0" w:space="0" w:color="auto"/>
        <w:bottom w:val="none" w:sz="0" w:space="0" w:color="auto"/>
        <w:right w:val="none" w:sz="0" w:space="0" w:color="auto"/>
      </w:divBdr>
    </w:div>
    <w:div w:id="1246919069">
      <w:bodyDiv w:val="1"/>
      <w:marLeft w:val="0"/>
      <w:marRight w:val="0"/>
      <w:marTop w:val="0"/>
      <w:marBottom w:val="0"/>
      <w:divBdr>
        <w:top w:val="none" w:sz="0" w:space="0" w:color="auto"/>
        <w:left w:val="none" w:sz="0" w:space="0" w:color="auto"/>
        <w:bottom w:val="none" w:sz="0" w:space="0" w:color="auto"/>
        <w:right w:val="none" w:sz="0" w:space="0" w:color="auto"/>
      </w:divBdr>
    </w:div>
    <w:div w:id="1249075030">
      <w:bodyDiv w:val="1"/>
      <w:marLeft w:val="0"/>
      <w:marRight w:val="0"/>
      <w:marTop w:val="0"/>
      <w:marBottom w:val="0"/>
      <w:divBdr>
        <w:top w:val="none" w:sz="0" w:space="0" w:color="auto"/>
        <w:left w:val="none" w:sz="0" w:space="0" w:color="auto"/>
        <w:bottom w:val="none" w:sz="0" w:space="0" w:color="auto"/>
        <w:right w:val="none" w:sz="0" w:space="0" w:color="auto"/>
      </w:divBdr>
    </w:div>
    <w:div w:id="1249848572">
      <w:bodyDiv w:val="1"/>
      <w:marLeft w:val="0"/>
      <w:marRight w:val="0"/>
      <w:marTop w:val="0"/>
      <w:marBottom w:val="0"/>
      <w:divBdr>
        <w:top w:val="none" w:sz="0" w:space="0" w:color="auto"/>
        <w:left w:val="none" w:sz="0" w:space="0" w:color="auto"/>
        <w:bottom w:val="none" w:sz="0" w:space="0" w:color="auto"/>
        <w:right w:val="none" w:sz="0" w:space="0" w:color="auto"/>
      </w:divBdr>
    </w:div>
    <w:div w:id="1250504865">
      <w:bodyDiv w:val="1"/>
      <w:marLeft w:val="0"/>
      <w:marRight w:val="0"/>
      <w:marTop w:val="0"/>
      <w:marBottom w:val="0"/>
      <w:divBdr>
        <w:top w:val="none" w:sz="0" w:space="0" w:color="auto"/>
        <w:left w:val="none" w:sz="0" w:space="0" w:color="auto"/>
        <w:bottom w:val="none" w:sz="0" w:space="0" w:color="auto"/>
        <w:right w:val="none" w:sz="0" w:space="0" w:color="auto"/>
      </w:divBdr>
    </w:div>
    <w:div w:id="1250851118">
      <w:bodyDiv w:val="1"/>
      <w:marLeft w:val="0"/>
      <w:marRight w:val="0"/>
      <w:marTop w:val="0"/>
      <w:marBottom w:val="0"/>
      <w:divBdr>
        <w:top w:val="none" w:sz="0" w:space="0" w:color="auto"/>
        <w:left w:val="none" w:sz="0" w:space="0" w:color="auto"/>
        <w:bottom w:val="none" w:sz="0" w:space="0" w:color="auto"/>
        <w:right w:val="none" w:sz="0" w:space="0" w:color="auto"/>
      </w:divBdr>
    </w:div>
    <w:div w:id="1251620722">
      <w:bodyDiv w:val="1"/>
      <w:marLeft w:val="0"/>
      <w:marRight w:val="0"/>
      <w:marTop w:val="0"/>
      <w:marBottom w:val="0"/>
      <w:divBdr>
        <w:top w:val="none" w:sz="0" w:space="0" w:color="auto"/>
        <w:left w:val="none" w:sz="0" w:space="0" w:color="auto"/>
        <w:bottom w:val="none" w:sz="0" w:space="0" w:color="auto"/>
        <w:right w:val="none" w:sz="0" w:space="0" w:color="auto"/>
      </w:divBdr>
    </w:div>
    <w:div w:id="1254050877">
      <w:bodyDiv w:val="1"/>
      <w:marLeft w:val="0"/>
      <w:marRight w:val="0"/>
      <w:marTop w:val="0"/>
      <w:marBottom w:val="0"/>
      <w:divBdr>
        <w:top w:val="none" w:sz="0" w:space="0" w:color="auto"/>
        <w:left w:val="none" w:sz="0" w:space="0" w:color="auto"/>
        <w:bottom w:val="none" w:sz="0" w:space="0" w:color="auto"/>
        <w:right w:val="none" w:sz="0" w:space="0" w:color="auto"/>
      </w:divBdr>
    </w:div>
    <w:div w:id="1254125065">
      <w:bodyDiv w:val="1"/>
      <w:marLeft w:val="0"/>
      <w:marRight w:val="0"/>
      <w:marTop w:val="0"/>
      <w:marBottom w:val="0"/>
      <w:divBdr>
        <w:top w:val="none" w:sz="0" w:space="0" w:color="auto"/>
        <w:left w:val="none" w:sz="0" w:space="0" w:color="auto"/>
        <w:bottom w:val="none" w:sz="0" w:space="0" w:color="auto"/>
        <w:right w:val="none" w:sz="0" w:space="0" w:color="auto"/>
      </w:divBdr>
    </w:div>
    <w:div w:id="1257982739">
      <w:bodyDiv w:val="1"/>
      <w:marLeft w:val="0"/>
      <w:marRight w:val="0"/>
      <w:marTop w:val="0"/>
      <w:marBottom w:val="0"/>
      <w:divBdr>
        <w:top w:val="none" w:sz="0" w:space="0" w:color="auto"/>
        <w:left w:val="none" w:sz="0" w:space="0" w:color="auto"/>
        <w:bottom w:val="none" w:sz="0" w:space="0" w:color="auto"/>
        <w:right w:val="none" w:sz="0" w:space="0" w:color="auto"/>
      </w:divBdr>
    </w:div>
    <w:div w:id="1258909427">
      <w:bodyDiv w:val="1"/>
      <w:marLeft w:val="0"/>
      <w:marRight w:val="0"/>
      <w:marTop w:val="0"/>
      <w:marBottom w:val="0"/>
      <w:divBdr>
        <w:top w:val="none" w:sz="0" w:space="0" w:color="auto"/>
        <w:left w:val="none" w:sz="0" w:space="0" w:color="auto"/>
        <w:bottom w:val="none" w:sz="0" w:space="0" w:color="auto"/>
        <w:right w:val="none" w:sz="0" w:space="0" w:color="auto"/>
      </w:divBdr>
    </w:div>
    <w:div w:id="1262644599">
      <w:bodyDiv w:val="1"/>
      <w:marLeft w:val="0"/>
      <w:marRight w:val="0"/>
      <w:marTop w:val="0"/>
      <w:marBottom w:val="0"/>
      <w:divBdr>
        <w:top w:val="none" w:sz="0" w:space="0" w:color="auto"/>
        <w:left w:val="none" w:sz="0" w:space="0" w:color="auto"/>
        <w:bottom w:val="none" w:sz="0" w:space="0" w:color="auto"/>
        <w:right w:val="none" w:sz="0" w:space="0" w:color="auto"/>
      </w:divBdr>
    </w:div>
    <w:div w:id="1262882879">
      <w:bodyDiv w:val="1"/>
      <w:marLeft w:val="0"/>
      <w:marRight w:val="0"/>
      <w:marTop w:val="0"/>
      <w:marBottom w:val="0"/>
      <w:divBdr>
        <w:top w:val="none" w:sz="0" w:space="0" w:color="auto"/>
        <w:left w:val="none" w:sz="0" w:space="0" w:color="auto"/>
        <w:bottom w:val="none" w:sz="0" w:space="0" w:color="auto"/>
        <w:right w:val="none" w:sz="0" w:space="0" w:color="auto"/>
      </w:divBdr>
    </w:div>
    <w:div w:id="1263762598">
      <w:bodyDiv w:val="1"/>
      <w:marLeft w:val="0"/>
      <w:marRight w:val="0"/>
      <w:marTop w:val="0"/>
      <w:marBottom w:val="0"/>
      <w:divBdr>
        <w:top w:val="none" w:sz="0" w:space="0" w:color="auto"/>
        <w:left w:val="none" w:sz="0" w:space="0" w:color="auto"/>
        <w:bottom w:val="none" w:sz="0" w:space="0" w:color="auto"/>
        <w:right w:val="none" w:sz="0" w:space="0" w:color="auto"/>
      </w:divBdr>
    </w:div>
    <w:div w:id="1263876196">
      <w:bodyDiv w:val="1"/>
      <w:marLeft w:val="0"/>
      <w:marRight w:val="0"/>
      <w:marTop w:val="0"/>
      <w:marBottom w:val="0"/>
      <w:divBdr>
        <w:top w:val="none" w:sz="0" w:space="0" w:color="auto"/>
        <w:left w:val="none" w:sz="0" w:space="0" w:color="auto"/>
        <w:bottom w:val="none" w:sz="0" w:space="0" w:color="auto"/>
        <w:right w:val="none" w:sz="0" w:space="0" w:color="auto"/>
      </w:divBdr>
    </w:div>
    <w:div w:id="1264267950">
      <w:bodyDiv w:val="1"/>
      <w:marLeft w:val="0"/>
      <w:marRight w:val="0"/>
      <w:marTop w:val="0"/>
      <w:marBottom w:val="0"/>
      <w:divBdr>
        <w:top w:val="none" w:sz="0" w:space="0" w:color="auto"/>
        <w:left w:val="none" w:sz="0" w:space="0" w:color="auto"/>
        <w:bottom w:val="none" w:sz="0" w:space="0" w:color="auto"/>
        <w:right w:val="none" w:sz="0" w:space="0" w:color="auto"/>
      </w:divBdr>
    </w:div>
    <w:div w:id="1264607140">
      <w:bodyDiv w:val="1"/>
      <w:marLeft w:val="0"/>
      <w:marRight w:val="0"/>
      <w:marTop w:val="0"/>
      <w:marBottom w:val="0"/>
      <w:divBdr>
        <w:top w:val="none" w:sz="0" w:space="0" w:color="auto"/>
        <w:left w:val="none" w:sz="0" w:space="0" w:color="auto"/>
        <w:bottom w:val="none" w:sz="0" w:space="0" w:color="auto"/>
        <w:right w:val="none" w:sz="0" w:space="0" w:color="auto"/>
      </w:divBdr>
    </w:div>
    <w:div w:id="1269041617">
      <w:bodyDiv w:val="1"/>
      <w:marLeft w:val="0"/>
      <w:marRight w:val="0"/>
      <w:marTop w:val="0"/>
      <w:marBottom w:val="0"/>
      <w:divBdr>
        <w:top w:val="none" w:sz="0" w:space="0" w:color="auto"/>
        <w:left w:val="none" w:sz="0" w:space="0" w:color="auto"/>
        <w:bottom w:val="none" w:sz="0" w:space="0" w:color="auto"/>
        <w:right w:val="none" w:sz="0" w:space="0" w:color="auto"/>
      </w:divBdr>
    </w:div>
    <w:div w:id="1269655376">
      <w:bodyDiv w:val="1"/>
      <w:marLeft w:val="0"/>
      <w:marRight w:val="0"/>
      <w:marTop w:val="0"/>
      <w:marBottom w:val="0"/>
      <w:divBdr>
        <w:top w:val="none" w:sz="0" w:space="0" w:color="auto"/>
        <w:left w:val="none" w:sz="0" w:space="0" w:color="auto"/>
        <w:bottom w:val="none" w:sz="0" w:space="0" w:color="auto"/>
        <w:right w:val="none" w:sz="0" w:space="0" w:color="auto"/>
      </w:divBdr>
    </w:div>
    <w:div w:id="1271400691">
      <w:bodyDiv w:val="1"/>
      <w:marLeft w:val="0"/>
      <w:marRight w:val="0"/>
      <w:marTop w:val="0"/>
      <w:marBottom w:val="0"/>
      <w:divBdr>
        <w:top w:val="none" w:sz="0" w:space="0" w:color="auto"/>
        <w:left w:val="none" w:sz="0" w:space="0" w:color="auto"/>
        <w:bottom w:val="none" w:sz="0" w:space="0" w:color="auto"/>
        <w:right w:val="none" w:sz="0" w:space="0" w:color="auto"/>
      </w:divBdr>
    </w:div>
    <w:div w:id="1272475068">
      <w:bodyDiv w:val="1"/>
      <w:marLeft w:val="0"/>
      <w:marRight w:val="0"/>
      <w:marTop w:val="0"/>
      <w:marBottom w:val="0"/>
      <w:divBdr>
        <w:top w:val="none" w:sz="0" w:space="0" w:color="auto"/>
        <w:left w:val="none" w:sz="0" w:space="0" w:color="auto"/>
        <w:bottom w:val="none" w:sz="0" w:space="0" w:color="auto"/>
        <w:right w:val="none" w:sz="0" w:space="0" w:color="auto"/>
      </w:divBdr>
    </w:div>
    <w:div w:id="1273633325">
      <w:bodyDiv w:val="1"/>
      <w:marLeft w:val="0"/>
      <w:marRight w:val="0"/>
      <w:marTop w:val="0"/>
      <w:marBottom w:val="0"/>
      <w:divBdr>
        <w:top w:val="none" w:sz="0" w:space="0" w:color="auto"/>
        <w:left w:val="none" w:sz="0" w:space="0" w:color="auto"/>
        <w:bottom w:val="none" w:sz="0" w:space="0" w:color="auto"/>
        <w:right w:val="none" w:sz="0" w:space="0" w:color="auto"/>
      </w:divBdr>
    </w:div>
    <w:div w:id="1275481685">
      <w:bodyDiv w:val="1"/>
      <w:marLeft w:val="0"/>
      <w:marRight w:val="0"/>
      <w:marTop w:val="0"/>
      <w:marBottom w:val="0"/>
      <w:divBdr>
        <w:top w:val="none" w:sz="0" w:space="0" w:color="auto"/>
        <w:left w:val="none" w:sz="0" w:space="0" w:color="auto"/>
        <w:bottom w:val="none" w:sz="0" w:space="0" w:color="auto"/>
        <w:right w:val="none" w:sz="0" w:space="0" w:color="auto"/>
      </w:divBdr>
    </w:div>
    <w:div w:id="1275554116">
      <w:bodyDiv w:val="1"/>
      <w:marLeft w:val="0"/>
      <w:marRight w:val="0"/>
      <w:marTop w:val="0"/>
      <w:marBottom w:val="0"/>
      <w:divBdr>
        <w:top w:val="none" w:sz="0" w:space="0" w:color="auto"/>
        <w:left w:val="none" w:sz="0" w:space="0" w:color="auto"/>
        <w:bottom w:val="none" w:sz="0" w:space="0" w:color="auto"/>
        <w:right w:val="none" w:sz="0" w:space="0" w:color="auto"/>
      </w:divBdr>
    </w:div>
    <w:div w:id="1276978913">
      <w:bodyDiv w:val="1"/>
      <w:marLeft w:val="0"/>
      <w:marRight w:val="0"/>
      <w:marTop w:val="0"/>
      <w:marBottom w:val="0"/>
      <w:divBdr>
        <w:top w:val="none" w:sz="0" w:space="0" w:color="auto"/>
        <w:left w:val="none" w:sz="0" w:space="0" w:color="auto"/>
        <w:bottom w:val="none" w:sz="0" w:space="0" w:color="auto"/>
        <w:right w:val="none" w:sz="0" w:space="0" w:color="auto"/>
      </w:divBdr>
    </w:div>
    <w:div w:id="1278755665">
      <w:bodyDiv w:val="1"/>
      <w:marLeft w:val="0"/>
      <w:marRight w:val="0"/>
      <w:marTop w:val="0"/>
      <w:marBottom w:val="0"/>
      <w:divBdr>
        <w:top w:val="none" w:sz="0" w:space="0" w:color="auto"/>
        <w:left w:val="none" w:sz="0" w:space="0" w:color="auto"/>
        <w:bottom w:val="none" w:sz="0" w:space="0" w:color="auto"/>
        <w:right w:val="none" w:sz="0" w:space="0" w:color="auto"/>
      </w:divBdr>
    </w:div>
    <w:div w:id="1280650946">
      <w:bodyDiv w:val="1"/>
      <w:marLeft w:val="0"/>
      <w:marRight w:val="0"/>
      <w:marTop w:val="0"/>
      <w:marBottom w:val="0"/>
      <w:divBdr>
        <w:top w:val="none" w:sz="0" w:space="0" w:color="auto"/>
        <w:left w:val="none" w:sz="0" w:space="0" w:color="auto"/>
        <w:bottom w:val="none" w:sz="0" w:space="0" w:color="auto"/>
        <w:right w:val="none" w:sz="0" w:space="0" w:color="auto"/>
      </w:divBdr>
    </w:div>
    <w:div w:id="1282027971">
      <w:bodyDiv w:val="1"/>
      <w:marLeft w:val="0"/>
      <w:marRight w:val="0"/>
      <w:marTop w:val="0"/>
      <w:marBottom w:val="0"/>
      <w:divBdr>
        <w:top w:val="none" w:sz="0" w:space="0" w:color="auto"/>
        <w:left w:val="none" w:sz="0" w:space="0" w:color="auto"/>
        <w:bottom w:val="none" w:sz="0" w:space="0" w:color="auto"/>
        <w:right w:val="none" w:sz="0" w:space="0" w:color="auto"/>
      </w:divBdr>
    </w:div>
    <w:div w:id="1283459536">
      <w:bodyDiv w:val="1"/>
      <w:marLeft w:val="0"/>
      <w:marRight w:val="0"/>
      <w:marTop w:val="0"/>
      <w:marBottom w:val="0"/>
      <w:divBdr>
        <w:top w:val="none" w:sz="0" w:space="0" w:color="auto"/>
        <w:left w:val="none" w:sz="0" w:space="0" w:color="auto"/>
        <w:bottom w:val="none" w:sz="0" w:space="0" w:color="auto"/>
        <w:right w:val="none" w:sz="0" w:space="0" w:color="auto"/>
      </w:divBdr>
    </w:div>
    <w:div w:id="1283918958">
      <w:bodyDiv w:val="1"/>
      <w:marLeft w:val="0"/>
      <w:marRight w:val="0"/>
      <w:marTop w:val="0"/>
      <w:marBottom w:val="0"/>
      <w:divBdr>
        <w:top w:val="none" w:sz="0" w:space="0" w:color="auto"/>
        <w:left w:val="none" w:sz="0" w:space="0" w:color="auto"/>
        <w:bottom w:val="none" w:sz="0" w:space="0" w:color="auto"/>
        <w:right w:val="none" w:sz="0" w:space="0" w:color="auto"/>
      </w:divBdr>
    </w:div>
    <w:div w:id="1284120991">
      <w:bodyDiv w:val="1"/>
      <w:marLeft w:val="0"/>
      <w:marRight w:val="0"/>
      <w:marTop w:val="0"/>
      <w:marBottom w:val="0"/>
      <w:divBdr>
        <w:top w:val="none" w:sz="0" w:space="0" w:color="auto"/>
        <w:left w:val="none" w:sz="0" w:space="0" w:color="auto"/>
        <w:bottom w:val="none" w:sz="0" w:space="0" w:color="auto"/>
        <w:right w:val="none" w:sz="0" w:space="0" w:color="auto"/>
      </w:divBdr>
    </w:div>
    <w:div w:id="1285693141">
      <w:bodyDiv w:val="1"/>
      <w:marLeft w:val="0"/>
      <w:marRight w:val="0"/>
      <w:marTop w:val="0"/>
      <w:marBottom w:val="0"/>
      <w:divBdr>
        <w:top w:val="none" w:sz="0" w:space="0" w:color="auto"/>
        <w:left w:val="none" w:sz="0" w:space="0" w:color="auto"/>
        <w:bottom w:val="none" w:sz="0" w:space="0" w:color="auto"/>
        <w:right w:val="none" w:sz="0" w:space="0" w:color="auto"/>
      </w:divBdr>
    </w:div>
    <w:div w:id="1286038217">
      <w:bodyDiv w:val="1"/>
      <w:marLeft w:val="0"/>
      <w:marRight w:val="0"/>
      <w:marTop w:val="0"/>
      <w:marBottom w:val="0"/>
      <w:divBdr>
        <w:top w:val="none" w:sz="0" w:space="0" w:color="auto"/>
        <w:left w:val="none" w:sz="0" w:space="0" w:color="auto"/>
        <w:bottom w:val="none" w:sz="0" w:space="0" w:color="auto"/>
        <w:right w:val="none" w:sz="0" w:space="0" w:color="auto"/>
      </w:divBdr>
    </w:div>
    <w:div w:id="1286086524">
      <w:bodyDiv w:val="1"/>
      <w:marLeft w:val="0"/>
      <w:marRight w:val="0"/>
      <w:marTop w:val="0"/>
      <w:marBottom w:val="0"/>
      <w:divBdr>
        <w:top w:val="none" w:sz="0" w:space="0" w:color="auto"/>
        <w:left w:val="none" w:sz="0" w:space="0" w:color="auto"/>
        <w:bottom w:val="none" w:sz="0" w:space="0" w:color="auto"/>
        <w:right w:val="none" w:sz="0" w:space="0" w:color="auto"/>
      </w:divBdr>
    </w:div>
    <w:div w:id="1286808827">
      <w:bodyDiv w:val="1"/>
      <w:marLeft w:val="0"/>
      <w:marRight w:val="0"/>
      <w:marTop w:val="0"/>
      <w:marBottom w:val="0"/>
      <w:divBdr>
        <w:top w:val="none" w:sz="0" w:space="0" w:color="auto"/>
        <w:left w:val="none" w:sz="0" w:space="0" w:color="auto"/>
        <w:bottom w:val="none" w:sz="0" w:space="0" w:color="auto"/>
        <w:right w:val="none" w:sz="0" w:space="0" w:color="auto"/>
      </w:divBdr>
    </w:div>
    <w:div w:id="1287468476">
      <w:bodyDiv w:val="1"/>
      <w:marLeft w:val="0"/>
      <w:marRight w:val="0"/>
      <w:marTop w:val="0"/>
      <w:marBottom w:val="0"/>
      <w:divBdr>
        <w:top w:val="none" w:sz="0" w:space="0" w:color="auto"/>
        <w:left w:val="none" w:sz="0" w:space="0" w:color="auto"/>
        <w:bottom w:val="none" w:sz="0" w:space="0" w:color="auto"/>
        <w:right w:val="none" w:sz="0" w:space="0" w:color="auto"/>
      </w:divBdr>
    </w:div>
    <w:div w:id="1289701921">
      <w:bodyDiv w:val="1"/>
      <w:marLeft w:val="0"/>
      <w:marRight w:val="0"/>
      <w:marTop w:val="0"/>
      <w:marBottom w:val="0"/>
      <w:divBdr>
        <w:top w:val="none" w:sz="0" w:space="0" w:color="auto"/>
        <w:left w:val="none" w:sz="0" w:space="0" w:color="auto"/>
        <w:bottom w:val="none" w:sz="0" w:space="0" w:color="auto"/>
        <w:right w:val="none" w:sz="0" w:space="0" w:color="auto"/>
      </w:divBdr>
    </w:div>
    <w:div w:id="1290623204">
      <w:bodyDiv w:val="1"/>
      <w:marLeft w:val="0"/>
      <w:marRight w:val="0"/>
      <w:marTop w:val="0"/>
      <w:marBottom w:val="0"/>
      <w:divBdr>
        <w:top w:val="none" w:sz="0" w:space="0" w:color="auto"/>
        <w:left w:val="none" w:sz="0" w:space="0" w:color="auto"/>
        <w:bottom w:val="none" w:sz="0" w:space="0" w:color="auto"/>
        <w:right w:val="none" w:sz="0" w:space="0" w:color="auto"/>
      </w:divBdr>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990512">
      <w:bodyDiv w:val="1"/>
      <w:marLeft w:val="0"/>
      <w:marRight w:val="0"/>
      <w:marTop w:val="0"/>
      <w:marBottom w:val="0"/>
      <w:divBdr>
        <w:top w:val="none" w:sz="0" w:space="0" w:color="auto"/>
        <w:left w:val="none" w:sz="0" w:space="0" w:color="auto"/>
        <w:bottom w:val="none" w:sz="0" w:space="0" w:color="auto"/>
        <w:right w:val="none" w:sz="0" w:space="0" w:color="auto"/>
      </w:divBdr>
    </w:div>
    <w:div w:id="1296374643">
      <w:bodyDiv w:val="1"/>
      <w:marLeft w:val="0"/>
      <w:marRight w:val="0"/>
      <w:marTop w:val="0"/>
      <w:marBottom w:val="0"/>
      <w:divBdr>
        <w:top w:val="none" w:sz="0" w:space="0" w:color="auto"/>
        <w:left w:val="none" w:sz="0" w:space="0" w:color="auto"/>
        <w:bottom w:val="none" w:sz="0" w:space="0" w:color="auto"/>
        <w:right w:val="none" w:sz="0" w:space="0" w:color="auto"/>
      </w:divBdr>
    </w:div>
    <w:div w:id="1298268378">
      <w:bodyDiv w:val="1"/>
      <w:marLeft w:val="0"/>
      <w:marRight w:val="0"/>
      <w:marTop w:val="0"/>
      <w:marBottom w:val="0"/>
      <w:divBdr>
        <w:top w:val="none" w:sz="0" w:space="0" w:color="auto"/>
        <w:left w:val="none" w:sz="0" w:space="0" w:color="auto"/>
        <w:bottom w:val="none" w:sz="0" w:space="0" w:color="auto"/>
        <w:right w:val="none" w:sz="0" w:space="0" w:color="auto"/>
      </w:divBdr>
    </w:div>
    <w:div w:id="1298611837">
      <w:bodyDiv w:val="1"/>
      <w:marLeft w:val="0"/>
      <w:marRight w:val="0"/>
      <w:marTop w:val="0"/>
      <w:marBottom w:val="0"/>
      <w:divBdr>
        <w:top w:val="none" w:sz="0" w:space="0" w:color="auto"/>
        <w:left w:val="none" w:sz="0" w:space="0" w:color="auto"/>
        <w:bottom w:val="none" w:sz="0" w:space="0" w:color="auto"/>
        <w:right w:val="none" w:sz="0" w:space="0" w:color="auto"/>
      </w:divBdr>
    </w:div>
    <w:div w:id="1298800821">
      <w:bodyDiv w:val="1"/>
      <w:marLeft w:val="0"/>
      <w:marRight w:val="0"/>
      <w:marTop w:val="0"/>
      <w:marBottom w:val="0"/>
      <w:divBdr>
        <w:top w:val="none" w:sz="0" w:space="0" w:color="auto"/>
        <w:left w:val="none" w:sz="0" w:space="0" w:color="auto"/>
        <w:bottom w:val="none" w:sz="0" w:space="0" w:color="auto"/>
        <w:right w:val="none" w:sz="0" w:space="0" w:color="auto"/>
      </w:divBdr>
    </w:div>
    <w:div w:id="1299800467">
      <w:bodyDiv w:val="1"/>
      <w:marLeft w:val="0"/>
      <w:marRight w:val="0"/>
      <w:marTop w:val="0"/>
      <w:marBottom w:val="0"/>
      <w:divBdr>
        <w:top w:val="none" w:sz="0" w:space="0" w:color="auto"/>
        <w:left w:val="none" w:sz="0" w:space="0" w:color="auto"/>
        <w:bottom w:val="none" w:sz="0" w:space="0" w:color="auto"/>
        <w:right w:val="none" w:sz="0" w:space="0" w:color="auto"/>
      </w:divBdr>
    </w:div>
    <w:div w:id="1302928190">
      <w:bodyDiv w:val="1"/>
      <w:marLeft w:val="0"/>
      <w:marRight w:val="0"/>
      <w:marTop w:val="0"/>
      <w:marBottom w:val="0"/>
      <w:divBdr>
        <w:top w:val="none" w:sz="0" w:space="0" w:color="auto"/>
        <w:left w:val="none" w:sz="0" w:space="0" w:color="auto"/>
        <w:bottom w:val="none" w:sz="0" w:space="0" w:color="auto"/>
        <w:right w:val="none" w:sz="0" w:space="0" w:color="auto"/>
      </w:divBdr>
    </w:div>
    <w:div w:id="1303581934">
      <w:bodyDiv w:val="1"/>
      <w:marLeft w:val="0"/>
      <w:marRight w:val="0"/>
      <w:marTop w:val="0"/>
      <w:marBottom w:val="0"/>
      <w:divBdr>
        <w:top w:val="none" w:sz="0" w:space="0" w:color="auto"/>
        <w:left w:val="none" w:sz="0" w:space="0" w:color="auto"/>
        <w:bottom w:val="none" w:sz="0" w:space="0" w:color="auto"/>
        <w:right w:val="none" w:sz="0" w:space="0" w:color="auto"/>
      </w:divBdr>
    </w:div>
    <w:div w:id="1304044461">
      <w:bodyDiv w:val="1"/>
      <w:marLeft w:val="0"/>
      <w:marRight w:val="0"/>
      <w:marTop w:val="0"/>
      <w:marBottom w:val="0"/>
      <w:divBdr>
        <w:top w:val="none" w:sz="0" w:space="0" w:color="auto"/>
        <w:left w:val="none" w:sz="0" w:space="0" w:color="auto"/>
        <w:bottom w:val="none" w:sz="0" w:space="0" w:color="auto"/>
        <w:right w:val="none" w:sz="0" w:space="0" w:color="auto"/>
      </w:divBdr>
    </w:div>
    <w:div w:id="1304769501">
      <w:bodyDiv w:val="1"/>
      <w:marLeft w:val="0"/>
      <w:marRight w:val="0"/>
      <w:marTop w:val="0"/>
      <w:marBottom w:val="0"/>
      <w:divBdr>
        <w:top w:val="none" w:sz="0" w:space="0" w:color="auto"/>
        <w:left w:val="none" w:sz="0" w:space="0" w:color="auto"/>
        <w:bottom w:val="none" w:sz="0" w:space="0" w:color="auto"/>
        <w:right w:val="none" w:sz="0" w:space="0" w:color="auto"/>
      </w:divBdr>
    </w:div>
    <w:div w:id="1305038576">
      <w:bodyDiv w:val="1"/>
      <w:marLeft w:val="0"/>
      <w:marRight w:val="0"/>
      <w:marTop w:val="0"/>
      <w:marBottom w:val="0"/>
      <w:divBdr>
        <w:top w:val="none" w:sz="0" w:space="0" w:color="auto"/>
        <w:left w:val="none" w:sz="0" w:space="0" w:color="auto"/>
        <w:bottom w:val="none" w:sz="0" w:space="0" w:color="auto"/>
        <w:right w:val="none" w:sz="0" w:space="0" w:color="auto"/>
      </w:divBdr>
    </w:div>
    <w:div w:id="1305550494">
      <w:bodyDiv w:val="1"/>
      <w:marLeft w:val="0"/>
      <w:marRight w:val="0"/>
      <w:marTop w:val="0"/>
      <w:marBottom w:val="0"/>
      <w:divBdr>
        <w:top w:val="none" w:sz="0" w:space="0" w:color="auto"/>
        <w:left w:val="none" w:sz="0" w:space="0" w:color="auto"/>
        <w:bottom w:val="none" w:sz="0" w:space="0" w:color="auto"/>
        <w:right w:val="none" w:sz="0" w:space="0" w:color="auto"/>
      </w:divBdr>
    </w:div>
    <w:div w:id="1306013445">
      <w:bodyDiv w:val="1"/>
      <w:marLeft w:val="0"/>
      <w:marRight w:val="0"/>
      <w:marTop w:val="0"/>
      <w:marBottom w:val="0"/>
      <w:divBdr>
        <w:top w:val="none" w:sz="0" w:space="0" w:color="auto"/>
        <w:left w:val="none" w:sz="0" w:space="0" w:color="auto"/>
        <w:bottom w:val="none" w:sz="0" w:space="0" w:color="auto"/>
        <w:right w:val="none" w:sz="0" w:space="0" w:color="auto"/>
      </w:divBdr>
    </w:div>
    <w:div w:id="1306737167">
      <w:bodyDiv w:val="1"/>
      <w:marLeft w:val="0"/>
      <w:marRight w:val="0"/>
      <w:marTop w:val="0"/>
      <w:marBottom w:val="0"/>
      <w:divBdr>
        <w:top w:val="none" w:sz="0" w:space="0" w:color="auto"/>
        <w:left w:val="none" w:sz="0" w:space="0" w:color="auto"/>
        <w:bottom w:val="none" w:sz="0" w:space="0" w:color="auto"/>
        <w:right w:val="none" w:sz="0" w:space="0" w:color="auto"/>
      </w:divBdr>
    </w:div>
    <w:div w:id="1306929562">
      <w:bodyDiv w:val="1"/>
      <w:marLeft w:val="0"/>
      <w:marRight w:val="0"/>
      <w:marTop w:val="0"/>
      <w:marBottom w:val="0"/>
      <w:divBdr>
        <w:top w:val="none" w:sz="0" w:space="0" w:color="auto"/>
        <w:left w:val="none" w:sz="0" w:space="0" w:color="auto"/>
        <w:bottom w:val="none" w:sz="0" w:space="0" w:color="auto"/>
        <w:right w:val="none" w:sz="0" w:space="0" w:color="auto"/>
      </w:divBdr>
    </w:div>
    <w:div w:id="1308625712">
      <w:bodyDiv w:val="1"/>
      <w:marLeft w:val="0"/>
      <w:marRight w:val="0"/>
      <w:marTop w:val="0"/>
      <w:marBottom w:val="0"/>
      <w:divBdr>
        <w:top w:val="none" w:sz="0" w:space="0" w:color="auto"/>
        <w:left w:val="none" w:sz="0" w:space="0" w:color="auto"/>
        <w:bottom w:val="none" w:sz="0" w:space="0" w:color="auto"/>
        <w:right w:val="none" w:sz="0" w:space="0" w:color="auto"/>
      </w:divBdr>
    </w:div>
    <w:div w:id="1309363663">
      <w:bodyDiv w:val="1"/>
      <w:marLeft w:val="0"/>
      <w:marRight w:val="0"/>
      <w:marTop w:val="0"/>
      <w:marBottom w:val="0"/>
      <w:divBdr>
        <w:top w:val="none" w:sz="0" w:space="0" w:color="auto"/>
        <w:left w:val="none" w:sz="0" w:space="0" w:color="auto"/>
        <w:bottom w:val="none" w:sz="0" w:space="0" w:color="auto"/>
        <w:right w:val="none" w:sz="0" w:space="0" w:color="auto"/>
      </w:divBdr>
    </w:div>
    <w:div w:id="1310668646">
      <w:bodyDiv w:val="1"/>
      <w:marLeft w:val="0"/>
      <w:marRight w:val="0"/>
      <w:marTop w:val="0"/>
      <w:marBottom w:val="0"/>
      <w:divBdr>
        <w:top w:val="none" w:sz="0" w:space="0" w:color="auto"/>
        <w:left w:val="none" w:sz="0" w:space="0" w:color="auto"/>
        <w:bottom w:val="none" w:sz="0" w:space="0" w:color="auto"/>
        <w:right w:val="none" w:sz="0" w:space="0" w:color="auto"/>
      </w:divBdr>
    </w:div>
    <w:div w:id="1310941198">
      <w:bodyDiv w:val="1"/>
      <w:marLeft w:val="0"/>
      <w:marRight w:val="0"/>
      <w:marTop w:val="0"/>
      <w:marBottom w:val="0"/>
      <w:divBdr>
        <w:top w:val="none" w:sz="0" w:space="0" w:color="auto"/>
        <w:left w:val="none" w:sz="0" w:space="0" w:color="auto"/>
        <w:bottom w:val="none" w:sz="0" w:space="0" w:color="auto"/>
        <w:right w:val="none" w:sz="0" w:space="0" w:color="auto"/>
      </w:divBdr>
    </w:div>
    <w:div w:id="1311205659">
      <w:bodyDiv w:val="1"/>
      <w:marLeft w:val="0"/>
      <w:marRight w:val="0"/>
      <w:marTop w:val="0"/>
      <w:marBottom w:val="0"/>
      <w:divBdr>
        <w:top w:val="none" w:sz="0" w:space="0" w:color="auto"/>
        <w:left w:val="none" w:sz="0" w:space="0" w:color="auto"/>
        <w:bottom w:val="none" w:sz="0" w:space="0" w:color="auto"/>
        <w:right w:val="none" w:sz="0" w:space="0" w:color="auto"/>
      </w:divBdr>
    </w:div>
    <w:div w:id="1312322888">
      <w:bodyDiv w:val="1"/>
      <w:marLeft w:val="0"/>
      <w:marRight w:val="0"/>
      <w:marTop w:val="0"/>
      <w:marBottom w:val="0"/>
      <w:divBdr>
        <w:top w:val="none" w:sz="0" w:space="0" w:color="auto"/>
        <w:left w:val="none" w:sz="0" w:space="0" w:color="auto"/>
        <w:bottom w:val="none" w:sz="0" w:space="0" w:color="auto"/>
        <w:right w:val="none" w:sz="0" w:space="0" w:color="auto"/>
      </w:divBdr>
    </w:div>
    <w:div w:id="1313022431">
      <w:bodyDiv w:val="1"/>
      <w:marLeft w:val="0"/>
      <w:marRight w:val="0"/>
      <w:marTop w:val="0"/>
      <w:marBottom w:val="0"/>
      <w:divBdr>
        <w:top w:val="none" w:sz="0" w:space="0" w:color="auto"/>
        <w:left w:val="none" w:sz="0" w:space="0" w:color="auto"/>
        <w:bottom w:val="none" w:sz="0" w:space="0" w:color="auto"/>
        <w:right w:val="none" w:sz="0" w:space="0" w:color="auto"/>
      </w:divBdr>
    </w:div>
    <w:div w:id="1313944006">
      <w:bodyDiv w:val="1"/>
      <w:marLeft w:val="0"/>
      <w:marRight w:val="0"/>
      <w:marTop w:val="0"/>
      <w:marBottom w:val="0"/>
      <w:divBdr>
        <w:top w:val="none" w:sz="0" w:space="0" w:color="auto"/>
        <w:left w:val="none" w:sz="0" w:space="0" w:color="auto"/>
        <w:bottom w:val="none" w:sz="0" w:space="0" w:color="auto"/>
        <w:right w:val="none" w:sz="0" w:space="0" w:color="auto"/>
      </w:divBdr>
    </w:div>
    <w:div w:id="1314211547">
      <w:bodyDiv w:val="1"/>
      <w:marLeft w:val="0"/>
      <w:marRight w:val="0"/>
      <w:marTop w:val="0"/>
      <w:marBottom w:val="0"/>
      <w:divBdr>
        <w:top w:val="none" w:sz="0" w:space="0" w:color="auto"/>
        <w:left w:val="none" w:sz="0" w:space="0" w:color="auto"/>
        <w:bottom w:val="none" w:sz="0" w:space="0" w:color="auto"/>
        <w:right w:val="none" w:sz="0" w:space="0" w:color="auto"/>
      </w:divBdr>
    </w:div>
    <w:div w:id="1314337039">
      <w:bodyDiv w:val="1"/>
      <w:marLeft w:val="0"/>
      <w:marRight w:val="0"/>
      <w:marTop w:val="0"/>
      <w:marBottom w:val="0"/>
      <w:divBdr>
        <w:top w:val="none" w:sz="0" w:space="0" w:color="auto"/>
        <w:left w:val="none" w:sz="0" w:space="0" w:color="auto"/>
        <w:bottom w:val="none" w:sz="0" w:space="0" w:color="auto"/>
        <w:right w:val="none" w:sz="0" w:space="0" w:color="auto"/>
      </w:divBdr>
    </w:div>
    <w:div w:id="1314797857">
      <w:bodyDiv w:val="1"/>
      <w:marLeft w:val="0"/>
      <w:marRight w:val="0"/>
      <w:marTop w:val="0"/>
      <w:marBottom w:val="0"/>
      <w:divBdr>
        <w:top w:val="none" w:sz="0" w:space="0" w:color="auto"/>
        <w:left w:val="none" w:sz="0" w:space="0" w:color="auto"/>
        <w:bottom w:val="none" w:sz="0" w:space="0" w:color="auto"/>
        <w:right w:val="none" w:sz="0" w:space="0" w:color="auto"/>
      </w:divBdr>
    </w:div>
    <w:div w:id="1316573317">
      <w:bodyDiv w:val="1"/>
      <w:marLeft w:val="0"/>
      <w:marRight w:val="0"/>
      <w:marTop w:val="0"/>
      <w:marBottom w:val="0"/>
      <w:divBdr>
        <w:top w:val="none" w:sz="0" w:space="0" w:color="auto"/>
        <w:left w:val="none" w:sz="0" w:space="0" w:color="auto"/>
        <w:bottom w:val="none" w:sz="0" w:space="0" w:color="auto"/>
        <w:right w:val="none" w:sz="0" w:space="0" w:color="auto"/>
      </w:divBdr>
    </w:div>
    <w:div w:id="1318726332">
      <w:bodyDiv w:val="1"/>
      <w:marLeft w:val="0"/>
      <w:marRight w:val="0"/>
      <w:marTop w:val="0"/>
      <w:marBottom w:val="0"/>
      <w:divBdr>
        <w:top w:val="none" w:sz="0" w:space="0" w:color="auto"/>
        <w:left w:val="none" w:sz="0" w:space="0" w:color="auto"/>
        <w:bottom w:val="none" w:sz="0" w:space="0" w:color="auto"/>
        <w:right w:val="none" w:sz="0" w:space="0" w:color="auto"/>
      </w:divBdr>
    </w:div>
    <w:div w:id="1319075269">
      <w:bodyDiv w:val="1"/>
      <w:marLeft w:val="0"/>
      <w:marRight w:val="0"/>
      <w:marTop w:val="0"/>
      <w:marBottom w:val="0"/>
      <w:divBdr>
        <w:top w:val="none" w:sz="0" w:space="0" w:color="auto"/>
        <w:left w:val="none" w:sz="0" w:space="0" w:color="auto"/>
        <w:bottom w:val="none" w:sz="0" w:space="0" w:color="auto"/>
        <w:right w:val="none" w:sz="0" w:space="0" w:color="auto"/>
      </w:divBdr>
    </w:div>
    <w:div w:id="1319769649">
      <w:bodyDiv w:val="1"/>
      <w:marLeft w:val="0"/>
      <w:marRight w:val="0"/>
      <w:marTop w:val="0"/>
      <w:marBottom w:val="0"/>
      <w:divBdr>
        <w:top w:val="none" w:sz="0" w:space="0" w:color="auto"/>
        <w:left w:val="none" w:sz="0" w:space="0" w:color="auto"/>
        <w:bottom w:val="none" w:sz="0" w:space="0" w:color="auto"/>
        <w:right w:val="none" w:sz="0" w:space="0" w:color="auto"/>
      </w:divBdr>
    </w:div>
    <w:div w:id="1320619251">
      <w:bodyDiv w:val="1"/>
      <w:marLeft w:val="0"/>
      <w:marRight w:val="0"/>
      <w:marTop w:val="0"/>
      <w:marBottom w:val="0"/>
      <w:divBdr>
        <w:top w:val="none" w:sz="0" w:space="0" w:color="auto"/>
        <w:left w:val="none" w:sz="0" w:space="0" w:color="auto"/>
        <w:bottom w:val="none" w:sz="0" w:space="0" w:color="auto"/>
        <w:right w:val="none" w:sz="0" w:space="0" w:color="auto"/>
      </w:divBdr>
    </w:div>
    <w:div w:id="1323006329">
      <w:bodyDiv w:val="1"/>
      <w:marLeft w:val="0"/>
      <w:marRight w:val="0"/>
      <w:marTop w:val="0"/>
      <w:marBottom w:val="0"/>
      <w:divBdr>
        <w:top w:val="none" w:sz="0" w:space="0" w:color="auto"/>
        <w:left w:val="none" w:sz="0" w:space="0" w:color="auto"/>
        <w:bottom w:val="none" w:sz="0" w:space="0" w:color="auto"/>
        <w:right w:val="none" w:sz="0" w:space="0" w:color="auto"/>
      </w:divBdr>
    </w:div>
    <w:div w:id="1323856604">
      <w:bodyDiv w:val="1"/>
      <w:marLeft w:val="0"/>
      <w:marRight w:val="0"/>
      <w:marTop w:val="0"/>
      <w:marBottom w:val="0"/>
      <w:divBdr>
        <w:top w:val="none" w:sz="0" w:space="0" w:color="auto"/>
        <w:left w:val="none" w:sz="0" w:space="0" w:color="auto"/>
        <w:bottom w:val="none" w:sz="0" w:space="0" w:color="auto"/>
        <w:right w:val="none" w:sz="0" w:space="0" w:color="auto"/>
      </w:divBdr>
    </w:div>
    <w:div w:id="1326474806">
      <w:bodyDiv w:val="1"/>
      <w:marLeft w:val="0"/>
      <w:marRight w:val="0"/>
      <w:marTop w:val="0"/>
      <w:marBottom w:val="0"/>
      <w:divBdr>
        <w:top w:val="none" w:sz="0" w:space="0" w:color="auto"/>
        <w:left w:val="none" w:sz="0" w:space="0" w:color="auto"/>
        <w:bottom w:val="none" w:sz="0" w:space="0" w:color="auto"/>
        <w:right w:val="none" w:sz="0" w:space="0" w:color="auto"/>
      </w:divBdr>
    </w:div>
    <w:div w:id="1327825937">
      <w:bodyDiv w:val="1"/>
      <w:marLeft w:val="0"/>
      <w:marRight w:val="0"/>
      <w:marTop w:val="0"/>
      <w:marBottom w:val="0"/>
      <w:divBdr>
        <w:top w:val="none" w:sz="0" w:space="0" w:color="auto"/>
        <w:left w:val="none" w:sz="0" w:space="0" w:color="auto"/>
        <w:bottom w:val="none" w:sz="0" w:space="0" w:color="auto"/>
        <w:right w:val="none" w:sz="0" w:space="0" w:color="auto"/>
      </w:divBdr>
    </w:div>
    <w:div w:id="1329138375">
      <w:bodyDiv w:val="1"/>
      <w:marLeft w:val="0"/>
      <w:marRight w:val="0"/>
      <w:marTop w:val="0"/>
      <w:marBottom w:val="0"/>
      <w:divBdr>
        <w:top w:val="none" w:sz="0" w:space="0" w:color="auto"/>
        <w:left w:val="none" w:sz="0" w:space="0" w:color="auto"/>
        <w:bottom w:val="none" w:sz="0" w:space="0" w:color="auto"/>
        <w:right w:val="none" w:sz="0" w:space="0" w:color="auto"/>
      </w:divBdr>
    </w:div>
    <w:div w:id="1329404074">
      <w:bodyDiv w:val="1"/>
      <w:marLeft w:val="0"/>
      <w:marRight w:val="0"/>
      <w:marTop w:val="0"/>
      <w:marBottom w:val="0"/>
      <w:divBdr>
        <w:top w:val="none" w:sz="0" w:space="0" w:color="auto"/>
        <w:left w:val="none" w:sz="0" w:space="0" w:color="auto"/>
        <w:bottom w:val="none" w:sz="0" w:space="0" w:color="auto"/>
        <w:right w:val="none" w:sz="0" w:space="0" w:color="auto"/>
      </w:divBdr>
    </w:div>
    <w:div w:id="1329404708">
      <w:bodyDiv w:val="1"/>
      <w:marLeft w:val="0"/>
      <w:marRight w:val="0"/>
      <w:marTop w:val="0"/>
      <w:marBottom w:val="0"/>
      <w:divBdr>
        <w:top w:val="none" w:sz="0" w:space="0" w:color="auto"/>
        <w:left w:val="none" w:sz="0" w:space="0" w:color="auto"/>
        <w:bottom w:val="none" w:sz="0" w:space="0" w:color="auto"/>
        <w:right w:val="none" w:sz="0" w:space="0" w:color="auto"/>
      </w:divBdr>
    </w:div>
    <w:div w:id="1330447856">
      <w:bodyDiv w:val="1"/>
      <w:marLeft w:val="0"/>
      <w:marRight w:val="0"/>
      <w:marTop w:val="0"/>
      <w:marBottom w:val="0"/>
      <w:divBdr>
        <w:top w:val="none" w:sz="0" w:space="0" w:color="auto"/>
        <w:left w:val="none" w:sz="0" w:space="0" w:color="auto"/>
        <w:bottom w:val="none" w:sz="0" w:space="0" w:color="auto"/>
        <w:right w:val="none" w:sz="0" w:space="0" w:color="auto"/>
      </w:divBdr>
    </w:div>
    <w:div w:id="1331521819">
      <w:bodyDiv w:val="1"/>
      <w:marLeft w:val="0"/>
      <w:marRight w:val="0"/>
      <w:marTop w:val="0"/>
      <w:marBottom w:val="0"/>
      <w:divBdr>
        <w:top w:val="none" w:sz="0" w:space="0" w:color="auto"/>
        <w:left w:val="none" w:sz="0" w:space="0" w:color="auto"/>
        <w:bottom w:val="none" w:sz="0" w:space="0" w:color="auto"/>
        <w:right w:val="none" w:sz="0" w:space="0" w:color="auto"/>
      </w:divBdr>
    </w:div>
    <w:div w:id="1332102566">
      <w:bodyDiv w:val="1"/>
      <w:marLeft w:val="0"/>
      <w:marRight w:val="0"/>
      <w:marTop w:val="0"/>
      <w:marBottom w:val="0"/>
      <w:divBdr>
        <w:top w:val="none" w:sz="0" w:space="0" w:color="auto"/>
        <w:left w:val="none" w:sz="0" w:space="0" w:color="auto"/>
        <w:bottom w:val="none" w:sz="0" w:space="0" w:color="auto"/>
        <w:right w:val="none" w:sz="0" w:space="0" w:color="auto"/>
      </w:divBdr>
    </w:div>
    <w:div w:id="1334141464">
      <w:bodyDiv w:val="1"/>
      <w:marLeft w:val="0"/>
      <w:marRight w:val="0"/>
      <w:marTop w:val="0"/>
      <w:marBottom w:val="0"/>
      <w:divBdr>
        <w:top w:val="none" w:sz="0" w:space="0" w:color="auto"/>
        <w:left w:val="none" w:sz="0" w:space="0" w:color="auto"/>
        <w:bottom w:val="none" w:sz="0" w:space="0" w:color="auto"/>
        <w:right w:val="none" w:sz="0" w:space="0" w:color="auto"/>
      </w:divBdr>
    </w:div>
    <w:div w:id="1335500119">
      <w:bodyDiv w:val="1"/>
      <w:marLeft w:val="0"/>
      <w:marRight w:val="0"/>
      <w:marTop w:val="0"/>
      <w:marBottom w:val="0"/>
      <w:divBdr>
        <w:top w:val="none" w:sz="0" w:space="0" w:color="auto"/>
        <w:left w:val="none" w:sz="0" w:space="0" w:color="auto"/>
        <w:bottom w:val="none" w:sz="0" w:space="0" w:color="auto"/>
        <w:right w:val="none" w:sz="0" w:space="0" w:color="auto"/>
      </w:divBdr>
    </w:div>
    <w:div w:id="1339232457">
      <w:bodyDiv w:val="1"/>
      <w:marLeft w:val="0"/>
      <w:marRight w:val="0"/>
      <w:marTop w:val="0"/>
      <w:marBottom w:val="0"/>
      <w:divBdr>
        <w:top w:val="none" w:sz="0" w:space="0" w:color="auto"/>
        <w:left w:val="none" w:sz="0" w:space="0" w:color="auto"/>
        <w:bottom w:val="none" w:sz="0" w:space="0" w:color="auto"/>
        <w:right w:val="none" w:sz="0" w:space="0" w:color="auto"/>
      </w:divBdr>
    </w:div>
    <w:div w:id="1339692373">
      <w:bodyDiv w:val="1"/>
      <w:marLeft w:val="0"/>
      <w:marRight w:val="0"/>
      <w:marTop w:val="0"/>
      <w:marBottom w:val="0"/>
      <w:divBdr>
        <w:top w:val="none" w:sz="0" w:space="0" w:color="auto"/>
        <w:left w:val="none" w:sz="0" w:space="0" w:color="auto"/>
        <w:bottom w:val="none" w:sz="0" w:space="0" w:color="auto"/>
        <w:right w:val="none" w:sz="0" w:space="0" w:color="auto"/>
      </w:divBdr>
    </w:div>
    <w:div w:id="1341934250">
      <w:bodyDiv w:val="1"/>
      <w:marLeft w:val="0"/>
      <w:marRight w:val="0"/>
      <w:marTop w:val="0"/>
      <w:marBottom w:val="0"/>
      <w:divBdr>
        <w:top w:val="none" w:sz="0" w:space="0" w:color="auto"/>
        <w:left w:val="none" w:sz="0" w:space="0" w:color="auto"/>
        <w:bottom w:val="none" w:sz="0" w:space="0" w:color="auto"/>
        <w:right w:val="none" w:sz="0" w:space="0" w:color="auto"/>
      </w:divBdr>
    </w:div>
    <w:div w:id="1342732310">
      <w:bodyDiv w:val="1"/>
      <w:marLeft w:val="0"/>
      <w:marRight w:val="0"/>
      <w:marTop w:val="0"/>
      <w:marBottom w:val="0"/>
      <w:divBdr>
        <w:top w:val="none" w:sz="0" w:space="0" w:color="auto"/>
        <w:left w:val="none" w:sz="0" w:space="0" w:color="auto"/>
        <w:bottom w:val="none" w:sz="0" w:space="0" w:color="auto"/>
        <w:right w:val="none" w:sz="0" w:space="0" w:color="auto"/>
      </w:divBdr>
    </w:div>
    <w:div w:id="1342779407">
      <w:bodyDiv w:val="1"/>
      <w:marLeft w:val="0"/>
      <w:marRight w:val="0"/>
      <w:marTop w:val="0"/>
      <w:marBottom w:val="0"/>
      <w:divBdr>
        <w:top w:val="none" w:sz="0" w:space="0" w:color="auto"/>
        <w:left w:val="none" w:sz="0" w:space="0" w:color="auto"/>
        <w:bottom w:val="none" w:sz="0" w:space="0" w:color="auto"/>
        <w:right w:val="none" w:sz="0" w:space="0" w:color="auto"/>
      </w:divBdr>
    </w:div>
    <w:div w:id="1342973108">
      <w:bodyDiv w:val="1"/>
      <w:marLeft w:val="0"/>
      <w:marRight w:val="0"/>
      <w:marTop w:val="0"/>
      <w:marBottom w:val="0"/>
      <w:divBdr>
        <w:top w:val="none" w:sz="0" w:space="0" w:color="auto"/>
        <w:left w:val="none" w:sz="0" w:space="0" w:color="auto"/>
        <w:bottom w:val="none" w:sz="0" w:space="0" w:color="auto"/>
        <w:right w:val="none" w:sz="0" w:space="0" w:color="auto"/>
      </w:divBdr>
    </w:div>
    <w:div w:id="1343236784">
      <w:bodyDiv w:val="1"/>
      <w:marLeft w:val="0"/>
      <w:marRight w:val="0"/>
      <w:marTop w:val="0"/>
      <w:marBottom w:val="0"/>
      <w:divBdr>
        <w:top w:val="none" w:sz="0" w:space="0" w:color="auto"/>
        <w:left w:val="none" w:sz="0" w:space="0" w:color="auto"/>
        <w:bottom w:val="none" w:sz="0" w:space="0" w:color="auto"/>
        <w:right w:val="none" w:sz="0" w:space="0" w:color="auto"/>
      </w:divBdr>
    </w:div>
    <w:div w:id="1345552227">
      <w:bodyDiv w:val="1"/>
      <w:marLeft w:val="0"/>
      <w:marRight w:val="0"/>
      <w:marTop w:val="0"/>
      <w:marBottom w:val="0"/>
      <w:divBdr>
        <w:top w:val="none" w:sz="0" w:space="0" w:color="auto"/>
        <w:left w:val="none" w:sz="0" w:space="0" w:color="auto"/>
        <w:bottom w:val="none" w:sz="0" w:space="0" w:color="auto"/>
        <w:right w:val="none" w:sz="0" w:space="0" w:color="auto"/>
      </w:divBdr>
    </w:div>
    <w:div w:id="1345984983">
      <w:bodyDiv w:val="1"/>
      <w:marLeft w:val="0"/>
      <w:marRight w:val="0"/>
      <w:marTop w:val="0"/>
      <w:marBottom w:val="0"/>
      <w:divBdr>
        <w:top w:val="none" w:sz="0" w:space="0" w:color="auto"/>
        <w:left w:val="none" w:sz="0" w:space="0" w:color="auto"/>
        <w:bottom w:val="none" w:sz="0" w:space="0" w:color="auto"/>
        <w:right w:val="none" w:sz="0" w:space="0" w:color="auto"/>
      </w:divBdr>
    </w:div>
    <w:div w:id="1346635482">
      <w:bodyDiv w:val="1"/>
      <w:marLeft w:val="0"/>
      <w:marRight w:val="0"/>
      <w:marTop w:val="0"/>
      <w:marBottom w:val="0"/>
      <w:divBdr>
        <w:top w:val="none" w:sz="0" w:space="0" w:color="auto"/>
        <w:left w:val="none" w:sz="0" w:space="0" w:color="auto"/>
        <w:bottom w:val="none" w:sz="0" w:space="0" w:color="auto"/>
        <w:right w:val="none" w:sz="0" w:space="0" w:color="auto"/>
      </w:divBdr>
    </w:div>
    <w:div w:id="1347053989">
      <w:bodyDiv w:val="1"/>
      <w:marLeft w:val="0"/>
      <w:marRight w:val="0"/>
      <w:marTop w:val="0"/>
      <w:marBottom w:val="0"/>
      <w:divBdr>
        <w:top w:val="none" w:sz="0" w:space="0" w:color="auto"/>
        <w:left w:val="none" w:sz="0" w:space="0" w:color="auto"/>
        <w:bottom w:val="none" w:sz="0" w:space="0" w:color="auto"/>
        <w:right w:val="none" w:sz="0" w:space="0" w:color="auto"/>
      </w:divBdr>
    </w:div>
    <w:div w:id="1347247363">
      <w:bodyDiv w:val="1"/>
      <w:marLeft w:val="0"/>
      <w:marRight w:val="0"/>
      <w:marTop w:val="0"/>
      <w:marBottom w:val="0"/>
      <w:divBdr>
        <w:top w:val="none" w:sz="0" w:space="0" w:color="auto"/>
        <w:left w:val="none" w:sz="0" w:space="0" w:color="auto"/>
        <w:bottom w:val="none" w:sz="0" w:space="0" w:color="auto"/>
        <w:right w:val="none" w:sz="0" w:space="0" w:color="auto"/>
      </w:divBdr>
    </w:div>
    <w:div w:id="1348411851">
      <w:bodyDiv w:val="1"/>
      <w:marLeft w:val="0"/>
      <w:marRight w:val="0"/>
      <w:marTop w:val="0"/>
      <w:marBottom w:val="0"/>
      <w:divBdr>
        <w:top w:val="none" w:sz="0" w:space="0" w:color="auto"/>
        <w:left w:val="none" w:sz="0" w:space="0" w:color="auto"/>
        <w:bottom w:val="none" w:sz="0" w:space="0" w:color="auto"/>
        <w:right w:val="none" w:sz="0" w:space="0" w:color="auto"/>
      </w:divBdr>
    </w:div>
    <w:div w:id="1349060243">
      <w:bodyDiv w:val="1"/>
      <w:marLeft w:val="0"/>
      <w:marRight w:val="0"/>
      <w:marTop w:val="0"/>
      <w:marBottom w:val="0"/>
      <w:divBdr>
        <w:top w:val="none" w:sz="0" w:space="0" w:color="auto"/>
        <w:left w:val="none" w:sz="0" w:space="0" w:color="auto"/>
        <w:bottom w:val="none" w:sz="0" w:space="0" w:color="auto"/>
        <w:right w:val="none" w:sz="0" w:space="0" w:color="auto"/>
      </w:divBdr>
    </w:div>
    <w:div w:id="1349603109">
      <w:bodyDiv w:val="1"/>
      <w:marLeft w:val="0"/>
      <w:marRight w:val="0"/>
      <w:marTop w:val="0"/>
      <w:marBottom w:val="0"/>
      <w:divBdr>
        <w:top w:val="none" w:sz="0" w:space="0" w:color="auto"/>
        <w:left w:val="none" w:sz="0" w:space="0" w:color="auto"/>
        <w:bottom w:val="none" w:sz="0" w:space="0" w:color="auto"/>
        <w:right w:val="none" w:sz="0" w:space="0" w:color="auto"/>
      </w:divBdr>
    </w:div>
    <w:div w:id="1349677117">
      <w:bodyDiv w:val="1"/>
      <w:marLeft w:val="0"/>
      <w:marRight w:val="0"/>
      <w:marTop w:val="0"/>
      <w:marBottom w:val="0"/>
      <w:divBdr>
        <w:top w:val="none" w:sz="0" w:space="0" w:color="auto"/>
        <w:left w:val="none" w:sz="0" w:space="0" w:color="auto"/>
        <w:bottom w:val="none" w:sz="0" w:space="0" w:color="auto"/>
        <w:right w:val="none" w:sz="0" w:space="0" w:color="auto"/>
      </w:divBdr>
    </w:div>
    <w:div w:id="1349915993">
      <w:bodyDiv w:val="1"/>
      <w:marLeft w:val="0"/>
      <w:marRight w:val="0"/>
      <w:marTop w:val="0"/>
      <w:marBottom w:val="0"/>
      <w:divBdr>
        <w:top w:val="none" w:sz="0" w:space="0" w:color="auto"/>
        <w:left w:val="none" w:sz="0" w:space="0" w:color="auto"/>
        <w:bottom w:val="none" w:sz="0" w:space="0" w:color="auto"/>
        <w:right w:val="none" w:sz="0" w:space="0" w:color="auto"/>
      </w:divBdr>
    </w:div>
    <w:div w:id="1351955492">
      <w:bodyDiv w:val="1"/>
      <w:marLeft w:val="0"/>
      <w:marRight w:val="0"/>
      <w:marTop w:val="0"/>
      <w:marBottom w:val="0"/>
      <w:divBdr>
        <w:top w:val="none" w:sz="0" w:space="0" w:color="auto"/>
        <w:left w:val="none" w:sz="0" w:space="0" w:color="auto"/>
        <w:bottom w:val="none" w:sz="0" w:space="0" w:color="auto"/>
        <w:right w:val="none" w:sz="0" w:space="0" w:color="auto"/>
      </w:divBdr>
    </w:div>
    <w:div w:id="1354846138">
      <w:bodyDiv w:val="1"/>
      <w:marLeft w:val="0"/>
      <w:marRight w:val="0"/>
      <w:marTop w:val="0"/>
      <w:marBottom w:val="0"/>
      <w:divBdr>
        <w:top w:val="none" w:sz="0" w:space="0" w:color="auto"/>
        <w:left w:val="none" w:sz="0" w:space="0" w:color="auto"/>
        <w:bottom w:val="none" w:sz="0" w:space="0" w:color="auto"/>
        <w:right w:val="none" w:sz="0" w:space="0" w:color="auto"/>
      </w:divBdr>
    </w:div>
    <w:div w:id="1355035519">
      <w:bodyDiv w:val="1"/>
      <w:marLeft w:val="0"/>
      <w:marRight w:val="0"/>
      <w:marTop w:val="0"/>
      <w:marBottom w:val="0"/>
      <w:divBdr>
        <w:top w:val="none" w:sz="0" w:space="0" w:color="auto"/>
        <w:left w:val="none" w:sz="0" w:space="0" w:color="auto"/>
        <w:bottom w:val="none" w:sz="0" w:space="0" w:color="auto"/>
        <w:right w:val="none" w:sz="0" w:space="0" w:color="auto"/>
      </w:divBdr>
    </w:div>
    <w:div w:id="1355232834">
      <w:bodyDiv w:val="1"/>
      <w:marLeft w:val="0"/>
      <w:marRight w:val="0"/>
      <w:marTop w:val="0"/>
      <w:marBottom w:val="0"/>
      <w:divBdr>
        <w:top w:val="none" w:sz="0" w:space="0" w:color="auto"/>
        <w:left w:val="none" w:sz="0" w:space="0" w:color="auto"/>
        <w:bottom w:val="none" w:sz="0" w:space="0" w:color="auto"/>
        <w:right w:val="none" w:sz="0" w:space="0" w:color="auto"/>
      </w:divBdr>
    </w:div>
    <w:div w:id="1362366284">
      <w:bodyDiv w:val="1"/>
      <w:marLeft w:val="0"/>
      <w:marRight w:val="0"/>
      <w:marTop w:val="0"/>
      <w:marBottom w:val="0"/>
      <w:divBdr>
        <w:top w:val="none" w:sz="0" w:space="0" w:color="auto"/>
        <w:left w:val="none" w:sz="0" w:space="0" w:color="auto"/>
        <w:bottom w:val="none" w:sz="0" w:space="0" w:color="auto"/>
        <w:right w:val="none" w:sz="0" w:space="0" w:color="auto"/>
      </w:divBdr>
    </w:div>
    <w:div w:id="1362974148">
      <w:bodyDiv w:val="1"/>
      <w:marLeft w:val="0"/>
      <w:marRight w:val="0"/>
      <w:marTop w:val="0"/>
      <w:marBottom w:val="0"/>
      <w:divBdr>
        <w:top w:val="none" w:sz="0" w:space="0" w:color="auto"/>
        <w:left w:val="none" w:sz="0" w:space="0" w:color="auto"/>
        <w:bottom w:val="none" w:sz="0" w:space="0" w:color="auto"/>
        <w:right w:val="none" w:sz="0" w:space="0" w:color="auto"/>
      </w:divBdr>
    </w:div>
    <w:div w:id="1363480046">
      <w:bodyDiv w:val="1"/>
      <w:marLeft w:val="0"/>
      <w:marRight w:val="0"/>
      <w:marTop w:val="0"/>
      <w:marBottom w:val="0"/>
      <w:divBdr>
        <w:top w:val="none" w:sz="0" w:space="0" w:color="auto"/>
        <w:left w:val="none" w:sz="0" w:space="0" w:color="auto"/>
        <w:bottom w:val="none" w:sz="0" w:space="0" w:color="auto"/>
        <w:right w:val="none" w:sz="0" w:space="0" w:color="auto"/>
      </w:divBdr>
    </w:div>
    <w:div w:id="1363902260">
      <w:bodyDiv w:val="1"/>
      <w:marLeft w:val="0"/>
      <w:marRight w:val="0"/>
      <w:marTop w:val="0"/>
      <w:marBottom w:val="0"/>
      <w:divBdr>
        <w:top w:val="none" w:sz="0" w:space="0" w:color="auto"/>
        <w:left w:val="none" w:sz="0" w:space="0" w:color="auto"/>
        <w:bottom w:val="none" w:sz="0" w:space="0" w:color="auto"/>
        <w:right w:val="none" w:sz="0" w:space="0" w:color="auto"/>
      </w:divBdr>
    </w:div>
    <w:div w:id="1364287137">
      <w:bodyDiv w:val="1"/>
      <w:marLeft w:val="0"/>
      <w:marRight w:val="0"/>
      <w:marTop w:val="0"/>
      <w:marBottom w:val="0"/>
      <w:divBdr>
        <w:top w:val="none" w:sz="0" w:space="0" w:color="auto"/>
        <w:left w:val="none" w:sz="0" w:space="0" w:color="auto"/>
        <w:bottom w:val="none" w:sz="0" w:space="0" w:color="auto"/>
        <w:right w:val="none" w:sz="0" w:space="0" w:color="auto"/>
      </w:divBdr>
    </w:div>
    <w:div w:id="1364867525">
      <w:bodyDiv w:val="1"/>
      <w:marLeft w:val="0"/>
      <w:marRight w:val="0"/>
      <w:marTop w:val="0"/>
      <w:marBottom w:val="0"/>
      <w:divBdr>
        <w:top w:val="none" w:sz="0" w:space="0" w:color="auto"/>
        <w:left w:val="none" w:sz="0" w:space="0" w:color="auto"/>
        <w:bottom w:val="none" w:sz="0" w:space="0" w:color="auto"/>
        <w:right w:val="none" w:sz="0" w:space="0" w:color="auto"/>
      </w:divBdr>
    </w:div>
    <w:div w:id="1365978984">
      <w:bodyDiv w:val="1"/>
      <w:marLeft w:val="0"/>
      <w:marRight w:val="0"/>
      <w:marTop w:val="0"/>
      <w:marBottom w:val="0"/>
      <w:divBdr>
        <w:top w:val="none" w:sz="0" w:space="0" w:color="auto"/>
        <w:left w:val="none" w:sz="0" w:space="0" w:color="auto"/>
        <w:bottom w:val="none" w:sz="0" w:space="0" w:color="auto"/>
        <w:right w:val="none" w:sz="0" w:space="0" w:color="auto"/>
      </w:divBdr>
    </w:div>
    <w:div w:id="1366296974">
      <w:bodyDiv w:val="1"/>
      <w:marLeft w:val="0"/>
      <w:marRight w:val="0"/>
      <w:marTop w:val="0"/>
      <w:marBottom w:val="0"/>
      <w:divBdr>
        <w:top w:val="none" w:sz="0" w:space="0" w:color="auto"/>
        <w:left w:val="none" w:sz="0" w:space="0" w:color="auto"/>
        <w:bottom w:val="none" w:sz="0" w:space="0" w:color="auto"/>
        <w:right w:val="none" w:sz="0" w:space="0" w:color="auto"/>
      </w:divBdr>
    </w:div>
    <w:div w:id="1366559213">
      <w:bodyDiv w:val="1"/>
      <w:marLeft w:val="0"/>
      <w:marRight w:val="0"/>
      <w:marTop w:val="0"/>
      <w:marBottom w:val="0"/>
      <w:divBdr>
        <w:top w:val="none" w:sz="0" w:space="0" w:color="auto"/>
        <w:left w:val="none" w:sz="0" w:space="0" w:color="auto"/>
        <w:bottom w:val="none" w:sz="0" w:space="0" w:color="auto"/>
        <w:right w:val="none" w:sz="0" w:space="0" w:color="auto"/>
      </w:divBdr>
    </w:div>
    <w:div w:id="1367175531">
      <w:bodyDiv w:val="1"/>
      <w:marLeft w:val="0"/>
      <w:marRight w:val="0"/>
      <w:marTop w:val="0"/>
      <w:marBottom w:val="0"/>
      <w:divBdr>
        <w:top w:val="none" w:sz="0" w:space="0" w:color="auto"/>
        <w:left w:val="none" w:sz="0" w:space="0" w:color="auto"/>
        <w:bottom w:val="none" w:sz="0" w:space="0" w:color="auto"/>
        <w:right w:val="none" w:sz="0" w:space="0" w:color="auto"/>
      </w:divBdr>
    </w:div>
    <w:div w:id="1367632577">
      <w:bodyDiv w:val="1"/>
      <w:marLeft w:val="0"/>
      <w:marRight w:val="0"/>
      <w:marTop w:val="0"/>
      <w:marBottom w:val="0"/>
      <w:divBdr>
        <w:top w:val="none" w:sz="0" w:space="0" w:color="auto"/>
        <w:left w:val="none" w:sz="0" w:space="0" w:color="auto"/>
        <w:bottom w:val="none" w:sz="0" w:space="0" w:color="auto"/>
        <w:right w:val="none" w:sz="0" w:space="0" w:color="auto"/>
      </w:divBdr>
    </w:div>
    <w:div w:id="1369603829">
      <w:bodyDiv w:val="1"/>
      <w:marLeft w:val="0"/>
      <w:marRight w:val="0"/>
      <w:marTop w:val="0"/>
      <w:marBottom w:val="0"/>
      <w:divBdr>
        <w:top w:val="none" w:sz="0" w:space="0" w:color="auto"/>
        <w:left w:val="none" w:sz="0" w:space="0" w:color="auto"/>
        <w:bottom w:val="none" w:sz="0" w:space="0" w:color="auto"/>
        <w:right w:val="none" w:sz="0" w:space="0" w:color="auto"/>
      </w:divBdr>
    </w:div>
    <w:div w:id="1370952343">
      <w:bodyDiv w:val="1"/>
      <w:marLeft w:val="0"/>
      <w:marRight w:val="0"/>
      <w:marTop w:val="0"/>
      <w:marBottom w:val="0"/>
      <w:divBdr>
        <w:top w:val="none" w:sz="0" w:space="0" w:color="auto"/>
        <w:left w:val="none" w:sz="0" w:space="0" w:color="auto"/>
        <w:bottom w:val="none" w:sz="0" w:space="0" w:color="auto"/>
        <w:right w:val="none" w:sz="0" w:space="0" w:color="auto"/>
      </w:divBdr>
    </w:div>
    <w:div w:id="1371028923">
      <w:bodyDiv w:val="1"/>
      <w:marLeft w:val="0"/>
      <w:marRight w:val="0"/>
      <w:marTop w:val="0"/>
      <w:marBottom w:val="0"/>
      <w:divBdr>
        <w:top w:val="none" w:sz="0" w:space="0" w:color="auto"/>
        <w:left w:val="none" w:sz="0" w:space="0" w:color="auto"/>
        <w:bottom w:val="none" w:sz="0" w:space="0" w:color="auto"/>
        <w:right w:val="none" w:sz="0" w:space="0" w:color="auto"/>
      </w:divBdr>
    </w:div>
    <w:div w:id="1371685840">
      <w:bodyDiv w:val="1"/>
      <w:marLeft w:val="0"/>
      <w:marRight w:val="0"/>
      <w:marTop w:val="0"/>
      <w:marBottom w:val="0"/>
      <w:divBdr>
        <w:top w:val="none" w:sz="0" w:space="0" w:color="auto"/>
        <w:left w:val="none" w:sz="0" w:space="0" w:color="auto"/>
        <w:bottom w:val="none" w:sz="0" w:space="0" w:color="auto"/>
        <w:right w:val="none" w:sz="0" w:space="0" w:color="auto"/>
      </w:divBdr>
    </w:div>
    <w:div w:id="1372802556">
      <w:bodyDiv w:val="1"/>
      <w:marLeft w:val="0"/>
      <w:marRight w:val="0"/>
      <w:marTop w:val="0"/>
      <w:marBottom w:val="0"/>
      <w:divBdr>
        <w:top w:val="none" w:sz="0" w:space="0" w:color="auto"/>
        <w:left w:val="none" w:sz="0" w:space="0" w:color="auto"/>
        <w:bottom w:val="none" w:sz="0" w:space="0" w:color="auto"/>
        <w:right w:val="none" w:sz="0" w:space="0" w:color="auto"/>
      </w:divBdr>
    </w:div>
    <w:div w:id="1374117270">
      <w:bodyDiv w:val="1"/>
      <w:marLeft w:val="0"/>
      <w:marRight w:val="0"/>
      <w:marTop w:val="0"/>
      <w:marBottom w:val="0"/>
      <w:divBdr>
        <w:top w:val="none" w:sz="0" w:space="0" w:color="auto"/>
        <w:left w:val="none" w:sz="0" w:space="0" w:color="auto"/>
        <w:bottom w:val="none" w:sz="0" w:space="0" w:color="auto"/>
        <w:right w:val="none" w:sz="0" w:space="0" w:color="auto"/>
      </w:divBdr>
    </w:div>
    <w:div w:id="1374308348">
      <w:bodyDiv w:val="1"/>
      <w:marLeft w:val="0"/>
      <w:marRight w:val="0"/>
      <w:marTop w:val="0"/>
      <w:marBottom w:val="0"/>
      <w:divBdr>
        <w:top w:val="none" w:sz="0" w:space="0" w:color="auto"/>
        <w:left w:val="none" w:sz="0" w:space="0" w:color="auto"/>
        <w:bottom w:val="none" w:sz="0" w:space="0" w:color="auto"/>
        <w:right w:val="none" w:sz="0" w:space="0" w:color="auto"/>
      </w:divBdr>
    </w:div>
    <w:div w:id="1374965177">
      <w:bodyDiv w:val="1"/>
      <w:marLeft w:val="0"/>
      <w:marRight w:val="0"/>
      <w:marTop w:val="0"/>
      <w:marBottom w:val="0"/>
      <w:divBdr>
        <w:top w:val="none" w:sz="0" w:space="0" w:color="auto"/>
        <w:left w:val="none" w:sz="0" w:space="0" w:color="auto"/>
        <w:bottom w:val="none" w:sz="0" w:space="0" w:color="auto"/>
        <w:right w:val="none" w:sz="0" w:space="0" w:color="auto"/>
      </w:divBdr>
    </w:div>
    <w:div w:id="1375040265">
      <w:bodyDiv w:val="1"/>
      <w:marLeft w:val="0"/>
      <w:marRight w:val="0"/>
      <w:marTop w:val="0"/>
      <w:marBottom w:val="0"/>
      <w:divBdr>
        <w:top w:val="none" w:sz="0" w:space="0" w:color="auto"/>
        <w:left w:val="none" w:sz="0" w:space="0" w:color="auto"/>
        <w:bottom w:val="none" w:sz="0" w:space="0" w:color="auto"/>
        <w:right w:val="none" w:sz="0" w:space="0" w:color="auto"/>
      </w:divBdr>
    </w:div>
    <w:div w:id="1377393649">
      <w:bodyDiv w:val="1"/>
      <w:marLeft w:val="0"/>
      <w:marRight w:val="0"/>
      <w:marTop w:val="0"/>
      <w:marBottom w:val="0"/>
      <w:divBdr>
        <w:top w:val="none" w:sz="0" w:space="0" w:color="auto"/>
        <w:left w:val="none" w:sz="0" w:space="0" w:color="auto"/>
        <w:bottom w:val="none" w:sz="0" w:space="0" w:color="auto"/>
        <w:right w:val="none" w:sz="0" w:space="0" w:color="auto"/>
      </w:divBdr>
    </w:div>
    <w:div w:id="1377580084">
      <w:bodyDiv w:val="1"/>
      <w:marLeft w:val="0"/>
      <w:marRight w:val="0"/>
      <w:marTop w:val="0"/>
      <w:marBottom w:val="0"/>
      <w:divBdr>
        <w:top w:val="none" w:sz="0" w:space="0" w:color="auto"/>
        <w:left w:val="none" w:sz="0" w:space="0" w:color="auto"/>
        <w:bottom w:val="none" w:sz="0" w:space="0" w:color="auto"/>
        <w:right w:val="none" w:sz="0" w:space="0" w:color="auto"/>
      </w:divBdr>
    </w:div>
    <w:div w:id="1378120503">
      <w:bodyDiv w:val="1"/>
      <w:marLeft w:val="0"/>
      <w:marRight w:val="0"/>
      <w:marTop w:val="0"/>
      <w:marBottom w:val="0"/>
      <w:divBdr>
        <w:top w:val="none" w:sz="0" w:space="0" w:color="auto"/>
        <w:left w:val="none" w:sz="0" w:space="0" w:color="auto"/>
        <w:bottom w:val="none" w:sz="0" w:space="0" w:color="auto"/>
        <w:right w:val="none" w:sz="0" w:space="0" w:color="auto"/>
      </w:divBdr>
    </w:div>
    <w:div w:id="1378897166">
      <w:bodyDiv w:val="1"/>
      <w:marLeft w:val="0"/>
      <w:marRight w:val="0"/>
      <w:marTop w:val="0"/>
      <w:marBottom w:val="0"/>
      <w:divBdr>
        <w:top w:val="none" w:sz="0" w:space="0" w:color="auto"/>
        <w:left w:val="none" w:sz="0" w:space="0" w:color="auto"/>
        <w:bottom w:val="none" w:sz="0" w:space="0" w:color="auto"/>
        <w:right w:val="none" w:sz="0" w:space="0" w:color="auto"/>
      </w:divBdr>
    </w:div>
    <w:div w:id="1382173651">
      <w:bodyDiv w:val="1"/>
      <w:marLeft w:val="0"/>
      <w:marRight w:val="0"/>
      <w:marTop w:val="0"/>
      <w:marBottom w:val="0"/>
      <w:divBdr>
        <w:top w:val="none" w:sz="0" w:space="0" w:color="auto"/>
        <w:left w:val="none" w:sz="0" w:space="0" w:color="auto"/>
        <w:bottom w:val="none" w:sz="0" w:space="0" w:color="auto"/>
        <w:right w:val="none" w:sz="0" w:space="0" w:color="auto"/>
      </w:divBdr>
    </w:div>
    <w:div w:id="1384256101">
      <w:bodyDiv w:val="1"/>
      <w:marLeft w:val="0"/>
      <w:marRight w:val="0"/>
      <w:marTop w:val="0"/>
      <w:marBottom w:val="0"/>
      <w:divBdr>
        <w:top w:val="none" w:sz="0" w:space="0" w:color="auto"/>
        <w:left w:val="none" w:sz="0" w:space="0" w:color="auto"/>
        <w:bottom w:val="none" w:sz="0" w:space="0" w:color="auto"/>
        <w:right w:val="none" w:sz="0" w:space="0" w:color="auto"/>
      </w:divBdr>
    </w:div>
    <w:div w:id="1385446825">
      <w:bodyDiv w:val="1"/>
      <w:marLeft w:val="0"/>
      <w:marRight w:val="0"/>
      <w:marTop w:val="0"/>
      <w:marBottom w:val="0"/>
      <w:divBdr>
        <w:top w:val="none" w:sz="0" w:space="0" w:color="auto"/>
        <w:left w:val="none" w:sz="0" w:space="0" w:color="auto"/>
        <w:bottom w:val="none" w:sz="0" w:space="0" w:color="auto"/>
        <w:right w:val="none" w:sz="0" w:space="0" w:color="auto"/>
      </w:divBdr>
    </w:div>
    <w:div w:id="1386681278">
      <w:bodyDiv w:val="1"/>
      <w:marLeft w:val="0"/>
      <w:marRight w:val="0"/>
      <w:marTop w:val="0"/>
      <w:marBottom w:val="0"/>
      <w:divBdr>
        <w:top w:val="none" w:sz="0" w:space="0" w:color="auto"/>
        <w:left w:val="none" w:sz="0" w:space="0" w:color="auto"/>
        <w:bottom w:val="none" w:sz="0" w:space="0" w:color="auto"/>
        <w:right w:val="none" w:sz="0" w:space="0" w:color="auto"/>
      </w:divBdr>
    </w:div>
    <w:div w:id="1387025366">
      <w:bodyDiv w:val="1"/>
      <w:marLeft w:val="0"/>
      <w:marRight w:val="0"/>
      <w:marTop w:val="0"/>
      <w:marBottom w:val="0"/>
      <w:divBdr>
        <w:top w:val="none" w:sz="0" w:space="0" w:color="auto"/>
        <w:left w:val="none" w:sz="0" w:space="0" w:color="auto"/>
        <w:bottom w:val="none" w:sz="0" w:space="0" w:color="auto"/>
        <w:right w:val="none" w:sz="0" w:space="0" w:color="auto"/>
      </w:divBdr>
    </w:div>
    <w:div w:id="1387097562">
      <w:bodyDiv w:val="1"/>
      <w:marLeft w:val="0"/>
      <w:marRight w:val="0"/>
      <w:marTop w:val="0"/>
      <w:marBottom w:val="0"/>
      <w:divBdr>
        <w:top w:val="none" w:sz="0" w:space="0" w:color="auto"/>
        <w:left w:val="none" w:sz="0" w:space="0" w:color="auto"/>
        <w:bottom w:val="none" w:sz="0" w:space="0" w:color="auto"/>
        <w:right w:val="none" w:sz="0" w:space="0" w:color="auto"/>
      </w:divBdr>
    </w:div>
    <w:div w:id="1389382168">
      <w:bodyDiv w:val="1"/>
      <w:marLeft w:val="0"/>
      <w:marRight w:val="0"/>
      <w:marTop w:val="0"/>
      <w:marBottom w:val="0"/>
      <w:divBdr>
        <w:top w:val="none" w:sz="0" w:space="0" w:color="auto"/>
        <w:left w:val="none" w:sz="0" w:space="0" w:color="auto"/>
        <w:bottom w:val="none" w:sz="0" w:space="0" w:color="auto"/>
        <w:right w:val="none" w:sz="0" w:space="0" w:color="auto"/>
      </w:divBdr>
    </w:div>
    <w:div w:id="1390418589">
      <w:bodyDiv w:val="1"/>
      <w:marLeft w:val="0"/>
      <w:marRight w:val="0"/>
      <w:marTop w:val="0"/>
      <w:marBottom w:val="0"/>
      <w:divBdr>
        <w:top w:val="none" w:sz="0" w:space="0" w:color="auto"/>
        <w:left w:val="none" w:sz="0" w:space="0" w:color="auto"/>
        <w:bottom w:val="none" w:sz="0" w:space="0" w:color="auto"/>
        <w:right w:val="none" w:sz="0" w:space="0" w:color="auto"/>
      </w:divBdr>
    </w:div>
    <w:div w:id="1394696345">
      <w:bodyDiv w:val="1"/>
      <w:marLeft w:val="0"/>
      <w:marRight w:val="0"/>
      <w:marTop w:val="0"/>
      <w:marBottom w:val="0"/>
      <w:divBdr>
        <w:top w:val="none" w:sz="0" w:space="0" w:color="auto"/>
        <w:left w:val="none" w:sz="0" w:space="0" w:color="auto"/>
        <w:bottom w:val="none" w:sz="0" w:space="0" w:color="auto"/>
        <w:right w:val="none" w:sz="0" w:space="0" w:color="auto"/>
      </w:divBdr>
    </w:div>
    <w:div w:id="1395272474">
      <w:bodyDiv w:val="1"/>
      <w:marLeft w:val="0"/>
      <w:marRight w:val="0"/>
      <w:marTop w:val="0"/>
      <w:marBottom w:val="0"/>
      <w:divBdr>
        <w:top w:val="none" w:sz="0" w:space="0" w:color="auto"/>
        <w:left w:val="none" w:sz="0" w:space="0" w:color="auto"/>
        <w:bottom w:val="none" w:sz="0" w:space="0" w:color="auto"/>
        <w:right w:val="none" w:sz="0" w:space="0" w:color="auto"/>
      </w:divBdr>
    </w:div>
    <w:div w:id="1396582787">
      <w:bodyDiv w:val="1"/>
      <w:marLeft w:val="0"/>
      <w:marRight w:val="0"/>
      <w:marTop w:val="0"/>
      <w:marBottom w:val="0"/>
      <w:divBdr>
        <w:top w:val="none" w:sz="0" w:space="0" w:color="auto"/>
        <w:left w:val="none" w:sz="0" w:space="0" w:color="auto"/>
        <w:bottom w:val="none" w:sz="0" w:space="0" w:color="auto"/>
        <w:right w:val="none" w:sz="0" w:space="0" w:color="auto"/>
      </w:divBdr>
    </w:div>
    <w:div w:id="1397050184">
      <w:bodyDiv w:val="1"/>
      <w:marLeft w:val="0"/>
      <w:marRight w:val="0"/>
      <w:marTop w:val="0"/>
      <w:marBottom w:val="0"/>
      <w:divBdr>
        <w:top w:val="none" w:sz="0" w:space="0" w:color="auto"/>
        <w:left w:val="none" w:sz="0" w:space="0" w:color="auto"/>
        <w:bottom w:val="none" w:sz="0" w:space="0" w:color="auto"/>
        <w:right w:val="none" w:sz="0" w:space="0" w:color="auto"/>
      </w:divBdr>
    </w:div>
    <w:div w:id="1398213107">
      <w:bodyDiv w:val="1"/>
      <w:marLeft w:val="0"/>
      <w:marRight w:val="0"/>
      <w:marTop w:val="0"/>
      <w:marBottom w:val="0"/>
      <w:divBdr>
        <w:top w:val="none" w:sz="0" w:space="0" w:color="auto"/>
        <w:left w:val="none" w:sz="0" w:space="0" w:color="auto"/>
        <w:bottom w:val="none" w:sz="0" w:space="0" w:color="auto"/>
        <w:right w:val="none" w:sz="0" w:space="0" w:color="auto"/>
      </w:divBdr>
    </w:div>
    <w:div w:id="1398818269">
      <w:bodyDiv w:val="1"/>
      <w:marLeft w:val="0"/>
      <w:marRight w:val="0"/>
      <w:marTop w:val="0"/>
      <w:marBottom w:val="0"/>
      <w:divBdr>
        <w:top w:val="none" w:sz="0" w:space="0" w:color="auto"/>
        <w:left w:val="none" w:sz="0" w:space="0" w:color="auto"/>
        <w:bottom w:val="none" w:sz="0" w:space="0" w:color="auto"/>
        <w:right w:val="none" w:sz="0" w:space="0" w:color="auto"/>
      </w:divBdr>
    </w:div>
    <w:div w:id="1399670386">
      <w:bodyDiv w:val="1"/>
      <w:marLeft w:val="0"/>
      <w:marRight w:val="0"/>
      <w:marTop w:val="0"/>
      <w:marBottom w:val="0"/>
      <w:divBdr>
        <w:top w:val="none" w:sz="0" w:space="0" w:color="auto"/>
        <w:left w:val="none" w:sz="0" w:space="0" w:color="auto"/>
        <w:bottom w:val="none" w:sz="0" w:space="0" w:color="auto"/>
        <w:right w:val="none" w:sz="0" w:space="0" w:color="auto"/>
      </w:divBdr>
    </w:div>
    <w:div w:id="1400638200">
      <w:bodyDiv w:val="1"/>
      <w:marLeft w:val="0"/>
      <w:marRight w:val="0"/>
      <w:marTop w:val="0"/>
      <w:marBottom w:val="0"/>
      <w:divBdr>
        <w:top w:val="none" w:sz="0" w:space="0" w:color="auto"/>
        <w:left w:val="none" w:sz="0" w:space="0" w:color="auto"/>
        <w:bottom w:val="none" w:sz="0" w:space="0" w:color="auto"/>
        <w:right w:val="none" w:sz="0" w:space="0" w:color="auto"/>
      </w:divBdr>
    </w:div>
    <w:div w:id="1400977267">
      <w:bodyDiv w:val="1"/>
      <w:marLeft w:val="0"/>
      <w:marRight w:val="0"/>
      <w:marTop w:val="0"/>
      <w:marBottom w:val="0"/>
      <w:divBdr>
        <w:top w:val="none" w:sz="0" w:space="0" w:color="auto"/>
        <w:left w:val="none" w:sz="0" w:space="0" w:color="auto"/>
        <w:bottom w:val="none" w:sz="0" w:space="0" w:color="auto"/>
        <w:right w:val="none" w:sz="0" w:space="0" w:color="auto"/>
      </w:divBdr>
    </w:div>
    <w:div w:id="1401637907">
      <w:bodyDiv w:val="1"/>
      <w:marLeft w:val="0"/>
      <w:marRight w:val="0"/>
      <w:marTop w:val="0"/>
      <w:marBottom w:val="0"/>
      <w:divBdr>
        <w:top w:val="none" w:sz="0" w:space="0" w:color="auto"/>
        <w:left w:val="none" w:sz="0" w:space="0" w:color="auto"/>
        <w:bottom w:val="none" w:sz="0" w:space="0" w:color="auto"/>
        <w:right w:val="none" w:sz="0" w:space="0" w:color="auto"/>
      </w:divBdr>
    </w:div>
    <w:div w:id="1403066837">
      <w:bodyDiv w:val="1"/>
      <w:marLeft w:val="0"/>
      <w:marRight w:val="0"/>
      <w:marTop w:val="0"/>
      <w:marBottom w:val="0"/>
      <w:divBdr>
        <w:top w:val="none" w:sz="0" w:space="0" w:color="auto"/>
        <w:left w:val="none" w:sz="0" w:space="0" w:color="auto"/>
        <w:bottom w:val="none" w:sz="0" w:space="0" w:color="auto"/>
        <w:right w:val="none" w:sz="0" w:space="0" w:color="auto"/>
      </w:divBdr>
    </w:div>
    <w:div w:id="1403747861">
      <w:bodyDiv w:val="1"/>
      <w:marLeft w:val="0"/>
      <w:marRight w:val="0"/>
      <w:marTop w:val="0"/>
      <w:marBottom w:val="0"/>
      <w:divBdr>
        <w:top w:val="none" w:sz="0" w:space="0" w:color="auto"/>
        <w:left w:val="none" w:sz="0" w:space="0" w:color="auto"/>
        <w:bottom w:val="none" w:sz="0" w:space="0" w:color="auto"/>
        <w:right w:val="none" w:sz="0" w:space="0" w:color="auto"/>
      </w:divBdr>
    </w:div>
    <w:div w:id="1404060725">
      <w:bodyDiv w:val="1"/>
      <w:marLeft w:val="0"/>
      <w:marRight w:val="0"/>
      <w:marTop w:val="0"/>
      <w:marBottom w:val="0"/>
      <w:divBdr>
        <w:top w:val="none" w:sz="0" w:space="0" w:color="auto"/>
        <w:left w:val="none" w:sz="0" w:space="0" w:color="auto"/>
        <w:bottom w:val="none" w:sz="0" w:space="0" w:color="auto"/>
        <w:right w:val="none" w:sz="0" w:space="0" w:color="auto"/>
      </w:divBdr>
    </w:div>
    <w:div w:id="1405643313">
      <w:bodyDiv w:val="1"/>
      <w:marLeft w:val="0"/>
      <w:marRight w:val="0"/>
      <w:marTop w:val="0"/>
      <w:marBottom w:val="0"/>
      <w:divBdr>
        <w:top w:val="none" w:sz="0" w:space="0" w:color="auto"/>
        <w:left w:val="none" w:sz="0" w:space="0" w:color="auto"/>
        <w:bottom w:val="none" w:sz="0" w:space="0" w:color="auto"/>
        <w:right w:val="none" w:sz="0" w:space="0" w:color="auto"/>
      </w:divBdr>
    </w:div>
    <w:div w:id="1406224250">
      <w:bodyDiv w:val="1"/>
      <w:marLeft w:val="0"/>
      <w:marRight w:val="0"/>
      <w:marTop w:val="0"/>
      <w:marBottom w:val="0"/>
      <w:divBdr>
        <w:top w:val="none" w:sz="0" w:space="0" w:color="auto"/>
        <w:left w:val="none" w:sz="0" w:space="0" w:color="auto"/>
        <w:bottom w:val="none" w:sz="0" w:space="0" w:color="auto"/>
        <w:right w:val="none" w:sz="0" w:space="0" w:color="auto"/>
      </w:divBdr>
    </w:div>
    <w:div w:id="1407340540">
      <w:bodyDiv w:val="1"/>
      <w:marLeft w:val="0"/>
      <w:marRight w:val="0"/>
      <w:marTop w:val="0"/>
      <w:marBottom w:val="0"/>
      <w:divBdr>
        <w:top w:val="none" w:sz="0" w:space="0" w:color="auto"/>
        <w:left w:val="none" w:sz="0" w:space="0" w:color="auto"/>
        <w:bottom w:val="none" w:sz="0" w:space="0" w:color="auto"/>
        <w:right w:val="none" w:sz="0" w:space="0" w:color="auto"/>
      </w:divBdr>
    </w:div>
    <w:div w:id="1407609040">
      <w:bodyDiv w:val="1"/>
      <w:marLeft w:val="0"/>
      <w:marRight w:val="0"/>
      <w:marTop w:val="0"/>
      <w:marBottom w:val="0"/>
      <w:divBdr>
        <w:top w:val="none" w:sz="0" w:space="0" w:color="auto"/>
        <w:left w:val="none" w:sz="0" w:space="0" w:color="auto"/>
        <w:bottom w:val="none" w:sz="0" w:space="0" w:color="auto"/>
        <w:right w:val="none" w:sz="0" w:space="0" w:color="auto"/>
      </w:divBdr>
    </w:div>
    <w:div w:id="1408072698">
      <w:bodyDiv w:val="1"/>
      <w:marLeft w:val="0"/>
      <w:marRight w:val="0"/>
      <w:marTop w:val="0"/>
      <w:marBottom w:val="0"/>
      <w:divBdr>
        <w:top w:val="none" w:sz="0" w:space="0" w:color="auto"/>
        <w:left w:val="none" w:sz="0" w:space="0" w:color="auto"/>
        <w:bottom w:val="none" w:sz="0" w:space="0" w:color="auto"/>
        <w:right w:val="none" w:sz="0" w:space="0" w:color="auto"/>
      </w:divBdr>
    </w:div>
    <w:div w:id="1410031900">
      <w:bodyDiv w:val="1"/>
      <w:marLeft w:val="0"/>
      <w:marRight w:val="0"/>
      <w:marTop w:val="0"/>
      <w:marBottom w:val="0"/>
      <w:divBdr>
        <w:top w:val="none" w:sz="0" w:space="0" w:color="auto"/>
        <w:left w:val="none" w:sz="0" w:space="0" w:color="auto"/>
        <w:bottom w:val="none" w:sz="0" w:space="0" w:color="auto"/>
        <w:right w:val="none" w:sz="0" w:space="0" w:color="auto"/>
      </w:divBdr>
    </w:div>
    <w:div w:id="1410039478">
      <w:bodyDiv w:val="1"/>
      <w:marLeft w:val="0"/>
      <w:marRight w:val="0"/>
      <w:marTop w:val="0"/>
      <w:marBottom w:val="0"/>
      <w:divBdr>
        <w:top w:val="none" w:sz="0" w:space="0" w:color="auto"/>
        <w:left w:val="none" w:sz="0" w:space="0" w:color="auto"/>
        <w:bottom w:val="none" w:sz="0" w:space="0" w:color="auto"/>
        <w:right w:val="none" w:sz="0" w:space="0" w:color="auto"/>
      </w:divBdr>
    </w:div>
    <w:div w:id="1410538938">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1460646">
      <w:bodyDiv w:val="1"/>
      <w:marLeft w:val="0"/>
      <w:marRight w:val="0"/>
      <w:marTop w:val="0"/>
      <w:marBottom w:val="0"/>
      <w:divBdr>
        <w:top w:val="none" w:sz="0" w:space="0" w:color="auto"/>
        <w:left w:val="none" w:sz="0" w:space="0" w:color="auto"/>
        <w:bottom w:val="none" w:sz="0" w:space="0" w:color="auto"/>
        <w:right w:val="none" w:sz="0" w:space="0" w:color="auto"/>
      </w:divBdr>
    </w:div>
    <w:div w:id="1412848573">
      <w:bodyDiv w:val="1"/>
      <w:marLeft w:val="0"/>
      <w:marRight w:val="0"/>
      <w:marTop w:val="0"/>
      <w:marBottom w:val="0"/>
      <w:divBdr>
        <w:top w:val="none" w:sz="0" w:space="0" w:color="auto"/>
        <w:left w:val="none" w:sz="0" w:space="0" w:color="auto"/>
        <w:bottom w:val="none" w:sz="0" w:space="0" w:color="auto"/>
        <w:right w:val="none" w:sz="0" w:space="0" w:color="auto"/>
      </w:divBdr>
    </w:div>
    <w:div w:id="1413546530">
      <w:bodyDiv w:val="1"/>
      <w:marLeft w:val="0"/>
      <w:marRight w:val="0"/>
      <w:marTop w:val="0"/>
      <w:marBottom w:val="0"/>
      <w:divBdr>
        <w:top w:val="none" w:sz="0" w:space="0" w:color="auto"/>
        <w:left w:val="none" w:sz="0" w:space="0" w:color="auto"/>
        <w:bottom w:val="none" w:sz="0" w:space="0" w:color="auto"/>
        <w:right w:val="none" w:sz="0" w:space="0" w:color="auto"/>
      </w:divBdr>
    </w:div>
    <w:div w:id="1413816118">
      <w:bodyDiv w:val="1"/>
      <w:marLeft w:val="0"/>
      <w:marRight w:val="0"/>
      <w:marTop w:val="0"/>
      <w:marBottom w:val="0"/>
      <w:divBdr>
        <w:top w:val="none" w:sz="0" w:space="0" w:color="auto"/>
        <w:left w:val="none" w:sz="0" w:space="0" w:color="auto"/>
        <w:bottom w:val="none" w:sz="0" w:space="0" w:color="auto"/>
        <w:right w:val="none" w:sz="0" w:space="0" w:color="auto"/>
      </w:divBdr>
    </w:div>
    <w:div w:id="1415056276">
      <w:bodyDiv w:val="1"/>
      <w:marLeft w:val="0"/>
      <w:marRight w:val="0"/>
      <w:marTop w:val="0"/>
      <w:marBottom w:val="0"/>
      <w:divBdr>
        <w:top w:val="none" w:sz="0" w:space="0" w:color="auto"/>
        <w:left w:val="none" w:sz="0" w:space="0" w:color="auto"/>
        <w:bottom w:val="none" w:sz="0" w:space="0" w:color="auto"/>
        <w:right w:val="none" w:sz="0" w:space="0" w:color="auto"/>
      </w:divBdr>
    </w:div>
    <w:div w:id="1417050488">
      <w:bodyDiv w:val="1"/>
      <w:marLeft w:val="0"/>
      <w:marRight w:val="0"/>
      <w:marTop w:val="0"/>
      <w:marBottom w:val="0"/>
      <w:divBdr>
        <w:top w:val="none" w:sz="0" w:space="0" w:color="auto"/>
        <w:left w:val="none" w:sz="0" w:space="0" w:color="auto"/>
        <w:bottom w:val="none" w:sz="0" w:space="0" w:color="auto"/>
        <w:right w:val="none" w:sz="0" w:space="0" w:color="auto"/>
      </w:divBdr>
    </w:div>
    <w:div w:id="1418362640">
      <w:bodyDiv w:val="1"/>
      <w:marLeft w:val="0"/>
      <w:marRight w:val="0"/>
      <w:marTop w:val="0"/>
      <w:marBottom w:val="0"/>
      <w:divBdr>
        <w:top w:val="none" w:sz="0" w:space="0" w:color="auto"/>
        <w:left w:val="none" w:sz="0" w:space="0" w:color="auto"/>
        <w:bottom w:val="none" w:sz="0" w:space="0" w:color="auto"/>
        <w:right w:val="none" w:sz="0" w:space="0" w:color="auto"/>
      </w:divBdr>
    </w:div>
    <w:div w:id="1422752468">
      <w:bodyDiv w:val="1"/>
      <w:marLeft w:val="0"/>
      <w:marRight w:val="0"/>
      <w:marTop w:val="0"/>
      <w:marBottom w:val="0"/>
      <w:divBdr>
        <w:top w:val="none" w:sz="0" w:space="0" w:color="auto"/>
        <w:left w:val="none" w:sz="0" w:space="0" w:color="auto"/>
        <w:bottom w:val="none" w:sz="0" w:space="0" w:color="auto"/>
        <w:right w:val="none" w:sz="0" w:space="0" w:color="auto"/>
      </w:divBdr>
    </w:div>
    <w:div w:id="1423837042">
      <w:bodyDiv w:val="1"/>
      <w:marLeft w:val="0"/>
      <w:marRight w:val="0"/>
      <w:marTop w:val="0"/>
      <w:marBottom w:val="0"/>
      <w:divBdr>
        <w:top w:val="none" w:sz="0" w:space="0" w:color="auto"/>
        <w:left w:val="none" w:sz="0" w:space="0" w:color="auto"/>
        <w:bottom w:val="none" w:sz="0" w:space="0" w:color="auto"/>
        <w:right w:val="none" w:sz="0" w:space="0" w:color="auto"/>
      </w:divBdr>
    </w:div>
    <w:div w:id="1424649784">
      <w:bodyDiv w:val="1"/>
      <w:marLeft w:val="0"/>
      <w:marRight w:val="0"/>
      <w:marTop w:val="0"/>
      <w:marBottom w:val="0"/>
      <w:divBdr>
        <w:top w:val="none" w:sz="0" w:space="0" w:color="auto"/>
        <w:left w:val="none" w:sz="0" w:space="0" w:color="auto"/>
        <w:bottom w:val="none" w:sz="0" w:space="0" w:color="auto"/>
        <w:right w:val="none" w:sz="0" w:space="0" w:color="auto"/>
      </w:divBdr>
    </w:div>
    <w:div w:id="1426879759">
      <w:bodyDiv w:val="1"/>
      <w:marLeft w:val="0"/>
      <w:marRight w:val="0"/>
      <w:marTop w:val="0"/>
      <w:marBottom w:val="0"/>
      <w:divBdr>
        <w:top w:val="none" w:sz="0" w:space="0" w:color="auto"/>
        <w:left w:val="none" w:sz="0" w:space="0" w:color="auto"/>
        <w:bottom w:val="none" w:sz="0" w:space="0" w:color="auto"/>
        <w:right w:val="none" w:sz="0" w:space="0" w:color="auto"/>
      </w:divBdr>
    </w:div>
    <w:div w:id="1427387430">
      <w:bodyDiv w:val="1"/>
      <w:marLeft w:val="0"/>
      <w:marRight w:val="0"/>
      <w:marTop w:val="0"/>
      <w:marBottom w:val="0"/>
      <w:divBdr>
        <w:top w:val="none" w:sz="0" w:space="0" w:color="auto"/>
        <w:left w:val="none" w:sz="0" w:space="0" w:color="auto"/>
        <w:bottom w:val="none" w:sz="0" w:space="0" w:color="auto"/>
        <w:right w:val="none" w:sz="0" w:space="0" w:color="auto"/>
      </w:divBdr>
    </w:div>
    <w:div w:id="1427917017">
      <w:bodyDiv w:val="1"/>
      <w:marLeft w:val="0"/>
      <w:marRight w:val="0"/>
      <w:marTop w:val="0"/>
      <w:marBottom w:val="0"/>
      <w:divBdr>
        <w:top w:val="none" w:sz="0" w:space="0" w:color="auto"/>
        <w:left w:val="none" w:sz="0" w:space="0" w:color="auto"/>
        <w:bottom w:val="none" w:sz="0" w:space="0" w:color="auto"/>
        <w:right w:val="none" w:sz="0" w:space="0" w:color="auto"/>
      </w:divBdr>
    </w:div>
    <w:div w:id="1430078660">
      <w:bodyDiv w:val="1"/>
      <w:marLeft w:val="0"/>
      <w:marRight w:val="0"/>
      <w:marTop w:val="0"/>
      <w:marBottom w:val="0"/>
      <w:divBdr>
        <w:top w:val="none" w:sz="0" w:space="0" w:color="auto"/>
        <w:left w:val="none" w:sz="0" w:space="0" w:color="auto"/>
        <w:bottom w:val="none" w:sz="0" w:space="0" w:color="auto"/>
        <w:right w:val="none" w:sz="0" w:space="0" w:color="auto"/>
      </w:divBdr>
    </w:div>
    <w:div w:id="1431512502">
      <w:bodyDiv w:val="1"/>
      <w:marLeft w:val="0"/>
      <w:marRight w:val="0"/>
      <w:marTop w:val="0"/>
      <w:marBottom w:val="0"/>
      <w:divBdr>
        <w:top w:val="none" w:sz="0" w:space="0" w:color="auto"/>
        <w:left w:val="none" w:sz="0" w:space="0" w:color="auto"/>
        <w:bottom w:val="none" w:sz="0" w:space="0" w:color="auto"/>
        <w:right w:val="none" w:sz="0" w:space="0" w:color="auto"/>
      </w:divBdr>
    </w:div>
    <w:div w:id="1432776950">
      <w:bodyDiv w:val="1"/>
      <w:marLeft w:val="0"/>
      <w:marRight w:val="0"/>
      <w:marTop w:val="0"/>
      <w:marBottom w:val="0"/>
      <w:divBdr>
        <w:top w:val="none" w:sz="0" w:space="0" w:color="auto"/>
        <w:left w:val="none" w:sz="0" w:space="0" w:color="auto"/>
        <w:bottom w:val="none" w:sz="0" w:space="0" w:color="auto"/>
        <w:right w:val="none" w:sz="0" w:space="0" w:color="auto"/>
      </w:divBdr>
    </w:div>
    <w:div w:id="1433893623">
      <w:bodyDiv w:val="1"/>
      <w:marLeft w:val="0"/>
      <w:marRight w:val="0"/>
      <w:marTop w:val="0"/>
      <w:marBottom w:val="0"/>
      <w:divBdr>
        <w:top w:val="none" w:sz="0" w:space="0" w:color="auto"/>
        <w:left w:val="none" w:sz="0" w:space="0" w:color="auto"/>
        <w:bottom w:val="none" w:sz="0" w:space="0" w:color="auto"/>
        <w:right w:val="none" w:sz="0" w:space="0" w:color="auto"/>
      </w:divBdr>
    </w:div>
    <w:div w:id="1435319308">
      <w:bodyDiv w:val="1"/>
      <w:marLeft w:val="0"/>
      <w:marRight w:val="0"/>
      <w:marTop w:val="0"/>
      <w:marBottom w:val="0"/>
      <w:divBdr>
        <w:top w:val="none" w:sz="0" w:space="0" w:color="auto"/>
        <w:left w:val="none" w:sz="0" w:space="0" w:color="auto"/>
        <w:bottom w:val="none" w:sz="0" w:space="0" w:color="auto"/>
        <w:right w:val="none" w:sz="0" w:space="0" w:color="auto"/>
      </w:divBdr>
    </w:div>
    <w:div w:id="1435444465">
      <w:bodyDiv w:val="1"/>
      <w:marLeft w:val="0"/>
      <w:marRight w:val="0"/>
      <w:marTop w:val="0"/>
      <w:marBottom w:val="0"/>
      <w:divBdr>
        <w:top w:val="none" w:sz="0" w:space="0" w:color="auto"/>
        <w:left w:val="none" w:sz="0" w:space="0" w:color="auto"/>
        <w:bottom w:val="none" w:sz="0" w:space="0" w:color="auto"/>
        <w:right w:val="none" w:sz="0" w:space="0" w:color="auto"/>
      </w:divBdr>
    </w:div>
    <w:div w:id="1435855961">
      <w:bodyDiv w:val="1"/>
      <w:marLeft w:val="0"/>
      <w:marRight w:val="0"/>
      <w:marTop w:val="0"/>
      <w:marBottom w:val="0"/>
      <w:divBdr>
        <w:top w:val="none" w:sz="0" w:space="0" w:color="auto"/>
        <w:left w:val="none" w:sz="0" w:space="0" w:color="auto"/>
        <w:bottom w:val="none" w:sz="0" w:space="0" w:color="auto"/>
        <w:right w:val="none" w:sz="0" w:space="0" w:color="auto"/>
      </w:divBdr>
    </w:div>
    <w:div w:id="1435979151">
      <w:bodyDiv w:val="1"/>
      <w:marLeft w:val="0"/>
      <w:marRight w:val="0"/>
      <w:marTop w:val="0"/>
      <w:marBottom w:val="0"/>
      <w:divBdr>
        <w:top w:val="none" w:sz="0" w:space="0" w:color="auto"/>
        <w:left w:val="none" w:sz="0" w:space="0" w:color="auto"/>
        <w:bottom w:val="none" w:sz="0" w:space="0" w:color="auto"/>
        <w:right w:val="none" w:sz="0" w:space="0" w:color="auto"/>
      </w:divBdr>
    </w:div>
    <w:div w:id="1436707207">
      <w:bodyDiv w:val="1"/>
      <w:marLeft w:val="0"/>
      <w:marRight w:val="0"/>
      <w:marTop w:val="0"/>
      <w:marBottom w:val="0"/>
      <w:divBdr>
        <w:top w:val="none" w:sz="0" w:space="0" w:color="auto"/>
        <w:left w:val="none" w:sz="0" w:space="0" w:color="auto"/>
        <w:bottom w:val="none" w:sz="0" w:space="0" w:color="auto"/>
        <w:right w:val="none" w:sz="0" w:space="0" w:color="auto"/>
      </w:divBdr>
    </w:div>
    <w:div w:id="1437290213">
      <w:bodyDiv w:val="1"/>
      <w:marLeft w:val="0"/>
      <w:marRight w:val="0"/>
      <w:marTop w:val="0"/>
      <w:marBottom w:val="0"/>
      <w:divBdr>
        <w:top w:val="none" w:sz="0" w:space="0" w:color="auto"/>
        <w:left w:val="none" w:sz="0" w:space="0" w:color="auto"/>
        <w:bottom w:val="none" w:sz="0" w:space="0" w:color="auto"/>
        <w:right w:val="none" w:sz="0" w:space="0" w:color="auto"/>
      </w:divBdr>
    </w:div>
    <w:div w:id="1439523564">
      <w:bodyDiv w:val="1"/>
      <w:marLeft w:val="0"/>
      <w:marRight w:val="0"/>
      <w:marTop w:val="0"/>
      <w:marBottom w:val="0"/>
      <w:divBdr>
        <w:top w:val="none" w:sz="0" w:space="0" w:color="auto"/>
        <w:left w:val="none" w:sz="0" w:space="0" w:color="auto"/>
        <w:bottom w:val="none" w:sz="0" w:space="0" w:color="auto"/>
        <w:right w:val="none" w:sz="0" w:space="0" w:color="auto"/>
      </w:divBdr>
    </w:div>
    <w:div w:id="1439643796">
      <w:bodyDiv w:val="1"/>
      <w:marLeft w:val="0"/>
      <w:marRight w:val="0"/>
      <w:marTop w:val="0"/>
      <w:marBottom w:val="0"/>
      <w:divBdr>
        <w:top w:val="none" w:sz="0" w:space="0" w:color="auto"/>
        <w:left w:val="none" w:sz="0" w:space="0" w:color="auto"/>
        <w:bottom w:val="none" w:sz="0" w:space="0" w:color="auto"/>
        <w:right w:val="none" w:sz="0" w:space="0" w:color="auto"/>
      </w:divBdr>
    </w:div>
    <w:div w:id="1440950841">
      <w:bodyDiv w:val="1"/>
      <w:marLeft w:val="0"/>
      <w:marRight w:val="0"/>
      <w:marTop w:val="0"/>
      <w:marBottom w:val="0"/>
      <w:divBdr>
        <w:top w:val="none" w:sz="0" w:space="0" w:color="auto"/>
        <w:left w:val="none" w:sz="0" w:space="0" w:color="auto"/>
        <w:bottom w:val="none" w:sz="0" w:space="0" w:color="auto"/>
        <w:right w:val="none" w:sz="0" w:space="0" w:color="auto"/>
      </w:divBdr>
    </w:div>
    <w:div w:id="1441993893">
      <w:bodyDiv w:val="1"/>
      <w:marLeft w:val="0"/>
      <w:marRight w:val="0"/>
      <w:marTop w:val="0"/>
      <w:marBottom w:val="0"/>
      <w:divBdr>
        <w:top w:val="none" w:sz="0" w:space="0" w:color="auto"/>
        <w:left w:val="none" w:sz="0" w:space="0" w:color="auto"/>
        <w:bottom w:val="none" w:sz="0" w:space="0" w:color="auto"/>
        <w:right w:val="none" w:sz="0" w:space="0" w:color="auto"/>
      </w:divBdr>
    </w:div>
    <w:div w:id="1443844765">
      <w:bodyDiv w:val="1"/>
      <w:marLeft w:val="0"/>
      <w:marRight w:val="0"/>
      <w:marTop w:val="0"/>
      <w:marBottom w:val="0"/>
      <w:divBdr>
        <w:top w:val="none" w:sz="0" w:space="0" w:color="auto"/>
        <w:left w:val="none" w:sz="0" w:space="0" w:color="auto"/>
        <w:bottom w:val="none" w:sz="0" w:space="0" w:color="auto"/>
        <w:right w:val="none" w:sz="0" w:space="0" w:color="auto"/>
      </w:divBdr>
    </w:div>
    <w:div w:id="1444031261">
      <w:bodyDiv w:val="1"/>
      <w:marLeft w:val="0"/>
      <w:marRight w:val="0"/>
      <w:marTop w:val="0"/>
      <w:marBottom w:val="0"/>
      <w:divBdr>
        <w:top w:val="none" w:sz="0" w:space="0" w:color="auto"/>
        <w:left w:val="none" w:sz="0" w:space="0" w:color="auto"/>
        <w:bottom w:val="none" w:sz="0" w:space="0" w:color="auto"/>
        <w:right w:val="none" w:sz="0" w:space="0" w:color="auto"/>
      </w:divBdr>
    </w:div>
    <w:div w:id="1445809806">
      <w:bodyDiv w:val="1"/>
      <w:marLeft w:val="0"/>
      <w:marRight w:val="0"/>
      <w:marTop w:val="0"/>
      <w:marBottom w:val="0"/>
      <w:divBdr>
        <w:top w:val="none" w:sz="0" w:space="0" w:color="auto"/>
        <w:left w:val="none" w:sz="0" w:space="0" w:color="auto"/>
        <w:bottom w:val="none" w:sz="0" w:space="0" w:color="auto"/>
        <w:right w:val="none" w:sz="0" w:space="0" w:color="auto"/>
      </w:divBdr>
    </w:div>
    <w:div w:id="1445881066">
      <w:bodyDiv w:val="1"/>
      <w:marLeft w:val="0"/>
      <w:marRight w:val="0"/>
      <w:marTop w:val="0"/>
      <w:marBottom w:val="0"/>
      <w:divBdr>
        <w:top w:val="none" w:sz="0" w:space="0" w:color="auto"/>
        <w:left w:val="none" w:sz="0" w:space="0" w:color="auto"/>
        <w:bottom w:val="none" w:sz="0" w:space="0" w:color="auto"/>
        <w:right w:val="none" w:sz="0" w:space="0" w:color="auto"/>
      </w:divBdr>
    </w:div>
    <w:div w:id="1448087629">
      <w:bodyDiv w:val="1"/>
      <w:marLeft w:val="0"/>
      <w:marRight w:val="0"/>
      <w:marTop w:val="0"/>
      <w:marBottom w:val="0"/>
      <w:divBdr>
        <w:top w:val="none" w:sz="0" w:space="0" w:color="auto"/>
        <w:left w:val="none" w:sz="0" w:space="0" w:color="auto"/>
        <w:bottom w:val="none" w:sz="0" w:space="0" w:color="auto"/>
        <w:right w:val="none" w:sz="0" w:space="0" w:color="auto"/>
      </w:divBdr>
    </w:div>
    <w:div w:id="1448623238">
      <w:bodyDiv w:val="1"/>
      <w:marLeft w:val="0"/>
      <w:marRight w:val="0"/>
      <w:marTop w:val="0"/>
      <w:marBottom w:val="0"/>
      <w:divBdr>
        <w:top w:val="none" w:sz="0" w:space="0" w:color="auto"/>
        <w:left w:val="none" w:sz="0" w:space="0" w:color="auto"/>
        <w:bottom w:val="none" w:sz="0" w:space="0" w:color="auto"/>
        <w:right w:val="none" w:sz="0" w:space="0" w:color="auto"/>
      </w:divBdr>
    </w:div>
    <w:div w:id="1448967607">
      <w:bodyDiv w:val="1"/>
      <w:marLeft w:val="0"/>
      <w:marRight w:val="0"/>
      <w:marTop w:val="0"/>
      <w:marBottom w:val="0"/>
      <w:divBdr>
        <w:top w:val="none" w:sz="0" w:space="0" w:color="auto"/>
        <w:left w:val="none" w:sz="0" w:space="0" w:color="auto"/>
        <w:bottom w:val="none" w:sz="0" w:space="0" w:color="auto"/>
        <w:right w:val="none" w:sz="0" w:space="0" w:color="auto"/>
      </w:divBdr>
    </w:div>
    <w:div w:id="1449398361">
      <w:bodyDiv w:val="1"/>
      <w:marLeft w:val="0"/>
      <w:marRight w:val="0"/>
      <w:marTop w:val="0"/>
      <w:marBottom w:val="0"/>
      <w:divBdr>
        <w:top w:val="none" w:sz="0" w:space="0" w:color="auto"/>
        <w:left w:val="none" w:sz="0" w:space="0" w:color="auto"/>
        <w:bottom w:val="none" w:sz="0" w:space="0" w:color="auto"/>
        <w:right w:val="none" w:sz="0" w:space="0" w:color="auto"/>
      </w:divBdr>
    </w:div>
    <w:div w:id="1450516899">
      <w:bodyDiv w:val="1"/>
      <w:marLeft w:val="0"/>
      <w:marRight w:val="0"/>
      <w:marTop w:val="0"/>
      <w:marBottom w:val="0"/>
      <w:divBdr>
        <w:top w:val="none" w:sz="0" w:space="0" w:color="auto"/>
        <w:left w:val="none" w:sz="0" w:space="0" w:color="auto"/>
        <w:bottom w:val="none" w:sz="0" w:space="0" w:color="auto"/>
        <w:right w:val="none" w:sz="0" w:space="0" w:color="auto"/>
      </w:divBdr>
    </w:div>
    <w:div w:id="1450737055">
      <w:bodyDiv w:val="1"/>
      <w:marLeft w:val="0"/>
      <w:marRight w:val="0"/>
      <w:marTop w:val="0"/>
      <w:marBottom w:val="0"/>
      <w:divBdr>
        <w:top w:val="none" w:sz="0" w:space="0" w:color="auto"/>
        <w:left w:val="none" w:sz="0" w:space="0" w:color="auto"/>
        <w:bottom w:val="none" w:sz="0" w:space="0" w:color="auto"/>
        <w:right w:val="none" w:sz="0" w:space="0" w:color="auto"/>
      </w:divBdr>
    </w:div>
    <w:div w:id="1451893364">
      <w:bodyDiv w:val="1"/>
      <w:marLeft w:val="0"/>
      <w:marRight w:val="0"/>
      <w:marTop w:val="0"/>
      <w:marBottom w:val="0"/>
      <w:divBdr>
        <w:top w:val="none" w:sz="0" w:space="0" w:color="auto"/>
        <w:left w:val="none" w:sz="0" w:space="0" w:color="auto"/>
        <w:bottom w:val="none" w:sz="0" w:space="0" w:color="auto"/>
        <w:right w:val="none" w:sz="0" w:space="0" w:color="auto"/>
      </w:divBdr>
    </w:div>
    <w:div w:id="1453816552">
      <w:bodyDiv w:val="1"/>
      <w:marLeft w:val="0"/>
      <w:marRight w:val="0"/>
      <w:marTop w:val="0"/>
      <w:marBottom w:val="0"/>
      <w:divBdr>
        <w:top w:val="none" w:sz="0" w:space="0" w:color="auto"/>
        <w:left w:val="none" w:sz="0" w:space="0" w:color="auto"/>
        <w:bottom w:val="none" w:sz="0" w:space="0" w:color="auto"/>
        <w:right w:val="none" w:sz="0" w:space="0" w:color="auto"/>
      </w:divBdr>
    </w:div>
    <w:div w:id="1455250240">
      <w:bodyDiv w:val="1"/>
      <w:marLeft w:val="0"/>
      <w:marRight w:val="0"/>
      <w:marTop w:val="0"/>
      <w:marBottom w:val="0"/>
      <w:divBdr>
        <w:top w:val="none" w:sz="0" w:space="0" w:color="auto"/>
        <w:left w:val="none" w:sz="0" w:space="0" w:color="auto"/>
        <w:bottom w:val="none" w:sz="0" w:space="0" w:color="auto"/>
        <w:right w:val="none" w:sz="0" w:space="0" w:color="auto"/>
      </w:divBdr>
    </w:div>
    <w:div w:id="1455513560">
      <w:bodyDiv w:val="1"/>
      <w:marLeft w:val="0"/>
      <w:marRight w:val="0"/>
      <w:marTop w:val="0"/>
      <w:marBottom w:val="0"/>
      <w:divBdr>
        <w:top w:val="none" w:sz="0" w:space="0" w:color="auto"/>
        <w:left w:val="none" w:sz="0" w:space="0" w:color="auto"/>
        <w:bottom w:val="none" w:sz="0" w:space="0" w:color="auto"/>
        <w:right w:val="none" w:sz="0" w:space="0" w:color="auto"/>
      </w:divBdr>
    </w:div>
    <w:div w:id="1456174226">
      <w:bodyDiv w:val="1"/>
      <w:marLeft w:val="0"/>
      <w:marRight w:val="0"/>
      <w:marTop w:val="0"/>
      <w:marBottom w:val="0"/>
      <w:divBdr>
        <w:top w:val="none" w:sz="0" w:space="0" w:color="auto"/>
        <w:left w:val="none" w:sz="0" w:space="0" w:color="auto"/>
        <w:bottom w:val="none" w:sz="0" w:space="0" w:color="auto"/>
        <w:right w:val="none" w:sz="0" w:space="0" w:color="auto"/>
      </w:divBdr>
    </w:div>
    <w:div w:id="1458377767">
      <w:bodyDiv w:val="1"/>
      <w:marLeft w:val="0"/>
      <w:marRight w:val="0"/>
      <w:marTop w:val="0"/>
      <w:marBottom w:val="0"/>
      <w:divBdr>
        <w:top w:val="none" w:sz="0" w:space="0" w:color="auto"/>
        <w:left w:val="none" w:sz="0" w:space="0" w:color="auto"/>
        <w:bottom w:val="none" w:sz="0" w:space="0" w:color="auto"/>
        <w:right w:val="none" w:sz="0" w:space="0" w:color="auto"/>
      </w:divBdr>
    </w:div>
    <w:div w:id="1459834699">
      <w:bodyDiv w:val="1"/>
      <w:marLeft w:val="0"/>
      <w:marRight w:val="0"/>
      <w:marTop w:val="0"/>
      <w:marBottom w:val="0"/>
      <w:divBdr>
        <w:top w:val="none" w:sz="0" w:space="0" w:color="auto"/>
        <w:left w:val="none" w:sz="0" w:space="0" w:color="auto"/>
        <w:bottom w:val="none" w:sz="0" w:space="0" w:color="auto"/>
        <w:right w:val="none" w:sz="0" w:space="0" w:color="auto"/>
      </w:divBdr>
    </w:div>
    <w:div w:id="1460298685">
      <w:bodyDiv w:val="1"/>
      <w:marLeft w:val="0"/>
      <w:marRight w:val="0"/>
      <w:marTop w:val="0"/>
      <w:marBottom w:val="0"/>
      <w:divBdr>
        <w:top w:val="none" w:sz="0" w:space="0" w:color="auto"/>
        <w:left w:val="none" w:sz="0" w:space="0" w:color="auto"/>
        <w:bottom w:val="none" w:sz="0" w:space="0" w:color="auto"/>
        <w:right w:val="none" w:sz="0" w:space="0" w:color="auto"/>
      </w:divBdr>
    </w:div>
    <w:div w:id="1460605892">
      <w:bodyDiv w:val="1"/>
      <w:marLeft w:val="0"/>
      <w:marRight w:val="0"/>
      <w:marTop w:val="0"/>
      <w:marBottom w:val="0"/>
      <w:divBdr>
        <w:top w:val="none" w:sz="0" w:space="0" w:color="auto"/>
        <w:left w:val="none" w:sz="0" w:space="0" w:color="auto"/>
        <w:bottom w:val="none" w:sz="0" w:space="0" w:color="auto"/>
        <w:right w:val="none" w:sz="0" w:space="0" w:color="auto"/>
      </w:divBdr>
    </w:div>
    <w:div w:id="1464926517">
      <w:bodyDiv w:val="1"/>
      <w:marLeft w:val="0"/>
      <w:marRight w:val="0"/>
      <w:marTop w:val="0"/>
      <w:marBottom w:val="0"/>
      <w:divBdr>
        <w:top w:val="none" w:sz="0" w:space="0" w:color="auto"/>
        <w:left w:val="none" w:sz="0" w:space="0" w:color="auto"/>
        <w:bottom w:val="none" w:sz="0" w:space="0" w:color="auto"/>
        <w:right w:val="none" w:sz="0" w:space="0" w:color="auto"/>
      </w:divBdr>
    </w:div>
    <w:div w:id="1464932426">
      <w:bodyDiv w:val="1"/>
      <w:marLeft w:val="0"/>
      <w:marRight w:val="0"/>
      <w:marTop w:val="0"/>
      <w:marBottom w:val="0"/>
      <w:divBdr>
        <w:top w:val="none" w:sz="0" w:space="0" w:color="auto"/>
        <w:left w:val="none" w:sz="0" w:space="0" w:color="auto"/>
        <w:bottom w:val="none" w:sz="0" w:space="0" w:color="auto"/>
        <w:right w:val="none" w:sz="0" w:space="0" w:color="auto"/>
      </w:divBdr>
    </w:div>
    <w:div w:id="1466309138">
      <w:bodyDiv w:val="1"/>
      <w:marLeft w:val="0"/>
      <w:marRight w:val="0"/>
      <w:marTop w:val="0"/>
      <w:marBottom w:val="0"/>
      <w:divBdr>
        <w:top w:val="none" w:sz="0" w:space="0" w:color="auto"/>
        <w:left w:val="none" w:sz="0" w:space="0" w:color="auto"/>
        <w:bottom w:val="none" w:sz="0" w:space="0" w:color="auto"/>
        <w:right w:val="none" w:sz="0" w:space="0" w:color="auto"/>
      </w:divBdr>
    </w:div>
    <w:div w:id="1467697334">
      <w:bodyDiv w:val="1"/>
      <w:marLeft w:val="0"/>
      <w:marRight w:val="0"/>
      <w:marTop w:val="0"/>
      <w:marBottom w:val="0"/>
      <w:divBdr>
        <w:top w:val="none" w:sz="0" w:space="0" w:color="auto"/>
        <w:left w:val="none" w:sz="0" w:space="0" w:color="auto"/>
        <w:bottom w:val="none" w:sz="0" w:space="0" w:color="auto"/>
        <w:right w:val="none" w:sz="0" w:space="0" w:color="auto"/>
      </w:divBdr>
    </w:div>
    <w:div w:id="1468817358">
      <w:bodyDiv w:val="1"/>
      <w:marLeft w:val="0"/>
      <w:marRight w:val="0"/>
      <w:marTop w:val="0"/>
      <w:marBottom w:val="0"/>
      <w:divBdr>
        <w:top w:val="none" w:sz="0" w:space="0" w:color="auto"/>
        <w:left w:val="none" w:sz="0" w:space="0" w:color="auto"/>
        <w:bottom w:val="none" w:sz="0" w:space="0" w:color="auto"/>
        <w:right w:val="none" w:sz="0" w:space="0" w:color="auto"/>
      </w:divBdr>
    </w:div>
    <w:div w:id="1469711236">
      <w:bodyDiv w:val="1"/>
      <w:marLeft w:val="0"/>
      <w:marRight w:val="0"/>
      <w:marTop w:val="0"/>
      <w:marBottom w:val="0"/>
      <w:divBdr>
        <w:top w:val="none" w:sz="0" w:space="0" w:color="auto"/>
        <w:left w:val="none" w:sz="0" w:space="0" w:color="auto"/>
        <w:bottom w:val="none" w:sz="0" w:space="0" w:color="auto"/>
        <w:right w:val="none" w:sz="0" w:space="0" w:color="auto"/>
      </w:divBdr>
    </w:div>
    <w:div w:id="1470440925">
      <w:bodyDiv w:val="1"/>
      <w:marLeft w:val="0"/>
      <w:marRight w:val="0"/>
      <w:marTop w:val="0"/>
      <w:marBottom w:val="0"/>
      <w:divBdr>
        <w:top w:val="none" w:sz="0" w:space="0" w:color="auto"/>
        <w:left w:val="none" w:sz="0" w:space="0" w:color="auto"/>
        <w:bottom w:val="none" w:sz="0" w:space="0" w:color="auto"/>
        <w:right w:val="none" w:sz="0" w:space="0" w:color="auto"/>
      </w:divBdr>
    </w:div>
    <w:div w:id="1472015585">
      <w:bodyDiv w:val="1"/>
      <w:marLeft w:val="0"/>
      <w:marRight w:val="0"/>
      <w:marTop w:val="0"/>
      <w:marBottom w:val="0"/>
      <w:divBdr>
        <w:top w:val="none" w:sz="0" w:space="0" w:color="auto"/>
        <w:left w:val="none" w:sz="0" w:space="0" w:color="auto"/>
        <w:bottom w:val="none" w:sz="0" w:space="0" w:color="auto"/>
        <w:right w:val="none" w:sz="0" w:space="0" w:color="auto"/>
      </w:divBdr>
    </w:div>
    <w:div w:id="1475639077">
      <w:bodyDiv w:val="1"/>
      <w:marLeft w:val="0"/>
      <w:marRight w:val="0"/>
      <w:marTop w:val="0"/>
      <w:marBottom w:val="0"/>
      <w:divBdr>
        <w:top w:val="none" w:sz="0" w:space="0" w:color="auto"/>
        <w:left w:val="none" w:sz="0" w:space="0" w:color="auto"/>
        <w:bottom w:val="none" w:sz="0" w:space="0" w:color="auto"/>
        <w:right w:val="none" w:sz="0" w:space="0" w:color="auto"/>
      </w:divBdr>
    </w:div>
    <w:div w:id="1476218229">
      <w:bodyDiv w:val="1"/>
      <w:marLeft w:val="0"/>
      <w:marRight w:val="0"/>
      <w:marTop w:val="0"/>
      <w:marBottom w:val="0"/>
      <w:divBdr>
        <w:top w:val="none" w:sz="0" w:space="0" w:color="auto"/>
        <w:left w:val="none" w:sz="0" w:space="0" w:color="auto"/>
        <w:bottom w:val="none" w:sz="0" w:space="0" w:color="auto"/>
        <w:right w:val="none" w:sz="0" w:space="0" w:color="auto"/>
      </w:divBdr>
    </w:div>
    <w:div w:id="1477797599">
      <w:bodyDiv w:val="1"/>
      <w:marLeft w:val="0"/>
      <w:marRight w:val="0"/>
      <w:marTop w:val="0"/>
      <w:marBottom w:val="0"/>
      <w:divBdr>
        <w:top w:val="none" w:sz="0" w:space="0" w:color="auto"/>
        <w:left w:val="none" w:sz="0" w:space="0" w:color="auto"/>
        <w:bottom w:val="none" w:sz="0" w:space="0" w:color="auto"/>
        <w:right w:val="none" w:sz="0" w:space="0" w:color="auto"/>
      </w:divBdr>
    </w:div>
    <w:div w:id="1477799871">
      <w:bodyDiv w:val="1"/>
      <w:marLeft w:val="0"/>
      <w:marRight w:val="0"/>
      <w:marTop w:val="0"/>
      <w:marBottom w:val="0"/>
      <w:divBdr>
        <w:top w:val="none" w:sz="0" w:space="0" w:color="auto"/>
        <w:left w:val="none" w:sz="0" w:space="0" w:color="auto"/>
        <w:bottom w:val="none" w:sz="0" w:space="0" w:color="auto"/>
        <w:right w:val="none" w:sz="0" w:space="0" w:color="auto"/>
      </w:divBdr>
    </w:div>
    <w:div w:id="1478718363">
      <w:bodyDiv w:val="1"/>
      <w:marLeft w:val="0"/>
      <w:marRight w:val="0"/>
      <w:marTop w:val="0"/>
      <w:marBottom w:val="0"/>
      <w:divBdr>
        <w:top w:val="none" w:sz="0" w:space="0" w:color="auto"/>
        <w:left w:val="none" w:sz="0" w:space="0" w:color="auto"/>
        <w:bottom w:val="none" w:sz="0" w:space="0" w:color="auto"/>
        <w:right w:val="none" w:sz="0" w:space="0" w:color="auto"/>
      </w:divBdr>
    </w:div>
    <w:div w:id="1479221666">
      <w:bodyDiv w:val="1"/>
      <w:marLeft w:val="0"/>
      <w:marRight w:val="0"/>
      <w:marTop w:val="0"/>
      <w:marBottom w:val="0"/>
      <w:divBdr>
        <w:top w:val="none" w:sz="0" w:space="0" w:color="auto"/>
        <w:left w:val="none" w:sz="0" w:space="0" w:color="auto"/>
        <w:bottom w:val="none" w:sz="0" w:space="0" w:color="auto"/>
        <w:right w:val="none" w:sz="0" w:space="0" w:color="auto"/>
      </w:divBdr>
    </w:div>
    <w:div w:id="1479759931">
      <w:bodyDiv w:val="1"/>
      <w:marLeft w:val="0"/>
      <w:marRight w:val="0"/>
      <w:marTop w:val="0"/>
      <w:marBottom w:val="0"/>
      <w:divBdr>
        <w:top w:val="none" w:sz="0" w:space="0" w:color="auto"/>
        <w:left w:val="none" w:sz="0" w:space="0" w:color="auto"/>
        <w:bottom w:val="none" w:sz="0" w:space="0" w:color="auto"/>
        <w:right w:val="none" w:sz="0" w:space="0" w:color="auto"/>
      </w:divBdr>
    </w:div>
    <w:div w:id="1481114319">
      <w:bodyDiv w:val="1"/>
      <w:marLeft w:val="0"/>
      <w:marRight w:val="0"/>
      <w:marTop w:val="0"/>
      <w:marBottom w:val="0"/>
      <w:divBdr>
        <w:top w:val="none" w:sz="0" w:space="0" w:color="auto"/>
        <w:left w:val="none" w:sz="0" w:space="0" w:color="auto"/>
        <w:bottom w:val="none" w:sz="0" w:space="0" w:color="auto"/>
        <w:right w:val="none" w:sz="0" w:space="0" w:color="auto"/>
      </w:divBdr>
    </w:div>
    <w:div w:id="1484470282">
      <w:bodyDiv w:val="1"/>
      <w:marLeft w:val="0"/>
      <w:marRight w:val="0"/>
      <w:marTop w:val="0"/>
      <w:marBottom w:val="0"/>
      <w:divBdr>
        <w:top w:val="none" w:sz="0" w:space="0" w:color="auto"/>
        <w:left w:val="none" w:sz="0" w:space="0" w:color="auto"/>
        <w:bottom w:val="none" w:sz="0" w:space="0" w:color="auto"/>
        <w:right w:val="none" w:sz="0" w:space="0" w:color="auto"/>
      </w:divBdr>
    </w:div>
    <w:div w:id="1485928270">
      <w:bodyDiv w:val="1"/>
      <w:marLeft w:val="0"/>
      <w:marRight w:val="0"/>
      <w:marTop w:val="0"/>
      <w:marBottom w:val="0"/>
      <w:divBdr>
        <w:top w:val="none" w:sz="0" w:space="0" w:color="auto"/>
        <w:left w:val="none" w:sz="0" w:space="0" w:color="auto"/>
        <w:bottom w:val="none" w:sz="0" w:space="0" w:color="auto"/>
        <w:right w:val="none" w:sz="0" w:space="0" w:color="auto"/>
      </w:divBdr>
    </w:div>
    <w:div w:id="1486631788">
      <w:bodyDiv w:val="1"/>
      <w:marLeft w:val="0"/>
      <w:marRight w:val="0"/>
      <w:marTop w:val="0"/>
      <w:marBottom w:val="0"/>
      <w:divBdr>
        <w:top w:val="none" w:sz="0" w:space="0" w:color="auto"/>
        <w:left w:val="none" w:sz="0" w:space="0" w:color="auto"/>
        <w:bottom w:val="none" w:sz="0" w:space="0" w:color="auto"/>
        <w:right w:val="none" w:sz="0" w:space="0" w:color="auto"/>
      </w:divBdr>
    </w:div>
    <w:div w:id="1486893627">
      <w:bodyDiv w:val="1"/>
      <w:marLeft w:val="0"/>
      <w:marRight w:val="0"/>
      <w:marTop w:val="0"/>
      <w:marBottom w:val="0"/>
      <w:divBdr>
        <w:top w:val="none" w:sz="0" w:space="0" w:color="auto"/>
        <w:left w:val="none" w:sz="0" w:space="0" w:color="auto"/>
        <w:bottom w:val="none" w:sz="0" w:space="0" w:color="auto"/>
        <w:right w:val="none" w:sz="0" w:space="0" w:color="auto"/>
      </w:divBdr>
    </w:div>
    <w:div w:id="1487480009">
      <w:bodyDiv w:val="1"/>
      <w:marLeft w:val="0"/>
      <w:marRight w:val="0"/>
      <w:marTop w:val="0"/>
      <w:marBottom w:val="0"/>
      <w:divBdr>
        <w:top w:val="none" w:sz="0" w:space="0" w:color="auto"/>
        <w:left w:val="none" w:sz="0" w:space="0" w:color="auto"/>
        <w:bottom w:val="none" w:sz="0" w:space="0" w:color="auto"/>
        <w:right w:val="none" w:sz="0" w:space="0" w:color="auto"/>
      </w:divBdr>
    </w:div>
    <w:div w:id="1489663096">
      <w:bodyDiv w:val="1"/>
      <w:marLeft w:val="0"/>
      <w:marRight w:val="0"/>
      <w:marTop w:val="0"/>
      <w:marBottom w:val="0"/>
      <w:divBdr>
        <w:top w:val="none" w:sz="0" w:space="0" w:color="auto"/>
        <w:left w:val="none" w:sz="0" w:space="0" w:color="auto"/>
        <w:bottom w:val="none" w:sz="0" w:space="0" w:color="auto"/>
        <w:right w:val="none" w:sz="0" w:space="0" w:color="auto"/>
      </w:divBdr>
    </w:div>
    <w:div w:id="1490752603">
      <w:bodyDiv w:val="1"/>
      <w:marLeft w:val="0"/>
      <w:marRight w:val="0"/>
      <w:marTop w:val="0"/>
      <w:marBottom w:val="0"/>
      <w:divBdr>
        <w:top w:val="none" w:sz="0" w:space="0" w:color="auto"/>
        <w:left w:val="none" w:sz="0" w:space="0" w:color="auto"/>
        <w:bottom w:val="none" w:sz="0" w:space="0" w:color="auto"/>
        <w:right w:val="none" w:sz="0" w:space="0" w:color="auto"/>
      </w:divBdr>
    </w:div>
    <w:div w:id="1491285385">
      <w:bodyDiv w:val="1"/>
      <w:marLeft w:val="0"/>
      <w:marRight w:val="0"/>
      <w:marTop w:val="0"/>
      <w:marBottom w:val="0"/>
      <w:divBdr>
        <w:top w:val="none" w:sz="0" w:space="0" w:color="auto"/>
        <w:left w:val="none" w:sz="0" w:space="0" w:color="auto"/>
        <w:bottom w:val="none" w:sz="0" w:space="0" w:color="auto"/>
        <w:right w:val="none" w:sz="0" w:space="0" w:color="auto"/>
      </w:divBdr>
    </w:div>
    <w:div w:id="1494489056">
      <w:bodyDiv w:val="1"/>
      <w:marLeft w:val="0"/>
      <w:marRight w:val="0"/>
      <w:marTop w:val="0"/>
      <w:marBottom w:val="0"/>
      <w:divBdr>
        <w:top w:val="none" w:sz="0" w:space="0" w:color="auto"/>
        <w:left w:val="none" w:sz="0" w:space="0" w:color="auto"/>
        <w:bottom w:val="none" w:sz="0" w:space="0" w:color="auto"/>
        <w:right w:val="none" w:sz="0" w:space="0" w:color="auto"/>
      </w:divBdr>
    </w:div>
    <w:div w:id="1494569057">
      <w:bodyDiv w:val="1"/>
      <w:marLeft w:val="0"/>
      <w:marRight w:val="0"/>
      <w:marTop w:val="0"/>
      <w:marBottom w:val="0"/>
      <w:divBdr>
        <w:top w:val="none" w:sz="0" w:space="0" w:color="auto"/>
        <w:left w:val="none" w:sz="0" w:space="0" w:color="auto"/>
        <w:bottom w:val="none" w:sz="0" w:space="0" w:color="auto"/>
        <w:right w:val="none" w:sz="0" w:space="0" w:color="auto"/>
      </w:divBdr>
    </w:div>
    <w:div w:id="1494569181">
      <w:bodyDiv w:val="1"/>
      <w:marLeft w:val="0"/>
      <w:marRight w:val="0"/>
      <w:marTop w:val="0"/>
      <w:marBottom w:val="0"/>
      <w:divBdr>
        <w:top w:val="none" w:sz="0" w:space="0" w:color="auto"/>
        <w:left w:val="none" w:sz="0" w:space="0" w:color="auto"/>
        <w:bottom w:val="none" w:sz="0" w:space="0" w:color="auto"/>
        <w:right w:val="none" w:sz="0" w:space="0" w:color="auto"/>
      </w:divBdr>
    </w:div>
    <w:div w:id="1494831369">
      <w:bodyDiv w:val="1"/>
      <w:marLeft w:val="0"/>
      <w:marRight w:val="0"/>
      <w:marTop w:val="0"/>
      <w:marBottom w:val="0"/>
      <w:divBdr>
        <w:top w:val="none" w:sz="0" w:space="0" w:color="auto"/>
        <w:left w:val="none" w:sz="0" w:space="0" w:color="auto"/>
        <w:bottom w:val="none" w:sz="0" w:space="0" w:color="auto"/>
        <w:right w:val="none" w:sz="0" w:space="0" w:color="auto"/>
      </w:divBdr>
    </w:div>
    <w:div w:id="1495102677">
      <w:bodyDiv w:val="1"/>
      <w:marLeft w:val="0"/>
      <w:marRight w:val="0"/>
      <w:marTop w:val="0"/>
      <w:marBottom w:val="0"/>
      <w:divBdr>
        <w:top w:val="none" w:sz="0" w:space="0" w:color="auto"/>
        <w:left w:val="none" w:sz="0" w:space="0" w:color="auto"/>
        <w:bottom w:val="none" w:sz="0" w:space="0" w:color="auto"/>
        <w:right w:val="none" w:sz="0" w:space="0" w:color="auto"/>
      </w:divBdr>
    </w:div>
    <w:div w:id="1499885458">
      <w:bodyDiv w:val="1"/>
      <w:marLeft w:val="0"/>
      <w:marRight w:val="0"/>
      <w:marTop w:val="0"/>
      <w:marBottom w:val="0"/>
      <w:divBdr>
        <w:top w:val="none" w:sz="0" w:space="0" w:color="auto"/>
        <w:left w:val="none" w:sz="0" w:space="0" w:color="auto"/>
        <w:bottom w:val="none" w:sz="0" w:space="0" w:color="auto"/>
        <w:right w:val="none" w:sz="0" w:space="0" w:color="auto"/>
      </w:divBdr>
    </w:div>
    <w:div w:id="1500268840">
      <w:bodyDiv w:val="1"/>
      <w:marLeft w:val="0"/>
      <w:marRight w:val="0"/>
      <w:marTop w:val="0"/>
      <w:marBottom w:val="0"/>
      <w:divBdr>
        <w:top w:val="none" w:sz="0" w:space="0" w:color="auto"/>
        <w:left w:val="none" w:sz="0" w:space="0" w:color="auto"/>
        <w:bottom w:val="none" w:sz="0" w:space="0" w:color="auto"/>
        <w:right w:val="none" w:sz="0" w:space="0" w:color="auto"/>
      </w:divBdr>
    </w:div>
    <w:div w:id="1501239486">
      <w:bodyDiv w:val="1"/>
      <w:marLeft w:val="0"/>
      <w:marRight w:val="0"/>
      <w:marTop w:val="0"/>
      <w:marBottom w:val="0"/>
      <w:divBdr>
        <w:top w:val="none" w:sz="0" w:space="0" w:color="auto"/>
        <w:left w:val="none" w:sz="0" w:space="0" w:color="auto"/>
        <w:bottom w:val="none" w:sz="0" w:space="0" w:color="auto"/>
        <w:right w:val="none" w:sz="0" w:space="0" w:color="auto"/>
      </w:divBdr>
    </w:div>
    <w:div w:id="1502234714">
      <w:bodyDiv w:val="1"/>
      <w:marLeft w:val="0"/>
      <w:marRight w:val="0"/>
      <w:marTop w:val="0"/>
      <w:marBottom w:val="0"/>
      <w:divBdr>
        <w:top w:val="none" w:sz="0" w:space="0" w:color="auto"/>
        <w:left w:val="none" w:sz="0" w:space="0" w:color="auto"/>
        <w:bottom w:val="none" w:sz="0" w:space="0" w:color="auto"/>
        <w:right w:val="none" w:sz="0" w:space="0" w:color="auto"/>
      </w:divBdr>
    </w:div>
    <w:div w:id="1502239241">
      <w:bodyDiv w:val="1"/>
      <w:marLeft w:val="0"/>
      <w:marRight w:val="0"/>
      <w:marTop w:val="0"/>
      <w:marBottom w:val="0"/>
      <w:divBdr>
        <w:top w:val="none" w:sz="0" w:space="0" w:color="auto"/>
        <w:left w:val="none" w:sz="0" w:space="0" w:color="auto"/>
        <w:bottom w:val="none" w:sz="0" w:space="0" w:color="auto"/>
        <w:right w:val="none" w:sz="0" w:space="0" w:color="auto"/>
      </w:divBdr>
    </w:div>
    <w:div w:id="1503885379">
      <w:bodyDiv w:val="1"/>
      <w:marLeft w:val="0"/>
      <w:marRight w:val="0"/>
      <w:marTop w:val="0"/>
      <w:marBottom w:val="0"/>
      <w:divBdr>
        <w:top w:val="none" w:sz="0" w:space="0" w:color="auto"/>
        <w:left w:val="none" w:sz="0" w:space="0" w:color="auto"/>
        <w:bottom w:val="none" w:sz="0" w:space="0" w:color="auto"/>
        <w:right w:val="none" w:sz="0" w:space="0" w:color="auto"/>
      </w:divBdr>
    </w:div>
    <w:div w:id="1504124153">
      <w:bodyDiv w:val="1"/>
      <w:marLeft w:val="0"/>
      <w:marRight w:val="0"/>
      <w:marTop w:val="0"/>
      <w:marBottom w:val="0"/>
      <w:divBdr>
        <w:top w:val="none" w:sz="0" w:space="0" w:color="auto"/>
        <w:left w:val="none" w:sz="0" w:space="0" w:color="auto"/>
        <w:bottom w:val="none" w:sz="0" w:space="0" w:color="auto"/>
        <w:right w:val="none" w:sz="0" w:space="0" w:color="auto"/>
      </w:divBdr>
    </w:div>
    <w:div w:id="1506365388">
      <w:bodyDiv w:val="1"/>
      <w:marLeft w:val="0"/>
      <w:marRight w:val="0"/>
      <w:marTop w:val="0"/>
      <w:marBottom w:val="0"/>
      <w:divBdr>
        <w:top w:val="none" w:sz="0" w:space="0" w:color="auto"/>
        <w:left w:val="none" w:sz="0" w:space="0" w:color="auto"/>
        <w:bottom w:val="none" w:sz="0" w:space="0" w:color="auto"/>
        <w:right w:val="none" w:sz="0" w:space="0" w:color="auto"/>
      </w:divBdr>
    </w:div>
    <w:div w:id="1506507497">
      <w:bodyDiv w:val="1"/>
      <w:marLeft w:val="0"/>
      <w:marRight w:val="0"/>
      <w:marTop w:val="0"/>
      <w:marBottom w:val="0"/>
      <w:divBdr>
        <w:top w:val="none" w:sz="0" w:space="0" w:color="auto"/>
        <w:left w:val="none" w:sz="0" w:space="0" w:color="auto"/>
        <w:bottom w:val="none" w:sz="0" w:space="0" w:color="auto"/>
        <w:right w:val="none" w:sz="0" w:space="0" w:color="auto"/>
      </w:divBdr>
    </w:div>
    <w:div w:id="1506743949">
      <w:bodyDiv w:val="1"/>
      <w:marLeft w:val="0"/>
      <w:marRight w:val="0"/>
      <w:marTop w:val="0"/>
      <w:marBottom w:val="0"/>
      <w:divBdr>
        <w:top w:val="none" w:sz="0" w:space="0" w:color="auto"/>
        <w:left w:val="none" w:sz="0" w:space="0" w:color="auto"/>
        <w:bottom w:val="none" w:sz="0" w:space="0" w:color="auto"/>
        <w:right w:val="none" w:sz="0" w:space="0" w:color="auto"/>
      </w:divBdr>
    </w:div>
    <w:div w:id="1506745434">
      <w:bodyDiv w:val="1"/>
      <w:marLeft w:val="0"/>
      <w:marRight w:val="0"/>
      <w:marTop w:val="0"/>
      <w:marBottom w:val="0"/>
      <w:divBdr>
        <w:top w:val="none" w:sz="0" w:space="0" w:color="auto"/>
        <w:left w:val="none" w:sz="0" w:space="0" w:color="auto"/>
        <w:bottom w:val="none" w:sz="0" w:space="0" w:color="auto"/>
        <w:right w:val="none" w:sz="0" w:space="0" w:color="auto"/>
      </w:divBdr>
    </w:div>
    <w:div w:id="1507329374">
      <w:bodyDiv w:val="1"/>
      <w:marLeft w:val="0"/>
      <w:marRight w:val="0"/>
      <w:marTop w:val="0"/>
      <w:marBottom w:val="0"/>
      <w:divBdr>
        <w:top w:val="none" w:sz="0" w:space="0" w:color="auto"/>
        <w:left w:val="none" w:sz="0" w:space="0" w:color="auto"/>
        <w:bottom w:val="none" w:sz="0" w:space="0" w:color="auto"/>
        <w:right w:val="none" w:sz="0" w:space="0" w:color="auto"/>
      </w:divBdr>
    </w:div>
    <w:div w:id="1507597227">
      <w:bodyDiv w:val="1"/>
      <w:marLeft w:val="0"/>
      <w:marRight w:val="0"/>
      <w:marTop w:val="0"/>
      <w:marBottom w:val="0"/>
      <w:divBdr>
        <w:top w:val="none" w:sz="0" w:space="0" w:color="auto"/>
        <w:left w:val="none" w:sz="0" w:space="0" w:color="auto"/>
        <w:bottom w:val="none" w:sz="0" w:space="0" w:color="auto"/>
        <w:right w:val="none" w:sz="0" w:space="0" w:color="auto"/>
      </w:divBdr>
    </w:div>
    <w:div w:id="1508474293">
      <w:bodyDiv w:val="1"/>
      <w:marLeft w:val="0"/>
      <w:marRight w:val="0"/>
      <w:marTop w:val="0"/>
      <w:marBottom w:val="0"/>
      <w:divBdr>
        <w:top w:val="none" w:sz="0" w:space="0" w:color="auto"/>
        <w:left w:val="none" w:sz="0" w:space="0" w:color="auto"/>
        <w:bottom w:val="none" w:sz="0" w:space="0" w:color="auto"/>
        <w:right w:val="none" w:sz="0" w:space="0" w:color="auto"/>
      </w:divBdr>
    </w:div>
    <w:div w:id="1509100734">
      <w:bodyDiv w:val="1"/>
      <w:marLeft w:val="0"/>
      <w:marRight w:val="0"/>
      <w:marTop w:val="0"/>
      <w:marBottom w:val="0"/>
      <w:divBdr>
        <w:top w:val="none" w:sz="0" w:space="0" w:color="auto"/>
        <w:left w:val="none" w:sz="0" w:space="0" w:color="auto"/>
        <w:bottom w:val="none" w:sz="0" w:space="0" w:color="auto"/>
        <w:right w:val="none" w:sz="0" w:space="0" w:color="auto"/>
      </w:divBdr>
    </w:div>
    <w:div w:id="1509128117">
      <w:bodyDiv w:val="1"/>
      <w:marLeft w:val="0"/>
      <w:marRight w:val="0"/>
      <w:marTop w:val="0"/>
      <w:marBottom w:val="0"/>
      <w:divBdr>
        <w:top w:val="none" w:sz="0" w:space="0" w:color="auto"/>
        <w:left w:val="none" w:sz="0" w:space="0" w:color="auto"/>
        <w:bottom w:val="none" w:sz="0" w:space="0" w:color="auto"/>
        <w:right w:val="none" w:sz="0" w:space="0" w:color="auto"/>
      </w:divBdr>
    </w:div>
    <w:div w:id="1509325237">
      <w:bodyDiv w:val="1"/>
      <w:marLeft w:val="0"/>
      <w:marRight w:val="0"/>
      <w:marTop w:val="0"/>
      <w:marBottom w:val="0"/>
      <w:divBdr>
        <w:top w:val="none" w:sz="0" w:space="0" w:color="auto"/>
        <w:left w:val="none" w:sz="0" w:space="0" w:color="auto"/>
        <w:bottom w:val="none" w:sz="0" w:space="0" w:color="auto"/>
        <w:right w:val="none" w:sz="0" w:space="0" w:color="auto"/>
      </w:divBdr>
    </w:div>
    <w:div w:id="1512913110">
      <w:bodyDiv w:val="1"/>
      <w:marLeft w:val="0"/>
      <w:marRight w:val="0"/>
      <w:marTop w:val="0"/>
      <w:marBottom w:val="0"/>
      <w:divBdr>
        <w:top w:val="none" w:sz="0" w:space="0" w:color="auto"/>
        <w:left w:val="none" w:sz="0" w:space="0" w:color="auto"/>
        <w:bottom w:val="none" w:sz="0" w:space="0" w:color="auto"/>
        <w:right w:val="none" w:sz="0" w:space="0" w:color="auto"/>
      </w:divBdr>
    </w:div>
    <w:div w:id="1513954818">
      <w:bodyDiv w:val="1"/>
      <w:marLeft w:val="0"/>
      <w:marRight w:val="0"/>
      <w:marTop w:val="0"/>
      <w:marBottom w:val="0"/>
      <w:divBdr>
        <w:top w:val="none" w:sz="0" w:space="0" w:color="auto"/>
        <w:left w:val="none" w:sz="0" w:space="0" w:color="auto"/>
        <w:bottom w:val="none" w:sz="0" w:space="0" w:color="auto"/>
        <w:right w:val="none" w:sz="0" w:space="0" w:color="auto"/>
      </w:divBdr>
    </w:div>
    <w:div w:id="1514615146">
      <w:bodyDiv w:val="1"/>
      <w:marLeft w:val="0"/>
      <w:marRight w:val="0"/>
      <w:marTop w:val="0"/>
      <w:marBottom w:val="0"/>
      <w:divBdr>
        <w:top w:val="none" w:sz="0" w:space="0" w:color="auto"/>
        <w:left w:val="none" w:sz="0" w:space="0" w:color="auto"/>
        <w:bottom w:val="none" w:sz="0" w:space="0" w:color="auto"/>
        <w:right w:val="none" w:sz="0" w:space="0" w:color="auto"/>
      </w:divBdr>
    </w:div>
    <w:div w:id="1515806566">
      <w:bodyDiv w:val="1"/>
      <w:marLeft w:val="0"/>
      <w:marRight w:val="0"/>
      <w:marTop w:val="0"/>
      <w:marBottom w:val="0"/>
      <w:divBdr>
        <w:top w:val="none" w:sz="0" w:space="0" w:color="auto"/>
        <w:left w:val="none" w:sz="0" w:space="0" w:color="auto"/>
        <w:bottom w:val="none" w:sz="0" w:space="0" w:color="auto"/>
        <w:right w:val="none" w:sz="0" w:space="0" w:color="auto"/>
      </w:divBdr>
    </w:div>
    <w:div w:id="1516378771">
      <w:bodyDiv w:val="1"/>
      <w:marLeft w:val="0"/>
      <w:marRight w:val="0"/>
      <w:marTop w:val="0"/>
      <w:marBottom w:val="0"/>
      <w:divBdr>
        <w:top w:val="none" w:sz="0" w:space="0" w:color="auto"/>
        <w:left w:val="none" w:sz="0" w:space="0" w:color="auto"/>
        <w:bottom w:val="none" w:sz="0" w:space="0" w:color="auto"/>
        <w:right w:val="none" w:sz="0" w:space="0" w:color="auto"/>
      </w:divBdr>
    </w:div>
    <w:div w:id="1518152854">
      <w:bodyDiv w:val="1"/>
      <w:marLeft w:val="0"/>
      <w:marRight w:val="0"/>
      <w:marTop w:val="0"/>
      <w:marBottom w:val="0"/>
      <w:divBdr>
        <w:top w:val="none" w:sz="0" w:space="0" w:color="auto"/>
        <w:left w:val="none" w:sz="0" w:space="0" w:color="auto"/>
        <w:bottom w:val="none" w:sz="0" w:space="0" w:color="auto"/>
        <w:right w:val="none" w:sz="0" w:space="0" w:color="auto"/>
      </w:divBdr>
    </w:div>
    <w:div w:id="1519736470">
      <w:bodyDiv w:val="1"/>
      <w:marLeft w:val="0"/>
      <w:marRight w:val="0"/>
      <w:marTop w:val="0"/>
      <w:marBottom w:val="0"/>
      <w:divBdr>
        <w:top w:val="none" w:sz="0" w:space="0" w:color="auto"/>
        <w:left w:val="none" w:sz="0" w:space="0" w:color="auto"/>
        <w:bottom w:val="none" w:sz="0" w:space="0" w:color="auto"/>
        <w:right w:val="none" w:sz="0" w:space="0" w:color="auto"/>
      </w:divBdr>
    </w:div>
    <w:div w:id="1519931492">
      <w:bodyDiv w:val="1"/>
      <w:marLeft w:val="0"/>
      <w:marRight w:val="0"/>
      <w:marTop w:val="0"/>
      <w:marBottom w:val="0"/>
      <w:divBdr>
        <w:top w:val="none" w:sz="0" w:space="0" w:color="auto"/>
        <w:left w:val="none" w:sz="0" w:space="0" w:color="auto"/>
        <w:bottom w:val="none" w:sz="0" w:space="0" w:color="auto"/>
        <w:right w:val="none" w:sz="0" w:space="0" w:color="auto"/>
      </w:divBdr>
    </w:div>
    <w:div w:id="1520117073">
      <w:bodyDiv w:val="1"/>
      <w:marLeft w:val="0"/>
      <w:marRight w:val="0"/>
      <w:marTop w:val="0"/>
      <w:marBottom w:val="0"/>
      <w:divBdr>
        <w:top w:val="none" w:sz="0" w:space="0" w:color="auto"/>
        <w:left w:val="none" w:sz="0" w:space="0" w:color="auto"/>
        <w:bottom w:val="none" w:sz="0" w:space="0" w:color="auto"/>
        <w:right w:val="none" w:sz="0" w:space="0" w:color="auto"/>
      </w:divBdr>
    </w:div>
    <w:div w:id="1520270214">
      <w:bodyDiv w:val="1"/>
      <w:marLeft w:val="0"/>
      <w:marRight w:val="0"/>
      <w:marTop w:val="0"/>
      <w:marBottom w:val="0"/>
      <w:divBdr>
        <w:top w:val="none" w:sz="0" w:space="0" w:color="auto"/>
        <w:left w:val="none" w:sz="0" w:space="0" w:color="auto"/>
        <w:bottom w:val="none" w:sz="0" w:space="0" w:color="auto"/>
        <w:right w:val="none" w:sz="0" w:space="0" w:color="auto"/>
      </w:divBdr>
    </w:div>
    <w:div w:id="1522548496">
      <w:bodyDiv w:val="1"/>
      <w:marLeft w:val="0"/>
      <w:marRight w:val="0"/>
      <w:marTop w:val="0"/>
      <w:marBottom w:val="0"/>
      <w:divBdr>
        <w:top w:val="none" w:sz="0" w:space="0" w:color="auto"/>
        <w:left w:val="none" w:sz="0" w:space="0" w:color="auto"/>
        <w:bottom w:val="none" w:sz="0" w:space="0" w:color="auto"/>
        <w:right w:val="none" w:sz="0" w:space="0" w:color="auto"/>
      </w:divBdr>
    </w:div>
    <w:div w:id="1523278894">
      <w:bodyDiv w:val="1"/>
      <w:marLeft w:val="0"/>
      <w:marRight w:val="0"/>
      <w:marTop w:val="0"/>
      <w:marBottom w:val="0"/>
      <w:divBdr>
        <w:top w:val="none" w:sz="0" w:space="0" w:color="auto"/>
        <w:left w:val="none" w:sz="0" w:space="0" w:color="auto"/>
        <w:bottom w:val="none" w:sz="0" w:space="0" w:color="auto"/>
        <w:right w:val="none" w:sz="0" w:space="0" w:color="auto"/>
      </w:divBdr>
    </w:div>
    <w:div w:id="1523545635">
      <w:bodyDiv w:val="1"/>
      <w:marLeft w:val="0"/>
      <w:marRight w:val="0"/>
      <w:marTop w:val="0"/>
      <w:marBottom w:val="0"/>
      <w:divBdr>
        <w:top w:val="none" w:sz="0" w:space="0" w:color="auto"/>
        <w:left w:val="none" w:sz="0" w:space="0" w:color="auto"/>
        <w:bottom w:val="none" w:sz="0" w:space="0" w:color="auto"/>
        <w:right w:val="none" w:sz="0" w:space="0" w:color="auto"/>
      </w:divBdr>
    </w:div>
    <w:div w:id="1525099101">
      <w:bodyDiv w:val="1"/>
      <w:marLeft w:val="0"/>
      <w:marRight w:val="0"/>
      <w:marTop w:val="0"/>
      <w:marBottom w:val="0"/>
      <w:divBdr>
        <w:top w:val="none" w:sz="0" w:space="0" w:color="auto"/>
        <w:left w:val="none" w:sz="0" w:space="0" w:color="auto"/>
        <w:bottom w:val="none" w:sz="0" w:space="0" w:color="auto"/>
        <w:right w:val="none" w:sz="0" w:space="0" w:color="auto"/>
      </w:divBdr>
    </w:div>
    <w:div w:id="1525943226">
      <w:bodyDiv w:val="1"/>
      <w:marLeft w:val="0"/>
      <w:marRight w:val="0"/>
      <w:marTop w:val="0"/>
      <w:marBottom w:val="0"/>
      <w:divBdr>
        <w:top w:val="none" w:sz="0" w:space="0" w:color="auto"/>
        <w:left w:val="none" w:sz="0" w:space="0" w:color="auto"/>
        <w:bottom w:val="none" w:sz="0" w:space="0" w:color="auto"/>
        <w:right w:val="none" w:sz="0" w:space="0" w:color="auto"/>
      </w:divBdr>
    </w:div>
    <w:div w:id="1528986003">
      <w:bodyDiv w:val="1"/>
      <w:marLeft w:val="0"/>
      <w:marRight w:val="0"/>
      <w:marTop w:val="0"/>
      <w:marBottom w:val="0"/>
      <w:divBdr>
        <w:top w:val="none" w:sz="0" w:space="0" w:color="auto"/>
        <w:left w:val="none" w:sz="0" w:space="0" w:color="auto"/>
        <w:bottom w:val="none" w:sz="0" w:space="0" w:color="auto"/>
        <w:right w:val="none" w:sz="0" w:space="0" w:color="auto"/>
      </w:divBdr>
    </w:div>
    <w:div w:id="1530293136">
      <w:bodyDiv w:val="1"/>
      <w:marLeft w:val="0"/>
      <w:marRight w:val="0"/>
      <w:marTop w:val="0"/>
      <w:marBottom w:val="0"/>
      <w:divBdr>
        <w:top w:val="none" w:sz="0" w:space="0" w:color="auto"/>
        <w:left w:val="none" w:sz="0" w:space="0" w:color="auto"/>
        <w:bottom w:val="none" w:sz="0" w:space="0" w:color="auto"/>
        <w:right w:val="none" w:sz="0" w:space="0" w:color="auto"/>
      </w:divBdr>
    </w:div>
    <w:div w:id="1531646488">
      <w:bodyDiv w:val="1"/>
      <w:marLeft w:val="0"/>
      <w:marRight w:val="0"/>
      <w:marTop w:val="0"/>
      <w:marBottom w:val="0"/>
      <w:divBdr>
        <w:top w:val="none" w:sz="0" w:space="0" w:color="auto"/>
        <w:left w:val="none" w:sz="0" w:space="0" w:color="auto"/>
        <w:bottom w:val="none" w:sz="0" w:space="0" w:color="auto"/>
        <w:right w:val="none" w:sz="0" w:space="0" w:color="auto"/>
      </w:divBdr>
    </w:div>
    <w:div w:id="1532183448">
      <w:bodyDiv w:val="1"/>
      <w:marLeft w:val="0"/>
      <w:marRight w:val="0"/>
      <w:marTop w:val="0"/>
      <w:marBottom w:val="0"/>
      <w:divBdr>
        <w:top w:val="none" w:sz="0" w:space="0" w:color="auto"/>
        <w:left w:val="none" w:sz="0" w:space="0" w:color="auto"/>
        <w:bottom w:val="none" w:sz="0" w:space="0" w:color="auto"/>
        <w:right w:val="none" w:sz="0" w:space="0" w:color="auto"/>
      </w:divBdr>
    </w:div>
    <w:div w:id="1533225292">
      <w:bodyDiv w:val="1"/>
      <w:marLeft w:val="0"/>
      <w:marRight w:val="0"/>
      <w:marTop w:val="0"/>
      <w:marBottom w:val="0"/>
      <w:divBdr>
        <w:top w:val="none" w:sz="0" w:space="0" w:color="auto"/>
        <w:left w:val="none" w:sz="0" w:space="0" w:color="auto"/>
        <w:bottom w:val="none" w:sz="0" w:space="0" w:color="auto"/>
        <w:right w:val="none" w:sz="0" w:space="0" w:color="auto"/>
      </w:divBdr>
    </w:div>
    <w:div w:id="1534924967">
      <w:bodyDiv w:val="1"/>
      <w:marLeft w:val="0"/>
      <w:marRight w:val="0"/>
      <w:marTop w:val="0"/>
      <w:marBottom w:val="0"/>
      <w:divBdr>
        <w:top w:val="none" w:sz="0" w:space="0" w:color="auto"/>
        <w:left w:val="none" w:sz="0" w:space="0" w:color="auto"/>
        <w:bottom w:val="none" w:sz="0" w:space="0" w:color="auto"/>
        <w:right w:val="none" w:sz="0" w:space="0" w:color="auto"/>
      </w:divBdr>
    </w:div>
    <w:div w:id="1535192450">
      <w:bodyDiv w:val="1"/>
      <w:marLeft w:val="0"/>
      <w:marRight w:val="0"/>
      <w:marTop w:val="0"/>
      <w:marBottom w:val="0"/>
      <w:divBdr>
        <w:top w:val="none" w:sz="0" w:space="0" w:color="auto"/>
        <w:left w:val="none" w:sz="0" w:space="0" w:color="auto"/>
        <w:bottom w:val="none" w:sz="0" w:space="0" w:color="auto"/>
        <w:right w:val="none" w:sz="0" w:space="0" w:color="auto"/>
      </w:divBdr>
    </w:div>
    <w:div w:id="1537037948">
      <w:bodyDiv w:val="1"/>
      <w:marLeft w:val="0"/>
      <w:marRight w:val="0"/>
      <w:marTop w:val="0"/>
      <w:marBottom w:val="0"/>
      <w:divBdr>
        <w:top w:val="none" w:sz="0" w:space="0" w:color="auto"/>
        <w:left w:val="none" w:sz="0" w:space="0" w:color="auto"/>
        <w:bottom w:val="none" w:sz="0" w:space="0" w:color="auto"/>
        <w:right w:val="none" w:sz="0" w:space="0" w:color="auto"/>
      </w:divBdr>
    </w:div>
    <w:div w:id="1541866571">
      <w:bodyDiv w:val="1"/>
      <w:marLeft w:val="0"/>
      <w:marRight w:val="0"/>
      <w:marTop w:val="0"/>
      <w:marBottom w:val="0"/>
      <w:divBdr>
        <w:top w:val="none" w:sz="0" w:space="0" w:color="auto"/>
        <w:left w:val="none" w:sz="0" w:space="0" w:color="auto"/>
        <w:bottom w:val="none" w:sz="0" w:space="0" w:color="auto"/>
        <w:right w:val="none" w:sz="0" w:space="0" w:color="auto"/>
      </w:divBdr>
    </w:div>
    <w:div w:id="1542940999">
      <w:bodyDiv w:val="1"/>
      <w:marLeft w:val="0"/>
      <w:marRight w:val="0"/>
      <w:marTop w:val="0"/>
      <w:marBottom w:val="0"/>
      <w:divBdr>
        <w:top w:val="none" w:sz="0" w:space="0" w:color="auto"/>
        <w:left w:val="none" w:sz="0" w:space="0" w:color="auto"/>
        <w:bottom w:val="none" w:sz="0" w:space="0" w:color="auto"/>
        <w:right w:val="none" w:sz="0" w:space="0" w:color="auto"/>
      </w:divBdr>
    </w:div>
    <w:div w:id="1543133966">
      <w:bodyDiv w:val="1"/>
      <w:marLeft w:val="0"/>
      <w:marRight w:val="0"/>
      <w:marTop w:val="0"/>
      <w:marBottom w:val="0"/>
      <w:divBdr>
        <w:top w:val="none" w:sz="0" w:space="0" w:color="auto"/>
        <w:left w:val="none" w:sz="0" w:space="0" w:color="auto"/>
        <w:bottom w:val="none" w:sz="0" w:space="0" w:color="auto"/>
        <w:right w:val="none" w:sz="0" w:space="0" w:color="auto"/>
      </w:divBdr>
    </w:div>
    <w:div w:id="1544246565">
      <w:bodyDiv w:val="1"/>
      <w:marLeft w:val="0"/>
      <w:marRight w:val="0"/>
      <w:marTop w:val="0"/>
      <w:marBottom w:val="0"/>
      <w:divBdr>
        <w:top w:val="none" w:sz="0" w:space="0" w:color="auto"/>
        <w:left w:val="none" w:sz="0" w:space="0" w:color="auto"/>
        <w:bottom w:val="none" w:sz="0" w:space="0" w:color="auto"/>
        <w:right w:val="none" w:sz="0" w:space="0" w:color="auto"/>
      </w:divBdr>
    </w:div>
    <w:div w:id="1546989029">
      <w:bodyDiv w:val="1"/>
      <w:marLeft w:val="0"/>
      <w:marRight w:val="0"/>
      <w:marTop w:val="0"/>
      <w:marBottom w:val="0"/>
      <w:divBdr>
        <w:top w:val="none" w:sz="0" w:space="0" w:color="auto"/>
        <w:left w:val="none" w:sz="0" w:space="0" w:color="auto"/>
        <w:bottom w:val="none" w:sz="0" w:space="0" w:color="auto"/>
        <w:right w:val="none" w:sz="0" w:space="0" w:color="auto"/>
      </w:divBdr>
    </w:div>
    <w:div w:id="1548682945">
      <w:bodyDiv w:val="1"/>
      <w:marLeft w:val="0"/>
      <w:marRight w:val="0"/>
      <w:marTop w:val="0"/>
      <w:marBottom w:val="0"/>
      <w:divBdr>
        <w:top w:val="none" w:sz="0" w:space="0" w:color="auto"/>
        <w:left w:val="none" w:sz="0" w:space="0" w:color="auto"/>
        <w:bottom w:val="none" w:sz="0" w:space="0" w:color="auto"/>
        <w:right w:val="none" w:sz="0" w:space="0" w:color="auto"/>
      </w:divBdr>
    </w:div>
    <w:div w:id="1549033160">
      <w:bodyDiv w:val="1"/>
      <w:marLeft w:val="0"/>
      <w:marRight w:val="0"/>
      <w:marTop w:val="0"/>
      <w:marBottom w:val="0"/>
      <w:divBdr>
        <w:top w:val="none" w:sz="0" w:space="0" w:color="auto"/>
        <w:left w:val="none" w:sz="0" w:space="0" w:color="auto"/>
        <w:bottom w:val="none" w:sz="0" w:space="0" w:color="auto"/>
        <w:right w:val="none" w:sz="0" w:space="0" w:color="auto"/>
      </w:divBdr>
    </w:div>
    <w:div w:id="1549806070">
      <w:bodyDiv w:val="1"/>
      <w:marLeft w:val="0"/>
      <w:marRight w:val="0"/>
      <w:marTop w:val="0"/>
      <w:marBottom w:val="0"/>
      <w:divBdr>
        <w:top w:val="none" w:sz="0" w:space="0" w:color="auto"/>
        <w:left w:val="none" w:sz="0" w:space="0" w:color="auto"/>
        <w:bottom w:val="none" w:sz="0" w:space="0" w:color="auto"/>
        <w:right w:val="none" w:sz="0" w:space="0" w:color="auto"/>
      </w:divBdr>
    </w:div>
    <w:div w:id="1550334140">
      <w:bodyDiv w:val="1"/>
      <w:marLeft w:val="0"/>
      <w:marRight w:val="0"/>
      <w:marTop w:val="0"/>
      <w:marBottom w:val="0"/>
      <w:divBdr>
        <w:top w:val="none" w:sz="0" w:space="0" w:color="auto"/>
        <w:left w:val="none" w:sz="0" w:space="0" w:color="auto"/>
        <w:bottom w:val="none" w:sz="0" w:space="0" w:color="auto"/>
        <w:right w:val="none" w:sz="0" w:space="0" w:color="auto"/>
      </w:divBdr>
    </w:div>
    <w:div w:id="1551110041">
      <w:bodyDiv w:val="1"/>
      <w:marLeft w:val="0"/>
      <w:marRight w:val="0"/>
      <w:marTop w:val="0"/>
      <w:marBottom w:val="0"/>
      <w:divBdr>
        <w:top w:val="none" w:sz="0" w:space="0" w:color="auto"/>
        <w:left w:val="none" w:sz="0" w:space="0" w:color="auto"/>
        <w:bottom w:val="none" w:sz="0" w:space="0" w:color="auto"/>
        <w:right w:val="none" w:sz="0" w:space="0" w:color="auto"/>
      </w:divBdr>
    </w:div>
    <w:div w:id="1551763648">
      <w:bodyDiv w:val="1"/>
      <w:marLeft w:val="0"/>
      <w:marRight w:val="0"/>
      <w:marTop w:val="0"/>
      <w:marBottom w:val="0"/>
      <w:divBdr>
        <w:top w:val="none" w:sz="0" w:space="0" w:color="auto"/>
        <w:left w:val="none" w:sz="0" w:space="0" w:color="auto"/>
        <w:bottom w:val="none" w:sz="0" w:space="0" w:color="auto"/>
        <w:right w:val="none" w:sz="0" w:space="0" w:color="auto"/>
      </w:divBdr>
    </w:div>
    <w:div w:id="1553497922">
      <w:bodyDiv w:val="1"/>
      <w:marLeft w:val="0"/>
      <w:marRight w:val="0"/>
      <w:marTop w:val="0"/>
      <w:marBottom w:val="0"/>
      <w:divBdr>
        <w:top w:val="none" w:sz="0" w:space="0" w:color="auto"/>
        <w:left w:val="none" w:sz="0" w:space="0" w:color="auto"/>
        <w:bottom w:val="none" w:sz="0" w:space="0" w:color="auto"/>
        <w:right w:val="none" w:sz="0" w:space="0" w:color="auto"/>
      </w:divBdr>
    </w:div>
    <w:div w:id="1554777304">
      <w:bodyDiv w:val="1"/>
      <w:marLeft w:val="0"/>
      <w:marRight w:val="0"/>
      <w:marTop w:val="0"/>
      <w:marBottom w:val="0"/>
      <w:divBdr>
        <w:top w:val="none" w:sz="0" w:space="0" w:color="auto"/>
        <w:left w:val="none" w:sz="0" w:space="0" w:color="auto"/>
        <w:bottom w:val="none" w:sz="0" w:space="0" w:color="auto"/>
        <w:right w:val="none" w:sz="0" w:space="0" w:color="auto"/>
      </w:divBdr>
    </w:div>
    <w:div w:id="1554997694">
      <w:bodyDiv w:val="1"/>
      <w:marLeft w:val="0"/>
      <w:marRight w:val="0"/>
      <w:marTop w:val="0"/>
      <w:marBottom w:val="0"/>
      <w:divBdr>
        <w:top w:val="none" w:sz="0" w:space="0" w:color="auto"/>
        <w:left w:val="none" w:sz="0" w:space="0" w:color="auto"/>
        <w:bottom w:val="none" w:sz="0" w:space="0" w:color="auto"/>
        <w:right w:val="none" w:sz="0" w:space="0" w:color="auto"/>
      </w:divBdr>
    </w:div>
    <w:div w:id="1555502379">
      <w:bodyDiv w:val="1"/>
      <w:marLeft w:val="0"/>
      <w:marRight w:val="0"/>
      <w:marTop w:val="0"/>
      <w:marBottom w:val="0"/>
      <w:divBdr>
        <w:top w:val="none" w:sz="0" w:space="0" w:color="auto"/>
        <w:left w:val="none" w:sz="0" w:space="0" w:color="auto"/>
        <w:bottom w:val="none" w:sz="0" w:space="0" w:color="auto"/>
        <w:right w:val="none" w:sz="0" w:space="0" w:color="auto"/>
      </w:divBdr>
    </w:div>
    <w:div w:id="1557861811">
      <w:bodyDiv w:val="1"/>
      <w:marLeft w:val="0"/>
      <w:marRight w:val="0"/>
      <w:marTop w:val="0"/>
      <w:marBottom w:val="0"/>
      <w:divBdr>
        <w:top w:val="none" w:sz="0" w:space="0" w:color="auto"/>
        <w:left w:val="none" w:sz="0" w:space="0" w:color="auto"/>
        <w:bottom w:val="none" w:sz="0" w:space="0" w:color="auto"/>
        <w:right w:val="none" w:sz="0" w:space="0" w:color="auto"/>
      </w:divBdr>
    </w:div>
    <w:div w:id="1558659964">
      <w:bodyDiv w:val="1"/>
      <w:marLeft w:val="0"/>
      <w:marRight w:val="0"/>
      <w:marTop w:val="0"/>
      <w:marBottom w:val="0"/>
      <w:divBdr>
        <w:top w:val="none" w:sz="0" w:space="0" w:color="auto"/>
        <w:left w:val="none" w:sz="0" w:space="0" w:color="auto"/>
        <w:bottom w:val="none" w:sz="0" w:space="0" w:color="auto"/>
        <w:right w:val="none" w:sz="0" w:space="0" w:color="auto"/>
      </w:divBdr>
    </w:div>
    <w:div w:id="1559583697">
      <w:bodyDiv w:val="1"/>
      <w:marLeft w:val="0"/>
      <w:marRight w:val="0"/>
      <w:marTop w:val="0"/>
      <w:marBottom w:val="0"/>
      <w:divBdr>
        <w:top w:val="none" w:sz="0" w:space="0" w:color="auto"/>
        <w:left w:val="none" w:sz="0" w:space="0" w:color="auto"/>
        <w:bottom w:val="none" w:sz="0" w:space="0" w:color="auto"/>
        <w:right w:val="none" w:sz="0" w:space="0" w:color="auto"/>
      </w:divBdr>
    </w:div>
    <w:div w:id="1560022218">
      <w:bodyDiv w:val="1"/>
      <w:marLeft w:val="0"/>
      <w:marRight w:val="0"/>
      <w:marTop w:val="0"/>
      <w:marBottom w:val="0"/>
      <w:divBdr>
        <w:top w:val="none" w:sz="0" w:space="0" w:color="auto"/>
        <w:left w:val="none" w:sz="0" w:space="0" w:color="auto"/>
        <w:bottom w:val="none" w:sz="0" w:space="0" w:color="auto"/>
        <w:right w:val="none" w:sz="0" w:space="0" w:color="auto"/>
      </w:divBdr>
    </w:div>
    <w:div w:id="1562910011">
      <w:bodyDiv w:val="1"/>
      <w:marLeft w:val="0"/>
      <w:marRight w:val="0"/>
      <w:marTop w:val="0"/>
      <w:marBottom w:val="0"/>
      <w:divBdr>
        <w:top w:val="none" w:sz="0" w:space="0" w:color="auto"/>
        <w:left w:val="none" w:sz="0" w:space="0" w:color="auto"/>
        <w:bottom w:val="none" w:sz="0" w:space="0" w:color="auto"/>
        <w:right w:val="none" w:sz="0" w:space="0" w:color="auto"/>
      </w:divBdr>
    </w:div>
    <w:div w:id="1564557308">
      <w:bodyDiv w:val="1"/>
      <w:marLeft w:val="0"/>
      <w:marRight w:val="0"/>
      <w:marTop w:val="0"/>
      <w:marBottom w:val="0"/>
      <w:divBdr>
        <w:top w:val="none" w:sz="0" w:space="0" w:color="auto"/>
        <w:left w:val="none" w:sz="0" w:space="0" w:color="auto"/>
        <w:bottom w:val="none" w:sz="0" w:space="0" w:color="auto"/>
        <w:right w:val="none" w:sz="0" w:space="0" w:color="auto"/>
      </w:divBdr>
    </w:div>
    <w:div w:id="1564832553">
      <w:bodyDiv w:val="1"/>
      <w:marLeft w:val="0"/>
      <w:marRight w:val="0"/>
      <w:marTop w:val="0"/>
      <w:marBottom w:val="0"/>
      <w:divBdr>
        <w:top w:val="none" w:sz="0" w:space="0" w:color="auto"/>
        <w:left w:val="none" w:sz="0" w:space="0" w:color="auto"/>
        <w:bottom w:val="none" w:sz="0" w:space="0" w:color="auto"/>
        <w:right w:val="none" w:sz="0" w:space="0" w:color="auto"/>
      </w:divBdr>
    </w:div>
    <w:div w:id="1565598793">
      <w:bodyDiv w:val="1"/>
      <w:marLeft w:val="0"/>
      <w:marRight w:val="0"/>
      <w:marTop w:val="0"/>
      <w:marBottom w:val="0"/>
      <w:divBdr>
        <w:top w:val="none" w:sz="0" w:space="0" w:color="auto"/>
        <w:left w:val="none" w:sz="0" w:space="0" w:color="auto"/>
        <w:bottom w:val="none" w:sz="0" w:space="0" w:color="auto"/>
        <w:right w:val="none" w:sz="0" w:space="0" w:color="auto"/>
      </w:divBdr>
    </w:div>
    <w:div w:id="1565753127">
      <w:bodyDiv w:val="1"/>
      <w:marLeft w:val="0"/>
      <w:marRight w:val="0"/>
      <w:marTop w:val="0"/>
      <w:marBottom w:val="0"/>
      <w:divBdr>
        <w:top w:val="none" w:sz="0" w:space="0" w:color="auto"/>
        <w:left w:val="none" w:sz="0" w:space="0" w:color="auto"/>
        <w:bottom w:val="none" w:sz="0" w:space="0" w:color="auto"/>
        <w:right w:val="none" w:sz="0" w:space="0" w:color="auto"/>
      </w:divBdr>
    </w:div>
    <w:div w:id="1567298849">
      <w:bodyDiv w:val="1"/>
      <w:marLeft w:val="0"/>
      <w:marRight w:val="0"/>
      <w:marTop w:val="0"/>
      <w:marBottom w:val="0"/>
      <w:divBdr>
        <w:top w:val="none" w:sz="0" w:space="0" w:color="auto"/>
        <w:left w:val="none" w:sz="0" w:space="0" w:color="auto"/>
        <w:bottom w:val="none" w:sz="0" w:space="0" w:color="auto"/>
        <w:right w:val="none" w:sz="0" w:space="0" w:color="auto"/>
      </w:divBdr>
    </w:div>
    <w:div w:id="1567915590">
      <w:bodyDiv w:val="1"/>
      <w:marLeft w:val="0"/>
      <w:marRight w:val="0"/>
      <w:marTop w:val="0"/>
      <w:marBottom w:val="0"/>
      <w:divBdr>
        <w:top w:val="none" w:sz="0" w:space="0" w:color="auto"/>
        <w:left w:val="none" w:sz="0" w:space="0" w:color="auto"/>
        <w:bottom w:val="none" w:sz="0" w:space="0" w:color="auto"/>
        <w:right w:val="none" w:sz="0" w:space="0" w:color="auto"/>
      </w:divBdr>
    </w:div>
    <w:div w:id="1569270317">
      <w:bodyDiv w:val="1"/>
      <w:marLeft w:val="0"/>
      <w:marRight w:val="0"/>
      <w:marTop w:val="0"/>
      <w:marBottom w:val="0"/>
      <w:divBdr>
        <w:top w:val="none" w:sz="0" w:space="0" w:color="auto"/>
        <w:left w:val="none" w:sz="0" w:space="0" w:color="auto"/>
        <w:bottom w:val="none" w:sz="0" w:space="0" w:color="auto"/>
        <w:right w:val="none" w:sz="0" w:space="0" w:color="auto"/>
      </w:divBdr>
    </w:div>
    <w:div w:id="1569530991">
      <w:bodyDiv w:val="1"/>
      <w:marLeft w:val="0"/>
      <w:marRight w:val="0"/>
      <w:marTop w:val="0"/>
      <w:marBottom w:val="0"/>
      <w:divBdr>
        <w:top w:val="none" w:sz="0" w:space="0" w:color="auto"/>
        <w:left w:val="none" w:sz="0" w:space="0" w:color="auto"/>
        <w:bottom w:val="none" w:sz="0" w:space="0" w:color="auto"/>
        <w:right w:val="none" w:sz="0" w:space="0" w:color="auto"/>
      </w:divBdr>
    </w:div>
    <w:div w:id="1569730560">
      <w:bodyDiv w:val="1"/>
      <w:marLeft w:val="0"/>
      <w:marRight w:val="0"/>
      <w:marTop w:val="0"/>
      <w:marBottom w:val="0"/>
      <w:divBdr>
        <w:top w:val="none" w:sz="0" w:space="0" w:color="auto"/>
        <w:left w:val="none" w:sz="0" w:space="0" w:color="auto"/>
        <w:bottom w:val="none" w:sz="0" w:space="0" w:color="auto"/>
        <w:right w:val="none" w:sz="0" w:space="0" w:color="auto"/>
      </w:divBdr>
    </w:div>
    <w:div w:id="1570535716">
      <w:bodyDiv w:val="1"/>
      <w:marLeft w:val="0"/>
      <w:marRight w:val="0"/>
      <w:marTop w:val="0"/>
      <w:marBottom w:val="0"/>
      <w:divBdr>
        <w:top w:val="none" w:sz="0" w:space="0" w:color="auto"/>
        <w:left w:val="none" w:sz="0" w:space="0" w:color="auto"/>
        <w:bottom w:val="none" w:sz="0" w:space="0" w:color="auto"/>
        <w:right w:val="none" w:sz="0" w:space="0" w:color="auto"/>
      </w:divBdr>
    </w:div>
    <w:div w:id="1571041516">
      <w:bodyDiv w:val="1"/>
      <w:marLeft w:val="0"/>
      <w:marRight w:val="0"/>
      <w:marTop w:val="0"/>
      <w:marBottom w:val="0"/>
      <w:divBdr>
        <w:top w:val="none" w:sz="0" w:space="0" w:color="auto"/>
        <w:left w:val="none" w:sz="0" w:space="0" w:color="auto"/>
        <w:bottom w:val="none" w:sz="0" w:space="0" w:color="auto"/>
        <w:right w:val="none" w:sz="0" w:space="0" w:color="auto"/>
      </w:divBdr>
    </w:div>
    <w:div w:id="1571842869">
      <w:bodyDiv w:val="1"/>
      <w:marLeft w:val="0"/>
      <w:marRight w:val="0"/>
      <w:marTop w:val="0"/>
      <w:marBottom w:val="0"/>
      <w:divBdr>
        <w:top w:val="none" w:sz="0" w:space="0" w:color="auto"/>
        <w:left w:val="none" w:sz="0" w:space="0" w:color="auto"/>
        <w:bottom w:val="none" w:sz="0" w:space="0" w:color="auto"/>
        <w:right w:val="none" w:sz="0" w:space="0" w:color="auto"/>
      </w:divBdr>
    </w:div>
    <w:div w:id="1572033982">
      <w:bodyDiv w:val="1"/>
      <w:marLeft w:val="0"/>
      <w:marRight w:val="0"/>
      <w:marTop w:val="0"/>
      <w:marBottom w:val="0"/>
      <w:divBdr>
        <w:top w:val="none" w:sz="0" w:space="0" w:color="auto"/>
        <w:left w:val="none" w:sz="0" w:space="0" w:color="auto"/>
        <w:bottom w:val="none" w:sz="0" w:space="0" w:color="auto"/>
        <w:right w:val="none" w:sz="0" w:space="0" w:color="auto"/>
      </w:divBdr>
    </w:div>
    <w:div w:id="1572809047">
      <w:bodyDiv w:val="1"/>
      <w:marLeft w:val="0"/>
      <w:marRight w:val="0"/>
      <w:marTop w:val="0"/>
      <w:marBottom w:val="0"/>
      <w:divBdr>
        <w:top w:val="none" w:sz="0" w:space="0" w:color="auto"/>
        <w:left w:val="none" w:sz="0" w:space="0" w:color="auto"/>
        <w:bottom w:val="none" w:sz="0" w:space="0" w:color="auto"/>
        <w:right w:val="none" w:sz="0" w:space="0" w:color="auto"/>
      </w:divBdr>
    </w:div>
    <w:div w:id="1573346924">
      <w:bodyDiv w:val="1"/>
      <w:marLeft w:val="0"/>
      <w:marRight w:val="0"/>
      <w:marTop w:val="0"/>
      <w:marBottom w:val="0"/>
      <w:divBdr>
        <w:top w:val="none" w:sz="0" w:space="0" w:color="auto"/>
        <w:left w:val="none" w:sz="0" w:space="0" w:color="auto"/>
        <w:bottom w:val="none" w:sz="0" w:space="0" w:color="auto"/>
        <w:right w:val="none" w:sz="0" w:space="0" w:color="auto"/>
      </w:divBdr>
    </w:div>
    <w:div w:id="1573463270">
      <w:bodyDiv w:val="1"/>
      <w:marLeft w:val="0"/>
      <w:marRight w:val="0"/>
      <w:marTop w:val="0"/>
      <w:marBottom w:val="0"/>
      <w:divBdr>
        <w:top w:val="none" w:sz="0" w:space="0" w:color="auto"/>
        <w:left w:val="none" w:sz="0" w:space="0" w:color="auto"/>
        <w:bottom w:val="none" w:sz="0" w:space="0" w:color="auto"/>
        <w:right w:val="none" w:sz="0" w:space="0" w:color="auto"/>
      </w:divBdr>
    </w:div>
    <w:div w:id="1574315020">
      <w:bodyDiv w:val="1"/>
      <w:marLeft w:val="0"/>
      <w:marRight w:val="0"/>
      <w:marTop w:val="0"/>
      <w:marBottom w:val="0"/>
      <w:divBdr>
        <w:top w:val="none" w:sz="0" w:space="0" w:color="auto"/>
        <w:left w:val="none" w:sz="0" w:space="0" w:color="auto"/>
        <w:bottom w:val="none" w:sz="0" w:space="0" w:color="auto"/>
        <w:right w:val="none" w:sz="0" w:space="0" w:color="auto"/>
      </w:divBdr>
    </w:div>
    <w:div w:id="1574315836">
      <w:bodyDiv w:val="1"/>
      <w:marLeft w:val="0"/>
      <w:marRight w:val="0"/>
      <w:marTop w:val="0"/>
      <w:marBottom w:val="0"/>
      <w:divBdr>
        <w:top w:val="none" w:sz="0" w:space="0" w:color="auto"/>
        <w:left w:val="none" w:sz="0" w:space="0" w:color="auto"/>
        <w:bottom w:val="none" w:sz="0" w:space="0" w:color="auto"/>
        <w:right w:val="none" w:sz="0" w:space="0" w:color="auto"/>
      </w:divBdr>
    </w:div>
    <w:div w:id="1575041210">
      <w:bodyDiv w:val="1"/>
      <w:marLeft w:val="0"/>
      <w:marRight w:val="0"/>
      <w:marTop w:val="0"/>
      <w:marBottom w:val="0"/>
      <w:divBdr>
        <w:top w:val="none" w:sz="0" w:space="0" w:color="auto"/>
        <w:left w:val="none" w:sz="0" w:space="0" w:color="auto"/>
        <w:bottom w:val="none" w:sz="0" w:space="0" w:color="auto"/>
        <w:right w:val="none" w:sz="0" w:space="0" w:color="auto"/>
      </w:divBdr>
    </w:div>
    <w:div w:id="1576279041">
      <w:bodyDiv w:val="1"/>
      <w:marLeft w:val="0"/>
      <w:marRight w:val="0"/>
      <w:marTop w:val="0"/>
      <w:marBottom w:val="0"/>
      <w:divBdr>
        <w:top w:val="none" w:sz="0" w:space="0" w:color="auto"/>
        <w:left w:val="none" w:sz="0" w:space="0" w:color="auto"/>
        <w:bottom w:val="none" w:sz="0" w:space="0" w:color="auto"/>
        <w:right w:val="none" w:sz="0" w:space="0" w:color="auto"/>
      </w:divBdr>
    </w:div>
    <w:div w:id="1577351822">
      <w:bodyDiv w:val="1"/>
      <w:marLeft w:val="0"/>
      <w:marRight w:val="0"/>
      <w:marTop w:val="0"/>
      <w:marBottom w:val="0"/>
      <w:divBdr>
        <w:top w:val="none" w:sz="0" w:space="0" w:color="auto"/>
        <w:left w:val="none" w:sz="0" w:space="0" w:color="auto"/>
        <w:bottom w:val="none" w:sz="0" w:space="0" w:color="auto"/>
        <w:right w:val="none" w:sz="0" w:space="0" w:color="auto"/>
      </w:divBdr>
    </w:div>
    <w:div w:id="1577518159">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79290642">
      <w:bodyDiv w:val="1"/>
      <w:marLeft w:val="0"/>
      <w:marRight w:val="0"/>
      <w:marTop w:val="0"/>
      <w:marBottom w:val="0"/>
      <w:divBdr>
        <w:top w:val="none" w:sz="0" w:space="0" w:color="auto"/>
        <w:left w:val="none" w:sz="0" w:space="0" w:color="auto"/>
        <w:bottom w:val="none" w:sz="0" w:space="0" w:color="auto"/>
        <w:right w:val="none" w:sz="0" w:space="0" w:color="auto"/>
      </w:divBdr>
    </w:div>
    <w:div w:id="1582253981">
      <w:bodyDiv w:val="1"/>
      <w:marLeft w:val="0"/>
      <w:marRight w:val="0"/>
      <w:marTop w:val="0"/>
      <w:marBottom w:val="0"/>
      <w:divBdr>
        <w:top w:val="none" w:sz="0" w:space="0" w:color="auto"/>
        <w:left w:val="none" w:sz="0" w:space="0" w:color="auto"/>
        <w:bottom w:val="none" w:sz="0" w:space="0" w:color="auto"/>
        <w:right w:val="none" w:sz="0" w:space="0" w:color="auto"/>
      </w:divBdr>
    </w:div>
    <w:div w:id="1584875071">
      <w:bodyDiv w:val="1"/>
      <w:marLeft w:val="0"/>
      <w:marRight w:val="0"/>
      <w:marTop w:val="0"/>
      <w:marBottom w:val="0"/>
      <w:divBdr>
        <w:top w:val="none" w:sz="0" w:space="0" w:color="auto"/>
        <w:left w:val="none" w:sz="0" w:space="0" w:color="auto"/>
        <w:bottom w:val="none" w:sz="0" w:space="0" w:color="auto"/>
        <w:right w:val="none" w:sz="0" w:space="0" w:color="auto"/>
      </w:divBdr>
    </w:div>
    <w:div w:id="1586181272">
      <w:bodyDiv w:val="1"/>
      <w:marLeft w:val="0"/>
      <w:marRight w:val="0"/>
      <w:marTop w:val="0"/>
      <w:marBottom w:val="0"/>
      <w:divBdr>
        <w:top w:val="none" w:sz="0" w:space="0" w:color="auto"/>
        <w:left w:val="none" w:sz="0" w:space="0" w:color="auto"/>
        <w:bottom w:val="none" w:sz="0" w:space="0" w:color="auto"/>
        <w:right w:val="none" w:sz="0" w:space="0" w:color="auto"/>
      </w:divBdr>
    </w:div>
    <w:div w:id="1586261484">
      <w:bodyDiv w:val="1"/>
      <w:marLeft w:val="0"/>
      <w:marRight w:val="0"/>
      <w:marTop w:val="0"/>
      <w:marBottom w:val="0"/>
      <w:divBdr>
        <w:top w:val="none" w:sz="0" w:space="0" w:color="auto"/>
        <w:left w:val="none" w:sz="0" w:space="0" w:color="auto"/>
        <w:bottom w:val="none" w:sz="0" w:space="0" w:color="auto"/>
        <w:right w:val="none" w:sz="0" w:space="0" w:color="auto"/>
      </w:divBdr>
    </w:div>
    <w:div w:id="1586380073">
      <w:bodyDiv w:val="1"/>
      <w:marLeft w:val="0"/>
      <w:marRight w:val="0"/>
      <w:marTop w:val="0"/>
      <w:marBottom w:val="0"/>
      <w:divBdr>
        <w:top w:val="none" w:sz="0" w:space="0" w:color="auto"/>
        <w:left w:val="none" w:sz="0" w:space="0" w:color="auto"/>
        <w:bottom w:val="none" w:sz="0" w:space="0" w:color="auto"/>
        <w:right w:val="none" w:sz="0" w:space="0" w:color="auto"/>
      </w:divBdr>
    </w:div>
    <w:div w:id="1590625192">
      <w:bodyDiv w:val="1"/>
      <w:marLeft w:val="0"/>
      <w:marRight w:val="0"/>
      <w:marTop w:val="0"/>
      <w:marBottom w:val="0"/>
      <w:divBdr>
        <w:top w:val="none" w:sz="0" w:space="0" w:color="auto"/>
        <w:left w:val="none" w:sz="0" w:space="0" w:color="auto"/>
        <w:bottom w:val="none" w:sz="0" w:space="0" w:color="auto"/>
        <w:right w:val="none" w:sz="0" w:space="0" w:color="auto"/>
      </w:divBdr>
    </w:div>
    <w:div w:id="1591499048">
      <w:bodyDiv w:val="1"/>
      <w:marLeft w:val="0"/>
      <w:marRight w:val="0"/>
      <w:marTop w:val="0"/>
      <w:marBottom w:val="0"/>
      <w:divBdr>
        <w:top w:val="none" w:sz="0" w:space="0" w:color="auto"/>
        <w:left w:val="none" w:sz="0" w:space="0" w:color="auto"/>
        <w:bottom w:val="none" w:sz="0" w:space="0" w:color="auto"/>
        <w:right w:val="none" w:sz="0" w:space="0" w:color="auto"/>
      </w:divBdr>
    </w:div>
    <w:div w:id="1592396101">
      <w:bodyDiv w:val="1"/>
      <w:marLeft w:val="0"/>
      <w:marRight w:val="0"/>
      <w:marTop w:val="0"/>
      <w:marBottom w:val="0"/>
      <w:divBdr>
        <w:top w:val="none" w:sz="0" w:space="0" w:color="auto"/>
        <w:left w:val="none" w:sz="0" w:space="0" w:color="auto"/>
        <w:bottom w:val="none" w:sz="0" w:space="0" w:color="auto"/>
        <w:right w:val="none" w:sz="0" w:space="0" w:color="auto"/>
      </w:divBdr>
    </w:div>
    <w:div w:id="1592860369">
      <w:bodyDiv w:val="1"/>
      <w:marLeft w:val="0"/>
      <w:marRight w:val="0"/>
      <w:marTop w:val="0"/>
      <w:marBottom w:val="0"/>
      <w:divBdr>
        <w:top w:val="none" w:sz="0" w:space="0" w:color="auto"/>
        <w:left w:val="none" w:sz="0" w:space="0" w:color="auto"/>
        <w:bottom w:val="none" w:sz="0" w:space="0" w:color="auto"/>
        <w:right w:val="none" w:sz="0" w:space="0" w:color="auto"/>
      </w:divBdr>
    </w:div>
    <w:div w:id="1593197864">
      <w:bodyDiv w:val="1"/>
      <w:marLeft w:val="0"/>
      <w:marRight w:val="0"/>
      <w:marTop w:val="0"/>
      <w:marBottom w:val="0"/>
      <w:divBdr>
        <w:top w:val="none" w:sz="0" w:space="0" w:color="auto"/>
        <w:left w:val="none" w:sz="0" w:space="0" w:color="auto"/>
        <w:bottom w:val="none" w:sz="0" w:space="0" w:color="auto"/>
        <w:right w:val="none" w:sz="0" w:space="0" w:color="auto"/>
      </w:divBdr>
    </w:div>
    <w:div w:id="1593318130">
      <w:bodyDiv w:val="1"/>
      <w:marLeft w:val="0"/>
      <w:marRight w:val="0"/>
      <w:marTop w:val="0"/>
      <w:marBottom w:val="0"/>
      <w:divBdr>
        <w:top w:val="none" w:sz="0" w:space="0" w:color="auto"/>
        <w:left w:val="none" w:sz="0" w:space="0" w:color="auto"/>
        <w:bottom w:val="none" w:sz="0" w:space="0" w:color="auto"/>
        <w:right w:val="none" w:sz="0" w:space="0" w:color="auto"/>
      </w:divBdr>
    </w:div>
    <w:div w:id="1594825493">
      <w:bodyDiv w:val="1"/>
      <w:marLeft w:val="0"/>
      <w:marRight w:val="0"/>
      <w:marTop w:val="0"/>
      <w:marBottom w:val="0"/>
      <w:divBdr>
        <w:top w:val="none" w:sz="0" w:space="0" w:color="auto"/>
        <w:left w:val="none" w:sz="0" w:space="0" w:color="auto"/>
        <w:bottom w:val="none" w:sz="0" w:space="0" w:color="auto"/>
        <w:right w:val="none" w:sz="0" w:space="0" w:color="auto"/>
      </w:divBdr>
    </w:div>
    <w:div w:id="1595283115">
      <w:bodyDiv w:val="1"/>
      <w:marLeft w:val="0"/>
      <w:marRight w:val="0"/>
      <w:marTop w:val="0"/>
      <w:marBottom w:val="0"/>
      <w:divBdr>
        <w:top w:val="none" w:sz="0" w:space="0" w:color="auto"/>
        <w:left w:val="none" w:sz="0" w:space="0" w:color="auto"/>
        <w:bottom w:val="none" w:sz="0" w:space="0" w:color="auto"/>
        <w:right w:val="none" w:sz="0" w:space="0" w:color="auto"/>
      </w:divBdr>
    </w:div>
    <w:div w:id="1595816740">
      <w:bodyDiv w:val="1"/>
      <w:marLeft w:val="0"/>
      <w:marRight w:val="0"/>
      <w:marTop w:val="0"/>
      <w:marBottom w:val="0"/>
      <w:divBdr>
        <w:top w:val="none" w:sz="0" w:space="0" w:color="auto"/>
        <w:left w:val="none" w:sz="0" w:space="0" w:color="auto"/>
        <w:bottom w:val="none" w:sz="0" w:space="0" w:color="auto"/>
        <w:right w:val="none" w:sz="0" w:space="0" w:color="auto"/>
      </w:divBdr>
    </w:div>
    <w:div w:id="1596088999">
      <w:bodyDiv w:val="1"/>
      <w:marLeft w:val="0"/>
      <w:marRight w:val="0"/>
      <w:marTop w:val="0"/>
      <w:marBottom w:val="0"/>
      <w:divBdr>
        <w:top w:val="none" w:sz="0" w:space="0" w:color="auto"/>
        <w:left w:val="none" w:sz="0" w:space="0" w:color="auto"/>
        <w:bottom w:val="none" w:sz="0" w:space="0" w:color="auto"/>
        <w:right w:val="none" w:sz="0" w:space="0" w:color="auto"/>
      </w:divBdr>
    </w:div>
    <w:div w:id="1598050992">
      <w:bodyDiv w:val="1"/>
      <w:marLeft w:val="0"/>
      <w:marRight w:val="0"/>
      <w:marTop w:val="0"/>
      <w:marBottom w:val="0"/>
      <w:divBdr>
        <w:top w:val="none" w:sz="0" w:space="0" w:color="auto"/>
        <w:left w:val="none" w:sz="0" w:space="0" w:color="auto"/>
        <w:bottom w:val="none" w:sz="0" w:space="0" w:color="auto"/>
        <w:right w:val="none" w:sz="0" w:space="0" w:color="auto"/>
      </w:divBdr>
    </w:div>
    <w:div w:id="1598248561">
      <w:bodyDiv w:val="1"/>
      <w:marLeft w:val="0"/>
      <w:marRight w:val="0"/>
      <w:marTop w:val="0"/>
      <w:marBottom w:val="0"/>
      <w:divBdr>
        <w:top w:val="none" w:sz="0" w:space="0" w:color="auto"/>
        <w:left w:val="none" w:sz="0" w:space="0" w:color="auto"/>
        <w:bottom w:val="none" w:sz="0" w:space="0" w:color="auto"/>
        <w:right w:val="none" w:sz="0" w:space="0" w:color="auto"/>
      </w:divBdr>
    </w:div>
    <w:div w:id="1598293868">
      <w:bodyDiv w:val="1"/>
      <w:marLeft w:val="0"/>
      <w:marRight w:val="0"/>
      <w:marTop w:val="0"/>
      <w:marBottom w:val="0"/>
      <w:divBdr>
        <w:top w:val="none" w:sz="0" w:space="0" w:color="auto"/>
        <w:left w:val="none" w:sz="0" w:space="0" w:color="auto"/>
        <w:bottom w:val="none" w:sz="0" w:space="0" w:color="auto"/>
        <w:right w:val="none" w:sz="0" w:space="0" w:color="auto"/>
      </w:divBdr>
    </w:div>
    <w:div w:id="1599097545">
      <w:bodyDiv w:val="1"/>
      <w:marLeft w:val="0"/>
      <w:marRight w:val="0"/>
      <w:marTop w:val="0"/>
      <w:marBottom w:val="0"/>
      <w:divBdr>
        <w:top w:val="none" w:sz="0" w:space="0" w:color="auto"/>
        <w:left w:val="none" w:sz="0" w:space="0" w:color="auto"/>
        <w:bottom w:val="none" w:sz="0" w:space="0" w:color="auto"/>
        <w:right w:val="none" w:sz="0" w:space="0" w:color="auto"/>
      </w:divBdr>
    </w:div>
    <w:div w:id="1599480716">
      <w:bodyDiv w:val="1"/>
      <w:marLeft w:val="0"/>
      <w:marRight w:val="0"/>
      <w:marTop w:val="0"/>
      <w:marBottom w:val="0"/>
      <w:divBdr>
        <w:top w:val="none" w:sz="0" w:space="0" w:color="auto"/>
        <w:left w:val="none" w:sz="0" w:space="0" w:color="auto"/>
        <w:bottom w:val="none" w:sz="0" w:space="0" w:color="auto"/>
        <w:right w:val="none" w:sz="0" w:space="0" w:color="auto"/>
      </w:divBdr>
    </w:div>
    <w:div w:id="1603798406">
      <w:bodyDiv w:val="1"/>
      <w:marLeft w:val="0"/>
      <w:marRight w:val="0"/>
      <w:marTop w:val="0"/>
      <w:marBottom w:val="0"/>
      <w:divBdr>
        <w:top w:val="none" w:sz="0" w:space="0" w:color="auto"/>
        <w:left w:val="none" w:sz="0" w:space="0" w:color="auto"/>
        <w:bottom w:val="none" w:sz="0" w:space="0" w:color="auto"/>
        <w:right w:val="none" w:sz="0" w:space="0" w:color="auto"/>
      </w:divBdr>
    </w:div>
    <w:div w:id="1607078495">
      <w:bodyDiv w:val="1"/>
      <w:marLeft w:val="0"/>
      <w:marRight w:val="0"/>
      <w:marTop w:val="0"/>
      <w:marBottom w:val="0"/>
      <w:divBdr>
        <w:top w:val="none" w:sz="0" w:space="0" w:color="auto"/>
        <w:left w:val="none" w:sz="0" w:space="0" w:color="auto"/>
        <w:bottom w:val="none" w:sz="0" w:space="0" w:color="auto"/>
        <w:right w:val="none" w:sz="0" w:space="0" w:color="auto"/>
      </w:divBdr>
    </w:div>
    <w:div w:id="1607999737">
      <w:bodyDiv w:val="1"/>
      <w:marLeft w:val="0"/>
      <w:marRight w:val="0"/>
      <w:marTop w:val="0"/>
      <w:marBottom w:val="0"/>
      <w:divBdr>
        <w:top w:val="none" w:sz="0" w:space="0" w:color="auto"/>
        <w:left w:val="none" w:sz="0" w:space="0" w:color="auto"/>
        <w:bottom w:val="none" w:sz="0" w:space="0" w:color="auto"/>
        <w:right w:val="none" w:sz="0" w:space="0" w:color="auto"/>
      </w:divBdr>
    </w:div>
    <w:div w:id="1609005954">
      <w:bodyDiv w:val="1"/>
      <w:marLeft w:val="0"/>
      <w:marRight w:val="0"/>
      <w:marTop w:val="0"/>
      <w:marBottom w:val="0"/>
      <w:divBdr>
        <w:top w:val="none" w:sz="0" w:space="0" w:color="auto"/>
        <w:left w:val="none" w:sz="0" w:space="0" w:color="auto"/>
        <w:bottom w:val="none" w:sz="0" w:space="0" w:color="auto"/>
        <w:right w:val="none" w:sz="0" w:space="0" w:color="auto"/>
      </w:divBdr>
    </w:div>
    <w:div w:id="1609197237">
      <w:bodyDiv w:val="1"/>
      <w:marLeft w:val="0"/>
      <w:marRight w:val="0"/>
      <w:marTop w:val="0"/>
      <w:marBottom w:val="0"/>
      <w:divBdr>
        <w:top w:val="none" w:sz="0" w:space="0" w:color="auto"/>
        <w:left w:val="none" w:sz="0" w:space="0" w:color="auto"/>
        <w:bottom w:val="none" w:sz="0" w:space="0" w:color="auto"/>
        <w:right w:val="none" w:sz="0" w:space="0" w:color="auto"/>
      </w:divBdr>
    </w:div>
    <w:div w:id="1609317057">
      <w:bodyDiv w:val="1"/>
      <w:marLeft w:val="0"/>
      <w:marRight w:val="0"/>
      <w:marTop w:val="0"/>
      <w:marBottom w:val="0"/>
      <w:divBdr>
        <w:top w:val="none" w:sz="0" w:space="0" w:color="auto"/>
        <w:left w:val="none" w:sz="0" w:space="0" w:color="auto"/>
        <w:bottom w:val="none" w:sz="0" w:space="0" w:color="auto"/>
        <w:right w:val="none" w:sz="0" w:space="0" w:color="auto"/>
      </w:divBdr>
    </w:div>
    <w:div w:id="1610309508">
      <w:bodyDiv w:val="1"/>
      <w:marLeft w:val="0"/>
      <w:marRight w:val="0"/>
      <w:marTop w:val="0"/>
      <w:marBottom w:val="0"/>
      <w:divBdr>
        <w:top w:val="none" w:sz="0" w:space="0" w:color="auto"/>
        <w:left w:val="none" w:sz="0" w:space="0" w:color="auto"/>
        <w:bottom w:val="none" w:sz="0" w:space="0" w:color="auto"/>
        <w:right w:val="none" w:sz="0" w:space="0" w:color="auto"/>
      </w:divBdr>
    </w:div>
    <w:div w:id="1612130112">
      <w:bodyDiv w:val="1"/>
      <w:marLeft w:val="0"/>
      <w:marRight w:val="0"/>
      <w:marTop w:val="0"/>
      <w:marBottom w:val="0"/>
      <w:divBdr>
        <w:top w:val="none" w:sz="0" w:space="0" w:color="auto"/>
        <w:left w:val="none" w:sz="0" w:space="0" w:color="auto"/>
        <w:bottom w:val="none" w:sz="0" w:space="0" w:color="auto"/>
        <w:right w:val="none" w:sz="0" w:space="0" w:color="auto"/>
      </w:divBdr>
    </w:div>
    <w:div w:id="1615282746">
      <w:bodyDiv w:val="1"/>
      <w:marLeft w:val="0"/>
      <w:marRight w:val="0"/>
      <w:marTop w:val="0"/>
      <w:marBottom w:val="0"/>
      <w:divBdr>
        <w:top w:val="none" w:sz="0" w:space="0" w:color="auto"/>
        <w:left w:val="none" w:sz="0" w:space="0" w:color="auto"/>
        <w:bottom w:val="none" w:sz="0" w:space="0" w:color="auto"/>
        <w:right w:val="none" w:sz="0" w:space="0" w:color="auto"/>
      </w:divBdr>
    </w:div>
    <w:div w:id="1616642956">
      <w:bodyDiv w:val="1"/>
      <w:marLeft w:val="0"/>
      <w:marRight w:val="0"/>
      <w:marTop w:val="0"/>
      <w:marBottom w:val="0"/>
      <w:divBdr>
        <w:top w:val="none" w:sz="0" w:space="0" w:color="auto"/>
        <w:left w:val="none" w:sz="0" w:space="0" w:color="auto"/>
        <w:bottom w:val="none" w:sz="0" w:space="0" w:color="auto"/>
        <w:right w:val="none" w:sz="0" w:space="0" w:color="auto"/>
      </w:divBdr>
    </w:div>
    <w:div w:id="1618558726">
      <w:bodyDiv w:val="1"/>
      <w:marLeft w:val="0"/>
      <w:marRight w:val="0"/>
      <w:marTop w:val="0"/>
      <w:marBottom w:val="0"/>
      <w:divBdr>
        <w:top w:val="none" w:sz="0" w:space="0" w:color="auto"/>
        <w:left w:val="none" w:sz="0" w:space="0" w:color="auto"/>
        <w:bottom w:val="none" w:sz="0" w:space="0" w:color="auto"/>
        <w:right w:val="none" w:sz="0" w:space="0" w:color="auto"/>
      </w:divBdr>
    </w:div>
    <w:div w:id="1619023030">
      <w:bodyDiv w:val="1"/>
      <w:marLeft w:val="0"/>
      <w:marRight w:val="0"/>
      <w:marTop w:val="0"/>
      <w:marBottom w:val="0"/>
      <w:divBdr>
        <w:top w:val="none" w:sz="0" w:space="0" w:color="auto"/>
        <w:left w:val="none" w:sz="0" w:space="0" w:color="auto"/>
        <w:bottom w:val="none" w:sz="0" w:space="0" w:color="auto"/>
        <w:right w:val="none" w:sz="0" w:space="0" w:color="auto"/>
      </w:divBdr>
    </w:div>
    <w:div w:id="1620183974">
      <w:bodyDiv w:val="1"/>
      <w:marLeft w:val="0"/>
      <w:marRight w:val="0"/>
      <w:marTop w:val="0"/>
      <w:marBottom w:val="0"/>
      <w:divBdr>
        <w:top w:val="none" w:sz="0" w:space="0" w:color="auto"/>
        <w:left w:val="none" w:sz="0" w:space="0" w:color="auto"/>
        <w:bottom w:val="none" w:sz="0" w:space="0" w:color="auto"/>
        <w:right w:val="none" w:sz="0" w:space="0" w:color="auto"/>
      </w:divBdr>
    </w:div>
    <w:div w:id="1626081530">
      <w:bodyDiv w:val="1"/>
      <w:marLeft w:val="0"/>
      <w:marRight w:val="0"/>
      <w:marTop w:val="0"/>
      <w:marBottom w:val="0"/>
      <w:divBdr>
        <w:top w:val="none" w:sz="0" w:space="0" w:color="auto"/>
        <w:left w:val="none" w:sz="0" w:space="0" w:color="auto"/>
        <w:bottom w:val="none" w:sz="0" w:space="0" w:color="auto"/>
        <w:right w:val="none" w:sz="0" w:space="0" w:color="auto"/>
      </w:divBdr>
    </w:div>
    <w:div w:id="1626690377">
      <w:bodyDiv w:val="1"/>
      <w:marLeft w:val="0"/>
      <w:marRight w:val="0"/>
      <w:marTop w:val="0"/>
      <w:marBottom w:val="0"/>
      <w:divBdr>
        <w:top w:val="none" w:sz="0" w:space="0" w:color="auto"/>
        <w:left w:val="none" w:sz="0" w:space="0" w:color="auto"/>
        <w:bottom w:val="none" w:sz="0" w:space="0" w:color="auto"/>
        <w:right w:val="none" w:sz="0" w:space="0" w:color="auto"/>
      </w:divBdr>
    </w:div>
    <w:div w:id="1626810137">
      <w:bodyDiv w:val="1"/>
      <w:marLeft w:val="0"/>
      <w:marRight w:val="0"/>
      <w:marTop w:val="0"/>
      <w:marBottom w:val="0"/>
      <w:divBdr>
        <w:top w:val="none" w:sz="0" w:space="0" w:color="auto"/>
        <w:left w:val="none" w:sz="0" w:space="0" w:color="auto"/>
        <w:bottom w:val="none" w:sz="0" w:space="0" w:color="auto"/>
        <w:right w:val="none" w:sz="0" w:space="0" w:color="auto"/>
      </w:divBdr>
    </w:div>
    <w:div w:id="1627464283">
      <w:bodyDiv w:val="1"/>
      <w:marLeft w:val="0"/>
      <w:marRight w:val="0"/>
      <w:marTop w:val="0"/>
      <w:marBottom w:val="0"/>
      <w:divBdr>
        <w:top w:val="none" w:sz="0" w:space="0" w:color="auto"/>
        <w:left w:val="none" w:sz="0" w:space="0" w:color="auto"/>
        <w:bottom w:val="none" w:sz="0" w:space="0" w:color="auto"/>
        <w:right w:val="none" w:sz="0" w:space="0" w:color="auto"/>
      </w:divBdr>
    </w:div>
    <w:div w:id="1629047678">
      <w:bodyDiv w:val="1"/>
      <w:marLeft w:val="0"/>
      <w:marRight w:val="0"/>
      <w:marTop w:val="0"/>
      <w:marBottom w:val="0"/>
      <w:divBdr>
        <w:top w:val="none" w:sz="0" w:space="0" w:color="auto"/>
        <w:left w:val="none" w:sz="0" w:space="0" w:color="auto"/>
        <w:bottom w:val="none" w:sz="0" w:space="0" w:color="auto"/>
        <w:right w:val="none" w:sz="0" w:space="0" w:color="auto"/>
      </w:divBdr>
    </w:div>
    <w:div w:id="1630357070">
      <w:bodyDiv w:val="1"/>
      <w:marLeft w:val="0"/>
      <w:marRight w:val="0"/>
      <w:marTop w:val="0"/>
      <w:marBottom w:val="0"/>
      <w:divBdr>
        <w:top w:val="none" w:sz="0" w:space="0" w:color="auto"/>
        <w:left w:val="none" w:sz="0" w:space="0" w:color="auto"/>
        <w:bottom w:val="none" w:sz="0" w:space="0" w:color="auto"/>
        <w:right w:val="none" w:sz="0" w:space="0" w:color="auto"/>
      </w:divBdr>
    </w:div>
    <w:div w:id="1631545594">
      <w:bodyDiv w:val="1"/>
      <w:marLeft w:val="0"/>
      <w:marRight w:val="0"/>
      <w:marTop w:val="0"/>
      <w:marBottom w:val="0"/>
      <w:divBdr>
        <w:top w:val="none" w:sz="0" w:space="0" w:color="auto"/>
        <w:left w:val="none" w:sz="0" w:space="0" w:color="auto"/>
        <w:bottom w:val="none" w:sz="0" w:space="0" w:color="auto"/>
        <w:right w:val="none" w:sz="0" w:space="0" w:color="auto"/>
      </w:divBdr>
    </w:div>
    <w:div w:id="1631935611">
      <w:bodyDiv w:val="1"/>
      <w:marLeft w:val="0"/>
      <w:marRight w:val="0"/>
      <w:marTop w:val="0"/>
      <w:marBottom w:val="0"/>
      <w:divBdr>
        <w:top w:val="none" w:sz="0" w:space="0" w:color="auto"/>
        <w:left w:val="none" w:sz="0" w:space="0" w:color="auto"/>
        <w:bottom w:val="none" w:sz="0" w:space="0" w:color="auto"/>
        <w:right w:val="none" w:sz="0" w:space="0" w:color="auto"/>
      </w:divBdr>
    </w:div>
    <w:div w:id="1632055637">
      <w:bodyDiv w:val="1"/>
      <w:marLeft w:val="0"/>
      <w:marRight w:val="0"/>
      <w:marTop w:val="0"/>
      <w:marBottom w:val="0"/>
      <w:divBdr>
        <w:top w:val="none" w:sz="0" w:space="0" w:color="auto"/>
        <w:left w:val="none" w:sz="0" w:space="0" w:color="auto"/>
        <w:bottom w:val="none" w:sz="0" w:space="0" w:color="auto"/>
        <w:right w:val="none" w:sz="0" w:space="0" w:color="auto"/>
      </w:divBdr>
    </w:div>
    <w:div w:id="1632708995">
      <w:bodyDiv w:val="1"/>
      <w:marLeft w:val="0"/>
      <w:marRight w:val="0"/>
      <w:marTop w:val="0"/>
      <w:marBottom w:val="0"/>
      <w:divBdr>
        <w:top w:val="none" w:sz="0" w:space="0" w:color="auto"/>
        <w:left w:val="none" w:sz="0" w:space="0" w:color="auto"/>
        <w:bottom w:val="none" w:sz="0" w:space="0" w:color="auto"/>
        <w:right w:val="none" w:sz="0" w:space="0" w:color="auto"/>
      </w:divBdr>
    </w:div>
    <w:div w:id="1633442035">
      <w:bodyDiv w:val="1"/>
      <w:marLeft w:val="0"/>
      <w:marRight w:val="0"/>
      <w:marTop w:val="0"/>
      <w:marBottom w:val="0"/>
      <w:divBdr>
        <w:top w:val="none" w:sz="0" w:space="0" w:color="auto"/>
        <w:left w:val="none" w:sz="0" w:space="0" w:color="auto"/>
        <w:bottom w:val="none" w:sz="0" w:space="0" w:color="auto"/>
        <w:right w:val="none" w:sz="0" w:space="0" w:color="auto"/>
      </w:divBdr>
    </w:div>
    <w:div w:id="1634365386">
      <w:bodyDiv w:val="1"/>
      <w:marLeft w:val="0"/>
      <w:marRight w:val="0"/>
      <w:marTop w:val="0"/>
      <w:marBottom w:val="0"/>
      <w:divBdr>
        <w:top w:val="none" w:sz="0" w:space="0" w:color="auto"/>
        <w:left w:val="none" w:sz="0" w:space="0" w:color="auto"/>
        <w:bottom w:val="none" w:sz="0" w:space="0" w:color="auto"/>
        <w:right w:val="none" w:sz="0" w:space="0" w:color="auto"/>
      </w:divBdr>
    </w:div>
    <w:div w:id="1636252331">
      <w:bodyDiv w:val="1"/>
      <w:marLeft w:val="0"/>
      <w:marRight w:val="0"/>
      <w:marTop w:val="0"/>
      <w:marBottom w:val="0"/>
      <w:divBdr>
        <w:top w:val="none" w:sz="0" w:space="0" w:color="auto"/>
        <w:left w:val="none" w:sz="0" w:space="0" w:color="auto"/>
        <w:bottom w:val="none" w:sz="0" w:space="0" w:color="auto"/>
        <w:right w:val="none" w:sz="0" w:space="0" w:color="auto"/>
      </w:divBdr>
    </w:div>
    <w:div w:id="1637761158">
      <w:bodyDiv w:val="1"/>
      <w:marLeft w:val="0"/>
      <w:marRight w:val="0"/>
      <w:marTop w:val="0"/>
      <w:marBottom w:val="0"/>
      <w:divBdr>
        <w:top w:val="none" w:sz="0" w:space="0" w:color="auto"/>
        <w:left w:val="none" w:sz="0" w:space="0" w:color="auto"/>
        <w:bottom w:val="none" w:sz="0" w:space="0" w:color="auto"/>
        <w:right w:val="none" w:sz="0" w:space="0" w:color="auto"/>
      </w:divBdr>
    </w:div>
    <w:div w:id="1638028802">
      <w:bodyDiv w:val="1"/>
      <w:marLeft w:val="0"/>
      <w:marRight w:val="0"/>
      <w:marTop w:val="0"/>
      <w:marBottom w:val="0"/>
      <w:divBdr>
        <w:top w:val="none" w:sz="0" w:space="0" w:color="auto"/>
        <w:left w:val="none" w:sz="0" w:space="0" w:color="auto"/>
        <w:bottom w:val="none" w:sz="0" w:space="0" w:color="auto"/>
        <w:right w:val="none" w:sz="0" w:space="0" w:color="auto"/>
      </w:divBdr>
    </w:div>
    <w:div w:id="1638678229">
      <w:bodyDiv w:val="1"/>
      <w:marLeft w:val="0"/>
      <w:marRight w:val="0"/>
      <w:marTop w:val="0"/>
      <w:marBottom w:val="0"/>
      <w:divBdr>
        <w:top w:val="none" w:sz="0" w:space="0" w:color="auto"/>
        <w:left w:val="none" w:sz="0" w:space="0" w:color="auto"/>
        <w:bottom w:val="none" w:sz="0" w:space="0" w:color="auto"/>
        <w:right w:val="none" w:sz="0" w:space="0" w:color="auto"/>
      </w:divBdr>
    </w:div>
    <w:div w:id="1638796311">
      <w:bodyDiv w:val="1"/>
      <w:marLeft w:val="0"/>
      <w:marRight w:val="0"/>
      <w:marTop w:val="0"/>
      <w:marBottom w:val="0"/>
      <w:divBdr>
        <w:top w:val="none" w:sz="0" w:space="0" w:color="auto"/>
        <w:left w:val="none" w:sz="0" w:space="0" w:color="auto"/>
        <w:bottom w:val="none" w:sz="0" w:space="0" w:color="auto"/>
        <w:right w:val="none" w:sz="0" w:space="0" w:color="auto"/>
      </w:divBdr>
    </w:div>
    <w:div w:id="1638948196">
      <w:bodyDiv w:val="1"/>
      <w:marLeft w:val="0"/>
      <w:marRight w:val="0"/>
      <w:marTop w:val="0"/>
      <w:marBottom w:val="0"/>
      <w:divBdr>
        <w:top w:val="none" w:sz="0" w:space="0" w:color="auto"/>
        <w:left w:val="none" w:sz="0" w:space="0" w:color="auto"/>
        <w:bottom w:val="none" w:sz="0" w:space="0" w:color="auto"/>
        <w:right w:val="none" w:sz="0" w:space="0" w:color="auto"/>
      </w:divBdr>
    </w:div>
    <w:div w:id="1641417704">
      <w:bodyDiv w:val="1"/>
      <w:marLeft w:val="0"/>
      <w:marRight w:val="0"/>
      <w:marTop w:val="0"/>
      <w:marBottom w:val="0"/>
      <w:divBdr>
        <w:top w:val="none" w:sz="0" w:space="0" w:color="auto"/>
        <w:left w:val="none" w:sz="0" w:space="0" w:color="auto"/>
        <w:bottom w:val="none" w:sz="0" w:space="0" w:color="auto"/>
        <w:right w:val="none" w:sz="0" w:space="0" w:color="auto"/>
      </w:divBdr>
    </w:div>
    <w:div w:id="1642035020">
      <w:bodyDiv w:val="1"/>
      <w:marLeft w:val="0"/>
      <w:marRight w:val="0"/>
      <w:marTop w:val="0"/>
      <w:marBottom w:val="0"/>
      <w:divBdr>
        <w:top w:val="none" w:sz="0" w:space="0" w:color="auto"/>
        <w:left w:val="none" w:sz="0" w:space="0" w:color="auto"/>
        <w:bottom w:val="none" w:sz="0" w:space="0" w:color="auto"/>
        <w:right w:val="none" w:sz="0" w:space="0" w:color="auto"/>
      </w:divBdr>
    </w:div>
    <w:div w:id="1643462280">
      <w:bodyDiv w:val="1"/>
      <w:marLeft w:val="0"/>
      <w:marRight w:val="0"/>
      <w:marTop w:val="0"/>
      <w:marBottom w:val="0"/>
      <w:divBdr>
        <w:top w:val="none" w:sz="0" w:space="0" w:color="auto"/>
        <w:left w:val="none" w:sz="0" w:space="0" w:color="auto"/>
        <w:bottom w:val="none" w:sz="0" w:space="0" w:color="auto"/>
        <w:right w:val="none" w:sz="0" w:space="0" w:color="auto"/>
      </w:divBdr>
    </w:div>
    <w:div w:id="1643996784">
      <w:bodyDiv w:val="1"/>
      <w:marLeft w:val="0"/>
      <w:marRight w:val="0"/>
      <w:marTop w:val="0"/>
      <w:marBottom w:val="0"/>
      <w:divBdr>
        <w:top w:val="none" w:sz="0" w:space="0" w:color="auto"/>
        <w:left w:val="none" w:sz="0" w:space="0" w:color="auto"/>
        <w:bottom w:val="none" w:sz="0" w:space="0" w:color="auto"/>
        <w:right w:val="none" w:sz="0" w:space="0" w:color="auto"/>
      </w:divBdr>
    </w:div>
    <w:div w:id="1644852372">
      <w:bodyDiv w:val="1"/>
      <w:marLeft w:val="0"/>
      <w:marRight w:val="0"/>
      <w:marTop w:val="0"/>
      <w:marBottom w:val="0"/>
      <w:divBdr>
        <w:top w:val="none" w:sz="0" w:space="0" w:color="auto"/>
        <w:left w:val="none" w:sz="0" w:space="0" w:color="auto"/>
        <w:bottom w:val="none" w:sz="0" w:space="0" w:color="auto"/>
        <w:right w:val="none" w:sz="0" w:space="0" w:color="auto"/>
      </w:divBdr>
    </w:div>
    <w:div w:id="1644968724">
      <w:bodyDiv w:val="1"/>
      <w:marLeft w:val="0"/>
      <w:marRight w:val="0"/>
      <w:marTop w:val="0"/>
      <w:marBottom w:val="0"/>
      <w:divBdr>
        <w:top w:val="none" w:sz="0" w:space="0" w:color="auto"/>
        <w:left w:val="none" w:sz="0" w:space="0" w:color="auto"/>
        <w:bottom w:val="none" w:sz="0" w:space="0" w:color="auto"/>
        <w:right w:val="none" w:sz="0" w:space="0" w:color="auto"/>
      </w:divBdr>
    </w:div>
    <w:div w:id="1645625805">
      <w:bodyDiv w:val="1"/>
      <w:marLeft w:val="0"/>
      <w:marRight w:val="0"/>
      <w:marTop w:val="0"/>
      <w:marBottom w:val="0"/>
      <w:divBdr>
        <w:top w:val="none" w:sz="0" w:space="0" w:color="auto"/>
        <w:left w:val="none" w:sz="0" w:space="0" w:color="auto"/>
        <w:bottom w:val="none" w:sz="0" w:space="0" w:color="auto"/>
        <w:right w:val="none" w:sz="0" w:space="0" w:color="auto"/>
      </w:divBdr>
    </w:div>
    <w:div w:id="1647929103">
      <w:bodyDiv w:val="1"/>
      <w:marLeft w:val="0"/>
      <w:marRight w:val="0"/>
      <w:marTop w:val="0"/>
      <w:marBottom w:val="0"/>
      <w:divBdr>
        <w:top w:val="none" w:sz="0" w:space="0" w:color="auto"/>
        <w:left w:val="none" w:sz="0" w:space="0" w:color="auto"/>
        <w:bottom w:val="none" w:sz="0" w:space="0" w:color="auto"/>
        <w:right w:val="none" w:sz="0" w:space="0" w:color="auto"/>
      </w:divBdr>
    </w:div>
    <w:div w:id="1648164884">
      <w:bodyDiv w:val="1"/>
      <w:marLeft w:val="0"/>
      <w:marRight w:val="0"/>
      <w:marTop w:val="0"/>
      <w:marBottom w:val="0"/>
      <w:divBdr>
        <w:top w:val="none" w:sz="0" w:space="0" w:color="auto"/>
        <w:left w:val="none" w:sz="0" w:space="0" w:color="auto"/>
        <w:bottom w:val="none" w:sz="0" w:space="0" w:color="auto"/>
        <w:right w:val="none" w:sz="0" w:space="0" w:color="auto"/>
      </w:divBdr>
    </w:div>
    <w:div w:id="1648436921">
      <w:bodyDiv w:val="1"/>
      <w:marLeft w:val="0"/>
      <w:marRight w:val="0"/>
      <w:marTop w:val="0"/>
      <w:marBottom w:val="0"/>
      <w:divBdr>
        <w:top w:val="none" w:sz="0" w:space="0" w:color="auto"/>
        <w:left w:val="none" w:sz="0" w:space="0" w:color="auto"/>
        <w:bottom w:val="none" w:sz="0" w:space="0" w:color="auto"/>
        <w:right w:val="none" w:sz="0" w:space="0" w:color="auto"/>
      </w:divBdr>
    </w:div>
    <w:div w:id="1648509940">
      <w:bodyDiv w:val="1"/>
      <w:marLeft w:val="0"/>
      <w:marRight w:val="0"/>
      <w:marTop w:val="0"/>
      <w:marBottom w:val="0"/>
      <w:divBdr>
        <w:top w:val="none" w:sz="0" w:space="0" w:color="auto"/>
        <w:left w:val="none" w:sz="0" w:space="0" w:color="auto"/>
        <w:bottom w:val="none" w:sz="0" w:space="0" w:color="auto"/>
        <w:right w:val="none" w:sz="0" w:space="0" w:color="auto"/>
      </w:divBdr>
    </w:div>
    <w:div w:id="1650013500">
      <w:bodyDiv w:val="1"/>
      <w:marLeft w:val="0"/>
      <w:marRight w:val="0"/>
      <w:marTop w:val="0"/>
      <w:marBottom w:val="0"/>
      <w:divBdr>
        <w:top w:val="none" w:sz="0" w:space="0" w:color="auto"/>
        <w:left w:val="none" w:sz="0" w:space="0" w:color="auto"/>
        <w:bottom w:val="none" w:sz="0" w:space="0" w:color="auto"/>
        <w:right w:val="none" w:sz="0" w:space="0" w:color="auto"/>
      </w:divBdr>
    </w:div>
    <w:div w:id="1651058536">
      <w:bodyDiv w:val="1"/>
      <w:marLeft w:val="0"/>
      <w:marRight w:val="0"/>
      <w:marTop w:val="0"/>
      <w:marBottom w:val="0"/>
      <w:divBdr>
        <w:top w:val="none" w:sz="0" w:space="0" w:color="auto"/>
        <w:left w:val="none" w:sz="0" w:space="0" w:color="auto"/>
        <w:bottom w:val="none" w:sz="0" w:space="0" w:color="auto"/>
        <w:right w:val="none" w:sz="0" w:space="0" w:color="auto"/>
      </w:divBdr>
    </w:div>
    <w:div w:id="1653093524">
      <w:bodyDiv w:val="1"/>
      <w:marLeft w:val="0"/>
      <w:marRight w:val="0"/>
      <w:marTop w:val="0"/>
      <w:marBottom w:val="0"/>
      <w:divBdr>
        <w:top w:val="none" w:sz="0" w:space="0" w:color="auto"/>
        <w:left w:val="none" w:sz="0" w:space="0" w:color="auto"/>
        <w:bottom w:val="none" w:sz="0" w:space="0" w:color="auto"/>
        <w:right w:val="none" w:sz="0" w:space="0" w:color="auto"/>
      </w:divBdr>
    </w:div>
    <w:div w:id="1654328597">
      <w:bodyDiv w:val="1"/>
      <w:marLeft w:val="0"/>
      <w:marRight w:val="0"/>
      <w:marTop w:val="0"/>
      <w:marBottom w:val="0"/>
      <w:divBdr>
        <w:top w:val="none" w:sz="0" w:space="0" w:color="auto"/>
        <w:left w:val="none" w:sz="0" w:space="0" w:color="auto"/>
        <w:bottom w:val="none" w:sz="0" w:space="0" w:color="auto"/>
        <w:right w:val="none" w:sz="0" w:space="0" w:color="auto"/>
      </w:divBdr>
    </w:div>
    <w:div w:id="1654679954">
      <w:bodyDiv w:val="1"/>
      <w:marLeft w:val="0"/>
      <w:marRight w:val="0"/>
      <w:marTop w:val="0"/>
      <w:marBottom w:val="0"/>
      <w:divBdr>
        <w:top w:val="none" w:sz="0" w:space="0" w:color="auto"/>
        <w:left w:val="none" w:sz="0" w:space="0" w:color="auto"/>
        <w:bottom w:val="none" w:sz="0" w:space="0" w:color="auto"/>
        <w:right w:val="none" w:sz="0" w:space="0" w:color="auto"/>
      </w:divBdr>
    </w:div>
    <w:div w:id="1656520592">
      <w:bodyDiv w:val="1"/>
      <w:marLeft w:val="0"/>
      <w:marRight w:val="0"/>
      <w:marTop w:val="0"/>
      <w:marBottom w:val="0"/>
      <w:divBdr>
        <w:top w:val="none" w:sz="0" w:space="0" w:color="auto"/>
        <w:left w:val="none" w:sz="0" w:space="0" w:color="auto"/>
        <w:bottom w:val="none" w:sz="0" w:space="0" w:color="auto"/>
        <w:right w:val="none" w:sz="0" w:space="0" w:color="auto"/>
      </w:divBdr>
    </w:div>
    <w:div w:id="1659848251">
      <w:bodyDiv w:val="1"/>
      <w:marLeft w:val="0"/>
      <w:marRight w:val="0"/>
      <w:marTop w:val="0"/>
      <w:marBottom w:val="0"/>
      <w:divBdr>
        <w:top w:val="none" w:sz="0" w:space="0" w:color="auto"/>
        <w:left w:val="none" w:sz="0" w:space="0" w:color="auto"/>
        <w:bottom w:val="none" w:sz="0" w:space="0" w:color="auto"/>
        <w:right w:val="none" w:sz="0" w:space="0" w:color="auto"/>
      </w:divBdr>
    </w:div>
    <w:div w:id="1660233515">
      <w:bodyDiv w:val="1"/>
      <w:marLeft w:val="0"/>
      <w:marRight w:val="0"/>
      <w:marTop w:val="0"/>
      <w:marBottom w:val="0"/>
      <w:divBdr>
        <w:top w:val="none" w:sz="0" w:space="0" w:color="auto"/>
        <w:left w:val="none" w:sz="0" w:space="0" w:color="auto"/>
        <w:bottom w:val="none" w:sz="0" w:space="0" w:color="auto"/>
        <w:right w:val="none" w:sz="0" w:space="0" w:color="auto"/>
      </w:divBdr>
    </w:div>
    <w:div w:id="1660573381">
      <w:bodyDiv w:val="1"/>
      <w:marLeft w:val="0"/>
      <w:marRight w:val="0"/>
      <w:marTop w:val="0"/>
      <w:marBottom w:val="0"/>
      <w:divBdr>
        <w:top w:val="none" w:sz="0" w:space="0" w:color="auto"/>
        <w:left w:val="none" w:sz="0" w:space="0" w:color="auto"/>
        <w:bottom w:val="none" w:sz="0" w:space="0" w:color="auto"/>
        <w:right w:val="none" w:sz="0" w:space="0" w:color="auto"/>
      </w:divBdr>
    </w:div>
    <w:div w:id="1661036221">
      <w:bodyDiv w:val="1"/>
      <w:marLeft w:val="0"/>
      <w:marRight w:val="0"/>
      <w:marTop w:val="0"/>
      <w:marBottom w:val="0"/>
      <w:divBdr>
        <w:top w:val="none" w:sz="0" w:space="0" w:color="auto"/>
        <w:left w:val="none" w:sz="0" w:space="0" w:color="auto"/>
        <w:bottom w:val="none" w:sz="0" w:space="0" w:color="auto"/>
        <w:right w:val="none" w:sz="0" w:space="0" w:color="auto"/>
      </w:divBdr>
    </w:div>
    <w:div w:id="1663048908">
      <w:bodyDiv w:val="1"/>
      <w:marLeft w:val="0"/>
      <w:marRight w:val="0"/>
      <w:marTop w:val="0"/>
      <w:marBottom w:val="0"/>
      <w:divBdr>
        <w:top w:val="none" w:sz="0" w:space="0" w:color="auto"/>
        <w:left w:val="none" w:sz="0" w:space="0" w:color="auto"/>
        <w:bottom w:val="none" w:sz="0" w:space="0" w:color="auto"/>
        <w:right w:val="none" w:sz="0" w:space="0" w:color="auto"/>
      </w:divBdr>
    </w:div>
    <w:div w:id="1663851867">
      <w:bodyDiv w:val="1"/>
      <w:marLeft w:val="0"/>
      <w:marRight w:val="0"/>
      <w:marTop w:val="0"/>
      <w:marBottom w:val="0"/>
      <w:divBdr>
        <w:top w:val="none" w:sz="0" w:space="0" w:color="auto"/>
        <w:left w:val="none" w:sz="0" w:space="0" w:color="auto"/>
        <w:bottom w:val="none" w:sz="0" w:space="0" w:color="auto"/>
        <w:right w:val="none" w:sz="0" w:space="0" w:color="auto"/>
      </w:divBdr>
    </w:div>
    <w:div w:id="1664117249">
      <w:bodyDiv w:val="1"/>
      <w:marLeft w:val="0"/>
      <w:marRight w:val="0"/>
      <w:marTop w:val="0"/>
      <w:marBottom w:val="0"/>
      <w:divBdr>
        <w:top w:val="none" w:sz="0" w:space="0" w:color="auto"/>
        <w:left w:val="none" w:sz="0" w:space="0" w:color="auto"/>
        <w:bottom w:val="none" w:sz="0" w:space="0" w:color="auto"/>
        <w:right w:val="none" w:sz="0" w:space="0" w:color="auto"/>
      </w:divBdr>
    </w:div>
    <w:div w:id="1664773355">
      <w:bodyDiv w:val="1"/>
      <w:marLeft w:val="0"/>
      <w:marRight w:val="0"/>
      <w:marTop w:val="0"/>
      <w:marBottom w:val="0"/>
      <w:divBdr>
        <w:top w:val="none" w:sz="0" w:space="0" w:color="auto"/>
        <w:left w:val="none" w:sz="0" w:space="0" w:color="auto"/>
        <w:bottom w:val="none" w:sz="0" w:space="0" w:color="auto"/>
        <w:right w:val="none" w:sz="0" w:space="0" w:color="auto"/>
      </w:divBdr>
    </w:div>
    <w:div w:id="1665431677">
      <w:bodyDiv w:val="1"/>
      <w:marLeft w:val="0"/>
      <w:marRight w:val="0"/>
      <w:marTop w:val="0"/>
      <w:marBottom w:val="0"/>
      <w:divBdr>
        <w:top w:val="none" w:sz="0" w:space="0" w:color="auto"/>
        <w:left w:val="none" w:sz="0" w:space="0" w:color="auto"/>
        <w:bottom w:val="none" w:sz="0" w:space="0" w:color="auto"/>
        <w:right w:val="none" w:sz="0" w:space="0" w:color="auto"/>
      </w:divBdr>
    </w:div>
    <w:div w:id="1666471999">
      <w:bodyDiv w:val="1"/>
      <w:marLeft w:val="0"/>
      <w:marRight w:val="0"/>
      <w:marTop w:val="0"/>
      <w:marBottom w:val="0"/>
      <w:divBdr>
        <w:top w:val="none" w:sz="0" w:space="0" w:color="auto"/>
        <w:left w:val="none" w:sz="0" w:space="0" w:color="auto"/>
        <w:bottom w:val="none" w:sz="0" w:space="0" w:color="auto"/>
        <w:right w:val="none" w:sz="0" w:space="0" w:color="auto"/>
      </w:divBdr>
    </w:div>
    <w:div w:id="1669022623">
      <w:bodyDiv w:val="1"/>
      <w:marLeft w:val="0"/>
      <w:marRight w:val="0"/>
      <w:marTop w:val="0"/>
      <w:marBottom w:val="0"/>
      <w:divBdr>
        <w:top w:val="none" w:sz="0" w:space="0" w:color="auto"/>
        <w:left w:val="none" w:sz="0" w:space="0" w:color="auto"/>
        <w:bottom w:val="none" w:sz="0" w:space="0" w:color="auto"/>
        <w:right w:val="none" w:sz="0" w:space="0" w:color="auto"/>
      </w:divBdr>
    </w:div>
    <w:div w:id="1670710864">
      <w:bodyDiv w:val="1"/>
      <w:marLeft w:val="0"/>
      <w:marRight w:val="0"/>
      <w:marTop w:val="0"/>
      <w:marBottom w:val="0"/>
      <w:divBdr>
        <w:top w:val="none" w:sz="0" w:space="0" w:color="auto"/>
        <w:left w:val="none" w:sz="0" w:space="0" w:color="auto"/>
        <w:bottom w:val="none" w:sz="0" w:space="0" w:color="auto"/>
        <w:right w:val="none" w:sz="0" w:space="0" w:color="auto"/>
      </w:divBdr>
    </w:div>
    <w:div w:id="1670715228">
      <w:bodyDiv w:val="1"/>
      <w:marLeft w:val="0"/>
      <w:marRight w:val="0"/>
      <w:marTop w:val="0"/>
      <w:marBottom w:val="0"/>
      <w:divBdr>
        <w:top w:val="none" w:sz="0" w:space="0" w:color="auto"/>
        <w:left w:val="none" w:sz="0" w:space="0" w:color="auto"/>
        <w:bottom w:val="none" w:sz="0" w:space="0" w:color="auto"/>
        <w:right w:val="none" w:sz="0" w:space="0" w:color="auto"/>
      </w:divBdr>
    </w:div>
    <w:div w:id="1671060396">
      <w:bodyDiv w:val="1"/>
      <w:marLeft w:val="0"/>
      <w:marRight w:val="0"/>
      <w:marTop w:val="0"/>
      <w:marBottom w:val="0"/>
      <w:divBdr>
        <w:top w:val="none" w:sz="0" w:space="0" w:color="auto"/>
        <w:left w:val="none" w:sz="0" w:space="0" w:color="auto"/>
        <w:bottom w:val="none" w:sz="0" w:space="0" w:color="auto"/>
        <w:right w:val="none" w:sz="0" w:space="0" w:color="auto"/>
      </w:divBdr>
    </w:div>
    <w:div w:id="1671252875">
      <w:bodyDiv w:val="1"/>
      <w:marLeft w:val="0"/>
      <w:marRight w:val="0"/>
      <w:marTop w:val="0"/>
      <w:marBottom w:val="0"/>
      <w:divBdr>
        <w:top w:val="none" w:sz="0" w:space="0" w:color="auto"/>
        <w:left w:val="none" w:sz="0" w:space="0" w:color="auto"/>
        <w:bottom w:val="none" w:sz="0" w:space="0" w:color="auto"/>
        <w:right w:val="none" w:sz="0" w:space="0" w:color="auto"/>
      </w:divBdr>
    </w:div>
    <w:div w:id="1671328222">
      <w:bodyDiv w:val="1"/>
      <w:marLeft w:val="0"/>
      <w:marRight w:val="0"/>
      <w:marTop w:val="0"/>
      <w:marBottom w:val="0"/>
      <w:divBdr>
        <w:top w:val="none" w:sz="0" w:space="0" w:color="auto"/>
        <w:left w:val="none" w:sz="0" w:space="0" w:color="auto"/>
        <w:bottom w:val="none" w:sz="0" w:space="0" w:color="auto"/>
        <w:right w:val="none" w:sz="0" w:space="0" w:color="auto"/>
      </w:divBdr>
    </w:div>
    <w:div w:id="1672636813">
      <w:bodyDiv w:val="1"/>
      <w:marLeft w:val="0"/>
      <w:marRight w:val="0"/>
      <w:marTop w:val="0"/>
      <w:marBottom w:val="0"/>
      <w:divBdr>
        <w:top w:val="none" w:sz="0" w:space="0" w:color="auto"/>
        <w:left w:val="none" w:sz="0" w:space="0" w:color="auto"/>
        <w:bottom w:val="none" w:sz="0" w:space="0" w:color="auto"/>
        <w:right w:val="none" w:sz="0" w:space="0" w:color="auto"/>
      </w:divBdr>
    </w:div>
    <w:div w:id="1672677318">
      <w:bodyDiv w:val="1"/>
      <w:marLeft w:val="0"/>
      <w:marRight w:val="0"/>
      <w:marTop w:val="0"/>
      <w:marBottom w:val="0"/>
      <w:divBdr>
        <w:top w:val="none" w:sz="0" w:space="0" w:color="auto"/>
        <w:left w:val="none" w:sz="0" w:space="0" w:color="auto"/>
        <w:bottom w:val="none" w:sz="0" w:space="0" w:color="auto"/>
        <w:right w:val="none" w:sz="0" w:space="0" w:color="auto"/>
      </w:divBdr>
    </w:div>
    <w:div w:id="1673100412">
      <w:bodyDiv w:val="1"/>
      <w:marLeft w:val="0"/>
      <w:marRight w:val="0"/>
      <w:marTop w:val="0"/>
      <w:marBottom w:val="0"/>
      <w:divBdr>
        <w:top w:val="none" w:sz="0" w:space="0" w:color="auto"/>
        <w:left w:val="none" w:sz="0" w:space="0" w:color="auto"/>
        <w:bottom w:val="none" w:sz="0" w:space="0" w:color="auto"/>
        <w:right w:val="none" w:sz="0" w:space="0" w:color="auto"/>
      </w:divBdr>
    </w:div>
    <w:div w:id="1674719908">
      <w:bodyDiv w:val="1"/>
      <w:marLeft w:val="0"/>
      <w:marRight w:val="0"/>
      <w:marTop w:val="0"/>
      <w:marBottom w:val="0"/>
      <w:divBdr>
        <w:top w:val="none" w:sz="0" w:space="0" w:color="auto"/>
        <w:left w:val="none" w:sz="0" w:space="0" w:color="auto"/>
        <w:bottom w:val="none" w:sz="0" w:space="0" w:color="auto"/>
        <w:right w:val="none" w:sz="0" w:space="0" w:color="auto"/>
      </w:divBdr>
    </w:div>
    <w:div w:id="1675494652">
      <w:bodyDiv w:val="1"/>
      <w:marLeft w:val="0"/>
      <w:marRight w:val="0"/>
      <w:marTop w:val="0"/>
      <w:marBottom w:val="0"/>
      <w:divBdr>
        <w:top w:val="none" w:sz="0" w:space="0" w:color="auto"/>
        <w:left w:val="none" w:sz="0" w:space="0" w:color="auto"/>
        <w:bottom w:val="none" w:sz="0" w:space="0" w:color="auto"/>
        <w:right w:val="none" w:sz="0" w:space="0" w:color="auto"/>
      </w:divBdr>
    </w:div>
    <w:div w:id="1676691119">
      <w:bodyDiv w:val="1"/>
      <w:marLeft w:val="0"/>
      <w:marRight w:val="0"/>
      <w:marTop w:val="0"/>
      <w:marBottom w:val="0"/>
      <w:divBdr>
        <w:top w:val="none" w:sz="0" w:space="0" w:color="auto"/>
        <w:left w:val="none" w:sz="0" w:space="0" w:color="auto"/>
        <w:bottom w:val="none" w:sz="0" w:space="0" w:color="auto"/>
        <w:right w:val="none" w:sz="0" w:space="0" w:color="auto"/>
      </w:divBdr>
    </w:div>
    <w:div w:id="1676836537">
      <w:bodyDiv w:val="1"/>
      <w:marLeft w:val="0"/>
      <w:marRight w:val="0"/>
      <w:marTop w:val="0"/>
      <w:marBottom w:val="0"/>
      <w:divBdr>
        <w:top w:val="none" w:sz="0" w:space="0" w:color="auto"/>
        <w:left w:val="none" w:sz="0" w:space="0" w:color="auto"/>
        <w:bottom w:val="none" w:sz="0" w:space="0" w:color="auto"/>
        <w:right w:val="none" w:sz="0" w:space="0" w:color="auto"/>
      </w:divBdr>
    </w:div>
    <w:div w:id="1678265330">
      <w:bodyDiv w:val="1"/>
      <w:marLeft w:val="0"/>
      <w:marRight w:val="0"/>
      <w:marTop w:val="0"/>
      <w:marBottom w:val="0"/>
      <w:divBdr>
        <w:top w:val="none" w:sz="0" w:space="0" w:color="auto"/>
        <w:left w:val="none" w:sz="0" w:space="0" w:color="auto"/>
        <w:bottom w:val="none" w:sz="0" w:space="0" w:color="auto"/>
        <w:right w:val="none" w:sz="0" w:space="0" w:color="auto"/>
      </w:divBdr>
    </w:div>
    <w:div w:id="1678770885">
      <w:bodyDiv w:val="1"/>
      <w:marLeft w:val="0"/>
      <w:marRight w:val="0"/>
      <w:marTop w:val="0"/>
      <w:marBottom w:val="0"/>
      <w:divBdr>
        <w:top w:val="none" w:sz="0" w:space="0" w:color="auto"/>
        <w:left w:val="none" w:sz="0" w:space="0" w:color="auto"/>
        <w:bottom w:val="none" w:sz="0" w:space="0" w:color="auto"/>
        <w:right w:val="none" w:sz="0" w:space="0" w:color="auto"/>
      </w:divBdr>
    </w:div>
    <w:div w:id="1679581325">
      <w:bodyDiv w:val="1"/>
      <w:marLeft w:val="0"/>
      <w:marRight w:val="0"/>
      <w:marTop w:val="0"/>
      <w:marBottom w:val="0"/>
      <w:divBdr>
        <w:top w:val="none" w:sz="0" w:space="0" w:color="auto"/>
        <w:left w:val="none" w:sz="0" w:space="0" w:color="auto"/>
        <w:bottom w:val="none" w:sz="0" w:space="0" w:color="auto"/>
        <w:right w:val="none" w:sz="0" w:space="0" w:color="auto"/>
      </w:divBdr>
    </w:div>
    <w:div w:id="1680572374">
      <w:bodyDiv w:val="1"/>
      <w:marLeft w:val="0"/>
      <w:marRight w:val="0"/>
      <w:marTop w:val="0"/>
      <w:marBottom w:val="0"/>
      <w:divBdr>
        <w:top w:val="none" w:sz="0" w:space="0" w:color="auto"/>
        <w:left w:val="none" w:sz="0" w:space="0" w:color="auto"/>
        <w:bottom w:val="none" w:sz="0" w:space="0" w:color="auto"/>
        <w:right w:val="none" w:sz="0" w:space="0" w:color="auto"/>
      </w:divBdr>
    </w:div>
    <w:div w:id="1680885873">
      <w:bodyDiv w:val="1"/>
      <w:marLeft w:val="0"/>
      <w:marRight w:val="0"/>
      <w:marTop w:val="0"/>
      <w:marBottom w:val="0"/>
      <w:divBdr>
        <w:top w:val="none" w:sz="0" w:space="0" w:color="auto"/>
        <w:left w:val="none" w:sz="0" w:space="0" w:color="auto"/>
        <w:bottom w:val="none" w:sz="0" w:space="0" w:color="auto"/>
        <w:right w:val="none" w:sz="0" w:space="0" w:color="auto"/>
      </w:divBdr>
    </w:div>
    <w:div w:id="1681735671">
      <w:bodyDiv w:val="1"/>
      <w:marLeft w:val="0"/>
      <w:marRight w:val="0"/>
      <w:marTop w:val="0"/>
      <w:marBottom w:val="0"/>
      <w:divBdr>
        <w:top w:val="none" w:sz="0" w:space="0" w:color="auto"/>
        <w:left w:val="none" w:sz="0" w:space="0" w:color="auto"/>
        <w:bottom w:val="none" w:sz="0" w:space="0" w:color="auto"/>
        <w:right w:val="none" w:sz="0" w:space="0" w:color="auto"/>
      </w:divBdr>
    </w:div>
    <w:div w:id="1683513509">
      <w:bodyDiv w:val="1"/>
      <w:marLeft w:val="0"/>
      <w:marRight w:val="0"/>
      <w:marTop w:val="0"/>
      <w:marBottom w:val="0"/>
      <w:divBdr>
        <w:top w:val="none" w:sz="0" w:space="0" w:color="auto"/>
        <w:left w:val="none" w:sz="0" w:space="0" w:color="auto"/>
        <w:bottom w:val="none" w:sz="0" w:space="0" w:color="auto"/>
        <w:right w:val="none" w:sz="0" w:space="0" w:color="auto"/>
      </w:divBdr>
    </w:div>
    <w:div w:id="1685548949">
      <w:bodyDiv w:val="1"/>
      <w:marLeft w:val="0"/>
      <w:marRight w:val="0"/>
      <w:marTop w:val="0"/>
      <w:marBottom w:val="0"/>
      <w:divBdr>
        <w:top w:val="none" w:sz="0" w:space="0" w:color="auto"/>
        <w:left w:val="none" w:sz="0" w:space="0" w:color="auto"/>
        <w:bottom w:val="none" w:sz="0" w:space="0" w:color="auto"/>
        <w:right w:val="none" w:sz="0" w:space="0" w:color="auto"/>
      </w:divBdr>
    </w:div>
    <w:div w:id="1686205959">
      <w:bodyDiv w:val="1"/>
      <w:marLeft w:val="0"/>
      <w:marRight w:val="0"/>
      <w:marTop w:val="0"/>
      <w:marBottom w:val="0"/>
      <w:divBdr>
        <w:top w:val="none" w:sz="0" w:space="0" w:color="auto"/>
        <w:left w:val="none" w:sz="0" w:space="0" w:color="auto"/>
        <w:bottom w:val="none" w:sz="0" w:space="0" w:color="auto"/>
        <w:right w:val="none" w:sz="0" w:space="0" w:color="auto"/>
      </w:divBdr>
    </w:div>
    <w:div w:id="1687362301">
      <w:bodyDiv w:val="1"/>
      <w:marLeft w:val="0"/>
      <w:marRight w:val="0"/>
      <w:marTop w:val="0"/>
      <w:marBottom w:val="0"/>
      <w:divBdr>
        <w:top w:val="none" w:sz="0" w:space="0" w:color="auto"/>
        <w:left w:val="none" w:sz="0" w:space="0" w:color="auto"/>
        <w:bottom w:val="none" w:sz="0" w:space="0" w:color="auto"/>
        <w:right w:val="none" w:sz="0" w:space="0" w:color="auto"/>
      </w:divBdr>
    </w:div>
    <w:div w:id="1687948716">
      <w:bodyDiv w:val="1"/>
      <w:marLeft w:val="0"/>
      <w:marRight w:val="0"/>
      <w:marTop w:val="0"/>
      <w:marBottom w:val="0"/>
      <w:divBdr>
        <w:top w:val="none" w:sz="0" w:space="0" w:color="auto"/>
        <w:left w:val="none" w:sz="0" w:space="0" w:color="auto"/>
        <w:bottom w:val="none" w:sz="0" w:space="0" w:color="auto"/>
        <w:right w:val="none" w:sz="0" w:space="0" w:color="auto"/>
      </w:divBdr>
    </w:div>
    <w:div w:id="1689022574">
      <w:bodyDiv w:val="1"/>
      <w:marLeft w:val="0"/>
      <w:marRight w:val="0"/>
      <w:marTop w:val="0"/>
      <w:marBottom w:val="0"/>
      <w:divBdr>
        <w:top w:val="none" w:sz="0" w:space="0" w:color="auto"/>
        <w:left w:val="none" w:sz="0" w:space="0" w:color="auto"/>
        <w:bottom w:val="none" w:sz="0" w:space="0" w:color="auto"/>
        <w:right w:val="none" w:sz="0" w:space="0" w:color="auto"/>
      </w:divBdr>
    </w:div>
    <w:div w:id="1689595322">
      <w:bodyDiv w:val="1"/>
      <w:marLeft w:val="0"/>
      <w:marRight w:val="0"/>
      <w:marTop w:val="0"/>
      <w:marBottom w:val="0"/>
      <w:divBdr>
        <w:top w:val="none" w:sz="0" w:space="0" w:color="auto"/>
        <w:left w:val="none" w:sz="0" w:space="0" w:color="auto"/>
        <w:bottom w:val="none" w:sz="0" w:space="0" w:color="auto"/>
        <w:right w:val="none" w:sz="0" w:space="0" w:color="auto"/>
      </w:divBdr>
    </w:div>
    <w:div w:id="1691954821">
      <w:bodyDiv w:val="1"/>
      <w:marLeft w:val="0"/>
      <w:marRight w:val="0"/>
      <w:marTop w:val="0"/>
      <w:marBottom w:val="0"/>
      <w:divBdr>
        <w:top w:val="none" w:sz="0" w:space="0" w:color="auto"/>
        <w:left w:val="none" w:sz="0" w:space="0" w:color="auto"/>
        <w:bottom w:val="none" w:sz="0" w:space="0" w:color="auto"/>
        <w:right w:val="none" w:sz="0" w:space="0" w:color="auto"/>
      </w:divBdr>
    </w:div>
    <w:div w:id="1692680657">
      <w:bodyDiv w:val="1"/>
      <w:marLeft w:val="0"/>
      <w:marRight w:val="0"/>
      <w:marTop w:val="0"/>
      <w:marBottom w:val="0"/>
      <w:divBdr>
        <w:top w:val="none" w:sz="0" w:space="0" w:color="auto"/>
        <w:left w:val="none" w:sz="0" w:space="0" w:color="auto"/>
        <w:bottom w:val="none" w:sz="0" w:space="0" w:color="auto"/>
        <w:right w:val="none" w:sz="0" w:space="0" w:color="auto"/>
      </w:divBdr>
    </w:div>
    <w:div w:id="1693996488">
      <w:bodyDiv w:val="1"/>
      <w:marLeft w:val="0"/>
      <w:marRight w:val="0"/>
      <w:marTop w:val="0"/>
      <w:marBottom w:val="0"/>
      <w:divBdr>
        <w:top w:val="none" w:sz="0" w:space="0" w:color="auto"/>
        <w:left w:val="none" w:sz="0" w:space="0" w:color="auto"/>
        <w:bottom w:val="none" w:sz="0" w:space="0" w:color="auto"/>
        <w:right w:val="none" w:sz="0" w:space="0" w:color="auto"/>
      </w:divBdr>
    </w:div>
    <w:div w:id="1695158270">
      <w:bodyDiv w:val="1"/>
      <w:marLeft w:val="0"/>
      <w:marRight w:val="0"/>
      <w:marTop w:val="0"/>
      <w:marBottom w:val="0"/>
      <w:divBdr>
        <w:top w:val="none" w:sz="0" w:space="0" w:color="auto"/>
        <w:left w:val="none" w:sz="0" w:space="0" w:color="auto"/>
        <w:bottom w:val="none" w:sz="0" w:space="0" w:color="auto"/>
        <w:right w:val="none" w:sz="0" w:space="0" w:color="auto"/>
      </w:divBdr>
    </w:div>
    <w:div w:id="1696035055">
      <w:bodyDiv w:val="1"/>
      <w:marLeft w:val="0"/>
      <w:marRight w:val="0"/>
      <w:marTop w:val="0"/>
      <w:marBottom w:val="0"/>
      <w:divBdr>
        <w:top w:val="none" w:sz="0" w:space="0" w:color="auto"/>
        <w:left w:val="none" w:sz="0" w:space="0" w:color="auto"/>
        <w:bottom w:val="none" w:sz="0" w:space="0" w:color="auto"/>
        <w:right w:val="none" w:sz="0" w:space="0" w:color="auto"/>
      </w:divBdr>
    </w:div>
    <w:div w:id="1699619283">
      <w:bodyDiv w:val="1"/>
      <w:marLeft w:val="0"/>
      <w:marRight w:val="0"/>
      <w:marTop w:val="0"/>
      <w:marBottom w:val="0"/>
      <w:divBdr>
        <w:top w:val="none" w:sz="0" w:space="0" w:color="auto"/>
        <w:left w:val="none" w:sz="0" w:space="0" w:color="auto"/>
        <w:bottom w:val="none" w:sz="0" w:space="0" w:color="auto"/>
        <w:right w:val="none" w:sz="0" w:space="0" w:color="auto"/>
      </w:divBdr>
    </w:div>
    <w:div w:id="1700810798">
      <w:bodyDiv w:val="1"/>
      <w:marLeft w:val="0"/>
      <w:marRight w:val="0"/>
      <w:marTop w:val="0"/>
      <w:marBottom w:val="0"/>
      <w:divBdr>
        <w:top w:val="none" w:sz="0" w:space="0" w:color="auto"/>
        <w:left w:val="none" w:sz="0" w:space="0" w:color="auto"/>
        <w:bottom w:val="none" w:sz="0" w:space="0" w:color="auto"/>
        <w:right w:val="none" w:sz="0" w:space="0" w:color="auto"/>
      </w:divBdr>
    </w:div>
    <w:div w:id="1700928946">
      <w:bodyDiv w:val="1"/>
      <w:marLeft w:val="0"/>
      <w:marRight w:val="0"/>
      <w:marTop w:val="0"/>
      <w:marBottom w:val="0"/>
      <w:divBdr>
        <w:top w:val="none" w:sz="0" w:space="0" w:color="auto"/>
        <w:left w:val="none" w:sz="0" w:space="0" w:color="auto"/>
        <w:bottom w:val="none" w:sz="0" w:space="0" w:color="auto"/>
        <w:right w:val="none" w:sz="0" w:space="0" w:color="auto"/>
      </w:divBdr>
    </w:div>
    <w:div w:id="1701858714">
      <w:bodyDiv w:val="1"/>
      <w:marLeft w:val="0"/>
      <w:marRight w:val="0"/>
      <w:marTop w:val="0"/>
      <w:marBottom w:val="0"/>
      <w:divBdr>
        <w:top w:val="none" w:sz="0" w:space="0" w:color="auto"/>
        <w:left w:val="none" w:sz="0" w:space="0" w:color="auto"/>
        <w:bottom w:val="none" w:sz="0" w:space="0" w:color="auto"/>
        <w:right w:val="none" w:sz="0" w:space="0" w:color="auto"/>
      </w:divBdr>
    </w:div>
    <w:div w:id="1701970142">
      <w:bodyDiv w:val="1"/>
      <w:marLeft w:val="0"/>
      <w:marRight w:val="0"/>
      <w:marTop w:val="0"/>
      <w:marBottom w:val="0"/>
      <w:divBdr>
        <w:top w:val="none" w:sz="0" w:space="0" w:color="auto"/>
        <w:left w:val="none" w:sz="0" w:space="0" w:color="auto"/>
        <w:bottom w:val="none" w:sz="0" w:space="0" w:color="auto"/>
        <w:right w:val="none" w:sz="0" w:space="0" w:color="auto"/>
      </w:divBdr>
    </w:div>
    <w:div w:id="1702440078">
      <w:bodyDiv w:val="1"/>
      <w:marLeft w:val="0"/>
      <w:marRight w:val="0"/>
      <w:marTop w:val="0"/>
      <w:marBottom w:val="0"/>
      <w:divBdr>
        <w:top w:val="none" w:sz="0" w:space="0" w:color="auto"/>
        <w:left w:val="none" w:sz="0" w:space="0" w:color="auto"/>
        <w:bottom w:val="none" w:sz="0" w:space="0" w:color="auto"/>
        <w:right w:val="none" w:sz="0" w:space="0" w:color="auto"/>
      </w:divBdr>
    </w:div>
    <w:div w:id="1702778959">
      <w:bodyDiv w:val="1"/>
      <w:marLeft w:val="0"/>
      <w:marRight w:val="0"/>
      <w:marTop w:val="0"/>
      <w:marBottom w:val="0"/>
      <w:divBdr>
        <w:top w:val="none" w:sz="0" w:space="0" w:color="auto"/>
        <w:left w:val="none" w:sz="0" w:space="0" w:color="auto"/>
        <w:bottom w:val="none" w:sz="0" w:space="0" w:color="auto"/>
        <w:right w:val="none" w:sz="0" w:space="0" w:color="auto"/>
      </w:divBdr>
    </w:div>
    <w:div w:id="1704213132">
      <w:bodyDiv w:val="1"/>
      <w:marLeft w:val="0"/>
      <w:marRight w:val="0"/>
      <w:marTop w:val="0"/>
      <w:marBottom w:val="0"/>
      <w:divBdr>
        <w:top w:val="none" w:sz="0" w:space="0" w:color="auto"/>
        <w:left w:val="none" w:sz="0" w:space="0" w:color="auto"/>
        <w:bottom w:val="none" w:sz="0" w:space="0" w:color="auto"/>
        <w:right w:val="none" w:sz="0" w:space="0" w:color="auto"/>
      </w:divBdr>
    </w:div>
    <w:div w:id="1704591748">
      <w:bodyDiv w:val="1"/>
      <w:marLeft w:val="0"/>
      <w:marRight w:val="0"/>
      <w:marTop w:val="0"/>
      <w:marBottom w:val="0"/>
      <w:divBdr>
        <w:top w:val="none" w:sz="0" w:space="0" w:color="auto"/>
        <w:left w:val="none" w:sz="0" w:space="0" w:color="auto"/>
        <w:bottom w:val="none" w:sz="0" w:space="0" w:color="auto"/>
        <w:right w:val="none" w:sz="0" w:space="0" w:color="auto"/>
      </w:divBdr>
    </w:div>
    <w:div w:id="1705792826">
      <w:bodyDiv w:val="1"/>
      <w:marLeft w:val="0"/>
      <w:marRight w:val="0"/>
      <w:marTop w:val="0"/>
      <w:marBottom w:val="0"/>
      <w:divBdr>
        <w:top w:val="none" w:sz="0" w:space="0" w:color="auto"/>
        <w:left w:val="none" w:sz="0" w:space="0" w:color="auto"/>
        <w:bottom w:val="none" w:sz="0" w:space="0" w:color="auto"/>
        <w:right w:val="none" w:sz="0" w:space="0" w:color="auto"/>
      </w:divBdr>
    </w:div>
    <w:div w:id="1706297398">
      <w:bodyDiv w:val="1"/>
      <w:marLeft w:val="0"/>
      <w:marRight w:val="0"/>
      <w:marTop w:val="0"/>
      <w:marBottom w:val="0"/>
      <w:divBdr>
        <w:top w:val="none" w:sz="0" w:space="0" w:color="auto"/>
        <w:left w:val="none" w:sz="0" w:space="0" w:color="auto"/>
        <w:bottom w:val="none" w:sz="0" w:space="0" w:color="auto"/>
        <w:right w:val="none" w:sz="0" w:space="0" w:color="auto"/>
      </w:divBdr>
    </w:div>
    <w:div w:id="1708093732">
      <w:bodyDiv w:val="1"/>
      <w:marLeft w:val="0"/>
      <w:marRight w:val="0"/>
      <w:marTop w:val="0"/>
      <w:marBottom w:val="0"/>
      <w:divBdr>
        <w:top w:val="none" w:sz="0" w:space="0" w:color="auto"/>
        <w:left w:val="none" w:sz="0" w:space="0" w:color="auto"/>
        <w:bottom w:val="none" w:sz="0" w:space="0" w:color="auto"/>
        <w:right w:val="none" w:sz="0" w:space="0" w:color="auto"/>
      </w:divBdr>
    </w:div>
    <w:div w:id="1708408941">
      <w:bodyDiv w:val="1"/>
      <w:marLeft w:val="0"/>
      <w:marRight w:val="0"/>
      <w:marTop w:val="0"/>
      <w:marBottom w:val="0"/>
      <w:divBdr>
        <w:top w:val="none" w:sz="0" w:space="0" w:color="auto"/>
        <w:left w:val="none" w:sz="0" w:space="0" w:color="auto"/>
        <w:bottom w:val="none" w:sz="0" w:space="0" w:color="auto"/>
        <w:right w:val="none" w:sz="0" w:space="0" w:color="auto"/>
      </w:divBdr>
    </w:div>
    <w:div w:id="1708946405">
      <w:bodyDiv w:val="1"/>
      <w:marLeft w:val="0"/>
      <w:marRight w:val="0"/>
      <w:marTop w:val="0"/>
      <w:marBottom w:val="0"/>
      <w:divBdr>
        <w:top w:val="none" w:sz="0" w:space="0" w:color="auto"/>
        <w:left w:val="none" w:sz="0" w:space="0" w:color="auto"/>
        <w:bottom w:val="none" w:sz="0" w:space="0" w:color="auto"/>
        <w:right w:val="none" w:sz="0" w:space="0" w:color="auto"/>
      </w:divBdr>
    </w:div>
    <w:div w:id="1709447634">
      <w:bodyDiv w:val="1"/>
      <w:marLeft w:val="0"/>
      <w:marRight w:val="0"/>
      <w:marTop w:val="0"/>
      <w:marBottom w:val="0"/>
      <w:divBdr>
        <w:top w:val="none" w:sz="0" w:space="0" w:color="auto"/>
        <w:left w:val="none" w:sz="0" w:space="0" w:color="auto"/>
        <w:bottom w:val="none" w:sz="0" w:space="0" w:color="auto"/>
        <w:right w:val="none" w:sz="0" w:space="0" w:color="auto"/>
      </w:divBdr>
    </w:div>
    <w:div w:id="1710184891">
      <w:bodyDiv w:val="1"/>
      <w:marLeft w:val="0"/>
      <w:marRight w:val="0"/>
      <w:marTop w:val="0"/>
      <w:marBottom w:val="0"/>
      <w:divBdr>
        <w:top w:val="none" w:sz="0" w:space="0" w:color="auto"/>
        <w:left w:val="none" w:sz="0" w:space="0" w:color="auto"/>
        <w:bottom w:val="none" w:sz="0" w:space="0" w:color="auto"/>
        <w:right w:val="none" w:sz="0" w:space="0" w:color="auto"/>
      </w:divBdr>
    </w:div>
    <w:div w:id="1710258185">
      <w:bodyDiv w:val="1"/>
      <w:marLeft w:val="0"/>
      <w:marRight w:val="0"/>
      <w:marTop w:val="0"/>
      <w:marBottom w:val="0"/>
      <w:divBdr>
        <w:top w:val="none" w:sz="0" w:space="0" w:color="auto"/>
        <w:left w:val="none" w:sz="0" w:space="0" w:color="auto"/>
        <w:bottom w:val="none" w:sz="0" w:space="0" w:color="auto"/>
        <w:right w:val="none" w:sz="0" w:space="0" w:color="auto"/>
      </w:divBdr>
    </w:div>
    <w:div w:id="1712076223">
      <w:bodyDiv w:val="1"/>
      <w:marLeft w:val="0"/>
      <w:marRight w:val="0"/>
      <w:marTop w:val="0"/>
      <w:marBottom w:val="0"/>
      <w:divBdr>
        <w:top w:val="none" w:sz="0" w:space="0" w:color="auto"/>
        <w:left w:val="none" w:sz="0" w:space="0" w:color="auto"/>
        <w:bottom w:val="none" w:sz="0" w:space="0" w:color="auto"/>
        <w:right w:val="none" w:sz="0" w:space="0" w:color="auto"/>
      </w:divBdr>
    </w:div>
    <w:div w:id="1712998066">
      <w:bodyDiv w:val="1"/>
      <w:marLeft w:val="0"/>
      <w:marRight w:val="0"/>
      <w:marTop w:val="0"/>
      <w:marBottom w:val="0"/>
      <w:divBdr>
        <w:top w:val="none" w:sz="0" w:space="0" w:color="auto"/>
        <w:left w:val="none" w:sz="0" w:space="0" w:color="auto"/>
        <w:bottom w:val="none" w:sz="0" w:space="0" w:color="auto"/>
        <w:right w:val="none" w:sz="0" w:space="0" w:color="auto"/>
      </w:divBdr>
    </w:div>
    <w:div w:id="1713310432">
      <w:bodyDiv w:val="1"/>
      <w:marLeft w:val="0"/>
      <w:marRight w:val="0"/>
      <w:marTop w:val="0"/>
      <w:marBottom w:val="0"/>
      <w:divBdr>
        <w:top w:val="none" w:sz="0" w:space="0" w:color="auto"/>
        <w:left w:val="none" w:sz="0" w:space="0" w:color="auto"/>
        <w:bottom w:val="none" w:sz="0" w:space="0" w:color="auto"/>
        <w:right w:val="none" w:sz="0" w:space="0" w:color="auto"/>
      </w:divBdr>
    </w:div>
    <w:div w:id="1713312178">
      <w:bodyDiv w:val="1"/>
      <w:marLeft w:val="0"/>
      <w:marRight w:val="0"/>
      <w:marTop w:val="0"/>
      <w:marBottom w:val="0"/>
      <w:divBdr>
        <w:top w:val="none" w:sz="0" w:space="0" w:color="auto"/>
        <w:left w:val="none" w:sz="0" w:space="0" w:color="auto"/>
        <w:bottom w:val="none" w:sz="0" w:space="0" w:color="auto"/>
        <w:right w:val="none" w:sz="0" w:space="0" w:color="auto"/>
      </w:divBdr>
    </w:div>
    <w:div w:id="1713536727">
      <w:bodyDiv w:val="1"/>
      <w:marLeft w:val="0"/>
      <w:marRight w:val="0"/>
      <w:marTop w:val="0"/>
      <w:marBottom w:val="0"/>
      <w:divBdr>
        <w:top w:val="none" w:sz="0" w:space="0" w:color="auto"/>
        <w:left w:val="none" w:sz="0" w:space="0" w:color="auto"/>
        <w:bottom w:val="none" w:sz="0" w:space="0" w:color="auto"/>
        <w:right w:val="none" w:sz="0" w:space="0" w:color="auto"/>
      </w:divBdr>
    </w:div>
    <w:div w:id="1713963077">
      <w:bodyDiv w:val="1"/>
      <w:marLeft w:val="0"/>
      <w:marRight w:val="0"/>
      <w:marTop w:val="0"/>
      <w:marBottom w:val="0"/>
      <w:divBdr>
        <w:top w:val="none" w:sz="0" w:space="0" w:color="auto"/>
        <w:left w:val="none" w:sz="0" w:space="0" w:color="auto"/>
        <w:bottom w:val="none" w:sz="0" w:space="0" w:color="auto"/>
        <w:right w:val="none" w:sz="0" w:space="0" w:color="auto"/>
      </w:divBdr>
    </w:div>
    <w:div w:id="1715426665">
      <w:bodyDiv w:val="1"/>
      <w:marLeft w:val="0"/>
      <w:marRight w:val="0"/>
      <w:marTop w:val="0"/>
      <w:marBottom w:val="0"/>
      <w:divBdr>
        <w:top w:val="none" w:sz="0" w:space="0" w:color="auto"/>
        <w:left w:val="none" w:sz="0" w:space="0" w:color="auto"/>
        <w:bottom w:val="none" w:sz="0" w:space="0" w:color="auto"/>
        <w:right w:val="none" w:sz="0" w:space="0" w:color="auto"/>
      </w:divBdr>
    </w:div>
    <w:div w:id="1716348825">
      <w:bodyDiv w:val="1"/>
      <w:marLeft w:val="0"/>
      <w:marRight w:val="0"/>
      <w:marTop w:val="0"/>
      <w:marBottom w:val="0"/>
      <w:divBdr>
        <w:top w:val="none" w:sz="0" w:space="0" w:color="auto"/>
        <w:left w:val="none" w:sz="0" w:space="0" w:color="auto"/>
        <w:bottom w:val="none" w:sz="0" w:space="0" w:color="auto"/>
        <w:right w:val="none" w:sz="0" w:space="0" w:color="auto"/>
      </w:divBdr>
    </w:div>
    <w:div w:id="1717005299">
      <w:bodyDiv w:val="1"/>
      <w:marLeft w:val="0"/>
      <w:marRight w:val="0"/>
      <w:marTop w:val="0"/>
      <w:marBottom w:val="0"/>
      <w:divBdr>
        <w:top w:val="none" w:sz="0" w:space="0" w:color="auto"/>
        <w:left w:val="none" w:sz="0" w:space="0" w:color="auto"/>
        <w:bottom w:val="none" w:sz="0" w:space="0" w:color="auto"/>
        <w:right w:val="none" w:sz="0" w:space="0" w:color="auto"/>
      </w:divBdr>
    </w:div>
    <w:div w:id="1717269491">
      <w:bodyDiv w:val="1"/>
      <w:marLeft w:val="0"/>
      <w:marRight w:val="0"/>
      <w:marTop w:val="0"/>
      <w:marBottom w:val="0"/>
      <w:divBdr>
        <w:top w:val="none" w:sz="0" w:space="0" w:color="auto"/>
        <w:left w:val="none" w:sz="0" w:space="0" w:color="auto"/>
        <w:bottom w:val="none" w:sz="0" w:space="0" w:color="auto"/>
        <w:right w:val="none" w:sz="0" w:space="0" w:color="auto"/>
      </w:divBdr>
    </w:div>
    <w:div w:id="1718359239">
      <w:bodyDiv w:val="1"/>
      <w:marLeft w:val="0"/>
      <w:marRight w:val="0"/>
      <w:marTop w:val="0"/>
      <w:marBottom w:val="0"/>
      <w:divBdr>
        <w:top w:val="none" w:sz="0" w:space="0" w:color="auto"/>
        <w:left w:val="none" w:sz="0" w:space="0" w:color="auto"/>
        <w:bottom w:val="none" w:sz="0" w:space="0" w:color="auto"/>
        <w:right w:val="none" w:sz="0" w:space="0" w:color="auto"/>
      </w:divBdr>
    </w:div>
    <w:div w:id="1721439820">
      <w:bodyDiv w:val="1"/>
      <w:marLeft w:val="0"/>
      <w:marRight w:val="0"/>
      <w:marTop w:val="0"/>
      <w:marBottom w:val="0"/>
      <w:divBdr>
        <w:top w:val="none" w:sz="0" w:space="0" w:color="auto"/>
        <w:left w:val="none" w:sz="0" w:space="0" w:color="auto"/>
        <w:bottom w:val="none" w:sz="0" w:space="0" w:color="auto"/>
        <w:right w:val="none" w:sz="0" w:space="0" w:color="auto"/>
      </w:divBdr>
    </w:div>
    <w:div w:id="1722249253">
      <w:bodyDiv w:val="1"/>
      <w:marLeft w:val="0"/>
      <w:marRight w:val="0"/>
      <w:marTop w:val="0"/>
      <w:marBottom w:val="0"/>
      <w:divBdr>
        <w:top w:val="none" w:sz="0" w:space="0" w:color="auto"/>
        <w:left w:val="none" w:sz="0" w:space="0" w:color="auto"/>
        <w:bottom w:val="none" w:sz="0" w:space="0" w:color="auto"/>
        <w:right w:val="none" w:sz="0" w:space="0" w:color="auto"/>
      </w:divBdr>
    </w:div>
    <w:div w:id="1724520375">
      <w:bodyDiv w:val="1"/>
      <w:marLeft w:val="0"/>
      <w:marRight w:val="0"/>
      <w:marTop w:val="0"/>
      <w:marBottom w:val="0"/>
      <w:divBdr>
        <w:top w:val="none" w:sz="0" w:space="0" w:color="auto"/>
        <w:left w:val="none" w:sz="0" w:space="0" w:color="auto"/>
        <w:bottom w:val="none" w:sz="0" w:space="0" w:color="auto"/>
        <w:right w:val="none" w:sz="0" w:space="0" w:color="auto"/>
      </w:divBdr>
    </w:div>
    <w:div w:id="1725327534">
      <w:bodyDiv w:val="1"/>
      <w:marLeft w:val="0"/>
      <w:marRight w:val="0"/>
      <w:marTop w:val="0"/>
      <w:marBottom w:val="0"/>
      <w:divBdr>
        <w:top w:val="none" w:sz="0" w:space="0" w:color="auto"/>
        <w:left w:val="none" w:sz="0" w:space="0" w:color="auto"/>
        <w:bottom w:val="none" w:sz="0" w:space="0" w:color="auto"/>
        <w:right w:val="none" w:sz="0" w:space="0" w:color="auto"/>
      </w:divBdr>
    </w:div>
    <w:div w:id="1725369507">
      <w:bodyDiv w:val="1"/>
      <w:marLeft w:val="0"/>
      <w:marRight w:val="0"/>
      <w:marTop w:val="0"/>
      <w:marBottom w:val="0"/>
      <w:divBdr>
        <w:top w:val="none" w:sz="0" w:space="0" w:color="auto"/>
        <w:left w:val="none" w:sz="0" w:space="0" w:color="auto"/>
        <w:bottom w:val="none" w:sz="0" w:space="0" w:color="auto"/>
        <w:right w:val="none" w:sz="0" w:space="0" w:color="auto"/>
      </w:divBdr>
    </w:div>
    <w:div w:id="1725451345">
      <w:bodyDiv w:val="1"/>
      <w:marLeft w:val="0"/>
      <w:marRight w:val="0"/>
      <w:marTop w:val="0"/>
      <w:marBottom w:val="0"/>
      <w:divBdr>
        <w:top w:val="none" w:sz="0" w:space="0" w:color="auto"/>
        <w:left w:val="none" w:sz="0" w:space="0" w:color="auto"/>
        <w:bottom w:val="none" w:sz="0" w:space="0" w:color="auto"/>
        <w:right w:val="none" w:sz="0" w:space="0" w:color="auto"/>
      </w:divBdr>
    </w:div>
    <w:div w:id="1725568729">
      <w:bodyDiv w:val="1"/>
      <w:marLeft w:val="0"/>
      <w:marRight w:val="0"/>
      <w:marTop w:val="0"/>
      <w:marBottom w:val="0"/>
      <w:divBdr>
        <w:top w:val="none" w:sz="0" w:space="0" w:color="auto"/>
        <w:left w:val="none" w:sz="0" w:space="0" w:color="auto"/>
        <w:bottom w:val="none" w:sz="0" w:space="0" w:color="auto"/>
        <w:right w:val="none" w:sz="0" w:space="0" w:color="auto"/>
      </w:divBdr>
    </w:div>
    <w:div w:id="1728802289">
      <w:bodyDiv w:val="1"/>
      <w:marLeft w:val="0"/>
      <w:marRight w:val="0"/>
      <w:marTop w:val="0"/>
      <w:marBottom w:val="0"/>
      <w:divBdr>
        <w:top w:val="none" w:sz="0" w:space="0" w:color="auto"/>
        <w:left w:val="none" w:sz="0" w:space="0" w:color="auto"/>
        <w:bottom w:val="none" w:sz="0" w:space="0" w:color="auto"/>
        <w:right w:val="none" w:sz="0" w:space="0" w:color="auto"/>
      </w:divBdr>
    </w:div>
    <w:div w:id="1729913741">
      <w:bodyDiv w:val="1"/>
      <w:marLeft w:val="0"/>
      <w:marRight w:val="0"/>
      <w:marTop w:val="0"/>
      <w:marBottom w:val="0"/>
      <w:divBdr>
        <w:top w:val="none" w:sz="0" w:space="0" w:color="auto"/>
        <w:left w:val="none" w:sz="0" w:space="0" w:color="auto"/>
        <w:bottom w:val="none" w:sz="0" w:space="0" w:color="auto"/>
        <w:right w:val="none" w:sz="0" w:space="0" w:color="auto"/>
      </w:divBdr>
    </w:div>
    <w:div w:id="1729962078">
      <w:bodyDiv w:val="1"/>
      <w:marLeft w:val="0"/>
      <w:marRight w:val="0"/>
      <w:marTop w:val="0"/>
      <w:marBottom w:val="0"/>
      <w:divBdr>
        <w:top w:val="none" w:sz="0" w:space="0" w:color="auto"/>
        <w:left w:val="none" w:sz="0" w:space="0" w:color="auto"/>
        <w:bottom w:val="none" w:sz="0" w:space="0" w:color="auto"/>
        <w:right w:val="none" w:sz="0" w:space="0" w:color="auto"/>
      </w:divBdr>
    </w:div>
    <w:div w:id="1730574220">
      <w:bodyDiv w:val="1"/>
      <w:marLeft w:val="0"/>
      <w:marRight w:val="0"/>
      <w:marTop w:val="0"/>
      <w:marBottom w:val="0"/>
      <w:divBdr>
        <w:top w:val="none" w:sz="0" w:space="0" w:color="auto"/>
        <w:left w:val="none" w:sz="0" w:space="0" w:color="auto"/>
        <w:bottom w:val="none" w:sz="0" w:space="0" w:color="auto"/>
        <w:right w:val="none" w:sz="0" w:space="0" w:color="auto"/>
      </w:divBdr>
    </w:div>
    <w:div w:id="1731029342">
      <w:bodyDiv w:val="1"/>
      <w:marLeft w:val="0"/>
      <w:marRight w:val="0"/>
      <w:marTop w:val="0"/>
      <w:marBottom w:val="0"/>
      <w:divBdr>
        <w:top w:val="none" w:sz="0" w:space="0" w:color="auto"/>
        <w:left w:val="none" w:sz="0" w:space="0" w:color="auto"/>
        <w:bottom w:val="none" w:sz="0" w:space="0" w:color="auto"/>
        <w:right w:val="none" w:sz="0" w:space="0" w:color="auto"/>
      </w:divBdr>
    </w:div>
    <w:div w:id="1731922937">
      <w:bodyDiv w:val="1"/>
      <w:marLeft w:val="0"/>
      <w:marRight w:val="0"/>
      <w:marTop w:val="0"/>
      <w:marBottom w:val="0"/>
      <w:divBdr>
        <w:top w:val="none" w:sz="0" w:space="0" w:color="auto"/>
        <w:left w:val="none" w:sz="0" w:space="0" w:color="auto"/>
        <w:bottom w:val="none" w:sz="0" w:space="0" w:color="auto"/>
        <w:right w:val="none" w:sz="0" w:space="0" w:color="auto"/>
      </w:divBdr>
    </w:div>
    <w:div w:id="1731925390">
      <w:bodyDiv w:val="1"/>
      <w:marLeft w:val="0"/>
      <w:marRight w:val="0"/>
      <w:marTop w:val="0"/>
      <w:marBottom w:val="0"/>
      <w:divBdr>
        <w:top w:val="none" w:sz="0" w:space="0" w:color="auto"/>
        <w:left w:val="none" w:sz="0" w:space="0" w:color="auto"/>
        <w:bottom w:val="none" w:sz="0" w:space="0" w:color="auto"/>
        <w:right w:val="none" w:sz="0" w:space="0" w:color="auto"/>
      </w:divBdr>
    </w:div>
    <w:div w:id="1731999500">
      <w:bodyDiv w:val="1"/>
      <w:marLeft w:val="0"/>
      <w:marRight w:val="0"/>
      <w:marTop w:val="0"/>
      <w:marBottom w:val="0"/>
      <w:divBdr>
        <w:top w:val="none" w:sz="0" w:space="0" w:color="auto"/>
        <w:left w:val="none" w:sz="0" w:space="0" w:color="auto"/>
        <w:bottom w:val="none" w:sz="0" w:space="0" w:color="auto"/>
        <w:right w:val="none" w:sz="0" w:space="0" w:color="auto"/>
      </w:divBdr>
    </w:div>
    <w:div w:id="1732731357">
      <w:bodyDiv w:val="1"/>
      <w:marLeft w:val="0"/>
      <w:marRight w:val="0"/>
      <w:marTop w:val="0"/>
      <w:marBottom w:val="0"/>
      <w:divBdr>
        <w:top w:val="none" w:sz="0" w:space="0" w:color="auto"/>
        <w:left w:val="none" w:sz="0" w:space="0" w:color="auto"/>
        <w:bottom w:val="none" w:sz="0" w:space="0" w:color="auto"/>
        <w:right w:val="none" w:sz="0" w:space="0" w:color="auto"/>
      </w:divBdr>
    </w:div>
    <w:div w:id="1733505798">
      <w:bodyDiv w:val="1"/>
      <w:marLeft w:val="0"/>
      <w:marRight w:val="0"/>
      <w:marTop w:val="0"/>
      <w:marBottom w:val="0"/>
      <w:divBdr>
        <w:top w:val="none" w:sz="0" w:space="0" w:color="auto"/>
        <w:left w:val="none" w:sz="0" w:space="0" w:color="auto"/>
        <w:bottom w:val="none" w:sz="0" w:space="0" w:color="auto"/>
        <w:right w:val="none" w:sz="0" w:space="0" w:color="auto"/>
      </w:divBdr>
    </w:div>
    <w:div w:id="1733654149">
      <w:bodyDiv w:val="1"/>
      <w:marLeft w:val="0"/>
      <w:marRight w:val="0"/>
      <w:marTop w:val="0"/>
      <w:marBottom w:val="0"/>
      <w:divBdr>
        <w:top w:val="none" w:sz="0" w:space="0" w:color="auto"/>
        <w:left w:val="none" w:sz="0" w:space="0" w:color="auto"/>
        <w:bottom w:val="none" w:sz="0" w:space="0" w:color="auto"/>
        <w:right w:val="none" w:sz="0" w:space="0" w:color="auto"/>
      </w:divBdr>
    </w:div>
    <w:div w:id="1733772128">
      <w:bodyDiv w:val="1"/>
      <w:marLeft w:val="0"/>
      <w:marRight w:val="0"/>
      <w:marTop w:val="0"/>
      <w:marBottom w:val="0"/>
      <w:divBdr>
        <w:top w:val="none" w:sz="0" w:space="0" w:color="auto"/>
        <w:left w:val="none" w:sz="0" w:space="0" w:color="auto"/>
        <w:bottom w:val="none" w:sz="0" w:space="0" w:color="auto"/>
        <w:right w:val="none" w:sz="0" w:space="0" w:color="auto"/>
      </w:divBdr>
    </w:div>
    <w:div w:id="1738160816">
      <w:bodyDiv w:val="1"/>
      <w:marLeft w:val="0"/>
      <w:marRight w:val="0"/>
      <w:marTop w:val="0"/>
      <w:marBottom w:val="0"/>
      <w:divBdr>
        <w:top w:val="none" w:sz="0" w:space="0" w:color="auto"/>
        <w:left w:val="none" w:sz="0" w:space="0" w:color="auto"/>
        <w:bottom w:val="none" w:sz="0" w:space="0" w:color="auto"/>
        <w:right w:val="none" w:sz="0" w:space="0" w:color="auto"/>
      </w:divBdr>
    </w:div>
    <w:div w:id="1738163441">
      <w:bodyDiv w:val="1"/>
      <w:marLeft w:val="0"/>
      <w:marRight w:val="0"/>
      <w:marTop w:val="0"/>
      <w:marBottom w:val="0"/>
      <w:divBdr>
        <w:top w:val="none" w:sz="0" w:space="0" w:color="auto"/>
        <w:left w:val="none" w:sz="0" w:space="0" w:color="auto"/>
        <w:bottom w:val="none" w:sz="0" w:space="0" w:color="auto"/>
        <w:right w:val="none" w:sz="0" w:space="0" w:color="auto"/>
      </w:divBdr>
    </w:div>
    <w:div w:id="1738236293">
      <w:bodyDiv w:val="1"/>
      <w:marLeft w:val="0"/>
      <w:marRight w:val="0"/>
      <w:marTop w:val="0"/>
      <w:marBottom w:val="0"/>
      <w:divBdr>
        <w:top w:val="none" w:sz="0" w:space="0" w:color="auto"/>
        <w:left w:val="none" w:sz="0" w:space="0" w:color="auto"/>
        <w:bottom w:val="none" w:sz="0" w:space="0" w:color="auto"/>
        <w:right w:val="none" w:sz="0" w:space="0" w:color="auto"/>
      </w:divBdr>
    </w:div>
    <w:div w:id="1738480327">
      <w:bodyDiv w:val="1"/>
      <w:marLeft w:val="0"/>
      <w:marRight w:val="0"/>
      <w:marTop w:val="0"/>
      <w:marBottom w:val="0"/>
      <w:divBdr>
        <w:top w:val="none" w:sz="0" w:space="0" w:color="auto"/>
        <w:left w:val="none" w:sz="0" w:space="0" w:color="auto"/>
        <w:bottom w:val="none" w:sz="0" w:space="0" w:color="auto"/>
        <w:right w:val="none" w:sz="0" w:space="0" w:color="auto"/>
      </w:divBdr>
    </w:div>
    <w:div w:id="1738897138">
      <w:bodyDiv w:val="1"/>
      <w:marLeft w:val="0"/>
      <w:marRight w:val="0"/>
      <w:marTop w:val="0"/>
      <w:marBottom w:val="0"/>
      <w:divBdr>
        <w:top w:val="none" w:sz="0" w:space="0" w:color="auto"/>
        <w:left w:val="none" w:sz="0" w:space="0" w:color="auto"/>
        <w:bottom w:val="none" w:sz="0" w:space="0" w:color="auto"/>
        <w:right w:val="none" w:sz="0" w:space="0" w:color="auto"/>
      </w:divBdr>
    </w:div>
    <w:div w:id="1742286919">
      <w:bodyDiv w:val="1"/>
      <w:marLeft w:val="0"/>
      <w:marRight w:val="0"/>
      <w:marTop w:val="0"/>
      <w:marBottom w:val="0"/>
      <w:divBdr>
        <w:top w:val="none" w:sz="0" w:space="0" w:color="auto"/>
        <w:left w:val="none" w:sz="0" w:space="0" w:color="auto"/>
        <w:bottom w:val="none" w:sz="0" w:space="0" w:color="auto"/>
        <w:right w:val="none" w:sz="0" w:space="0" w:color="auto"/>
      </w:divBdr>
    </w:div>
    <w:div w:id="1743596887">
      <w:bodyDiv w:val="1"/>
      <w:marLeft w:val="0"/>
      <w:marRight w:val="0"/>
      <w:marTop w:val="0"/>
      <w:marBottom w:val="0"/>
      <w:divBdr>
        <w:top w:val="none" w:sz="0" w:space="0" w:color="auto"/>
        <w:left w:val="none" w:sz="0" w:space="0" w:color="auto"/>
        <w:bottom w:val="none" w:sz="0" w:space="0" w:color="auto"/>
        <w:right w:val="none" w:sz="0" w:space="0" w:color="auto"/>
      </w:divBdr>
    </w:div>
    <w:div w:id="1745833872">
      <w:bodyDiv w:val="1"/>
      <w:marLeft w:val="0"/>
      <w:marRight w:val="0"/>
      <w:marTop w:val="0"/>
      <w:marBottom w:val="0"/>
      <w:divBdr>
        <w:top w:val="none" w:sz="0" w:space="0" w:color="auto"/>
        <w:left w:val="none" w:sz="0" w:space="0" w:color="auto"/>
        <w:bottom w:val="none" w:sz="0" w:space="0" w:color="auto"/>
        <w:right w:val="none" w:sz="0" w:space="0" w:color="auto"/>
      </w:divBdr>
    </w:div>
    <w:div w:id="1746418951">
      <w:bodyDiv w:val="1"/>
      <w:marLeft w:val="0"/>
      <w:marRight w:val="0"/>
      <w:marTop w:val="0"/>
      <w:marBottom w:val="0"/>
      <w:divBdr>
        <w:top w:val="none" w:sz="0" w:space="0" w:color="auto"/>
        <w:left w:val="none" w:sz="0" w:space="0" w:color="auto"/>
        <w:bottom w:val="none" w:sz="0" w:space="0" w:color="auto"/>
        <w:right w:val="none" w:sz="0" w:space="0" w:color="auto"/>
      </w:divBdr>
    </w:div>
    <w:div w:id="1746876757">
      <w:bodyDiv w:val="1"/>
      <w:marLeft w:val="0"/>
      <w:marRight w:val="0"/>
      <w:marTop w:val="0"/>
      <w:marBottom w:val="0"/>
      <w:divBdr>
        <w:top w:val="none" w:sz="0" w:space="0" w:color="auto"/>
        <w:left w:val="none" w:sz="0" w:space="0" w:color="auto"/>
        <w:bottom w:val="none" w:sz="0" w:space="0" w:color="auto"/>
        <w:right w:val="none" w:sz="0" w:space="0" w:color="auto"/>
      </w:divBdr>
    </w:div>
    <w:div w:id="1748840038">
      <w:bodyDiv w:val="1"/>
      <w:marLeft w:val="0"/>
      <w:marRight w:val="0"/>
      <w:marTop w:val="0"/>
      <w:marBottom w:val="0"/>
      <w:divBdr>
        <w:top w:val="none" w:sz="0" w:space="0" w:color="auto"/>
        <w:left w:val="none" w:sz="0" w:space="0" w:color="auto"/>
        <w:bottom w:val="none" w:sz="0" w:space="0" w:color="auto"/>
        <w:right w:val="none" w:sz="0" w:space="0" w:color="auto"/>
      </w:divBdr>
    </w:div>
    <w:div w:id="1752965365">
      <w:bodyDiv w:val="1"/>
      <w:marLeft w:val="0"/>
      <w:marRight w:val="0"/>
      <w:marTop w:val="0"/>
      <w:marBottom w:val="0"/>
      <w:divBdr>
        <w:top w:val="none" w:sz="0" w:space="0" w:color="auto"/>
        <w:left w:val="none" w:sz="0" w:space="0" w:color="auto"/>
        <w:bottom w:val="none" w:sz="0" w:space="0" w:color="auto"/>
        <w:right w:val="none" w:sz="0" w:space="0" w:color="auto"/>
      </w:divBdr>
    </w:div>
    <w:div w:id="1753503557">
      <w:bodyDiv w:val="1"/>
      <w:marLeft w:val="0"/>
      <w:marRight w:val="0"/>
      <w:marTop w:val="0"/>
      <w:marBottom w:val="0"/>
      <w:divBdr>
        <w:top w:val="none" w:sz="0" w:space="0" w:color="auto"/>
        <w:left w:val="none" w:sz="0" w:space="0" w:color="auto"/>
        <w:bottom w:val="none" w:sz="0" w:space="0" w:color="auto"/>
        <w:right w:val="none" w:sz="0" w:space="0" w:color="auto"/>
      </w:divBdr>
    </w:div>
    <w:div w:id="1754811158">
      <w:bodyDiv w:val="1"/>
      <w:marLeft w:val="0"/>
      <w:marRight w:val="0"/>
      <w:marTop w:val="0"/>
      <w:marBottom w:val="0"/>
      <w:divBdr>
        <w:top w:val="none" w:sz="0" w:space="0" w:color="auto"/>
        <w:left w:val="none" w:sz="0" w:space="0" w:color="auto"/>
        <w:bottom w:val="none" w:sz="0" w:space="0" w:color="auto"/>
        <w:right w:val="none" w:sz="0" w:space="0" w:color="auto"/>
      </w:divBdr>
    </w:div>
    <w:div w:id="1757285235">
      <w:bodyDiv w:val="1"/>
      <w:marLeft w:val="0"/>
      <w:marRight w:val="0"/>
      <w:marTop w:val="0"/>
      <w:marBottom w:val="0"/>
      <w:divBdr>
        <w:top w:val="none" w:sz="0" w:space="0" w:color="auto"/>
        <w:left w:val="none" w:sz="0" w:space="0" w:color="auto"/>
        <w:bottom w:val="none" w:sz="0" w:space="0" w:color="auto"/>
        <w:right w:val="none" w:sz="0" w:space="0" w:color="auto"/>
      </w:divBdr>
    </w:div>
    <w:div w:id="1758936488">
      <w:bodyDiv w:val="1"/>
      <w:marLeft w:val="0"/>
      <w:marRight w:val="0"/>
      <w:marTop w:val="0"/>
      <w:marBottom w:val="0"/>
      <w:divBdr>
        <w:top w:val="none" w:sz="0" w:space="0" w:color="auto"/>
        <w:left w:val="none" w:sz="0" w:space="0" w:color="auto"/>
        <w:bottom w:val="none" w:sz="0" w:space="0" w:color="auto"/>
        <w:right w:val="none" w:sz="0" w:space="0" w:color="auto"/>
      </w:divBdr>
    </w:div>
    <w:div w:id="1760785151">
      <w:bodyDiv w:val="1"/>
      <w:marLeft w:val="0"/>
      <w:marRight w:val="0"/>
      <w:marTop w:val="0"/>
      <w:marBottom w:val="0"/>
      <w:divBdr>
        <w:top w:val="none" w:sz="0" w:space="0" w:color="auto"/>
        <w:left w:val="none" w:sz="0" w:space="0" w:color="auto"/>
        <w:bottom w:val="none" w:sz="0" w:space="0" w:color="auto"/>
        <w:right w:val="none" w:sz="0" w:space="0" w:color="auto"/>
      </w:divBdr>
    </w:div>
    <w:div w:id="1763258196">
      <w:bodyDiv w:val="1"/>
      <w:marLeft w:val="0"/>
      <w:marRight w:val="0"/>
      <w:marTop w:val="0"/>
      <w:marBottom w:val="0"/>
      <w:divBdr>
        <w:top w:val="none" w:sz="0" w:space="0" w:color="auto"/>
        <w:left w:val="none" w:sz="0" w:space="0" w:color="auto"/>
        <w:bottom w:val="none" w:sz="0" w:space="0" w:color="auto"/>
        <w:right w:val="none" w:sz="0" w:space="0" w:color="auto"/>
      </w:divBdr>
    </w:div>
    <w:div w:id="1763720832">
      <w:bodyDiv w:val="1"/>
      <w:marLeft w:val="0"/>
      <w:marRight w:val="0"/>
      <w:marTop w:val="0"/>
      <w:marBottom w:val="0"/>
      <w:divBdr>
        <w:top w:val="none" w:sz="0" w:space="0" w:color="auto"/>
        <w:left w:val="none" w:sz="0" w:space="0" w:color="auto"/>
        <w:bottom w:val="none" w:sz="0" w:space="0" w:color="auto"/>
        <w:right w:val="none" w:sz="0" w:space="0" w:color="auto"/>
      </w:divBdr>
    </w:div>
    <w:div w:id="1764035308">
      <w:bodyDiv w:val="1"/>
      <w:marLeft w:val="0"/>
      <w:marRight w:val="0"/>
      <w:marTop w:val="0"/>
      <w:marBottom w:val="0"/>
      <w:divBdr>
        <w:top w:val="none" w:sz="0" w:space="0" w:color="auto"/>
        <w:left w:val="none" w:sz="0" w:space="0" w:color="auto"/>
        <w:bottom w:val="none" w:sz="0" w:space="0" w:color="auto"/>
        <w:right w:val="none" w:sz="0" w:space="0" w:color="auto"/>
      </w:divBdr>
    </w:div>
    <w:div w:id="1764763157">
      <w:bodyDiv w:val="1"/>
      <w:marLeft w:val="0"/>
      <w:marRight w:val="0"/>
      <w:marTop w:val="0"/>
      <w:marBottom w:val="0"/>
      <w:divBdr>
        <w:top w:val="none" w:sz="0" w:space="0" w:color="auto"/>
        <w:left w:val="none" w:sz="0" w:space="0" w:color="auto"/>
        <w:bottom w:val="none" w:sz="0" w:space="0" w:color="auto"/>
        <w:right w:val="none" w:sz="0" w:space="0" w:color="auto"/>
      </w:divBdr>
    </w:div>
    <w:div w:id="1765612974">
      <w:bodyDiv w:val="1"/>
      <w:marLeft w:val="0"/>
      <w:marRight w:val="0"/>
      <w:marTop w:val="0"/>
      <w:marBottom w:val="0"/>
      <w:divBdr>
        <w:top w:val="none" w:sz="0" w:space="0" w:color="auto"/>
        <w:left w:val="none" w:sz="0" w:space="0" w:color="auto"/>
        <w:bottom w:val="none" w:sz="0" w:space="0" w:color="auto"/>
        <w:right w:val="none" w:sz="0" w:space="0" w:color="auto"/>
      </w:divBdr>
    </w:div>
    <w:div w:id="1767580513">
      <w:bodyDiv w:val="1"/>
      <w:marLeft w:val="0"/>
      <w:marRight w:val="0"/>
      <w:marTop w:val="0"/>
      <w:marBottom w:val="0"/>
      <w:divBdr>
        <w:top w:val="none" w:sz="0" w:space="0" w:color="auto"/>
        <w:left w:val="none" w:sz="0" w:space="0" w:color="auto"/>
        <w:bottom w:val="none" w:sz="0" w:space="0" w:color="auto"/>
        <w:right w:val="none" w:sz="0" w:space="0" w:color="auto"/>
      </w:divBdr>
    </w:div>
    <w:div w:id="1768966412">
      <w:bodyDiv w:val="1"/>
      <w:marLeft w:val="0"/>
      <w:marRight w:val="0"/>
      <w:marTop w:val="0"/>
      <w:marBottom w:val="0"/>
      <w:divBdr>
        <w:top w:val="none" w:sz="0" w:space="0" w:color="auto"/>
        <w:left w:val="none" w:sz="0" w:space="0" w:color="auto"/>
        <w:bottom w:val="none" w:sz="0" w:space="0" w:color="auto"/>
        <w:right w:val="none" w:sz="0" w:space="0" w:color="auto"/>
      </w:divBdr>
    </w:div>
    <w:div w:id="1769425434">
      <w:bodyDiv w:val="1"/>
      <w:marLeft w:val="0"/>
      <w:marRight w:val="0"/>
      <w:marTop w:val="0"/>
      <w:marBottom w:val="0"/>
      <w:divBdr>
        <w:top w:val="none" w:sz="0" w:space="0" w:color="auto"/>
        <w:left w:val="none" w:sz="0" w:space="0" w:color="auto"/>
        <w:bottom w:val="none" w:sz="0" w:space="0" w:color="auto"/>
        <w:right w:val="none" w:sz="0" w:space="0" w:color="auto"/>
      </w:divBdr>
    </w:div>
    <w:div w:id="1769498645">
      <w:bodyDiv w:val="1"/>
      <w:marLeft w:val="0"/>
      <w:marRight w:val="0"/>
      <w:marTop w:val="0"/>
      <w:marBottom w:val="0"/>
      <w:divBdr>
        <w:top w:val="none" w:sz="0" w:space="0" w:color="auto"/>
        <w:left w:val="none" w:sz="0" w:space="0" w:color="auto"/>
        <w:bottom w:val="none" w:sz="0" w:space="0" w:color="auto"/>
        <w:right w:val="none" w:sz="0" w:space="0" w:color="auto"/>
      </w:divBdr>
    </w:div>
    <w:div w:id="1769884479">
      <w:bodyDiv w:val="1"/>
      <w:marLeft w:val="0"/>
      <w:marRight w:val="0"/>
      <w:marTop w:val="0"/>
      <w:marBottom w:val="0"/>
      <w:divBdr>
        <w:top w:val="none" w:sz="0" w:space="0" w:color="auto"/>
        <w:left w:val="none" w:sz="0" w:space="0" w:color="auto"/>
        <w:bottom w:val="none" w:sz="0" w:space="0" w:color="auto"/>
        <w:right w:val="none" w:sz="0" w:space="0" w:color="auto"/>
      </w:divBdr>
    </w:div>
    <w:div w:id="1770850592">
      <w:bodyDiv w:val="1"/>
      <w:marLeft w:val="0"/>
      <w:marRight w:val="0"/>
      <w:marTop w:val="0"/>
      <w:marBottom w:val="0"/>
      <w:divBdr>
        <w:top w:val="none" w:sz="0" w:space="0" w:color="auto"/>
        <w:left w:val="none" w:sz="0" w:space="0" w:color="auto"/>
        <w:bottom w:val="none" w:sz="0" w:space="0" w:color="auto"/>
        <w:right w:val="none" w:sz="0" w:space="0" w:color="auto"/>
      </w:divBdr>
    </w:div>
    <w:div w:id="1771851988">
      <w:bodyDiv w:val="1"/>
      <w:marLeft w:val="0"/>
      <w:marRight w:val="0"/>
      <w:marTop w:val="0"/>
      <w:marBottom w:val="0"/>
      <w:divBdr>
        <w:top w:val="none" w:sz="0" w:space="0" w:color="auto"/>
        <w:left w:val="none" w:sz="0" w:space="0" w:color="auto"/>
        <w:bottom w:val="none" w:sz="0" w:space="0" w:color="auto"/>
        <w:right w:val="none" w:sz="0" w:space="0" w:color="auto"/>
      </w:divBdr>
    </w:div>
    <w:div w:id="1772317664">
      <w:bodyDiv w:val="1"/>
      <w:marLeft w:val="0"/>
      <w:marRight w:val="0"/>
      <w:marTop w:val="0"/>
      <w:marBottom w:val="0"/>
      <w:divBdr>
        <w:top w:val="none" w:sz="0" w:space="0" w:color="auto"/>
        <w:left w:val="none" w:sz="0" w:space="0" w:color="auto"/>
        <w:bottom w:val="none" w:sz="0" w:space="0" w:color="auto"/>
        <w:right w:val="none" w:sz="0" w:space="0" w:color="auto"/>
      </w:divBdr>
    </w:div>
    <w:div w:id="1772702277">
      <w:bodyDiv w:val="1"/>
      <w:marLeft w:val="0"/>
      <w:marRight w:val="0"/>
      <w:marTop w:val="0"/>
      <w:marBottom w:val="0"/>
      <w:divBdr>
        <w:top w:val="none" w:sz="0" w:space="0" w:color="auto"/>
        <w:left w:val="none" w:sz="0" w:space="0" w:color="auto"/>
        <w:bottom w:val="none" w:sz="0" w:space="0" w:color="auto"/>
        <w:right w:val="none" w:sz="0" w:space="0" w:color="auto"/>
      </w:divBdr>
    </w:div>
    <w:div w:id="1773090937">
      <w:bodyDiv w:val="1"/>
      <w:marLeft w:val="0"/>
      <w:marRight w:val="0"/>
      <w:marTop w:val="0"/>
      <w:marBottom w:val="0"/>
      <w:divBdr>
        <w:top w:val="none" w:sz="0" w:space="0" w:color="auto"/>
        <w:left w:val="none" w:sz="0" w:space="0" w:color="auto"/>
        <w:bottom w:val="none" w:sz="0" w:space="0" w:color="auto"/>
        <w:right w:val="none" w:sz="0" w:space="0" w:color="auto"/>
      </w:divBdr>
    </w:div>
    <w:div w:id="1773933435">
      <w:bodyDiv w:val="1"/>
      <w:marLeft w:val="0"/>
      <w:marRight w:val="0"/>
      <w:marTop w:val="0"/>
      <w:marBottom w:val="0"/>
      <w:divBdr>
        <w:top w:val="none" w:sz="0" w:space="0" w:color="auto"/>
        <w:left w:val="none" w:sz="0" w:space="0" w:color="auto"/>
        <w:bottom w:val="none" w:sz="0" w:space="0" w:color="auto"/>
        <w:right w:val="none" w:sz="0" w:space="0" w:color="auto"/>
      </w:divBdr>
    </w:div>
    <w:div w:id="1774589823">
      <w:bodyDiv w:val="1"/>
      <w:marLeft w:val="0"/>
      <w:marRight w:val="0"/>
      <w:marTop w:val="0"/>
      <w:marBottom w:val="0"/>
      <w:divBdr>
        <w:top w:val="none" w:sz="0" w:space="0" w:color="auto"/>
        <w:left w:val="none" w:sz="0" w:space="0" w:color="auto"/>
        <w:bottom w:val="none" w:sz="0" w:space="0" w:color="auto"/>
        <w:right w:val="none" w:sz="0" w:space="0" w:color="auto"/>
      </w:divBdr>
    </w:div>
    <w:div w:id="1777285935">
      <w:bodyDiv w:val="1"/>
      <w:marLeft w:val="0"/>
      <w:marRight w:val="0"/>
      <w:marTop w:val="0"/>
      <w:marBottom w:val="0"/>
      <w:divBdr>
        <w:top w:val="none" w:sz="0" w:space="0" w:color="auto"/>
        <w:left w:val="none" w:sz="0" w:space="0" w:color="auto"/>
        <w:bottom w:val="none" w:sz="0" w:space="0" w:color="auto"/>
        <w:right w:val="none" w:sz="0" w:space="0" w:color="auto"/>
      </w:divBdr>
    </w:div>
    <w:div w:id="1781023040">
      <w:bodyDiv w:val="1"/>
      <w:marLeft w:val="0"/>
      <w:marRight w:val="0"/>
      <w:marTop w:val="0"/>
      <w:marBottom w:val="0"/>
      <w:divBdr>
        <w:top w:val="none" w:sz="0" w:space="0" w:color="auto"/>
        <w:left w:val="none" w:sz="0" w:space="0" w:color="auto"/>
        <w:bottom w:val="none" w:sz="0" w:space="0" w:color="auto"/>
        <w:right w:val="none" w:sz="0" w:space="0" w:color="auto"/>
      </w:divBdr>
    </w:div>
    <w:div w:id="1783381792">
      <w:bodyDiv w:val="1"/>
      <w:marLeft w:val="0"/>
      <w:marRight w:val="0"/>
      <w:marTop w:val="0"/>
      <w:marBottom w:val="0"/>
      <w:divBdr>
        <w:top w:val="none" w:sz="0" w:space="0" w:color="auto"/>
        <w:left w:val="none" w:sz="0" w:space="0" w:color="auto"/>
        <w:bottom w:val="none" w:sz="0" w:space="0" w:color="auto"/>
        <w:right w:val="none" w:sz="0" w:space="0" w:color="auto"/>
      </w:divBdr>
    </w:div>
    <w:div w:id="1783499143">
      <w:bodyDiv w:val="1"/>
      <w:marLeft w:val="0"/>
      <w:marRight w:val="0"/>
      <w:marTop w:val="0"/>
      <w:marBottom w:val="0"/>
      <w:divBdr>
        <w:top w:val="none" w:sz="0" w:space="0" w:color="auto"/>
        <w:left w:val="none" w:sz="0" w:space="0" w:color="auto"/>
        <w:bottom w:val="none" w:sz="0" w:space="0" w:color="auto"/>
        <w:right w:val="none" w:sz="0" w:space="0" w:color="auto"/>
      </w:divBdr>
    </w:div>
    <w:div w:id="1783718753">
      <w:bodyDiv w:val="1"/>
      <w:marLeft w:val="0"/>
      <w:marRight w:val="0"/>
      <w:marTop w:val="0"/>
      <w:marBottom w:val="0"/>
      <w:divBdr>
        <w:top w:val="none" w:sz="0" w:space="0" w:color="auto"/>
        <w:left w:val="none" w:sz="0" w:space="0" w:color="auto"/>
        <w:bottom w:val="none" w:sz="0" w:space="0" w:color="auto"/>
        <w:right w:val="none" w:sz="0" w:space="0" w:color="auto"/>
      </w:divBdr>
    </w:div>
    <w:div w:id="1784306334">
      <w:bodyDiv w:val="1"/>
      <w:marLeft w:val="0"/>
      <w:marRight w:val="0"/>
      <w:marTop w:val="0"/>
      <w:marBottom w:val="0"/>
      <w:divBdr>
        <w:top w:val="none" w:sz="0" w:space="0" w:color="auto"/>
        <w:left w:val="none" w:sz="0" w:space="0" w:color="auto"/>
        <w:bottom w:val="none" w:sz="0" w:space="0" w:color="auto"/>
        <w:right w:val="none" w:sz="0" w:space="0" w:color="auto"/>
      </w:divBdr>
    </w:div>
    <w:div w:id="1785734868">
      <w:bodyDiv w:val="1"/>
      <w:marLeft w:val="0"/>
      <w:marRight w:val="0"/>
      <w:marTop w:val="0"/>
      <w:marBottom w:val="0"/>
      <w:divBdr>
        <w:top w:val="none" w:sz="0" w:space="0" w:color="auto"/>
        <w:left w:val="none" w:sz="0" w:space="0" w:color="auto"/>
        <w:bottom w:val="none" w:sz="0" w:space="0" w:color="auto"/>
        <w:right w:val="none" w:sz="0" w:space="0" w:color="auto"/>
      </w:divBdr>
    </w:div>
    <w:div w:id="1787888223">
      <w:bodyDiv w:val="1"/>
      <w:marLeft w:val="0"/>
      <w:marRight w:val="0"/>
      <w:marTop w:val="0"/>
      <w:marBottom w:val="0"/>
      <w:divBdr>
        <w:top w:val="none" w:sz="0" w:space="0" w:color="auto"/>
        <w:left w:val="none" w:sz="0" w:space="0" w:color="auto"/>
        <w:bottom w:val="none" w:sz="0" w:space="0" w:color="auto"/>
        <w:right w:val="none" w:sz="0" w:space="0" w:color="auto"/>
      </w:divBdr>
    </w:div>
    <w:div w:id="1789203242">
      <w:bodyDiv w:val="1"/>
      <w:marLeft w:val="0"/>
      <w:marRight w:val="0"/>
      <w:marTop w:val="0"/>
      <w:marBottom w:val="0"/>
      <w:divBdr>
        <w:top w:val="none" w:sz="0" w:space="0" w:color="auto"/>
        <w:left w:val="none" w:sz="0" w:space="0" w:color="auto"/>
        <w:bottom w:val="none" w:sz="0" w:space="0" w:color="auto"/>
        <w:right w:val="none" w:sz="0" w:space="0" w:color="auto"/>
      </w:divBdr>
    </w:div>
    <w:div w:id="1789859529">
      <w:bodyDiv w:val="1"/>
      <w:marLeft w:val="0"/>
      <w:marRight w:val="0"/>
      <w:marTop w:val="0"/>
      <w:marBottom w:val="0"/>
      <w:divBdr>
        <w:top w:val="none" w:sz="0" w:space="0" w:color="auto"/>
        <w:left w:val="none" w:sz="0" w:space="0" w:color="auto"/>
        <w:bottom w:val="none" w:sz="0" w:space="0" w:color="auto"/>
        <w:right w:val="none" w:sz="0" w:space="0" w:color="auto"/>
      </w:divBdr>
    </w:div>
    <w:div w:id="1790513561">
      <w:bodyDiv w:val="1"/>
      <w:marLeft w:val="0"/>
      <w:marRight w:val="0"/>
      <w:marTop w:val="0"/>
      <w:marBottom w:val="0"/>
      <w:divBdr>
        <w:top w:val="none" w:sz="0" w:space="0" w:color="auto"/>
        <w:left w:val="none" w:sz="0" w:space="0" w:color="auto"/>
        <w:bottom w:val="none" w:sz="0" w:space="0" w:color="auto"/>
        <w:right w:val="none" w:sz="0" w:space="0" w:color="auto"/>
      </w:divBdr>
    </w:div>
    <w:div w:id="1792818178">
      <w:bodyDiv w:val="1"/>
      <w:marLeft w:val="0"/>
      <w:marRight w:val="0"/>
      <w:marTop w:val="0"/>
      <w:marBottom w:val="0"/>
      <w:divBdr>
        <w:top w:val="none" w:sz="0" w:space="0" w:color="auto"/>
        <w:left w:val="none" w:sz="0" w:space="0" w:color="auto"/>
        <w:bottom w:val="none" w:sz="0" w:space="0" w:color="auto"/>
        <w:right w:val="none" w:sz="0" w:space="0" w:color="auto"/>
      </w:divBdr>
    </w:div>
    <w:div w:id="1796292588">
      <w:bodyDiv w:val="1"/>
      <w:marLeft w:val="0"/>
      <w:marRight w:val="0"/>
      <w:marTop w:val="0"/>
      <w:marBottom w:val="0"/>
      <w:divBdr>
        <w:top w:val="none" w:sz="0" w:space="0" w:color="auto"/>
        <w:left w:val="none" w:sz="0" w:space="0" w:color="auto"/>
        <w:bottom w:val="none" w:sz="0" w:space="0" w:color="auto"/>
        <w:right w:val="none" w:sz="0" w:space="0" w:color="auto"/>
      </w:divBdr>
    </w:div>
    <w:div w:id="1796558972">
      <w:bodyDiv w:val="1"/>
      <w:marLeft w:val="0"/>
      <w:marRight w:val="0"/>
      <w:marTop w:val="0"/>
      <w:marBottom w:val="0"/>
      <w:divBdr>
        <w:top w:val="none" w:sz="0" w:space="0" w:color="auto"/>
        <w:left w:val="none" w:sz="0" w:space="0" w:color="auto"/>
        <w:bottom w:val="none" w:sz="0" w:space="0" w:color="auto"/>
        <w:right w:val="none" w:sz="0" w:space="0" w:color="auto"/>
      </w:divBdr>
    </w:div>
    <w:div w:id="1796867445">
      <w:bodyDiv w:val="1"/>
      <w:marLeft w:val="0"/>
      <w:marRight w:val="0"/>
      <w:marTop w:val="0"/>
      <w:marBottom w:val="0"/>
      <w:divBdr>
        <w:top w:val="none" w:sz="0" w:space="0" w:color="auto"/>
        <w:left w:val="none" w:sz="0" w:space="0" w:color="auto"/>
        <w:bottom w:val="none" w:sz="0" w:space="0" w:color="auto"/>
        <w:right w:val="none" w:sz="0" w:space="0" w:color="auto"/>
      </w:divBdr>
    </w:div>
    <w:div w:id="1797093743">
      <w:bodyDiv w:val="1"/>
      <w:marLeft w:val="0"/>
      <w:marRight w:val="0"/>
      <w:marTop w:val="0"/>
      <w:marBottom w:val="0"/>
      <w:divBdr>
        <w:top w:val="none" w:sz="0" w:space="0" w:color="auto"/>
        <w:left w:val="none" w:sz="0" w:space="0" w:color="auto"/>
        <w:bottom w:val="none" w:sz="0" w:space="0" w:color="auto"/>
        <w:right w:val="none" w:sz="0" w:space="0" w:color="auto"/>
      </w:divBdr>
    </w:div>
    <w:div w:id="1797940865">
      <w:bodyDiv w:val="1"/>
      <w:marLeft w:val="0"/>
      <w:marRight w:val="0"/>
      <w:marTop w:val="0"/>
      <w:marBottom w:val="0"/>
      <w:divBdr>
        <w:top w:val="none" w:sz="0" w:space="0" w:color="auto"/>
        <w:left w:val="none" w:sz="0" w:space="0" w:color="auto"/>
        <w:bottom w:val="none" w:sz="0" w:space="0" w:color="auto"/>
        <w:right w:val="none" w:sz="0" w:space="0" w:color="auto"/>
      </w:divBdr>
    </w:div>
    <w:div w:id="1798133965">
      <w:bodyDiv w:val="1"/>
      <w:marLeft w:val="0"/>
      <w:marRight w:val="0"/>
      <w:marTop w:val="0"/>
      <w:marBottom w:val="0"/>
      <w:divBdr>
        <w:top w:val="none" w:sz="0" w:space="0" w:color="auto"/>
        <w:left w:val="none" w:sz="0" w:space="0" w:color="auto"/>
        <w:bottom w:val="none" w:sz="0" w:space="0" w:color="auto"/>
        <w:right w:val="none" w:sz="0" w:space="0" w:color="auto"/>
      </w:divBdr>
    </w:div>
    <w:div w:id="1798139739">
      <w:bodyDiv w:val="1"/>
      <w:marLeft w:val="0"/>
      <w:marRight w:val="0"/>
      <w:marTop w:val="0"/>
      <w:marBottom w:val="0"/>
      <w:divBdr>
        <w:top w:val="none" w:sz="0" w:space="0" w:color="auto"/>
        <w:left w:val="none" w:sz="0" w:space="0" w:color="auto"/>
        <w:bottom w:val="none" w:sz="0" w:space="0" w:color="auto"/>
        <w:right w:val="none" w:sz="0" w:space="0" w:color="auto"/>
      </w:divBdr>
    </w:div>
    <w:div w:id="1800762049">
      <w:bodyDiv w:val="1"/>
      <w:marLeft w:val="0"/>
      <w:marRight w:val="0"/>
      <w:marTop w:val="0"/>
      <w:marBottom w:val="0"/>
      <w:divBdr>
        <w:top w:val="none" w:sz="0" w:space="0" w:color="auto"/>
        <w:left w:val="none" w:sz="0" w:space="0" w:color="auto"/>
        <w:bottom w:val="none" w:sz="0" w:space="0" w:color="auto"/>
        <w:right w:val="none" w:sz="0" w:space="0" w:color="auto"/>
      </w:divBdr>
    </w:div>
    <w:div w:id="1802457843">
      <w:bodyDiv w:val="1"/>
      <w:marLeft w:val="0"/>
      <w:marRight w:val="0"/>
      <w:marTop w:val="0"/>
      <w:marBottom w:val="0"/>
      <w:divBdr>
        <w:top w:val="none" w:sz="0" w:space="0" w:color="auto"/>
        <w:left w:val="none" w:sz="0" w:space="0" w:color="auto"/>
        <w:bottom w:val="none" w:sz="0" w:space="0" w:color="auto"/>
        <w:right w:val="none" w:sz="0" w:space="0" w:color="auto"/>
      </w:divBdr>
    </w:div>
    <w:div w:id="1803157613">
      <w:bodyDiv w:val="1"/>
      <w:marLeft w:val="0"/>
      <w:marRight w:val="0"/>
      <w:marTop w:val="0"/>
      <w:marBottom w:val="0"/>
      <w:divBdr>
        <w:top w:val="none" w:sz="0" w:space="0" w:color="auto"/>
        <w:left w:val="none" w:sz="0" w:space="0" w:color="auto"/>
        <w:bottom w:val="none" w:sz="0" w:space="0" w:color="auto"/>
        <w:right w:val="none" w:sz="0" w:space="0" w:color="auto"/>
      </w:divBdr>
    </w:div>
    <w:div w:id="1803310079">
      <w:bodyDiv w:val="1"/>
      <w:marLeft w:val="0"/>
      <w:marRight w:val="0"/>
      <w:marTop w:val="0"/>
      <w:marBottom w:val="0"/>
      <w:divBdr>
        <w:top w:val="none" w:sz="0" w:space="0" w:color="auto"/>
        <w:left w:val="none" w:sz="0" w:space="0" w:color="auto"/>
        <w:bottom w:val="none" w:sz="0" w:space="0" w:color="auto"/>
        <w:right w:val="none" w:sz="0" w:space="0" w:color="auto"/>
      </w:divBdr>
    </w:div>
    <w:div w:id="1803695741">
      <w:bodyDiv w:val="1"/>
      <w:marLeft w:val="0"/>
      <w:marRight w:val="0"/>
      <w:marTop w:val="0"/>
      <w:marBottom w:val="0"/>
      <w:divBdr>
        <w:top w:val="none" w:sz="0" w:space="0" w:color="auto"/>
        <w:left w:val="none" w:sz="0" w:space="0" w:color="auto"/>
        <w:bottom w:val="none" w:sz="0" w:space="0" w:color="auto"/>
        <w:right w:val="none" w:sz="0" w:space="0" w:color="auto"/>
      </w:divBdr>
    </w:div>
    <w:div w:id="1803882529">
      <w:bodyDiv w:val="1"/>
      <w:marLeft w:val="0"/>
      <w:marRight w:val="0"/>
      <w:marTop w:val="0"/>
      <w:marBottom w:val="0"/>
      <w:divBdr>
        <w:top w:val="none" w:sz="0" w:space="0" w:color="auto"/>
        <w:left w:val="none" w:sz="0" w:space="0" w:color="auto"/>
        <w:bottom w:val="none" w:sz="0" w:space="0" w:color="auto"/>
        <w:right w:val="none" w:sz="0" w:space="0" w:color="auto"/>
      </w:divBdr>
    </w:div>
    <w:div w:id="1804998499">
      <w:bodyDiv w:val="1"/>
      <w:marLeft w:val="0"/>
      <w:marRight w:val="0"/>
      <w:marTop w:val="0"/>
      <w:marBottom w:val="0"/>
      <w:divBdr>
        <w:top w:val="none" w:sz="0" w:space="0" w:color="auto"/>
        <w:left w:val="none" w:sz="0" w:space="0" w:color="auto"/>
        <w:bottom w:val="none" w:sz="0" w:space="0" w:color="auto"/>
        <w:right w:val="none" w:sz="0" w:space="0" w:color="auto"/>
      </w:divBdr>
    </w:div>
    <w:div w:id="1806466928">
      <w:bodyDiv w:val="1"/>
      <w:marLeft w:val="0"/>
      <w:marRight w:val="0"/>
      <w:marTop w:val="0"/>
      <w:marBottom w:val="0"/>
      <w:divBdr>
        <w:top w:val="none" w:sz="0" w:space="0" w:color="auto"/>
        <w:left w:val="none" w:sz="0" w:space="0" w:color="auto"/>
        <w:bottom w:val="none" w:sz="0" w:space="0" w:color="auto"/>
        <w:right w:val="none" w:sz="0" w:space="0" w:color="auto"/>
      </w:divBdr>
    </w:div>
    <w:div w:id="1808352224">
      <w:bodyDiv w:val="1"/>
      <w:marLeft w:val="0"/>
      <w:marRight w:val="0"/>
      <w:marTop w:val="0"/>
      <w:marBottom w:val="0"/>
      <w:divBdr>
        <w:top w:val="none" w:sz="0" w:space="0" w:color="auto"/>
        <w:left w:val="none" w:sz="0" w:space="0" w:color="auto"/>
        <w:bottom w:val="none" w:sz="0" w:space="0" w:color="auto"/>
        <w:right w:val="none" w:sz="0" w:space="0" w:color="auto"/>
      </w:divBdr>
    </w:div>
    <w:div w:id="1809084813">
      <w:bodyDiv w:val="1"/>
      <w:marLeft w:val="0"/>
      <w:marRight w:val="0"/>
      <w:marTop w:val="0"/>
      <w:marBottom w:val="0"/>
      <w:divBdr>
        <w:top w:val="none" w:sz="0" w:space="0" w:color="auto"/>
        <w:left w:val="none" w:sz="0" w:space="0" w:color="auto"/>
        <w:bottom w:val="none" w:sz="0" w:space="0" w:color="auto"/>
        <w:right w:val="none" w:sz="0" w:space="0" w:color="auto"/>
      </w:divBdr>
    </w:div>
    <w:div w:id="1810171189">
      <w:bodyDiv w:val="1"/>
      <w:marLeft w:val="0"/>
      <w:marRight w:val="0"/>
      <w:marTop w:val="0"/>
      <w:marBottom w:val="0"/>
      <w:divBdr>
        <w:top w:val="none" w:sz="0" w:space="0" w:color="auto"/>
        <w:left w:val="none" w:sz="0" w:space="0" w:color="auto"/>
        <w:bottom w:val="none" w:sz="0" w:space="0" w:color="auto"/>
        <w:right w:val="none" w:sz="0" w:space="0" w:color="auto"/>
      </w:divBdr>
    </w:div>
    <w:div w:id="1811172724">
      <w:bodyDiv w:val="1"/>
      <w:marLeft w:val="0"/>
      <w:marRight w:val="0"/>
      <w:marTop w:val="0"/>
      <w:marBottom w:val="0"/>
      <w:divBdr>
        <w:top w:val="none" w:sz="0" w:space="0" w:color="auto"/>
        <w:left w:val="none" w:sz="0" w:space="0" w:color="auto"/>
        <w:bottom w:val="none" w:sz="0" w:space="0" w:color="auto"/>
        <w:right w:val="none" w:sz="0" w:space="0" w:color="auto"/>
      </w:divBdr>
    </w:div>
    <w:div w:id="1815441980">
      <w:bodyDiv w:val="1"/>
      <w:marLeft w:val="0"/>
      <w:marRight w:val="0"/>
      <w:marTop w:val="0"/>
      <w:marBottom w:val="0"/>
      <w:divBdr>
        <w:top w:val="none" w:sz="0" w:space="0" w:color="auto"/>
        <w:left w:val="none" w:sz="0" w:space="0" w:color="auto"/>
        <w:bottom w:val="none" w:sz="0" w:space="0" w:color="auto"/>
        <w:right w:val="none" w:sz="0" w:space="0" w:color="auto"/>
      </w:divBdr>
    </w:div>
    <w:div w:id="1815684716">
      <w:bodyDiv w:val="1"/>
      <w:marLeft w:val="0"/>
      <w:marRight w:val="0"/>
      <w:marTop w:val="0"/>
      <w:marBottom w:val="0"/>
      <w:divBdr>
        <w:top w:val="none" w:sz="0" w:space="0" w:color="auto"/>
        <w:left w:val="none" w:sz="0" w:space="0" w:color="auto"/>
        <w:bottom w:val="none" w:sz="0" w:space="0" w:color="auto"/>
        <w:right w:val="none" w:sz="0" w:space="0" w:color="auto"/>
      </w:divBdr>
    </w:div>
    <w:div w:id="1816988446">
      <w:bodyDiv w:val="1"/>
      <w:marLeft w:val="0"/>
      <w:marRight w:val="0"/>
      <w:marTop w:val="0"/>
      <w:marBottom w:val="0"/>
      <w:divBdr>
        <w:top w:val="none" w:sz="0" w:space="0" w:color="auto"/>
        <w:left w:val="none" w:sz="0" w:space="0" w:color="auto"/>
        <w:bottom w:val="none" w:sz="0" w:space="0" w:color="auto"/>
        <w:right w:val="none" w:sz="0" w:space="0" w:color="auto"/>
      </w:divBdr>
    </w:div>
    <w:div w:id="1819154433">
      <w:bodyDiv w:val="1"/>
      <w:marLeft w:val="0"/>
      <w:marRight w:val="0"/>
      <w:marTop w:val="0"/>
      <w:marBottom w:val="0"/>
      <w:divBdr>
        <w:top w:val="none" w:sz="0" w:space="0" w:color="auto"/>
        <w:left w:val="none" w:sz="0" w:space="0" w:color="auto"/>
        <w:bottom w:val="none" w:sz="0" w:space="0" w:color="auto"/>
        <w:right w:val="none" w:sz="0" w:space="0" w:color="auto"/>
      </w:divBdr>
    </w:div>
    <w:div w:id="1820028132">
      <w:bodyDiv w:val="1"/>
      <w:marLeft w:val="0"/>
      <w:marRight w:val="0"/>
      <w:marTop w:val="0"/>
      <w:marBottom w:val="0"/>
      <w:divBdr>
        <w:top w:val="none" w:sz="0" w:space="0" w:color="auto"/>
        <w:left w:val="none" w:sz="0" w:space="0" w:color="auto"/>
        <w:bottom w:val="none" w:sz="0" w:space="0" w:color="auto"/>
        <w:right w:val="none" w:sz="0" w:space="0" w:color="auto"/>
      </w:divBdr>
    </w:div>
    <w:div w:id="1820226879">
      <w:bodyDiv w:val="1"/>
      <w:marLeft w:val="0"/>
      <w:marRight w:val="0"/>
      <w:marTop w:val="0"/>
      <w:marBottom w:val="0"/>
      <w:divBdr>
        <w:top w:val="none" w:sz="0" w:space="0" w:color="auto"/>
        <w:left w:val="none" w:sz="0" w:space="0" w:color="auto"/>
        <w:bottom w:val="none" w:sz="0" w:space="0" w:color="auto"/>
        <w:right w:val="none" w:sz="0" w:space="0" w:color="auto"/>
      </w:divBdr>
    </w:div>
    <w:div w:id="1820609493">
      <w:bodyDiv w:val="1"/>
      <w:marLeft w:val="0"/>
      <w:marRight w:val="0"/>
      <w:marTop w:val="0"/>
      <w:marBottom w:val="0"/>
      <w:divBdr>
        <w:top w:val="none" w:sz="0" w:space="0" w:color="auto"/>
        <w:left w:val="none" w:sz="0" w:space="0" w:color="auto"/>
        <w:bottom w:val="none" w:sz="0" w:space="0" w:color="auto"/>
        <w:right w:val="none" w:sz="0" w:space="0" w:color="auto"/>
      </w:divBdr>
    </w:div>
    <w:div w:id="1822236081">
      <w:bodyDiv w:val="1"/>
      <w:marLeft w:val="0"/>
      <w:marRight w:val="0"/>
      <w:marTop w:val="0"/>
      <w:marBottom w:val="0"/>
      <w:divBdr>
        <w:top w:val="none" w:sz="0" w:space="0" w:color="auto"/>
        <w:left w:val="none" w:sz="0" w:space="0" w:color="auto"/>
        <w:bottom w:val="none" w:sz="0" w:space="0" w:color="auto"/>
        <w:right w:val="none" w:sz="0" w:space="0" w:color="auto"/>
      </w:divBdr>
    </w:div>
    <w:div w:id="1822845159">
      <w:bodyDiv w:val="1"/>
      <w:marLeft w:val="0"/>
      <w:marRight w:val="0"/>
      <w:marTop w:val="0"/>
      <w:marBottom w:val="0"/>
      <w:divBdr>
        <w:top w:val="none" w:sz="0" w:space="0" w:color="auto"/>
        <w:left w:val="none" w:sz="0" w:space="0" w:color="auto"/>
        <w:bottom w:val="none" w:sz="0" w:space="0" w:color="auto"/>
        <w:right w:val="none" w:sz="0" w:space="0" w:color="auto"/>
      </w:divBdr>
    </w:div>
    <w:div w:id="1824156845">
      <w:bodyDiv w:val="1"/>
      <w:marLeft w:val="0"/>
      <w:marRight w:val="0"/>
      <w:marTop w:val="0"/>
      <w:marBottom w:val="0"/>
      <w:divBdr>
        <w:top w:val="none" w:sz="0" w:space="0" w:color="auto"/>
        <w:left w:val="none" w:sz="0" w:space="0" w:color="auto"/>
        <w:bottom w:val="none" w:sz="0" w:space="0" w:color="auto"/>
        <w:right w:val="none" w:sz="0" w:space="0" w:color="auto"/>
      </w:divBdr>
    </w:div>
    <w:div w:id="1826236270">
      <w:bodyDiv w:val="1"/>
      <w:marLeft w:val="0"/>
      <w:marRight w:val="0"/>
      <w:marTop w:val="0"/>
      <w:marBottom w:val="0"/>
      <w:divBdr>
        <w:top w:val="none" w:sz="0" w:space="0" w:color="auto"/>
        <w:left w:val="none" w:sz="0" w:space="0" w:color="auto"/>
        <w:bottom w:val="none" w:sz="0" w:space="0" w:color="auto"/>
        <w:right w:val="none" w:sz="0" w:space="0" w:color="auto"/>
      </w:divBdr>
    </w:div>
    <w:div w:id="1827895718">
      <w:bodyDiv w:val="1"/>
      <w:marLeft w:val="0"/>
      <w:marRight w:val="0"/>
      <w:marTop w:val="0"/>
      <w:marBottom w:val="0"/>
      <w:divBdr>
        <w:top w:val="none" w:sz="0" w:space="0" w:color="auto"/>
        <w:left w:val="none" w:sz="0" w:space="0" w:color="auto"/>
        <w:bottom w:val="none" w:sz="0" w:space="0" w:color="auto"/>
        <w:right w:val="none" w:sz="0" w:space="0" w:color="auto"/>
      </w:divBdr>
    </w:div>
    <w:div w:id="1828205257">
      <w:bodyDiv w:val="1"/>
      <w:marLeft w:val="0"/>
      <w:marRight w:val="0"/>
      <w:marTop w:val="0"/>
      <w:marBottom w:val="0"/>
      <w:divBdr>
        <w:top w:val="none" w:sz="0" w:space="0" w:color="auto"/>
        <w:left w:val="none" w:sz="0" w:space="0" w:color="auto"/>
        <w:bottom w:val="none" w:sz="0" w:space="0" w:color="auto"/>
        <w:right w:val="none" w:sz="0" w:space="0" w:color="auto"/>
      </w:divBdr>
    </w:div>
    <w:div w:id="1831094028">
      <w:bodyDiv w:val="1"/>
      <w:marLeft w:val="0"/>
      <w:marRight w:val="0"/>
      <w:marTop w:val="0"/>
      <w:marBottom w:val="0"/>
      <w:divBdr>
        <w:top w:val="none" w:sz="0" w:space="0" w:color="auto"/>
        <w:left w:val="none" w:sz="0" w:space="0" w:color="auto"/>
        <w:bottom w:val="none" w:sz="0" w:space="0" w:color="auto"/>
        <w:right w:val="none" w:sz="0" w:space="0" w:color="auto"/>
      </w:divBdr>
    </w:div>
    <w:div w:id="1831410970">
      <w:bodyDiv w:val="1"/>
      <w:marLeft w:val="0"/>
      <w:marRight w:val="0"/>
      <w:marTop w:val="0"/>
      <w:marBottom w:val="0"/>
      <w:divBdr>
        <w:top w:val="none" w:sz="0" w:space="0" w:color="auto"/>
        <w:left w:val="none" w:sz="0" w:space="0" w:color="auto"/>
        <w:bottom w:val="none" w:sz="0" w:space="0" w:color="auto"/>
        <w:right w:val="none" w:sz="0" w:space="0" w:color="auto"/>
      </w:divBdr>
    </w:div>
    <w:div w:id="1832062632">
      <w:bodyDiv w:val="1"/>
      <w:marLeft w:val="0"/>
      <w:marRight w:val="0"/>
      <w:marTop w:val="0"/>
      <w:marBottom w:val="0"/>
      <w:divBdr>
        <w:top w:val="none" w:sz="0" w:space="0" w:color="auto"/>
        <w:left w:val="none" w:sz="0" w:space="0" w:color="auto"/>
        <w:bottom w:val="none" w:sz="0" w:space="0" w:color="auto"/>
        <w:right w:val="none" w:sz="0" w:space="0" w:color="auto"/>
      </w:divBdr>
    </w:div>
    <w:div w:id="1833256147">
      <w:bodyDiv w:val="1"/>
      <w:marLeft w:val="0"/>
      <w:marRight w:val="0"/>
      <w:marTop w:val="0"/>
      <w:marBottom w:val="0"/>
      <w:divBdr>
        <w:top w:val="none" w:sz="0" w:space="0" w:color="auto"/>
        <w:left w:val="none" w:sz="0" w:space="0" w:color="auto"/>
        <w:bottom w:val="none" w:sz="0" w:space="0" w:color="auto"/>
        <w:right w:val="none" w:sz="0" w:space="0" w:color="auto"/>
      </w:divBdr>
    </w:div>
    <w:div w:id="1833334742">
      <w:bodyDiv w:val="1"/>
      <w:marLeft w:val="0"/>
      <w:marRight w:val="0"/>
      <w:marTop w:val="0"/>
      <w:marBottom w:val="0"/>
      <w:divBdr>
        <w:top w:val="none" w:sz="0" w:space="0" w:color="auto"/>
        <w:left w:val="none" w:sz="0" w:space="0" w:color="auto"/>
        <w:bottom w:val="none" w:sz="0" w:space="0" w:color="auto"/>
        <w:right w:val="none" w:sz="0" w:space="0" w:color="auto"/>
      </w:divBdr>
    </w:div>
    <w:div w:id="1833719124">
      <w:bodyDiv w:val="1"/>
      <w:marLeft w:val="0"/>
      <w:marRight w:val="0"/>
      <w:marTop w:val="0"/>
      <w:marBottom w:val="0"/>
      <w:divBdr>
        <w:top w:val="none" w:sz="0" w:space="0" w:color="auto"/>
        <w:left w:val="none" w:sz="0" w:space="0" w:color="auto"/>
        <w:bottom w:val="none" w:sz="0" w:space="0" w:color="auto"/>
        <w:right w:val="none" w:sz="0" w:space="0" w:color="auto"/>
      </w:divBdr>
    </w:div>
    <w:div w:id="1834490145">
      <w:bodyDiv w:val="1"/>
      <w:marLeft w:val="0"/>
      <w:marRight w:val="0"/>
      <w:marTop w:val="0"/>
      <w:marBottom w:val="0"/>
      <w:divBdr>
        <w:top w:val="none" w:sz="0" w:space="0" w:color="auto"/>
        <w:left w:val="none" w:sz="0" w:space="0" w:color="auto"/>
        <w:bottom w:val="none" w:sz="0" w:space="0" w:color="auto"/>
        <w:right w:val="none" w:sz="0" w:space="0" w:color="auto"/>
      </w:divBdr>
    </w:div>
    <w:div w:id="1835022710">
      <w:bodyDiv w:val="1"/>
      <w:marLeft w:val="0"/>
      <w:marRight w:val="0"/>
      <w:marTop w:val="0"/>
      <w:marBottom w:val="0"/>
      <w:divBdr>
        <w:top w:val="none" w:sz="0" w:space="0" w:color="auto"/>
        <w:left w:val="none" w:sz="0" w:space="0" w:color="auto"/>
        <w:bottom w:val="none" w:sz="0" w:space="0" w:color="auto"/>
        <w:right w:val="none" w:sz="0" w:space="0" w:color="auto"/>
      </w:divBdr>
    </w:div>
    <w:div w:id="1836189937">
      <w:bodyDiv w:val="1"/>
      <w:marLeft w:val="0"/>
      <w:marRight w:val="0"/>
      <w:marTop w:val="0"/>
      <w:marBottom w:val="0"/>
      <w:divBdr>
        <w:top w:val="none" w:sz="0" w:space="0" w:color="auto"/>
        <w:left w:val="none" w:sz="0" w:space="0" w:color="auto"/>
        <w:bottom w:val="none" w:sz="0" w:space="0" w:color="auto"/>
        <w:right w:val="none" w:sz="0" w:space="0" w:color="auto"/>
      </w:divBdr>
    </w:div>
    <w:div w:id="1836917251">
      <w:bodyDiv w:val="1"/>
      <w:marLeft w:val="0"/>
      <w:marRight w:val="0"/>
      <w:marTop w:val="0"/>
      <w:marBottom w:val="0"/>
      <w:divBdr>
        <w:top w:val="none" w:sz="0" w:space="0" w:color="auto"/>
        <w:left w:val="none" w:sz="0" w:space="0" w:color="auto"/>
        <w:bottom w:val="none" w:sz="0" w:space="0" w:color="auto"/>
        <w:right w:val="none" w:sz="0" w:space="0" w:color="auto"/>
      </w:divBdr>
    </w:div>
    <w:div w:id="1837306698">
      <w:bodyDiv w:val="1"/>
      <w:marLeft w:val="0"/>
      <w:marRight w:val="0"/>
      <w:marTop w:val="0"/>
      <w:marBottom w:val="0"/>
      <w:divBdr>
        <w:top w:val="none" w:sz="0" w:space="0" w:color="auto"/>
        <w:left w:val="none" w:sz="0" w:space="0" w:color="auto"/>
        <w:bottom w:val="none" w:sz="0" w:space="0" w:color="auto"/>
        <w:right w:val="none" w:sz="0" w:space="0" w:color="auto"/>
      </w:divBdr>
    </w:div>
    <w:div w:id="1840265976">
      <w:bodyDiv w:val="1"/>
      <w:marLeft w:val="0"/>
      <w:marRight w:val="0"/>
      <w:marTop w:val="0"/>
      <w:marBottom w:val="0"/>
      <w:divBdr>
        <w:top w:val="none" w:sz="0" w:space="0" w:color="auto"/>
        <w:left w:val="none" w:sz="0" w:space="0" w:color="auto"/>
        <w:bottom w:val="none" w:sz="0" w:space="0" w:color="auto"/>
        <w:right w:val="none" w:sz="0" w:space="0" w:color="auto"/>
      </w:divBdr>
    </w:div>
    <w:div w:id="1840461872">
      <w:bodyDiv w:val="1"/>
      <w:marLeft w:val="0"/>
      <w:marRight w:val="0"/>
      <w:marTop w:val="0"/>
      <w:marBottom w:val="0"/>
      <w:divBdr>
        <w:top w:val="none" w:sz="0" w:space="0" w:color="auto"/>
        <w:left w:val="none" w:sz="0" w:space="0" w:color="auto"/>
        <w:bottom w:val="none" w:sz="0" w:space="0" w:color="auto"/>
        <w:right w:val="none" w:sz="0" w:space="0" w:color="auto"/>
      </w:divBdr>
    </w:div>
    <w:div w:id="1840464466">
      <w:bodyDiv w:val="1"/>
      <w:marLeft w:val="0"/>
      <w:marRight w:val="0"/>
      <w:marTop w:val="0"/>
      <w:marBottom w:val="0"/>
      <w:divBdr>
        <w:top w:val="none" w:sz="0" w:space="0" w:color="auto"/>
        <w:left w:val="none" w:sz="0" w:space="0" w:color="auto"/>
        <w:bottom w:val="none" w:sz="0" w:space="0" w:color="auto"/>
        <w:right w:val="none" w:sz="0" w:space="0" w:color="auto"/>
      </w:divBdr>
    </w:div>
    <w:div w:id="1841001769">
      <w:bodyDiv w:val="1"/>
      <w:marLeft w:val="0"/>
      <w:marRight w:val="0"/>
      <w:marTop w:val="0"/>
      <w:marBottom w:val="0"/>
      <w:divBdr>
        <w:top w:val="none" w:sz="0" w:space="0" w:color="auto"/>
        <w:left w:val="none" w:sz="0" w:space="0" w:color="auto"/>
        <w:bottom w:val="none" w:sz="0" w:space="0" w:color="auto"/>
        <w:right w:val="none" w:sz="0" w:space="0" w:color="auto"/>
      </w:divBdr>
    </w:div>
    <w:div w:id="1841192872">
      <w:bodyDiv w:val="1"/>
      <w:marLeft w:val="0"/>
      <w:marRight w:val="0"/>
      <w:marTop w:val="0"/>
      <w:marBottom w:val="0"/>
      <w:divBdr>
        <w:top w:val="none" w:sz="0" w:space="0" w:color="auto"/>
        <w:left w:val="none" w:sz="0" w:space="0" w:color="auto"/>
        <w:bottom w:val="none" w:sz="0" w:space="0" w:color="auto"/>
        <w:right w:val="none" w:sz="0" w:space="0" w:color="auto"/>
      </w:divBdr>
    </w:div>
    <w:div w:id="1842701823">
      <w:bodyDiv w:val="1"/>
      <w:marLeft w:val="0"/>
      <w:marRight w:val="0"/>
      <w:marTop w:val="0"/>
      <w:marBottom w:val="0"/>
      <w:divBdr>
        <w:top w:val="none" w:sz="0" w:space="0" w:color="auto"/>
        <w:left w:val="none" w:sz="0" w:space="0" w:color="auto"/>
        <w:bottom w:val="none" w:sz="0" w:space="0" w:color="auto"/>
        <w:right w:val="none" w:sz="0" w:space="0" w:color="auto"/>
      </w:divBdr>
    </w:div>
    <w:div w:id="1843397565">
      <w:bodyDiv w:val="1"/>
      <w:marLeft w:val="0"/>
      <w:marRight w:val="0"/>
      <w:marTop w:val="0"/>
      <w:marBottom w:val="0"/>
      <w:divBdr>
        <w:top w:val="none" w:sz="0" w:space="0" w:color="auto"/>
        <w:left w:val="none" w:sz="0" w:space="0" w:color="auto"/>
        <w:bottom w:val="none" w:sz="0" w:space="0" w:color="auto"/>
        <w:right w:val="none" w:sz="0" w:space="0" w:color="auto"/>
      </w:divBdr>
    </w:div>
    <w:div w:id="1844583397">
      <w:bodyDiv w:val="1"/>
      <w:marLeft w:val="0"/>
      <w:marRight w:val="0"/>
      <w:marTop w:val="0"/>
      <w:marBottom w:val="0"/>
      <w:divBdr>
        <w:top w:val="none" w:sz="0" w:space="0" w:color="auto"/>
        <w:left w:val="none" w:sz="0" w:space="0" w:color="auto"/>
        <w:bottom w:val="none" w:sz="0" w:space="0" w:color="auto"/>
        <w:right w:val="none" w:sz="0" w:space="0" w:color="auto"/>
      </w:divBdr>
    </w:div>
    <w:div w:id="1847280171">
      <w:bodyDiv w:val="1"/>
      <w:marLeft w:val="0"/>
      <w:marRight w:val="0"/>
      <w:marTop w:val="0"/>
      <w:marBottom w:val="0"/>
      <w:divBdr>
        <w:top w:val="none" w:sz="0" w:space="0" w:color="auto"/>
        <w:left w:val="none" w:sz="0" w:space="0" w:color="auto"/>
        <w:bottom w:val="none" w:sz="0" w:space="0" w:color="auto"/>
        <w:right w:val="none" w:sz="0" w:space="0" w:color="auto"/>
      </w:divBdr>
    </w:div>
    <w:div w:id="1847817900">
      <w:bodyDiv w:val="1"/>
      <w:marLeft w:val="0"/>
      <w:marRight w:val="0"/>
      <w:marTop w:val="0"/>
      <w:marBottom w:val="0"/>
      <w:divBdr>
        <w:top w:val="none" w:sz="0" w:space="0" w:color="auto"/>
        <w:left w:val="none" w:sz="0" w:space="0" w:color="auto"/>
        <w:bottom w:val="none" w:sz="0" w:space="0" w:color="auto"/>
        <w:right w:val="none" w:sz="0" w:space="0" w:color="auto"/>
      </w:divBdr>
    </w:div>
    <w:div w:id="1848134468">
      <w:bodyDiv w:val="1"/>
      <w:marLeft w:val="0"/>
      <w:marRight w:val="0"/>
      <w:marTop w:val="0"/>
      <w:marBottom w:val="0"/>
      <w:divBdr>
        <w:top w:val="none" w:sz="0" w:space="0" w:color="auto"/>
        <w:left w:val="none" w:sz="0" w:space="0" w:color="auto"/>
        <w:bottom w:val="none" w:sz="0" w:space="0" w:color="auto"/>
        <w:right w:val="none" w:sz="0" w:space="0" w:color="auto"/>
      </w:divBdr>
    </w:div>
    <w:div w:id="1848516795">
      <w:bodyDiv w:val="1"/>
      <w:marLeft w:val="0"/>
      <w:marRight w:val="0"/>
      <w:marTop w:val="0"/>
      <w:marBottom w:val="0"/>
      <w:divBdr>
        <w:top w:val="none" w:sz="0" w:space="0" w:color="auto"/>
        <w:left w:val="none" w:sz="0" w:space="0" w:color="auto"/>
        <w:bottom w:val="none" w:sz="0" w:space="0" w:color="auto"/>
        <w:right w:val="none" w:sz="0" w:space="0" w:color="auto"/>
      </w:divBdr>
    </w:div>
    <w:div w:id="1849370438">
      <w:bodyDiv w:val="1"/>
      <w:marLeft w:val="0"/>
      <w:marRight w:val="0"/>
      <w:marTop w:val="0"/>
      <w:marBottom w:val="0"/>
      <w:divBdr>
        <w:top w:val="none" w:sz="0" w:space="0" w:color="auto"/>
        <w:left w:val="none" w:sz="0" w:space="0" w:color="auto"/>
        <w:bottom w:val="none" w:sz="0" w:space="0" w:color="auto"/>
        <w:right w:val="none" w:sz="0" w:space="0" w:color="auto"/>
      </w:divBdr>
    </w:div>
    <w:div w:id="1849519797">
      <w:bodyDiv w:val="1"/>
      <w:marLeft w:val="0"/>
      <w:marRight w:val="0"/>
      <w:marTop w:val="0"/>
      <w:marBottom w:val="0"/>
      <w:divBdr>
        <w:top w:val="none" w:sz="0" w:space="0" w:color="auto"/>
        <w:left w:val="none" w:sz="0" w:space="0" w:color="auto"/>
        <w:bottom w:val="none" w:sz="0" w:space="0" w:color="auto"/>
        <w:right w:val="none" w:sz="0" w:space="0" w:color="auto"/>
      </w:divBdr>
    </w:div>
    <w:div w:id="1849904668">
      <w:bodyDiv w:val="1"/>
      <w:marLeft w:val="0"/>
      <w:marRight w:val="0"/>
      <w:marTop w:val="0"/>
      <w:marBottom w:val="0"/>
      <w:divBdr>
        <w:top w:val="none" w:sz="0" w:space="0" w:color="auto"/>
        <w:left w:val="none" w:sz="0" w:space="0" w:color="auto"/>
        <w:bottom w:val="none" w:sz="0" w:space="0" w:color="auto"/>
        <w:right w:val="none" w:sz="0" w:space="0" w:color="auto"/>
      </w:divBdr>
    </w:div>
    <w:div w:id="1850489670">
      <w:bodyDiv w:val="1"/>
      <w:marLeft w:val="0"/>
      <w:marRight w:val="0"/>
      <w:marTop w:val="0"/>
      <w:marBottom w:val="0"/>
      <w:divBdr>
        <w:top w:val="none" w:sz="0" w:space="0" w:color="auto"/>
        <w:left w:val="none" w:sz="0" w:space="0" w:color="auto"/>
        <w:bottom w:val="none" w:sz="0" w:space="0" w:color="auto"/>
        <w:right w:val="none" w:sz="0" w:space="0" w:color="auto"/>
      </w:divBdr>
    </w:div>
    <w:div w:id="1851139509">
      <w:bodyDiv w:val="1"/>
      <w:marLeft w:val="0"/>
      <w:marRight w:val="0"/>
      <w:marTop w:val="0"/>
      <w:marBottom w:val="0"/>
      <w:divBdr>
        <w:top w:val="none" w:sz="0" w:space="0" w:color="auto"/>
        <w:left w:val="none" w:sz="0" w:space="0" w:color="auto"/>
        <w:bottom w:val="none" w:sz="0" w:space="0" w:color="auto"/>
        <w:right w:val="none" w:sz="0" w:space="0" w:color="auto"/>
      </w:divBdr>
    </w:div>
    <w:div w:id="1852446829">
      <w:bodyDiv w:val="1"/>
      <w:marLeft w:val="0"/>
      <w:marRight w:val="0"/>
      <w:marTop w:val="0"/>
      <w:marBottom w:val="0"/>
      <w:divBdr>
        <w:top w:val="none" w:sz="0" w:space="0" w:color="auto"/>
        <w:left w:val="none" w:sz="0" w:space="0" w:color="auto"/>
        <w:bottom w:val="none" w:sz="0" w:space="0" w:color="auto"/>
        <w:right w:val="none" w:sz="0" w:space="0" w:color="auto"/>
      </w:divBdr>
    </w:div>
    <w:div w:id="1858038296">
      <w:bodyDiv w:val="1"/>
      <w:marLeft w:val="0"/>
      <w:marRight w:val="0"/>
      <w:marTop w:val="0"/>
      <w:marBottom w:val="0"/>
      <w:divBdr>
        <w:top w:val="none" w:sz="0" w:space="0" w:color="auto"/>
        <w:left w:val="none" w:sz="0" w:space="0" w:color="auto"/>
        <w:bottom w:val="none" w:sz="0" w:space="0" w:color="auto"/>
        <w:right w:val="none" w:sz="0" w:space="0" w:color="auto"/>
      </w:divBdr>
    </w:div>
    <w:div w:id="1858424635">
      <w:bodyDiv w:val="1"/>
      <w:marLeft w:val="0"/>
      <w:marRight w:val="0"/>
      <w:marTop w:val="0"/>
      <w:marBottom w:val="0"/>
      <w:divBdr>
        <w:top w:val="none" w:sz="0" w:space="0" w:color="auto"/>
        <w:left w:val="none" w:sz="0" w:space="0" w:color="auto"/>
        <w:bottom w:val="none" w:sz="0" w:space="0" w:color="auto"/>
        <w:right w:val="none" w:sz="0" w:space="0" w:color="auto"/>
      </w:divBdr>
    </w:div>
    <w:div w:id="1858959052">
      <w:bodyDiv w:val="1"/>
      <w:marLeft w:val="0"/>
      <w:marRight w:val="0"/>
      <w:marTop w:val="0"/>
      <w:marBottom w:val="0"/>
      <w:divBdr>
        <w:top w:val="none" w:sz="0" w:space="0" w:color="auto"/>
        <w:left w:val="none" w:sz="0" w:space="0" w:color="auto"/>
        <w:bottom w:val="none" w:sz="0" w:space="0" w:color="auto"/>
        <w:right w:val="none" w:sz="0" w:space="0" w:color="auto"/>
      </w:divBdr>
    </w:div>
    <w:div w:id="1859273768">
      <w:bodyDiv w:val="1"/>
      <w:marLeft w:val="0"/>
      <w:marRight w:val="0"/>
      <w:marTop w:val="0"/>
      <w:marBottom w:val="0"/>
      <w:divBdr>
        <w:top w:val="none" w:sz="0" w:space="0" w:color="auto"/>
        <w:left w:val="none" w:sz="0" w:space="0" w:color="auto"/>
        <w:bottom w:val="none" w:sz="0" w:space="0" w:color="auto"/>
        <w:right w:val="none" w:sz="0" w:space="0" w:color="auto"/>
      </w:divBdr>
    </w:div>
    <w:div w:id="1859924773">
      <w:bodyDiv w:val="1"/>
      <w:marLeft w:val="0"/>
      <w:marRight w:val="0"/>
      <w:marTop w:val="0"/>
      <w:marBottom w:val="0"/>
      <w:divBdr>
        <w:top w:val="none" w:sz="0" w:space="0" w:color="auto"/>
        <w:left w:val="none" w:sz="0" w:space="0" w:color="auto"/>
        <w:bottom w:val="none" w:sz="0" w:space="0" w:color="auto"/>
        <w:right w:val="none" w:sz="0" w:space="0" w:color="auto"/>
      </w:divBdr>
    </w:div>
    <w:div w:id="1863281677">
      <w:bodyDiv w:val="1"/>
      <w:marLeft w:val="0"/>
      <w:marRight w:val="0"/>
      <w:marTop w:val="0"/>
      <w:marBottom w:val="0"/>
      <w:divBdr>
        <w:top w:val="none" w:sz="0" w:space="0" w:color="auto"/>
        <w:left w:val="none" w:sz="0" w:space="0" w:color="auto"/>
        <w:bottom w:val="none" w:sz="0" w:space="0" w:color="auto"/>
        <w:right w:val="none" w:sz="0" w:space="0" w:color="auto"/>
      </w:divBdr>
    </w:div>
    <w:div w:id="1864708203">
      <w:bodyDiv w:val="1"/>
      <w:marLeft w:val="0"/>
      <w:marRight w:val="0"/>
      <w:marTop w:val="0"/>
      <w:marBottom w:val="0"/>
      <w:divBdr>
        <w:top w:val="none" w:sz="0" w:space="0" w:color="auto"/>
        <w:left w:val="none" w:sz="0" w:space="0" w:color="auto"/>
        <w:bottom w:val="none" w:sz="0" w:space="0" w:color="auto"/>
        <w:right w:val="none" w:sz="0" w:space="0" w:color="auto"/>
      </w:divBdr>
    </w:div>
    <w:div w:id="1865827723">
      <w:bodyDiv w:val="1"/>
      <w:marLeft w:val="0"/>
      <w:marRight w:val="0"/>
      <w:marTop w:val="0"/>
      <w:marBottom w:val="0"/>
      <w:divBdr>
        <w:top w:val="none" w:sz="0" w:space="0" w:color="auto"/>
        <w:left w:val="none" w:sz="0" w:space="0" w:color="auto"/>
        <w:bottom w:val="none" w:sz="0" w:space="0" w:color="auto"/>
        <w:right w:val="none" w:sz="0" w:space="0" w:color="auto"/>
      </w:divBdr>
    </w:div>
    <w:div w:id="1868371761">
      <w:bodyDiv w:val="1"/>
      <w:marLeft w:val="0"/>
      <w:marRight w:val="0"/>
      <w:marTop w:val="0"/>
      <w:marBottom w:val="0"/>
      <w:divBdr>
        <w:top w:val="none" w:sz="0" w:space="0" w:color="auto"/>
        <w:left w:val="none" w:sz="0" w:space="0" w:color="auto"/>
        <w:bottom w:val="none" w:sz="0" w:space="0" w:color="auto"/>
        <w:right w:val="none" w:sz="0" w:space="0" w:color="auto"/>
      </w:divBdr>
    </w:div>
    <w:div w:id="1869949615">
      <w:bodyDiv w:val="1"/>
      <w:marLeft w:val="0"/>
      <w:marRight w:val="0"/>
      <w:marTop w:val="0"/>
      <w:marBottom w:val="0"/>
      <w:divBdr>
        <w:top w:val="none" w:sz="0" w:space="0" w:color="auto"/>
        <w:left w:val="none" w:sz="0" w:space="0" w:color="auto"/>
        <w:bottom w:val="none" w:sz="0" w:space="0" w:color="auto"/>
        <w:right w:val="none" w:sz="0" w:space="0" w:color="auto"/>
      </w:divBdr>
    </w:div>
    <w:div w:id="1870021222">
      <w:bodyDiv w:val="1"/>
      <w:marLeft w:val="0"/>
      <w:marRight w:val="0"/>
      <w:marTop w:val="0"/>
      <w:marBottom w:val="0"/>
      <w:divBdr>
        <w:top w:val="none" w:sz="0" w:space="0" w:color="auto"/>
        <w:left w:val="none" w:sz="0" w:space="0" w:color="auto"/>
        <w:bottom w:val="none" w:sz="0" w:space="0" w:color="auto"/>
        <w:right w:val="none" w:sz="0" w:space="0" w:color="auto"/>
      </w:divBdr>
    </w:div>
    <w:div w:id="1871604579">
      <w:bodyDiv w:val="1"/>
      <w:marLeft w:val="0"/>
      <w:marRight w:val="0"/>
      <w:marTop w:val="0"/>
      <w:marBottom w:val="0"/>
      <w:divBdr>
        <w:top w:val="none" w:sz="0" w:space="0" w:color="auto"/>
        <w:left w:val="none" w:sz="0" w:space="0" w:color="auto"/>
        <w:bottom w:val="none" w:sz="0" w:space="0" w:color="auto"/>
        <w:right w:val="none" w:sz="0" w:space="0" w:color="auto"/>
      </w:divBdr>
    </w:div>
    <w:div w:id="1871918058">
      <w:bodyDiv w:val="1"/>
      <w:marLeft w:val="0"/>
      <w:marRight w:val="0"/>
      <w:marTop w:val="0"/>
      <w:marBottom w:val="0"/>
      <w:divBdr>
        <w:top w:val="none" w:sz="0" w:space="0" w:color="auto"/>
        <w:left w:val="none" w:sz="0" w:space="0" w:color="auto"/>
        <w:bottom w:val="none" w:sz="0" w:space="0" w:color="auto"/>
        <w:right w:val="none" w:sz="0" w:space="0" w:color="auto"/>
      </w:divBdr>
    </w:div>
    <w:div w:id="1872181904">
      <w:bodyDiv w:val="1"/>
      <w:marLeft w:val="0"/>
      <w:marRight w:val="0"/>
      <w:marTop w:val="0"/>
      <w:marBottom w:val="0"/>
      <w:divBdr>
        <w:top w:val="none" w:sz="0" w:space="0" w:color="auto"/>
        <w:left w:val="none" w:sz="0" w:space="0" w:color="auto"/>
        <w:bottom w:val="none" w:sz="0" w:space="0" w:color="auto"/>
        <w:right w:val="none" w:sz="0" w:space="0" w:color="auto"/>
      </w:divBdr>
    </w:div>
    <w:div w:id="1872834948">
      <w:bodyDiv w:val="1"/>
      <w:marLeft w:val="0"/>
      <w:marRight w:val="0"/>
      <w:marTop w:val="0"/>
      <w:marBottom w:val="0"/>
      <w:divBdr>
        <w:top w:val="none" w:sz="0" w:space="0" w:color="auto"/>
        <w:left w:val="none" w:sz="0" w:space="0" w:color="auto"/>
        <w:bottom w:val="none" w:sz="0" w:space="0" w:color="auto"/>
        <w:right w:val="none" w:sz="0" w:space="0" w:color="auto"/>
      </w:divBdr>
    </w:div>
    <w:div w:id="1872910661">
      <w:bodyDiv w:val="1"/>
      <w:marLeft w:val="0"/>
      <w:marRight w:val="0"/>
      <w:marTop w:val="0"/>
      <w:marBottom w:val="0"/>
      <w:divBdr>
        <w:top w:val="none" w:sz="0" w:space="0" w:color="auto"/>
        <w:left w:val="none" w:sz="0" w:space="0" w:color="auto"/>
        <w:bottom w:val="none" w:sz="0" w:space="0" w:color="auto"/>
        <w:right w:val="none" w:sz="0" w:space="0" w:color="auto"/>
      </w:divBdr>
    </w:div>
    <w:div w:id="1873300491">
      <w:bodyDiv w:val="1"/>
      <w:marLeft w:val="0"/>
      <w:marRight w:val="0"/>
      <w:marTop w:val="0"/>
      <w:marBottom w:val="0"/>
      <w:divBdr>
        <w:top w:val="none" w:sz="0" w:space="0" w:color="auto"/>
        <w:left w:val="none" w:sz="0" w:space="0" w:color="auto"/>
        <w:bottom w:val="none" w:sz="0" w:space="0" w:color="auto"/>
        <w:right w:val="none" w:sz="0" w:space="0" w:color="auto"/>
      </w:divBdr>
    </w:div>
    <w:div w:id="1875313444">
      <w:bodyDiv w:val="1"/>
      <w:marLeft w:val="0"/>
      <w:marRight w:val="0"/>
      <w:marTop w:val="0"/>
      <w:marBottom w:val="0"/>
      <w:divBdr>
        <w:top w:val="none" w:sz="0" w:space="0" w:color="auto"/>
        <w:left w:val="none" w:sz="0" w:space="0" w:color="auto"/>
        <w:bottom w:val="none" w:sz="0" w:space="0" w:color="auto"/>
        <w:right w:val="none" w:sz="0" w:space="0" w:color="auto"/>
      </w:divBdr>
    </w:div>
    <w:div w:id="1876237888">
      <w:bodyDiv w:val="1"/>
      <w:marLeft w:val="0"/>
      <w:marRight w:val="0"/>
      <w:marTop w:val="0"/>
      <w:marBottom w:val="0"/>
      <w:divBdr>
        <w:top w:val="none" w:sz="0" w:space="0" w:color="auto"/>
        <w:left w:val="none" w:sz="0" w:space="0" w:color="auto"/>
        <w:bottom w:val="none" w:sz="0" w:space="0" w:color="auto"/>
        <w:right w:val="none" w:sz="0" w:space="0" w:color="auto"/>
      </w:divBdr>
    </w:div>
    <w:div w:id="1876385426">
      <w:bodyDiv w:val="1"/>
      <w:marLeft w:val="0"/>
      <w:marRight w:val="0"/>
      <w:marTop w:val="0"/>
      <w:marBottom w:val="0"/>
      <w:divBdr>
        <w:top w:val="none" w:sz="0" w:space="0" w:color="auto"/>
        <w:left w:val="none" w:sz="0" w:space="0" w:color="auto"/>
        <w:bottom w:val="none" w:sz="0" w:space="0" w:color="auto"/>
        <w:right w:val="none" w:sz="0" w:space="0" w:color="auto"/>
      </w:divBdr>
    </w:div>
    <w:div w:id="1879852754">
      <w:bodyDiv w:val="1"/>
      <w:marLeft w:val="0"/>
      <w:marRight w:val="0"/>
      <w:marTop w:val="0"/>
      <w:marBottom w:val="0"/>
      <w:divBdr>
        <w:top w:val="none" w:sz="0" w:space="0" w:color="auto"/>
        <w:left w:val="none" w:sz="0" w:space="0" w:color="auto"/>
        <w:bottom w:val="none" w:sz="0" w:space="0" w:color="auto"/>
        <w:right w:val="none" w:sz="0" w:space="0" w:color="auto"/>
      </w:divBdr>
    </w:div>
    <w:div w:id="1879926434">
      <w:bodyDiv w:val="1"/>
      <w:marLeft w:val="0"/>
      <w:marRight w:val="0"/>
      <w:marTop w:val="0"/>
      <w:marBottom w:val="0"/>
      <w:divBdr>
        <w:top w:val="none" w:sz="0" w:space="0" w:color="auto"/>
        <w:left w:val="none" w:sz="0" w:space="0" w:color="auto"/>
        <w:bottom w:val="none" w:sz="0" w:space="0" w:color="auto"/>
        <w:right w:val="none" w:sz="0" w:space="0" w:color="auto"/>
      </w:divBdr>
    </w:div>
    <w:div w:id="1880043667">
      <w:bodyDiv w:val="1"/>
      <w:marLeft w:val="0"/>
      <w:marRight w:val="0"/>
      <w:marTop w:val="0"/>
      <w:marBottom w:val="0"/>
      <w:divBdr>
        <w:top w:val="none" w:sz="0" w:space="0" w:color="auto"/>
        <w:left w:val="none" w:sz="0" w:space="0" w:color="auto"/>
        <w:bottom w:val="none" w:sz="0" w:space="0" w:color="auto"/>
        <w:right w:val="none" w:sz="0" w:space="0" w:color="auto"/>
      </w:divBdr>
    </w:div>
    <w:div w:id="1881283007">
      <w:bodyDiv w:val="1"/>
      <w:marLeft w:val="0"/>
      <w:marRight w:val="0"/>
      <w:marTop w:val="0"/>
      <w:marBottom w:val="0"/>
      <w:divBdr>
        <w:top w:val="none" w:sz="0" w:space="0" w:color="auto"/>
        <w:left w:val="none" w:sz="0" w:space="0" w:color="auto"/>
        <w:bottom w:val="none" w:sz="0" w:space="0" w:color="auto"/>
        <w:right w:val="none" w:sz="0" w:space="0" w:color="auto"/>
      </w:divBdr>
    </w:div>
    <w:div w:id="1881359042">
      <w:bodyDiv w:val="1"/>
      <w:marLeft w:val="0"/>
      <w:marRight w:val="0"/>
      <w:marTop w:val="0"/>
      <w:marBottom w:val="0"/>
      <w:divBdr>
        <w:top w:val="none" w:sz="0" w:space="0" w:color="auto"/>
        <w:left w:val="none" w:sz="0" w:space="0" w:color="auto"/>
        <w:bottom w:val="none" w:sz="0" w:space="0" w:color="auto"/>
        <w:right w:val="none" w:sz="0" w:space="0" w:color="auto"/>
      </w:divBdr>
    </w:div>
    <w:div w:id="1881699218">
      <w:bodyDiv w:val="1"/>
      <w:marLeft w:val="0"/>
      <w:marRight w:val="0"/>
      <w:marTop w:val="0"/>
      <w:marBottom w:val="0"/>
      <w:divBdr>
        <w:top w:val="none" w:sz="0" w:space="0" w:color="auto"/>
        <w:left w:val="none" w:sz="0" w:space="0" w:color="auto"/>
        <w:bottom w:val="none" w:sz="0" w:space="0" w:color="auto"/>
        <w:right w:val="none" w:sz="0" w:space="0" w:color="auto"/>
      </w:divBdr>
    </w:div>
    <w:div w:id="1881745094">
      <w:bodyDiv w:val="1"/>
      <w:marLeft w:val="0"/>
      <w:marRight w:val="0"/>
      <w:marTop w:val="0"/>
      <w:marBottom w:val="0"/>
      <w:divBdr>
        <w:top w:val="none" w:sz="0" w:space="0" w:color="auto"/>
        <w:left w:val="none" w:sz="0" w:space="0" w:color="auto"/>
        <w:bottom w:val="none" w:sz="0" w:space="0" w:color="auto"/>
        <w:right w:val="none" w:sz="0" w:space="0" w:color="auto"/>
      </w:divBdr>
    </w:div>
    <w:div w:id="1886485565">
      <w:bodyDiv w:val="1"/>
      <w:marLeft w:val="0"/>
      <w:marRight w:val="0"/>
      <w:marTop w:val="0"/>
      <w:marBottom w:val="0"/>
      <w:divBdr>
        <w:top w:val="none" w:sz="0" w:space="0" w:color="auto"/>
        <w:left w:val="none" w:sz="0" w:space="0" w:color="auto"/>
        <w:bottom w:val="none" w:sz="0" w:space="0" w:color="auto"/>
        <w:right w:val="none" w:sz="0" w:space="0" w:color="auto"/>
      </w:divBdr>
    </w:div>
    <w:div w:id="1889679834">
      <w:bodyDiv w:val="1"/>
      <w:marLeft w:val="0"/>
      <w:marRight w:val="0"/>
      <w:marTop w:val="0"/>
      <w:marBottom w:val="0"/>
      <w:divBdr>
        <w:top w:val="none" w:sz="0" w:space="0" w:color="auto"/>
        <w:left w:val="none" w:sz="0" w:space="0" w:color="auto"/>
        <w:bottom w:val="none" w:sz="0" w:space="0" w:color="auto"/>
        <w:right w:val="none" w:sz="0" w:space="0" w:color="auto"/>
      </w:divBdr>
    </w:div>
    <w:div w:id="1889993499">
      <w:bodyDiv w:val="1"/>
      <w:marLeft w:val="0"/>
      <w:marRight w:val="0"/>
      <w:marTop w:val="0"/>
      <w:marBottom w:val="0"/>
      <w:divBdr>
        <w:top w:val="none" w:sz="0" w:space="0" w:color="auto"/>
        <w:left w:val="none" w:sz="0" w:space="0" w:color="auto"/>
        <w:bottom w:val="none" w:sz="0" w:space="0" w:color="auto"/>
        <w:right w:val="none" w:sz="0" w:space="0" w:color="auto"/>
      </w:divBdr>
    </w:div>
    <w:div w:id="1890725343">
      <w:bodyDiv w:val="1"/>
      <w:marLeft w:val="0"/>
      <w:marRight w:val="0"/>
      <w:marTop w:val="0"/>
      <w:marBottom w:val="0"/>
      <w:divBdr>
        <w:top w:val="none" w:sz="0" w:space="0" w:color="auto"/>
        <w:left w:val="none" w:sz="0" w:space="0" w:color="auto"/>
        <w:bottom w:val="none" w:sz="0" w:space="0" w:color="auto"/>
        <w:right w:val="none" w:sz="0" w:space="0" w:color="auto"/>
      </w:divBdr>
    </w:div>
    <w:div w:id="1891767203">
      <w:bodyDiv w:val="1"/>
      <w:marLeft w:val="0"/>
      <w:marRight w:val="0"/>
      <w:marTop w:val="0"/>
      <w:marBottom w:val="0"/>
      <w:divBdr>
        <w:top w:val="none" w:sz="0" w:space="0" w:color="auto"/>
        <w:left w:val="none" w:sz="0" w:space="0" w:color="auto"/>
        <w:bottom w:val="none" w:sz="0" w:space="0" w:color="auto"/>
        <w:right w:val="none" w:sz="0" w:space="0" w:color="auto"/>
      </w:divBdr>
    </w:div>
    <w:div w:id="1892810802">
      <w:bodyDiv w:val="1"/>
      <w:marLeft w:val="0"/>
      <w:marRight w:val="0"/>
      <w:marTop w:val="0"/>
      <w:marBottom w:val="0"/>
      <w:divBdr>
        <w:top w:val="none" w:sz="0" w:space="0" w:color="auto"/>
        <w:left w:val="none" w:sz="0" w:space="0" w:color="auto"/>
        <w:bottom w:val="none" w:sz="0" w:space="0" w:color="auto"/>
        <w:right w:val="none" w:sz="0" w:space="0" w:color="auto"/>
      </w:divBdr>
    </w:div>
    <w:div w:id="1895576042">
      <w:bodyDiv w:val="1"/>
      <w:marLeft w:val="0"/>
      <w:marRight w:val="0"/>
      <w:marTop w:val="0"/>
      <w:marBottom w:val="0"/>
      <w:divBdr>
        <w:top w:val="none" w:sz="0" w:space="0" w:color="auto"/>
        <w:left w:val="none" w:sz="0" w:space="0" w:color="auto"/>
        <w:bottom w:val="none" w:sz="0" w:space="0" w:color="auto"/>
        <w:right w:val="none" w:sz="0" w:space="0" w:color="auto"/>
      </w:divBdr>
    </w:div>
    <w:div w:id="1896892295">
      <w:bodyDiv w:val="1"/>
      <w:marLeft w:val="0"/>
      <w:marRight w:val="0"/>
      <w:marTop w:val="0"/>
      <w:marBottom w:val="0"/>
      <w:divBdr>
        <w:top w:val="none" w:sz="0" w:space="0" w:color="auto"/>
        <w:left w:val="none" w:sz="0" w:space="0" w:color="auto"/>
        <w:bottom w:val="none" w:sz="0" w:space="0" w:color="auto"/>
        <w:right w:val="none" w:sz="0" w:space="0" w:color="auto"/>
      </w:divBdr>
    </w:div>
    <w:div w:id="1900938328">
      <w:bodyDiv w:val="1"/>
      <w:marLeft w:val="0"/>
      <w:marRight w:val="0"/>
      <w:marTop w:val="0"/>
      <w:marBottom w:val="0"/>
      <w:divBdr>
        <w:top w:val="none" w:sz="0" w:space="0" w:color="auto"/>
        <w:left w:val="none" w:sz="0" w:space="0" w:color="auto"/>
        <w:bottom w:val="none" w:sz="0" w:space="0" w:color="auto"/>
        <w:right w:val="none" w:sz="0" w:space="0" w:color="auto"/>
      </w:divBdr>
    </w:div>
    <w:div w:id="1901400826">
      <w:bodyDiv w:val="1"/>
      <w:marLeft w:val="0"/>
      <w:marRight w:val="0"/>
      <w:marTop w:val="0"/>
      <w:marBottom w:val="0"/>
      <w:divBdr>
        <w:top w:val="none" w:sz="0" w:space="0" w:color="auto"/>
        <w:left w:val="none" w:sz="0" w:space="0" w:color="auto"/>
        <w:bottom w:val="none" w:sz="0" w:space="0" w:color="auto"/>
        <w:right w:val="none" w:sz="0" w:space="0" w:color="auto"/>
      </w:divBdr>
    </w:div>
    <w:div w:id="1901939473">
      <w:bodyDiv w:val="1"/>
      <w:marLeft w:val="0"/>
      <w:marRight w:val="0"/>
      <w:marTop w:val="0"/>
      <w:marBottom w:val="0"/>
      <w:divBdr>
        <w:top w:val="none" w:sz="0" w:space="0" w:color="auto"/>
        <w:left w:val="none" w:sz="0" w:space="0" w:color="auto"/>
        <w:bottom w:val="none" w:sz="0" w:space="0" w:color="auto"/>
        <w:right w:val="none" w:sz="0" w:space="0" w:color="auto"/>
      </w:divBdr>
    </w:div>
    <w:div w:id="1903640171">
      <w:bodyDiv w:val="1"/>
      <w:marLeft w:val="0"/>
      <w:marRight w:val="0"/>
      <w:marTop w:val="0"/>
      <w:marBottom w:val="0"/>
      <w:divBdr>
        <w:top w:val="none" w:sz="0" w:space="0" w:color="auto"/>
        <w:left w:val="none" w:sz="0" w:space="0" w:color="auto"/>
        <w:bottom w:val="none" w:sz="0" w:space="0" w:color="auto"/>
        <w:right w:val="none" w:sz="0" w:space="0" w:color="auto"/>
      </w:divBdr>
    </w:div>
    <w:div w:id="1903708060">
      <w:bodyDiv w:val="1"/>
      <w:marLeft w:val="0"/>
      <w:marRight w:val="0"/>
      <w:marTop w:val="0"/>
      <w:marBottom w:val="0"/>
      <w:divBdr>
        <w:top w:val="none" w:sz="0" w:space="0" w:color="auto"/>
        <w:left w:val="none" w:sz="0" w:space="0" w:color="auto"/>
        <w:bottom w:val="none" w:sz="0" w:space="0" w:color="auto"/>
        <w:right w:val="none" w:sz="0" w:space="0" w:color="auto"/>
      </w:divBdr>
    </w:div>
    <w:div w:id="1903831019">
      <w:bodyDiv w:val="1"/>
      <w:marLeft w:val="0"/>
      <w:marRight w:val="0"/>
      <w:marTop w:val="0"/>
      <w:marBottom w:val="0"/>
      <w:divBdr>
        <w:top w:val="none" w:sz="0" w:space="0" w:color="auto"/>
        <w:left w:val="none" w:sz="0" w:space="0" w:color="auto"/>
        <w:bottom w:val="none" w:sz="0" w:space="0" w:color="auto"/>
        <w:right w:val="none" w:sz="0" w:space="0" w:color="auto"/>
      </w:divBdr>
    </w:div>
    <w:div w:id="1904027323">
      <w:bodyDiv w:val="1"/>
      <w:marLeft w:val="0"/>
      <w:marRight w:val="0"/>
      <w:marTop w:val="0"/>
      <w:marBottom w:val="0"/>
      <w:divBdr>
        <w:top w:val="none" w:sz="0" w:space="0" w:color="auto"/>
        <w:left w:val="none" w:sz="0" w:space="0" w:color="auto"/>
        <w:bottom w:val="none" w:sz="0" w:space="0" w:color="auto"/>
        <w:right w:val="none" w:sz="0" w:space="0" w:color="auto"/>
      </w:divBdr>
    </w:div>
    <w:div w:id="1904875124">
      <w:bodyDiv w:val="1"/>
      <w:marLeft w:val="0"/>
      <w:marRight w:val="0"/>
      <w:marTop w:val="0"/>
      <w:marBottom w:val="0"/>
      <w:divBdr>
        <w:top w:val="none" w:sz="0" w:space="0" w:color="auto"/>
        <w:left w:val="none" w:sz="0" w:space="0" w:color="auto"/>
        <w:bottom w:val="none" w:sz="0" w:space="0" w:color="auto"/>
        <w:right w:val="none" w:sz="0" w:space="0" w:color="auto"/>
      </w:divBdr>
    </w:div>
    <w:div w:id="1905723523">
      <w:bodyDiv w:val="1"/>
      <w:marLeft w:val="0"/>
      <w:marRight w:val="0"/>
      <w:marTop w:val="0"/>
      <w:marBottom w:val="0"/>
      <w:divBdr>
        <w:top w:val="none" w:sz="0" w:space="0" w:color="auto"/>
        <w:left w:val="none" w:sz="0" w:space="0" w:color="auto"/>
        <w:bottom w:val="none" w:sz="0" w:space="0" w:color="auto"/>
        <w:right w:val="none" w:sz="0" w:space="0" w:color="auto"/>
      </w:divBdr>
    </w:div>
    <w:div w:id="1906141275">
      <w:bodyDiv w:val="1"/>
      <w:marLeft w:val="0"/>
      <w:marRight w:val="0"/>
      <w:marTop w:val="0"/>
      <w:marBottom w:val="0"/>
      <w:divBdr>
        <w:top w:val="none" w:sz="0" w:space="0" w:color="auto"/>
        <w:left w:val="none" w:sz="0" w:space="0" w:color="auto"/>
        <w:bottom w:val="none" w:sz="0" w:space="0" w:color="auto"/>
        <w:right w:val="none" w:sz="0" w:space="0" w:color="auto"/>
      </w:divBdr>
    </w:div>
    <w:div w:id="1906646000">
      <w:bodyDiv w:val="1"/>
      <w:marLeft w:val="0"/>
      <w:marRight w:val="0"/>
      <w:marTop w:val="0"/>
      <w:marBottom w:val="0"/>
      <w:divBdr>
        <w:top w:val="none" w:sz="0" w:space="0" w:color="auto"/>
        <w:left w:val="none" w:sz="0" w:space="0" w:color="auto"/>
        <w:bottom w:val="none" w:sz="0" w:space="0" w:color="auto"/>
        <w:right w:val="none" w:sz="0" w:space="0" w:color="auto"/>
      </w:divBdr>
    </w:div>
    <w:div w:id="1907060302">
      <w:bodyDiv w:val="1"/>
      <w:marLeft w:val="0"/>
      <w:marRight w:val="0"/>
      <w:marTop w:val="0"/>
      <w:marBottom w:val="0"/>
      <w:divBdr>
        <w:top w:val="none" w:sz="0" w:space="0" w:color="auto"/>
        <w:left w:val="none" w:sz="0" w:space="0" w:color="auto"/>
        <w:bottom w:val="none" w:sz="0" w:space="0" w:color="auto"/>
        <w:right w:val="none" w:sz="0" w:space="0" w:color="auto"/>
      </w:divBdr>
    </w:div>
    <w:div w:id="1908223387">
      <w:bodyDiv w:val="1"/>
      <w:marLeft w:val="0"/>
      <w:marRight w:val="0"/>
      <w:marTop w:val="0"/>
      <w:marBottom w:val="0"/>
      <w:divBdr>
        <w:top w:val="none" w:sz="0" w:space="0" w:color="auto"/>
        <w:left w:val="none" w:sz="0" w:space="0" w:color="auto"/>
        <w:bottom w:val="none" w:sz="0" w:space="0" w:color="auto"/>
        <w:right w:val="none" w:sz="0" w:space="0" w:color="auto"/>
      </w:divBdr>
    </w:div>
    <w:div w:id="1908682507">
      <w:bodyDiv w:val="1"/>
      <w:marLeft w:val="0"/>
      <w:marRight w:val="0"/>
      <w:marTop w:val="0"/>
      <w:marBottom w:val="0"/>
      <w:divBdr>
        <w:top w:val="none" w:sz="0" w:space="0" w:color="auto"/>
        <w:left w:val="none" w:sz="0" w:space="0" w:color="auto"/>
        <w:bottom w:val="none" w:sz="0" w:space="0" w:color="auto"/>
        <w:right w:val="none" w:sz="0" w:space="0" w:color="auto"/>
      </w:divBdr>
    </w:div>
    <w:div w:id="1910193774">
      <w:bodyDiv w:val="1"/>
      <w:marLeft w:val="0"/>
      <w:marRight w:val="0"/>
      <w:marTop w:val="0"/>
      <w:marBottom w:val="0"/>
      <w:divBdr>
        <w:top w:val="none" w:sz="0" w:space="0" w:color="auto"/>
        <w:left w:val="none" w:sz="0" w:space="0" w:color="auto"/>
        <w:bottom w:val="none" w:sz="0" w:space="0" w:color="auto"/>
        <w:right w:val="none" w:sz="0" w:space="0" w:color="auto"/>
      </w:divBdr>
    </w:div>
    <w:div w:id="1911848349">
      <w:bodyDiv w:val="1"/>
      <w:marLeft w:val="0"/>
      <w:marRight w:val="0"/>
      <w:marTop w:val="0"/>
      <w:marBottom w:val="0"/>
      <w:divBdr>
        <w:top w:val="none" w:sz="0" w:space="0" w:color="auto"/>
        <w:left w:val="none" w:sz="0" w:space="0" w:color="auto"/>
        <w:bottom w:val="none" w:sz="0" w:space="0" w:color="auto"/>
        <w:right w:val="none" w:sz="0" w:space="0" w:color="auto"/>
      </w:divBdr>
    </w:div>
    <w:div w:id="1913198612">
      <w:bodyDiv w:val="1"/>
      <w:marLeft w:val="0"/>
      <w:marRight w:val="0"/>
      <w:marTop w:val="0"/>
      <w:marBottom w:val="0"/>
      <w:divBdr>
        <w:top w:val="none" w:sz="0" w:space="0" w:color="auto"/>
        <w:left w:val="none" w:sz="0" w:space="0" w:color="auto"/>
        <w:bottom w:val="none" w:sz="0" w:space="0" w:color="auto"/>
        <w:right w:val="none" w:sz="0" w:space="0" w:color="auto"/>
      </w:divBdr>
    </w:div>
    <w:div w:id="1913736557">
      <w:bodyDiv w:val="1"/>
      <w:marLeft w:val="0"/>
      <w:marRight w:val="0"/>
      <w:marTop w:val="0"/>
      <w:marBottom w:val="0"/>
      <w:divBdr>
        <w:top w:val="none" w:sz="0" w:space="0" w:color="auto"/>
        <w:left w:val="none" w:sz="0" w:space="0" w:color="auto"/>
        <w:bottom w:val="none" w:sz="0" w:space="0" w:color="auto"/>
        <w:right w:val="none" w:sz="0" w:space="0" w:color="auto"/>
      </w:divBdr>
    </w:div>
    <w:div w:id="1914657571">
      <w:bodyDiv w:val="1"/>
      <w:marLeft w:val="0"/>
      <w:marRight w:val="0"/>
      <w:marTop w:val="0"/>
      <w:marBottom w:val="0"/>
      <w:divBdr>
        <w:top w:val="none" w:sz="0" w:space="0" w:color="auto"/>
        <w:left w:val="none" w:sz="0" w:space="0" w:color="auto"/>
        <w:bottom w:val="none" w:sz="0" w:space="0" w:color="auto"/>
        <w:right w:val="none" w:sz="0" w:space="0" w:color="auto"/>
      </w:divBdr>
    </w:div>
    <w:div w:id="1915117385">
      <w:bodyDiv w:val="1"/>
      <w:marLeft w:val="0"/>
      <w:marRight w:val="0"/>
      <w:marTop w:val="0"/>
      <w:marBottom w:val="0"/>
      <w:divBdr>
        <w:top w:val="none" w:sz="0" w:space="0" w:color="auto"/>
        <w:left w:val="none" w:sz="0" w:space="0" w:color="auto"/>
        <w:bottom w:val="none" w:sz="0" w:space="0" w:color="auto"/>
        <w:right w:val="none" w:sz="0" w:space="0" w:color="auto"/>
      </w:divBdr>
    </w:div>
    <w:div w:id="1915623245">
      <w:bodyDiv w:val="1"/>
      <w:marLeft w:val="0"/>
      <w:marRight w:val="0"/>
      <w:marTop w:val="0"/>
      <w:marBottom w:val="0"/>
      <w:divBdr>
        <w:top w:val="none" w:sz="0" w:space="0" w:color="auto"/>
        <w:left w:val="none" w:sz="0" w:space="0" w:color="auto"/>
        <w:bottom w:val="none" w:sz="0" w:space="0" w:color="auto"/>
        <w:right w:val="none" w:sz="0" w:space="0" w:color="auto"/>
      </w:divBdr>
    </w:div>
    <w:div w:id="1916281225">
      <w:bodyDiv w:val="1"/>
      <w:marLeft w:val="0"/>
      <w:marRight w:val="0"/>
      <w:marTop w:val="0"/>
      <w:marBottom w:val="0"/>
      <w:divBdr>
        <w:top w:val="none" w:sz="0" w:space="0" w:color="auto"/>
        <w:left w:val="none" w:sz="0" w:space="0" w:color="auto"/>
        <w:bottom w:val="none" w:sz="0" w:space="0" w:color="auto"/>
        <w:right w:val="none" w:sz="0" w:space="0" w:color="auto"/>
      </w:divBdr>
    </w:div>
    <w:div w:id="1916931968">
      <w:bodyDiv w:val="1"/>
      <w:marLeft w:val="0"/>
      <w:marRight w:val="0"/>
      <w:marTop w:val="0"/>
      <w:marBottom w:val="0"/>
      <w:divBdr>
        <w:top w:val="none" w:sz="0" w:space="0" w:color="auto"/>
        <w:left w:val="none" w:sz="0" w:space="0" w:color="auto"/>
        <w:bottom w:val="none" w:sz="0" w:space="0" w:color="auto"/>
        <w:right w:val="none" w:sz="0" w:space="0" w:color="auto"/>
      </w:divBdr>
    </w:div>
    <w:div w:id="1917199732">
      <w:bodyDiv w:val="1"/>
      <w:marLeft w:val="0"/>
      <w:marRight w:val="0"/>
      <w:marTop w:val="0"/>
      <w:marBottom w:val="0"/>
      <w:divBdr>
        <w:top w:val="none" w:sz="0" w:space="0" w:color="auto"/>
        <w:left w:val="none" w:sz="0" w:space="0" w:color="auto"/>
        <w:bottom w:val="none" w:sz="0" w:space="0" w:color="auto"/>
        <w:right w:val="none" w:sz="0" w:space="0" w:color="auto"/>
      </w:divBdr>
    </w:div>
    <w:div w:id="1918438102">
      <w:bodyDiv w:val="1"/>
      <w:marLeft w:val="0"/>
      <w:marRight w:val="0"/>
      <w:marTop w:val="0"/>
      <w:marBottom w:val="0"/>
      <w:divBdr>
        <w:top w:val="none" w:sz="0" w:space="0" w:color="auto"/>
        <w:left w:val="none" w:sz="0" w:space="0" w:color="auto"/>
        <w:bottom w:val="none" w:sz="0" w:space="0" w:color="auto"/>
        <w:right w:val="none" w:sz="0" w:space="0" w:color="auto"/>
      </w:divBdr>
    </w:div>
    <w:div w:id="1918517994">
      <w:bodyDiv w:val="1"/>
      <w:marLeft w:val="0"/>
      <w:marRight w:val="0"/>
      <w:marTop w:val="0"/>
      <w:marBottom w:val="0"/>
      <w:divBdr>
        <w:top w:val="none" w:sz="0" w:space="0" w:color="auto"/>
        <w:left w:val="none" w:sz="0" w:space="0" w:color="auto"/>
        <w:bottom w:val="none" w:sz="0" w:space="0" w:color="auto"/>
        <w:right w:val="none" w:sz="0" w:space="0" w:color="auto"/>
      </w:divBdr>
    </w:div>
    <w:div w:id="1918903209">
      <w:bodyDiv w:val="1"/>
      <w:marLeft w:val="0"/>
      <w:marRight w:val="0"/>
      <w:marTop w:val="0"/>
      <w:marBottom w:val="0"/>
      <w:divBdr>
        <w:top w:val="none" w:sz="0" w:space="0" w:color="auto"/>
        <w:left w:val="none" w:sz="0" w:space="0" w:color="auto"/>
        <w:bottom w:val="none" w:sz="0" w:space="0" w:color="auto"/>
        <w:right w:val="none" w:sz="0" w:space="0" w:color="auto"/>
      </w:divBdr>
    </w:div>
    <w:div w:id="1922596860">
      <w:bodyDiv w:val="1"/>
      <w:marLeft w:val="0"/>
      <w:marRight w:val="0"/>
      <w:marTop w:val="0"/>
      <w:marBottom w:val="0"/>
      <w:divBdr>
        <w:top w:val="none" w:sz="0" w:space="0" w:color="auto"/>
        <w:left w:val="none" w:sz="0" w:space="0" w:color="auto"/>
        <w:bottom w:val="none" w:sz="0" w:space="0" w:color="auto"/>
        <w:right w:val="none" w:sz="0" w:space="0" w:color="auto"/>
      </w:divBdr>
    </w:div>
    <w:div w:id="1923759338">
      <w:bodyDiv w:val="1"/>
      <w:marLeft w:val="0"/>
      <w:marRight w:val="0"/>
      <w:marTop w:val="0"/>
      <w:marBottom w:val="0"/>
      <w:divBdr>
        <w:top w:val="none" w:sz="0" w:space="0" w:color="auto"/>
        <w:left w:val="none" w:sz="0" w:space="0" w:color="auto"/>
        <w:bottom w:val="none" w:sz="0" w:space="0" w:color="auto"/>
        <w:right w:val="none" w:sz="0" w:space="0" w:color="auto"/>
      </w:divBdr>
    </w:div>
    <w:div w:id="1924338036">
      <w:bodyDiv w:val="1"/>
      <w:marLeft w:val="0"/>
      <w:marRight w:val="0"/>
      <w:marTop w:val="0"/>
      <w:marBottom w:val="0"/>
      <w:divBdr>
        <w:top w:val="none" w:sz="0" w:space="0" w:color="auto"/>
        <w:left w:val="none" w:sz="0" w:space="0" w:color="auto"/>
        <w:bottom w:val="none" w:sz="0" w:space="0" w:color="auto"/>
        <w:right w:val="none" w:sz="0" w:space="0" w:color="auto"/>
      </w:divBdr>
    </w:div>
    <w:div w:id="1928272071">
      <w:bodyDiv w:val="1"/>
      <w:marLeft w:val="0"/>
      <w:marRight w:val="0"/>
      <w:marTop w:val="0"/>
      <w:marBottom w:val="0"/>
      <w:divBdr>
        <w:top w:val="none" w:sz="0" w:space="0" w:color="auto"/>
        <w:left w:val="none" w:sz="0" w:space="0" w:color="auto"/>
        <w:bottom w:val="none" w:sz="0" w:space="0" w:color="auto"/>
        <w:right w:val="none" w:sz="0" w:space="0" w:color="auto"/>
      </w:divBdr>
    </w:div>
    <w:div w:id="1930458988">
      <w:bodyDiv w:val="1"/>
      <w:marLeft w:val="0"/>
      <w:marRight w:val="0"/>
      <w:marTop w:val="0"/>
      <w:marBottom w:val="0"/>
      <w:divBdr>
        <w:top w:val="none" w:sz="0" w:space="0" w:color="auto"/>
        <w:left w:val="none" w:sz="0" w:space="0" w:color="auto"/>
        <w:bottom w:val="none" w:sz="0" w:space="0" w:color="auto"/>
        <w:right w:val="none" w:sz="0" w:space="0" w:color="auto"/>
      </w:divBdr>
    </w:div>
    <w:div w:id="1931426308">
      <w:bodyDiv w:val="1"/>
      <w:marLeft w:val="0"/>
      <w:marRight w:val="0"/>
      <w:marTop w:val="0"/>
      <w:marBottom w:val="0"/>
      <w:divBdr>
        <w:top w:val="none" w:sz="0" w:space="0" w:color="auto"/>
        <w:left w:val="none" w:sz="0" w:space="0" w:color="auto"/>
        <w:bottom w:val="none" w:sz="0" w:space="0" w:color="auto"/>
        <w:right w:val="none" w:sz="0" w:space="0" w:color="auto"/>
      </w:divBdr>
    </w:div>
    <w:div w:id="1931768881">
      <w:bodyDiv w:val="1"/>
      <w:marLeft w:val="0"/>
      <w:marRight w:val="0"/>
      <w:marTop w:val="0"/>
      <w:marBottom w:val="0"/>
      <w:divBdr>
        <w:top w:val="none" w:sz="0" w:space="0" w:color="auto"/>
        <w:left w:val="none" w:sz="0" w:space="0" w:color="auto"/>
        <w:bottom w:val="none" w:sz="0" w:space="0" w:color="auto"/>
        <w:right w:val="none" w:sz="0" w:space="0" w:color="auto"/>
      </w:divBdr>
    </w:div>
    <w:div w:id="1932083873">
      <w:bodyDiv w:val="1"/>
      <w:marLeft w:val="0"/>
      <w:marRight w:val="0"/>
      <w:marTop w:val="0"/>
      <w:marBottom w:val="0"/>
      <w:divBdr>
        <w:top w:val="none" w:sz="0" w:space="0" w:color="auto"/>
        <w:left w:val="none" w:sz="0" w:space="0" w:color="auto"/>
        <w:bottom w:val="none" w:sz="0" w:space="0" w:color="auto"/>
        <w:right w:val="none" w:sz="0" w:space="0" w:color="auto"/>
      </w:divBdr>
    </w:div>
    <w:div w:id="1932202318">
      <w:bodyDiv w:val="1"/>
      <w:marLeft w:val="0"/>
      <w:marRight w:val="0"/>
      <w:marTop w:val="0"/>
      <w:marBottom w:val="0"/>
      <w:divBdr>
        <w:top w:val="none" w:sz="0" w:space="0" w:color="auto"/>
        <w:left w:val="none" w:sz="0" w:space="0" w:color="auto"/>
        <w:bottom w:val="none" w:sz="0" w:space="0" w:color="auto"/>
        <w:right w:val="none" w:sz="0" w:space="0" w:color="auto"/>
      </w:divBdr>
    </w:div>
    <w:div w:id="1932854231">
      <w:bodyDiv w:val="1"/>
      <w:marLeft w:val="0"/>
      <w:marRight w:val="0"/>
      <w:marTop w:val="0"/>
      <w:marBottom w:val="0"/>
      <w:divBdr>
        <w:top w:val="none" w:sz="0" w:space="0" w:color="auto"/>
        <w:left w:val="none" w:sz="0" w:space="0" w:color="auto"/>
        <w:bottom w:val="none" w:sz="0" w:space="0" w:color="auto"/>
        <w:right w:val="none" w:sz="0" w:space="0" w:color="auto"/>
      </w:divBdr>
    </w:div>
    <w:div w:id="1933200284">
      <w:bodyDiv w:val="1"/>
      <w:marLeft w:val="0"/>
      <w:marRight w:val="0"/>
      <w:marTop w:val="0"/>
      <w:marBottom w:val="0"/>
      <w:divBdr>
        <w:top w:val="none" w:sz="0" w:space="0" w:color="auto"/>
        <w:left w:val="none" w:sz="0" w:space="0" w:color="auto"/>
        <w:bottom w:val="none" w:sz="0" w:space="0" w:color="auto"/>
        <w:right w:val="none" w:sz="0" w:space="0" w:color="auto"/>
      </w:divBdr>
    </w:div>
    <w:div w:id="1933662854">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35162240">
      <w:bodyDiv w:val="1"/>
      <w:marLeft w:val="0"/>
      <w:marRight w:val="0"/>
      <w:marTop w:val="0"/>
      <w:marBottom w:val="0"/>
      <w:divBdr>
        <w:top w:val="none" w:sz="0" w:space="0" w:color="auto"/>
        <w:left w:val="none" w:sz="0" w:space="0" w:color="auto"/>
        <w:bottom w:val="none" w:sz="0" w:space="0" w:color="auto"/>
        <w:right w:val="none" w:sz="0" w:space="0" w:color="auto"/>
      </w:divBdr>
    </w:div>
    <w:div w:id="1935237058">
      <w:bodyDiv w:val="1"/>
      <w:marLeft w:val="0"/>
      <w:marRight w:val="0"/>
      <w:marTop w:val="0"/>
      <w:marBottom w:val="0"/>
      <w:divBdr>
        <w:top w:val="none" w:sz="0" w:space="0" w:color="auto"/>
        <w:left w:val="none" w:sz="0" w:space="0" w:color="auto"/>
        <w:bottom w:val="none" w:sz="0" w:space="0" w:color="auto"/>
        <w:right w:val="none" w:sz="0" w:space="0" w:color="auto"/>
      </w:divBdr>
    </w:div>
    <w:div w:id="1935362311">
      <w:bodyDiv w:val="1"/>
      <w:marLeft w:val="0"/>
      <w:marRight w:val="0"/>
      <w:marTop w:val="0"/>
      <w:marBottom w:val="0"/>
      <w:divBdr>
        <w:top w:val="none" w:sz="0" w:space="0" w:color="auto"/>
        <w:left w:val="none" w:sz="0" w:space="0" w:color="auto"/>
        <w:bottom w:val="none" w:sz="0" w:space="0" w:color="auto"/>
        <w:right w:val="none" w:sz="0" w:space="0" w:color="auto"/>
      </w:divBdr>
    </w:div>
    <w:div w:id="1935699660">
      <w:bodyDiv w:val="1"/>
      <w:marLeft w:val="0"/>
      <w:marRight w:val="0"/>
      <w:marTop w:val="0"/>
      <w:marBottom w:val="0"/>
      <w:divBdr>
        <w:top w:val="none" w:sz="0" w:space="0" w:color="auto"/>
        <w:left w:val="none" w:sz="0" w:space="0" w:color="auto"/>
        <w:bottom w:val="none" w:sz="0" w:space="0" w:color="auto"/>
        <w:right w:val="none" w:sz="0" w:space="0" w:color="auto"/>
      </w:divBdr>
    </w:div>
    <w:div w:id="1936788683">
      <w:bodyDiv w:val="1"/>
      <w:marLeft w:val="0"/>
      <w:marRight w:val="0"/>
      <w:marTop w:val="0"/>
      <w:marBottom w:val="0"/>
      <w:divBdr>
        <w:top w:val="none" w:sz="0" w:space="0" w:color="auto"/>
        <w:left w:val="none" w:sz="0" w:space="0" w:color="auto"/>
        <w:bottom w:val="none" w:sz="0" w:space="0" w:color="auto"/>
        <w:right w:val="none" w:sz="0" w:space="0" w:color="auto"/>
      </w:divBdr>
    </w:div>
    <w:div w:id="1937594059">
      <w:bodyDiv w:val="1"/>
      <w:marLeft w:val="0"/>
      <w:marRight w:val="0"/>
      <w:marTop w:val="0"/>
      <w:marBottom w:val="0"/>
      <w:divBdr>
        <w:top w:val="none" w:sz="0" w:space="0" w:color="auto"/>
        <w:left w:val="none" w:sz="0" w:space="0" w:color="auto"/>
        <w:bottom w:val="none" w:sz="0" w:space="0" w:color="auto"/>
        <w:right w:val="none" w:sz="0" w:space="0" w:color="auto"/>
      </w:divBdr>
    </w:div>
    <w:div w:id="1939561337">
      <w:bodyDiv w:val="1"/>
      <w:marLeft w:val="0"/>
      <w:marRight w:val="0"/>
      <w:marTop w:val="0"/>
      <w:marBottom w:val="0"/>
      <w:divBdr>
        <w:top w:val="none" w:sz="0" w:space="0" w:color="auto"/>
        <w:left w:val="none" w:sz="0" w:space="0" w:color="auto"/>
        <w:bottom w:val="none" w:sz="0" w:space="0" w:color="auto"/>
        <w:right w:val="none" w:sz="0" w:space="0" w:color="auto"/>
      </w:divBdr>
    </w:div>
    <w:div w:id="1941446339">
      <w:bodyDiv w:val="1"/>
      <w:marLeft w:val="0"/>
      <w:marRight w:val="0"/>
      <w:marTop w:val="0"/>
      <w:marBottom w:val="0"/>
      <w:divBdr>
        <w:top w:val="none" w:sz="0" w:space="0" w:color="auto"/>
        <w:left w:val="none" w:sz="0" w:space="0" w:color="auto"/>
        <w:bottom w:val="none" w:sz="0" w:space="0" w:color="auto"/>
        <w:right w:val="none" w:sz="0" w:space="0" w:color="auto"/>
      </w:divBdr>
    </w:div>
    <w:div w:id="1942227033">
      <w:bodyDiv w:val="1"/>
      <w:marLeft w:val="0"/>
      <w:marRight w:val="0"/>
      <w:marTop w:val="0"/>
      <w:marBottom w:val="0"/>
      <w:divBdr>
        <w:top w:val="none" w:sz="0" w:space="0" w:color="auto"/>
        <w:left w:val="none" w:sz="0" w:space="0" w:color="auto"/>
        <w:bottom w:val="none" w:sz="0" w:space="0" w:color="auto"/>
        <w:right w:val="none" w:sz="0" w:space="0" w:color="auto"/>
      </w:divBdr>
    </w:div>
    <w:div w:id="1942294967">
      <w:bodyDiv w:val="1"/>
      <w:marLeft w:val="0"/>
      <w:marRight w:val="0"/>
      <w:marTop w:val="0"/>
      <w:marBottom w:val="0"/>
      <w:divBdr>
        <w:top w:val="none" w:sz="0" w:space="0" w:color="auto"/>
        <w:left w:val="none" w:sz="0" w:space="0" w:color="auto"/>
        <w:bottom w:val="none" w:sz="0" w:space="0" w:color="auto"/>
        <w:right w:val="none" w:sz="0" w:space="0" w:color="auto"/>
      </w:divBdr>
    </w:div>
    <w:div w:id="1942562999">
      <w:bodyDiv w:val="1"/>
      <w:marLeft w:val="0"/>
      <w:marRight w:val="0"/>
      <w:marTop w:val="0"/>
      <w:marBottom w:val="0"/>
      <w:divBdr>
        <w:top w:val="none" w:sz="0" w:space="0" w:color="auto"/>
        <w:left w:val="none" w:sz="0" w:space="0" w:color="auto"/>
        <w:bottom w:val="none" w:sz="0" w:space="0" w:color="auto"/>
        <w:right w:val="none" w:sz="0" w:space="0" w:color="auto"/>
      </w:divBdr>
    </w:div>
    <w:div w:id="1944456804">
      <w:bodyDiv w:val="1"/>
      <w:marLeft w:val="0"/>
      <w:marRight w:val="0"/>
      <w:marTop w:val="0"/>
      <w:marBottom w:val="0"/>
      <w:divBdr>
        <w:top w:val="none" w:sz="0" w:space="0" w:color="auto"/>
        <w:left w:val="none" w:sz="0" w:space="0" w:color="auto"/>
        <w:bottom w:val="none" w:sz="0" w:space="0" w:color="auto"/>
        <w:right w:val="none" w:sz="0" w:space="0" w:color="auto"/>
      </w:divBdr>
    </w:div>
    <w:div w:id="1945963940">
      <w:bodyDiv w:val="1"/>
      <w:marLeft w:val="0"/>
      <w:marRight w:val="0"/>
      <w:marTop w:val="0"/>
      <w:marBottom w:val="0"/>
      <w:divBdr>
        <w:top w:val="none" w:sz="0" w:space="0" w:color="auto"/>
        <w:left w:val="none" w:sz="0" w:space="0" w:color="auto"/>
        <w:bottom w:val="none" w:sz="0" w:space="0" w:color="auto"/>
        <w:right w:val="none" w:sz="0" w:space="0" w:color="auto"/>
      </w:divBdr>
    </w:div>
    <w:div w:id="1946962078">
      <w:bodyDiv w:val="1"/>
      <w:marLeft w:val="0"/>
      <w:marRight w:val="0"/>
      <w:marTop w:val="0"/>
      <w:marBottom w:val="0"/>
      <w:divBdr>
        <w:top w:val="none" w:sz="0" w:space="0" w:color="auto"/>
        <w:left w:val="none" w:sz="0" w:space="0" w:color="auto"/>
        <w:bottom w:val="none" w:sz="0" w:space="0" w:color="auto"/>
        <w:right w:val="none" w:sz="0" w:space="0" w:color="auto"/>
      </w:divBdr>
    </w:div>
    <w:div w:id="1947230052">
      <w:bodyDiv w:val="1"/>
      <w:marLeft w:val="0"/>
      <w:marRight w:val="0"/>
      <w:marTop w:val="0"/>
      <w:marBottom w:val="0"/>
      <w:divBdr>
        <w:top w:val="none" w:sz="0" w:space="0" w:color="auto"/>
        <w:left w:val="none" w:sz="0" w:space="0" w:color="auto"/>
        <w:bottom w:val="none" w:sz="0" w:space="0" w:color="auto"/>
        <w:right w:val="none" w:sz="0" w:space="0" w:color="auto"/>
      </w:divBdr>
    </w:div>
    <w:div w:id="1948925273">
      <w:bodyDiv w:val="1"/>
      <w:marLeft w:val="0"/>
      <w:marRight w:val="0"/>
      <w:marTop w:val="0"/>
      <w:marBottom w:val="0"/>
      <w:divBdr>
        <w:top w:val="none" w:sz="0" w:space="0" w:color="auto"/>
        <w:left w:val="none" w:sz="0" w:space="0" w:color="auto"/>
        <w:bottom w:val="none" w:sz="0" w:space="0" w:color="auto"/>
        <w:right w:val="none" w:sz="0" w:space="0" w:color="auto"/>
      </w:divBdr>
    </w:div>
    <w:div w:id="1949195786">
      <w:bodyDiv w:val="1"/>
      <w:marLeft w:val="0"/>
      <w:marRight w:val="0"/>
      <w:marTop w:val="0"/>
      <w:marBottom w:val="0"/>
      <w:divBdr>
        <w:top w:val="none" w:sz="0" w:space="0" w:color="auto"/>
        <w:left w:val="none" w:sz="0" w:space="0" w:color="auto"/>
        <w:bottom w:val="none" w:sz="0" w:space="0" w:color="auto"/>
        <w:right w:val="none" w:sz="0" w:space="0" w:color="auto"/>
      </w:divBdr>
    </w:div>
    <w:div w:id="1950550808">
      <w:bodyDiv w:val="1"/>
      <w:marLeft w:val="0"/>
      <w:marRight w:val="0"/>
      <w:marTop w:val="0"/>
      <w:marBottom w:val="0"/>
      <w:divBdr>
        <w:top w:val="none" w:sz="0" w:space="0" w:color="auto"/>
        <w:left w:val="none" w:sz="0" w:space="0" w:color="auto"/>
        <w:bottom w:val="none" w:sz="0" w:space="0" w:color="auto"/>
        <w:right w:val="none" w:sz="0" w:space="0" w:color="auto"/>
      </w:divBdr>
    </w:div>
    <w:div w:id="1951010134">
      <w:bodyDiv w:val="1"/>
      <w:marLeft w:val="0"/>
      <w:marRight w:val="0"/>
      <w:marTop w:val="0"/>
      <w:marBottom w:val="0"/>
      <w:divBdr>
        <w:top w:val="none" w:sz="0" w:space="0" w:color="auto"/>
        <w:left w:val="none" w:sz="0" w:space="0" w:color="auto"/>
        <w:bottom w:val="none" w:sz="0" w:space="0" w:color="auto"/>
        <w:right w:val="none" w:sz="0" w:space="0" w:color="auto"/>
      </w:divBdr>
    </w:div>
    <w:div w:id="1951232204">
      <w:bodyDiv w:val="1"/>
      <w:marLeft w:val="0"/>
      <w:marRight w:val="0"/>
      <w:marTop w:val="0"/>
      <w:marBottom w:val="0"/>
      <w:divBdr>
        <w:top w:val="none" w:sz="0" w:space="0" w:color="auto"/>
        <w:left w:val="none" w:sz="0" w:space="0" w:color="auto"/>
        <w:bottom w:val="none" w:sz="0" w:space="0" w:color="auto"/>
        <w:right w:val="none" w:sz="0" w:space="0" w:color="auto"/>
      </w:divBdr>
    </w:div>
    <w:div w:id="1951862570">
      <w:bodyDiv w:val="1"/>
      <w:marLeft w:val="0"/>
      <w:marRight w:val="0"/>
      <w:marTop w:val="0"/>
      <w:marBottom w:val="0"/>
      <w:divBdr>
        <w:top w:val="none" w:sz="0" w:space="0" w:color="auto"/>
        <w:left w:val="none" w:sz="0" w:space="0" w:color="auto"/>
        <w:bottom w:val="none" w:sz="0" w:space="0" w:color="auto"/>
        <w:right w:val="none" w:sz="0" w:space="0" w:color="auto"/>
      </w:divBdr>
    </w:div>
    <w:div w:id="1952660970">
      <w:bodyDiv w:val="1"/>
      <w:marLeft w:val="0"/>
      <w:marRight w:val="0"/>
      <w:marTop w:val="0"/>
      <w:marBottom w:val="0"/>
      <w:divBdr>
        <w:top w:val="none" w:sz="0" w:space="0" w:color="auto"/>
        <w:left w:val="none" w:sz="0" w:space="0" w:color="auto"/>
        <w:bottom w:val="none" w:sz="0" w:space="0" w:color="auto"/>
        <w:right w:val="none" w:sz="0" w:space="0" w:color="auto"/>
      </w:divBdr>
    </w:div>
    <w:div w:id="1953511195">
      <w:bodyDiv w:val="1"/>
      <w:marLeft w:val="0"/>
      <w:marRight w:val="0"/>
      <w:marTop w:val="0"/>
      <w:marBottom w:val="0"/>
      <w:divBdr>
        <w:top w:val="none" w:sz="0" w:space="0" w:color="auto"/>
        <w:left w:val="none" w:sz="0" w:space="0" w:color="auto"/>
        <w:bottom w:val="none" w:sz="0" w:space="0" w:color="auto"/>
        <w:right w:val="none" w:sz="0" w:space="0" w:color="auto"/>
      </w:divBdr>
    </w:div>
    <w:div w:id="1953779214">
      <w:bodyDiv w:val="1"/>
      <w:marLeft w:val="0"/>
      <w:marRight w:val="0"/>
      <w:marTop w:val="0"/>
      <w:marBottom w:val="0"/>
      <w:divBdr>
        <w:top w:val="none" w:sz="0" w:space="0" w:color="auto"/>
        <w:left w:val="none" w:sz="0" w:space="0" w:color="auto"/>
        <w:bottom w:val="none" w:sz="0" w:space="0" w:color="auto"/>
        <w:right w:val="none" w:sz="0" w:space="0" w:color="auto"/>
      </w:divBdr>
    </w:div>
    <w:div w:id="1954287989">
      <w:bodyDiv w:val="1"/>
      <w:marLeft w:val="0"/>
      <w:marRight w:val="0"/>
      <w:marTop w:val="0"/>
      <w:marBottom w:val="0"/>
      <w:divBdr>
        <w:top w:val="none" w:sz="0" w:space="0" w:color="auto"/>
        <w:left w:val="none" w:sz="0" w:space="0" w:color="auto"/>
        <w:bottom w:val="none" w:sz="0" w:space="0" w:color="auto"/>
        <w:right w:val="none" w:sz="0" w:space="0" w:color="auto"/>
      </w:divBdr>
    </w:div>
    <w:div w:id="1954507470">
      <w:bodyDiv w:val="1"/>
      <w:marLeft w:val="0"/>
      <w:marRight w:val="0"/>
      <w:marTop w:val="0"/>
      <w:marBottom w:val="0"/>
      <w:divBdr>
        <w:top w:val="none" w:sz="0" w:space="0" w:color="auto"/>
        <w:left w:val="none" w:sz="0" w:space="0" w:color="auto"/>
        <w:bottom w:val="none" w:sz="0" w:space="0" w:color="auto"/>
        <w:right w:val="none" w:sz="0" w:space="0" w:color="auto"/>
      </w:divBdr>
    </w:div>
    <w:div w:id="1955406615">
      <w:bodyDiv w:val="1"/>
      <w:marLeft w:val="0"/>
      <w:marRight w:val="0"/>
      <w:marTop w:val="0"/>
      <w:marBottom w:val="0"/>
      <w:divBdr>
        <w:top w:val="none" w:sz="0" w:space="0" w:color="auto"/>
        <w:left w:val="none" w:sz="0" w:space="0" w:color="auto"/>
        <w:bottom w:val="none" w:sz="0" w:space="0" w:color="auto"/>
        <w:right w:val="none" w:sz="0" w:space="0" w:color="auto"/>
      </w:divBdr>
    </w:div>
    <w:div w:id="1955751370">
      <w:bodyDiv w:val="1"/>
      <w:marLeft w:val="0"/>
      <w:marRight w:val="0"/>
      <w:marTop w:val="0"/>
      <w:marBottom w:val="0"/>
      <w:divBdr>
        <w:top w:val="none" w:sz="0" w:space="0" w:color="auto"/>
        <w:left w:val="none" w:sz="0" w:space="0" w:color="auto"/>
        <w:bottom w:val="none" w:sz="0" w:space="0" w:color="auto"/>
        <w:right w:val="none" w:sz="0" w:space="0" w:color="auto"/>
      </w:divBdr>
    </w:div>
    <w:div w:id="1956136668">
      <w:bodyDiv w:val="1"/>
      <w:marLeft w:val="0"/>
      <w:marRight w:val="0"/>
      <w:marTop w:val="0"/>
      <w:marBottom w:val="0"/>
      <w:divBdr>
        <w:top w:val="none" w:sz="0" w:space="0" w:color="auto"/>
        <w:left w:val="none" w:sz="0" w:space="0" w:color="auto"/>
        <w:bottom w:val="none" w:sz="0" w:space="0" w:color="auto"/>
        <w:right w:val="none" w:sz="0" w:space="0" w:color="auto"/>
      </w:divBdr>
    </w:div>
    <w:div w:id="1956253591">
      <w:bodyDiv w:val="1"/>
      <w:marLeft w:val="0"/>
      <w:marRight w:val="0"/>
      <w:marTop w:val="0"/>
      <w:marBottom w:val="0"/>
      <w:divBdr>
        <w:top w:val="none" w:sz="0" w:space="0" w:color="auto"/>
        <w:left w:val="none" w:sz="0" w:space="0" w:color="auto"/>
        <w:bottom w:val="none" w:sz="0" w:space="0" w:color="auto"/>
        <w:right w:val="none" w:sz="0" w:space="0" w:color="auto"/>
      </w:divBdr>
    </w:div>
    <w:div w:id="1958101813">
      <w:bodyDiv w:val="1"/>
      <w:marLeft w:val="0"/>
      <w:marRight w:val="0"/>
      <w:marTop w:val="0"/>
      <w:marBottom w:val="0"/>
      <w:divBdr>
        <w:top w:val="none" w:sz="0" w:space="0" w:color="auto"/>
        <w:left w:val="none" w:sz="0" w:space="0" w:color="auto"/>
        <w:bottom w:val="none" w:sz="0" w:space="0" w:color="auto"/>
        <w:right w:val="none" w:sz="0" w:space="0" w:color="auto"/>
      </w:divBdr>
    </w:div>
    <w:div w:id="1960262466">
      <w:bodyDiv w:val="1"/>
      <w:marLeft w:val="0"/>
      <w:marRight w:val="0"/>
      <w:marTop w:val="0"/>
      <w:marBottom w:val="0"/>
      <w:divBdr>
        <w:top w:val="none" w:sz="0" w:space="0" w:color="auto"/>
        <w:left w:val="none" w:sz="0" w:space="0" w:color="auto"/>
        <w:bottom w:val="none" w:sz="0" w:space="0" w:color="auto"/>
        <w:right w:val="none" w:sz="0" w:space="0" w:color="auto"/>
      </w:divBdr>
    </w:div>
    <w:div w:id="1961838038">
      <w:bodyDiv w:val="1"/>
      <w:marLeft w:val="0"/>
      <w:marRight w:val="0"/>
      <w:marTop w:val="0"/>
      <w:marBottom w:val="0"/>
      <w:divBdr>
        <w:top w:val="none" w:sz="0" w:space="0" w:color="auto"/>
        <w:left w:val="none" w:sz="0" w:space="0" w:color="auto"/>
        <w:bottom w:val="none" w:sz="0" w:space="0" w:color="auto"/>
        <w:right w:val="none" w:sz="0" w:space="0" w:color="auto"/>
      </w:divBdr>
    </w:div>
    <w:div w:id="1963610617">
      <w:bodyDiv w:val="1"/>
      <w:marLeft w:val="0"/>
      <w:marRight w:val="0"/>
      <w:marTop w:val="0"/>
      <w:marBottom w:val="0"/>
      <w:divBdr>
        <w:top w:val="none" w:sz="0" w:space="0" w:color="auto"/>
        <w:left w:val="none" w:sz="0" w:space="0" w:color="auto"/>
        <w:bottom w:val="none" w:sz="0" w:space="0" w:color="auto"/>
        <w:right w:val="none" w:sz="0" w:space="0" w:color="auto"/>
      </w:divBdr>
    </w:div>
    <w:div w:id="1968315470">
      <w:bodyDiv w:val="1"/>
      <w:marLeft w:val="0"/>
      <w:marRight w:val="0"/>
      <w:marTop w:val="0"/>
      <w:marBottom w:val="0"/>
      <w:divBdr>
        <w:top w:val="none" w:sz="0" w:space="0" w:color="auto"/>
        <w:left w:val="none" w:sz="0" w:space="0" w:color="auto"/>
        <w:bottom w:val="none" w:sz="0" w:space="0" w:color="auto"/>
        <w:right w:val="none" w:sz="0" w:space="0" w:color="auto"/>
      </w:divBdr>
    </w:div>
    <w:div w:id="1968702103">
      <w:bodyDiv w:val="1"/>
      <w:marLeft w:val="0"/>
      <w:marRight w:val="0"/>
      <w:marTop w:val="0"/>
      <w:marBottom w:val="0"/>
      <w:divBdr>
        <w:top w:val="none" w:sz="0" w:space="0" w:color="auto"/>
        <w:left w:val="none" w:sz="0" w:space="0" w:color="auto"/>
        <w:bottom w:val="none" w:sz="0" w:space="0" w:color="auto"/>
        <w:right w:val="none" w:sz="0" w:space="0" w:color="auto"/>
      </w:divBdr>
    </w:div>
    <w:div w:id="1969626723">
      <w:bodyDiv w:val="1"/>
      <w:marLeft w:val="0"/>
      <w:marRight w:val="0"/>
      <w:marTop w:val="0"/>
      <w:marBottom w:val="0"/>
      <w:divBdr>
        <w:top w:val="none" w:sz="0" w:space="0" w:color="auto"/>
        <w:left w:val="none" w:sz="0" w:space="0" w:color="auto"/>
        <w:bottom w:val="none" w:sz="0" w:space="0" w:color="auto"/>
        <w:right w:val="none" w:sz="0" w:space="0" w:color="auto"/>
      </w:divBdr>
    </w:div>
    <w:div w:id="1970822060">
      <w:bodyDiv w:val="1"/>
      <w:marLeft w:val="0"/>
      <w:marRight w:val="0"/>
      <w:marTop w:val="0"/>
      <w:marBottom w:val="0"/>
      <w:divBdr>
        <w:top w:val="none" w:sz="0" w:space="0" w:color="auto"/>
        <w:left w:val="none" w:sz="0" w:space="0" w:color="auto"/>
        <w:bottom w:val="none" w:sz="0" w:space="0" w:color="auto"/>
        <w:right w:val="none" w:sz="0" w:space="0" w:color="auto"/>
      </w:divBdr>
    </w:div>
    <w:div w:id="1972860021">
      <w:bodyDiv w:val="1"/>
      <w:marLeft w:val="0"/>
      <w:marRight w:val="0"/>
      <w:marTop w:val="0"/>
      <w:marBottom w:val="0"/>
      <w:divBdr>
        <w:top w:val="none" w:sz="0" w:space="0" w:color="auto"/>
        <w:left w:val="none" w:sz="0" w:space="0" w:color="auto"/>
        <w:bottom w:val="none" w:sz="0" w:space="0" w:color="auto"/>
        <w:right w:val="none" w:sz="0" w:space="0" w:color="auto"/>
      </w:divBdr>
    </w:div>
    <w:div w:id="1974092832">
      <w:bodyDiv w:val="1"/>
      <w:marLeft w:val="0"/>
      <w:marRight w:val="0"/>
      <w:marTop w:val="0"/>
      <w:marBottom w:val="0"/>
      <w:divBdr>
        <w:top w:val="none" w:sz="0" w:space="0" w:color="auto"/>
        <w:left w:val="none" w:sz="0" w:space="0" w:color="auto"/>
        <w:bottom w:val="none" w:sz="0" w:space="0" w:color="auto"/>
        <w:right w:val="none" w:sz="0" w:space="0" w:color="auto"/>
      </w:divBdr>
    </w:div>
    <w:div w:id="1974872802">
      <w:bodyDiv w:val="1"/>
      <w:marLeft w:val="0"/>
      <w:marRight w:val="0"/>
      <w:marTop w:val="0"/>
      <w:marBottom w:val="0"/>
      <w:divBdr>
        <w:top w:val="none" w:sz="0" w:space="0" w:color="auto"/>
        <w:left w:val="none" w:sz="0" w:space="0" w:color="auto"/>
        <w:bottom w:val="none" w:sz="0" w:space="0" w:color="auto"/>
        <w:right w:val="none" w:sz="0" w:space="0" w:color="auto"/>
      </w:divBdr>
    </w:div>
    <w:div w:id="1975213895">
      <w:bodyDiv w:val="1"/>
      <w:marLeft w:val="0"/>
      <w:marRight w:val="0"/>
      <w:marTop w:val="0"/>
      <w:marBottom w:val="0"/>
      <w:divBdr>
        <w:top w:val="none" w:sz="0" w:space="0" w:color="auto"/>
        <w:left w:val="none" w:sz="0" w:space="0" w:color="auto"/>
        <w:bottom w:val="none" w:sz="0" w:space="0" w:color="auto"/>
        <w:right w:val="none" w:sz="0" w:space="0" w:color="auto"/>
      </w:divBdr>
    </w:div>
    <w:div w:id="1977758386">
      <w:bodyDiv w:val="1"/>
      <w:marLeft w:val="0"/>
      <w:marRight w:val="0"/>
      <w:marTop w:val="0"/>
      <w:marBottom w:val="0"/>
      <w:divBdr>
        <w:top w:val="none" w:sz="0" w:space="0" w:color="auto"/>
        <w:left w:val="none" w:sz="0" w:space="0" w:color="auto"/>
        <w:bottom w:val="none" w:sz="0" w:space="0" w:color="auto"/>
        <w:right w:val="none" w:sz="0" w:space="0" w:color="auto"/>
      </w:divBdr>
    </w:div>
    <w:div w:id="1979727493">
      <w:bodyDiv w:val="1"/>
      <w:marLeft w:val="0"/>
      <w:marRight w:val="0"/>
      <w:marTop w:val="0"/>
      <w:marBottom w:val="0"/>
      <w:divBdr>
        <w:top w:val="none" w:sz="0" w:space="0" w:color="auto"/>
        <w:left w:val="none" w:sz="0" w:space="0" w:color="auto"/>
        <w:bottom w:val="none" w:sz="0" w:space="0" w:color="auto"/>
        <w:right w:val="none" w:sz="0" w:space="0" w:color="auto"/>
      </w:divBdr>
    </w:div>
    <w:div w:id="1979796470">
      <w:bodyDiv w:val="1"/>
      <w:marLeft w:val="0"/>
      <w:marRight w:val="0"/>
      <w:marTop w:val="0"/>
      <w:marBottom w:val="0"/>
      <w:divBdr>
        <w:top w:val="none" w:sz="0" w:space="0" w:color="auto"/>
        <w:left w:val="none" w:sz="0" w:space="0" w:color="auto"/>
        <w:bottom w:val="none" w:sz="0" w:space="0" w:color="auto"/>
        <w:right w:val="none" w:sz="0" w:space="0" w:color="auto"/>
      </w:divBdr>
    </w:div>
    <w:div w:id="1979842643">
      <w:bodyDiv w:val="1"/>
      <w:marLeft w:val="0"/>
      <w:marRight w:val="0"/>
      <w:marTop w:val="0"/>
      <w:marBottom w:val="0"/>
      <w:divBdr>
        <w:top w:val="none" w:sz="0" w:space="0" w:color="auto"/>
        <w:left w:val="none" w:sz="0" w:space="0" w:color="auto"/>
        <w:bottom w:val="none" w:sz="0" w:space="0" w:color="auto"/>
        <w:right w:val="none" w:sz="0" w:space="0" w:color="auto"/>
      </w:divBdr>
    </w:div>
    <w:div w:id="1980726854">
      <w:bodyDiv w:val="1"/>
      <w:marLeft w:val="0"/>
      <w:marRight w:val="0"/>
      <w:marTop w:val="0"/>
      <w:marBottom w:val="0"/>
      <w:divBdr>
        <w:top w:val="none" w:sz="0" w:space="0" w:color="auto"/>
        <w:left w:val="none" w:sz="0" w:space="0" w:color="auto"/>
        <w:bottom w:val="none" w:sz="0" w:space="0" w:color="auto"/>
        <w:right w:val="none" w:sz="0" w:space="0" w:color="auto"/>
      </w:divBdr>
    </w:div>
    <w:div w:id="1983196614">
      <w:bodyDiv w:val="1"/>
      <w:marLeft w:val="0"/>
      <w:marRight w:val="0"/>
      <w:marTop w:val="0"/>
      <w:marBottom w:val="0"/>
      <w:divBdr>
        <w:top w:val="none" w:sz="0" w:space="0" w:color="auto"/>
        <w:left w:val="none" w:sz="0" w:space="0" w:color="auto"/>
        <w:bottom w:val="none" w:sz="0" w:space="0" w:color="auto"/>
        <w:right w:val="none" w:sz="0" w:space="0" w:color="auto"/>
      </w:divBdr>
    </w:div>
    <w:div w:id="1983609796">
      <w:bodyDiv w:val="1"/>
      <w:marLeft w:val="0"/>
      <w:marRight w:val="0"/>
      <w:marTop w:val="0"/>
      <w:marBottom w:val="0"/>
      <w:divBdr>
        <w:top w:val="none" w:sz="0" w:space="0" w:color="auto"/>
        <w:left w:val="none" w:sz="0" w:space="0" w:color="auto"/>
        <w:bottom w:val="none" w:sz="0" w:space="0" w:color="auto"/>
        <w:right w:val="none" w:sz="0" w:space="0" w:color="auto"/>
      </w:divBdr>
    </w:div>
    <w:div w:id="1984652283">
      <w:bodyDiv w:val="1"/>
      <w:marLeft w:val="0"/>
      <w:marRight w:val="0"/>
      <w:marTop w:val="0"/>
      <w:marBottom w:val="0"/>
      <w:divBdr>
        <w:top w:val="none" w:sz="0" w:space="0" w:color="auto"/>
        <w:left w:val="none" w:sz="0" w:space="0" w:color="auto"/>
        <w:bottom w:val="none" w:sz="0" w:space="0" w:color="auto"/>
        <w:right w:val="none" w:sz="0" w:space="0" w:color="auto"/>
      </w:divBdr>
    </w:div>
    <w:div w:id="1984894029">
      <w:bodyDiv w:val="1"/>
      <w:marLeft w:val="0"/>
      <w:marRight w:val="0"/>
      <w:marTop w:val="0"/>
      <w:marBottom w:val="0"/>
      <w:divBdr>
        <w:top w:val="none" w:sz="0" w:space="0" w:color="auto"/>
        <w:left w:val="none" w:sz="0" w:space="0" w:color="auto"/>
        <w:bottom w:val="none" w:sz="0" w:space="0" w:color="auto"/>
        <w:right w:val="none" w:sz="0" w:space="0" w:color="auto"/>
      </w:divBdr>
    </w:div>
    <w:div w:id="1985699712">
      <w:bodyDiv w:val="1"/>
      <w:marLeft w:val="0"/>
      <w:marRight w:val="0"/>
      <w:marTop w:val="0"/>
      <w:marBottom w:val="0"/>
      <w:divBdr>
        <w:top w:val="none" w:sz="0" w:space="0" w:color="auto"/>
        <w:left w:val="none" w:sz="0" w:space="0" w:color="auto"/>
        <w:bottom w:val="none" w:sz="0" w:space="0" w:color="auto"/>
        <w:right w:val="none" w:sz="0" w:space="0" w:color="auto"/>
      </w:divBdr>
    </w:div>
    <w:div w:id="1986468983">
      <w:bodyDiv w:val="1"/>
      <w:marLeft w:val="0"/>
      <w:marRight w:val="0"/>
      <w:marTop w:val="0"/>
      <w:marBottom w:val="0"/>
      <w:divBdr>
        <w:top w:val="none" w:sz="0" w:space="0" w:color="auto"/>
        <w:left w:val="none" w:sz="0" w:space="0" w:color="auto"/>
        <w:bottom w:val="none" w:sz="0" w:space="0" w:color="auto"/>
        <w:right w:val="none" w:sz="0" w:space="0" w:color="auto"/>
      </w:divBdr>
    </w:div>
    <w:div w:id="1987052350">
      <w:bodyDiv w:val="1"/>
      <w:marLeft w:val="0"/>
      <w:marRight w:val="0"/>
      <w:marTop w:val="0"/>
      <w:marBottom w:val="0"/>
      <w:divBdr>
        <w:top w:val="none" w:sz="0" w:space="0" w:color="auto"/>
        <w:left w:val="none" w:sz="0" w:space="0" w:color="auto"/>
        <w:bottom w:val="none" w:sz="0" w:space="0" w:color="auto"/>
        <w:right w:val="none" w:sz="0" w:space="0" w:color="auto"/>
      </w:divBdr>
    </w:div>
    <w:div w:id="1987124330">
      <w:bodyDiv w:val="1"/>
      <w:marLeft w:val="0"/>
      <w:marRight w:val="0"/>
      <w:marTop w:val="0"/>
      <w:marBottom w:val="0"/>
      <w:divBdr>
        <w:top w:val="none" w:sz="0" w:space="0" w:color="auto"/>
        <w:left w:val="none" w:sz="0" w:space="0" w:color="auto"/>
        <w:bottom w:val="none" w:sz="0" w:space="0" w:color="auto"/>
        <w:right w:val="none" w:sz="0" w:space="0" w:color="auto"/>
      </w:divBdr>
    </w:div>
    <w:div w:id="1987467558">
      <w:bodyDiv w:val="1"/>
      <w:marLeft w:val="0"/>
      <w:marRight w:val="0"/>
      <w:marTop w:val="0"/>
      <w:marBottom w:val="0"/>
      <w:divBdr>
        <w:top w:val="none" w:sz="0" w:space="0" w:color="auto"/>
        <w:left w:val="none" w:sz="0" w:space="0" w:color="auto"/>
        <w:bottom w:val="none" w:sz="0" w:space="0" w:color="auto"/>
        <w:right w:val="none" w:sz="0" w:space="0" w:color="auto"/>
      </w:divBdr>
    </w:div>
    <w:div w:id="1988432416">
      <w:bodyDiv w:val="1"/>
      <w:marLeft w:val="0"/>
      <w:marRight w:val="0"/>
      <w:marTop w:val="0"/>
      <w:marBottom w:val="0"/>
      <w:divBdr>
        <w:top w:val="none" w:sz="0" w:space="0" w:color="auto"/>
        <w:left w:val="none" w:sz="0" w:space="0" w:color="auto"/>
        <w:bottom w:val="none" w:sz="0" w:space="0" w:color="auto"/>
        <w:right w:val="none" w:sz="0" w:space="0" w:color="auto"/>
      </w:divBdr>
    </w:div>
    <w:div w:id="1989312174">
      <w:bodyDiv w:val="1"/>
      <w:marLeft w:val="0"/>
      <w:marRight w:val="0"/>
      <w:marTop w:val="0"/>
      <w:marBottom w:val="0"/>
      <w:divBdr>
        <w:top w:val="none" w:sz="0" w:space="0" w:color="auto"/>
        <w:left w:val="none" w:sz="0" w:space="0" w:color="auto"/>
        <w:bottom w:val="none" w:sz="0" w:space="0" w:color="auto"/>
        <w:right w:val="none" w:sz="0" w:space="0" w:color="auto"/>
      </w:divBdr>
    </w:div>
    <w:div w:id="1989942199">
      <w:bodyDiv w:val="1"/>
      <w:marLeft w:val="0"/>
      <w:marRight w:val="0"/>
      <w:marTop w:val="0"/>
      <w:marBottom w:val="0"/>
      <w:divBdr>
        <w:top w:val="none" w:sz="0" w:space="0" w:color="auto"/>
        <w:left w:val="none" w:sz="0" w:space="0" w:color="auto"/>
        <w:bottom w:val="none" w:sz="0" w:space="0" w:color="auto"/>
        <w:right w:val="none" w:sz="0" w:space="0" w:color="auto"/>
      </w:divBdr>
    </w:div>
    <w:div w:id="1992370224">
      <w:bodyDiv w:val="1"/>
      <w:marLeft w:val="0"/>
      <w:marRight w:val="0"/>
      <w:marTop w:val="0"/>
      <w:marBottom w:val="0"/>
      <w:divBdr>
        <w:top w:val="none" w:sz="0" w:space="0" w:color="auto"/>
        <w:left w:val="none" w:sz="0" w:space="0" w:color="auto"/>
        <w:bottom w:val="none" w:sz="0" w:space="0" w:color="auto"/>
        <w:right w:val="none" w:sz="0" w:space="0" w:color="auto"/>
      </w:divBdr>
    </w:div>
    <w:div w:id="1992904841">
      <w:bodyDiv w:val="1"/>
      <w:marLeft w:val="0"/>
      <w:marRight w:val="0"/>
      <w:marTop w:val="0"/>
      <w:marBottom w:val="0"/>
      <w:divBdr>
        <w:top w:val="none" w:sz="0" w:space="0" w:color="auto"/>
        <w:left w:val="none" w:sz="0" w:space="0" w:color="auto"/>
        <w:bottom w:val="none" w:sz="0" w:space="0" w:color="auto"/>
        <w:right w:val="none" w:sz="0" w:space="0" w:color="auto"/>
      </w:divBdr>
    </w:div>
    <w:div w:id="1994483635">
      <w:bodyDiv w:val="1"/>
      <w:marLeft w:val="0"/>
      <w:marRight w:val="0"/>
      <w:marTop w:val="0"/>
      <w:marBottom w:val="0"/>
      <w:divBdr>
        <w:top w:val="none" w:sz="0" w:space="0" w:color="auto"/>
        <w:left w:val="none" w:sz="0" w:space="0" w:color="auto"/>
        <w:bottom w:val="none" w:sz="0" w:space="0" w:color="auto"/>
        <w:right w:val="none" w:sz="0" w:space="0" w:color="auto"/>
      </w:divBdr>
    </w:div>
    <w:div w:id="1995330802">
      <w:bodyDiv w:val="1"/>
      <w:marLeft w:val="0"/>
      <w:marRight w:val="0"/>
      <w:marTop w:val="0"/>
      <w:marBottom w:val="0"/>
      <w:divBdr>
        <w:top w:val="none" w:sz="0" w:space="0" w:color="auto"/>
        <w:left w:val="none" w:sz="0" w:space="0" w:color="auto"/>
        <w:bottom w:val="none" w:sz="0" w:space="0" w:color="auto"/>
        <w:right w:val="none" w:sz="0" w:space="0" w:color="auto"/>
      </w:divBdr>
    </w:div>
    <w:div w:id="1995639834">
      <w:bodyDiv w:val="1"/>
      <w:marLeft w:val="0"/>
      <w:marRight w:val="0"/>
      <w:marTop w:val="0"/>
      <w:marBottom w:val="0"/>
      <w:divBdr>
        <w:top w:val="none" w:sz="0" w:space="0" w:color="auto"/>
        <w:left w:val="none" w:sz="0" w:space="0" w:color="auto"/>
        <w:bottom w:val="none" w:sz="0" w:space="0" w:color="auto"/>
        <w:right w:val="none" w:sz="0" w:space="0" w:color="auto"/>
      </w:divBdr>
    </w:div>
    <w:div w:id="1995984600">
      <w:bodyDiv w:val="1"/>
      <w:marLeft w:val="0"/>
      <w:marRight w:val="0"/>
      <w:marTop w:val="0"/>
      <w:marBottom w:val="0"/>
      <w:divBdr>
        <w:top w:val="none" w:sz="0" w:space="0" w:color="auto"/>
        <w:left w:val="none" w:sz="0" w:space="0" w:color="auto"/>
        <w:bottom w:val="none" w:sz="0" w:space="0" w:color="auto"/>
        <w:right w:val="none" w:sz="0" w:space="0" w:color="auto"/>
      </w:divBdr>
    </w:div>
    <w:div w:id="1996257880">
      <w:bodyDiv w:val="1"/>
      <w:marLeft w:val="0"/>
      <w:marRight w:val="0"/>
      <w:marTop w:val="0"/>
      <w:marBottom w:val="0"/>
      <w:divBdr>
        <w:top w:val="none" w:sz="0" w:space="0" w:color="auto"/>
        <w:left w:val="none" w:sz="0" w:space="0" w:color="auto"/>
        <w:bottom w:val="none" w:sz="0" w:space="0" w:color="auto"/>
        <w:right w:val="none" w:sz="0" w:space="0" w:color="auto"/>
      </w:divBdr>
    </w:div>
    <w:div w:id="1997217731">
      <w:bodyDiv w:val="1"/>
      <w:marLeft w:val="0"/>
      <w:marRight w:val="0"/>
      <w:marTop w:val="0"/>
      <w:marBottom w:val="0"/>
      <w:divBdr>
        <w:top w:val="none" w:sz="0" w:space="0" w:color="auto"/>
        <w:left w:val="none" w:sz="0" w:space="0" w:color="auto"/>
        <w:bottom w:val="none" w:sz="0" w:space="0" w:color="auto"/>
        <w:right w:val="none" w:sz="0" w:space="0" w:color="auto"/>
      </w:divBdr>
    </w:div>
    <w:div w:id="1997224198">
      <w:bodyDiv w:val="1"/>
      <w:marLeft w:val="0"/>
      <w:marRight w:val="0"/>
      <w:marTop w:val="0"/>
      <w:marBottom w:val="0"/>
      <w:divBdr>
        <w:top w:val="none" w:sz="0" w:space="0" w:color="auto"/>
        <w:left w:val="none" w:sz="0" w:space="0" w:color="auto"/>
        <w:bottom w:val="none" w:sz="0" w:space="0" w:color="auto"/>
        <w:right w:val="none" w:sz="0" w:space="0" w:color="auto"/>
      </w:divBdr>
    </w:div>
    <w:div w:id="1997370012">
      <w:bodyDiv w:val="1"/>
      <w:marLeft w:val="0"/>
      <w:marRight w:val="0"/>
      <w:marTop w:val="0"/>
      <w:marBottom w:val="0"/>
      <w:divBdr>
        <w:top w:val="none" w:sz="0" w:space="0" w:color="auto"/>
        <w:left w:val="none" w:sz="0" w:space="0" w:color="auto"/>
        <w:bottom w:val="none" w:sz="0" w:space="0" w:color="auto"/>
        <w:right w:val="none" w:sz="0" w:space="0" w:color="auto"/>
      </w:divBdr>
    </w:div>
    <w:div w:id="1997412565">
      <w:bodyDiv w:val="1"/>
      <w:marLeft w:val="0"/>
      <w:marRight w:val="0"/>
      <w:marTop w:val="0"/>
      <w:marBottom w:val="0"/>
      <w:divBdr>
        <w:top w:val="none" w:sz="0" w:space="0" w:color="auto"/>
        <w:left w:val="none" w:sz="0" w:space="0" w:color="auto"/>
        <w:bottom w:val="none" w:sz="0" w:space="0" w:color="auto"/>
        <w:right w:val="none" w:sz="0" w:space="0" w:color="auto"/>
      </w:divBdr>
    </w:div>
    <w:div w:id="1998342432">
      <w:bodyDiv w:val="1"/>
      <w:marLeft w:val="0"/>
      <w:marRight w:val="0"/>
      <w:marTop w:val="0"/>
      <w:marBottom w:val="0"/>
      <w:divBdr>
        <w:top w:val="none" w:sz="0" w:space="0" w:color="auto"/>
        <w:left w:val="none" w:sz="0" w:space="0" w:color="auto"/>
        <w:bottom w:val="none" w:sz="0" w:space="0" w:color="auto"/>
        <w:right w:val="none" w:sz="0" w:space="0" w:color="auto"/>
      </w:divBdr>
    </w:div>
    <w:div w:id="1998683478">
      <w:bodyDiv w:val="1"/>
      <w:marLeft w:val="0"/>
      <w:marRight w:val="0"/>
      <w:marTop w:val="0"/>
      <w:marBottom w:val="0"/>
      <w:divBdr>
        <w:top w:val="none" w:sz="0" w:space="0" w:color="auto"/>
        <w:left w:val="none" w:sz="0" w:space="0" w:color="auto"/>
        <w:bottom w:val="none" w:sz="0" w:space="0" w:color="auto"/>
        <w:right w:val="none" w:sz="0" w:space="0" w:color="auto"/>
      </w:divBdr>
    </w:div>
    <w:div w:id="1999843995">
      <w:bodyDiv w:val="1"/>
      <w:marLeft w:val="0"/>
      <w:marRight w:val="0"/>
      <w:marTop w:val="0"/>
      <w:marBottom w:val="0"/>
      <w:divBdr>
        <w:top w:val="none" w:sz="0" w:space="0" w:color="auto"/>
        <w:left w:val="none" w:sz="0" w:space="0" w:color="auto"/>
        <w:bottom w:val="none" w:sz="0" w:space="0" w:color="auto"/>
        <w:right w:val="none" w:sz="0" w:space="0" w:color="auto"/>
      </w:divBdr>
    </w:div>
    <w:div w:id="2002654719">
      <w:bodyDiv w:val="1"/>
      <w:marLeft w:val="0"/>
      <w:marRight w:val="0"/>
      <w:marTop w:val="0"/>
      <w:marBottom w:val="0"/>
      <w:divBdr>
        <w:top w:val="none" w:sz="0" w:space="0" w:color="auto"/>
        <w:left w:val="none" w:sz="0" w:space="0" w:color="auto"/>
        <w:bottom w:val="none" w:sz="0" w:space="0" w:color="auto"/>
        <w:right w:val="none" w:sz="0" w:space="0" w:color="auto"/>
      </w:divBdr>
    </w:div>
    <w:div w:id="2003969249">
      <w:bodyDiv w:val="1"/>
      <w:marLeft w:val="0"/>
      <w:marRight w:val="0"/>
      <w:marTop w:val="0"/>
      <w:marBottom w:val="0"/>
      <w:divBdr>
        <w:top w:val="none" w:sz="0" w:space="0" w:color="auto"/>
        <w:left w:val="none" w:sz="0" w:space="0" w:color="auto"/>
        <w:bottom w:val="none" w:sz="0" w:space="0" w:color="auto"/>
        <w:right w:val="none" w:sz="0" w:space="0" w:color="auto"/>
      </w:divBdr>
    </w:div>
    <w:div w:id="2005476620">
      <w:bodyDiv w:val="1"/>
      <w:marLeft w:val="0"/>
      <w:marRight w:val="0"/>
      <w:marTop w:val="0"/>
      <w:marBottom w:val="0"/>
      <w:divBdr>
        <w:top w:val="none" w:sz="0" w:space="0" w:color="auto"/>
        <w:left w:val="none" w:sz="0" w:space="0" w:color="auto"/>
        <w:bottom w:val="none" w:sz="0" w:space="0" w:color="auto"/>
        <w:right w:val="none" w:sz="0" w:space="0" w:color="auto"/>
      </w:divBdr>
    </w:div>
    <w:div w:id="2005891453">
      <w:bodyDiv w:val="1"/>
      <w:marLeft w:val="0"/>
      <w:marRight w:val="0"/>
      <w:marTop w:val="0"/>
      <w:marBottom w:val="0"/>
      <w:divBdr>
        <w:top w:val="none" w:sz="0" w:space="0" w:color="auto"/>
        <w:left w:val="none" w:sz="0" w:space="0" w:color="auto"/>
        <w:bottom w:val="none" w:sz="0" w:space="0" w:color="auto"/>
        <w:right w:val="none" w:sz="0" w:space="0" w:color="auto"/>
      </w:divBdr>
    </w:div>
    <w:div w:id="2007899493">
      <w:bodyDiv w:val="1"/>
      <w:marLeft w:val="0"/>
      <w:marRight w:val="0"/>
      <w:marTop w:val="0"/>
      <w:marBottom w:val="0"/>
      <w:divBdr>
        <w:top w:val="none" w:sz="0" w:space="0" w:color="auto"/>
        <w:left w:val="none" w:sz="0" w:space="0" w:color="auto"/>
        <w:bottom w:val="none" w:sz="0" w:space="0" w:color="auto"/>
        <w:right w:val="none" w:sz="0" w:space="0" w:color="auto"/>
      </w:divBdr>
    </w:div>
    <w:div w:id="2009090817">
      <w:bodyDiv w:val="1"/>
      <w:marLeft w:val="0"/>
      <w:marRight w:val="0"/>
      <w:marTop w:val="0"/>
      <w:marBottom w:val="0"/>
      <w:divBdr>
        <w:top w:val="none" w:sz="0" w:space="0" w:color="auto"/>
        <w:left w:val="none" w:sz="0" w:space="0" w:color="auto"/>
        <w:bottom w:val="none" w:sz="0" w:space="0" w:color="auto"/>
        <w:right w:val="none" w:sz="0" w:space="0" w:color="auto"/>
      </w:divBdr>
    </w:div>
    <w:div w:id="2009405596">
      <w:bodyDiv w:val="1"/>
      <w:marLeft w:val="0"/>
      <w:marRight w:val="0"/>
      <w:marTop w:val="0"/>
      <w:marBottom w:val="0"/>
      <w:divBdr>
        <w:top w:val="none" w:sz="0" w:space="0" w:color="auto"/>
        <w:left w:val="none" w:sz="0" w:space="0" w:color="auto"/>
        <w:bottom w:val="none" w:sz="0" w:space="0" w:color="auto"/>
        <w:right w:val="none" w:sz="0" w:space="0" w:color="auto"/>
      </w:divBdr>
    </w:div>
    <w:div w:id="2010861486">
      <w:bodyDiv w:val="1"/>
      <w:marLeft w:val="0"/>
      <w:marRight w:val="0"/>
      <w:marTop w:val="0"/>
      <w:marBottom w:val="0"/>
      <w:divBdr>
        <w:top w:val="none" w:sz="0" w:space="0" w:color="auto"/>
        <w:left w:val="none" w:sz="0" w:space="0" w:color="auto"/>
        <w:bottom w:val="none" w:sz="0" w:space="0" w:color="auto"/>
        <w:right w:val="none" w:sz="0" w:space="0" w:color="auto"/>
      </w:divBdr>
    </w:div>
    <w:div w:id="2011562763">
      <w:bodyDiv w:val="1"/>
      <w:marLeft w:val="0"/>
      <w:marRight w:val="0"/>
      <w:marTop w:val="0"/>
      <w:marBottom w:val="0"/>
      <w:divBdr>
        <w:top w:val="none" w:sz="0" w:space="0" w:color="auto"/>
        <w:left w:val="none" w:sz="0" w:space="0" w:color="auto"/>
        <w:bottom w:val="none" w:sz="0" w:space="0" w:color="auto"/>
        <w:right w:val="none" w:sz="0" w:space="0" w:color="auto"/>
      </w:divBdr>
    </w:div>
    <w:div w:id="2011831072">
      <w:bodyDiv w:val="1"/>
      <w:marLeft w:val="0"/>
      <w:marRight w:val="0"/>
      <w:marTop w:val="0"/>
      <w:marBottom w:val="0"/>
      <w:divBdr>
        <w:top w:val="none" w:sz="0" w:space="0" w:color="auto"/>
        <w:left w:val="none" w:sz="0" w:space="0" w:color="auto"/>
        <w:bottom w:val="none" w:sz="0" w:space="0" w:color="auto"/>
        <w:right w:val="none" w:sz="0" w:space="0" w:color="auto"/>
      </w:divBdr>
    </w:div>
    <w:div w:id="2012488355">
      <w:bodyDiv w:val="1"/>
      <w:marLeft w:val="0"/>
      <w:marRight w:val="0"/>
      <w:marTop w:val="0"/>
      <w:marBottom w:val="0"/>
      <w:divBdr>
        <w:top w:val="none" w:sz="0" w:space="0" w:color="auto"/>
        <w:left w:val="none" w:sz="0" w:space="0" w:color="auto"/>
        <w:bottom w:val="none" w:sz="0" w:space="0" w:color="auto"/>
        <w:right w:val="none" w:sz="0" w:space="0" w:color="auto"/>
      </w:divBdr>
    </w:div>
    <w:div w:id="2013217881">
      <w:bodyDiv w:val="1"/>
      <w:marLeft w:val="0"/>
      <w:marRight w:val="0"/>
      <w:marTop w:val="0"/>
      <w:marBottom w:val="0"/>
      <w:divBdr>
        <w:top w:val="none" w:sz="0" w:space="0" w:color="auto"/>
        <w:left w:val="none" w:sz="0" w:space="0" w:color="auto"/>
        <w:bottom w:val="none" w:sz="0" w:space="0" w:color="auto"/>
        <w:right w:val="none" w:sz="0" w:space="0" w:color="auto"/>
      </w:divBdr>
    </w:div>
    <w:div w:id="2014603871">
      <w:bodyDiv w:val="1"/>
      <w:marLeft w:val="0"/>
      <w:marRight w:val="0"/>
      <w:marTop w:val="0"/>
      <w:marBottom w:val="0"/>
      <w:divBdr>
        <w:top w:val="none" w:sz="0" w:space="0" w:color="auto"/>
        <w:left w:val="none" w:sz="0" w:space="0" w:color="auto"/>
        <w:bottom w:val="none" w:sz="0" w:space="0" w:color="auto"/>
        <w:right w:val="none" w:sz="0" w:space="0" w:color="auto"/>
      </w:divBdr>
    </w:div>
    <w:div w:id="2021394325">
      <w:bodyDiv w:val="1"/>
      <w:marLeft w:val="0"/>
      <w:marRight w:val="0"/>
      <w:marTop w:val="0"/>
      <w:marBottom w:val="0"/>
      <w:divBdr>
        <w:top w:val="none" w:sz="0" w:space="0" w:color="auto"/>
        <w:left w:val="none" w:sz="0" w:space="0" w:color="auto"/>
        <w:bottom w:val="none" w:sz="0" w:space="0" w:color="auto"/>
        <w:right w:val="none" w:sz="0" w:space="0" w:color="auto"/>
      </w:divBdr>
    </w:div>
    <w:div w:id="2021396282">
      <w:bodyDiv w:val="1"/>
      <w:marLeft w:val="0"/>
      <w:marRight w:val="0"/>
      <w:marTop w:val="0"/>
      <w:marBottom w:val="0"/>
      <w:divBdr>
        <w:top w:val="none" w:sz="0" w:space="0" w:color="auto"/>
        <w:left w:val="none" w:sz="0" w:space="0" w:color="auto"/>
        <w:bottom w:val="none" w:sz="0" w:space="0" w:color="auto"/>
        <w:right w:val="none" w:sz="0" w:space="0" w:color="auto"/>
      </w:divBdr>
    </w:div>
    <w:div w:id="2021659086">
      <w:bodyDiv w:val="1"/>
      <w:marLeft w:val="0"/>
      <w:marRight w:val="0"/>
      <w:marTop w:val="0"/>
      <w:marBottom w:val="0"/>
      <w:divBdr>
        <w:top w:val="none" w:sz="0" w:space="0" w:color="auto"/>
        <w:left w:val="none" w:sz="0" w:space="0" w:color="auto"/>
        <w:bottom w:val="none" w:sz="0" w:space="0" w:color="auto"/>
        <w:right w:val="none" w:sz="0" w:space="0" w:color="auto"/>
      </w:divBdr>
    </w:div>
    <w:div w:id="2022195843">
      <w:bodyDiv w:val="1"/>
      <w:marLeft w:val="0"/>
      <w:marRight w:val="0"/>
      <w:marTop w:val="0"/>
      <w:marBottom w:val="0"/>
      <w:divBdr>
        <w:top w:val="none" w:sz="0" w:space="0" w:color="auto"/>
        <w:left w:val="none" w:sz="0" w:space="0" w:color="auto"/>
        <w:bottom w:val="none" w:sz="0" w:space="0" w:color="auto"/>
        <w:right w:val="none" w:sz="0" w:space="0" w:color="auto"/>
      </w:divBdr>
    </w:div>
    <w:div w:id="2023580253">
      <w:bodyDiv w:val="1"/>
      <w:marLeft w:val="0"/>
      <w:marRight w:val="0"/>
      <w:marTop w:val="0"/>
      <w:marBottom w:val="0"/>
      <w:divBdr>
        <w:top w:val="none" w:sz="0" w:space="0" w:color="auto"/>
        <w:left w:val="none" w:sz="0" w:space="0" w:color="auto"/>
        <w:bottom w:val="none" w:sz="0" w:space="0" w:color="auto"/>
        <w:right w:val="none" w:sz="0" w:space="0" w:color="auto"/>
      </w:divBdr>
    </w:div>
    <w:div w:id="2024817221">
      <w:bodyDiv w:val="1"/>
      <w:marLeft w:val="0"/>
      <w:marRight w:val="0"/>
      <w:marTop w:val="0"/>
      <w:marBottom w:val="0"/>
      <w:divBdr>
        <w:top w:val="none" w:sz="0" w:space="0" w:color="auto"/>
        <w:left w:val="none" w:sz="0" w:space="0" w:color="auto"/>
        <w:bottom w:val="none" w:sz="0" w:space="0" w:color="auto"/>
        <w:right w:val="none" w:sz="0" w:space="0" w:color="auto"/>
      </w:divBdr>
    </w:div>
    <w:div w:id="2025548152">
      <w:bodyDiv w:val="1"/>
      <w:marLeft w:val="0"/>
      <w:marRight w:val="0"/>
      <w:marTop w:val="0"/>
      <w:marBottom w:val="0"/>
      <w:divBdr>
        <w:top w:val="none" w:sz="0" w:space="0" w:color="auto"/>
        <w:left w:val="none" w:sz="0" w:space="0" w:color="auto"/>
        <w:bottom w:val="none" w:sz="0" w:space="0" w:color="auto"/>
        <w:right w:val="none" w:sz="0" w:space="0" w:color="auto"/>
      </w:divBdr>
    </w:div>
    <w:div w:id="2025747036">
      <w:bodyDiv w:val="1"/>
      <w:marLeft w:val="0"/>
      <w:marRight w:val="0"/>
      <w:marTop w:val="0"/>
      <w:marBottom w:val="0"/>
      <w:divBdr>
        <w:top w:val="none" w:sz="0" w:space="0" w:color="auto"/>
        <w:left w:val="none" w:sz="0" w:space="0" w:color="auto"/>
        <w:bottom w:val="none" w:sz="0" w:space="0" w:color="auto"/>
        <w:right w:val="none" w:sz="0" w:space="0" w:color="auto"/>
      </w:divBdr>
    </w:div>
    <w:div w:id="2025789862">
      <w:bodyDiv w:val="1"/>
      <w:marLeft w:val="0"/>
      <w:marRight w:val="0"/>
      <w:marTop w:val="0"/>
      <w:marBottom w:val="0"/>
      <w:divBdr>
        <w:top w:val="none" w:sz="0" w:space="0" w:color="auto"/>
        <w:left w:val="none" w:sz="0" w:space="0" w:color="auto"/>
        <w:bottom w:val="none" w:sz="0" w:space="0" w:color="auto"/>
        <w:right w:val="none" w:sz="0" w:space="0" w:color="auto"/>
      </w:divBdr>
    </w:div>
    <w:div w:id="2026900111">
      <w:bodyDiv w:val="1"/>
      <w:marLeft w:val="0"/>
      <w:marRight w:val="0"/>
      <w:marTop w:val="0"/>
      <w:marBottom w:val="0"/>
      <w:divBdr>
        <w:top w:val="none" w:sz="0" w:space="0" w:color="auto"/>
        <w:left w:val="none" w:sz="0" w:space="0" w:color="auto"/>
        <w:bottom w:val="none" w:sz="0" w:space="0" w:color="auto"/>
        <w:right w:val="none" w:sz="0" w:space="0" w:color="auto"/>
      </w:divBdr>
    </w:div>
    <w:div w:id="2026973756">
      <w:bodyDiv w:val="1"/>
      <w:marLeft w:val="0"/>
      <w:marRight w:val="0"/>
      <w:marTop w:val="0"/>
      <w:marBottom w:val="0"/>
      <w:divBdr>
        <w:top w:val="none" w:sz="0" w:space="0" w:color="auto"/>
        <w:left w:val="none" w:sz="0" w:space="0" w:color="auto"/>
        <w:bottom w:val="none" w:sz="0" w:space="0" w:color="auto"/>
        <w:right w:val="none" w:sz="0" w:space="0" w:color="auto"/>
      </w:divBdr>
    </w:div>
    <w:div w:id="2028485130">
      <w:bodyDiv w:val="1"/>
      <w:marLeft w:val="0"/>
      <w:marRight w:val="0"/>
      <w:marTop w:val="0"/>
      <w:marBottom w:val="0"/>
      <w:divBdr>
        <w:top w:val="none" w:sz="0" w:space="0" w:color="auto"/>
        <w:left w:val="none" w:sz="0" w:space="0" w:color="auto"/>
        <w:bottom w:val="none" w:sz="0" w:space="0" w:color="auto"/>
        <w:right w:val="none" w:sz="0" w:space="0" w:color="auto"/>
      </w:divBdr>
    </w:div>
    <w:div w:id="2028829196">
      <w:bodyDiv w:val="1"/>
      <w:marLeft w:val="0"/>
      <w:marRight w:val="0"/>
      <w:marTop w:val="0"/>
      <w:marBottom w:val="0"/>
      <w:divBdr>
        <w:top w:val="none" w:sz="0" w:space="0" w:color="auto"/>
        <w:left w:val="none" w:sz="0" w:space="0" w:color="auto"/>
        <w:bottom w:val="none" w:sz="0" w:space="0" w:color="auto"/>
        <w:right w:val="none" w:sz="0" w:space="0" w:color="auto"/>
      </w:divBdr>
    </w:div>
    <w:div w:id="2029328306">
      <w:bodyDiv w:val="1"/>
      <w:marLeft w:val="0"/>
      <w:marRight w:val="0"/>
      <w:marTop w:val="0"/>
      <w:marBottom w:val="0"/>
      <w:divBdr>
        <w:top w:val="none" w:sz="0" w:space="0" w:color="auto"/>
        <w:left w:val="none" w:sz="0" w:space="0" w:color="auto"/>
        <w:bottom w:val="none" w:sz="0" w:space="0" w:color="auto"/>
        <w:right w:val="none" w:sz="0" w:space="0" w:color="auto"/>
      </w:divBdr>
    </w:div>
    <w:div w:id="2031249679">
      <w:bodyDiv w:val="1"/>
      <w:marLeft w:val="0"/>
      <w:marRight w:val="0"/>
      <w:marTop w:val="0"/>
      <w:marBottom w:val="0"/>
      <w:divBdr>
        <w:top w:val="none" w:sz="0" w:space="0" w:color="auto"/>
        <w:left w:val="none" w:sz="0" w:space="0" w:color="auto"/>
        <w:bottom w:val="none" w:sz="0" w:space="0" w:color="auto"/>
        <w:right w:val="none" w:sz="0" w:space="0" w:color="auto"/>
      </w:divBdr>
    </w:div>
    <w:div w:id="2032297013">
      <w:bodyDiv w:val="1"/>
      <w:marLeft w:val="0"/>
      <w:marRight w:val="0"/>
      <w:marTop w:val="0"/>
      <w:marBottom w:val="0"/>
      <w:divBdr>
        <w:top w:val="none" w:sz="0" w:space="0" w:color="auto"/>
        <w:left w:val="none" w:sz="0" w:space="0" w:color="auto"/>
        <w:bottom w:val="none" w:sz="0" w:space="0" w:color="auto"/>
        <w:right w:val="none" w:sz="0" w:space="0" w:color="auto"/>
      </w:divBdr>
    </w:div>
    <w:div w:id="2032995607">
      <w:bodyDiv w:val="1"/>
      <w:marLeft w:val="0"/>
      <w:marRight w:val="0"/>
      <w:marTop w:val="0"/>
      <w:marBottom w:val="0"/>
      <w:divBdr>
        <w:top w:val="none" w:sz="0" w:space="0" w:color="auto"/>
        <w:left w:val="none" w:sz="0" w:space="0" w:color="auto"/>
        <w:bottom w:val="none" w:sz="0" w:space="0" w:color="auto"/>
        <w:right w:val="none" w:sz="0" w:space="0" w:color="auto"/>
      </w:divBdr>
    </w:div>
    <w:div w:id="2035499779">
      <w:bodyDiv w:val="1"/>
      <w:marLeft w:val="0"/>
      <w:marRight w:val="0"/>
      <w:marTop w:val="0"/>
      <w:marBottom w:val="0"/>
      <w:divBdr>
        <w:top w:val="none" w:sz="0" w:space="0" w:color="auto"/>
        <w:left w:val="none" w:sz="0" w:space="0" w:color="auto"/>
        <w:bottom w:val="none" w:sz="0" w:space="0" w:color="auto"/>
        <w:right w:val="none" w:sz="0" w:space="0" w:color="auto"/>
      </w:divBdr>
    </w:div>
    <w:div w:id="2042321128">
      <w:bodyDiv w:val="1"/>
      <w:marLeft w:val="0"/>
      <w:marRight w:val="0"/>
      <w:marTop w:val="0"/>
      <w:marBottom w:val="0"/>
      <w:divBdr>
        <w:top w:val="none" w:sz="0" w:space="0" w:color="auto"/>
        <w:left w:val="none" w:sz="0" w:space="0" w:color="auto"/>
        <w:bottom w:val="none" w:sz="0" w:space="0" w:color="auto"/>
        <w:right w:val="none" w:sz="0" w:space="0" w:color="auto"/>
      </w:divBdr>
    </w:div>
    <w:div w:id="2043240085">
      <w:bodyDiv w:val="1"/>
      <w:marLeft w:val="0"/>
      <w:marRight w:val="0"/>
      <w:marTop w:val="0"/>
      <w:marBottom w:val="0"/>
      <w:divBdr>
        <w:top w:val="none" w:sz="0" w:space="0" w:color="auto"/>
        <w:left w:val="none" w:sz="0" w:space="0" w:color="auto"/>
        <w:bottom w:val="none" w:sz="0" w:space="0" w:color="auto"/>
        <w:right w:val="none" w:sz="0" w:space="0" w:color="auto"/>
      </w:divBdr>
    </w:div>
    <w:div w:id="2044358488">
      <w:bodyDiv w:val="1"/>
      <w:marLeft w:val="0"/>
      <w:marRight w:val="0"/>
      <w:marTop w:val="0"/>
      <w:marBottom w:val="0"/>
      <w:divBdr>
        <w:top w:val="none" w:sz="0" w:space="0" w:color="auto"/>
        <w:left w:val="none" w:sz="0" w:space="0" w:color="auto"/>
        <w:bottom w:val="none" w:sz="0" w:space="0" w:color="auto"/>
        <w:right w:val="none" w:sz="0" w:space="0" w:color="auto"/>
      </w:divBdr>
    </w:div>
    <w:div w:id="2044866747">
      <w:bodyDiv w:val="1"/>
      <w:marLeft w:val="0"/>
      <w:marRight w:val="0"/>
      <w:marTop w:val="0"/>
      <w:marBottom w:val="0"/>
      <w:divBdr>
        <w:top w:val="none" w:sz="0" w:space="0" w:color="auto"/>
        <w:left w:val="none" w:sz="0" w:space="0" w:color="auto"/>
        <w:bottom w:val="none" w:sz="0" w:space="0" w:color="auto"/>
        <w:right w:val="none" w:sz="0" w:space="0" w:color="auto"/>
      </w:divBdr>
    </w:div>
    <w:div w:id="2045594355">
      <w:bodyDiv w:val="1"/>
      <w:marLeft w:val="0"/>
      <w:marRight w:val="0"/>
      <w:marTop w:val="0"/>
      <w:marBottom w:val="0"/>
      <w:divBdr>
        <w:top w:val="none" w:sz="0" w:space="0" w:color="auto"/>
        <w:left w:val="none" w:sz="0" w:space="0" w:color="auto"/>
        <w:bottom w:val="none" w:sz="0" w:space="0" w:color="auto"/>
        <w:right w:val="none" w:sz="0" w:space="0" w:color="auto"/>
      </w:divBdr>
    </w:div>
    <w:div w:id="2045865013">
      <w:bodyDiv w:val="1"/>
      <w:marLeft w:val="0"/>
      <w:marRight w:val="0"/>
      <w:marTop w:val="0"/>
      <w:marBottom w:val="0"/>
      <w:divBdr>
        <w:top w:val="none" w:sz="0" w:space="0" w:color="auto"/>
        <w:left w:val="none" w:sz="0" w:space="0" w:color="auto"/>
        <w:bottom w:val="none" w:sz="0" w:space="0" w:color="auto"/>
        <w:right w:val="none" w:sz="0" w:space="0" w:color="auto"/>
      </w:divBdr>
    </w:div>
    <w:div w:id="2048022853">
      <w:bodyDiv w:val="1"/>
      <w:marLeft w:val="0"/>
      <w:marRight w:val="0"/>
      <w:marTop w:val="0"/>
      <w:marBottom w:val="0"/>
      <w:divBdr>
        <w:top w:val="none" w:sz="0" w:space="0" w:color="auto"/>
        <w:left w:val="none" w:sz="0" w:space="0" w:color="auto"/>
        <w:bottom w:val="none" w:sz="0" w:space="0" w:color="auto"/>
        <w:right w:val="none" w:sz="0" w:space="0" w:color="auto"/>
      </w:divBdr>
    </w:div>
    <w:div w:id="2048025914">
      <w:bodyDiv w:val="1"/>
      <w:marLeft w:val="0"/>
      <w:marRight w:val="0"/>
      <w:marTop w:val="0"/>
      <w:marBottom w:val="0"/>
      <w:divBdr>
        <w:top w:val="none" w:sz="0" w:space="0" w:color="auto"/>
        <w:left w:val="none" w:sz="0" w:space="0" w:color="auto"/>
        <w:bottom w:val="none" w:sz="0" w:space="0" w:color="auto"/>
        <w:right w:val="none" w:sz="0" w:space="0" w:color="auto"/>
      </w:divBdr>
    </w:div>
    <w:div w:id="2049408567">
      <w:bodyDiv w:val="1"/>
      <w:marLeft w:val="0"/>
      <w:marRight w:val="0"/>
      <w:marTop w:val="0"/>
      <w:marBottom w:val="0"/>
      <w:divBdr>
        <w:top w:val="none" w:sz="0" w:space="0" w:color="auto"/>
        <w:left w:val="none" w:sz="0" w:space="0" w:color="auto"/>
        <w:bottom w:val="none" w:sz="0" w:space="0" w:color="auto"/>
        <w:right w:val="none" w:sz="0" w:space="0" w:color="auto"/>
      </w:divBdr>
    </w:div>
    <w:div w:id="2049648940">
      <w:bodyDiv w:val="1"/>
      <w:marLeft w:val="0"/>
      <w:marRight w:val="0"/>
      <w:marTop w:val="0"/>
      <w:marBottom w:val="0"/>
      <w:divBdr>
        <w:top w:val="none" w:sz="0" w:space="0" w:color="auto"/>
        <w:left w:val="none" w:sz="0" w:space="0" w:color="auto"/>
        <w:bottom w:val="none" w:sz="0" w:space="0" w:color="auto"/>
        <w:right w:val="none" w:sz="0" w:space="0" w:color="auto"/>
      </w:divBdr>
    </w:div>
    <w:div w:id="2049913016">
      <w:bodyDiv w:val="1"/>
      <w:marLeft w:val="0"/>
      <w:marRight w:val="0"/>
      <w:marTop w:val="0"/>
      <w:marBottom w:val="0"/>
      <w:divBdr>
        <w:top w:val="none" w:sz="0" w:space="0" w:color="auto"/>
        <w:left w:val="none" w:sz="0" w:space="0" w:color="auto"/>
        <w:bottom w:val="none" w:sz="0" w:space="0" w:color="auto"/>
        <w:right w:val="none" w:sz="0" w:space="0" w:color="auto"/>
      </w:divBdr>
    </w:div>
    <w:div w:id="2052219352">
      <w:bodyDiv w:val="1"/>
      <w:marLeft w:val="0"/>
      <w:marRight w:val="0"/>
      <w:marTop w:val="0"/>
      <w:marBottom w:val="0"/>
      <w:divBdr>
        <w:top w:val="none" w:sz="0" w:space="0" w:color="auto"/>
        <w:left w:val="none" w:sz="0" w:space="0" w:color="auto"/>
        <w:bottom w:val="none" w:sz="0" w:space="0" w:color="auto"/>
        <w:right w:val="none" w:sz="0" w:space="0" w:color="auto"/>
      </w:divBdr>
    </w:div>
    <w:div w:id="2054689567">
      <w:bodyDiv w:val="1"/>
      <w:marLeft w:val="0"/>
      <w:marRight w:val="0"/>
      <w:marTop w:val="0"/>
      <w:marBottom w:val="0"/>
      <w:divBdr>
        <w:top w:val="none" w:sz="0" w:space="0" w:color="auto"/>
        <w:left w:val="none" w:sz="0" w:space="0" w:color="auto"/>
        <w:bottom w:val="none" w:sz="0" w:space="0" w:color="auto"/>
        <w:right w:val="none" w:sz="0" w:space="0" w:color="auto"/>
      </w:divBdr>
    </w:div>
    <w:div w:id="2055501715">
      <w:bodyDiv w:val="1"/>
      <w:marLeft w:val="0"/>
      <w:marRight w:val="0"/>
      <w:marTop w:val="0"/>
      <w:marBottom w:val="0"/>
      <w:divBdr>
        <w:top w:val="none" w:sz="0" w:space="0" w:color="auto"/>
        <w:left w:val="none" w:sz="0" w:space="0" w:color="auto"/>
        <w:bottom w:val="none" w:sz="0" w:space="0" w:color="auto"/>
        <w:right w:val="none" w:sz="0" w:space="0" w:color="auto"/>
      </w:divBdr>
    </w:div>
    <w:div w:id="2055619315">
      <w:bodyDiv w:val="1"/>
      <w:marLeft w:val="0"/>
      <w:marRight w:val="0"/>
      <w:marTop w:val="0"/>
      <w:marBottom w:val="0"/>
      <w:divBdr>
        <w:top w:val="none" w:sz="0" w:space="0" w:color="auto"/>
        <w:left w:val="none" w:sz="0" w:space="0" w:color="auto"/>
        <w:bottom w:val="none" w:sz="0" w:space="0" w:color="auto"/>
        <w:right w:val="none" w:sz="0" w:space="0" w:color="auto"/>
      </w:divBdr>
    </w:div>
    <w:div w:id="2057701851">
      <w:bodyDiv w:val="1"/>
      <w:marLeft w:val="0"/>
      <w:marRight w:val="0"/>
      <w:marTop w:val="0"/>
      <w:marBottom w:val="0"/>
      <w:divBdr>
        <w:top w:val="none" w:sz="0" w:space="0" w:color="auto"/>
        <w:left w:val="none" w:sz="0" w:space="0" w:color="auto"/>
        <w:bottom w:val="none" w:sz="0" w:space="0" w:color="auto"/>
        <w:right w:val="none" w:sz="0" w:space="0" w:color="auto"/>
      </w:divBdr>
    </w:div>
    <w:div w:id="2058039855">
      <w:bodyDiv w:val="1"/>
      <w:marLeft w:val="0"/>
      <w:marRight w:val="0"/>
      <w:marTop w:val="0"/>
      <w:marBottom w:val="0"/>
      <w:divBdr>
        <w:top w:val="none" w:sz="0" w:space="0" w:color="auto"/>
        <w:left w:val="none" w:sz="0" w:space="0" w:color="auto"/>
        <w:bottom w:val="none" w:sz="0" w:space="0" w:color="auto"/>
        <w:right w:val="none" w:sz="0" w:space="0" w:color="auto"/>
      </w:divBdr>
    </w:div>
    <w:div w:id="2058046179">
      <w:bodyDiv w:val="1"/>
      <w:marLeft w:val="0"/>
      <w:marRight w:val="0"/>
      <w:marTop w:val="0"/>
      <w:marBottom w:val="0"/>
      <w:divBdr>
        <w:top w:val="none" w:sz="0" w:space="0" w:color="auto"/>
        <w:left w:val="none" w:sz="0" w:space="0" w:color="auto"/>
        <w:bottom w:val="none" w:sz="0" w:space="0" w:color="auto"/>
        <w:right w:val="none" w:sz="0" w:space="0" w:color="auto"/>
      </w:divBdr>
    </w:div>
    <w:div w:id="2060014201">
      <w:bodyDiv w:val="1"/>
      <w:marLeft w:val="0"/>
      <w:marRight w:val="0"/>
      <w:marTop w:val="0"/>
      <w:marBottom w:val="0"/>
      <w:divBdr>
        <w:top w:val="none" w:sz="0" w:space="0" w:color="auto"/>
        <w:left w:val="none" w:sz="0" w:space="0" w:color="auto"/>
        <w:bottom w:val="none" w:sz="0" w:space="0" w:color="auto"/>
        <w:right w:val="none" w:sz="0" w:space="0" w:color="auto"/>
      </w:divBdr>
    </w:div>
    <w:div w:id="2060745293">
      <w:bodyDiv w:val="1"/>
      <w:marLeft w:val="0"/>
      <w:marRight w:val="0"/>
      <w:marTop w:val="0"/>
      <w:marBottom w:val="0"/>
      <w:divBdr>
        <w:top w:val="none" w:sz="0" w:space="0" w:color="auto"/>
        <w:left w:val="none" w:sz="0" w:space="0" w:color="auto"/>
        <w:bottom w:val="none" w:sz="0" w:space="0" w:color="auto"/>
        <w:right w:val="none" w:sz="0" w:space="0" w:color="auto"/>
      </w:divBdr>
    </w:div>
    <w:div w:id="2060939303">
      <w:bodyDiv w:val="1"/>
      <w:marLeft w:val="0"/>
      <w:marRight w:val="0"/>
      <w:marTop w:val="0"/>
      <w:marBottom w:val="0"/>
      <w:divBdr>
        <w:top w:val="none" w:sz="0" w:space="0" w:color="auto"/>
        <w:left w:val="none" w:sz="0" w:space="0" w:color="auto"/>
        <w:bottom w:val="none" w:sz="0" w:space="0" w:color="auto"/>
        <w:right w:val="none" w:sz="0" w:space="0" w:color="auto"/>
      </w:divBdr>
    </w:div>
    <w:div w:id="2061057043">
      <w:bodyDiv w:val="1"/>
      <w:marLeft w:val="0"/>
      <w:marRight w:val="0"/>
      <w:marTop w:val="0"/>
      <w:marBottom w:val="0"/>
      <w:divBdr>
        <w:top w:val="none" w:sz="0" w:space="0" w:color="auto"/>
        <w:left w:val="none" w:sz="0" w:space="0" w:color="auto"/>
        <w:bottom w:val="none" w:sz="0" w:space="0" w:color="auto"/>
        <w:right w:val="none" w:sz="0" w:space="0" w:color="auto"/>
      </w:divBdr>
    </w:div>
    <w:div w:id="2061780191">
      <w:bodyDiv w:val="1"/>
      <w:marLeft w:val="0"/>
      <w:marRight w:val="0"/>
      <w:marTop w:val="0"/>
      <w:marBottom w:val="0"/>
      <w:divBdr>
        <w:top w:val="none" w:sz="0" w:space="0" w:color="auto"/>
        <w:left w:val="none" w:sz="0" w:space="0" w:color="auto"/>
        <w:bottom w:val="none" w:sz="0" w:space="0" w:color="auto"/>
        <w:right w:val="none" w:sz="0" w:space="0" w:color="auto"/>
      </w:divBdr>
    </w:div>
    <w:div w:id="2062098389">
      <w:bodyDiv w:val="1"/>
      <w:marLeft w:val="0"/>
      <w:marRight w:val="0"/>
      <w:marTop w:val="0"/>
      <w:marBottom w:val="0"/>
      <w:divBdr>
        <w:top w:val="none" w:sz="0" w:space="0" w:color="auto"/>
        <w:left w:val="none" w:sz="0" w:space="0" w:color="auto"/>
        <w:bottom w:val="none" w:sz="0" w:space="0" w:color="auto"/>
        <w:right w:val="none" w:sz="0" w:space="0" w:color="auto"/>
      </w:divBdr>
    </w:div>
    <w:div w:id="2062364496">
      <w:bodyDiv w:val="1"/>
      <w:marLeft w:val="0"/>
      <w:marRight w:val="0"/>
      <w:marTop w:val="0"/>
      <w:marBottom w:val="0"/>
      <w:divBdr>
        <w:top w:val="none" w:sz="0" w:space="0" w:color="auto"/>
        <w:left w:val="none" w:sz="0" w:space="0" w:color="auto"/>
        <w:bottom w:val="none" w:sz="0" w:space="0" w:color="auto"/>
        <w:right w:val="none" w:sz="0" w:space="0" w:color="auto"/>
      </w:divBdr>
    </w:div>
    <w:div w:id="2062435040">
      <w:bodyDiv w:val="1"/>
      <w:marLeft w:val="0"/>
      <w:marRight w:val="0"/>
      <w:marTop w:val="0"/>
      <w:marBottom w:val="0"/>
      <w:divBdr>
        <w:top w:val="none" w:sz="0" w:space="0" w:color="auto"/>
        <w:left w:val="none" w:sz="0" w:space="0" w:color="auto"/>
        <w:bottom w:val="none" w:sz="0" w:space="0" w:color="auto"/>
        <w:right w:val="none" w:sz="0" w:space="0" w:color="auto"/>
      </w:divBdr>
    </w:div>
    <w:div w:id="2062706485">
      <w:bodyDiv w:val="1"/>
      <w:marLeft w:val="0"/>
      <w:marRight w:val="0"/>
      <w:marTop w:val="0"/>
      <w:marBottom w:val="0"/>
      <w:divBdr>
        <w:top w:val="none" w:sz="0" w:space="0" w:color="auto"/>
        <w:left w:val="none" w:sz="0" w:space="0" w:color="auto"/>
        <w:bottom w:val="none" w:sz="0" w:space="0" w:color="auto"/>
        <w:right w:val="none" w:sz="0" w:space="0" w:color="auto"/>
      </w:divBdr>
    </w:div>
    <w:div w:id="2063558840">
      <w:bodyDiv w:val="1"/>
      <w:marLeft w:val="0"/>
      <w:marRight w:val="0"/>
      <w:marTop w:val="0"/>
      <w:marBottom w:val="0"/>
      <w:divBdr>
        <w:top w:val="none" w:sz="0" w:space="0" w:color="auto"/>
        <w:left w:val="none" w:sz="0" w:space="0" w:color="auto"/>
        <w:bottom w:val="none" w:sz="0" w:space="0" w:color="auto"/>
        <w:right w:val="none" w:sz="0" w:space="0" w:color="auto"/>
      </w:divBdr>
    </w:div>
    <w:div w:id="2064600376">
      <w:bodyDiv w:val="1"/>
      <w:marLeft w:val="0"/>
      <w:marRight w:val="0"/>
      <w:marTop w:val="0"/>
      <w:marBottom w:val="0"/>
      <w:divBdr>
        <w:top w:val="none" w:sz="0" w:space="0" w:color="auto"/>
        <w:left w:val="none" w:sz="0" w:space="0" w:color="auto"/>
        <w:bottom w:val="none" w:sz="0" w:space="0" w:color="auto"/>
        <w:right w:val="none" w:sz="0" w:space="0" w:color="auto"/>
      </w:divBdr>
    </w:div>
    <w:div w:id="2064980380">
      <w:bodyDiv w:val="1"/>
      <w:marLeft w:val="0"/>
      <w:marRight w:val="0"/>
      <w:marTop w:val="0"/>
      <w:marBottom w:val="0"/>
      <w:divBdr>
        <w:top w:val="none" w:sz="0" w:space="0" w:color="auto"/>
        <w:left w:val="none" w:sz="0" w:space="0" w:color="auto"/>
        <w:bottom w:val="none" w:sz="0" w:space="0" w:color="auto"/>
        <w:right w:val="none" w:sz="0" w:space="0" w:color="auto"/>
      </w:divBdr>
    </w:div>
    <w:div w:id="2065564865">
      <w:bodyDiv w:val="1"/>
      <w:marLeft w:val="0"/>
      <w:marRight w:val="0"/>
      <w:marTop w:val="0"/>
      <w:marBottom w:val="0"/>
      <w:divBdr>
        <w:top w:val="none" w:sz="0" w:space="0" w:color="auto"/>
        <w:left w:val="none" w:sz="0" w:space="0" w:color="auto"/>
        <w:bottom w:val="none" w:sz="0" w:space="0" w:color="auto"/>
        <w:right w:val="none" w:sz="0" w:space="0" w:color="auto"/>
      </w:divBdr>
    </w:div>
    <w:div w:id="2065641183">
      <w:bodyDiv w:val="1"/>
      <w:marLeft w:val="0"/>
      <w:marRight w:val="0"/>
      <w:marTop w:val="0"/>
      <w:marBottom w:val="0"/>
      <w:divBdr>
        <w:top w:val="none" w:sz="0" w:space="0" w:color="auto"/>
        <w:left w:val="none" w:sz="0" w:space="0" w:color="auto"/>
        <w:bottom w:val="none" w:sz="0" w:space="0" w:color="auto"/>
        <w:right w:val="none" w:sz="0" w:space="0" w:color="auto"/>
      </w:divBdr>
    </w:div>
    <w:div w:id="2067364735">
      <w:bodyDiv w:val="1"/>
      <w:marLeft w:val="0"/>
      <w:marRight w:val="0"/>
      <w:marTop w:val="0"/>
      <w:marBottom w:val="0"/>
      <w:divBdr>
        <w:top w:val="none" w:sz="0" w:space="0" w:color="auto"/>
        <w:left w:val="none" w:sz="0" w:space="0" w:color="auto"/>
        <w:bottom w:val="none" w:sz="0" w:space="0" w:color="auto"/>
        <w:right w:val="none" w:sz="0" w:space="0" w:color="auto"/>
      </w:divBdr>
    </w:div>
    <w:div w:id="2067953621">
      <w:bodyDiv w:val="1"/>
      <w:marLeft w:val="0"/>
      <w:marRight w:val="0"/>
      <w:marTop w:val="0"/>
      <w:marBottom w:val="0"/>
      <w:divBdr>
        <w:top w:val="none" w:sz="0" w:space="0" w:color="auto"/>
        <w:left w:val="none" w:sz="0" w:space="0" w:color="auto"/>
        <w:bottom w:val="none" w:sz="0" w:space="0" w:color="auto"/>
        <w:right w:val="none" w:sz="0" w:space="0" w:color="auto"/>
      </w:divBdr>
    </w:div>
    <w:div w:id="2068452900">
      <w:bodyDiv w:val="1"/>
      <w:marLeft w:val="0"/>
      <w:marRight w:val="0"/>
      <w:marTop w:val="0"/>
      <w:marBottom w:val="0"/>
      <w:divBdr>
        <w:top w:val="none" w:sz="0" w:space="0" w:color="auto"/>
        <w:left w:val="none" w:sz="0" w:space="0" w:color="auto"/>
        <w:bottom w:val="none" w:sz="0" w:space="0" w:color="auto"/>
        <w:right w:val="none" w:sz="0" w:space="0" w:color="auto"/>
      </w:divBdr>
    </w:div>
    <w:div w:id="2070807615">
      <w:bodyDiv w:val="1"/>
      <w:marLeft w:val="0"/>
      <w:marRight w:val="0"/>
      <w:marTop w:val="0"/>
      <w:marBottom w:val="0"/>
      <w:divBdr>
        <w:top w:val="none" w:sz="0" w:space="0" w:color="auto"/>
        <w:left w:val="none" w:sz="0" w:space="0" w:color="auto"/>
        <w:bottom w:val="none" w:sz="0" w:space="0" w:color="auto"/>
        <w:right w:val="none" w:sz="0" w:space="0" w:color="auto"/>
      </w:divBdr>
    </w:div>
    <w:div w:id="2070807979">
      <w:bodyDiv w:val="1"/>
      <w:marLeft w:val="0"/>
      <w:marRight w:val="0"/>
      <w:marTop w:val="0"/>
      <w:marBottom w:val="0"/>
      <w:divBdr>
        <w:top w:val="none" w:sz="0" w:space="0" w:color="auto"/>
        <w:left w:val="none" w:sz="0" w:space="0" w:color="auto"/>
        <w:bottom w:val="none" w:sz="0" w:space="0" w:color="auto"/>
        <w:right w:val="none" w:sz="0" w:space="0" w:color="auto"/>
      </w:divBdr>
    </w:div>
    <w:div w:id="2071535296">
      <w:bodyDiv w:val="1"/>
      <w:marLeft w:val="0"/>
      <w:marRight w:val="0"/>
      <w:marTop w:val="0"/>
      <w:marBottom w:val="0"/>
      <w:divBdr>
        <w:top w:val="none" w:sz="0" w:space="0" w:color="auto"/>
        <w:left w:val="none" w:sz="0" w:space="0" w:color="auto"/>
        <w:bottom w:val="none" w:sz="0" w:space="0" w:color="auto"/>
        <w:right w:val="none" w:sz="0" w:space="0" w:color="auto"/>
      </w:divBdr>
    </w:div>
    <w:div w:id="2072655340">
      <w:bodyDiv w:val="1"/>
      <w:marLeft w:val="0"/>
      <w:marRight w:val="0"/>
      <w:marTop w:val="0"/>
      <w:marBottom w:val="0"/>
      <w:divBdr>
        <w:top w:val="none" w:sz="0" w:space="0" w:color="auto"/>
        <w:left w:val="none" w:sz="0" w:space="0" w:color="auto"/>
        <w:bottom w:val="none" w:sz="0" w:space="0" w:color="auto"/>
        <w:right w:val="none" w:sz="0" w:space="0" w:color="auto"/>
      </w:divBdr>
    </w:div>
    <w:div w:id="2074237254">
      <w:bodyDiv w:val="1"/>
      <w:marLeft w:val="0"/>
      <w:marRight w:val="0"/>
      <w:marTop w:val="0"/>
      <w:marBottom w:val="0"/>
      <w:divBdr>
        <w:top w:val="none" w:sz="0" w:space="0" w:color="auto"/>
        <w:left w:val="none" w:sz="0" w:space="0" w:color="auto"/>
        <w:bottom w:val="none" w:sz="0" w:space="0" w:color="auto"/>
        <w:right w:val="none" w:sz="0" w:space="0" w:color="auto"/>
      </w:divBdr>
    </w:div>
    <w:div w:id="2076274389">
      <w:bodyDiv w:val="1"/>
      <w:marLeft w:val="0"/>
      <w:marRight w:val="0"/>
      <w:marTop w:val="0"/>
      <w:marBottom w:val="0"/>
      <w:divBdr>
        <w:top w:val="none" w:sz="0" w:space="0" w:color="auto"/>
        <w:left w:val="none" w:sz="0" w:space="0" w:color="auto"/>
        <w:bottom w:val="none" w:sz="0" w:space="0" w:color="auto"/>
        <w:right w:val="none" w:sz="0" w:space="0" w:color="auto"/>
      </w:divBdr>
    </w:div>
    <w:div w:id="2076927248">
      <w:bodyDiv w:val="1"/>
      <w:marLeft w:val="0"/>
      <w:marRight w:val="0"/>
      <w:marTop w:val="0"/>
      <w:marBottom w:val="0"/>
      <w:divBdr>
        <w:top w:val="none" w:sz="0" w:space="0" w:color="auto"/>
        <w:left w:val="none" w:sz="0" w:space="0" w:color="auto"/>
        <w:bottom w:val="none" w:sz="0" w:space="0" w:color="auto"/>
        <w:right w:val="none" w:sz="0" w:space="0" w:color="auto"/>
      </w:divBdr>
    </w:div>
    <w:div w:id="2080403870">
      <w:bodyDiv w:val="1"/>
      <w:marLeft w:val="0"/>
      <w:marRight w:val="0"/>
      <w:marTop w:val="0"/>
      <w:marBottom w:val="0"/>
      <w:divBdr>
        <w:top w:val="none" w:sz="0" w:space="0" w:color="auto"/>
        <w:left w:val="none" w:sz="0" w:space="0" w:color="auto"/>
        <w:bottom w:val="none" w:sz="0" w:space="0" w:color="auto"/>
        <w:right w:val="none" w:sz="0" w:space="0" w:color="auto"/>
      </w:divBdr>
    </w:div>
    <w:div w:id="2080668750">
      <w:bodyDiv w:val="1"/>
      <w:marLeft w:val="0"/>
      <w:marRight w:val="0"/>
      <w:marTop w:val="0"/>
      <w:marBottom w:val="0"/>
      <w:divBdr>
        <w:top w:val="none" w:sz="0" w:space="0" w:color="auto"/>
        <w:left w:val="none" w:sz="0" w:space="0" w:color="auto"/>
        <w:bottom w:val="none" w:sz="0" w:space="0" w:color="auto"/>
        <w:right w:val="none" w:sz="0" w:space="0" w:color="auto"/>
      </w:divBdr>
    </w:div>
    <w:div w:id="2081560598">
      <w:bodyDiv w:val="1"/>
      <w:marLeft w:val="0"/>
      <w:marRight w:val="0"/>
      <w:marTop w:val="0"/>
      <w:marBottom w:val="0"/>
      <w:divBdr>
        <w:top w:val="none" w:sz="0" w:space="0" w:color="auto"/>
        <w:left w:val="none" w:sz="0" w:space="0" w:color="auto"/>
        <w:bottom w:val="none" w:sz="0" w:space="0" w:color="auto"/>
        <w:right w:val="none" w:sz="0" w:space="0" w:color="auto"/>
      </w:divBdr>
    </w:div>
    <w:div w:id="2084328497">
      <w:bodyDiv w:val="1"/>
      <w:marLeft w:val="0"/>
      <w:marRight w:val="0"/>
      <w:marTop w:val="0"/>
      <w:marBottom w:val="0"/>
      <w:divBdr>
        <w:top w:val="none" w:sz="0" w:space="0" w:color="auto"/>
        <w:left w:val="none" w:sz="0" w:space="0" w:color="auto"/>
        <w:bottom w:val="none" w:sz="0" w:space="0" w:color="auto"/>
        <w:right w:val="none" w:sz="0" w:space="0" w:color="auto"/>
      </w:divBdr>
    </w:div>
    <w:div w:id="2085452562">
      <w:bodyDiv w:val="1"/>
      <w:marLeft w:val="0"/>
      <w:marRight w:val="0"/>
      <w:marTop w:val="0"/>
      <w:marBottom w:val="0"/>
      <w:divBdr>
        <w:top w:val="none" w:sz="0" w:space="0" w:color="auto"/>
        <w:left w:val="none" w:sz="0" w:space="0" w:color="auto"/>
        <w:bottom w:val="none" w:sz="0" w:space="0" w:color="auto"/>
        <w:right w:val="none" w:sz="0" w:space="0" w:color="auto"/>
      </w:divBdr>
    </w:div>
    <w:div w:id="2088651716">
      <w:bodyDiv w:val="1"/>
      <w:marLeft w:val="0"/>
      <w:marRight w:val="0"/>
      <w:marTop w:val="0"/>
      <w:marBottom w:val="0"/>
      <w:divBdr>
        <w:top w:val="none" w:sz="0" w:space="0" w:color="auto"/>
        <w:left w:val="none" w:sz="0" w:space="0" w:color="auto"/>
        <w:bottom w:val="none" w:sz="0" w:space="0" w:color="auto"/>
        <w:right w:val="none" w:sz="0" w:space="0" w:color="auto"/>
      </w:divBdr>
    </w:div>
    <w:div w:id="2088723735">
      <w:bodyDiv w:val="1"/>
      <w:marLeft w:val="0"/>
      <w:marRight w:val="0"/>
      <w:marTop w:val="0"/>
      <w:marBottom w:val="0"/>
      <w:divBdr>
        <w:top w:val="none" w:sz="0" w:space="0" w:color="auto"/>
        <w:left w:val="none" w:sz="0" w:space="0" w:color="auto"/>
        <w:bottom w:val="none" w:sz="0" w:space="0" w:color="auto"/>
        <w:right w:val="none" w:sz="0" w:space="0" w:color="auto"/>
      </w:divBdr>
    </w:div>
    <w:div w:id="2088916934">
      <w:bodyDiv w:val="1"/>
      <w:marLeft w:val="0"/>
      <w:marRight w:val="0"/>
      <w:marTop w:val="0"/>
      <w:marBottom w:val="0"/>
      <w:divBdr>
        <w:top w:val="none" w:sz="0" w:space="0" w:color="auto"/>
        <w:left w:val="none" w:sz="0" w:space="0" w:color="auto"/>
        <w:bottom w:val="none" w:sz="0" w:space="0" w:color="auto"/>
        <w:right w:val="none" w:sz="0" w:space="0" w:color="auto"/>
      </w:divBdr>
    </w:div>
    <w:div w:id="2092001327">
      <w:bodyDiv w:val="1"/>
      <w:marLeft w:val="0"/>
      <w:marRight w:val="0"/>
      <w:marTop w:val="0"/>
      <w:marBottom w:val="0"/>
      <w:divBdr>
        <w:top w:val="none" w:sz="0" w:space="0" w:color="auto"/>
        <w:left w:val="none" w:sz="0" w:space="0" w:color="auto"/>
        <w:bottom w:val="none" w:sz="0" w:space="0" w:color="auto"/>
        <w:right w:val="none" w:sz="0" w:space="0" w:color="auto"/>
      </w:divBdr>
    </w:div>
    <w:div w:id="2093502005">
      <w:bodyDiv w:val="1"/>
      <w:marLeft w:val="0"/>
      <w:marRight w:val="0"/>
      <w:marTop w:val="0"/>
      <w:marBottom w:val="0"/>
      <w:divBdr>
        <w:top w:val="none" w:sz="0" w:space="0" w:color="auto"/>
        <w:left w:val="none" w:sz="0" w:space="0" w:color="auto"/>
        <w:bottom w:val="none" w:sz="0" w:space="0" w:color="auto"/>
        <w:right w:val="none" w:sz="0" w:space="0" w:color="auto"/>
      </w:divBdr>
    </w:div>
    <w:div w:id="2093551996">
      <w:bodyDiv w:val="1"/>
      <w:marLeft w:val="0"/>
      <w:marRight w:val="0"/>
      <w:marTop w:val="0"/>
      <w:marBottom w:val="0"/>
      <w:divBdr>
        <w:top w:val="none" w:sz="0" w:space="0" w:color="auto"/>
        <w:left w:val="none" w:sz="0" w:space="0" w:color="auto"/>
        <w:bottom w:val="none" w:sz="0" w:space="0" w:color="auto"/>
        <w:right w:val="none" w:sz="0" w:space="0" w:color="auto"/>
      </w:divBdr>
    </w:div>
    <w:div w:id="2093552072">
      <w:bodyDiv w:val="1"/>
      <w:marLeft w:val="0"/>
      <w:marRight w:val="0"/>
      <w:marTop w:val="0"/>
      <w:marBottom w:val="0"/>
      <w:divBdr>
        <w:top w:val="none" w:sz="0" w:space="0" w:color="auto"/>
        <w:left w:val="none" w:sz="0" w:space="0" w:color="auto"/>
        <w:bottom w:val="none" w:sz="0" w:space="0" w:color="auto"/>
        <w:right w:val="none" w:sz="0" w:space="0" w:color="auto"/>
      </w:divBdr>
    </w:div>
    <w:div w:id="2097827311">
      <w:bodyDiv w:val="1"/>
      <w:marLeft w:val="0"/>
      <w:marRight w:val="0"/>
      <w:marTop w:val="0"/>
      <w:marBottom w:val="0"/>
      <w:divBdr>
        <w:top w:val="none" w:sz="0" w:space="0" w:color="auto"/>
        <w:left w:val="none" w:sz="0" w:space="0" w:color="auto"/>
        <w:bottom w:val="none" w:sz="0" w:space="0" w:color="auto"/>
        <w:right w:val="none" w:sz="0" w:space="0" w:color="auto"/>
      </w:divBdr>
    </w:div>
    <w:div w:id="2097896772">
      <w:bodyDiv w:val="1"/>
      <w:marLeft w:val="0"/>
      <w:marRight w:val="0"/>
      <w:marTop w:val="0"/>
      <w:marBottom w:val="0"/>
      <w:divBdr>
        <w:top w:val="none" w:sz="0" w:space="0" w:color="auto"/>
        <w:left w:val="none" w:sz="0" w:space="0" w:color="auto"/>
        <w:bottom w:val="none" w:sz="0" w:space="0" w:color="auto"/>
        <w:right w:val="none" w:sz="0" w:space="0" w:color="auto"/>
      </w:divBdr>
    </w:div>
    <w:div w:id="2098286927">
      <w:bodyDiv w:val="1"/>
      <w:marLeft w:val="0"/>
      <w:marRight w:val="0"/>
      <w:marTop w:val="0"/>
      <w:marBottom w:val="0"/>
      <w:divBdr>
        <w:top w:val="none" w:sz="0" w:space="0" w:color="auto"/>
        <w:left w:val="none" w:sz="0" w:space="0" w:color="auto"/>
        <w:bottom w:val="none" w:sz="0" w:space="0" w:color="auto"/>
        <w:right w:val="none" w:sz="0" w:space="0" w:color="auto"/>
      </w:divBdr>
    </w:div>
    <w:div w:id="2101830274">
      <w:bodyDiv w:val="1"/>
      <w:marLeft w:val="0"/>
      <w:marRight w:val="0"/>
      <w:marTop w:val="0"/>
      <w:marBottom w:val="0"/>
      <w:divBdr>
        <w:top w:val="none" w:sz="0" w:space="0" w:color="auto"/>
        <w:left w:val="none" w:sz="0" w:space="0" w:color="auto"/>
        <w:bottom w:val="none" w:sz="0" w:space="0" w:color="auto"/>
        <w:right w:val="none" w:sz="0" w:space="0" w:color="auto"/>
      </w:divBdr>
    </w:div>
    <w:div w:id="2102674151">
      <w:bodyDiv w:val="1"/>
      <w:marLeft w:val="0"/>
      <w:marRight w:val="0"/>
      <w:marTop w:val="0"/>
      <w:marBottom w:val="0"/>
      <w:divBdr>
        <w:top w:val="none" w:sz="0" w:space="0" w:color="auto"/>
        <w:left w:val="none" w:sz="0" w:space="0" w:color="auto"/>
        <w:bottom w:val="none" w:sz="0" w:space="0" w:color="auto"/>
        <w:right w:val="none" w:sz="0" w:space="0" w:color="auto"/>
      </w:divBdr>
    </w:div>
    <w:div w:id="2102989717">
      <w:bodyDiv w:val="1"/>
      <w:marLeft w:val="0"/>
      <w:marRight w:val="0"/>
      <w:marTop w:val="0"/>
      <w:marBottom w:val="0"/>
      <w:divBdr>
        <w:top w:val="none" w:sz="0" w:space="0" w:color="auto"/>
        <w:left w:val="none" w:sz="0" w:space="0" w:color="auto"/>
        <w:bottom w:val="none" w:sz="0" w:space="0" w:color="auto"/>
        <w:right w:val="none" w:sz="0" w:space="0" w:color="auto"/>
      </w:divBdr>
    </w:div>
    <w:div w:id="2104455365">
      <w:bodyDiv w:val="1"/>
      <w:marLeft w:val="0"/>
      <w:marRight w:val="0"/>
      <w:marTop w:val="0"/>
      <w:marBottom w:val="0"/>
      <w:divBdr>
        <w:top w:val="none" w:sz="0" w:space="0" w:color="auto"/>
        <w:left w:val="none" w:sz="0" w:space="0" w:color="auto"/>
        <w:bottom w:val="none" w:sz="0" w:space="0" w:color="auto"/>
        <w:right w:val="none" w:sz="0" w:space="0" w:color="auto"/>
      </w:divBdr>
    </w:div>
    <w:div w:id="2105494165">
      <w:bodyDiv w:val="1"/>
      <w:marLeft w:val="0"/>
      <w:marRight w:val="0"/>
      <w:marTop w:val="0"/>
      <w:marBottom w:val="0"/>
      <w:divBdr>
        <w:top w:val="none" w:sz="0" w:space="0" w:color="auto"/>
        <w:left w:val="none" w:sz="0" w:space="0" w:color="auto"/>
        <w:bottom w:val="none" w:sz="0" w:space="0" w:color="auto"/>
        <w:right w:val="none" w:sz="0" w:space="0" w:color="auto"/>
      </w:divBdr>
    </w:div>
    <w:div w:id="2105608502">
      <w:bodyDiv w:val="1"/>
      <w:marLeft w:val="0"/>
      <w:marRight w:val="0"/>
      <w:marTop w:val="0"/>
      <w:marBottom w:val="0"/>
      <w:divBdr>
        <w:top w:val="none" w:sz="0" w:space="0" w:color="auto"/>
        <w:left w:val="none" w:sz="0" w:space="0" w:color="auto"/>
        <w:bottom w:val="none" w:sz="0" w:space="0" w:color="auto"/>
        <w:right w:val="none" w:sz="0" w:space="0" w:color="auto"/>
      </w:divBdr>
    </w:div>
    <w:div w:id="2105684772">
      <w:bodyDiv w:val="1"/>
      <w:marLeft w:val="0"/>
      <w:marRight w:val="0"/>
      <w:marTop w:val="0"/>
      <w:marBottom w:val="0"/>
      <w:divBdr>
        <w:top w:val="none" w:sz="0" w:space="0" w:color="auto"/>
        <w:left w:val="none" w:sz="0" w:space="0" w:color="auto"/>
        <w:bottom w:val="none" w:sz="0" w:space="0" w:color="auto"/>
        <w:right w:val="none" w:sz="0" w:space="0" w:color="auto"/>
      </w:divBdr>
    </w:div>
    <w:div w:id="2105806335">
      <w:bodyDiv w:val="1"/>
      <w:marLeft w:val="0"/>
      <w:marRight w:val="0"/>
      <w:marTop w:val="0"/>
      <w:marBottom w:val="0"/>
      <w:divBdr>
        <w:top w:val="none" w:sz="0" w:space="0" w:color="auto"/>
        <w:left w:val="none" w:sz="0" w:space="0" w:color="auto"/>
        <w:bottom w:val="none" w:sz="0" w:space="0" w:color="auto"/>
        <w:right w:val="none" w:sz="0" w:space="0" w:color="auto"/>
      </w:divBdr>
    </w:div>
    <w:div w:id="2106222608">
      <w:bodyDiv w:val="1"/>
      <w:marLeft w:val="0"/>
      <w:marRight w:val="0"/>
      <w:marTop w:val="0"/>
      <w:marBottom w:val="0"/>
      <w:divBdr>
        <w:top w:val="none" w:sz="0" w:space="0" w:color="auto"/>
        <w:left w:val="none" w:sz="0" w:space="0" w:color="auto"/>
        <w:bottom w:val="none" w:sz="0" w:space="0" w:color="auto"/>
        <w:right w:val="none" w:sz="0" w:space="0" w:color="auto"/>
      </w:divBdr>
    </w:div>
    <w:div w:id="2106682440">
      <w:bodyDiv w:val="1"/>
      <w:marLeft w:val="0"/>
      <w:marRight w:val="0"/>
      <w:marTop w:val="0"/>
      <w:marBottom w:val="0"/>
      <w:divBdr>
        <w:top w:val="none" w:sz="0" w:space="0" w:color="auto"/>
        <w:left w:val="none" w:sz="0" w:space="0" w:color="auto"/>
        <w:bottom w:val="none" w:sz="0" w:space="0" w:color="auto"/>
        <w:right w:val="none" w:sz="0" w:space="0" w:color="auto"/>
      </w:divBdr>
    </w:div>
    <w:div w:id="2106726191">
      <w:bodyDiv w:val="1"/>
      <w:marLeft w:val="0"/>
      <w:marRight w:val="0"/>
      <w:marTop w:val="0"/>
      <w:marBottom w:val="0"/>
      <w:divBdr>
        <w:top w:val="none" w:sz="0" w:space="0" w:color="auto"/>
        <w:left w:val="none" w:sz="0" w:space="0" w:color="auto"/>
        <w:bottom w:val="none" w:sz="0" w:space="0" w:color="auto"/>
        <w:right w:val="none" w:sz="0" w:space="0" w:color="auto"/>
      </w:divBdr>
    </w:div>
    <w:div w:id="2107462408">
      <w:bodyDiv w:val="1"/>
      <w:marLeft w:val="0"/>
      <w:marRight w:val="0"/>
      <w:marTop w:val="0"/>
      <w:marBottom w:val="0"/>
      <w:divBdr>
        <w:top w:val="none" w:sz="0" w:space="0" w:color="auto"/>
        <w:left w:val="none" w:sz="0" w:space="0" w:color="auto"/>
        <w:bottom w:val="none" w:sz="0" w:space="0" w:color="auto"/>
        <w:right w:val="none" w:sz="0" w:space="0" w:color="auto"/>
      </w:divBdr>
    </w:div>
    <w:div w:id="2108035221">
      <w:bodyDiv w:val="1"/>
      <w:marLeft w:val="0"/>
      <w:marRight w:val="0"/>
      <w:marTop w:val="0"/>
      <w:marBottom w:val="0"/>
      <w:divBdr>
        <w:top w:val="none" w:sz="0" w:space="0" w:color="auto"/>
        <w:left w:val="none" w:sz="0" w:space="0" w:color="auto"/>
        <w:bottom w:val="none" w:sz="0" w:space="0" w:color="auto"/>
        <w:right w:val="none" w:sz="0" w:space="0" w:color="auto"/>
      </w:divBdr>
    </w:div>
    <w:div w:id="2108495547">
      <w:bodyDiv w:val="1"/>
      <w:marLeft w:val="0"/>
      <w:marRight w:val="0"/>
      <w:marTop w:val="0"/>
      <w:marBottom w:val="0"/>
      <w:divBdr>
        <w:top w:val="none" w:sz="0" w:space="0" w:color="auto"/>
        <w:left w:val="none" w:sz="0" w:space="0" w:color="auto"/>
        <w:bottom w:val="none" w:sz="0" w:space="0" w:color="auto"/>
        <w:right w:val="none" w:sz="0" w:space="0" w:color="auto"/>
      </w:divBdr>
    </w:div>
    <w:div w:id="2108961657">
      <w:bodyDiv w:val="1"/>
      <w:marLeft w:val="0"/>
      <w:marRight w:val="0"/>
      <w:marTop w:val="0"/>
      <w:marBottom w:val="0"/>
      <w:divBdr>
        <w:top w:val="none" w:sz="0" w:space="0" w:color="auto"/>
        <w:left w:val="none" w:sz="0" w:space="0" w:color="auto"/>
        <w:bottom w:val="none" w:sz="0" w:space="0" w:color="auto"/>
        <w:right w:val="none" w:sz="0" w:space="0" w:color="auto"/>
      </w:divBdr>
    </w:div>
    <w:div w:id="2109278462">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
    <w:div w:id="2110656356">
      <w:bodyDiv w:val="1"/>
      <w:marLeft w:val="0"/>
      <w:marRight w:val="0"/>
      <w:marTop w:val="0"/>
      <w:marBottom w:val="0"/>
      <w:divBdr>
        <w:top w:val="none" w:sz="0" w:space="0" w:color="auto"/>
        <w:left w:val="none" w:sz="0" w:space="0" w:color="auto"/>
        <w:bottom w:val="none" w:sz="0" w:space="0" w:color="auto"/>
        <w:right w:val="none" w:sz="0" w:space="0" w:color="auto"/>
      </w:divBdr>
    </w:div>
    <w:div w:id="2114204280">
      <w:bodyDiv w:val="1"/>
      <w:marLeft w:val="0"/>
      <w:marRight w:val="0"/>
      <w:marTop w:val="0"/>
      <w:marBottom w:val="0"/>
      <w:divBdr>
        <w:top w:val="none" w:sz="0" w:space="0" w:color="auto"/>
        <w:left w:val="none" w:sz="0" w:space="0" w:color="auto"/>
        <w:bottom w:val="none" w:sz="0" w:space="0" w:color="auto"/>
        <w:right w:val="none" w:sz="0" w:space="0" w:color="auto"/>
      </w:divBdr>
    </w:div>
    <w:div w:id="2114861031">
      <w:bodyDiv w:val="1"/>
      <w:marLeft w:val="0"/>
      <w:marRight w:val="0"/>
      <w:marTop w:val="0"/>
      <w:marBottom w:val="0"/>
      <w:divBdr>
        <w:top w:val="none" w:sz="0" w:space="0" w:color="auto"/>
        <w:left w:val="none" w:sz="0" w:space="0" w:color="auto"/>
        <w:bottom w:val="none" w:sz="0" w:space="0" w:color="auto"/>
        <w:right w:val="none" w:sz="0" w:space="0" w:color="auto"/>
      </w:divBdr>
    </w:div>
    <w:div w:id="2115055769">
      <w:bodyDiv w:val="1"/>
      <w:marLeft w:val="0"/>
      <w:marRight w:val="0"/>
      <w:marTop w:val="0"/>
      <w:marBottom w:val="0"/>
      <w:divBdr>
        <w:top w:val="none" w:sz="0" w:space="0" w:color="auto"/>
        <w:left w:val="none" w:sz="0" w:space="0" w:color="auto"/>
        <w:bottom w:val="none" w:sz="0" w:space="0" w:color="auto"/>
        <w:right w:val="none" w:sz="0" w:space="0" w:color="auto"/>
      </w:divBdr>
    </w:div>
    <w:div w:id="2118483172">
      <w:bodyDiv w:val="1"/>
      <w:marLeft w:val="0"/>
      <w:marRight w:val="0"/>
      <w:marTop w:val="0"/>
      <w:marBottom w:val="0"/>
      <w:divBdr>
        <w:top w:val="none" w:sz="0" w:space="0" w:color="auto"/>
        <w:left w:val="none" w:sz="0" w:space="0" w:color="auto"/>
        <w:bottom w:val="none" w:sz="0" w:space="0" w:color="auto"/>
        <w:right w:val="none" w:sz="0" w:space="0" w:color="auto"/>
      </w:divBdr>
    </w:div>
    <w:div w:id="2119331845">
      <w:bodyDiv w:val="1"/>
      <w:marLeft w:val="0"/>
      <w:marRight w:val="0"/>
      <w:marTop w:val="0"/>
      <w:marBottom w:val="0"/>
      <w:divBdr>
        <w:top w:val="none" w:sz="0" w:space="0" w:color="auto"/>
        <w:left w:val="none" w:sz="0" w:space="0" w:color="auto"/>
        <w:bottom w:val="none" w:sz="0" w:space="0" w:color="auto"/>
        <w:right w:val="none" w:sz="0" w:space="0" w:color="auto"/>
      </w:divBdr>
    </w:div>
    <w:div w:id="2119716892">
      <w:bodyDiv w:val="1"/>
      <w:marLeft w:val="0"/>
      <w:marRight w:val="0"/>
      <w:marTop w:val="0"/>
      <w:marBottom w:val="0"/>
      <w:divBdr>
        <w:top w:val="none" w:sz="0" w:space="0" w:color="auto"/>
        <w:left w:val="none" w:sz="0" w:space="0" w:color="auto"/>
        <w:bottom w:val="none" w:sz="0" w:space="0" w:color="auto"/>
        <w:right w:val="none" w:sz="0" w:space="0" w:color="auto"/>
      </w:divBdr>
    </w:div>
    <w:div w:id="2124034639">
      <w:bodyDiv w:val="1"/>
      <w:marLeft w:val="0"/>
      <w:marRight w:val="0"/>
      <w:marTop w:val="0"/>
      <w:marBottom w:val="0"/>
      <w:divBdr>
        <w:top w:val="none" w:sz="0" w:space="0" w:color="auto"/>
        <w:left w:val="none" w:sz="0" w:space="0" w:color="auto"/>
        <w:bottom w:val="none" w:sz="0" w:space="0" w:color="auto"/>
        <w:right w:val="none" w:sz="0" w:space="0" w:color="auto"/>
      </w:divBdr>
    </w:div>
    <w:div w:id="2124766274">
      <w:bodyDiv w:val="1"/>
      <w:marLeft w:val="0"/>
      <w:marRight w:val="0"/>
      <w:marTop w:val="0"/>
      <w:marBottom w:val="0"/>
      <w:divBdr>
        <w:top w:val="none" w:sz="0" w:space="0" w:color="auto"/>
        <w:left w:val="none" w:sz="0" w:space="0" w:color="auto"/>
        <w:bottom w:val="none" w:sz="0" w:space="0" w:color="auto"/>
        <w:right w:val="none" w:sz="0" w:space="0" w:color="auto"/>
      </w:divBdr>
    </w:div>
    <w:div w:id="2126187867">
      <w:bodyDiv w:val="1"/>
      <w:marLeft w:val="0"/>
      <w:marRight w:val="0"/>
      <w:marTop w:val="0"/>
      <w:marBottom w:val="0"/>
      <w:divBdr>
        <w:top w:val="none" w:sz="0" w:space="0" w:color="auto"/>
        <w:left w:val="none" w:sz="0" w:space="0" w:color="auto"/>
        <w:bottom w:val="none" w:sz="0" w:space="0" w:color="auto"/>
        <w:right w:val="none" w:sz="0" w:space="0" w:color="auto"/>
      </w:divBdr>
    </w:div>
    <w:div w:id="2126609249">
      <w:bodyDiv w:val="1"/>
      <w:marLeft w:val="0"/>
      <w:marRight w:val="0"/>
      <w:marTop w:val="0"/>
      <w:marBottom w:val="0"/>
      <w:divBdr>
        <w:top w:val="none" w:sz="0" w:space="0" w:color="auto"/>
        <w:left w:val="none" w:sz="0" w:space="0" w:color="auto"/>
        <w:bottom w:val="none" w:sz="0" w:space="0" w:color="auto"/>
        <w:right w:val="none" w:sz="0" w:space="0" w:color="auto"/>
      </w:divBdr>
    </w:div>
    <w:div w:id="2127769249">
      <w:bodyDiv w:val="1"/>
      <w:marLeft w:val="0"/>
      <w:marRight w:val="0"/>
      <w:marTop w:val="0"/>
      <w:marBottom w:val="0"/>
      <w:divBdr>
        <w:top w:val="none" w:sz="0" w:space="0" w:color="auto"/>
        <w:left w:val="none" w:sz="0" w:space="0" w:color="auto"/>
        <w:bottom w:val="none" w:sz="0" w:space="0" w:color="auto"/>
        <w:right w:val="none" w:sz="0" w:space="0" w:color="auto"/>
      </w:divBdr>
    </w:div>
    <w:div w:id="2128809865">
      <w:bodyDiv w:val="1"/>
      <w:marLeft w:val="0"/>
      <w:marRight w:val="0"/>
      <w:marTop w:val="0"/>
      <w:marBottom w:val="0"/>
      <w:divBdr>
        <w:top w:val="none" w:sz="0" w:space="0" w:color="auto"/>
        <w:left w:val="none" w:sz="0" w:space="0" w:color="auto"/>
        <w:bottom w:val="none" w:sz="0" w:space="0" w:color="auto"/>
        <w:right w:val="none" w:sz="0" w:space="0" w:color="auto"/>
      </w:divBdr>
    </w:div>
    <w:div w:id="2129660024">
      <w:bodyDiv w:val="1"/>
      <w:marLeft w:val="0"/>
      <w:marRight w:val="0"/>
      <w:marTop w:val="0"/>
      <w:marBottom w:val="0"/>
      <w:divBdr>
        <w:top w:val="none" w:sz="0" w:space="0" w:color="auto"/>
        <w:left w:val="none" w:sz="0" w:space="0" w:color="auto"/>
        <w:bottom w:val="none" w:sz="0" w:space="0" w:color="auto"/>
        <w:right w:val="none" w:sz="0" w:space="0" w:color="auto"/>
      </w:divBdr>
    </w:div>
    <w:div w:id="2130079852">
      <w:bodyDiv w:val="1"/>
      <w:marLeft w:val="0"/>
      <w:marRight w:val="0"/>
      <w:marTop w:val="0"/>
      <w:marBottom w:val="0"/>
      <w:divBdr>
        <w:top w:val="none" w:sz="0" w:space="0" w:color="auto"/>
        <w:left w:val="none" w:sz="0" w:space="0" w:color="auto"/>
        <w:bottom w:val="none" w:sz="0" w:space="0" w:color="auto"/>
        <w:right w:val="none" w:sz="0" w:space="0" w:color="auto"/>
      </w:divBdr>
    </w:div>
    <w:div w:id="2130662446">
      <w:bodyDiv w:val="1"/>
      <w:marLeft w:val="0"/>
      <w:marRight w:val="0"/>
      <w:marTop w:val="0"/>
      <w:marBottom w:val="0"/>
      <w:divBdr>
        <w:top w:val="none" w:sz="0" w:space="0" w:color="auto"/>
        <w:left w:val="none" w:sz="0" w:space="0" w:color="auto"/>
        <w:bottom w:val="none" w:sz="0" w:space="0" w:color="auto"/>
        <w:right w:val="none" w:sz="0" w:space="0" w:color="auto"/>
      </w:divBdr>
    </w:div>
    <w:div w:id="2131774961">
      <w:bodyDiv w:val="1"/>
      <w:marLeft w:val="0"/>
      <w:marRight w:val="0"/>
      <w:marTop w:val="0"/>
      <w:marBottom w:val="0"/>
      <w:divBdr>
        <w:top w:val="none" w:sz="0" w:space="0" w:color="auto"/>
        <w:left w:val="none" w:sz="0" w:space="0" w:color="auto"/>
        <w:bottom w:val="none" w:sz="0" w:space="0" w:color="auto"/>
        <w:right w:val="none" w:sz="0" w:space="0" w:color="auto"/>
      </w:divBdr>
    </w:div>
    <w:div w:id="2132674430">
      <w:bodyDiv w:val="1"/>
      <w:marLeft w:val="0"/>
      <w:marRight w:val="0"/>
      <w:marTop w:val="0"/>
      <w:marBottom w:val="0"/>
      <w:divBdr>
        <w:top w:val="none" w:sz="0" w:space="0" w:color="auto"/>
        <w:left w:val="none" w:sz="0" w:space="0" w:color="auto"/>
        <w:bottom w:val="none" w:sz="0" w:space="0" w:color="auto"/>
        <w:right w:val="none" w:sz="0" w:space="0" w:color="auto"/>
      </w:divBdr>
    </w:div>
    <w:div w:id="2133551641">
      <w:bodyDiv w:val="1"/>
      <w:marLeft w:val="0"/>
      <w:marRight w:val="0"/>
      <w:marTop w:val="0"/>
      <w:marBottom w:val="0"/>
      <w:divBdr>
        <w:top w:val="none" w:sz="0" w:space="0" w:color="auto"/>
        <w:left w:val="none" w:sz="0" w:space="0" w:color="auto"/>
        <w:bottom w:val="none" w:sz="0" w:space="0" w:color="auto"/>
        <w:right w:val="none" w:sz="0" w:space="0" w:color="auto"/>
      </w:divBdr>
    </w:div>
    <w:div w:id="2134202179">
      <w:bodyDiv w:val="1"/>
      <w:marLeft w:val="0"/>
      <w:marRight w:val="0"/>
      <w:marTop w:val="0"/>
      <w:marBottom w:val="0"/>
      <w:divBdr>
        <w:top w:val="none" w:sz="0" w:space="0" w:color="auto"/>
        <w:left w:val="none" w:sz="0" w:space="0" w:color="auto"/>
        <w:bottom w:val="none" w:sz="0" w:space="0" w:color="auto"/>
        <w:right w:val="none" w:sz="0" w:space="0" w:color="auto"/>
      </w:divBdr>
    </w:div>
    <w:div w:id="2135438811">
      <w:bodyDiv w:val="1"/>
      <w:marLeft w:val="0"/>
      <w:marRight w:val="0"/>
      <w:marTop w:val="0"/>
      <w:marBottom w:val="0"/>
      <w:divBdr>
        <w:top w:val="none" w:sz="0" w:space="0" w:color="auto"/>
        <w:left w:val="none" w:sz="0" w:space="0" w:color="auto"/>
        <w:bottom w:val="none" w:sz="0" w:space="0" w:color="auto"/>
        <w:right w:val="none" w:sz="0" w:space="0" w:color="auto"/>
      </w:divBdr>
    </w:div>
    <w:div w:id="2139295479">
      <w:bodyDiv w:val="1"/>
      <w:marLeft w:val="0"/>
      <w:marRight w:val="0"/>
      <w:marTop w:val="0"/>
      <w:marBottom w:val="0"/>
      <w:divBdr>
        <w:top w:val="none" w:sz="0" w:space="0" w:color="auto"/>
        <w:left w:val="none" w:sz="0" w:space="0" w:color="auto"/>
        <w:bottom w:val="none" w:sz="0" w:space="0" w:color="auto"/>
        <w:right w:val="none" w:sz="0" w:space="0" w:color="auto"/>
      </w:divBdr>
    </w:div>
    <w:div w:id="2141217907">
      <w:bodyDiv w:val="1"/>
      <w:marLeft w:val="0"/>
      <w:marRight w:val="0"/>
      <w:marTop w:val="0"/>
      <w:marBottom w:val="0"/>
      <w:divBdr>
        <w:top w:val="none" w:sz="0" w:space="0" w:color="auto"/>
        <w:left w:val="none" w:sz="0" w:space="0" w:color="auto"/>
        <w:bottom w:val="none" w:sz="0" w:space="0" w:color="auto"/>
        <w:right w:val="none" w:sz="0" w:space="0" w:color="auto"/>
      </w:divBdr>
    </w:div>
    <w:div w:id="2143576175">
      <w:bodyDiv w:val="1"/>
      <w:marLeft w:val="0"/>
      <w:marRight w:val="0"/>
      <w:marTop w:val="0"/>
      <w:marBottom w:val="0"/>
      <w:divBdr>
        <w:top w:val="none" w:sz="0" w:space="0" w:color="auto"/>
        <w:left w:val="none" w:sz="0" w:space="0" w:color="auto"/>
        <w:bottom w:val="none" w:sz="0" w:space="0" w:color="auto"/>
        <w:right w:val="none" w:sz="0" w:space="0" w:color="auto"/>
      </w:divBdr>
    </w:div>
    <w:div w:id="2143763267">
      <w:bodyDiv w:val="1"/>
      <w:marLeft w:val="0"/>
      <w:marRight w:val="0"/>
      <w:marTop w:val="0"/>
      <w:marBottom w:val="0"/>
      <w:divBdr>
        <w:top w:val="none" w:sz="0" w:space="0" w:color="auto"/>
        <w:left w:val="none" w:sz="0" w:space="0" w:color="auto"/>
        <w:bottom w:val="none" w:sz="0" w:space="0" w:color="auto"/>
        <w:right w:val="none" w:sz="0" w:space="0" w:color="auto"/>
      </w:divBdr>
    </w:div>
    <w:div w:id="2144884757">
      <w:bodyDiv w:val="1"/>
      <w:marLeft w:val="0"/>
      <w:marRight w:val="0"/>
      <w:marTop w:val="0"/>
      <w:marBottom w:val="0"/>
      <w:divBdr>
        <w:top w:val="none" w:sz="0" w:space="0" w:color="auto"/>
        <w:left w:val="none" w:sz="0" w:space="0" w:color="auto"/>
        <w:bottom w:val="none" w:sz="0" w:space="0" w:color="auto"/>
        <w:right w:val="none" w:sz="0" w:space="0" w:color="auto"/>
      </w:divBdr>
    </w:div>
    <w:div w:id="2145349565">
      <w:bodyDiv w:val="1"/>
      <w:marLeft w:val="0"/>
      <w:marRight w:val="0"/>
      <w:marTop w:val="0"/>
      <w:marBottom w:val="0"/>
      <w:divBdr>
        <w:top w:val="none" w:sz="0" w:space="0" w:color="auto"/>
        <w:left w:val="none" w:sz="0" w:space="0" w:color="auto"/>
        <w:bottom w:val="none" w:sz="0" w:space="0" w:color="auto"/>
        <w:right w:val="none" w:sz="0" w:space="0" w:color="auto"/>
      </w:divBdr>
    </w:div>
    <w:div w:id="214684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mailto:adavey@pegasus-economics.com.au" TargetMode="External"/><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image" Target="media/image19.jpeg"/><Relationship Id="rId38" Type="http://schemas.openxmlformats.org/officeDocument/2006/relationships/image" Target="media/image21.tif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chart" Target="charts/chart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chart" Target="charts/chart5.xml"/><Relationship Id="rId10" Type="http://schemas.openxmlformats.org/officeDocument/2006/relationships/image" Target="cid:42b79406-9727-45f0-a80e-2f30bb08a16d"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chart" Target="charts/chart3.xml"/><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Users\rogerfisher\Documents\ACT%20Budget\%20ACT%20return%20to%20surplus_2018%20Budget%20_120618_with%20comm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ogerfisher\Documents\ACT%20Budget\Copy%20of%20ACT%20Budget%20chapter%207%20data%20supporting%20charts%20%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stairDavey\Documents\Pegasus%20Economics\ACT%20Budget%20Advisor%202021\ACT%20Economy\Stamp%20Duty%20R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rogerfisher\Documents\ACT%20Budget\Copy%20of%20ACT%20Budget%20chapter%207%20data%20supporting%20charts%20%20(version%201)2020-21%20Budg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rogerfisher\Documents\ACT%20Budget\Copy%20of%20ACT%20Budget%20chapter%207%20data%20supporting%20charts%20%20(version%201)2020-21%20Budg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rogerfisher\Documents\ACT%20Budget\Copy%20of%20ACT%20Budget%20chapter%207%20data%20supporting%20charts%20%20(version%201)2020-21%20Budg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Data!$B$4</c:f>
              <c:strCache>
                <c:ptCount val="1"/>
                <c:pt idx="0">
                  <c:v>2012-13</c:v>
                </c:pt>
              </c:strCache>
            </c:strRef>
          </c:tx>
          <c:spPr>
            <a:ln w="28575" cap="rnd">
              <a:solidFill>
                <a:schemeClr val="accent1"/>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Data!$C$4:$N$4</c:f>
              <c:numCache>
                <c:formatCode>_-"$"* #,##0_-;\-"$"* #,##0_-;_-"$"* "-"??_-;_-@_-</c:formatCode>
                <c:ptCount val="12"/>
                <c:pt idx="0">
                  <c:v>-318</c:v>
                </c:pt>
                <c:pt idx="1">
                  <c:v>-180</c:v>
                </c:pt>
                <c:pt idx="2">
                  <c:v>-116</c:v>
                </c:pt>
                <c:pt idx="3">
                  <c:v>5</c:v>
                </c:pt>
              </c:numCache>
            </c:numRef>
          </c:val>
          <c:smooth val="0"/>
          <c:extLst>
            <c:ext xmlns:c16="http://schemas.microsoft.com/office/drawing/2014/chart" uri="{C3380CC4-5D6E-409C-BE32-E72D297353CC}">
              <c16:uniqueId val="{00000000-0C39-4245-B934-F38A6AD79279}"/>
            </c:ext>
          </c:extLst>
        </c:ser>
        <c:ser>
          <c:idx val="1"/>
          <c:order val="1"/>
          <c:tx>
            <c:strRef>
              <c:f>Data!$B$5</c:f>
              <c:strCache>
                <c:ptCount val="1"/>
                <c:pt idx="0">
                  <c:v>2013-14</c:v>
                </c:pt>
              </c:strCache>
            </c:strRef>
          </c:tx>
          <c:spPr>
            <a:ln w="28575" cap="rnd">
              <a:solidFill>
                <a:schemeClr val="accent2"/>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Data!$C$5:$N$5</c:f>
              <c:numCache>
                <c:formatCode>_-"$"* #,##0_-;\-"$"* #,##0_-;_-"$"* "-"??_-;_-@_-</c:formatCode>
                <c:ptCount val="12"/>
                <c:pt idx="1">
                  <c:v>-254</c:v>
                </c:pt>
                <c:pt idx="2">
                  <c:v>-99</c:v>
                </c:pt>
                <c:pt idx="3">
                  <c:v>29</c:v>
                </c:pt>
                <c:pt idx="4">
                  <c:v>47</c:v>
                </c:pt>
              </c:numCache>
            </c:numRef>
          </c:val>
          <c:smooth val="0"/>
          <c:extLst>
            <c:ext xmlns:c16="http://schemas.microsoft.com/office/drawing/2014/chart" uri="{C3380CC4-5D6E-409C-BE32-E72D297353CC}">
              <c16:uniqueId val="{00000001-0C39-4245-B934-F38A6AD79279}"/>
            </c:ext>
          </c:extLst>
        </c:ser>
        <c:ser>
          <c:idx val="2"/>
          <c:order val="2"/>
          <c:tx>
            <c:strRef>
              <c:f>Data!$B$6</c:f>
              <c:strCache>
                <c:ptCount val="1"/>
                <c:pt idx="0">
                  <c:v>2014-15</c:v>
                </c:pt>
              </c:strCache>
            </c:strRef>
          </c:tx>
          <c:spPr>
            <a:ln w="28575" cap="rnd">
              <a:solidFill>
                <a:schemeClr val="accent3"/>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Data!$C$6:$N$6</c:f>
              <c:numCache>
                <c:formatCode>General</c:formatCode>
                <c:ptCount val="12"/>
                <c:pt idx="2" formatCode="_-&quot;$&quot;* #,##0_-;\-&quot;$&quot;* #,##0_-;_-&quot;$&quot;* &quot;-&quot;??_-;_-@_-">
                  <c:v>-333</c:v>
                </c:pt>
                <c:pt idx="3" formatCode="_-&quot;$&quot;* #,##0_-;\-&quot;$&quot;* #,##0_-;_-&quot;$&quot;* &quot;-&quot;??_-;_-@_-">
                  <c:v>-118</c:v>
                </c:pt>
                <c:pt idx="4" formatCode="_-&quot;$&quot;* #,##0_-;\-&quot;$&quot;* #,##0_-;_-&quot;$&quot;* &quot;-&quot;??_-;_-@_-">
                  <c:v>-26</c:v>
                </c:pt>
                <c:pt idx="5" formatCode="_-&quot;$&quot;* #,##0_-;\-&quot;$&quot;* #,##0_-;_-&quot;$&quot;* &quot;-&quot;??_-;_-@_-">
                  <c:v>78</c:v>
                </c:pt>
              </c:numCache>
            </c:numRef>
          </c:val>
          <c:smooth val="0"/>
          <c:extLst>
            <c:ext xmlns:c16="http://schemas.microsoft.com/office/drawing/2014/chart" uri="{C3380CC4-5D6E-409C-BE32-E72D297353CC}">
              <c16:uniqueId val="{00000002-0C39-4245-B934-F38A6AD79279}"/>
            </c:ext>
          </c:extLst>
        </c:ser>
        <c:ser>
          <c:idx val="3"/>
          <c:order val="3"/>
          <c:tx>
            <c:strRef>
              <c:f>Data!$B$7</c:f>
              <c:strCache>
                <c:ptCount val="1"/>
                <c:pt idx="0">
                  <c:v>2015-16</c:v>
                </c:pt>
              </c:strCache>
            </c:strRef>
          </c:tx>
          <c:spPr>
            <a:ln w="28575" cap="rnd">
              <a:solidFill>
                <a:schemeClr val="accent4"/>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Data!$C$7:$N$7</c:f>
              <c:numCache>
                <c:formatCode>General</c:formatCode>
                <c:ptCount val="12"/>
                <c:pt idx="3" formatCode="_-&quot;$&quot;* #,##0_-;\-&quot;$&quot;* #,##0_-;_-&quot;$&quot;* &quot;-&quot;??_-;_-@_-">
                  <c:v>-408</c:v>
                </c:pt>
                <c:pt idx="4" formatCode="_-&quot;$&quot;* #,##0_-;\-&quot;$&quot;* #,##0_-;_-&quot;$&quot;* &quot;-&quot;??_-;_-@_-">
                  <c:v>-116</c:v>
                </c:pt>
                <c:pt idx="5" formatCode="_-&quot;$&quot;* #,##0_-;\-&quot;$&quot;* #,##0_-;_-&quot;$&quot;* &quot;-&quot;??_-;_-@_-">
                  <c:v>-51</c:v>
                </c:pt>
                <c:pt idx="6" formatCode="_-&quot;$&quot;* #,##0_-;\-&quot;$&quot;* #,##0_-;_-&quot;$&quot;* &quot;-&quot;??_-;_-@_-">
                  <c:v>50</c:v>
                </c:pt>
              </c:numCache>
            </c:numRef>
          </c:val>
          <c:smooth val="0"/>
          <c:extLst>
            <c:ext xmlns:c16="http://schemas.microsoft.com/office/drawing/2014/chart" uri="{C3380CC4-5D6E-409C-BE32-E72D297353CC}">
              <c16:uniqueId val="{00000003-0C39-4245-B934-F38A6AD79279}"/>
            </c:ext>
          </c:extLst>
        </c:ser>
        <c:ser>
          <c:idx val="4"/>
          <c:order val="4"/>
          <c:tx>
            <c:strRef>
              <c:f>Data!$B$8</c:f>
              <c:strCache>
                <c:ptCount val="1"/>
                <c:pt idx="0">
                  <c:v>2016-17</c:v>
                </c:pt>
              </c:strCache>
            </c:strRef>
          </c:tx>
          <c:spPr>
            <a:ln w="28575" cap="rnd">
              <a:solidFill>
                <a:schemeClr val="accent5"/>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Data!$C$8:$N$8</c:f>
              <c:numCache>
                <c:formatCode>General</c:formatCode>
                <c:ptCount val="12"/>
                <c:pt idx="4" formatCode="_-&quot;$&quot;* #,##0_-;\-&quot;$&quot;* #,##0_-;_-&quot;$&quot;* &quot;-&quot;??_-;_-@_-">
                  <c:v>-94</c:v>
                </c:pt>
                <c:pt idx="5" formatCode="_-&quot;$&quot;* #,##0_-;\-&quot;$&quot;* #,##0_-;_-&quot;$&quot;* &quot;-&quot;??_-;_-@_-">
                  <c:v>-35</c:v>
                </c:pt>
                <c:pt idx="6" formatCode="_-&quot;$&quot;* #,##0_-;\-&quot;$&quot;* #,##0_-;_-&quot;$&quot;* &quot;-&quot;??_-;_-@_-">
                  <c:v>33</c:v>
                </c:pt>
                <c:pt idx="7" formatCode="_-&quot;$&quot;* #,##0_-;\-&quot;$&quot;* #,##0_-;_-&quot;$&quot;* &quot;-&quot;??_-;_-@_-">
                  <c:v>66</c:v>
                </c:pt>
              </c:numCache>
            </c:numRef>
          </c:val>
          <c:smooth val="0"/>
          <c:extLst>
            <c:ext xmlns:c16="http://schemas.microsoft.com/office/drawing/2014/chart" uri="{C3380CC4-5D6E-409C-BE32-E72D297353CC}">
              <c16:uniqueId val="{00000004-0C39-4245-B934-F38A6AD79279}"/>
            </c:ext>
          </c:extLst>
        </c:ser>
        <c:ser>
          <c:idx val="5"/>
          <c:order val="5"/>
          <c:tx>
            <c:strRef>
              <c:f>Data!$B$9</c:f>
              <c:strCache>
                <c:ptCount val="1"/>
                <c:pt idx="0">
                  <c:v>2017-18</c:v>
                </c:pt>
              </c:strCache>
            </c:strRef>
          </c:tx>
          <c:spPr>
            <a:ln w="28575" cap="rnd">
              <a:solidFill>
                <a:schemeClr val="accent6"/>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Data!$C$9:$N$9</c:f>
              <c:numCache>
                <c:formatCode>General</c:formatCode>
                <c:ptCount val="12"/>
                <c:pt idx="5" formatCode="_-&quot;$&quot;* #,##0_-;\-&quot;$&quot;* #,##0_-;_-&quot;$&quot;* &quot;-&quot;??_-;_-@_-">
                  <c:v>-83</c:v>
                </c:pt>
                <c:pt idx="6" formatCode="_-&quot;$&quot;* #,##0_-;\-&quot;$&quot;* #,##0_-;_-&quot;$&quot;* &quot;-&quot;??_-;_-@_-">
                  <c:v>10</c:v>
                </c:pt>
                <c:pt idx="7" formatCode="_-&quot;$&quot;* #,##0_-;\-&quot;$&quot;* #,##0_-;_-&quot;$&quot;* &quot;-&quot;??_-;_-@_-">
                  <c:v>28</c:v>
                </c:pt>
                <c:pt idx="8" formatCode="_-&quot;$&quot;* #,##0_-;\-&quot;$&quot;* #,##0_-;_-&quot;$&quot;* &quot;-&quot;??_-;_-@_-">
                  <c:v>63</c:v>
                </c:pt>
              </c:numCache>
            </c:numRef>
          </c:val>
          <c:smooth val="0"/>
          <c:extLst>
            <c:ext xmlns:c16="http://schemas.microsoft.com/office/drawing/2014/chart" uri="{C3380CC4-5D6E-409C-BE32-E72D297353CC}">
              <c16:uniqueId val="{00000005-0C39-4245-B934-F38A6AD79279}"/>
            </c:ext>
          </c:extLst>
        </c:ser>
        <c:ser>
          <c:idx val="6"/>
          <c:order val="6"/>
          <c:tx>
            <c:strRef>
              <c:f>Data!$B$10</c:f>
              <c:strCache>
                <c:ptCount val="1"/>
                <c:pt idx="0">
                  <c:v>2018-19</c:v>
                </c:pt>
              </c:strCache>
            </c:strRef>
          </c:tx>
          <c:spPr>
            <a:ln w="28575" cap="rnd">
              <a:solidFill>
                <a:schemeClr val="accent1">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Data!$C$10:$N$10</c:f>
              <c:numCache>
                <c:formatCode>General</c:formatCode>
                <c:ptCount val="12"/>
                <c:pt idx="6" formatCode="_-&quot;$&quot;* #,##0_-;\-&quot;$&quot;* #,##0_-;_-&quot;$&quot;* &quot;-&quot;??_-;_-@_-">
                  <c:v>36</c:v>
                </c:pt>
                <c:pt idx="7" formatCode="_-&quot;$&quot;* #,##0_-;\-&quot;$&quot;* #,##0_-;_-&quot;$&quot;* &quot;-&quot;??_-;_-@_-">
                  <c:v>44</c:v>
                </c:pt>
                <c:pt idx="8" formatCode="_-&quot;$&quot;* #,##0_-;\-&quot;$&quot;* #,##0_-;_-&quot;$&quot;* &quot;-&quot;??_-;_-@_-">
                  <c:v>26</c:v>
                </c:pt>
                <c:pt idx="9" formatCode="_-&quot;$&quot;* #,##0_-;\-&quot;$&quot;* #,##0_-;_-&quot;$&quot;* &quot;-&quot;??_-;_-@_-">
                  <c:v>53</c:v>
                </c:pt>
              </c:numCache>
            </c:numRef>
          </c:val>
          <c:smooth val="0"/>
          <c:extLst>
            <c:ext xmlns:c16="http://schemas.microsoft.com/office/drawing/2014/chart" uri="{C3380CC4-5D6E-409C-BE32-E72D297353CC}">
              <c16:uniqueId val="{00000006-0C39-4245-B934-F38A6AD79279}"/>
            </c:ext>
          </c:extLst>
        </c:ser>
        <c:ser>
          <c:idx val="7"/>
          <c:order val="7"/>
          <c:tx>
            <c:strRef>
              <c:f>Data!$B$11</c:f>
              <c:strCache>
                <c:ptCount val="1"/>
                <c:pt idx="0">
                  <c:v>2019-20</c:v>
                </c:pt>
              </c:strCache>
            </c:strRef>
          </c:tx>
          <c:spPr>
            <a:ln w="28575" cap="rnd">
              <a:solidFill>
                <a:schemeClr val="accent2">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Data!$C$11:$N$11</c:f>
              <c:numCache>
                <c:formatCode>General</c:formatCode>
                <c:ptCount val="12"/>
                <c:pt idx="7" formatCode="_-&quot;$&quot;* #,##0_-;\-&quot;$&quot;* #,##0_-;_-&quot;$&quot;* &quot;-&quot;??_-;_-@_-">
                  <c:v>-89</c:v>
                </c:pt>
                <c:pt idx="8" formatCode="_-&quot;$&quot;* #,##0_-;\-&quot;$&quot;* #,##0_-;_-&quot;$&quot;* &quot;-&quot;??_-;_-@_-">
                  <c:v>-66.8</c:v>
                </c:pt>
                <c:pt idx="9" formatCode="_-&quot;$&quot;* #,##0_-;\-&quot;$&quot;* #,##0_-;_-&quot;$&quot;* &quot;-&quot;??_-;_-@_-">
                  <c:v>135.19999999999999</c:v>
                </c:pt>
                <c:pt idx="10" formatCode="_-&quot;$&quot;* #,##0_-;\-&quot;$&quot;* #,##0_-;_-&quot;$&quot;* &quot;-&quot;??_-;_-@_-">
                  <c:v>413.3</c:v>
                </c:pt>
              </c:numCache>
            </c:numRef>
          </c:val>
          <c:smooth val="0"/>
          <c:extLst>
            <c:ext xmlns:c16="http://schemas.microsoft.com/office/drawing/2014/chart" uri="{C3380CC4-5D6E-409C-BE32-E72D297353CC}">
              <c16:uniqueId val="{00000007-0C39-4245-B934-F38A6AD79279}"/>
            </c:ext>
          </c:extLst>
        </c:ser>
        <c:ser>
          <c:idx val="8"/>
          <c:order val="8"/>
          <c:tx>
            <c:strRef>
              <c:f>Data!$B$12</c:f>
              <c:strCache>
                <c:ptCount val="1"/>
                <c:pt idx="0">
                  <c:v>2020-21</c:v>
                </c:pt>
              </c:strCache>
            </c:strRef>
          </c:tx>
          <c:spPr>
            <a:ln w="28575" cap="rnd">
              <a:solidFill>
                <a:schemeClr val="accent3">
                  <a:lumMod val="60000"/>
                </a:schemeClr>
              </a:solidFill>
              <a:round/>
            </a:ln>
            <a:effectLst/>
          </c:spPr>
          <c:marker>
            <c:symbol val="none"/>
          </c:marker>
          <c:cat>
            <c:strRef>
              <c:f>Data!$C$3:$N$3</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Data!$C$12:$N$12</c:f>
              <c:numCache>
                <c:formatCode>General</c:formatCode>
                <c:ptCount val="12"/>
                <c:pt idx="8" formatCode="_-&quot;$&quot;* #,##0_-;\-&quot;$&quot;* #,##0_-;_-&quot;$&quot;* &quot;-&quot;??_-;_-@_-">
                  <c:v>-603.1</c:v>
                </c:pt>
                <c:pt idx="9" formatCode="_-&quot;$&quot;* #,##0_-;\-&quot;$&quot;* #,##0_-;_-&quot;$&quot;* &quot;-&quot;??_-;_-@_-">
                  <c:v>-474.7</c:v>
                </c:pt>
                <c:pt idx="10" formatCode="_-&quot;$&quot;* #,##0_-;\-&quot;$&quot;* #,##0_-;_-&quot;$&quot;* &quot;-&quot;??_-;_-@_-">
                  <c:v>-406</c:v>
                </c:pt>
                <c:pt idx="11" formatCode="_-&quot;$&quot;* #,##0_-;\-&quot;$&quot;* #,##0_-;_-&quot;$&quot;* &quot;-&quot;??_-;_-@_-">
                  <c:v>-369.1</c:v>
                </c:pt>
              </c:numCache>
            </c:numRef>
          </c:val>
          <c:smooth val="0"/>
          <c:extLst>
            <c:ext xmlns:c16="http://schemas.microsoft.com/office/drawing/2014/chart" uri="{C3380CC4-5D6E-409C-BE32-E72D297353CC}">
              <c16:uniqueId val="{00000008-0C39-4245-B934-F38A6AD79279}"/>
            </c:ext>
          </c:extLst>
        </c:ser>
        <c:dLbls>
          <c:showLegendKey val="0"/>
          <c:showVal val="0"/>
          <c:showCatName val="0"/>
          <c:showSerName val="0"/>
          <c:showPercent val="0"/>
          <c:showBubbleSize val="0"/>
        </c:dLbls>
        <c:smooth val="0"/>
        <c:axId val="166559104"/>
        <c:axId val="166569088"/>
      </c:lineChart>
      <c:catAx>
        <c:axId val="166559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9088"/>
        <c:crosses val="autoZero"/>
        <c:auto val="1"/>
        <c:lblAlgn val="ctr"/>
        <c:lblOffset val="100"/>
        <c:noMultiLvlLbl val="0"/>
      </c:catAx>
      <c:valAx>
        <c:axId val="1665690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'debt, NFL and NW'!$B$1</c:f>
              <c:strCache>
                <c:ptCount val="1"/>
                <c:pt idx="0">
                  <c:v>Net Debt</c:v>
                </c:pt>
              </c:strCache>
            </c:strRef>
          </c:tx>
          <c:spPr>
            <a:solidFill>
              <a:schemeClr val="accent1"/>
            </a:solidFill>
            <a:ln>
              <a:noFill/>
            </a:ln>
            <a:effectLst/>
          </c:spPr>
          <c:invertIfNegative val="0"/>
          <c:cat>
            <c:strRef>
              <c:f>'debt, NFL and NW'!$A$2:$A$15</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NFL and NW'!$B$2:$B$15</c:f>
              <c:numCache>
                <c:formatCode>General</c:formatCode>
                <c:ptCount val="14"/>
                <c:pt idx="0">
                  <c:v>-735.9</c:v>
                </c:pt>
                <c:pt idx="1">
                  <c:v>-473.2</c:v>
                </c:pt>
                <c:pt idx="2">
                  <c:v>109.8</c:v>
                </c:pt>
                <c:pt idx="3">
                  <c:v>312.7</c:v>
                </c:pt>
                <c:pt idx="4">
                  <c:v>909.6</c:v>
                </c:pt>
                <c:pt idx="5" formatCode="#,##0.00">
                  <c:v>1646.5</c:v>
                </c:pt>
                <c:pt idx="6" formatCode="#,##0.00">
                  <c:v>1452.8</c:v>
                </c:pt>
                <c:pt idx="7" formatCode="#,##0.00">
                  <c:v>1302.2</c:v>
                </c:pt>
                <c:pt idx="8" formatCode="#,##0.00">
                  <c:v>2181.6999999999998</c:v>
                </c:pt>
                <c:pt idx="9" formatCode="#,##0.00">
                  <c:v>3296.7</c:v>
                </c:pt>
                <c:pt idx="10" formatCode="#,##0.00">
                  <c:v>4665</c:v>
                </c:pt>
                <c:pt idx="11" formatCode="#,##0.00">
                  <c:v>5960.6</c:v>
                </c:pt>
                <c:pt idx="12" formatCode="#,##0.00">
                  <c:v>6926.7</c:v>
                </c:pt>
                <c:pt idx="13" formatCode="#,##0.00">
                  <c:v>7658.6</c:v>
                </c:pt>
              </c:numCache>
            </c:numRef>
          </c:val>
          <c:extLst>
            <c:ext xmlns:c16="http://schemas.microsoft.com/office/drawing/2014/chart" uri="{C3380CC4-5D6E-409C-BE32-E72D297353CC}">
              <c16:uniqueId val="{00000000-239F-41F5-9B60-F385D3BCB4FD}"/>
            </c:ext>
          </c:extLst>
        </c:ser>
        <c:ser>
          <c:idx val="1"/>
          <c:order val="1"/>
          <c:tx>
            <c:strRef>
              <c:f>'debt, NFL and NW'!$C$1</c:f>
              <c:strCache>
                <c:ptCount val="1"/>
                <c:pt idx="0">
                  <c:v>Net Financial Liabilities</c:v>
                </c:pt>
              </c:strCache>
            </c:strRef>
          </c:tx>
          <c:spPr>
            <a:solidFill>
              <a:schemeClr val="accent2"/>
            </a:solidFill>
            <a:ln>
              <a:noFill/>
            </a:ln>
            <a:effectLst/>
          </c:spPr>
          <c:invertIfNegative val="0"/>
          <c:cat>
            <c:strRef>
              <c:f>'debt, NFL and NW'!$A$2:$A$15</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NFL and NW'!$C$2:$C$15</c:f>
              <c:numCache>
                <c:formatCode>#,##0.00</c:formatCode>
                <c:ptCount val="14"/>
                <c:pt idx="0">
                  <c:v>2526.1</c:v>
                </c:pt>
                <c:pt idx="1">
                  <c:v>5472</c:v>
                </c:pt>
                <c:pt idx="2">
                  <c:v>4840.7</c:v>
                </c:pt>
                <c:pt idx="3">
                  <c:v>5559</c:v>
                </c:pt>
                <c:pt idx="4">
                  <c:v>7002.7</c:v>
                </c:pt>
                <c:pt idx="5">
                  <c:v>9665.9</c:v>
                </c:pt>
                <c:pt idx="6">
                  <c:v>6984</c:v>
                </c:pt>
                <c:pt idx="7">
                  <c:v>7706.5</c:v>
                </c:pt>
                <c:pt idx="8">
                  <c:v>6571</c:v>
                </c:pt>
                <c:pt idx="9">
                  <c:v>12003.2</c:v>
                </c:pt>
                <c:pt idx="10">
                  <c:v>9301.7999999999993</c:v>
                </c:pt>
                <c:pt idx="11">
                  <c:v>10559.7</c:v>
                </c:pt>
                <c:pt idx="12">
                  <c:v>11744.9</c:v>
                </c:pt>
                <c:pt idx="13">
                  <c:v>12670.2</c:v>
                </c:pt>
              </c:numCache>
            </c:numRef>
          </c:val>
          <c:extLst>
            <c:ext xmlns:c16="http://schemas.microsoft.com/office/drawing/2014/chart" uri="{C3380CC4-5D6E-409C-BE32-E72D297353CC}">
              <c16:uniqueId val="{00000001-239F-41F5-9B60-F385D3BCB4FD}"/>
            </c:ext>
          </c:extLst>
        </c:ser>
        <c:ser>
          <c:idx val="2"/>
          <c:order val="2"/>
          <c:tx>
            <c:strRef>
              <c:f>'debt, NFL and NW'!$D$1</c:f>
              <c:strCache>
                <c:ptCount val="1"/>
                <c:pt idx="0">
                  <c:v>Net Worth</c:v>
                </c:pt>
              </c:strCache>
            </c:strRef>
          </c:tx>
          <c:spPr>
            <a:solidFill>
              <a:schemeClr val="accent3"/>
            </a:solidFill>
            <a:ln>
              <a:noFill/>
            </a:ln>
            <a:effectLst/>
          </c:spPr>
          <c:invertIfNegative val="0"/>
          <c:cat>
            <c:strRef>
              <c:f>'debt, NFL and NW'!$A$2:$A$15</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NFL and NW'!$D$2:$D$15</c:f>
              <c:numCache>
                <c:formatCode>#,##0.00</c:formatCode>
                <c:ptCount val="14"/>
                <c:pt idx="0">
                  <c:v>15875.6</c:v>
                </c:pt>
                <c:pt idx="1">
                  <c:v>13792.5</c:v>
                </c:pt>
                <c:pt idx="2">
                  <c:v>15198.8</c:v>
                </c:pt>
                <c:pt idx="3">
                  <c:v>14879.9</c:v>
                </c:pt>
                <c:pt idx="4">
                  <c:v>14284.9</c:v>
                </c:pt>
                <c:pt idx="5">
                  <c:v>12408.5</c:v>
                </c:pt>
                <c:pt idx="6">
                  <c:v>15663.8</c:v>
                </c:pt>
                <c:pt idx="7">
                  <c:v>15343.9</c:v>
                </c:pt>
                <c:pt idx="8">
                  <c:v>17635.099999999999</c:v>
                </c:pt>
                <c:pt idx="9">
                  <c:v>13030.3</c:v>
                </c:pt>
                <c:pt idx="10">
                  <c:v>16628.900000000001</c:v>
                </c:pt>
                <c:pt idx="11">
                  <c:v>15971.4</c:v>
                </c:pt>
                <c:pt idx="12">
                  <c:v>15343.1</c:v>
                </c:pt>
                <c:pt idx="13">
                  <c:v>14837.2</c:v>
                </c:pt>
              </c:numCache>
            </c:numRef>
          </c:val>
          <c:extLst>
            <c:ext xmlns:c16="http://schemas.microsoft.com/office/drawing/2014/chart" uri="{C3380CC4-5D6E-409C-BE32-E72D297353CC}">
              <c16:uniqueId val="{00000002-239F-41F5-9B60-F385D3BCB4FD}"/>
            </c:ext>
          </c:extLst>
        </c:ser>
        <c:dLbls>
          <c:showLegendKey val="0"/>
          <c:showVal val="0"/>
          <c:showCatName val="0"/>
          <c:showSerName val="0"/>
          <c:showPercent val="0"/>
          <c:showBubbleSize val="0"/>
        </c:dLbls>
        <c:gapWidth val="219"/>
        <c:overlap val="-27"/>
        <c:axId val="167190912"/>
        <c:axId val="167192448"/>
      </c:barChart>
      <c:catAx>
        <c:axId val="1671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92448"/>
        <c:crosses val="autoZero"/>
        <c:auto val="1"/>
        <c:lblAlgn val="ctr"/>
        <c:lblOffset val="100"/>
        <c:noMultiLvlLbl val="0"/>
      </c:catAx>
      <c:valAx>
        <c:axId val="1671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9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Sheet1!$A$15</c:f>
              <c:strCache>
                <c:ptCount val="1"/>
                <c:pt idx="0">
                  <c:v>Commercial general rates</c:v>
                </c:pt>
              </c:strCache>
            </c:strRef>
          </c:tx>
          <c:spPr>
            <a:ln w="28575" cap="rnd">
              <a:solidFill>
                <a:schemeClr val="accent1"/>
              </a:solidFill>
              <a:round/>
            </a:ln>
            <a:effectLst/>
          </c:spPr>
          <c:marker>
            <c:symbol val="none"/>
          </c:marker>
          <c:cat>
            <c:strRef>
              <c:f>Sheet1!$B$14:$F$14</c:f>
              <c:strCache>
                <c:ptCount val="5"/>
                <c:pt idx="0">
                  <c:v>2019-20</c:v>
                </c:pt>
                <c:pt idx="1">
                  <c:v>2020-21</c:v>
                </c:pt>
                <c:pt idx="2">
                  <c:v>2021-22</c:v>
                </c:pt>
                <c:pt idx="3">
                  <c:v>2022-23</c:v>
                </c:pt>
                <c:pt idx="4">
                  <c:v>2023-24</c:v>
                </c:pt>
              </c:strCache>
            </c:strRef>
          </c:cat>
          <c:val>
            <c:numRef>
              <c:f>Sheet1!$B$15:$F$15</c:f>
              <c:numCache>
                <c:formatCode>_-"$"* #,##0_-;\-"$"* #,##0_-;_-"$"* "-"??_-;_-@_-</c:formatCode>
                <c:ptCount val="5"/>
                <c:pt idx="0">
                  <c:v>210422</c:v>
                </c:pt>
                <c:pt idx="1">
                  <c:v>219019</c:v>
                </c:pt>
                <c:pt idx="2">
                  <c:v>241320</c:v>
                </c:pt>
                <c:pt idx="3">
                  <c:v>255794</c:v>
                </c:pt>
                <c:pt idx="4">
                  <c:v>270980</c:v>
                </c:pt>
              </c:numCache>
            </c:numRef>
          </c:val>
          <c:smooth val="0"/>
          <c:extLst>
            <c:ext xmlns:c16="http://schemas.microsoft.com/office/drawing/2014/chart" uri="{C3380CC4-5D6E-409C-BE32-E72D297353CC}">
              <c16:uniqueId val="{00000000-98F0-4A42-AFBA-E62AD2144996}"/>
            </c:ext>
          </c:extLst>
        </c:ser>
        <c:ser>
          <c:idx val="1"/>
          <c:order val="1"/>
          <c:tx>
            <c:strRef>
              <c:f>Sheet1!$A$16</c:f>
              <c:strCache>
                <c:ptCount val="1"/>
                <c:pt idx="0">
                  <c:v>Residential and rural general rates</c:v>
                </c:pt>
              </c:strCache>
            </c:strRef>
          </c:tx>
          <c:spPr>
            <a:ln w="28575" cap="rnd">
              <a:solidFill>
                <a:schemeClr val="accent2"/>
              </a:solidFill>
              <a:round/>
            </a:ln>
            <a:effectLst/>
          </c:spPr>
          <c:marker>
            <c:symbol val="none"/>
          </c:marker>
          <c:cat>
            <c:strRef>
              <c:f>Sheet1!$B$14:$F$14</c:f>
              <c:strCache>
                <c:ptCount val="5"/>
                <c:pt idx="0">
                  <c:v>2019-20</c:v>
                </c:pt>
                <c:pt idx="1">
                  <c:v>2020-21</c:v>
                </c:pt>
                <c:pt idx="2">
                  <c:v>2021-22</c:v>
                </c:pt>
                <c:pt idx="3">
                  <c:v>2022-23</c:v>
                </c:pt>
                <c:pt idx="4">
                  <c:v>2023-24</c:v>
                </c:pt>
              </c:strCache>
            </c:strRef>
          </c:cat>
          <c:val>
            <c:numRef>
              <c:f>Sheet1!$B$16:$F$16</c:f>
              <c:numCache>
                <c:formatCode>_-"$"* #,##0_-;\-"$"* #,##0_-;_-"$"* "-"??_-;_-@_-</c:formatCode>
                <c:ptCount val="5"/>
                <c:pt idx="0">
                  <c:v>386856</c:v>
                </c:pt>
                <c:pt idx="1">
                  <c:v>395524</c:v>
                </c:pt>
                <c:pt idx="2">
                  <c:v>444247</c:v>
                </c:pt>
                <c:pt idx="3">
                  <c:v>469028</c:v>
                </c:pt>
                <c:pt idx="4">
                  <c:v>494964</c:v>
                </c:pt>
              </c:numCache>
            </c:numRef>
          </c:val>
          <c:smooth val="0"/>
          <c:extLst>
            <c:ext xmlns:c16="http://schemas.microsoft.com/office/drawing/2014/chart" uri="{C3380CC4-5D6E-409C-BE32-E72D297353CC}">
              <c16:uniqueId val="{00000001-98F0-4A42-AFBA-E62AD2144996}"/>
            </c:ext>
          </c:extLst>
        </c:ser>
        <c:dLbls>
          <c:showLegendKey val="0"/>
          <c:showVal val="0"/>
          <c:showCatName val="0"/>
          <c:showSerName val="0"/>
          <c:showPercent val="0"/>
          <c:showBubbleSize val="0"/>
        </c:dLbls>
        <c:smooth val="0"/>
        <c:axId val="167294848"/>
        <c:axId val="167296384"/>
      </c:lineChart>
      <c:catAx>
        <c:axId val="1672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96384"/>
        <c:crosses val="autoZero"/>
        <c:auto val="1"/>
        <c:lblAlgn val="ctr"/>
        <c:lblOffset val="100"/>
        <c:noMultiLvlLbl val="0"/>
      </c:catAx>
      <c:valAx>
        <c:axId val="1672963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'debt to GSP'!$O$3</c:f>
              <c:strCache>
                <c:ptCount val="1"/>
                <c:pt idx="0">
                  <c:v>Net debt to GSP</c:v>
                </c:pt>
              </c:strCache>
            </c:strRef>
          </c:tx>
          <c:spPr>
            <a:ln w="28575" cap="rnd">
              <a:solidFill>
                <a:schemeClr val="accent1"/>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GSP'!$O$8:$O$21</c:f>
              <c:numCache>
                <c:formatCode>0.00%</c:formatCode>
                <c:ptCount val="14"/>
                <c:pt idx="0">
                  <c:v>-2.6796052871135709E-2</c:v>
                </c:pt>
                <c:pt idx="1">
                  <c:v>-1.6131451557919139E-2</c:v>
                </c:pt>
                <c:pt idx="2">
                  <c:v>3.5560449525536809E-3</c:v>
                </c:pt>
                <c:pt idx="3">
                  <c:v>9.9904153354632586E-3</c:v>
                </c:pt>
                <c:pt idx="4">
                  <c:v>2.7996306555863344E-2</c:v>
                </c:pt>
                <c:pt idx="5">
                  <c:v>4.8046339257054482E-2</c:v>
                </c:pt>
                <c:pt idx="6">
                  <c:v>4.027500554446662E-2</c:v>
                </c:pt>
                <c:pt idx="7">
                  <c:v>3.4445208013955703E-2</c:v>
                </c:pt>
                <c:pt idx="8" formatCode="0.0%">
                  <c:v>5.460256281910101E-2</c:v>
                </c:pt>
                <c:pt idx="9" formatCode="0.0%">
                  <c:v>7.9461531045121478E-2</c:v>
                </c:pt>
                <c:pt idx="10" formatCode="0.0%">
                  <c:v>0.10702660569917294</c:v>
                </c:pt>
                <c:pt idx="11" formatCode="0.0%">
                  <c:v>0.13144776921208062</c:v>
                </c:pt>
                <c:pt idx="12" formatCode="0.0%">
                  <c:v>0.14682930993153942</c:v>
                </c:pt>
                <c:pt idx="13" formatCode="0.0%">
                  <c:v>0.15490453202205864</c:v>
                </c:pt>
              </c:numCache>
            </c:numRef>
          </c:val>
          <c:smooth val="0"/>
          <c:extLst>
            <c:ext xmlns:c16="http://schemas.microsoft.com/office/drawing/2014/chart" uri="{C3380CC4-5D6E-409C-BE32-E72D297353CC}">
              <c16:uniqueId val="{00000000-9DB1-4AC5-AF36-80CAA275F0D3}"/>
            </c:ext>
          </c:extLst>
        </c:ser>
        <c:dLbls>
          <c:showLegendKey val="0"/>
          <c:showVal val="0"/>
          <c:showCatName val="0"/>
          <c:showSerName val="0"/>
          <c:showPercent val="0"/>
          <c:showBubbleSize val="0"/>
        </c:dLbls>
        <c:smooth val="0"/>
        <c:axId val="167319040"/>
        <c:axId val="167320576"/>
      </c:lineChart>
      <c:catAx>
        <c:axId val="167319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7320576"/>
        <c:crosses val="autoZero"/>
        <c:auto val="1"/>
        <c:lblAlgn val="ctr"/>
        <c:lblOffset val="100"/>
        <c:noMultiLvlLbl val="0"/>
      </c:catAx>
      <c:valAx>
        <c:axId val="16732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731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'debt to GSP'!$P$3</c:f>
              <c:strCache>
                <c:ptCount val="1"/>
                <c:pt idx="0">
                  <c:v>Net financial liabilities to GSP</c:v>
                </c:pt>
              </c:strCache>
            </c:strRef>
          </c:tx>
          <c:spPr>
            <a:ln w="28575" cap="rnd">
              <a:solidFill>
                <a:schemeClr val="accent2"/>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GSP'!$P$8:$P$21</c:f>
              <c:numCache>
                <c:formatCode>0.00%</c:formatCode>
                <c:ptCount val="14"/>
                <c:pt idx="0">
                  <c:v>9.1981939336561916E-2</c:v>
                </c:pt>
                <c:pt idx="1">
                  <c:v>0.18654121497238699</c:v>
                </c:pt>
                <c:pt idx="2">
                  <c:v>0.15677365028985976</c:v>
                </c:pt>
                <c:pt idx="3">
                  <c:v>0.17760383386581469</c:v>
                </c:pt>
                <c:pt idx="4">
                  <c:v>0.21553401046475837</c:v>
                </c:pt>
                <c:pt idx="5">
                  <c:v>0.28205958738218212</c:v>
                </c:pt>
                <c:pt idx="6">
                  <c:v>0.19361277445109781</c:v>
                </c:pt>
                <c:pt idx="7">
                  <c:v>0.20369244594808902</c:v>
                </c:pt>
                <c:pt idx="8" formatCode="0.0%">
                  <c:v>0.1644559014916408</c:v>
                </c:pt>
                <c:pt idx="9" formatCode="0.0%">
                  <c:v>0.28931739298110298</c:v>
                </c:pt>
                <c:pt idx="10" formatCode="0.0%">
                  <c:v>0.21340623384620938</c:v>
                </c:pt>
                <c:pt idx="11" formatCode="0.0%">
                  <c:v>0.23287068559353213</c:v>
                </c:pt>
                <c:pt idx="12" formatCode="0.0%">
                  <c:v>0.24896351252615784</c:v>
                </c:pt>
                <c:pt idx="13" formatCode="0.0%">
                  <c:v>0.25627025848404245</c:v>
                </c:pt>
              </c:numCache>
            </c:numRef>
          </c:val>
          <c:smooth val="0"/>
          <c:extLst>
            <c:ext xmlns:c16="http://schemas.microsoft.com/office/drawing/2014/chart" uri="{C3380CC4-5D6E-409C-BE32-E72D297353CC}">
              <c16:uniqueId val="{00000000-0503-4E73-80CA-2E5230243EFA}"/>
            </c:ext>
          </c:extLst>
        </c:ser>
        <c:ser>
          <c:idx val="0"/>
          <c:order val="1"/>
          <c:spPr>
            <a:ln w="28575" cap="rnd">
              <a:solidFill>
                <a:schemeClr val="accent1"/>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GSP'!$L$20</c:f>
              <c:numCache>
                <c:formatCode>0.0%</c:formatCode>
                <c:ptCount val="1"/>
                <c:pt idx="0">
                  <c:v>0.14682930993153942</c:v>
                </c:pt>
              </c:numCache>
            </c:numRef>
          </c:val>
          <c:smooth val="0"/>
          <c:extLst>
            <c:ext xmlns:c16="http://schemas.microsoft.com/office/drawing/2014/chart" uri="{C3380CC4-5D6E-409C-BE32-E72D297353CC}">
              <c16:uniqueId val="{00000001-0503-4E73-80CA-2E5230243EFA}"/>
            </c:ext>
          </c:extLst>
        </c:ser>
        <c:ser>
          <c:idx val="2"/>
          <c:order val="2"/>
          <c:spPr>
            <a:ln w="28575" cap="rnd">
              <a:solidFill>
                <a:schemeClr val="accent3"/>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GSP'!$M$20</c:f>
              <c:numCache>
                <c:formatCode>0.0%</c:formatCode>
                <c:ptCount val="1"/>
                <c:pt idx="0">
                  <c:v>0.24896351252615784</c:v>
                </c:pt>
              </c:numCache>
            </c:numRef>
          </c:val>
          <c:smooth val="0"/>
          <c:extLst>
            <c:ext xmlns:c16="http://schemas.microsoft.com/office/drawing/2014/chart" uri="{C3380CC4-5D6E-409C-BE32-E72D297353CC}">
              <c16:uniqueId val="{00000002-0503-4E73-80CA-2E5230243EFA}"/>
            </c:ext>
          </c:extLst>
        </c:ser>
        <c:ser>
          <c:idx val="3"/>
          <c:order val="3"/>
          <c:spPr>
            <a:ln w="28575" cap="rnd">
              <a:solidFill>
                <a:schemeClr val="accent4"/>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GSP'!$N$20</c:f>
              <c:numCache>
                <c:formatCode>0.0%</c:formatCode>
                <c:ptCount val="1"/>
                <c:pt idx="0">
                  <c:v>0.32523666178852884</c:v>
                </c:pt>
              </c:numCache>
            </c:numRef>
          </c:val>
          <c:smooth val="0"/>
          <c:extLst>
            <c:ext xmlns:c16="http://schemas.microsoft.com/office/drawing/2014/chart" uri="{C3380CC4-5D6E-409C-BE32-E72D297353CC}">
              <c16:uniqueId val="{00000003-0503-4E73-80CA-2E5230243EFA}"/>
            </c:ext>
          </c:extLst>
        </c:ser>
        <c:dLbls>
          <c:showLegendKey val="0"/>
          <c:showVal val="0"/>
          <c:showCatName val="0"/>
          <c:showSerName val="0"/>
          <c:showPercent val="0"/>
          <c:showBubbleSize val="0"/>
        </c:dLbls>
        <c:smooth val="0"/>
        <c:axId val="167369344"/>
        <c:axId val="167375232"/>
      </c:lineChart>
      <c:catAx>
        <c:axId val="1673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7375232"/>
        <c:crosses val="autoZero"/>
        <c:auto val="1"/>
        <c:lblAlgn val="ctr"/>
        <c:lblOffset val="100"/>
        <c:noMultiLvlLbl val="0"/>
      </c:catAx>
      <c:valAx>
        <c:axId val="16737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73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'debt to GSP'!$Q$3</c:f>
              <c:strCache>
                <c:ptCount val="1"/>
                <c:pt idx="0">
                  <c:v>Net worth to GSP</c:v>
                </c:pt>
              </c:strCache>
            </c:strRef>
          </c:tx>
          <c:spPr>
            <a:ln w="28575" cap="rnd">
              <a:solidFill>
                <a:schemeClr val="accent3"/>
              </a:solidFill>
              <a:round/>
            </a:ln>
            <a:effectLst/>
          </c:spPr>
          <c:marker>
            <c:symbol val="none"/>
          </c:marker>
          <c:cat>
            <c:strRef>
              <c:f>'debt to GSP'!$B$8:$B$21</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'debt to GSP'!$Q$8:$Q$21</c:f>
              <c:numCache>
                <c:formatCode>0.00%</c:formatCode>
                <c:ptCount val="14"/>
                <c:pt idx="0">
                  <c:v>0.57807231547900817</c:v>
                </c:pt>
                <c:pt idx="1">
                  <c:v>0.47018817754141951</c:v>
                </c:pt>
                <c:pt idx="2">
                  <c:v>0.49223694011723934</c:v>
                </c:pt>
                <c:pt idx="3">
                  <c:v>0.47539616613418528</c:v>
                </c:pt>
                <c:pt idx="4">
                  <c:v>0.43967066789781473</c:v>
                </c:pt>
                <c:pt idx="5">
                  <c:v>0.36209110274592199</c:v>
                </c:pt>
                <c:pt idx="6">
                  <c:v>0.43423708139277001</c:v>
                </c:pt>
                <c:pt idx="7">
                  <c:v>0.40555849236136809</c:v>
                </c:pt>
                <c:pt idx="8" formatCode="0.0%">
                  <c:v>0.44136299929922912</c:v>
                </c:pt>
                <c:pt idx="9" formatCode="0.0%">
                  <c:v>0.31407394909371383</c:v>
                </c:pt>
                <c:pt idx="10" formatCode="0.0%">
                  <c:v>0.3815079793163938</c:v>
                </c:pt>
                <c:pt idx="11" formatCode="0.0%">
                  <c:v>0.35221368674190923</c:v>
                </c:pt>
                <c:pt idx="12" formatCode="0.0%">
                  <c:v>0.32523666178852884</c:v>
                </c:pt>
                <c:pt idx="13" formatCode="0.0%">
                  <c:v>0.30010047822287211</c:v>
                </c:pt>
              </c:numCache>
            </c:numRef>
          </c:val>
          <c:smooth val="0"/>
          <c:extLst>
            <c:ext xmlns:c16="http://schemas.microsoft.com/office/drawing/2014/chart" uri="{C3380CC4-5D6E-409C-BE32-E72D297353CC}">
              <c16:uniqueId val="{00000000-92EC-0648-8742-1B7AACA557A2}"/>
            </c:ext>
          </c:extLst>
        </c:ser>
        <c:dLbls>
          <c:showLegendKey val="0"/>
          <c:showVal val="0"/>
          <c:showCatName val="0"/>
          <c:showSerName val="0"/>
          <c:showPercent val="0"/>
          <c:showBubbleSize val="0"/>
        </c:dLbls>
        <c:smooth val="0"/>
        <c:axId val="170218240"/>
        <c:axId val="170219776"/>
      </c:lineChart>
      <c:catAx>
        <c:axId val="1702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219776"/>
        <c:crosses val="autoZero"/>
        <c:auto val="1"/>
        <c:lblAlgn val="ctr"/>
        <c:lblOffset val="100"/>
        <c:noMultiLvlLbl val="0"/>
      </c:catAx>
      <c:valAx>
        <c:axId val="17021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21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Bah08</b:Tag>
    <b:SourceType>JournalArticle</b:SourceType>
    <b:Guid>{4AED3FBF-B62C-4277-B833-A4D262A1B265}</b:Guid>
    <b:Title>Subnational Taxes in Developing Countries: The Way Forward</b:Title>
    <b:Year>2008</b:Year>
    <b:Pages>1-25</b:Pages>
    <b:Author>
      <b:Author>
        <b:NameList>
          <b:Person>
            <b:Last>Bahl</b:Last>
            <b:First>R</b:First>
          </b:Person>
          <b:Person>
            <b:Last>Bird</b:Last>
            <b:First>R</b:First>
          </b:Person>
        </b:NameList>
      </b:Author>
    </b:Author>
    <b:JournalName>Public Budgeting &amp; Finance</b:JournalName>
    <b:Volume>28</b:Volume>
    <b:Issue>4</b:Issue>
    <b:RefOrder>16</b:RefOrder>
  </b:Source>
  <b:Source>
    <b:Tag>Oat08</b:Tag>
    <b:SourceType>JournalArticle</b:SourceType>
    <b:Guid>{8C9C4D94-83EB-4FC4-A3DA-70F7E1F87808}</b:Guid>
    <b:Author>
      <b:Author>
        <b:NameList>
          <b:Person>
            <b:Last>Oates</b:Last>
            <b:First>W</b:First>
            <b:Middle>E</b:Middle>
          </b:Person>
        </b:NameList>
      </b:Author>
    </b:Author>
    <b:Title>On The Evolution of Fiscal Federalism: Theory and Institutions</b:Title>
    <b:JournalName>National Tax Journal</b:JournalName>
    <b:Year>2008</b:Year>
    <b:Pages>313-334</b:Pages>
    <b:Volume>LXI</b:Volume>
    <b:RefOrder>17</b:RefOrder>
  </b:Source>
  <b:Source>
    <b:Tag>Bir10</b:Tag>
    <b:SourceType>BookSection</b:SourceType>
    <b:Guid>{C89720D7-0549-4FB6-B8D9-D7B164C974A8}</b:Guid>
    <b:Title>Assigning State Taxes in a Federal Country</b:Title>
    <b:Year>2010</b:Year>
    <b:Publisher>Commonwealth of Australia</b:Publisher>
    <b:City>Canberra</b:City>
    <b:Author>
      <b:Author>
        <b:NameList>
          <b:Person>
            <b:Last>Bird</b:Last>
            <b:First>R</b:First>
          </b:Person>
          <b:Person>
            <b:Last>Smart</b:Last>
            <b:First>M</b:First>
          </b:Person>
        </b:NameList>
      </b:Author>
      <b:BookAuthor>
        <b:NameList>
          <b:Person>
            <b:Last>Institute</b:Last>
            <b:First>Melbourne</b:First>
          </b:Person>
        </b:NameList>
      </b:BookAuthor>
    </b:Author>
    <b:Pages>72-94</b:Pages>
    <b:BookTitle>Australia's Future Tax and Transfer Policy Conference : proceedings of a conference</b:BookTitle>
    <b:RefOrder>15</b:RefOrder>
  </b:Source>
  <b:Source>
    <b:Tag>Hen10</b:Tag>
    <b:SourceType>Report</b:SourceType>
    <b:Guid>{E469225D-9476-4DCA-867D-02912E4D7094}</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Detailed Analysis Volume 2</b:Title>
    <b:Year>2010a</b:Year>
    <b:Publisher>Commonwealth of Australia</b:Publisher>
    <b:City>Canberra</b:City>
    <b:RefOrder>23</b:RefOrder>
  </b:Source>
  <b:Source>
    <b:Tag>Placeholder1</b:Tag>
    <b:SourceType>Report</b:SourceType>
    <b:Guid>{D7F10E58-3780-4792-AE4E-9C4D05F23FBC}</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Detailed Analysis Volume 1</b:Title>
    <b:Year>2010</b:Year>
    <b:Publisher>Commonwealth of Australia</b:Publisher>
    <b:City>Canberra</b:City>
    <b:RefOrder>24</b:RefOrder>
  </b:Source>
  <b:Source>
    <b:Tag>Bla90</b:Tag>
    <b:SourceType>JournalArticle</b:SourceType>
    <b:Guid>{4AEC9A93-4DFB-426F-AA69-4E6780BD19AB}</b:Guid>
    <b:Author>
      <b:Author>
        <b:NameList>
          <b:Person>
            <b:Last>Blanchard</b:Last>
            <b:First>O</b:First>
          </b:Person>
          <b:Person>
            <b:Last>Charouaqui</b:Last>
            <b:First>J</b:First>
          </b:Person>
          <b:Person>
            <b:Last>Hagemann</b:Last>
            <b:First>R</b:First>
            <b:Middle>P</b:Middle>
          </b:Person>
          <b:Person>
            <b:Last>Sartor</b:Last>
            <b:First>N</b:First>
          </b:Person>
        </b:NameList>
      </b:Author>
    </b:Author>
    <b:Title>The Sustainability of Fiscal Policy: New Answers to an Old Question</b:Title>
    <b:Year>1990</b:Year>
    <b:City>Paris</b:City>
    <b:JournalName>OECD Economic Studies</b:JournalName>
    <b:Issue>15 Autumn</b:Issue>
    <b:RefOrder>41</b:RefOrder>
  </b:Source>
  <b:Source>
    <b:Tag>ACT151</b:Tag>
    <b:SourceType>Report</b:SourceType>
    <b:Guid>{F52A845C-A337-4D26-977F-7FC901A06CD0}</b:Guid>
    <b:Author>
      <b:Author>
        <b:Corporate>ACT Government</b:Corporate>
      </b:Author>
    </b:Author>
    <b:Title>Australian Capital Territory Budget 2015-16 - Budget Paper No. 3 Budget Outlook</b:Title>
    <b:Year>2015</b:Year>
    <b:City>Canberra</b:City>
    <b:RefOrder>42</b:RefOrder>
  </b:Source>
  <b:Source>
    <b:Tag>Oat99</b:Tag>
    <b:SourceType>JournalArticle</b:SourceType>
    <b:Guid>{D7F76918-73A6-46CF-912B-3CD1F6708607}</b:Guid>
    <b:Title>An Essay on Fiscal Federalism</b:Title>
    <b:Pages>1120-1149</b:Pages>
    <b:Year>1999</b:Year>
    <b:Author>
      <b:Author>
        <b:NameList>
          <b:Person>
            <b:Last>Oates</b:Last>
            <b:First>W</b:First>
            <b:Middle>E</b:Middle>
          </b:Person>
        </b:NameList>
      </b:Author>
    </b:Author>
    <b:JournalName>Journal of Economic Literature</b:JournalName>
    <b:Volume>37</b:Volume>
    <b:RefOrder>6</b:RefOrder>
  </b:Source>
  <b:Source>
    <b:Tag>Kor03</b:Tag>
    <b:SourceType>JournalArticle</b:SourceType>
    <b:Guid>{F7969037-5077-456F-98FD-5329A03AB0D0}</b:Guid>
    <b:Author>
      <b:Author>
        <b:NameList>
          <b:Person>
            <b:Last>Kornai</b:Last>
            <b:First>J</b:First>
          </b:Person>
          <b:Person>
            <b:Last>Maskin</b:Last>
            <b:First>E</b:First>
          </b:Person>
          <b:Person>
            <b:Last>Roland</b:Last>
            <b:First>G</b:First>
          </b:Person>
        </b:NameList>
      </b:Author>
    </b:Author>
    <b:Title>Understanding the Soft Budget Constraint</b:Title>
    <b:JournalName>Journal of Economic Literature</b:JournalName>
    <b:Year>2003</b:Year>
    <b:Pages>1095–1136</b:Pages>
    <b:Volume>41</b:Volume>
    <b:RefOrder>43</b:RefOrder>
  </b:Source>
  <b:Source>
    <b:Tag>Placeholder2</b:Tag>
    <b:SourceType>Report</b:SourceType>
    <b:Guid>{22F5E7A2-12F6-43DC-9CCE-3D153A8310CC}</b:Guid>
    <b:Author>
      <b:Author>
        <b:Corporate>ACT Government</b:Corporate>
      </b:Author>
    </b:Author>
    <b:Title>Australian Capital Territory Budget 2016-17 for Canberra - Budget Paper 3: Budget Outlook</b:Title>
    <b:Year>2016</b:Year>
    <b:City>Canberra</b:City>
    <b:RefOrder>32</b:RefOrder>
  </b:Source>
  <b:Source>
    <b:Tag>Nas17</b:Tag>
    <b:SourceType>JournalArticle</b:SourceType>
    <b:Guid>{FB245A34-5AA7-4A12-8FEB-32EDF6103A91}</b:Guid>
    <b:Title>Coalition begins decentralisation process</b:Title>
    <b:Year>2017</b:Year>
    <b:Author>
      <b:Author>
        <b:NameList>
          <b:Person>
            <b:Last>Nash</b:Last>
            <b:First>F</b:First>
          </b:Person>
        </b:NameList>
      </b:Author>
    </b:Author>
    <b:JournalName>Media Release by the Minister for Regional Development and the Minister for Local Government and Territories</b:JournalName>
    <b:Pages>19 April</b:Pages>
    <b:RefOrder>44</b:RefOrder>
  </b:Source>
  <b:Source>
    <b:Tag>Com</b:Tag>
    <b:SourceType>InternetSite</b:SourceType>
    <b:Guid>{396899F1-68B3-4B01-BA35-AD65A2F07009}</b:Guid>
    <b:Author>
      <b:Author>
        <b:Corporate>Commonwealth of Australia</b:Corporate>
      </b:Author>
    </b:Author>
    <b:InternetSiteTitle>Future Fund Investment Mandate Direction 2017</b:InternetSiteTitle>
    <b:URL>https://www.legislation.gov.au/Details/F2017L00597</b:URL>
    <b:Year>2017a</b:Year>
    <b:RefOrder>45</b:RefOrder>
  </b:Source>
  <b:Source>
    <b:Tag>Rea18</b:Tag>
    <b:SourceType>ArticleInAPeriodical</b:SourceType>
    <b:Guid>{DABEA1D5-4B15-472F-8262-2350B246E2B2}</b:Guid>
    <b:Title>Analysis ACT Tax reform Initiative</b:Title>
    <b:Year>2018</b:Year>
    <b:Pages>4-11</b:Pages>
    <b:Author>
      <b:Author>
        <b:NameList>
          <b:Person>
            <b:Last>Reardon</b:Last>
            <b:First>T</b:First>
          </b:Person>
          <b:Person>
            <b:Last>Hopkins</b:Last>
            <b:First>D</b:First>
          </b:Person>
        </b:NameList>
      </b:Author>
    </b:Author>
    <b:PeriodicalTitle>HIA National Outlook: A quarterly update on the housing &amp; renovation industry - Summer Edition 2018</b:PeriodicalTitle>
    <b:Month>February</b:Month>
    <b:Day>15</b:Day>
    <b:RefOrder>22</b:RefOrder>
  </b:Source>
  <b:Source>
    <b:Tag>ACT16</b:Tag>
    <b:SourceType>Report</b:SourceType>
    <b:Guid>{13C30E9F-785A-4424-A446-0E0F7765677E}</b:Guid>
    <b:Author>
      <b:Author>
        <b:Corporate>ACT Government</b:Corporate>
      </b:Author>
    </b:Author>
    <b:Title>Australian Capital Territory Budget 2018-19 - Budget Paper 3: Budget Outlook</b:Title>
    <b:Year>2018a</b:Year>
    <b:City>Canberra</b:City>
    <b:RefOrder>46</b:RefOrder>
  </b:Source>
  <b:Source>
    <b:Tag>Aus183</b:Tag>
    <b:SourceType>DocumentFromInternetSite</b:SourceType>
    <b:Guid>{2EEE6A96-D74C-454B-8D87-0A7A3F95A997}</b:Guid>
    <b:Author>
      <b:Author>
        <b:Corporate>Australian Public Service Commission</b:Corporate>
      </b:Author>
    </b:Author>
    <b:Title>Remuneration - the Government's wages policy explained</b:Title>
    <b:Year>2018</b:Year>
    <b:InternetSiteTitle>Australian Public Service Commission</b:InternetSiteTitle>
    <b:URL>https://www.apsc.gov.au/remuneration-governments-wages-policy-explained</b:URL>
    <b:RefOrder>47</b:RefOrder>
  </b:Source>
  <b:Source>
    <b:Tag>Dav17</b:Tag>
    <b:SourceType>Report</b:SourceType>
    <b:Guid>{A8835EA2-32C9-43BE-863E-C53FA4E5FCC6}</b:Guid>
    <b:Title>Review of the ACT Budget 2017-18</b:Title>
    <b:Year>2017</b:Year>
    <b:Author>
      <b:Author>
        <b:NameList>
          <b:Person>
            <b:Last>Davey</b:Last>
            <b:First>A</b:First>
          </b:Person>
          <b:Person>
            <b:Last>Fisher</b:Last>
            <b:First>R</b:First>
          </b:Person>
        </b:NameList>
      </b:Author>
    </b:Author>
    <b:City>Canberra</b:City>
    <b:RefOrder>5</b:RefOrder>
  </b:Source>
  <b:Source>
    <b:Tag>ACT12</b:Tag>
    <b:SourceType>Report</b:SourceType>
    <b:Guid>{4F3DCEB9-44C5-4B68-98D5-4C244829A76F}</b:Guid>
    <b:Author>
      <b:Author>
        <b:Corporate>ACT Government</b:Corporate>
      </b:Author>
    </b:Author>
    <b:Title>Australian Capital Territory Budget 2012-13 Budget Paper No. 3: Budget Overview</b:Title>
    <b:Year>2012</b:Year>
    <b:City>Canberra</b:City>
    <b:RefOrder>21</b:RefOrder>
  </b:Source>
  <b:Source>
    <b:Tag>Int</b:Tag>
    <b:SourceType>Book</b:SourceType>
    <b:Guid>{67B77A27-59DC-4E68-BC77-B221AA9E9975}</b:Guid>
    <b:Title>Government Finance Manual</b:Title>
    <b:Author>
      <b:Author>
        <b:Corporate>International Monetary Fund</b:Corporate>
      </b:Author>
    </b:Author>
    <b:RefOrder>29</b:RefOrder>
  </b:Source>
  <b:Source>
    <b:Tag>ACT19</b:Tag>
    <b:SourceType>Report</b:SourceType>
    <b:Guid>{21660FC3-A346-4F36-9BBB-00AC574881D3}</b:Guid>
    <b:Author>
      <b:Author>
        <b:Corporate>ACT Government</b:Corporate>
      </b:Author>
    </b:Author>
    <b:Title>Australian Capital Territory Budget 2019-20 Building for the Future - Budget Paper 3: Budget Outlook</b:Title>
    <b:Year>2019</b:Year>
    <b:City>Canberra</b:City>
    <b:RefOrder>4</b:RefOrder>
  </b:Source>
  <b:Source>
    <b:Tag>Lib19</b:Tag>
    <b:SourceType>Report</b:SourceType>
    <b:Guid>{6F307B96-B05F-45C6-AAFB-8DD570B45EF5}</b:Guid>
    <b:Title>Our Plan to Deliver Budget Surpluses Without Increasing Taxes</b:Title>
    <b:Year>2019</b:Year>
    <b:Author>
      <b:Author>
        <b:Corporate>Liberal Party of Australia</b:Corporate>
      </b:Author>
    </b:Author>
    <b:RefOrder>48</b:RefOrder>
  </b:Source>
  <b:Source>
    <b:Tag>Cor19</b:Tag>
    <b:SourceType>JournalArticle</b:SourceType>
    <b:Guid>{A7BB4846-B6D2-4B7E-84C6-7FF80DE0D3C7}</b:Guid>
    <b:Author>
      <b:Author>
        <b:Corporate>CoreLogic</b:Corporate>
      </b:Author>
    </b:Author>
    <b:Title>Housing downturn losing steam as the pace of declining home values continues to reduce in May</b:Title>
    <b:Year>2019</b:Year>
    <b:JournalName>National Media Release</b:JournalName>
    <b:RefOrder>49</b:RefOrder>
  </b:Source>
  <b:Source>
    <b:Tag>Aus176</b:Tag>
    <b:SourceType>Report</b:SourceType>
    <b:Guid>{D5B13B2D-59D5-430F-8EDA-1D39DB46BA74}</b:Guid>
    <b:Author>
      <b:Author>
        <b:Corporate>Australian Accounting Standards Board</b:Corporate>
      </b:Author>
    </b:Author>
    <b:Title>AASB 1059 Service Concession Arrangements: Grantor</b:Title>
    <b:Year>2017</b:Year>
    <b:City>Melbourne</b:City>
    <b:RefOrder>38</b:RefOrder>
  </b:Source>
  <b:Source>
    <b:Tag>Aus1811</b:Tag>
    <b:SourceType>Report</b:SourceType>
    <b:Guid>{3006CE30-284F-4619-B31D-CA28B52640FB}</b:Guid>
    <b:Author>
      <b:Author>
        <b:Corporate>Australian Accounting Standards Board</b:Corporate>
      </b:Author>
    </b:Author>
    <b:Title>AASB 2018-5 Amendments to Australian Accounting Standards – Deferral of AASB 1059</b:Title>
    <b:Year>2018</b:Year>
    <b:City>Melbourne</b:City>
    <b:RefOrder>39</b:RefOrder>
  </b:Source>
  <b:Source>
    <b:Tag>Com8d</b:Tag>
    <b:SourceType>Report</b:SourceType>
    <b:Guid>{057A57A5-3520-4B39-A24A-A7A8F2952CC3}</b:Guid>
    <b:Author>
      <b:Author>
        <b:Corporate>Commonwealth of Australia</b:Corporate>
      </b:Author>
    </b:Author>
    <b:Title>Regional Australia – A Stronger Economy Delivering Stronger Regions 2018-19</b:Title>
    <b:Year>2018a</b:Year>
    <b:Publisher>Department of Infrastructure, Regional Development and Cities</b:Publisher>
    <b:City>Canberra</b:City>
    <b:RefOrder>50</b:RefOrder>
  </b:Source>
  <b:Source>
    <b:Tag>Aus1b</b:Tag>
    <b:SourceType>Report</b:SourceType>
    <b:Guid>{0221453C-F9C5-451B-9B53-2E8B550E0733}</b:Guid>
    <b:Author>
      <b:Author>
        <b:Corporate>Australian Bureau of Statistics</b:Corporate>
      </b:Author>
    </b:Author>
    <b:Title>Retail Trade, Australia - December 2020</b:Title>
    <b:Year>2021b</b:Year>
    <b:City>Canberra</b:City>
    <b:RefOrder>3</b:RefOrder>
  </b:Source>
  <b:Source>
    <b:Tag>Mor20</b:Tag>
    <b:SourceType>JournalArticle</b:SourceType>
    <b:Guid>{8DEC00F7-C0CD-440D-9172-B8F441FEEABA}</b:Guid>
    <b:Title>New wages policy for Commonwealth Public Servants and a review of performance bonus arrangements for senior executives</b:Title>
    <b:Year>2020</b:Year>
    <b:Author>
      <b:Author>
        <b:NameList>
          <b:Person>
            <b:Last>Moreton</b:Last>
            <b:First>B</b:First>
          </b:Person>
        </b:NameList>
      </b:Author>
    </b:Author>
    <b:JournalName>Press Release by the Assistant Minister to the Prime Minister and Cabinet, Assistant Minister to the Minister for the Public Service, and Assistant Minister for Electoral Matters</b:JournalName>
    <b:Pages>13 November</b:Pages>
    <b:RefOrder>10</b:RefOrder>
  </b:Source>
  <b:Source>
    <b:Tag>Com20</b:Tag>
    <b:SourceType>Report</b:SourceType>
    <b:Guid>{9E92A85F-15AC-490F-987F-9895FCBD1A6E}</b:Guid>
    <b:Author>
      <b:Author>
        <b:Corporate>Commonwealth of Australia</b:Corporate>
      </b:Author>
    </b:Author>
    <b:Title>Mid-Year Economic and Fiscal Outlook 2020-21 - December 2020</b:Title>
    <b:Year>2020</b:Year>
    <b:City>Canberra</b:City>
    <b:RefOrder>12</b:RefOrder>
  </b:Source>
  <b:Source>
    <b:Tag>Cen20</b:Tag>
    <b:SourceType>Report</b:SourceType>
    <b:Guid>{B138176E-0E8D-49F4-B501-9E7A3EC836BF}</b:Guid>
    <b:Author>
      <b:Author>
        <b:Corporate>Centre for Population</b:Corporate>
      </b:Author>
    </b:Author>
    <b:Title>Population Statement</b:Title>
    <b:Year>2020</b:Year>
    <b:Publisher>Commonwealth of Australia</b:Publisher>
    <b:City>Canberra</b:City>
    <b:RefOrder>13</b:RefOrder>
  </b:Source>
  <b:Source>
    <b:Tag>Aus16</b:Tag>
    <b:SourceType>Report</b:SourceType>
    <b:Guid>{3A3FE178-47BC-4DAA-9EB8-99E52C559005}</b:Guid>
    <b:Author>
      <b:Author>
        <b:Corporate>Australian Bureau of Statistics</b:Corporate>
      </b:Author>
    </b:Author>
    <b:Title>Australian National Accounts: National Income, Expenditure and Product, September 2020</b:Title>
    <b:Year>2020</b:Year>
    <b:City>Canberra</b:City>
    <b:RefOrder>2</b:RefOrder>
  </b:Source>
  <b:Source>
    <b:Tag>Aus7c</b:Tag>
    <b:SourceType>Report</b:SourceType>
    <b:Guid>{0F8148BC-B462-49B9-9CD4-D9A8C7F1B807}</b:Guid>
    <b:Author>
      <b:Author>
        <b:Corporate>Australian Bureau of Statistics</b:Corporate>
      </b:Author>
    </b:Author>
    <b:Title>Labour Force, Australia, December 2020</b:Title>
    <b:Year>2021a</b:Year>
    <b:City>Canberra</b:City>
    <b:RefOrder>8</b:RefOrder>
  </b:Source>
  <b:Source>
    <b:Tag>Aus6a1</b:Tag>
    <b:SourceType>Report</b:SourceType>
    <b:Guid>{99B4E159-BFFF-4AF0-8F4B-F17901E2DC99}</b:Guid>
    <b:Author>
      <b:Author>
        <b:Corporate>Australian Bureau of Statistics</b:Corporate>
      </b:Author>
    </b:Author>
    <b:Title>Consumer Price Index, Australia, December 2020 - ABS Cat no. 6401.0</b:Title>
    <b:Year>2021</b:Year>
    <b:City>Canberra</b:City>
    <b:RefOrder>11</b:RefOrder>
  </b:Source>
  <b:Source>
    <b:Tag>Aus164</b:Tag>
    <b:SourceType>Report</b:SourceType>
    <b:Guid>{ACA19886-18FE-488D-92DF-E397718726E2}</b:Guid>
    <b:Author>
      <b:Author>
        <b:Corporate>Australian Accounting Standards Board</b:Corporate>
      </b:Author>
    </b:Author>
    <b:Title>AASB 16 - Leases</b:Title>
    <b:Year>2016</b:Year>
    <b:City>Melbourne</b:City>
    <b:RefOrder>51</b:RefOrder>
  </b:Source>
  <b:Source>
    <b:Tag>Aus122</b:Tag>
    <b:SourceType>Report</b:SourceType>
    <b:Guid>{7C515468-8CCC-47A1-8CF3-0CE7D857DCF3}</b:Guid>
    <b:Author>
      <b:Author>
        <b:Corporate>Australian Accounting Standards Board</b:Corporate>
      </b:Author>
    </b:Author>
    <b:Title>AASB 1049 - Whole of Government and General Government Sector Financial Reporting</b:Title>
    <b:Year>2012</b:Year>
    <b:City>Melbourne</b:City>
    <b:RefOrder>35</b:RefOrder>
  </b:Source>
  <b:Source>
    <b:Tag>Aus101</b:Tag>
    <b:SourceType>Report</b:SourceType>
    <b:Guid>{4C91DD30-9CE7-49FF-B236-13407EAAB6D0}</b:Guid>
    <b:Author>
      <b:Author>
        <b:Corporate>Australian Accounting Standards Board</b:Corporate>
      </b:Author>
    </b:Author>
    <b:Title>AASB 9 - Financial Instruments</b:Title>
    <b:Year>2010</b:Year>
    <b:City>Melbourne</b:City>
    <b:RefOrder>52</b:RefOrder>
  </b:Source>
  <b:Source>
    <b:Tag>NSW20</b:Tag>
    <b:SourceType>Report</b:SourceType>
    <b:Guid>{7702076C-2BA4-4061-9480-99243051353D}</b:Guid>
    <b:Author>
      <b:Author>
        <b:Corporate>NSW Government</b:Corporate>
      </b:Author>
    </b:Author>
    <b:Title>Consultation Paper:: Buying in NSW, Building a Future</b:Title>
    <b:Year>2020</b:Year>
    <b:City>Sydney</b:City>
    <b:RefOrder>25</b:RefOrder>
  </b:Source>
  <b:Source>
    <b:Tag>ACT20</b:Tag>
    <b:SourceType>Report</b:SourceType>
    <b:Guid>{2DC8AA42-FB9E-48A9-9D65-2FC31A3D152C}</b:Guid>
    <b:Author>
      <b:Author>
        <b:Corporate>ACT Government</b:Corporate>
      </b:Author>
    </b:Author>
    <b:Title>August 2020 Economic and Fiscal Update</b:Title>
    <b:Year>2020</b:Year>
    <b:City>Canberra</b:City>
    <b:RefOrder>26</b:RefOrder>
  </b:Source>
  <b:Source>
    <b:Tag>Har21</b:Tag>
    <b:SourceType>DocumentFromInternetSite</b:SourceType>
    <b:Guid>{E26158CF-79DB-4AD7-A948-1F88D028B309}</b:Guid>
    <b:Title>Preliminary clearance rate improves as volumes rise across the combined capitals</b:Title>
    <b:Year>2021</b:Year>
    <b:Author>
      <b:Author>
        <b:NameList>
          <b:Person>
            <b:Last>Harling</b:Last>
            <b:First>J</b:First>
          </b:Person>
        </b:NameList>
      </b:Author>
    </b:Author>
    <b:InternetSiteTitle>CoreLogic</b:InternetSiteTitle>
    <b:Month>February</b:Month>
    <b:Day>8</b:Day>
    <b:URL>https://www.corelogic.com.au/news/preliminary-clearance-rate-improves-volumes-rise-across-combined-capitals</b:URL>
    <b:RefOrder>28</b:RefOrder>
  </b:Source>
  <b:Source>
    <b:Tag>Oat72</b:Tag>
    <b:SourceType>Book</b:SourceType>
    <b:Guid>{9198A4EA-5115-4B96-9B16-69D748DF0107}</b:Guid>
    <b:Title>Fiscal Federalism</b:Title>
    <b:Year>1972</b:Year>
    <b:Author>
      <b:Author>
        <b:NameList>
          <b:Person>
            <b:Last>Oates</b:Last>
            <b:First>W</b:First>
            <b:Middle>E</b:Middle>
          </b:Person>
        </b:NameList>
      </b:Author>
    </b:Author>
    <b:City>New York</b:City>
    <b:Publisher>Harcourt Brace Jovanovich</b:Publisher>
    <b:RefOrder>7</b:RefOrder>
  </b:Source>
  <b:Source>
    <b:Tag>Kru09</b:Tag>
    <b:SourceType>Book</b:SourceType>
    <b:Guid>{BA8811C4-90FB-4383-9C61-DA607ED47147}</b:Guid>
    <b:Author>
      <b:Author>
        <b:NameList>
          <b:Person>
            <b:Last>Krugman</b:Last>
            <b:First>P</b:First>
          </b:Person>
        </b:NameList>
      </b:Author>
    </b:Author>
    <b:Title>The Return of Depression Economics and the Crisis of 2008</b:Title>
    <b:Year>2009</b:Year>
    <b:Publisher>W.W. Norton Company Limited</b:Publisher>
    <b:City>New York</b:City>
    <b:RefOrder>18</b:RefOrder>
  </b:Source>
  <b:Source>
    <b:Tag>Wol99</b:Tag>
    <b:SourceType>JournalArticle</b:SourceType>
    <b:Guid>{25C38164-6C85-4513-A90C-777C8CEA4709}</b:Guid>
    <b:Author>
      <b:Author>
        <b:NameList>
          <b:Person>
            <b:Last>Wolf</b:Last>
            <b:First>C</b:First>
          </b:Person>
        </b:NameList>
      </b:Author>
    </b:Author>
    <b:Title>Financial Crises and the Challenge of “Moral Hazard”</b:Title>
    <b:Year>1999</b:Year>
    <b:JournalName>Society</b:JournalName>
    <b:Pages>60-62</b:Pages>
    <b:Volume>35</b:Volume>
    <b:Issue>5</b:Issue>
    <b:RefOrder>19</b:RefOrder>
  </b:Source>
  <b:Source>
    <b:Tag>Dow09</b:Tag>
    <b:SourceType>JournalArticle</b:SourceType>
    <b:Guid>{714E3498-099D-444B-BF43-7882BF3AA40B}</b:Guid>
    <b:Author>
      <b:Author>
        <b:NameList>
          <b:Person>
            <b:Last>Dowd</b:Last>
            <b:First>K</b:First>
          </b:Person>
        </b:NameList>
      </b:Author>
    </b:Author>
    <b:Year>2009</b:Year>
    <b:Title>Moral Hazard and the Financial Crisis</b:Title>
    <b:JournalName>Cato Journal</b:JournalName>
    <b:Pages>141-166</b:Pages>
    <b:Volume>29</b:Volume>
    <b:RefOrder>20</b:RefOrder>
  </b:Source>
  <b:Source>
    <b:Tag>Aus2016</b:Tag>
    <b:SourceType>Report</b:SourceType>
    <b:Guid>{229317CC-7D06-4B55-B40E-5FEF74272427}</b:Guid>
    <b:Author>
      <b:Author>
        <b:Corporate>Australian Bureau of Statistics</b:Corporate>
      </b:Author>
    </b:Author>
    <b:Title>National, State and Territory Population June 2020</b:Title>
    <b:Year>2020b</b:Year>
    <b:City>Canberra</b:City>
    <b:RefOrder>53</b:RefOrder>
  </b:Source>
  <b:Source>
    <b:Tag>Placeholder7</b:Tag>
    <b:SourceType>Report</b:SourceType>
    <b:Guid>{62E6374C-46B6-4F97-82EB-7B7DDE2F258F}</b:Guid>
    <b:Author>
      <b:Author>
        <b:Corporate>Australian Bureau of Statistics</b:Corporate>
      </b:Author>
    </b:Author>
    <b:Title>Australian National Accounts: State Accounts, 2019-2020</b:Title>
    <b:Year>2020a</b:Year>
    <b:City>Canberra</b:City>
    <b:RefOrder>31</b:RefOrder>
  </b:Source>
  <b:Source>
    <b:Tag>Com194</b:Tag>
    <b:SourceType>Book</b:SourceType>
    <b:Guid>{57B7BAFD-22C3-419B-A36B-828D836784E4}</b:Guid>
    <b:Author>
      <b:Author>
        <b:Corporate>Commonwealth of Australia</b:Corporate>
      </b:Author>
    </b:Author>
    <b:Title>Mid-Year Economic and Fiscal Outlook 2019-20</b:Title>
    <b:Year>2019a</b:Year>
    <b:City>Canberra</b:City>
    <b:RefOrder>34</b:RefOrder>
  </b:Source>
  <b:Source>
    <b:Tag>Com9e</b:Tag>
    <b:SourceType>Report</b:SourceType>
    <b:Guid>{BA928CD9-7391-43F0-BC96-709AFC755BDD}</b:Guid>
    <b:Author>
      <b:Author>
        <b:Corporate>Commonwealth of Australia</b:Corporate>
      </b:Author>
    </b:Author>
    <b:Title>Building Stronger Regional Communities</b:Title>
    <b:Year>2019</b:Year>
    <b:City>Canberra</b:City>
    <b:RefOrder>33</b:RefOrder>
  </b:Source>
  <b:Source>
    <b:Tag>ACT1a</b:Tag>
    <b:SourceType>Book</b:SourceType>
    <b:Guid>{0BB78C3C-1E2B-4C1F-A0E4-051B6FAF1B7B}</b:Guid>
    <b:Author>
      <b:Author>
        <b:Corporate>ACT Government</b:Corporate>
      </b:Author>
    </b:Author>
    <b:Title>Australian Capital Territory Budget 2020-21: Driving Canberra's Recovery - Budget Statement I Major Projects Canberra</b:Title>
    <b:Year>2021a</b:Year>
    <b:City>Canberra</b:City>
    <b:RefOrder>30</b:RefOrder>
  </b:Source>
  <b:Source>
    <b:Tag>ACT21</b:Tag>
    <b:SourceType>Report</b:SourceType>
    <b:Guid>{32935EF6-5811-4A89-A3F0-BA36C8FC2235}</b:Guid>
    <b:Author>
      <b:Author>
        <b:Corporate>ACT Government</b:Corporate>
      </b:Author>
    </b:Author>
    <b:Title>Australian Capital Territory Budget 2020-21: Driving Canberra's Recovery - Budget Outlook</b:Title>
    <b:Year>2021</b:Year>
    <b:City>Canberra</b:City>
    <b:RefOrder>1</b:RefOrder>
  </b:Source>
  <b:Source>
    <b:Tag>Vic20</b:Tag>
    <b:SourceType>Report</b:SourceType>
    <b:Guid>{6531B550-DF56-476F-8C80-6A4E91C299D1}</b:Guid>
    <b:Author>
      <b:Author>
        <b:Corporate>Victorian Auditor-General</b:Corporate>
      </b:Author>
    </b:Author>
    <b:Title>Auditor-General’s Report on the Annual Financial Report of the State of Victoria: 2019-20</b:Title>
    <b:Year>2020</b:Year>
    <b:City>Melbourne</b:City>
    <b:Publisher>Victorian Government Printer</b:Publisher>
    <b:ThesisType>Victorian Auditor-General's Report 2020–21: 9</b:ThesisType>
    <b:RefOrder>40</b:RefOrder>
  </b:Source>
  <b:Source>
    <b:Tag>Aus6c</b:Tag>
    <b:SourceType>Report</b:SourceType>
    <b:Guid>{0D535FAF-4DE2-4E9A-A426-AE7F031305E1}</b:Guid>
    <b:Author>
      <b:Author>
        <b:Corporate>Australian Bureau of Statistics</b:Corporate>
      </b:Author>
    </b:Author>
    <b:Title>Wage Price Index, Australia, September 2020</b:Title>
    <b:Year>2020d</b:Year>
    <b:City>Canberra</b:City>
    <b:RefOrder>9</b:RefOrder>
  </b:Source>
  <b:Source>
    <b:Tag>Aus0b2</b:Tag>
    <b:SourceType>Report</b:SourceType>
    <b:Guid>{7B232FC8-B74A-4E17-842A-3681A6D03DF4}</b:Guid>
    <b:Author>
      <b:Author>
        <b:Corporate>Australian Bureau of Statistics</b:Corporate>
      </b:Author>
    </b:Author>
    <b:Title>Residential Property Price Indexes: Eight Capital Cities September 2020</b:Title>
    <b:Year>2020c</b:Year>
    <b:City>Canberra</b:City>
    <b:RefOrder>27</b:RefOrder>
  </b:Source>
  <b:Source>
    <b:Tag>ACT9a1</b:Tag>
    <b:SourceType>Book</b:SourceType>
    <b:Guid>{E4D37F8C-F49A-4A49-8DFD-B3E27D6EEDF4}</b:Guid>
    <b:Author>
      <b:Author>
        <b:Corporate>ACT Government</b:Corporate>
      </b:Author>
    </b:Author>
    <b:Title>Government Response to the Pegasus Economics report Review of the ACT Budget 2019-­20</b:Title>
    <b:Year>2019a</b:Year>
    <b:City>Canberra</b:City>
    <b:RefOrder>36</b:RefOrder>
  </b:Source>
  <b:Source>
    <b:Tag>ACT13</b:Tag>
    <b:SourceType>Report</b:SourceType>
    <b:Guid>{55DD062D-407F-424F-84F6-B8DE0D472755}</b:Guid>
    <b:Author>
      <b:Author>
        <b:Corporate>ACT Government</b:Corporate>
      </b:Author>
    </b:Author>
    <b:Title>Australian Capital Territory Budget 2013‐14 Budget Paper No. 3</b:Title>
    <b:Year>2013</b:Year>
    <b:City>Canberra</b:City>
    <b:RefOrder>54</b:RefOrder>
  </b:Source>
  <b:Source>
    <b:Tag>ACT14</b:Tag>
    <b:SourceType>Report</b:SourceType>
    <b:Guid>{553A24FC-F7E4-430A-A277-CA63AD400EC1}</b:Guid>
    <b:Author>
      <b:Author>
        <b:Corporate>ACT Government</b:Corporate>
      </b:Author>
    </b:Author>
    <b:Title>Australian Capital Territory Budget 2014-15 Budget Paper No. 3</b:Title>
    <b:Year>2014</b:Year>
    <b:City>Canberra</b:City>
    <b:RefOrder>55</b:RefOrder>
  </b:Source>
  <b:Source>
    <b:Tag>ACT18</b:Tag>
    <b:SourceType>Report</b:SourceType>
    <b:Guid>{E1BCBF65-6439-41BF-B9DB-707222F1A376}</b:Guid>
    <b:Author>
      <b:Author>
        <b:Corporate>ACT Government</b:Corporate>
      </b:Author>
    </b:Author>
    <b:Title>Australian Capital Territory Budget 2017-18 Budget Review</b:Title>
    <b:Year>2018</b:Year>
    <b:City>Canberra</b:City>
    <b:RefOrder>56</b:RefOrder>
  </b:Source>
  <b:Source>
    <b:Tag>Int11</b:Tag>
    <b:SourceType>Report</b:SourceType>
    <b:Guid>{6607399D-69CC-47B4-8465-865AB3C3D7EF}</b:Guid>
    <b:Title>IPSAS 32 - Service Concession Arrangements: Grantor</b:Title>
    <b:Year>2011</b:Year>
    <b:Author>
      <b:Author>
        <b:Corporate>International Public Sector Accounting Standards Board</b:Corporate>
      </b:Author>
    </b:Author>
    <b:City>London</b:City>
    <b:RefOrder>37</b:RefOrder>
  </b:Source>
  <b:Source>
    <b:Tag>Dav191</b:Tag>
    <b:SourceType>Report</b:SourceType>
    <b:Guid>{747053D8-8E83-41D2-B75F-9D53AC50A13C}</b:Guid>
    <b:Title>Review of the ACT Budget 2019-20</b:Title>
    <b:Year>2019</b:Year>
    <b:City>Canberra</b:City>
    <b:Publisher>Pegasus Economics</b:Publisher>
    <b:Author>
      <b:Author>
        <b:NameList>
          <b:Person>
            <b:Last>Davey</b:Last>
            <b:First>A</b:First>
          </b:Person>
          <b:Person>
            <b:Last>Kaufmann</b:Last>
            <b:First>B</b:First>
          </b:Person>
          <b:Person>
            <b:Last>Bartos</b:Last>
            <b:First>S</b:First>
          </b:Person>
          <b:Person>
            <b:Last>Antcliff</b:Last>
            <b:First>S</b:First>
          </b:Person>
        </b:NameList>
      </b:Author>
    </b:Author>
    <b:RefOrder>14</b:RefOrder>
  </b:Source>
  <b:Source>
    <b:Tag>Row92</b:Tag>
    <b:SourceType>Report</b:SourceType>
    <b:Guid>{D1A155ED-C78B-4C88-B2E6-F6CF43154DBE}</b:Guid>
    <b:Author>
      <b:Author>
        <b:NameList>
          <b:Person>
            <b:Last>Rowles</b:Last>
            <b:First>T</b:First>
          </b:Person>
        </b:NameList>
      </b:Author>
    </b:Author>
    <b:Title>Financial Reporting of Infrastructure and Heritage Assets by Public Sector Entities</b:Title>
    <b:Year>1992</b:Year>
    <b:Publisher>AARF Discussion Paper No. 17</b:Publisher>
    <b:City>Melbourne</b:City>
    <b:RefOrder>57</b:RefOrder>
  </b:Source>
  <b:Source>
    <b:Tag>Aus95</b:Tag>
    <b:SourceType>Report</b:SourceType>
    <b:Guid>{B8A818B7-33FB-40E8-AF50-E5D800B4A4E4}</b:Guid>
    <b:Author>
      <b:Author>
        <b:Corporate>Australian Accounting Research Foundation (AARF)</b:Corporate>
      </b:Author>
    </b:Author>
    <b:Title>Financial Reporting by Government, Exposure Draft 62</b:Title>
    <b:Year>1995</b:Year>
    <b:City>Melbourne</b:City>
    <b:RefOrder>58</b:RefOrder>
  </b:Source>
  <b:Source>
    <b:Tag>Joi95</b:Tag>
    <b:SourceType>Report</b:SourceType>
    <b:Guid>{3B79B71E-9CC1-40BC-8A9B-107C5DB0E122}</b:Guid>
    <b:Author>
      <b:Author>
        <b:Corporate>Joint Committee of Public Accounts (JCPA)</b:Corporate>
      </b:Author>
    </b:Author>
    <b:Title>Accrual Accounting-a Cultural Change</b:Title>
    <b:Year>1995</b:Year>
    <b:Publisher>Parliament of the Commonwealth of Australia</b:Publisher>
    <b:ThesisType>Report 338</b:ThesisType>
    <b:RefOrder>59</b:RefOrder>
  </b:Source>
  <b:Source>
    <b:Tag>Mel96</b:Tag>
    <b:SourceType>JournalArticle</b:SourceType>
    <b:Guid>{13ED6C04-3496-4D7F-8299-554AA0BB590D}</b:Guid>
    <b:Author>
      <b:Author>
        <b:NameList>
          <b:Person>
            <b:Last>Mellor</b:Last>
            <b:First>T</b:First>
          </b:Person>
        </b:NameList>
      </b:Author>
    </b:Author>
    <b:Title>Why Governments Should Produce Balance Sheets</b:Title>
    <b:Year>1996</b:Year>
    <b:JournalName>Australian Journal of Public Administration</b:JournalName>
    <b:Pages>78-81</b:Pages>
    <b:Volume>55</b:Volume>
    <b:RefOrder>60</b:RefOrder>
  </b:Source>
  <b:Source>
    <b:Tag>Rob96</b:Tag>
    <b:SourceType>Report</b:SourceType>
    <b:Guid>{A6E2B512-4976-44CC-B76C-F0C80E8BEBC6}</b:Guid>
    <b:Title>Public Sector Net Worth: Is it Worth Measuring?</b:Title>
    <b:Year>1996</b:Year>
    <b:Publisher>Department of the Parliamentary Library</b:Publisher>
    <b:Author>
      <b:Author>
        <b:NameList>
          <b:Person>
            <b:Last>Robinson</b:Last>
            <b:First>M</b:First>
          </b:Person>
        </b:NameList>
      </b:Author>
    </b:Author>
    <b:ThesisType>Research Paper 36 1995-96</b:ThesisType>
    <b:RefOrder>61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D3C16E-64FE-403A-AF2E-E4C4F790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20723</Words>
  <Characters>118122</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Review of the ACT Budget 2020-21</vt:lpstr>
    </vt:vector>
  </TitlesOfParts>
  <Company>Pegasus Economics</Company>
  <LinksUpToDate>false</LinksUpToDate>
  <CharactersWithSpaces>138568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ACT Budget 2020-21</dc:title>
  <dc:creator>Alistair Davey, Brett Kaufmann, Roger Fisher and Susan Antcliff</dc:creator>
  <cp:lastModifiedBy>Alistair Davey</cp:lastModifiedBy>
  <cp:revision>3</cp:revision>
  <cp:lastPrinted>2021-02-17T21:24:00Z</cp:lastPrinted>
  <dcterms:created xsi:type="dcterms:W3CDTF">2021-02-17T21:24:00Z</dcterms:created>
  <dcterms:modified xsi:type="dcterms:W3CDTF">2021-02-17T21:25:00Z</dcterms:modified>
</cp:coreProperties>
</file>