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A4" w:rsidRPr="00FA00EF" w:rsidRDefault="00A84CA4" w:rsidP="00A84CA4">
      <w:pPr>
        <w:pStyle w:val="Default"/>
        <w:rPr>
          <w:rFonts w:cstheme="minorBidi"/>
          <w:color w:val="auto"/>
          <w:lang w:val="en-US"/>
        </w:rPr>
      </w:pPr>
    </w:p>
    <w:p w:rsidR="005A4689" w:rsidRPr="00FA00EF" w:rsidRDefault="005A4689" w:rsidP="00A84CA4">
      <w:pPr>
        <w:pStyle w:val="Default"/>
      </w:pPr>
    </w:p>
    <w:p w:rsidR="00A84CA4" w:rsidRPr="00FA00EF" w:rsidRDefault="00A84CA4" w:rsidP="00A84CA4">
      <w:pPr>
        <w:spacing w:after="0" w:line="240" w:lineRule="auto"/>
        <w:rPr>
          <w:rFonts w:ascii="Calibri" w:hAnsi="Calibri"/>
          <w:sz w:val="24"/>
          <w:szCs w:val="24"/>
        </w:rPr>
      </w:pPr>
      <w:r w:rsidRPr="00FA00EF">
        <w:rPr>
          <w:rFonts w:ascii="Calibri" w:hAnsi="Calibri"/>
          <w:sz w:val="24"/>
          <w:szCs w:val="24"/>
        </w:rPr>
        <w:t>Mrs Giulia Jones MLA</w:t>
      </w:r>
    </w:p>
    <w:p w:rsidR="00A84CA4" w:rsidRPr="00FA00EF" w:rsidRDefault="00A84CA4" w:rsidP="00A84CA4">
      <w:pPr>
        <w:spacing w:after="0" w:line="240" w:lineRule="auto"/>
        <w:rPr>
          <w:rFonts w:ascii="Calibri" w:hAnsi="Calibri"/>
          <w:sz w:val="24"/>
          <w:szCs w:val="24"/>
        </w:rPr>
      </w:pPr>
      <w:r w:rsidRPr="00FA00EF">
        <w:rPr>
          <w:rFonts w:ascii="Calibri" w:hAnsi="Calibri"/>
          <w:sz w:val="24"/>
          <w:szCs w:val="24"/>
        </w:rPr>
        <w:t>Chair</w:t>
      </w:r>
    </w:p>
    <w:p w:rsidR="00A84CA4" w:rsidRPr="00FA00EF" w:rsidRDefault="00A84CA4" w:rsidP="00A84CA4">
      <w:pPr>
        <w:spacing w:after="0" w:line="240" w:lineRule="auto"/>
        <w:rPr>
          <w:rFonts w:ascii="Calibri" w:hAnsi="Calibri"/>
          <w:sz w:val="24"/>
          <w:szCs w:val="24"/>
        </w:rPr>
      </w:pPr>
      <w:r w:rsidRPr="00FA00EF">
        <w:rPr>
          <w:rFonts w:ascii="Calibri" w:hAnsi="Calibri"/>
          <w:sz w:val="24"/>
          <w:szCs w:val="24"/>
        </w:rPr>
        <w:t>Standing Committee on Justice and Community Safety (Legislative Scrutiny Role)</w:t>
      </w:r>
    </w:p>
    <w:p w:rsidR="00A84CA4" w:rsidRPr="00FA00EF" w:rsidRDefault="00A84CA4" w:rsidP="00A84CA4">
      <w:pPr>
        <w:spacing w:after="0" w:line="240" w:lineRule="auto"/>
        <w:rPr>
          <w:rFonts w:ascii="Calibri" w:hAnsi="Calibri"/>
          <w:sz w:val="24"/>
          <w:szCs w:val="24"/>
        </w:rPr>
      </w:pPr>
      <w:r w:rsidRPr="00FA00EF">
        <w:rPr>
          <w:rFonts w:ascii="Calibri" w:hAnsi="Calibri"/>
          <w:sz w:val="24"/>
          <w:szCs w:val="24"/>
        </w:rPr>
        <w:t>ACT Legislative Assembly</w:t>
      </w:r>
    </w:p>
    <w:p w:rsidR="00A84CA4" w:rsidRPr="00FA00EF" w:rsidRDefault="00A84CA4" w:rsidP="00A84CA4">
      <w:pPr>
        <w:spacing w:after="0" w:line="240" w:lineRule="auto"/>
        <w:rPr>
          <w:rFonts w:ascii="Calibri" w:hAnsi="Calibri"/>
          <w:sz w:val="24"/>
          <w:szCs w:val="24"/>
        </w:rPr>
      </w:pPr>
      <w:r w:rsidRPr="00FA00EF">
        <w:rPr>
          <w:rFonts w:ascii="Calibri" w:hAnsi="Calibri"/>
          <w:sz w:val="24"/>
          <w:szCs w:val="24"/>
        </w:rPr>
        <w:t>GPO Box 1020</w:t>
      </w:r>
    </w:p>
    <w:p w:rsidR="00A84CA4" w:rsidRPr="00FA00EF" w:rsidRDefault="00A84CA4" w:rsidP="00A84CA4">
      <w:pPr>
        <w:spacing w:after="0" w:line="240" w:lineRule="auto"/>
        <w:rPr>
          <w:rFonts w:ascii="Calibri" w:hAnsi="Calibri"/>
          <w:sz w:val="24"/>
          <w:szCs w:val="24"/>
        </w:rPr>
      </w:pPr>
      <w:proofErr w:type="gramStart"/>
      <w:r w:rsidRPr="00FA00EF">
        <w:rPr>
          <w:rFonts w:ascii="Calibri" w:hAnsi="Calibri"/>
          <w:sz w:val="24"/>
          <w:szCs w:val="24"/>
        </w:rPr>
        <w:t>CANBERRA  ACT</w:t>
      </w:r>
      <w:proofErr w:type="gramEnd"/>
      <w:r w:rsidRPr="00FA00EF">
        <w:rPr>
          <w:rFonts w:ascii="Calibri" w:hAnsi="Calibri"/>
          <w:sz w:val="24"/>
          <w:szCs w:val="24"/>
        </w:rPr>
        <w:t xml:space="preserve">  2601</w:t>
      </w:r>
    </w:p>
    <w:p w:rsidR="00A84CA4" w:rsidRPr="00FA00EF" w:rsidRDefault="00A84CA4" w:rsidP="00A84CA4">
      <w:pPr>
        <w:spacing w:after="0" w:line="240" w:lineRule="auto"/>
        <w:rPr>
          <w:rFonts w:ascii="Calibri" w:hAnsi="Calibri"/>
          <w:sz w:val="24"/>
          <w:szCs w:val="24"/>
        </w:rPr>
      </w:pPr>
    </w:p>
    <w:p w:rsidR="00A84CA4" w:rsidRPr="00FA00EF" w:rsidRDefault="00A84CA4" w:rsidP="00A84CA4">
      <w:pPr>
        <w:spacing w:after="0" w:line="240" w:lineRule="auto"/>
        <w:rPr>
          <w:rFonts w:ascii="Calibri" w:hAnsi="Calibri"/>
          <w:sz w:val="24"/>
          <w:szCs w:val="24"/>
        </w:rPr>
      </w:pPr>
    </w:p>
    <w:p w:rsidR="00A84CA4" w:rsidRPr="00FA00EF" w:rsidRDefault="00A84CA4" w:rsidP="00A84CA4">
      <w:pPr>
        <w:pStyle w:val="Default"/>
      </w:pPr>
      <w:r w:rsidRPr="00FA00EF">
        <w:t>Dear Mrs Jones</w:t>
      </w:r>
    </w:p>
    <w:p w:rsidR="00A84CA4" w:rsidRPr="00FA00EF" w:rsidRDefault="00A84CA4" w:rsidP="00A84CA4">
      <w:pPr>
        <w:pStyle w:val="Default"/>
      </w:pPr>
    </w:p>
    <w:p w:rsidR="00A84CA4" w:rsidRPr="00FA00EF" w:rsidRDefault="003B328E" w:rsidP="00A84CA4">
      <w:pPr>
        <w:pStyle w:val="Default"/>
      </w:pPr>
      <w:r w:rsidRPr="00FA00EF">
        <w:t>I write</w:t>
      </w:r>
      <w:r w:rsidR="00A84CA4" w:rsidRPr="00FA00EF">
        <w:t xml:space="preserve"> in relation to comments made by the Standing Committee on Justice and Community Safety (Legislative Scrutiny Role) (</w:t>
      </w:r>
      <w:r w:rsidR="004E3111" w:rsidRPr="00FA00EF">
        <w:t xml:space="preserve">the </w:t>
      </w:r>
      <w:r w:rsidR="00A84CA4" w:rsidRPr="00FA00EF">
        <w:t xml:space="preserve">Committee) in its </w:t>
      </w:r>
      <w:r w:rsidR="00A84CA4" w:rsidRPr="00FA00EF">
        <w:rPr>
          <w:i/>
          <w:iCs/>
        </w:rPr>
        <w:t xml:space="preserve">Scrutiny Report </w:t>
      </w:r>
      <w:r w:rsidR="00371185" w:rsidRPr="00FA00EF">
        <w:rPr>
          <w:i/>
          <w:iCs/>
        </w:rPr>
        <w:t>9</w:t>
      </w:r>
      <w:r w:rsidR="00A84CA4" w:rsidRPr="00FA00EF">
        <w:rPr>
          <w:i/>
          <w:iCs/>
        </w:rPr>
        <w:t xml:space="preserve"> </w:t>
      </w:r>
      <w:r w:rsidR="00371185" w:rsidRPr="00FA00EF">
        <w:t>published on 5 September</w:t>
      </w:r>
      <w:r w:rsidR="00A84CA4" w:rsidRPr="00FA00EF">
        <w:t> 2017 i</w:t>
      </w:r>
      <w:r w:rsidR="004D49EC" w:rsidRPr="00FA00EF">
        <w:t>n relation to the Casino</w:t>
      </w:r>
      <w:r w:rsidR="00A84CA4" w:rsidRPr="00FA00EF">
        <w:t xml:space="preserve"> (</w:t>
      </w:r>
      <w:r w:rsidR="004D49EC" w:rsidRPr="00FA00EF">
        <w:t>Electronic Gaming</w:t>
      </w:r>
      <w:r w:rsidR="00A84CA4" w:rsidRPr="00FA00EF">
        <w:t>) Bill</w:t>
      </w:r>
      <w:r w:rsidR="00A84CA4" w:rsidRPr="00FA00EF">
        <w:rPr>
          <w:i/>
          <w:iCs/>
        </w:rPr>
        <w:t xml:space="preserve"> </w:t>
      </w:r>
      <w:r w:rsidR="00A84CA4" w:rsidRPr="00FA00EF">
        <w:rPr>
          <w:iCs/>
        </w:rPr>
        <w:t>2017 (the Bill).</w:t>
      </w:r>
    </w:p>
    <w:p w:rsidR="00A84CA4" w:rsidRPr="00FA00EF" w:rsidRDefault="00A84CA4" w:rsidP="00A84CA4">
      <w:pPr>
        <w:spacing w:after="0" w:line="240" w:lineRule="auto"/>
        <w:rPr>
          <w:sz w:val="24"/>
          <w:szCs w:val="24"/>
        </w:rPr>
      </w:pPr>
    </w:p>
    <w:p w:rsidR="008977B5" w:rsidRPr="00FA00EF" w:rsidRDefault="00A84CA4" w:rsidP="00A84CA4">
      <w:pPr>
        <w:spacing w:after="0" w:line="240" w:lineRule="auto"/>
        <w:rPr>
          <w:sz w:val="24"/>
          <w:szCs w:val="24"/>
        </w:rPr>
      </w:pPr>
      <w:r w:rsidRPr="00FA00EF">
        <w:rPr>
          <w:sz w:val="24"/>
          <w:szCs w:val="24"/>
        </w:rPr>
        <w:t xml:space="preserve">I thank the Committee for its </w:t>
      </w:r>
      <w:r w:rsidR="005A4689" w:rsidRPr="00FA00EF">
        <w:rPr>
          <w:sz w:val="24"/>
          <w:szCs w:val="24"/>
        </w:rPr>
        <w:t>consideration of the Bill</w:t>
      </w:r>
      <w:r w:rsidR="00254434" w:rsidRPr="00FA00EF">
        <w:rPr>
          <w:sz w:val="24"/>
          <w:szCs w:val="24"/>
        </w:rPr>
        <w:t xml:space="preserve"> and </w:t>
      </w:r>
      <w:r w:rsidR="004D49EC" w:rsidRPr="00FA00EF">
        <w:rPr>
          <w:sz w:val="24"/>
          <w:szCs w:val="24"/>
        </w:rPr>
        <w:t>provide the follow</w:t>
      </w:r>
      <w:r w:rsidR="00E9103C" w:rsidRPr="00FA00EF">
        <w:rPr>
          <w:sz w:val="24"/>
          <w:szCs w:val="24"/>
        </w:rPr>
        <w:t xml:space="preserve">ing </w:t>
      </w:r>
      <w:r w:rsidR="005A4689" w:rsidRPr="00FA00EF">
        <w:rPr>
          <w:sz w:val="24"/>
          <w:szCs w:val="24"/>
        </w:rPr>
        <w:t xml:space="preserve">comments </w:t>
      </w:r>
      <w:r w:rsidR="00254434" w:rsidRPr="00FA00EF">
        <w:rPr>
          <w:sz w:val="24"/>
          <w:szCs w:val="24"/>
        </w:rPr>
        <w:t>in relation</w:t>
      </w:r>
      <w:r w:rsidR="00E9103C" w:rsidRPr="00FA00EF">
        <w:rPr>
          <w:sz w:val="24"/>
          <w:szCs w:val="24"/>
        </w:rPr>
        <w:t xml:space="preserve"> to the matters on whic</w:t>
      </w:r>
      <w:r w:rsidR="00254434" w:rsidRPr="00FA00EF">
        <w:rPr>
          <w:sz w:val="24"/>
          <w:szCs w:val="24"/>
        </w:rPr>
        <w:t>h the Committee has requested a response</w:t>
      </w:r>
      <w:r w:rsidR="00E9103C" w:rsidRPr="00FA00EF">
        <w:rPr>
          <w:sz w:val="24"/>
          <w:szCs w:val="24"/>
        </w:rPr>
        <w:t>.</w:t>
      </w:r>
    </w:p>
    <w:p w:rsidR="00E9103C" w:rsidRPr="00FA00EF" w:rsidRDefault="00E9103C" w:rsidP="00A84CA4">
      <w:pPr>
        <w:spacing w:after="0" w:line="240" w:lineRule="auto"/>
        <w:rPr>
          <w:sz w:val="24"/>
          <w:szCs w:val="24"/>
        </w:rPr>
      </w:pPr>
    </w:p>
    <w:p w:rsidR="008977B5" w:rsidRPr="00FA00EF" w:rsidRDefault="00E9103C" w:rsidP="00A84CA4">
      <w:pPr>
        <w:spacing w:after="0" w:line="240" w:lineRule="auto"/>
        <w:rPr>
          <w:i/>
          <w:sz w:val="24"/>
          <w:szCs w:val="24"/>
          <w:u w:val="single"/>
        </w:rPr>
      </w:pPr>
      <w:r w:rsidRPr="00FA00EF">
        <w:rPr>
          <w:i/>
          <w:sz w:val="24"/>
          <w:szCs w:val="24"/>
          <w:u w:val="single"/>
        </w:rPr>
        <w:t>Pre-commitment Information - strict liability offences and available defences</w:t>
      </w:r>
    </w:p>
    <w:p w:rsidR="00BB3A03" w:rsidRPr="00FA00EF" w:rsidRDefault="00BB3A03" w:rsidP="00A84CA4">
      <w:pPr>
        <w:spacing w:after="0" w:line="240" w:lineRule="auto"/>
        <w:rPr>
          <w:rFonts w:cs="Calibri"/>
          <w:color w:val="000000"/>
          <w:sz w:val="24"/>
          <w:szCs w:val="24"/>
        </w:rPr>
      </w:pPr>
      <w:r w:rsidRPr="00FA00EF">
        <w:rPr>
          <w:rFonts w:cs="Calibri"/>
          <w:color w:val="000000"/>
          <w:sz w:val="24"/>
          <w:szCs w:val="24"/>
        </w:rPr>
        <w:t>I note the Com</w:t>
      </w:r>
      <w:r w:rsidR="005A4689" w:rsidRPr="00FA00EF">
        <w:rPr>
          <w:rFonts w:cs="Calibri"/>
          <w:color w:val="000000"/>
          <w:sz w:val="24"/>
          <w:szCs w:val="24"/>
        </w:rPr>
        <w:t>mittee’s comments about</w:t>
      </w:r>
      <w:r w:rsidRPr="00FA00EF">
        <w:rPr>
          <w:rFonts w:cs="Calibri"/>
          <w:color w:val="000000"/>
          <w:sz w:val="24"/>
          <w:szCs w:val="24"/>
        </w:rPr>
        <w:t xml:space="preserve"> the offences created under </w:t>
      </w:r>
      <w:r w:rsidR="00D13407" w:rsidRPr="00FA00EF">
        <w:rPr>
          <w:rFonts w:cs="Calibri"/>
          <w:color w:val="000000"/>
          <w:sz w:val="24"/>
          <w:szCs w:val="24"/>
        </w:rPr>
        <w:t>clause</w:t>
      </w:r>
      <w:r w:rsidRPr="00FA00EF">
        <w:rPr>
          <w:rFonts w:cs="Calibri"/>
          <w:color w:val="000000"/>
          <w:sz w:val="24"/>
          <w:szCs w:val="24"/>
        </w:rPr>
        <w:t xml:space="preserve"> 34 of the Bill</w:t>
      </w:r>
      <w:r w:rsidR="00E9103C" w:rsidRPr="00FA00EF">
        <w:rPr>
          <w:rFonts w:cs="Calibri"/>
          <w:color w:val="000000"/>
          <w:sz w:val="24"/>
          <w:szCs w:val="24"/>
        </w:rPr>
        <w:t xml:space="preserve"> on the use or disclosure of pre-commitment information</w:t>
      </w:r>
      <w:r w:rsidRPr="00FA00EF">
        <w:rPr>
          <w:rFonts w:cs="Calibri"/>
          <w:color w:val="000000"/>
          <w:sz w:val="24"/>
          <w:szCs w:val="24"/>
        </w:rPr>
        <w:t>. While the Committee is concerned that ‘</w:t>
      </w:r>
      <w:r w:rsidR="00631009" w:rsidRPr="00FA00EF">
        <w:rPr>
          <w:rFonts w:cs="Calibri"/>
          <w:color w:val="000000"/>
          <w:sz w:val="24"/>
          <w:szCs w:val="24"/>
        </w:rPr>
        <w:t xml:space="preserve">it may not be clear in all cases that the information in question will have been </w:t>
      </w:r>
      <w:r w:rsidR="005A4689" w:rsidRPr="00FA00EF">
        <w:rPr>
          <w:rFonts w:cs="Calibri"/>
          <w:color w:val="000000"/>
          <w:sz w:val="24"/>
          <w:szCs w:val="24"/>
        </w:rPr>
        <w:t>obtained through use of the pre</w:t>
      </w:r>
      <w:r w:rsidR="005A4689" w:rsidRPr="00FA00EF">
        <w:rPr>
          <w:rFonts w:cs="Calibri"/>
          <w:color w:val="000000"/>
          <w:sz w:val="24"/>
          <w:szCs w:val="24"/>
        </w:rPr>
        <w:noBreakHyphen/>
      </w:r>
      <w:r w:rsidR="00631009" w:rsidRPr="00FA00EF">
        <w:rPr>
          <w:rFonts w:cs="Calibri"/>
          <w:color w:val="000000"/>
          <w:sz w:val="24"/>
          <w:szCs w:val="24"/>
        </w:rPr>
        <w:t>commitment system</w:t>
      </w:r>
      <w:r w:rsidRPr="00FA00EF">
        <w:rPr>
          <w:rFonts w:cs="Calibri"/>
          <w:color w:val="000000"/>
          <w:sz w:val="24"/>
          <w:szCs w:val="24"/>
        </w:rPr>
        <w:t>’ I can advise that the information to be collected and s</w:t>
      </w:r>
      <w:r w:rsidR="005A4689" w:rsidRPr="00FA00EF">
        <w:rPr>
          <w:rFonts w:cs="Calibri"/>
          <w:color w:val="000000"/>
          <w:sz w:val="24"/>
          <w:szCs w:val="24"/>
        </w:rPr>
        <w:t xml:space="preserve">tored within the </w:t>
      </w:r>
      <w:r w:rsidRPr="00FA00EF">
        <w:rPr>
          <w:rFonts w:cs="Calibri"/>
          <w:color w:val="000000"/>
          <w:sz w:val="24"/>
          <w:szCs w:val="24"/>
        </w:rPr>
        <w:t>system will be limited to that which is required for the effective operation of the syst</w:t>
      </w:r>
      <w:r w:rsidR="005A4689" w:rsidRPr="00FA00EF">
        <w:rPr>
          <w:rFonts w:cs="Calibri"/>
          <w:color w:val="000000"/>
          <w:sz w:val="24"/>
          <w:szCs w:val="24"/>
        </w:rPr>
        <w:t>em, in line with requirements under</w:t>
      </w:r>
      <w:r w:rsidRPr="00FA00EF">
        <w:rPr>
          <w:rFonts w:cs="Calibri"/>
          <w:color w:val="000000"/>
          <w:sz w:val="24"/>
          <w:szCs w:val="24"/>
        </w:rPr>
        <w:t xml:space="preserve"> the Territory Privacy Principles. Given the unique nature of information to be retained within the system (including</w:t>
      </w:r>
      <w:r w:rsidR="006145CA" w:rsidRPr="00FA00EF">
        <w:rPr>
          <w:rFonts w:cs="Calibri"/>
          <w:color w:val="000000"/>
          <w:sz w:val="24"/>
          <w:szCs w:val="24"/>
        </w:rPr>
        <w:t>,</w:t>
      </w:r>
      <w:r w:rsidRPr="00FA00EF">
        <w:rPr>
          <w:rFonts w:cs="Calibri"/>
          <w:color w:val="000000"/>
          <w:sz w:val="24"/>
          <w:szCs w:val="24"/>
        </w:rPr>
        <w:t xml:space="preserve"> for example, playing history for a period and the dollar/time limits set by </w:t>
      </w:r>
      <w:r w:rsidR="006145CA" w:rsidRPr="00FA00EF">
        <w:rPr>
          <w:rFonts w:cs="Calibri"/>
          <w:color w:val="000000"/>
          <w:sz w:val="24"/>
          <w:szCs w:val="24"/>
        </w:rPr>
        <w:t>a</w:t>
      </w:r>
      <w:r w:rsidRPr="00FA00EF">
        <w:rPr>
          <w:rFonts w:cs="Calibri"/>
          <w:color w:val="000000"/>
          <w:sz w:val="24"/>
          <w:szCs w:val="24"/>
        </w:rPr>
        <w:t xml:space="preserve"> person), it is difficult to conceive o</w:t>
      </w:r>
      <w:r w:rsidR="008A3E0D" w:rsidRPr="00FA00EF">
        <w:rPr>
          <w:rFonts w:cs="Calibri"/>
          <w:color w:val="000000"/>
          <w:sz w:val="24"/>
          <w:szCs w:val="24"/>
        </w:rPr>
        <w:t xml:space="preserve">f a circumstance where </w:t>
      </w:r>
      <w:r w:rsidR="005A4689" w:rsidRPr="00FA00EF">
        <w:rPr>
          <w:rFonts w:cs="Calibri"/>
          <w:color w:val="000000"/>
          <w:sz w:val="24"/>
          <w:szCs w:val="24"/>
        </w:rPr>
        <w:t>a person</w:t>
      </w:r>
      <w:r w:rsidR="008A3E0D" w:rsidRPr="00FA00EF">
        <w:rPr>
          <w:rFonts w:cs="Calibri"/>
          <w:color w:val="000000"/>
          <w:sz w:val="24"/>
          <w:szCs w:val="24"/>
        </w:rPr>
        <w:t xml:space="preserve"> did ‘</w:t>
      </w:r>
      <w:r w:rsidRPr="00FA00EF">
        <w:rPr>
          <w:rFonts w:cs="Calibri"/>
          <w:color w:val="000000"/>
          <w:sz w:val="24"/>
          <w:szCs w:val="24"/>
        </w:rPr>
        <w:t xml:space="preserve">not know’ </w:t>
      </w:r>
      <w:r w:rsidR="008A3E0D" w:rsidRPr="00FA00EF">
        <w:rPr>
          <w:rFonts w:cs="Calibri"/>
          <w:color w:val="000000"/>
          <w:sz w:val="24"/>
          <w:szCs w:val="24"/>
        </w:rPr>
        <w:t>the information was obtained from the pre-commitment system.</w:t>
      </w:r>
    </w:p>
    <w:p w:rsidR="00BB3A03" w:rsidRPr="00FA00EF" w:rsidRDefault="00BB3A03" w:rsidP="00A84CA4">
      <w:pPr>
        <w:spacing w:after="0" w:line="240" w:lineRule="auto"/>
        <w:rPr>
          <w:rFonts w:cs="Calibri"/>
          <w:color w:val="000000"/>
          <w:sz w:val="24"/>
          <w:szCs w:val="24"/>
        </w:rPr>
      </w:pPr>
    </w:p>
    <w:p w:rsidR="00D13407" w:rsidRPr="00FA00EF" w:rsidRDefault="00BB3A03" w:rsidP="00A84CA4">
      <w:pPr>
        <w:spacing w:after="0" w:line="240" w:lineRule="auto"/>
        <w:rPr>
          <w:rFonts w:cs="Calibri"/>
          <w:color w:val="000000"/>
          <w:sz w:val="24"/>
          <w:szCs w:val="24"/>
        </w:rPr>
      </w:pPr>
      <w:r w:rsidRPr="00FA00EF">
        <w:rPr>
          <w:rFonts w:cs="Calibri"/>
          <w:color w:val="000000"/>
          <w:sz w:val="24"/>
          <w:szCs w:val="24"/>
        </w:rPr>
        <w:t>Further, the nature of mandatory pre</w:t>
      </w:r>
      <w:r w:rsidR="005A4689" w:rsidRPr="00FA00EF">
        <w:rPr>
          <w:rFonts w:cs="Calibri"/>
          <w:color w:val="000000"/>
          <w:sz w:val="24"/>
          <w:szCs w:val="24"/>
        </w:rPr>
        <w:t>-commitment requires trust that players’</w:t>
      </w:r>
      <w:r w:rsidRPr="00FA00EF">
        <w:rPr>
          <w:rFonts w:cs="Calibri"/>
          <w:color w:val="000000"/>
          <w:sz w:val="24"/>
          <w:szCs w:val="24"/>
        </w:rPr>
        <w:t xml:space="preserve"> information will be held securely. I consider that it is appropriate to apply strict liability to</w:t>
      </w:r>
      <w:r w:rsidR="008A3E0D" w:rsidRPr="00FA00EF">
        <w:rPr>
          <w:rFonts w:cs="Calibri"/>
          <w:color w:val="000000"/>
          <w:sz w:val="24"/>
          <w:szCs w:val="24"/>
        </w:rPr>
        <w:t xml:space="preserve"> the disclosure</w:t>
      </w:r>
      <w:r w:rsidRPr="00FA00EF">
        <w:rPr>
          <w:rFonts w:cs="Calibri"/>
          <w:color w:val="000000"/>
          <w:sz w:val="24"/>
          <w:szCs w:val="24"/>
        </w:rPr>
        <w:t xml:space="preserve"> or use of information</w:t>
      </w:r>
      <w:r w:rsidR="00E9103C" w:rsidRPr="00FA00EF">
        <w:rPr>
          <w:rFonts w:cs="Calibri"/>
          <w:color w:val="000000"/>
          <w:sz w:val="24"/>
          <w:szCs w:val="24"/>
        </w:rPr>
        <w:t xml:space="preserve"> as part of the integrity of the system, and it would undermine deterrence to have to prove </w:t>
      </w:r>
      <w:r w:rsidR="006145CA" w:rsidRPr="00FA00EF">
        <w:rPr>
          <w:rFonts w:cs="Calibri"/>
          <w:color w:val="000000"/>
          <w:sz w:val="24"/>
          <w:szCs w:val="24"/>
        </w:rPr>
        <w:t>fault</w:t>
      </w:r>
      <w:r w:rsidRPr="00FA00EF">
        <w:rPr>
          <w:rFonts w:cs="Calibri"/>
          <w:color w:val="000000"/>
          <w:sz w:val="24"/>
          <w:szCs w:val="24"/>
        </w:rPr>
        <w:t>.</w:t>
      </w:r>
      <w:r w:rsidR="008A3E0D" w:rsidRPr="00FA00EF">
        <w:rPr>
          <w:rFonts w:cs="Calibri"/>
          <w:color w:val="000000"/>
          <w:sz w:val="24"/>
          <w:szCs w:val="24"/>
        </w:rPr>
        <w:t xml:space="preserve"> </w:t>
      </w:r>
      <w:r w:rsidR="00E9103C" w:rsidRPr="00FA00EF">
        <w:rPr>
          <w:rFonts w:cs="Calibri"/>
          <w:color w:val="000000"/>
          <w:sz w:val="24"/>
          <w:szCs w:val="24"/>
        </w:rPr>
        <w:t>The</w:t>
      </w:r>
      <w:r w:rsidR="008A3E0D" w:rsidRPr="00FA00EF">
        <w:rPr>
          <w:rFonts w:cs="Calibri"/>
          <w:color w:val="000000"/>
          <w:sz w:val="24"/>
          <w:szCs w:val="24"/>
        </w:rPr>
        <w:t xml:space="preserve"> use or disclosure </w:t>
      </w:r>
      <w:r w:rsidR="00E9103C" w:rsidRPr="00FA00EF">
        <w:rPr>
          <w:rFonts w:cs="Calibri"/>
          <w:color w:val="000000"/>
          <w:sz w:val="24"/>
          <w:szCs w:val="24"/>
        </w:rPr>
        <w:t xml:space="preserve">of pre-commitment information </w:t>
      </w:r>
      <w:r w:rsidR="008A3E0D" w:rsidRPr="00FA00EF">
        <w:rPr>
          <w:rFonts w:cs="Calibri"/>
          <w:color w:val="000000"/>
          <w:sz w:val="24"/>
          <w:szCs w:val="24"/>
        </w:rPr>
        <w:t>should be limited to those who have a legitimate need to access it – whether that is during a police or ACT Gambling and Racing Commission investigation or if authorised by a Court or tribunal</w:t>
      </w:r>
      <w:r w:rsidR="005A4689" w:rsidRPr="00FA00EF">
        <w:rPr>
          <w:rFonts w:cs="Calibri"/>
          <w:color w:val="000000"/>
          <w:sz w:val="24"/>
          <w:szCs w:val="24"/>
        </w:rPr>
        <w:t>, or in other circumstances set out in the Bill</w:t>
      </w:r>
      <w:r w:rsidR="008A3E0D" w:rsidRPr="00FA00EF">
        <w:rPr>
          <w:rFonts w:cs="Calibri"/>
          <w:color w:val="000000"/>
          <w:sz w:val="24"/>
          <w:szCs w:val="24"/>
        </w:rPr>
        <w:t>.</w:t>
      </w:r>
      <w:r w:rsidR="00CF1915" w:rsidRPr="00FA00EF">
        <w:rPr>
          <w:rFonts w:cs="Calibri"/>
          <w:color w:val="000000"/>
          <w:sz w:val="24"/>
          <w:szCs w:val="24"/>
        </w:rPr>
        <w:t xml:space="preserve"> I also note that de-identified information can be used or disclosed for research purposes. This element may result in wider use or disclosure of de-identified information, however, as long as the person doing so is acting in connection with research purposes, that use or disclosure would not be </w:t>
      </w:r>
      <w:r w:rsidR="00D6753A" w:rsidRPr="00FA00EF">
        <w:rPr>
          <w:rFonts w:cs="Calibri"/>
          <w:color w:val="000000"/>
          <w:sz w:val="24"/>
          <w:szCs w:val="24"/>
        </w:rPr>
        <w:t>captured under</w:t>
      </w:r>
      <w:r w:rsidR="00CF1915" w:rsidRPr="00FA00EF">
        <w:rPr>
          <w:rFonts w:cs="Calibri"/>
          <w:color w:val="000000"/>
          <w:sz w:val="24"/>
          <w:szCs w:val="24"/>
        </w:rPr>
        <w:t xml:space="preserve"> the offence</w:t>
      </w:r>
      <w:r w:rsidR="00B43A5A">
        <w:rPr>
          <w:rFonts w:cs="Calibri"/>
          <w:color w:val="000000"/>
          <w:sz w:val="24"/>
          <w:szCs w:val="24"/>
        </w:rPr>
        <w:t>.</w:t>
      </w:r>
    </w:p>
    <w:p w:rsidR="00CF1915" w:rsidRPr="00FA00EF" w:rsidRDefault="00CF1915" w:rsidP="00A84CA4">
      <w:pPr>
        <w:spacing w:after="0" w:line="240" w:lineRule="auto"/>
        <w:rPr>
          <w:rFonts w:cs="Calibri"/>
          <w:color w:val="000000"/>
          <w:sz w:val="24"/>
          <w:szCs w:val="24"/>
        </w:rPr>
      </w:pPr>
    </w:p>
    <w:p w:rsidR="008A3E0D" w:rsidRPr="00FA00EF" w:rsidRDefault="008A3E0D" w:rsidP="00A84CA4">
      <w:pPr>
        <w:spacing w:after="0" w:line="240" w:lineRule="auto"/>
        <w:rPr>
          <w:rFonts w:cs="Calibri"/>
          <w:color w:val="000000"/>
          <w:sz w:val="24"/>
          <w:szCs w:val="24"/>
        </w:rPr>
      </w:pPr>
      <w:r w:rsidRPr="00FA00EF">
        <w:rPr>
          <w:rFonts w:cs="Calibri"/>
          <w:color w:val="000000"/>
          <w:sz w:val="24"/>
          <w:szCs w:val="24"/>
        </w:rPr>
        <w:t>The offences are strict liability, not absolute</w:t>
      </w:r>
      <w:r w:rsidR="00E9103C" w:rsidRPr="00FA00EF">
        <w:rPr>
          <w:rFonts w:cs="Calibri"/>
          <w:color w:val="000000"/>
          <w:sz w:val="24"/>
          <w:szCs w:val="24"/>
        </w:rPr>
        <w:t xml:space="preserve"> liability</w:t>
      </w:r>
      <w:r w:rsidRPr="00FA00EF">
        <w:rPr>
          <w:rFonts w:cs="Calibri"/>
          <w:color w:val="000000"/>
          <w:sz w:val="24"/>
          <w:szCs w:val="24"/>
        </w:rPr>
        <w:t xml:space="preserve">, providing for the </w:t>
      </w:r>
      <w:r w:rsidR="006145CA" w:rsidRPr="00FA00EF">
        <w:rPr>
          <w:rFonts w:cs="Calibri"/>
          <w:color w:val="000000"/>
          <w:sz w:val="24"/>
          <w:szCs w:val="24"/>
        </w:rPr>
        <w:t xml:space="preserve">availability of </w:t>
      </w:r>
      <w:r w:rsidRPr="00FA00EF">
        <w:rPr>
          <w:rFonts w:cs="Calibri"/>
          <w:color w:val="000000"/>
          <w:sz w:val="24"/>
          <w:szCs w:val="24"/>
        </w:rPr>
        <w:t>Criminal Code defences of mistake of fact or intervening conduct or event</w:t>
      </w:r>
      <w:r w:rsidR="00E9103C" w:rsidRPr="00FA00EF">
        <w:rPr>
          <w:rFonts w:cs="Calibri"/>
          <w:color w:val="000000"/>
          <w:sz w:val="24"/>
          <w:szCs w:val="24"/>
        </w:rPr>
        <w:t xml:space="preserve">, if appropriate. </w:t>
      </w:r>
      <w:r w:rsidRPr="00FA00EF">
        <w:rPr>
          <w:rFonts w:cs="Calibri"/>
          <w:color w:val="000000"/>
          <w:sz w:val="24"/>
          <w:szCs w:val="24"/>
        </w:rPr>
        <w:t xml:space="preserve">Noting the Committee’s request for further justification of strict liability and the operation of various defences, </w:t>
      </w:r>
      <w:r w:rsidRPr="00FA00EF">
        <w:rPr>
          <w:sz w:val="24"/>
          <w:szCs w:val="24"/>
        </w:rPr>
        <w:t xml:space="preserve">during debate I intend to table a Revised Explanatory Statement </w:t>
      </w:r>
      <w:r w:rsidR="006145CA" w:rsidRPr="00FA00EF">
        <w:rPr>
          <w:sz w:val="24"/>
          <w:szCs w:val="24"/>
        </w:rPr>
        <w:t>that will address</w:t>
      </w:r>
      <w:r w:rsidRPr="00FA00EF">
        <w:rPr>
          <w:sz w:val="24"/>
          <w:szCs w:val="24"/>
        </w:rPr>
        <w:t xml:space="preserve"> these matters.</w:t>
      </w:r>
    </w:p>
    <w:p w:rsidR="00A26B23" w:rsidRPr="00FA00EF" w:rsidRDefault="00A26B23" w:rsidP="00A84CA4">
      <w:pPr>
        <w:spacing w:after="0" w:line="240" w:lineRule="auto"/>
        <w:rPr>
          <w:rFonts w:cs="Calibri"/>
          <w:color w:val="000000"/>
          <w:sz w:val="24"/>
          <w:szCs w:val="24"/>
        </w:rPr>
      </w:pPr>
    </w:p>
    <w:p w:rsidR="00A26B23" w:rsidRPr="00FA00EF" w:rsidRDefault="00B43A5A" w:rsidP="00A84CA4">
      <w:pPr>
        <w:spacing w:after="0" w:line="240" w:lineRule="auto"/>
        <w:rPr>
          <w:rFonts w:cs="Calibri"/>
          <w:i/>
          <w:color w:val="000000"/>
          <w:sz w:val="24"/>
          <w:szCs w:val="24"/>
          <w:u w:val="single"/>
        </w:rPr>
      </w:pPr>
      <w:r>
        <w:rPr>
          <w:rFonts w:cs="Calibri"/>
          <w:i/>
          <w:color w:val="000000"/>
          <w:sz w:val="24"/>
          <w:szCs w:val="24"/>
          <w:u w:val="single"/>
        </w:rPr>
        <w:t>Strict liability o</w:t>
      </w:r>
      <w:r w:rsidR="00E9103C" w:rsidRPr="00FA00EF">
        <w:rPr>
          <w:rFonts w:cs="Calibri"/>
          <w:i/>
          <w:color w:val="000000"/>
          <w:sz w:val="24"/>
          <w:szCs w:val="24"/>
          <w:u w:val="single"/>
        </w:rPr>
        <w:t>ffences with maximum penalties of 100 penalty units</w:t>
      </w:r>
    </w:p>
    <w:p w:rsidR="00307DB7" w:rsidRPr="00FA00EF" w:rsidRDefault="00307DB7" w:rsidP="00307DB7">
      <w:pPr>
        <w:spacing w:after="0" w:line="240" w:lineRule="auto"/>
        <w:rPr>
          <w:rFonts w:cs="Calibri"/>
          <w:color w:val="000000"/>
          <w:sz w:val="24"/>
          <w:szCs w:val="24"/>
        </w:rPr>
      </w:pPr>
      <w:r w:rsidRPr="00FA00EF">
        <w:rPr>
          <w:rFonts w:cs="Calibri"/>
          <w:color w:val="000000"/>
          <w:sz w:val="24"/>
          <w:szCs w:val="24"/>
        </w:rPr>
        <w:t>The Committee has requested further explanation of certain offences in the Bill that are strict liability with a maximum penalty of 100 penalty units.</w:t>
      </w:r>
    </w:p>
    <w:p w:rsidR="00307DB7" w:rsidRPr="00FA00EF" w:rsidRDefault="00307DB7" w:rsidP="00307DB7">
      <w:pPr>
        <w:spacing w:after="0" w:line="240" w:lineRule="auto"/>
        <w:rPr>
          <w:rFonts w:cs="Calibri"/>
          <w:color w:val="000000"/>
          <w:sz w:val="24"/>
          <w:szCs w:val="24"/>
        </w:rPr>
      </w:pPr>
    </w:p>
    <w:p w:rsidR="00E9103C" w:rsidRPr="00FA00EF" w:rsidRDefault="00307DB7" w:rsidP="00E9103C">
      <w:pPr>
        <w:spacing w:after="0" w:line="240" w:lineRule="auto"/>
        <w:rPr>
          <w:rFonts w:cs="Calibri"/>
          <w:color w:val="000000"/>
          <w:sz w:val="24"/>
          <w:szCs w:val="24"/>
        </w:rPr>
      </w:pPr>
      <w:r w:rsidRPr="00FA00EF">
        <w:rPr>
          <w:sz w:val="24"/>
          <w:szCs w:val="24"/>
        </w:rPr>
        <w:t>T</w:t>
      </w:r>
      <w:r w:rsidR="00E9103C" w:rsidRPr="00FA00EF">
        <w:rPr>
          <w:sz w:val="24"/>
          <w:szCs w:val="24"/>
        </w:rPr>
        <w:t>he Bill must be un</w:t>
      </w:r>
      <w:r w:rsidR="00FA00EF" w:rsidRPr="00FA00EF">
        <w:rPr>
          <w:sz w:val="24"/>
          <w:szCs w:val="24"/>
        </w:rPr>
        <w:t xml:space="preserve">derstood and interpreted in </w:t>
      </w:r>
      <w:r w:rsidR="00E9103C" w:rsidRPr="00FA00EF">
        <w:rPr>
          <w:sz w:val="24"/>
          <w:szCs w:val="24"/>
        </w:rPr>
        <w:t>context. That is, the Bill regulates access to</w:t>
      </w:r>
      <w:r w:rsidRPr="00FA00EF">
        <w:rPr>
          <w:sz w:val="24"/>
          <w:szCs w:val="24"/>
        </w:rPr>
        <w:t>,</w:t>
      </w:r>
      <w:r w:rsidR="00E9103C" w:rsidRPr="00FA00EF">
        <w:rPr>
          <w:sz w:val="24"/>
          <w:szCs w:val="24"/>
        </w:rPr>
        <w:t xml:space="preserve"> and the operation of</w:t>
      </w:r>
      <w:r w:rsidRPr="00FA00EF">
        <w:rPr>
          <w:sz w:val="24"/>
          <w:szCs w:val="24"/>
        </w:rPr>
        <w:t>,</w:t>
      </w:r>
      <w:r w:rsidR="00E9103C" w:rsidRPr="00FA00EF">
        <w:rPr>
          <w:sz w:val="24"/>
          <w:szCs w:val="24"/>
        </w:rPr>
        <w:t xml:space="preserve"> electronic gaming products at the casino. </w:t>
      </w:r>
      <w:r w:rsidR="00FA00EF" w:rsidRPr="00FA00EF">
        <w:rPr>
          <w:sz w:val="24"/>
          <w:szCs w:val="24"/>
        </w:rPr>
        <w:t>These offences do not have</w:t>
      </w:r>
      <w:r w:rsidR="00E9103C" w:rsidRPr="00FA00EF">
        <w:rPr>
          <w:sz w:val="24"/>
          <w:szCs w:val="24"/>
        </w:rPr>
        <w:t xml:space="preserve"> wide application</w:t>
      </w:r>
      <w:r w:rsidR="00FA00EF" w:rsidRPr="00FA00EF">
        <w:rPr>
          <w:sz w:val="24"/>
          <w:szCs w:val="24"/>
        </w:rPr>
        <w:t xml:space="preserve"> across the community, and the Bill</w:t>
      </w:r>
      <w:r w:rsidR="00E9103C" w:rsidRPr="00FA00EF">
        <w:rPr>
          <w:sz w:val="24"/>
          <w:szCs w:val="24"/>
        </w:rPr>
        <w:t xml:space="preserve"> operates in conjunction with the existing frameworks established under the </w:t>
      </w:r>
      <w:r w:rsidR="00E9103C" w:rsidRPr="00FA00EF">
        <w:rPr>
          <w:i/>
          <w:sz w:val="24"/>
          <w:szCs w:val="24"/>
        </w:rPr>
        <w:t>Casino Control Act 2006</w:t>
      </w:r>
      <w:r w:rsidR="00E9103C" w:rsidRPr="00FA00EF">
        <w:rPr>
          <w:sz w:val="24"/>
          <w:szCs w:val="24"/>
        </w:rPr>
        <w:t xml:space="preserve"> and the </w:t>
      </w:r>
      <w:r w:rsidRPr="00FA00EF">
        <w:rPr>
          <w:sz w:val="24"/>
          <w:szCs w:val="24"/>
        </w:rPr>
        <w:t xml:space="preserve">broader </w:t>
      </w:r>
      <w:r w:rsidR="00E9103C" w:rsidRPr="00FA00EF">
        <w:rPr>
          <w:sz w:val="24"/>
          <w:szCs w:val="24"/>
        </w:rPr>
        <w:t xml:space="preserve">gaming and racing suite of legislation, including the </w:t>
      </w:r>
      <w:r w:rsidR="00E9103C" w:rsidRPr="00FA00EF">
        <w:rPr>
          <w:i/>
          <w:sz w:val="24"/>
          <w:szCs w:val="24"/>
        </w:rPr>
        <w:t>Gambling and Racing Control Act 1999</w:t>
      </w:r>
      <w:r w:rsidR="00E9103C" w:rsidRPr="00FA00EF">
        <w:rPr>
          <w:sz w:val="24"/>
          <w:szCs w:val="24"/>
        </w:rPr>
        <w:t xml:space="preserve">. </w:t>
      </w:r>
    </w:p>
    <w:p w:rsidR="00D41801" w:rsidRPr="00FA00EF" w:rsidRDefault="00D41801" w:rsidP="00A84CA4">
      <w:pPr>
        <w:spacing w:after="0" w:line="240" w:lineRule="auto"/>
        <w:rPr>
          <w:sz w:val="24"/>
          <w:szCs w:val="24"/>
        </w:rPr>
      </w:pPr>
    </w:p>
    <w:p w:rsidR="00CC3A2C" w:rsidRPr="00FA00EF" w:rsidRDefault="00CC3A2C" w:rsidP="00CC3A2C">
      <w:pPr>
        <w:spacing w:after="0" w:line="240" w:lineRule="auto"/>
        <w:rPr>
          <w:rFonts w:cs="Calibri"/>
          <w:color w:val="000000"/>
          <w:sz w:val="24"/>
          <w:szCs w:val="24"/>
        </w:rPr>
      </w:pPr>
      <w:r w:rsidRPr="00FA00EF">
        <w:rPr>
          <w:rFonts w:cs="Calibri"/>
          <w:color w:val="000000"/>
          <w:sz w:val="24"/>
          <w:szCs w:val="24"/>
        </w:rPr>
        <w:t>I note that all the strict liability offences in the Bill with a maximum penalty of 100 penalty units apply only to the casino licensee. Under section 21(3) of the Casino Control Act, the casino</w:t>
      </w:r>
      <w:r w:rsidR="00FA00EF" w:rsidRPr="00FA00EF">
        <w:rPr>
          <w:rFonts w:cs="Calibri"/>
          <w:color w:val="000000"/>
          <w:sz w:val="24"/>
          <w:szCs w:val="24"/>
        </w:rPr>
        <w:t xml:space="preserve"> licensee must be a corporation, not an individual.</w:t>
      </w:r>
    </w:p>
    <w:p w:rsidR="00CC3A2C" w:rsidRPr="00FA00EF" w:rsidRDefault="00CC3A2C" w:rsidP="00A84CA4">
      <w:pPr>
        <w:spacing w:after="0" w:line="240" w:lineRule="auto"/>
        <w:rPr>
          <w:sz w:val="24"/>
          <w:szCs w:val="24"/>
        </w:rPr>
      </w:pPr>
    </w:p>
    <w:p w:rsidR="00307DB7" w:rsidRPr="00FA00EF" w:rsidRDefault="00273887" w:rsidP="00307DB7">
      <w:pPr>
        <w:spacing w:after="0" w:line="240" w:lineRule="auto"/>
        <w:rPr>
          <w:sz w:val="24"/>
          <w:szCs w:val="24"/>
        </w:rPr>
      </w:pPr>
      <w:r w:rsidRPr="00FA00EF">
        <w:rPr>
          <w:sz w:val="24"/>
          <w:szCs w:val="24"/>
        </w:rPr>
        <w:t>T</w:t>
      </w:r>
      <w:r w:rsidR="00D41801" w:rsidRPr="00FA00EF">
        <w:rPr>
          <w:sz w:val="24"/>
          <w:szCs w:val="24"/>
        </w:rPr>
        <w:t>he very n</w:t>
      </w:r>
      <w:r w:rsidR="00CC3A2C" w:rsidRPr="00FA00EF">
        <w:rPr>
          <w:sz w:val="24"/>
          <w:szCs w:val="24"/>
        </w:rPr>
        <w:t xml:space="preserve">ature of having to apply for, </w:t>
      </w:r>
      <w:r w:rsidRPr="00FA00EF">
        <w:rPr>
          <w:sz w:val="24"/>
          <w:szCs w:val="24"/>
        </w:rPr>
        <w:t>be granted,</w:t>
      </w:r>
      <w:r w:rsidR="00CC3A2C" w:rsidRPr="00FA00EF">
        <w:rPr>
          <w:sz w:val="24"/>
          <w:szCs w:val="24"/>
        </w:rPr>
        <w:t xml:space="preserve"> and retain</w:t>
      </w:r>
      <w:r w:rsidRPr="00FA00EF">
        <w:rPr>
          <w:sz w:val="24"/>
          <w:szCs w:val="24"/>
        </w:rPr>
        <w:t xml:space="preserve"> a casino licence is </w:t>
      </w:r>
      <w:r w:rsidR="00D41801" w:rsidRPr="00FA00EF">
        <w:rPr>
          <w:sz w:val="24"/>
          <w:szCs w:val="24"/>
        </w:rPr>
        <w:t>a substantial undertaki</w:t>
      </w:r>
      <w:r w:rsidR="00CC3A2C" w:rsidRPr="00FA00EF">
        <w:rPr>
          <w:sz w:val="24"/>
          <w:szCs w:val="24"/>
        </w:rPr>
        <w:t>ng</w:t>
      </w:r>
      <w:r w:rsidRPr="00FA00EF">
        <w:rPr>
          <w:sz w:val="24"/>
          <w:szCs w:val="24"/>
        </w:rPr>
        <w:t>. Therefore</w:t>
      </w:r>
      <w:r w:rsidR="00D41801" w:rsidRPr="00FA00EF">
        <w:rPr>
          <w:sz w:val="24"/>
          <w:szCs w:val="24"/>
        </w:rPr>
        <w:t xml:space="preserve"> the licensee is on notice of their special relationship of responsibility to both gambling patrons and the broader community</w:t>
      </w:r>
      <w:r w:rsidR="00FA00EF" w:rsidRPr="00FA00EF">
        <w:rPr>
          <w:sz w:val="24"/>
          <w:szCs w:val="24"/>
        </w:rPr>
        <w:t>, and t</w:t>
      </w:r>
      <w:r w:rsidR="00D41801" w:rsidRPr="00FA00EF">
        <w:rPr>
          <w:sz w:val="24"/>
          <w:szCs w:val="24"/>
        </w:rPr>
        <w:t>he licensee is well aware of their obligations to abide by the laws gover</w:t>
      </w:r>
      <w:r w:rsidR="001A0503" w:rsidRPr="00FA00EF">
        <w:rPr>
          <w:sz w:val="24"/>
          <w:szCs w:val="24"/>
        </w:rPr>
        <w:t xml:space="preserve">ning operations at the casino. The Bill provides a framework for access to new electronic gaming products at the casino </w:t>
      </w:r>
      <w:r w:rsidR="00307DB7" w:rsidRPr="00FA00EF">
        <w:rPr>
          <w:sz w:val="24"/>
          <w:szCs w:val="24"/>
        </w:rPr>
        <w:t xml:space="preserve">and </w:t>
      </w:r>
      <w:r w:rsidR="00307DB7" w:rsidRPr="00FA00EF">
        <w:rPr>
          <w:rFonts w:cs="Arial"/>
          <w:sz w:val="24"/>
          <w:szCs w:val="24"/>
        </w:rPr>
        <w:t>I consider that a robust regulatory framework is important in deterring conduct that has the potential to bring h</w:t>
      </w:r>
      <w:r w:rsidR="00C74D13">
        <w:rPr>
          <w:rFonts w:cs="Arial"/>
          <w:sz w:val="24"/>
          <w:szCs w:val="24"/>
        </w:rPr>
        <w:t>arm to a range of people</w:t>
      </w:r>
      <w:r w:rsidR="00CC3A2C" w:rsidRPr="00FA00EF">
        <w:rPr>
          <w:rFonts w:cs="Arial"/>
          <w:sz w:val="24"/>
          <w:szCs w:val="24"/>
        </w:rPr>
        <w:t>.</w:t>
      </w:r>
    </w:p>
    <w:p w:rsidR="00307DB7" w:rsidRPr="00FA00EF" w:rsidRDefault="00307DB7" w:rsidP="00307DB7">
      <w:pPr>
        <w:spacing w:after="0" w:line="240" w:lineRule="auto"/>
        <w:rPr>
          <w:rFonts w:cs="Arial"/>
          <w:sz w:val="24"/>
          <w:szCs w:val="24"/>
        </w:rPr>
      </w:pPr>
    </w:p>
    <w:p w:rsidR="00307DB7" w:rsidRPr="00FA00EF" w:rsidRDefault="00307DB7" w:rsidP="00307DB7">
      <w:pPr>
        <w:spacing w:after="0" w:line="240" w:lineRule="auto"/>
        <w:rPr>
          <w:sz w:val="24"/>
          <w:szCs w:val="24"/>
        </w:rPr>
      </w:pPr>
      <w:r w:rsidRPr="00FA00EF">
        <w:rPr>
          <w:rFonts w:cs="Arial"/>
          <w:sz w:val="24"/>
          <w:szCs w:val="24"/>
        </w:rPr>
        <w:t>The framework in the Bill has been developed to harmonise with measures provided in the Casino Control Act. For example, as part of the existing disciplinary framework, the casino licensee can be ordered under section 34(1</w:t>
      </w:r>
      <w:proofErr w:type="gramStart"/>
      <w:r w:rsidRPr="00FA00EF">
        <w:rPr>
          <w:rFonts w:cs="Arial"/>
          <w:sz w:val="24"/>
          <w:szCs w:val="24"/>
        </w:rPr>
        <w:t>)(</w:t>
      </w:r>
      <w:proofErr w:type="gramEnd"/>
      <w:r w:rsidRPr="00FA00EF">
        <w:rPr>
          <w:rFonts w:cs="Arial"/>
          <w:sz w:val="24"/>
          <w:szCs w:val="24"/>
        </w:rPr>
        <w:t xml:space="preserve">c) of the </w:t>
      </w:r>
      <w:r w:rsidR="006145CA" w:rsidRPr="00FA00EF">
        <w:rPr>
          <w:rFonts w:cs="Arial"/>
          <w:sz w:val="24"/>
          <w:szCs w:val="24"/>
        </w:rPr>
        <w:t xml:space="preserve">Casino Control Act </w:t>
      </w:r>
      <w:r w:rsidRPr="00FA00EF">
        <w:rPr>
          <w:rFonts w:cs="Arial"/>
          <w:sz w:val="24"/>
          <w:szCs w:val="24"/>
        </w:rPr>
        <w:t>to pay a financial penalty to the Territory of up to $1,000,000.</w:t>
      </w:r>
    </w:p>
    <w:p w:rsidR="00307DB7" w:rsidRPr="00FA00EF" w:rsidRDefault="00307DB7" w:rsidP="00307DB7">
      <w:pPr>
        <w:spacing w:after="0" w:line="240" w:lineRule="auto"/>
        <w:rPr>
          <w:rFonts w:cs="Arial"/>
          <w:sz w:val="24"/>
          <w:szCs w:val="24"/>
        </w:rPr>
      </w:pPr>
    </w:p>
    <w:p w:rsidR="00307DB7" w:rsidRPr="00FA00EF" w:rsidRDefault="00307DB7" w:rsidP="00307DB7">
      <w:pPr>
        <w:spacing w:after="0" w:line="240" w:lineRule="auto"/>
        <w:rPr>
          <w:rFonts w:cs="Arial"/>
          <w:sz w:val="24"/>
          <w:szCs w:val="24"/>
        </w:rPr>
      </w:pPr>
      <w:r w:rsidRPr="00FA00EF">
        <w:rPr>
          <w:rFonts w:cs="Arial"/>
          <w:sz w:val="24"/>
          <w:szCs w:val="24"/>
        </w:rPr>
        <w:t>For the casino licensee, a 100 penalty unit offence represents a maximum penalty of $75,000. G</w:t>
      </w:r>
      <w:r w:rsidR="006145CA" w:rsidRPr="00FA00EF">
        <w:rPr>
          <w:rFonts w:cs="Arial"/>
          <w:sz w:val="24"/>
          <w:szCs w:val="24"/>
        </w:rPr>
        <w:t>iven that the licensee</w:t>
      </w:r>
      <w:r w:rsidRPr="00FA00EF">
        <w:rPr>
          <w:rFonts w:cs="Arial"/>
          <w:sz w:val="24"/>
          <w:szCs w:val="24"/>
        </w:rPr>
        <w:t xml:space="preserve"> </w:t>
      </w:r>
      <w:r w:rsidR="006145CA" w:rsidRPr="00FA00EF">
        <w:rPr>
          <w:rFonts w:cs="Arial"/>
          <w:sz w:val="24"/>
          <w:szCs w:val="24"/>
        </w:rPr>
        <w:t>might</w:t>
      </w:r>
      <w:r w:rsidRPr="00FA00EF">
        <w:rPr>
          <w:rFonts w:cs="Arial"/>
          <w:sz w:val="24"/>
          <w:szCs w:val="24"/>
        </w:rPr>
        <w:t xml:space="preserve"> obtain significant revenue from the inappropriate use of electronic gaming products</w:t>
      </w:r>
      <w:r w:rsidR="006145CA" w:rsidRPr="00FA00EF">
        <w:rPr>
          <w:rFonts w:cs="Arial"/>
          <w:sz w:val="24"/>
          <w:szCs w:val="24"/>
        </w:rPr>
        <w:t>,</w:t>
      </w:r>
      <w:r w:rsidRPr="00FA00EF">
        <w:rPr>
          <w:rFonts w:cs="Arial"/>
          <w:sz w:val="24"/>
          <w:szCs w:val="24"/>
        </w:rPr>
        <w:t xml:space="preserve"> </w:t>
      </w:r>
      <w:r w:rsidR="00FA00EF" w:rsidRPr="00FA00EF">
        <w:rPr>
          <w:rFonts w:cs="Arial"/>
          <w:sz w:val="24"/>
          <w:szCs w:val="24"/>
        </w:rPr>
        <w:t xml:space="preserve">limiting the </w:t>
      </w:r>
      <w:r w:rsidRPr="00FA00EF">
        <w:rPr>
          <w:rFonts w:cs="Arial"/>
          <w:sz w:val="24"/>
          <w:szCs w:val="24"/>
        </w:rPr>
        <w:t xml:space="preserve">maximum penalty </w:t>
      </w:r>
      <w:r w:rsidR="00FA00EF" w:rsidRPr="00FA00EF">
        <w:rPr>
          <w:rFonts w:cs="Arial"/>
          <w:sz w:val="24"/>
          <w:szCs w:val="24"/>
        </w:rPr>
        <w:t>to</w:t>
      </w:r>
      <w:r w:rsidRPr="00FA00EF">
        <w:rPr>
          <w:rFonts w:cs="Arial"/>
          <w:sz w:val="24"/>
          <w:szCs w:val="24"/>
        </w:rPr>
        <w:t xml:space="preserve"> 50 penalty units </w:t>
      </w:r>
      <w:r w:rsidR="006145CA" w:rsidRPr="00FA00EF">
        <w:rPr>
          <w:rFonts w:cs="Arial"/>
          <w:sz w:val="24"/>
          <w:szCs w:val="24"/>
        </w:rPr>
        <w:t xml:space="preserve">($37,500) </w:t>
      </w:r>
      <w:r w:rsidR="00FA00EF" w:rsidRPr="00FA00EF">
        <w:rPr>
          <w:rFonts w:cs="Arial"/>
          <w:sz w:val="24"/>
          <w:szCs w:val="24"/>
        </w:rPr>
        <w:t>would provide</w:t>
      </w:r>
      <w:r w:rsidRPr="00FA00EF">
        <w:rPr>
          <w:rFonts w:cs="Arial"/>
          <w:sz w:val="24"/>
          <w:szCs w:val="24"/>
        </w:rPr>
        <w:t xml:space="preserve"> inadequate deterrence.</w:t>
      </w:r>
    </w:p>
    <w:p w:rsidR="00307DB7" w:rsidRPr="00FA00EF" w:rsidRDefault="00307DB7" w:rsidP="00307DB7">
      <w:pPr>
        <w:spacing w:after="0" w:line="240" w:lineRule="auto"/>
        <w:rPr>
          <w:rFonts w:cs="Arial"/>
          <w:sz w:val="24"/>
          <w:szCs w:val="24"/>
        </w:rPr>
      </w:pPr>
    </w:p>
    <w:p w:rsidR="00307DB7" w:rsidRPr="00FA00EF" w:rsidRDefault="006145CA" w:rsidP="00307DB7">
      <w:pPr>
        <w:spacing w:after="0" w:line="240" w:lineRule="auto"/>
        <w:rPr>
          <w:rFonts w:cs="Arial"/>
          <w:sz w:val="24"/>
          <w:szCs w:val="24"/>
        </w:rPr>
      </w:pPr>
      <w:r w:rsidRPr="00FA00EF">
        <w:rPr>
          <w:rFonts w:cs="Arial"/>
          <w:sz w:val="24"/>
          <w:szCs w:val="24"/>
        </w:rPr>
        <w:t xml:space="preserve">Under the </w:t>
      </w:r>
      <w:r w:rsidRPr="00FA00EF">
        <w:rPr>
          <w:rFonts w:cs="Arial"/>
          <w:i/>
          <w:sz w:val="24"/>
          <w:szCs w:val="24"/>
        </w:rPr>
        <w:t>Gaming Machine Act 2004</w:t>
      </w:r>
      <w:r w:rsidRPr="00FA00EF">
        <w:rPr>
          <w:rFonts w:cs="Arial"/>
          <w:sz w:val="24"/>
          <w:szCs w:val="24"/>
        </w:rPr>
        <w:t>, g</w:t>
      </w:r>
      <w:r w:rsidR="00307DB7" w:rsidRPr="00FA00EF">
        <w:rPr>
          <w:rFonts w:cs="Arial"/>
          <w:sz w:val="24"/>
          <w:szCs w:val="24"/>
        </w:rPr>
        <w:t xml:space="preserve">aming machine licensees </w:t>
      </w:r>
      <w:r w:rsidRPr="00FA00EF">
        <w:rPr>
          <w:rFonts w:cs="Arial"/>
          <w:sz w:val="24"/>
          <w:szCs w:val="24"/>
        </w:rPr>
        <w:t xml:space="preserve">in clubs and hotels </w:t>
      </w:r>
      <w:r w:rsidR="00307DB7" w:rsidRPr="00FA00EF">
        <w:rPr>
          <w:rFonts w:cs="Arial"/>
          <w:sz w:val="24"/>
          <w:szCs w:val="24"/>
        </w:rPr>
        <w:t xml:space="preserve">are subject to the following </w:t>
      </w:r>
      <w:r w:rsidR="00FC0383" w:rsidRPr="00FA00EF">
        <w:rPr>
          <w:rFonts w:cs="Arial"/>
          <w:sz w:val="24"/>
          <w:szCs w:val="24"/>
        </w:rPr>
        <w:t>similar</w:t>
      </w:r>
      <w:r w:rsidR="00307DB7" w:rsidRPr="00FA00EF">
        <w:rPr>
          <w:rFonts w:cs="Arial"/>
          <w:sz w:val="24"/>
          <w:szCs w:val="24"/>
        </w:rPr>
        <w:t xml:space="preserve"> </w:t>
      </w:r>
      <w:r w:rsidR="00272BDA" w:rsidRPr="00FA00EF">
        <w:rPr>
          <w:rFonts w:cs="Arial"/>
          <w:sz w:val="24"/>
          <w:szCs w:val="24"/>
        </w:rPr>
        <w:t>strict liability</w:t>
      </w:r>
      <w:r w:rsidRPr="00FA00EF">
        <w:rPr>
          <w:rFonts w:cs="Arial"/>
          <w:sz w:val="24"/>
          <w:szCs w:val="24"/>
        </w:rPr>
        <w:t>,</w:t>
      </w:r>
      <w:r w:rsidR="00272BDA" w:rsidRPr="00FA00EF">
        <w:rPr>
          <w:rFonts w:cs="Arial"/>
          <w:sz w:val="24"/>
          <w:szCs w:val="24"/>
        </w:rPr>
        <w:t xml:space="preserve"> </w:t>
      </w:r>
      <w:r w:rsidR="00307DB7" w:rsidRPr="00FA00EF">
        <w:rPr>
          <w:rFonts w:cs="Arial"/>
          <w:sz w:val="24"/>
          <w:szCs w:val="24"/>
        </w:rPr>
        <w:t>100 p</w:t>
      </w:r>
      <w:r w:rsidR="00272BDA" w:rsidRPr="00FA00EF">
        <w:rPr>
          <w:rFonts w:cs="Arial"/>
          <w:sz w:val="24"/>
          <w:szCs w:val="24"/>
        </w:rPr>
        <w:t>enalty unit</w:t>
      </w:r>
      <w:r w:rsidR="00307DB7" w:rsidRPr="00FA00EF">
        <w:rPr>
          <w:rFonts w:cs="Arial"/>
          <w:sz w:val="24"/>
          <w:szCs w:val="24"/>
        </w:rPr>
        <w:t xml:space="preserve"> offences</w:t>
      </w:r>
      <w:r w:rsidR="00FC0383" w:rsidRPr="00FA00EF">
        <w:rPr>
          <w:rFonts w:cs="Arial"/>
          <w:sz w:val="24"/>
          <w:szCs w:val="24"/>
        </w:rPr>
        <w:t xml:space="preserve"> </w:t>
      </w:r>
      <w:r w:rsidRPr="00FA00EF">
        <w:rPr>
          <w:rFonts w:cs="Arial"/>
          <w:sz w:val="24"/>
          <w:szCs w:val="24"/>
        </w:rPr>
        <w:t>associated with</w:t>
      </w:r>
      <w:r w:rsidR="00FC0383" w:rsidRPr="00FA00EF">
        <w:rPr>
          <w:rFonts w:cs="Arial"/>
          <w:sz w:val="24"/>
          <w:szCs w:val="24"/>
        </w:rPr>
        <w:t xml:space="preserve"> the </w:t>
      </w:r>
      <w:r w:rsidR="00CC3A2C" w:rsidRPr="00FA00EF">
        <w:rPr>
          <w:rFonts w:cs="Arial"/>
          <w:sz w:val="24"/>
          <w:szCs w:val="24"/>
        </w:rPr>
        <w:t>maximum stake amount of gaming machines</w:t>
      </w:r>
      <w:r w:rsidR="00FA00EF" w:rsidRPr="00FA00EF">
        <w:rPr>
          <w:rFonts w:cs="Arial"/>
          <w:sz w:val="24"/>
          <w:szCs w:val="24"/>
        </w:rPr>
        <w:t>,</w:t>
      </w:r>
      <w:r w:rsidR="00CC3A2C" w:rsidRPr="00FA00EF">
        <w:rPr>
          <w:rFonts w:cs="Arial"/>
          <w:sz w:val="24"/>
          <w:szCs w:val="24"/>
        </w:rPr>
        <w:t xml:space="preserve"> and the </w:t>
      </w:r>
      <w:r w:rsidR="00FC0383" w:rsidRPr="00FA00EF">
        <w:rPr>
          <w:rFonts w:cs="Arial"/>
          <w:sz w:val="24"/>
          <w:szCs w:val="24"/>
        </w:rPr>
        <w:t>selling and acquisition of gaming machine authorisations and physical gaming machines</w:t>
      </w:r>
      <w:r w:rsidR="00307DB7" w:rsidRPr="00FA00EF">
        <w:rPr>
          <w:rFonts w:cs="Arial"/>
          <w:sz w:val="24"/>
          <w:szCs w:val="24"/>
        </w:rPr>
        <w:t>:</w:t>
      </w:r>
    </w:p>
    <w:p w:rsidR="00CC3A2C" w:rsidRPr="00FA00EF" w:rsidRDefault="00CC3A2C" w:rsidP="006145CA">
      <w:pPr>
        <w:pStyle w:val="ListParagraph"/>
        <w:numPr>
          <w:ilvl w:val="0"/>
          <w:numId w:val="34"/>
        </w:numPr>
        <w:rPr>
          <w:rFonts w:cs="Arial"/>
          <w:sz w:val="24"/>
          <w:szCs w:val="24"/>
        </w:rPr>
      </w:pPr>
      <w:r w:rsidRPr="00FA00EF">
        <w:rPr>
          <w:rFonts w:cs="Arial"/>
          <w:sz w:val="24"/>
          <w:szCs w:val="24"/>
        </w:rPr>
        <w:t xml:space="preserve">section 49 – Maximum stake amount (links with offence in section 39 on </w:t>
      </w:r>
      <w:r w:rsidR="00B43A5A">
        <w:rPr>
          <w:rFonts w:cs="Arial"/>
          <w:sz w:val="24"/>
          <w:szCs w:val="24"/>
        </w:rPr>
        <w:t>failure to comply with</w:t>
      </w:r>
      <w:r w:rsidRPr="00FA00EF">
        <w:rPr>
          <w:rFonts w:cs="Arial"/>
          <w:sz w:val="24"/>
          <w:szCs w:val="24"/>
        </w:rPr>
        <w:t xml:space="preserve"> licence conditions)</w:t>
      </w:r>
    </w:p>
    <w:p w:rsidR="00307DB7" w:rsidRPr="00FA00EF" w:rsidRDefault="00FC0383" w:rsidP="006145CA">
      <w:pPr>
        <w:pStyle w:val="ListParagraph"/>
        <w:numPr>
          <w:ilvl w:val="0"/>
          <w:numId w:val="34"/>
        </w:numPr>
        <w:rPr>
          <w:rFonts w:cs="Arial"/>
          <w:sz w:val="24"/>
          <w:szCs w:val="24"/>
        </w:rPr>
      </w:pPr>
      <w:r w:rsidRPr="00FA00EF">
        <w:rPr>
          <w:rFonts w:cs="Arial"/>
          <w:sz w:val="24"/>
          <w:szCs w:val="24"/>
        </w:rPr>
        <w:t>section 127C –</w:t>
      </w:r>
      <w:r w:rsidR="00CC3A2C" w:rsidRPr="00FA00EF">
        <w:rPr>
          <w:rFonts w:cs="Arial"/>
          <w:sz w:val="24"/>
          <w:szCs w:val="24"/>
        </w:rPr>
        <w:t xml:space="preserve"> S</w:t>
      </w:r>
      <w:r w:rsidR="000B5AE2" w:rsidRPr="00FA00EF">
        <w:rPr>
          <w:rFonts w:cs="Arial"/>
          <w:sz w:val="24"/>
          <w:szCs w:val="24"/>
        </w:rPr>
        <w:t>elling class B authorisati</w:t>
      </w:r>
      <w:r w:rsidRPr="00FA00EF">
        <w:rPr>
          <w:rFonts w:cs="Arial"/>
          <w:sz w:val="24"/>
          <w:szCs w:val="24"/>
        </w:rPr>
        <w:t>ons</w:t>
      </w:r>
    </w:p>
    <w:p w:rsidR="00CC3A2C" w:rsidRPr="00FA00EF" w:rsidRDefault="00CC3A2C" w:rsidP="00CC3A2C">
      <w:pPr>
        <w:pStyle w:val="ListParagraph"/>
        <w:numPr>
          <w:ilvl w:val="0"/>
          <w:numId w:val="34"/>
        </w:numPr>
        <w:rPr>
          <w:rFonts w:cs="Arial"/>
          <w:sz w:val="24"/>
          <w:szCs w:val="24"/>
        </w:rPr>
      </w:pPr>
      <w:r w:rsidRPr="00FA00EF">
        <w:rPr>
          <w:rFonts w:cs="Arial"/>
          <w:sz w:val="24"/>
          <w:szCs w:val="24"/>
        </w:rPr>
        <w:t>section 127D – S</w:t>
      </w:r>
      <w:r w:rsidR="00FC0383" w:rsidRPr="00FA00EF">
        <w:rPr>
          <w:rFonts w:cs="Arial"/>
          <w:sz w:val="24"/>
          <w:szCs w:val="24"/>
        </w:rPr>
        <w:t>elling class B gaming machines</w:t>
      </w:r>
    </w:p>
    <w:p w:rsidR="00FC0383" w:rsidRPr="00FA00EF" w:rsidRDefault="00FC0383" w:rsidP="006145CA">
      <w:pPr>
        <w:pStyle w:val="ListParagraph"/>
        <w:numPr>
          <w:ilvl w:val="0"/>
          <w:numId w:val="34"/>
        </w:numPr>
        <w:rPr>
          <w:rFonts w:cs="Arial"/>
          <w:sz w:val="24"/>
          <w:szCs w:val="24"/>
        </w:rPr>
      </w:pPr>
      <w:r w:rsidRPr="00FA00EF">
        <w:rPr>
          <w:rFonts w:cs="Arial"/>
          <w:sz w:val="24"/>
          <w:szCs w:val="24"/>
        </w:rPr>
        <w:t>section 127G –</w:t>
      </w:r>
      <w:r w:rsidR="00CC3A2C" w:rsidRPr="00FA00EF">
        <w:rPr>
          <w:rFonts w:cs="Arial"/>
          <w:sz w:val="24"/>
          <w:szCs w:val="24"/>
        </w:rPr>
        <w:t xml:space="preserve"> A</w:t>
      </w:r>
      <w:r w:rsidRPr="00FA00EF">
        <w:rPr>
          <w:rFonts w:cs="Arial"/>
          <w:sz w:val="24"/>
          <w:szCs w:val="24"/>
        </w:rPr>
        <w:t>cquiring authorisations and gaming machines</w:t>
      </w:r>
    </w:p>
    <w:p w:rsidR="00FC0383" w:rsidRPr="00FA00EF" w:rsidRDefault="00FC0383" w:rsidP="006145CA">
      <w:pPr>
        <w:pStyle w:val="ListParagraph"/>
        <w:numPr>
          <w:ilvl w:val="0"/>
          <w:numId w:val="34"/>
        </w:numPr>
        <w:rPr>
          <w:rFonts w:cs="Arial"/>
          <w:sz w:val="24"/>
          <w:szCs w:val="24"/>
        </w:rPr>
      </w:pPr>
      <w:r w:rsidRPr="00FA00EF">
        <w:rPr>
          <w:rFonts w:cs="Arial"/>
          <w:sz w:val="24"/>
          <w:szCs w:val="24"/>
        </w:rPr>
        <w:t>section 127H –</w:t>
      </w:r>
      <w:r w:rsidR="00CC3A2C" w:rsidRPr="00FA00EF">
        <w:rPr>
          <w:rFonts w:cs="Arial"/>
          <w:sz w:val="24"/>
          <w:szCs w:val="24"/>
        </w:rPr>
        <w:t xml:space="preserve"> S</w:t>
      </w:r>
      <w:r w:rsidRPr="00FA00EF">
        <w:rPr>
          <w:rFonts w:cs="Arial"/>
          <w:sz w:val="24"/>
          <w:szCs w:val="24"/>
        </w:rPr>
        <w:t>elling class C gaming machine</w:t>
      </w:r>
      <w:r w:rsidR="00B43A5A">
        <w:rPr>
          <w:rFonts w:cs="Arial"/>
          <w:sz w:val="24"/>
          <w:szCs w:val="24"/>
        </w:rPr>
        <w:t>s</w:t>
      </w:r>
    </w:p>
    <w:p w:rsidR="00FC0383" w:rsidRPr="00FA00EF" w:rsidRDefault="00FC0383" w:rsidP="006145CA">
      <w:pPr>
        <w:pStyle w:val="ListParagraph"/>
        <w:numPr>
          <w:ilvl w:val="0"/>
          <w:numId w:val="34"/>
        </w:numPr>
        <w:rPr>
          <w:rFonts w:cs="Arial"/>
          <w:sz w:val="24"/>
          <w:szCs w:val="24"/>
        </w:rPr>
      </w:pPr>
      <w:r w:rsidRPr="00FA00EF">
        <w:rPr>
          <w:rFonts w:cs="Arial"/>
          <w:sz w:val="24"/>
          <w:szCs w:val="24"/>
        </w:rPr>
        <w:t>section 127I –</w:t>
      </w:r>
      <w:r w:rsidR="00CC3A2C" w:rsidRPr="00FA00EF">
        <w:rPr>
          <w:rFonts w:cs="Arial"/>
          <w:sz w:val="24"/>
          <w:szCs w:val="24"/>
        </w:rPr>
        <w:t xml:space="preserve"> S</w:t>
      </w:r>
      <w:r w:rsidRPr="00FA00EF">
        <w:rPr>
          <w:rFonts w:cs="Arial"/>
          <w:sz w:val="24"/>
          <w:szCs w:val="24"/>
        </w:rPr>
        <w:t>elling class C authorisations</w:t>
      </w:r>
    </w:p>
    <w:p w:rsidR="00FC0383" w:rsidRPr="00FA00EF" w:rsidRDefault="00FC0383" w:rsidP="00307DB7">
      <w:pPr>
        <w:spacing w:after="0" w:line="240" w:lineRule="auto"/>
        <w:rPr>
          <w:rFonts w:cs="Arial"/>
          <w:sz w:val="24"/>
          <w:szCs w:val="24"/>
          <w:highlight w:val="yellow"/>
        </w:rPr>
      </w:pPr>
    </w:p>
    <w:p w:rsidR="00FC0383" w:rsidRPr="00FA00EF" w:rsidRDefault="00FC0383" w:rsidP="00307DB7">
      <w:pPr>
        <w:spacing w:after="0" w:line="240" w:lineRule="auto"/>
        <w:rPr>
          <w:rFonts w:cs="Arial"/>
          <w:sz w:val="24"/>
          <w:szCs w:val="24"/>
        </w:rPr>
      </w:pPr>
      <w:r w:rsidRPr="00FA00EF">
        <w:rPr>
          <w:rFonts w:cs="Arial"/>
          <w:sz w:val="24"/>
          <w:szCs w:val="24"/>
        </w:rPr>
        <w:t xml:space="preserve">The </w:t>
      </w:r>
      <w:r w:rsidR="009C0D25" w:rsidRPr="00FA00EF">
        <w:rPr>
          <w:rFonts w:cs="Arial"/>
          <w:sz w:val="24"/>
          <w:szCs w:val="24"/>
        </w:rPr>
        <w:t>offences in clause 33</w:t>
      </w:r>
      <w:r w:rsidRPr="00FA00EF">
        <w:rPr>
          <w:rFonts w:cs="Arial"/>
          <w:sz w:val="24"/>
          <w:szCs w:val="24"/>
        </w:rPr>
        <w:t xml:space="preserve"> </w:t>
      </w:r>
      <w:r w:rsidR="00FA00EF" w:rsidRPr="00FA00EF">
        <w:rPr>
          <w:rFonts w:cs="Arial"/>
          <w:sz w:val="24"/>
          <w:szCs w:val="24"/>
        </w:rPr>
        <w:t>of the Bill that apply w</w:t>
      </w:r>
      <w:r w:rsidR="009C0D25" w:rsidRPr="00FA00EF">
        <w:rPr>
          <w:rFonts w:cs="Arial"/>
          <w:sz w:val="24"/>
          <w:szCs w:val="24"/>
        </w:rPr>
        <w:t>here</w:t>
      </w:r>
      <w:r w:rsidRPr="00FA00EF">
        <w:rPr>
          <w:rFonts w:cs="Arial"/>
          <w:sz w:val="24"/>
          <w:szCs w:val="24"/>
        </w:rPr>
        <w:t xml:space="preserve"> a gaming machine in the casino </w:t>
      </w:r>
      <w:r w:rsidR="009C0D25" w:rsidRPr="00FA00EF">
        <w:rPr>
          <w:rFonts w:cs="Arial"/>
          <w:sz w:val="24"/>
          <w:szCs w:val="24"/>
        </w:rPr>
        <w:t>is not</w:t>
      </w:r>
      <w:r w:rsidRPr="00FA00EF">
        <w:rPr>
          <w:rFonts w:cs="Arial"/>
          <w:sz w:val="24"/>
          <w:szCs w:val="24"/>
        </w:rPr>
        <w:t xml:space="preserve"> connected to a </w:t>
      </w:r>
      <w:r w:rsidR="000B5AE2" w:rsidRPr="00FA00EF">
        <w:rPr>
          <w:rFonts w:cs="Arial"/>
          <w:sz w:val="24"/>
          <w:szCs w:val="24"/>
        </w:rPr>
        <w:t>pre</w:t>
      </w:r>
      <w:r w:rsidR="000B5AE2" w:rsidRPr="00FA00EF">
        <w:rPr>
          <w:rFonts w:cs="Arial"/>
          <w:sz w:val="24"/>
          <w:szCs w:val="24"/>
        </w:rPr>
        <w:noBreakHyphen/>
        <w:t xml:space="preserve">commitment system, </w:t>
      </w:r>
      <w:r w:rsidR="009C0D25" w:rsidRPr="00FA00EF">
        <w:rPr>
          <w:rFonts w:cs="Arial"/>
          <w:sz w:val="24"/>
          <w:szCs w:val="24"/>
        </w:rPr>
        <w:t xml:space="preserve">or where </w:t>
      </w:r>
      <w:r w:rsidR="000B5AE2" w:rsidRPr="00FA00EF">
        <w:rPr>
          <w:rFonts w:cs="Arial"/>
          <w:sz w:val="24"/>
          <w:szCs w:val="24"/>
        </w:rPr>
        <w:t>the pre-commitment system is</w:t>
      </w:r>
      <w:r w:rsidR="009C0D25" w:rsidRPr="00FA00EF">
        <w:rPr>
          <w:rFonts w:cs="Arial"/>
          <w:sz w:val="24"/>
          <w:szCs w:val="24"/>
        </w:rPr>
        <w:t xml:space="preserve"> not</w:t>
      </w:r>
      <w:r w:rsidR="000B5AE2" w:rsidRPr="00FA00EF">
        <w:rPr>
          <w:rFonts w:cs="Arial"/>
          <w:sz w:val="24"/>
          <w:szCs w:val="24"/>
        </w:rPr>
        <w:t xml:space="preserve"> functioning as approved, are new</w:t>
      </w:r>
      <w:r w:rsidRPr="00FA00EF">
        <w:rPr>
          <w:rFonts w:cs="Arial"/>
          <w:sz w:val="24"/>
          <w:szCs w:val="24"/>
        </w:rPr>
        <w:t xml:space="preserve"> offence</w:t>
      </w:r>
      <w:r w:rsidR="000B5AE2" w:rsidRPr="00FA00EF">
        <w:rPr>
          <w:rFonts w:cs="Arial"/>
          <w:sz w:val="24"/>
          <w:szCs w:val="24"/>
        </w:rPr>
        <w:t>s that do</w:t>
      </w:r>
      <w:r w:rsidRPr="00FA00EF">
        <w:rPr>
          <w:rFonts w:cs="Arial"/>
          <w:sz w:val="24"/>
          <w:szCs w:val="24"/>
        </w:rPr>
        <w:t xml:space="preserve"> not apply to existing gaming machine licensees. However, given the Government’s intent that the </w:t>
      </w:r>
      <w:r w:rsidR="000B5AE2" w:rsidRPr="00FA00EF">
        <w:rPr>
          <w:rFonts w:cs="Arial"/>
          <w:sz w:val="24"/>
          <w:szCs w:val="24"/>
        </w:rPr>
        <w:t xml:space="preserve">pre-commitment </w:t>
      </w:r>
      <w:r w:rsidRPr="00FA00EF">
        <w:rPr>
          <w:rFonts w:cs="Arial"/>
          <w:sz w:val="24"/>
          <w:szCs w:val="24"/>
        </w:rPr>
        <w:t>system is mandatory, it is important that all gaming machines in the casino are connec</w:t>
      </w:r>
      <w:r w:rsidR="00FA00EF" w:rsidRPr="00FA00EF">
        <w:rPr>
          <w:rFonts w:cs="Arial"/>
          <w:sz w:val="24"/>
          <w:szCs w:val="24"/>
        </w:rPr>
        <w:t>ted to the system, and that the system</w:t>
      </w:r>
      <w:r w:rsidRPr="00FA00EF">
        <w:rPr>
          <w:rFonts w:cs="Arial"/>
          <w:sz w:val="24"/>
          <w:szCs w:val="24"/>
        </w:rPr>
        <w:t xml:space="preserve"> is functioning properly. </w:t>
      </w:r>
      <w:r w:rsidR="006945D6" w:rsidRPr="00FA00EF">
        <w:rPr>
          <w:rFonts w:cs="Arial"/>
          <w:sz w:val="24"/>
          <w:szCs w:val="24"/>
        </w:rPr>
        <w:t xml:space="preserve">Otherwise, </w:t>
      </w:r>
      <w:r w:rsidRPr="00FA00EF">
        <w:rPr>
          <w:rFonts w:cs="Arial"/>
          <w:sz w:val="24"/>
          <w:szCs w:val="24"/>
        </w:rPr>
        <w:t xml:space="preserve">patrons </w:t>
      </w:r>
      <w:r w:rsidR="006945D6" w:rsidRPr="00FA00EF">
        <w:rPr>
          <w:rFonts w:cs="Arial"/>
          <w:sz w:val="24"/>
          <w:szCs w:val="24"/>
        </w:rPr>
        <w:t xml:space="preserve">might be able </w:t>
      </w:r>
      <w:r w:rsidRPr="00FA00EF">
        <w:rPr>
          <w:rFonts w:cs="Arial"/>
          <w:sz w:val="24"/>
          <w:szCs w:val="24"/>
        </w:rPr>
        <w:t>to circumvent their set limits</w:t>
      </w:r>
      <w:r w:rsidR="00B31ABF" w:rsidRPr="00FA00EF">
        <w:rPr>
          <w:rFonts w:cs="Arial"/>
          <w:sz w:val="24"/>
          <w:szCs w:val="24"/>
        </w:rPr>
        <w:t>, increasing the risk of gambling harm.</w:t>
      </w:r>
      <w:r w:rsidR="000B5AE2" w:rsidRPr="00FA00EF">
        <w:rPr>
          <w:rFonts w:cs="Arial"/>
          <w:sz w:val="24"/>
          <w:szCs w:val="24"/>
        </w:rPr>
        <w:t xml:space="preserve"> For this reason the maximum penalties have been set in line with the offences above. These</w:t>
      </w:r>
      <w:r w:rsidR="006945D6" w:rsidRPr="00FA00EF">
        <w:rPr>
          <w:rFonts w:cs="Arial"/>
          <w:sz w:val="24"/>
          <w:szCs w:val="24"/>
        </w:rPr>
        <w:t xml:space="preserve"> two</w:t>
      </w:r>
      <w:r w:rsidR="000B5AE2" w:rsidRPr="00FA00EF">
        <w:rPr>
          <w:rFonts w:cs="Arial"/>
          <w:sz w:val="24"/>
          <w:szCs w:val="24"/>
        </w:rPr>
        <w:t xml:space="preserve"> offences are strict </w:t>
      </w:r>
      <w:r w:rsidR="00CC3A2C" w:rsidRPr="00FA00EF">
        <w:rPr>
          <w:rFonts w:cs="Arial"/>
          <w:sz w:val="24"/>
          <w:szCs w:val="24"/>
        </w:rPr>
        <w:t>liability,</w:t>
      </w:r>
      <w:r w:rsidR="000B5AE2" w:rsidRPr="00FA00EF">
        <w:rPr>
          <w:rFonts w:cs="Arial"/>
          <w:sz w:val="24"/>
          <w:szCs w:val="24"/>
        </w:rPr>
        <w:t xml:space="preserve"> however, as noted in the Explanatory Statement, the offences do not apply where the licensee can demonstrate it took all reasonable steps to ensure the gaming machine was connected to a </w:t>
      </w:r>
      <w:r w:rsidR="00FA00EF" w:rsidRPr="00FA00EF">
        <w:rPr>
          <w:rFonts w:cs="Arial"/>
          <w:sz w:val="24"/>
          <w:szCs w:val="24"/>
        </w:rPr>
        <w:t>pre-commitment system</w:t>
      </w:r>
      <w:r w:rsidR="000B5AE2" w:rsidRPr="00FA00EF">
        <w:rPr>
          <w:rFonts w:cs="Arial"/>
          <w:sz w:val="24"/>
          <w:szCs w:val="24"/>
        </w:rPr>
        <w:t xml:space="preserve">, and that the </w:t>
      </w:r>
      <w:r w:rsidR="00FA00EF" w:rsidRPr="00FA00EF">
        <w:rPr>
          <w:rFonts w:cs="Arial"/>
          <w:sz w:val="24"/>
          <w:szCs w:val="24"/>
        </w:rPr>
        <w:t>system</w:t>
      </w:r>
      <w:r w:rsidR="000B5AE2" w:rsidRPr="00FA00EF">
        <w:rPr>
          <w:rFonts w:cs="Arial"/>
          <w:sz w:val="24"/>
          <w:szCs w:val="24"/>
        </w:rPr>
        <w:t xml:space="preserve"> was functioning as approved.</w:t>
      </w:r>
    </w:p>
    <w:p w:rsidR="00307DB7" w:rsidRPr="00FA00EF" w:rsidRDefault="00307DB7" w:rsidP="00307DB7">
      <w:pPr>
        <w:spacing w:after="0" w:line="240" w:lineRule="auto"/>
        <w:rPr>
          <w:rFonts w:cs="Arial"/>
          <w:sz w:val="24"/>
          <w:szCs w:val="24"/>
        </w:rPr>
      </w:pPr>
    </w:p>
    <w:p w:rsidR="00307DB7" w:rsidRPr="00FA00EF" w:rsidRDefault="00D71DFB" w:rsidP="00307DB7">
      <w:pPr>
        <w:spacing w:after="0" w:line="240" w:lineRule="auto"/>
        <w:rPr>
          <w:rFonts w:cs="Arial"/>
          <w:sz w:val="24"/>
          <w:szCs w:val="24"/>
        </w:rPr>
      </w:pPr>
      <w:r>
        <w:rPr>
          <w:rFonts w:cs="Arial"/>
          <w:sz w:val="24"/>
          <w:szCs w:val="24"/>
        </w:rPr>
        <w:t>T</w:t>
      </w:r>
      <w:r w:rsidR="00307DB7" w:rsidRPr="00FA00EF">
        <w:rPr>
          <w:rFonts w:cs="Arial"/>
          <w:sz w:val="24"/>
          <w:szCs w:val="24"/>
        </w:rPr>
        <w:t xml:space="preserve">he ACT Government must </w:t>
      </w:r>
      <w:r>
        <w:rPr>
          <w:rFonts w:cs="Arial"/>
          <w:sz w:val="24"/>
          <w:szCs w:val="24"/>
        </w:rPr>
        <w:t xml:space="preserve">also </w:t>
      </w:r>
      <w:r w:rsidR="00307DB7" w:rsidRPr="00FA00EF">
        <w:rPr>
          <w:rFonts w:cs="Arial"/>
          <w:sz w:val="24"/>
          <w:szCs w:val="24"/>
        </w:rPr>
        <w:t>play it</w:t>
      </w:r>
      <w:r w:rsidR="00FA00EF" w:rsidRPr="00FA00EF">
        <w:rPr>
          <w:rFonts w:cs="Arial"/>
          <w:sz w:val="24"/>
          <w:szCs w:val="24"/>
        </w:rPr>
        <w:t>s part in supporting anti money</w:t>
      </w:r>
      <w:r w:rsidR="00FA00EF" w:rsidRPr="00FA00EF">
        <w:rPr>
          <w:rFonts w:cs="Arial"/>
          <w:sz w:val="24"/>
          <w:szCs w:val="24"/>
        </w:rPr>
        <w:noBreakHyphen/>
      </w:r>
      <w:r w:rsidR="00307DB7" w:rsidRPr="00FA00EF">
        <w:rPr>
          <w:rFonts w:cs="Arial"/>
          <w:sz w:val="24"/>
          <w:szCs w:val="24"/>
        </w:rPr>
        <w:t>laundering/counter</w:t>
      </w:r>
      <w:r w:rsidR="00307DB7" w:rsidRPr="00FA00EF">
        <w:rPr>
          <w:rFonts w:cs="Arial"/>
          <w:sz w:val="24"/>
          <w:szCs w:val="24"/>
        </w:rPr>
        <w:noBreakHyphen/>
        <w:t>terrorism financing efforts through strong controls on gambling activities</w:t>
      </w:r>
      <w:r w:rsidR="00FA00EF" w:rsidRPr="00FA00EF">
        <w:rPr>
          <w:rFonts w:cs="Arial"/>
          <w:sz w:val="24"/>
          <w:szCs w:val="24"/>
        </w:rPr>
        <w:t>,</w:t>
      </w:r>
      <w:r w:rsidR="00307DB7" w:rsidRPr="00FA00EF">
        <w:rPr>
          <w:rFonts w:cs="Arial"/>
          <w:sz w:val="24"/>
          <w:szCs w:val="24"/>
        </w:rPr>
        <w:t xml:space="preserve"> with appropriate penalties for contraventions. As noted by AUSTRAC, ‘money laundering is a key risk to Australia – it is the common element in almost all serious and organised crime.’</w:t>
      </w:r>
      <w:r w:rsidR="00307DB7" w:rsidRPr="00FA00EF">
        <w:rPr>
          <w:rStyle w:val="FootnoteReference"/>
          <w:rFonts w:cs="Arial"/>
          <w:sz w:val="24"/>
          <w:szCs w:val="24"/>
        </w:rPr>
        <w:footnoteReference w:id="1"/>
      </w:r>
      <w:r w:rsidR="00307DB7" w:rsidRPr="00FA00EF">
        <w:rPr>
          <w:rFonts w:cs="Arial"/>
          <w:sz w:val="24"/>
          <w:szCs w:val="24"/>
        </w:rPr>
        <w:t xml:space="preserve"> McMillen and Woolley note that:</w:t>
      </w:r>
    </w:p>
    <w:p w:rsidR="00307DB7" w:rsidRPr="00FA00EF" w:rsidRDefault="00307DB7" w:rsidP="00307DB7">
      <w:pPr>
        <w:spacing w:after="0" w:line="240" w:lineRule="auto"/>
        <w:ind w:left="720" w:hanging="720"/>
        <w:rPr>
          <w:rFonts w:cs="Arial"/>
          <w:sz w:val="24"/>
          <w:szCs w:val="24"/>
        </w:rPr>
      </w:pPr>
      <w:r w:rsidRPr="00FA00EF">
        <w:rPr>
          <w:rFonts w:cs="Arial"/>
          <w:sz w:val="24"/>
          <w:szCs w:val="24"/>
        </w:rPr>
        <w:tab/>
      </w:r>
      <w:r w:rsidRPr="00FA00EF">
        <w:rPr>
          <w:rFonts w:cs="Arial"/>
          <w:i/>
          <w:sz w:val="24"/>
          <w:szCs w:val="24"/>
        </w:rPr>
        <w:t>Historically, licensed gambling operations have been identified as a potential mechanism for money laundering to occur. In Australia, the introduction of casino regulations sought to prevent money laundering and criminal activity in the casinos...over the years Australia has established an international reputation for effective casino regulation.</w:t>
      </w:r>
      <w:r w:rsidRPr="00FA00EF">
        <w:rPr>
          <w:rStyle w:val="FootnoteReference"/>
          <w:rFonts w:cs="Arial"/>
          <w:sz w:val="24"/>
          <w:szCs w:val="24"/>
        </w:rPr>
        <w:footnoteReference w:id="2"/>
      </w:r>
    </w:p>
    <w:p w:rsidR="00307DB7" w:rsidRPr="00FA00EF" w:rsidRDefault="00307DB7" w:rsidP="00A84CA4">
      <w:pPr>
        <w:spacing w:after="0" w:line="240" w:lineRule="auto"/>
        <w:rPr>
          <w:sz w:val="24"/>
          <w:szCs w:val="24"/>
        </w:rPr>
      </w:pPr>
    </w:p>
    <w:p w:rsidR="001A0503" w:rsidRPr="00FA00EF" w:rsidRDefault="00307DB7" w:rsidP="00A84CA4">
      <w:pPr>
        <w:spacing w:after="0" w:line="240" w:lineRule="auto"/>
        <w:rPr>
          <w:sz w:val="24"/>
          <w:szCs w:val="24"/>
        </w:rPr>
      </w:pPr>
      <w:r w:rsidRPr="00FA00EF">
        <w:rPr>
          <w:sz w:val="24"/>
          <w:szCs w:val="24"/>
        </w:rPr>
        <w:t xml:space="preserve">I </w:t>
      </w:r>
      <w:r w:rsidR="00FA00EF" w:rsidRPr="00FA00EF">
        <w:rPr>
          <w:sz w:val="24"/>
          <w:szCs w:val="24"/>
        </w:rPr>
        <w:t xml:space="preserve">therefore </w:t>
      </w:r>
      <w:r w:rsidRPr="00FA00EF">
        <w:rPr>
          <w:sz w:val="24"/>
          <w:szCs w:val="24"/>
        </w:rPr>
        <w:t>consider it</w:t>
      </w:r>
      <w:r w:rsidR="001A0503" w:rsidRPr="00FA00EF">
        <w:rPr>
          <w:sz w:val="24"/>
          <w:szCs w:val="24"/>
        </w:rPr>
        <w:t xml:space="preserve"> </w:t>
      </w:r>
      <w:r w:rsidR="00C37C88" w:rsidRPr="00FA00EF">
        <w:rPr>
          <w:sz w:val="24"/>
          <w:szCs w:val="24"/>
        </w:rPr>
        <w:t xml:space="preserve">appropriate </w:t>
      </w:r>
      <w:r w:rsidRPr="00FA00EF">
        <w:rPr>
          <w:sz w:val="24"/>
          <w:szCs w:val="24"/>
        </w:rPr>
        <w:t>that the Bill includes a s</w:t>
      </w:r>
      <w:r w:rsidR="00051F29" w:rsidRPr="00FA00EF">
        <w:rPr>
          <w:sz w:val="24"/>
          <w:szCs w:val="24"/>
        </w:rPr>
        <w:t>trong framework of offences for the casino licensee and that</w:t>
      </w:r>
      <w:r w:rsidR="001A0503" w:rsidRPr="00FA00EF">
        <w:rPr>
          <w:sz w:val="24"/>
          <w:szCs w:val="24"/>
        </w:rPr>
        <w:t xml:space="preserve"> defences available are restricted to those under the </w:t>
      </w:r>
      <w:r w:rsidR="001A0503" w:rsidRPr="00FA00EF">
        <w:rPr>
          <w:i/>
          <w:sz w:val="24"/>
          <w:szCs w:val="24"/>
        </w:rPr>
        <w:t>Criminal Code 2002</w:t>
      </w:r>
      <w:r w:rsidR="001A0503" w:rsidRPr="00FA00EF">
        <w:rPr>
          <w:sz w:val="24"/>
          <w:szCs w:val="24"/>
        </w:rPr>
        <w:t>, including mistake of fact a</w:t>
      </w:r>
      <w:r w:rsidRPr="00FA00EF">
        <w:rPr>
          <w:sz w:val="24"/>
          <w:szCs w:val="24"/>
        </w:rPr>
        <w:t xml:space="preserve">nd intervening conduct or event, </w:t>
      </w:r>
      <w:r w:rsidR="00051F29" w:rsidRPr="00FA00EF">
        <w:rPr>
          <w:sz w:val="24"/>
          <w:szCs w:val="24"/>
        </w:rPr>
        <w:t>with a maximum penalty of</w:t>
      </w:r>
      <w:r w:rsidRPr="00FA00EF">
        <w:rPr>
          <w:sz w:val="24"/>
          <w:szCs w:val="24"/>
        </w:rPr>
        <w:t xml:space="preserve"> 100 penalty units</w:t>
      </w:r>
      <w:r w:rsidR="00051F29" w:rsidRPr="00FA00EF">
        <w:rPr>
          <w:sz w:val="24"/>
          <w:szCs w:val="24"/>
        </w:rPr>
        <w:t xml:space="preserve"> in certain cases</w:t>
      </w:r>
      <w:r w:rsidRPr="00FA00EF">
        <w:rPr>
          <w:sz w:val="24"/>
          <w:szCs w:val="24"/>
        </w:rPr>
        <w:t>.</w:t>
      </w:r>
      <w:r w:rsidR="00C23462" w:rsidRPr="00FA00EF">
        <w:rPr>
          <w:sz w:val="24"/>
          <w:szCs w:val="24"/>
        </w:rPr>
        <w:t xml:space="preserve"> I note that the Explanatory Statement already provides justification for the higher penalties</w:t>
      </w:r>
      <w:r w:rsidR="00051F29" w:rsidRPr="00FA00EF">
        <w:rPr>
          <w:sz w:val="24"/>
          <w:szCs w:val="24"/>
        </w:rPr>
        <w:t xml:space="preserve"> in the Bill</w:t>
      </w:r>
      <w:r w:rsidR="00C23462" w:rsidRPr="00FA00EF">
        <w:rPr>
          <w:sz w:val="24"/>
          <w:szCs w:val="24"/>
        </w:rPr>
        <w:t>, however, I will consider incorporating further explanatory material in the Revised Explanatory Statement</w:t>
      </w:r>
      <w:r w:rsidR="00FA00EF" w:rsidRPr="00FA00EF">
        <w:rPr>
          <w:sz w:val="24"/>
          <w:szCs w:val="24"/>
        </w:rPr>
        <w:t xml:space="preserve"> to be tabled</w:t>
      </w:r>
      <w:r w:rsidR="00C23462" w:rsidRPr="00FA00EF">
        <w:rPr>
          <w:sz w:val="24"/>
          <w:szCs w:val="24"/>
        </w:rPr>
        <w:t>.</w:t>
      </w:r>
    </w:p>
    <w:p w:rsidR="00307DB7" w:rsidRPr="00FA00EF" w:rsidRDefault="00307DB7" w:rsidP="00631009">
      <w:pPr>
        <w:spacing w:after="0" w:line="240" w:lineRule="auto"/>
        <w:rPr>
          <w:rFonts w:ascii="Calibri" w:hAnsi="Calibri" w:cs="Calibri"/>
          <w:color w:val="000000"/>
          <w:sz w:val="24"/>
          <w:szCs w:val="24"/>
        </w:rPr>
      </w:pPr>
    </w:p>
    <w:p w:rsidR="00307DB7" w:rsidRPr="00FA00EF" w:rsidRDefault="00307DB7" w:rsidP="00631009">
      <w:pPr>
        <w:spacing w:after="0" w:line="240" w:lineRule="auto"/>
        <w:rPr>
          <w:rFonts w:ascii="Calibri" w:hAnsi="Calibri" w:cs="Calibri"/>
          <w:i/>
          <w:color w:val="000000"/>
          <w:sz w:val="24"/>
          <w:szCs w:val="24"/>
          <w:u w:val="single"/>
        </w:rPr>
      </w:pPr>
      <w:r w:rsidRPr="00FA00EF">
        <w:rPr>
          <w:rFonts w:ascii="Calibri" w:hAnsi="Calibri" w:cs="Calibri"/>
          <w:i/>
          <w:color w:val="000000"/>
          <w:sz w:val="24"/>
          <w:szCs w:val="24"/>
          <w:u w:val="single"/>
        </w:rPr>
        <w:t>Power to create offences by regulation, up to 30 penalty units</w:t>
      </w:r>
    </w:p>
    <w:p w:rsidR="008977B5" w:rsidRPr="00FA00EF" w:rsidRDefault="008977B5" w:rsidP="008977B5">
      <w:pPr>
        <w:spacing w:after="0" w:line="240" w:lineRule="auto"/>
        <w:rPr>
          <w:sz w:val="24"/>
          <w:szCs w:val="24"/>
        </w:rPr>
      </w:pPr>
      <w:r w:rsidRPr="00FA00EF">
        <w:rPr>
          <w:sz w:val="24"/>
          <w:szCs w:val="24"/>
        </w:rPr>
        <w:t>In relation to the Committee’s comments suggesting that the Bill may inappropriately delegate legislative powers, through the creation of offences by regulation with penalties of up to 30 penalty units, I note the following.</w:t>
      </w:r>
    </w:p>
    <w:p w:rsidR="00631009" w:rsidRPr="00FA00EF" w:rsidRDefault="00631009" w:rsidP="00631009">
      <w:pPr>
        <w:spacing w:after="0" w:line="240" w:lineRule="auto"/>
        <w:rPr>
          <w:rFonts w:ascii="Calibri" w:hAnsi="Calibri" w:cs="Calibri"/>
          <w:color w:val="000000"/>
          <w:sz w:val="24"/>
          <w:szCs w:val="24"/>
        </w:rPr>
      </w:pPr>
    </w:p>
    <w:p w:rsidR="008B060E" w:rsidRPr="00FA00EF" w:rsidRDefault="00DB1A16" w:rsidP="00631009">
      <w:pPr>
        <w:spacing w:after="0" w:line="240" w:lineRule="auto"/>
        <w:rPr>
          <w:sz w:val="24"/>
          <w:szCs w:val="24"/>
        </w:rPr>
      </w:pPr>
      <w:r w:rsidRPr="00FA00EF">
        <w:rPr>
          <w:sz w:val="24"/>
          <w:szCs w:val="24"/>
        </w:rPr>
        <w:t xml:space="preserve">As I indicated in introducing the Bill, further provisions will </w:t>
      </w:r>
      <w:r w:rsidR="008977B5" w:rsidRPr="00FA00EF">
        <w:rPr>
          <w:sz w:val="24"/>
          <w:szCs w:val="24"/>
        </w:rPr>
        <w:t xml:space="preserve">be developed to </w:t>
      </w:r>
      <w:r w:rsidRPr="00FA00EF">
        <w:rPr>
          <w:sz w:val="24"/>
          <w:szCs w:val="24"/>
        </w:rPr>
        <w:t xml:space="preserve">address a number of administrative, operational and technical matters that are outside the scope of this Bill. Matters such as taxation and gaming machine approval provisions will be addressed legislatively. There are, however, a number of matters </w:t>
      </w:r>
      <w:r w:rsidR="008977B5" w:rsidRPr="00FA00EF">
        <w:rPr>
          <w:sz w:val="24"/>
          <w:szCs w:val="24"/>
        </w:rPr>
        <w:t>that I expect will</w:t>
      </w:r>
      <w:r w:rsidRPr="00FA00EF">
        <w:rPr>
          <w:sz w:val="24"/>
          <w:szCs w:val="24"/>
        </w:rPr>
        <w:t xml:space="preserve"> be addressed by regulation. These include specific </w:t>
      </w:r>
      <w:r w:rsidR="00FA00EF">
        <w:rPr>
          <w:sz w:val="24"/>
          <w:szCs w:val="24"/>
        </w:rPr>
        <w:t>measures about the operation of</w:t>
      </w:r>
      <w:r w:rsidRPr="00FA00EF">
        <w:rPr>
          <w:sz w:val="24"/>
          <w:szCs w:val="24"/>
        </w:rPr>
        <w:t xml:space="preserve"> gaming machine</w:t>
      </w:r>
      <w:r w:rsidR="00FA00EF">
        <w:rPr>
          <w:sz w:val="24"/>
          <w:szCs w:val="24"/>
        </w:rPr>
        <w:t>s and fully automated table game terminals</w:t>
      </w:r>
      <w:r w:rsidRPr="00FA00EF">
        <w:rPr>
          <w:sz w:val="24"/>
          <w:szCs w:val="24"/>
        </w:rPr>
        <w:t xml:space="preserve">, </w:t>
      </w:r>
      <w:r w:rsidR="00273887" w:rsidRPr="00FA00EF">
        <w:rPr>
          <w:sz w:val="24"/>
          <w:szCs w:val="24"/>
        </w:rPr>
        <w:t xml:space="preserve">and regulations around the operation of both </w:t>
      </w:r>
      <w:r w:rsidRPr="00FA00EF">
        <w:rPr>
          <w:sz w:val="24"/>
          <w:szCs w:val="24"/>
        </w:rPr>
        <w:t>the centralised monitoring system</w:t>
      </w:r>
      <w:r w:rsidR="008977B5" w:rsidRPr="00FA00EF">
        <w:rPr>
          <w:sz w:val="24"/>
          <w:szCs w:val="24"/>
        </w:rPr>
        <w:t xml:space="preserve"> and the pre</w:t>
      </w:r>
      <w:r w:rsidR="00D71DFB">
        <w:rPr>
          <w:sz w:val="24"/>
          <w:szCs w:val="24"/>
        </w:rPr>
        <w:noBreakHyphen/>
      </w:r>
      <w:r w:rsidR="008977B5" w:rsidRPr="00FA00EF">
        <w:rPr>
          <w:sz w:val="24"/>
          <w:szCs w:val="24"/>
        </w:rPr>
        <w:t>commitment system.</w:t>
      </w:r>
    </w:p>
    <w:p w:rsidR="008B060E" w:rsidRPr="00FA00EF" w:rsidRDefault="008B060E" w:rsidP="00631009">
      <w:pPr>
        <w:spacing w:after="0" w:line="240" w:lineRule="auto"/>
        <w:rPr>
          <w:sz w:val="24"/>
          <w:szCs w:val="24"/>
        </w:rPr>
      </w:pPr>
    </w:p>
    <w:p w:rsidR="008B060E" w:rsidRPr="00FA00EF" w:rsidRDefault="008B060E" w:rsidP="00631009">
      <w:pPr>
        <w:spacing w:after="0" w:line="240" w:lineRule="auto"/>
        <w:rPr>
          <w:rFonts w:cs="Arial"/>
          <w:sz w:val="24"/>
          <w:szCs w:val="24"/>
        </w:rPr>
      </w:pPr>
      <w:r w:rsidRPr="00FA00EF">
        <w:rPr>
          <w:rFonts w:cs="Arial"/>
          <w:sz w:val="24"/>
          <w:szCs w:val="24"/>
        </w:rPr>
        <w:t>Gambling is necessaril</w:t>
      </w:r>
      <w:r w:rsidR="004C1D62" w:rsidRPr="00FA00EF">
        <w:rPr>
          <w:rFonts w:cs="Arial"/>
          <w:sz w:val="24"/>
          <w:szCs w:val="24"/>
        </w:rPr>
        <w:t xml:space="preserve">y </w:t>
      </w:r>
      <w:r w:rsidRPr="00FA00EF">
        <w:rPr>
          <w:rFonts w:cs="Arial"/>
          <w:sz w:val="24"/>
          <w:szCs w:val="24"/>
        </w:rPr>
        <w:t xml:space="preserve">highly-regulated for reasons of </w:t>
      </w:r>
      <w:r w:rsidR="00273887" w:rsidRPr="00FA00EF">
        <w:rPr>
          <w:rFonts w:cs="Arial"/>
          <w:sz w:val="24"/>
          <w:szCs w:val="24"/>
        </w:rPr>
        <w:t xml:space="preserve">integrity, </w:t>
      </w:r>
      <w:r w:rsidRPr="00FA00EF">
        <w:rPr>
          <w:rFonts w:cs="Arial"/>
          <w:sz w:val="24"/>
          <w:szCs w:val="24"/>
        </w:rPr>
        <w:t>harm minimisation and consumer protection. Introduci</w:t>
      </w:r>
      <w:r w:rsidR="00FA00EF">
        <w:rPr>
          <w:rFonts w:cs="Arial"/>
          <w:sz w:val="24"/>
          <w:szCs w:val="24"/>
        </w:rPr>
        <w:t>ng new types of gaming products</w:t>
      </w:r>
      <w:r w:rsidRPr="00FA00EF">
        <w:rPr>
          <w:rFonts w:cs="Arial"/>
          <w:sz w:val="24"/>
          <w:szCs w:val="24"/>
        </w:rPr>
        <w:t xml:space="preserve"> to the casino environment will necessitate controls beyond those that already exist, and it is considered inappropri</w:t>
      </w:r>
      <w:r w:rsidR="00FA00EF">
        <w:rPr>
          <w:rFonts w:cs="Arial"/>
          <w:sz w:val="24"/>
          <w:szCs w:val="24"/>
        </w:rPr>
        <w:t xml:space="preserve">ate to constrain the regulation-making </w:t>
      </w:r>
      <w:r w:rsidRPr="00FA00EF">
        <w:rPr>
          <w:rFonts w:cs="Arial"/>
          <w:sz w:val="24"/>
          <w:szCs w:val="24"/>
        </w:rPr>
        <w:t>power to those matters that are foreseeable now.</w:t>
      </w:r>
      <w:r w:rsidR="006D6693">
        <w:rPr>
          <w:rFonts w:cs="Arial"/>
          <w:sz w:val="24"/>
          <w:szCs w:val="24"/>
        </w:rPr>
        <w:t xml:space="preserve"> I note also that any regulations made cannot be inconsistent with the principal Act.</w:t>
      </w:r>
    </w:p>
    <w:p w:rsidR="00C23462" w:rsidRPr="00FA00EF" w:rsidRDefault="00C23462" w:rsidP="00C23462">
      <w:pPr>
        <w:pStyle w:val="Default"/>
      </w:pPr>
    </w:p>
    <w:p w:rsidR="008B060E" w:rsidRPr="00FA00EF" w:rsidRDefault="008B060E" w:rsidP="008B060E">
      <w:pPr>
        <w:spacing w:after="0" w:line="240" w:lineRule="auto"/>
        <w:rPr>
          <w:rFonts w:cs="Arial"/>
          <w:sz w:val="24"/>
          <w:szCs w:val="24"/>
        </w:rPr>
      </w:pPr>
      <w:r w:rsidRPr="00FA00EF">
        <w:rPr>
          <w:rFonts w:cs="Arial"/>
          <w:sz w:val="24"/>
          <w:szCs w:val="24"/>
        </w:rPr>
        <w:t xml:space="preserve">Any regulation made </w:t>
      </w:r>
      <w:r w:rsidR="00C1219A" w:rsidRPr="00FA00EF">
        <w:rPr>
          <w:rFonts w:cs="Arial"/>
          <w:sz w:val="24"/>
          <w:szCs w:val="24"/>
        </w:rPr>
        <w:t xml:space="preserve">under the power </w:t>
      </w:r>
      <w:r w:rsidRPr="00FA00EF">
        <w:rPr>
          <w:rFonts w:cs="Arial"/>
          <w:sz w:val="24"/>
          <w:szCs w:val="24"/>
        </w:rPr>
        <w:t>will be subject to Scrutiny review and disallowance in the Assembly if it is considered that the power has been inappropriately exercised.</w:t>
      </w:r>
    </w:p>
    <w:p w:rsidR="00227574" w:rsidRDefault="00227574" w:rsidP="008B060E">
      <w:pPr>
        <w:spacing w:after="0" w:line="240" w:lineRule="auto"/>
        <w:rPr>
          <w:rFonts w:cs="Arial"/>
          <w:sz w:val="24"/>
          <w:szCs w:val="24"/>
        </w:rPr>
      </w:pPr>
    </w:p>
    <w:p w:rsidR="006D6693" w:rsidRPr="00FA00EF" w:rsidRDefault="006D6693" w:rsidP="006D6693">
      <w:pPr>
        <w:pStyle w:val="Default"/>
      </w:pPr>
      <w:r w:rsidRPr="00FA00EF">
        <w:t>While a 30 penalty unit maximum is at the upper end of maximum penalties</w:t>
      </w:r>
      <w:r>
        <w:t xml:space="preserve"> in regulations under the </w:t>
      </w:r>
      <w:r w:rsidRPr="00FA00EF">
        <w:rPr>
          <w:i/>
        </w:rPr>
        <w:t>Guide for Framing Offences</w:t>
      </w:r>
      <w:r w:rsidRPr="00FA00EF">
        <w:t xml:space="preserve">, I note that the Committee’s own guidance document </w:t>
      </w:r>
      <w:r w:rsidRPr="00FA00EF">
        <w:rPr>
          <w:i/>
        </w:rPr>
        <w:t>Subordinate Legislation – Technical and Stylistic Standards – Tips/Traps</w:t>
      </w:r>
      <w:r w:rsidRPr="00FA00EF">
        <w:t xml:space="preserve"> indicates a maximum of 60 penalty units, provided the offence does not involve imprisonment.</w:t>
      </w:r>
    </w:p>
    <w:p w:rsidR="006D6693" w:rsidRPr="00FA00EF" w:rsidRDefault="006D6693" w:rsidP="008B060E">
      <w:pPr>
        <w:spacing w:after="0" w:line="240" w:lineRule="auto"/>
        <w:rPr>
          <w:rFonts w:cs="Arial"/>
          <w:sz w:val="24"/>
          <w:szCs w:val="24"/>
        </w:rPr>
      </w:pPr>
    </w:p>
    <w:p w:rsidR="00A26B23" w:rsidRPr="00FA00EF" w:rsidRDefault="00307DB7" w:rsidP="00631009">
      <w:pPr>
        <w:spacing w:after="0" w:line="240" w:lineRule="auto"/>
        <w:rPr>
          <w:rFonts w:cs="Arial"/>
          <w:sz w:val="24"/>
          <w:szCs w:val="24"/>
        </w:rPr>
      </w:pPr>
      <w:r w:rsidRPr="00FA00EF">
        <w:rPr>
          <w:rFonts w:cs="Arial"/>
          <w:sz w:val="24"/>
          <w:szCs w:val="24"/>
        </w:rPr>
        <w:t xml:space="preserve">As indicated </w:t>
      </w:r>
      <w:r w:rsidR="004C1927" w:rsidRPr="00FA00EF">
        <w:rPr>
          <w:rFonts w:cs="Arial"/>
          <w:sz w:val="24"/>
          <w:szCs w:val="24"/>
        </w:rPr>
        <w:t>in</w:t>
      </w:r>
      <w:r w:rsidRPr="00FA00EF">
        <w:rPr>
          <w:rFonts w:cs="Arial"/>
          <w:sz w:val="24"/>
          <w:szCs w:val="24"/>
        </w:rPr>
        <w:t xml:space="preserve"> the Explanatory Statement, the offences in </w:t>
      </w:r>
      <w:r w:rsidR="004C1927" w:rsidRPr="00FA00EF">
        <w:rPr>
          <w:rFonts w:cs="Arial"/>
          <w:sz w:val="24"/>
          <w:szCs w:val="24"/>
        </w:rPr>
        <w:t>the Bill</w:t>
      </w:r>
      <w:r w:rsidRPr="00FA00EF">
        <w:rPr>
          <w:rFonts w:cs="Arial"/>
          <w:sz w:val="24"/>
          <w:szCs w:val="24"/>
        </w:rPr>
        <w:t xml:space="preserve"> generally apply to corporations</w:t>
      </w:r>
      <w:r w:rsidR="00FA00EF">
        <w:rPr>
          <w:rFonts w:cs="Arial"/>
          <w:sz w:val="24"/>
          <w:szCs w:val="24"/>
        </w:rPr>
        <w:t>, and I expect this would be the same for any offences provided by regulation</w:t>
      </w:r>
      <w:r w:rsidRPr="00FA00EF">
        <w:rPr>
          <w:rFonts w:cs="Arial"/>
          <w:sz w:val="24"/>
          <w:szCs w:val="24"/>
        </w:rPr>
        <w:t>.</w:t>
      </w:r>
      <w:r w:rsidR="006945D6" w:rsidRPr="00FA00EF">
        <w:rPr>
          <w:rFonts w:cs="Arial"/>
          <w:sz w:val="24"/>
          <w:szCs w:val="24"/>
        </w:rPr>
        <w:t xml:space="preserve"> </w:t>
      </w:r>
      <w:r w:rsidR="00A26B23" w:rsidRPr="00FA00EF">
        <w:rPr>
          <w:rFonts w:cs="Arial"/>
          <w:sz w:val="24"/>
          <w:szCs w:val="24"/>
        </w:rPr>
        <w:t xml:space="preserve">Considered in the context </w:t>
      </w:r>
      <w:r w:rsidR="00C23462" w:rsidRPr="00FA00EF">
        <w:rPr>
          <w:rFonts w:cs="Arial"/>
          <w:sz w:val="24"/>
          <w:szCs w:val="24"/>
        </w:rPr>
        <w:t xml:space="preserve">of the Bill </w:t>
      </w:r>
      <w:r w:rsidR="00A26B23" w:rsidRPr="00FA00EF">
        <w:rPr>
          <w:rFonts w:cs="Arial"/>
          <w:sz w:val="24"/>
          <w:szCs w:val="24"/>
        </w:rPr>
        <w:t xml:space="preserve">as outlined above, a potential maximum penalty of </w:t>
      </w:r>
      <w:r w:rsidR="00D6753A" w:rsidRPr="00FA00EF">
        <w:rPr>
          <w:rFonts w:cs="Arial"/>
          <w:sz w:val="24"/>
          <w:szCs w:val="24"/>
        </w:rPr>
        <w:t>30 </w:t>
      </w:r>
      <w:r w:rsidR="006945D6" w:rsidRPr="00FA00EF">
        <w:rPr>
          <w:rFonts w:cs="Arial"/>
          <w:sz w:val="24"/>
          <w:szCs w:val="24"/>
        </w:rPr>
        <w:t>penalty units (</w:t>
      </w:r>
      <w:r w:rsidR="00D6753A" w:rsidRPr="00FA00EF">
        <w:rPr>
          <w:rFonts w:cs="Arial"/>
          <w:sz w:val="24"/>
          <w:szCs w:val="24"/>
        </w:rPr>
        <w:t>$22,500 for a corporation or $4,500 for an individual</w:t>
      </w:r>
      <w:r w:rsidR="006945D6" w:rsidRPr="00FA00EF">
        <w:rPr>
          <w:rFonts w:cs="Arial"/>
          <w:sz w:val="24"/>
          <w:szCs w:val="24"/>
        </w:rPr>
        <w:t>)</w:t>
      </w:r>
      <w:r w:rsidR="00A26B23" w:rsidRPr="00FA00EF">
        <w:rPr>
          <w:rFonts w:cs="Arial"/>
          <w:sz w:val="24"/>
          <w:szCs w:val="24"/>
        </w:rPr>
        <w:t xml:space="preserve"> is not considered excessive.</w:t>
      </w:r>
    </w:p>
    <w:p w:rsidR="008977B5" w:rsidRPr="00FA00EF" w:rsidRDefault="008977B5" w:rsidP="00631009">
      <w:pPr>
        <w:spacing w:after="0" w:line="240" w:lineRule="auto"/>
        <w:rPr>
          <w:rFonts w:cs="Arial"/>
          <w:sz w:val="24"/>
          <w:szCs w:val="24"/>
        </w:rPr>
      </w:pPr>
    </w:p>
    <w:p w:rsidR="004C1927" w:rsidRPr="00FA00EF" w:rsidRDefault="008977B5" w:rsidP="00631009">
      <w:pPr>
        <w:spacing w:after="0" w:line="240" w:lineRule="auto"/>
        <w:rPr>
          <w:rFonts w:cs="Arial"/>
          <w:sz w:val="24"/>
          <w:szCs w:val="24"/>
        </w:rPr>
      </w:pPr>
      <w:r w:rsidRPr="00FA00EF">
        <w:rPr>
          <w:rFonts w:cs="Arial"/>
          <w:sz w:val="24"/>
          <w:szCs w:val="24"/>
        </w:rPr>
        <w:t xml:space="preserve">In light of the Committee’s </w:t>
      </w:r>
      <w:r w:rsidR="006D6693">
        <w:rPr>
          <w:rFonts w:cs="Arial"/>
          <w:sz w:val="24"/>
          <w:szCs w:val="24"/>
        </w:rPr>
        <w:t>comments</w:t>
      </w:r>
      <w:r w:rsidRPr="00FA00EF">
        <w:rPr>
          <w:rFonts w:cs="Arial"/>
          <w:sz w:val="24"/>
          <w:szCs w:val="24"/>
        </w:rPr>
        <w:t xml:space="preserve"> about further explanation being required, I </w:t>
      </w:r>
      <w:r w:rsidR="00C23462" w:rsidRPr="00FA00EF">
        <w:rPr>
          <w:rFonts w:cs="Arial"/>
          <w:sz w:val="24"/>
          <w:szCs w:val="24"/>
        </w:rPr>
        <w:t xml:space="preserve">will address this in the </w:t>
      </w:r>
      <w:r w:rsidRPr="00FA00EF">
        <w:rPr>
          <w:rFonts w:cs="Arial"/>
          <w:sz w:val="24"/>
          <w:szCs w:val="24"/>
        </w:rPr>
        <w:t>Revised Explanatory Statement.</w:t>
      </w:r>
    </w:p>
    <w:p w:rsidR="00DB1A16" w:rsidRPr="00FA00EF" w:rsidRDefault="00DB1A16" w:rsidP="00631009">
      <w:pPr>
        <w:spacing w:after="0" w:line="240" w:lineRule="auto"/>
        <w:rPr>
          <w:rFonts w:ascii="Calibri" w:hAnsi="Calibri" w:cs="Calibri"/>
          <w:color w:val="000000"/>
          <w:sz w:val="24"/>
          <w:szCs w:val="24"/>
        </w:rPr>
      </w:pPr>
    </w:p>
    <w:p w:rsidR="00DC7B8D" w:rsidRPr="00FA00EF" w:rsidRDefault="004C1927" w:rsidP="00DC7B8D">
      <w:pPr>
        <w:spacing w:after="0" w:line="240" w:lineRule="auto"/>
        <w:rPr>
          <w:sz w:val="24"/>
          <w:szCs w:val="24"/>
        </w:rPr>
      </w:pPr>
      <w:r w:rsidRPr="00FA00EF">
        <w:rPr>
          <w:sz w:val="24"/>
          <w:szCs w:val="24"/>
        </w:rPr>
        <w:t>I trust that this</w:t>
      </w:r>
      <w:r w:rsidR="00DC7B8D" w:rsidRPr="00FA00EF">
        <w:rPr>
          <w:sz w:val="24"/>
          <w:szCs w:val="24"/>
        </w:rPr>
        <w:t xml:space="preserve"> response addresses the Committee’s comments in relation to the Bill</w:t>
      </w:r>
      <w:r w:rsidR="0079719B" w:rsidRPr="00FA00EF">
        <w:rPr>
          <w:sz w:val="24"/>
          <w:szCs w:val="24"/>
        </w:rPr>
        <w:t>.</w:t>
      </w:r>
    </w:p>
    <w:p w:rsidR="000A4D17" w:rsidRPr="00FA00EF" w:rsidRDefault="000A4D17" w:rsidP="000A4D17">
      <w:pPr>
        <w:spacing w:after="0" w:line="240" w:lineRule="auto"/>
        <w:rPr>
          <w:sz w:val="24"/>
          <w:szCs w:val="24"/>
        </w:rPr>
      </w:pPr>
    </w:p>
    <w:p w:rsidR="00AD7D31" w:rsidRPr="00FA00EF" w:rsidRDefault="00AD7D31" w:rsidP="00AD7D31">
      <w:pPr>
        <w:spacing w:after="0" w:line="240" w:lineRule="auto"/>
        <w:rPr>
          <w:rFonts w:ascii="Calibri" w:hAnsi="Calibri"/>
          <w:sz w:val="24"/>
          <w:szCs w:val="24"/>
        </w:rPr>
      </w:pPr>
      <w:r w:rsidRPr="00FA00EF">
        <w:rPr>
          <w:rFonts w:ascii="Calibri" w:hAnsi="Calibri"/>
          <w:sz w:val="24"/>
          <w:szCs w:val="24"/>
        </w:rPr>
        <w:t>Yours sincerely</w:t>
      </w:r>
    </w:p>
    <w:p w:rsidR="00A84CA4" w:rsidRPr="00FA00EF" w:rsidRDefault="00A84CA4" w:rsidP="00AD7D31">
      <w:pPr>
        <w:spacing w:after="0" w:line="240" w:lineRule="auto"/>
        <w:rPr>
          <w:rFonts w:ascii="Calibri" w:hAnsi="Calibri"/>
          <w:sz w:val="24"/>
          <w:szCs w:val="24"/>
        </w:rPr>
      </w:pPr>
    </w:p>
    <w:p w:rsidR="00AD7D31" w:rsidRPr="00FA00EF" w:rsidRDefault="00AD7D31" w:rsidP="00AD7D31">
      <w:pPr>
        <w:spacing w:after="0" w:line="240" w:lineRule="auto"/>
        <w:rPr>
          <w:rFonts w:ascii="Calibri" w:hAnsi="Calibri"/>
          <w:sz w:val="24"/>
          <w:szCs w:val="24"/>
        </w:rPr>
      </w:pPr>
    </w:p>
    <w:p w:rsidR="00A84CA4" w:rsidRPr="00FA00EF" w:rsidRDefault="00A84CA4" w:rsidP="00AD7D31">
      <w:pPr>
        <w:spacing w:after="0" w:line="240" w:lineRule="auto"/>
        <w:rPr>
          <w:rFonts w:ascii="Calibri" w:hAnsi="Calibri"/>
          <w:sz w:val="24"/>
          <w:szCs w:val="24"/>
        </w:rPr>
      </w:pPr>
    </w:p>
    <w:p w:rsidR="001A0503" w:rsidRDefault="00493B73" w:rsidP="00AD7D31">
      <w:pPr>
        <w:spacing w:after="0" w:line="240" w:lineRule="auto"/>
        <w:rPr>
          <w:rFonts w:ascii="Calibri" w:hAnsi="Calibri"/>
          <w:sz w:val="24"/>
          <w:szCs w:val="24"/>
        </w:rPr>
      </w:pPr>
      <w:r w:rsidRPr="00FA00EF">
        <w:rPr>
          <w:rFonts w:ascii="Calibri" w:hAnsi="Calibri"/>
          <w:sz w:val="24"/>
          <w:szCs w:val="24"/>
        </w:rPr>
        <w:t>Gordon</w:t>
      </w:r>
      <w:r w:rsidR="00AD7D31" w:rsidRPr="00FA00EF">
        <w:rPr>
          <w:rFonts w:ascii="Calibri" w:hAnsi="Calibri"/>
          <w:sz w:val="24"/>
          <w:szCs w:val="24"/>
        </w:rPr>
        <w:t xml:space="preserve"> </w:t>
      </w:r>
      <w:r w:rsidRPr="00FA00EF">
        <w:rPr>
          <w:rFonts w:ascii="Calibri" w:hAnsi="Calibri"/>
          <w:sz w:val="24"/>
          <w:szCs w:val="24"/>
        </w:rPr>
        <w:t>Ramsay</w:t>
      </w:r>
      <w:r w:rsidR="00AD7D31" w:rsidRPr="00FA00EF">
        <w:rPr>
          <w:rFonts w:ascii="Calibri" w:hAnsi="Calibri"/>
          <w:sz w:val="24"/>
          <w:szCs w:val="24"/>
        </w:rPr>
        <w:t xml:space="preserve"> MLA</w:t>
      </w:r>
    </w:p>
    <w:p w:rsidR="00D71DFB" w:rsidRPr="00FA00EF" w:rsidRDefault="00D71DFB" w:rsidP="00AD7D31">
      <w:pPr>
        <w:spacing w:after="0" w:line="240" w:lineRule="auto"/>
        <w:rPr>
          <w:rFonts w:ascii="Calibri" w:hAnsi="Calibri"/>
          <w:sz w:val="24"/>
          <w:szCs w:val="24"/>
        </w:rPr>
      </w:pPr>
      <w:r>
        <w:rPr>
          <w:rFonts w:ascii="Calibri" w:hAnsi="Calibri"/>
          <w:sz w:val="24"/>
          <w:szCs w:val="24"/>
        </w:rPr>
        <w:t>Attorney-General</w:t>
      </w:r>
      <w:bookmarkStart w:id="0" w:name="_GoBack"/>
      <w:bookmarkEnd w:id="0"/>
    </w:p>
    <w:sectPr w:rsidR="00D71DFB" w:rsidRPr="00FA00EF" w:rsidSect="004903F3">
      <w:headerReference w:type="even" r:id="rId8"/>
      <w:headerReference w:type="default" r:id="rId9"/>
      <w:footerReference w:type="even" r:id="rId10"/>
      <w:footerReference w:type="default" r:id="rId11"/>
      <w:headerReference w:type="first" r:id="rId12"/>
      <w:footerReference w:type="first" r:id="rId13"/>
      <w:pgSz w:w="11906" w:h="16838" w:code="9"/>
      <w:pgMar w:top="1440" w:right="1021" w:bottom="1440" w:left="1021" w:header="99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80" w:rsidRDefault="007D6F80" w:rsidP="00AD7D31">
      <w:pPr>
        <w:spacing w:after="0" w:line="240" w:lineRule="auto"/>
      </w:pPr>
      <w:r>
        <w:separator/>
      </w:r>
    </w:p>
  </w:endnote>
  <w:endnote w:type="continuationSeparator" w:id="0">
    <w:p w:rsidR="007D6F80" w:rsidRDefault="007D6F80"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13" w:rsidRDefault="00C74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13" w:rsidRDefault="00C74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13" w:rsidRDefault="00C74D13"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C74D13" w:rsidRPr="009C2877" w:rsidRDefault="005A5C5E" w:rsidP="0064748B">
    <w:pPr>
      <w:pStyle w:val="BodyText"/>
      <w:tabs>
        <w:tab w:val="left" w:pos="3342"/>
      </w:tabs>
      <w:spacing w:before="44" w:after="80"/>
      <w:ind w:left="0"/>
      <w:rPr>
        <w:sz w:val="20"/>
        <w:szCs w:val="20"/>
      </w:rPr>
    </w:pPr>
    <w:r>
      <w:rPr>
        <w:noProof/>
        <w:sz w:val="20"/>
        <w:szCs w:val="20"/>
        <w:lang w:val="en-AU" w:eastAsia="en-AU"/>
      </w:rPr>
      <w:pict>
        <v:group id="Group 12" o:spid="_x0000_s2060"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2061"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C74D13" w:rsidRPr="009C2877">
      <w:rPr>
        <w:rFonts w:ascii="Calibri Light"/>
        <w:color w:val="231F20"/>
        <w:sz w:val="20"/>
        <w:szCs w:val="20"/>
      </w:rPr>
      <w:t>London Circui</w:t>
    </w:r>
    <w:r w:rsidR="00C74D13">
      <w:rPr>
        <w:rFonts w:ascii="Calibri Light"/>
        <w:color w:val="231F20"/>
        <w:sz w:val="20"/>
        <w:szCs w:val="20"/>
      </w:rPr>
      <w:t xml:space="preserve">t, Canberra ACT 2601, Australia        </w:t>
    </w:r>
    <w:r w:rsidR="00C74D13" w:rsidRPr="009C2877">
      <w:rPr>
        <w:rFonts w:ascii="Calibri Light"/>
        <w:color w:val="231F20"/>
        <w:sz w:val="20"/>
        <w:szCs w:val="20"/>
      </w:rPr>
      <w:t>GPO Box 1020, Canberra ACT 2601, Australia</w:t>
    </w:r>
    <w:r w:rsidR="00C74D13" w:rsidRPr="009C2877">
      <w:rPr>
        <w:rFonts w:ascii="Calibri Light"/>
        <w:color w:val="231F20"/>
        <w:sz w:val="20"/>
        <w:szCs w:val="20"/>
      </w:rPr>
      <w:br/>
    </w:r>
    <w:r w:rsidR="00C74D13" w:rsidRPr="009C2877">
      <w:rPr>
        <w:rFonts w:ascii="Calibri Light"/>
        <w:b/>
        <w:color w:val="231F20"/>
        <w:sz w:val="20"/>
        <w:szCs w:val="20"/>
      </w:rPr>
      <w:t>Phone</w:t>
    </w:r>
    <w:r w:rsidR="00C74D13" w:rsidRPr="009C2877">
      <w:rPr>
        <w:rFonts w:ascii="Calibri Light"/>
        <w:color w:val="231F20"/>
        <w:sz w:val="20"/>
        <w:szCs w:val="20"/>
      </w:rPr>
      <w:t xml:space="preserve"> +61 2 6205 </w:t>
    </w:r>
    <w:r w:rsidR="00C74D13">
      <w:rPr>
        <w:rFonts w:ascii="Calibri Light"/>
        <w:color w:val="231F20"/>
        <w:sz w:val="20"/>
        <w:szCs w:val="20"/>
      </w:rPr>
      <w:t>2615</w:t>
    </w:r>
    <w:r w:rsidR="00C74D13" w:rsidRPr="009C2877">
      <w:rPr>
        <w:sz w:val="20"/>
        <w:szCs w:val="20"/>
      </w:rPr>
      <w:t>    </w:t>
    </w:r>
    <w:r w:rsidR="00C74D13">
      <w:rPr>
        <w:rFonts w:ascii="Calibri Light"/>
        <w:b/>
        <w:sz w:val="20"/>
        <w:szCs w:val="20"/>
      </w:rPr>
      <w:t xml:space="preserve"> </w:t>
    </w:r>
    <w:r w:rsidR="00C74D13" w:rsidRPr="00E52D79">
      <w:rPr>
        <w:rFonts w:ascii="Calibri Light"/>
        <w:b/>
        <w:sz w:val="20"/>
        <w:szCs w:val="20"/>
      </w:rPr>
      <w:t>Email</w:t>
    </w:r>
    <w:r w:rsidR="00C74D13" w:rsidRPr="00E52D79">
      <w:rPr>
        <w:rFonts w:ascii="Calibri Light"/>
        <w:sz w:val="20"/>
        <w:szCs w:val="20"/>
      </w:rPr>
      <w:t xml:space="preserve"> r</w:t>
    </w:r>
    <w:r w:rsidR="00C74D13" w:rsidRPr="00E52D79">
      <w:rPr>
        <w:rFonts w:ascii="Calibri Light"/>
        <w:spacing w:val="-2"/>
        <w:sz w:val="20"/>
        <w:szCs w:val="20"/>
      </w:rPr>
      <w:t>amsay@act.gov.au</w:t>
    </w:r>
    <w:r>
      <w:rPr>
        <w:noProof/>
        <w:sz w:val="20"/>
        <w:szCs w:val="20"/>
        <w:lang w:val="en-AU" w:eastAsia="en-AU"/>
      </w:rPr>
      <w:pict>
        <v:group id="Group 14" o:spid="_x0000_s2052"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205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05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05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05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05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05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05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C74D13" w:rsidRPr="0064748B" w:rsidRDefault="005A5C5E" w:rsidP="0064748B">
    <w:pPr>
      <w:pStyle w:val="Footer"/>
    </w:pPr>
    <w:r w:rsidRPr="005A5C5E">
      <w:rPr>
        <w:noProof/>
        <w:sz w:val="20"/>
        <w:szCs w:val="20"/>
        <w:lang w:eastAsia="en-AU"/>
      </w:rPr>
      <w:pict>
        <v:shapetype id="_x0000_t202" coordsize="21600,21600" o:spt="202" path="m,l,21600r21600,l21600,xe">
          <v:stroke joinstyle="miter"/>
          <v:path gradientshapeok="t" o:connecttype="rect"/>
        </v:shapetype>
        <v:shape id="Text Box 10" o:spid="_x0000_s2063" type="#_x0000_t202" style="position:absolute;margin-left:234.75pt;margin-top:808.5pt;width:114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2R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" filled="f" stroked="f">
          <v:textbox inset="0,0,0,0">
            <w:txbxContent>
              <w:p w:rsidR="00C74D13" w:rsidRPr="00E52D79" w:rsidRDefault="00C74D13" w:rsidP="00DD5480">
                <w:pPr>
                  <w:rPr>
                    <w:rFonts w:asciiTheme="majorHAnsi" w:hAnsiTheme="majorHAnsi"/>
                    <w:sz w:val="24"/>
                    <w:szCs w:val="24"/>
                  </w:rPr>
                </w:pPr>
                <w:r w:rsidRPr="00E52D79">
                  <w:rPr>
                    <w:rFonts w:asciiTheme="majorHAnsi" w:hAnsiTheme="majorHAnsi"/>
                    <w:sz w:val="24"/>
                    <w:szCs w:val="24"/>
                  </w:rPr>
                  <w:t>Gordon Ramsay MLA</w:t>
                </w:r>
              </w:p>
              <w:p w:rsidR="00C74D13" w:rsidRPr="0039472D" w:rsidRDefault="00C74D13" w:rsidP="0064748B">
                <w:pPr>
                  <w:pStyle w:val="BodyText"/>
                  <w:spacing w:line="244" w:lineRule="exact"/>
                  <w:rPr>
                    <w:rFonts w:ascii="Calibri Light" w:eastAsia="Calibri Light" w:hAnsi="Calibri Light" w:cs="Calibri Light"/>
                    <w:sz w:val="24"/>
                    <w:szCs w:val="24"/>
                  </w:rPr>
                </w:pPr>
              </w:p>
            </w:txbxContent>
          </v:textbox>
          <w10:wrap anchorx="page" anchory="page"/>
        </v:shape>
      </w:pict>
    </w:r>
    <w:r w:rsidRPr="005A5C5E">
      <w:rPr>
        <w:noProof/>
        <w:sz w:val="20"/>
        <w:szCs w:val="20"/>
        <w:lang w:eastAsia="en-AU"/>
      </w:rPr>
      <w:pict>
        <v:shape id="Text Box 11" o:spid="_x0000_s2062" type="#_x0000_t202" style="position:absolute;margin-left:74.25pt;margin-top:806.25pt;width:110.25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" filled="f" stroked="f">
          <v:textbox inset="0,0,0,0">
            <w:txbxContent>
              <w:p w:rsidR="00C74D13" w:rsidRPr="0039472D" w:rsidRDefault="00C74D13"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w:t>
                </w:r>
                <w:proofErr w:type="spellStart"/>
                <w:r w:rsidRPr="00D10354">
                  <w:rPr>
                    <w:rFonts w:ascii="Calibri Light" w:eastAsia="Calibri Light" w:hAnsi="Calibri Light" w:cs="Calibri Light"/>
                    <w:sz w:val="24"/>
                    <w:szCs w:val="24"/>
                  </w:rPr>
                  <w:t>Gordon_R_Ramsay</w:t>
                </w:r>
                <w:proofErr w:type="spellEnd"/>
              </w:p>
            </w:txbxContent>
          </v:textbox>
          <w10:wrap anchorx="page" anchory="page"/>
        </v:shape>
      </w:pict>
    </w:r>
    <w:r w:rsidRPr="005A5C5E">
      <w:rPr>
        <w:noProof/>
        <w:sz w:val="20"/>
        <w:szCs w:val="20"/>
        <w:lang w:eastAsia="en-AU"/>
      </w:rPr>
      <w:pict>
        <v:group id="Group 22" o:spid="_x0000_s2049" style="position:absolute;margin-left:208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">
          <v:shape id="Freeform 14" o:spid="_x0000_s205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05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80" w:rsidRDefault="007D6F80" w:rsidP="00AD7D31">
      <w:pPr>
        <w:spacing w:after="0" w:line="240" w:lineRule="auto"/>
      </w:pPr>
      <w:r>
        <w:separator/>
      </w:r>
    </w:p>
  </w:footnote>
  <w:footnote w:type="continuationSeparator" w:id="0">
    <w:p w:rsidR="007D6F80" w:rsidRDefault="007D6F80" w:rsidP="00AD7D31">
      <w:pPr>
        <w:spacing w:after="0" w:line="240" w:lineRule="auto"/>
      </w:pPr>
      <w:r>
        <w:continuationSeparator/>
      </w:r>
    </w:p>
  </w:footnote>
  <w:footnote w:id="1">
    <w:p w:rsidR="00C74D13" w:rsidRDefault="00C74D13" w:rsidP="00307DB7">
      <w:pPr>
        <w:pStyle w:val="FootnoteText"/>
      </w:pPr>
      <w:r>
        <w:rPr>
          <w:rStyle w:val="FootnoteReference"/>
        </w:rPr>
        <w:footnoteRef/>
      </w:r>
      <w:r>
        <w:t xml:space="preserve"> AUSTRAC, (undated), </w:t>
      </w:r>
      <w:r w:rsidRPr="009C0D25">
        <w:rPr>
          <w:i/>
        </w:rPr>
        <w:t xml:space="preserve">Taskforce </w:t>
      </w:r>
      <w:proofErr w:type="spellStart"/>
      <w:r w:rsidRPr="009C0D25">
        <w:rPr>
          <w:i/>
        </w:rPr>
        <w:t>Eligo</w:t>
      </w:r>
      <w:proofErr w:type="spellEnd"/>
      <w:r w:rsidRPr="009C0D25">
        <w:rPr>
          <w:i/>
        </w:rPr>
        <w:t>: Money laundering</w:t>
      </w:r>
      <w:r>
        <w:t xml:space="preserve">, available at: </w:t>
      </w:r>
      <w:hyperlink r:id="rId1" w:history="1">
        <w:r w:rsidRPr="009C0D25">
          <w:rPr>
            <w:rStyle w:val="Hyperlink"/>
            <w:color w:val="auto"/>
          </w:rPr>
          <w:t>http://www.austrac.gov.au/sites/default/files/documents/eligo_ml_fact_sheet.pdf</w:t>
        </w:r>
      </w:hyperlink>
      <w:r>
        <w:t>, accessed 12 September 2017.</w:t>
      </w:r>
    </w:p>
  </w:footnote>
  <w:footnote w:id="2">
    <w:p w:rsidR="00C74D13" w:rsidRDefault="00C74D13" w:rsidP="00307DB7">
      <w:pPr>
        <w:pStyle w:val="FootnoteText"/>
      </w:pPr>
      <w:r>
        <w:rPr>
          <w:rStyle w:val="FootnoteReference"/>
        </w:rPr>
        <w:footnoteRef/>
      </w:r>
      <w:r>
        <w:t xml:space="preserve"> McMillen, Jan and Woolley, Richard, (2000), </w:t>
      </w:r>
      <w:r w:rsidRPr="00BB3A03">
        <w:rPr>
          <w:i/>
        </w:rPr>
        <w:t>Money Laundering in Australian Casinos</w:t>
      </w:r>
      <w:r>
        <w:t>, Australian Institute for Gambling Research – University of Western Sydney, 3</w:t>
      </w:r>
      <w:r w:rsidRPr="004C643E">
        <w:rPr>
          <w:vertAlign w:val="superscript"/>
        </w:rPr>
        <w:t>rd</w:t>
      </w:r>
      <w:r>
        <w:t xml:space="preserve"> National Gambling Regulation Conference, </w:t>
      </w:r>
      <w:hyperlink r:id="rId2" w:history="1">
        <w:r w:rsidRPr="009C0D25">
          <w:rPr>
            <w:rStyle w:val="Hyperlink"/>
            <w:color w:val="auto"/>
          </w:rPr>
          <w:t>http://www.aic.gov.au/media_library/conferences/gambling00/mcmillen.pdf</w:t>
        </w:r>
      </w:hyperlink>
      <w:r w:rsidRPr="009C0D25">
        <w:t>, a</w:t>
      </w:r>
      <w:r>
        <w:t>ccessed 12 September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13" w:rsidRDefault="00C74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13" w:rsidRDefault="00C74D13">
    <w:pPr>
      <w:pStyle w:val="Header"/>
    </w:pPr>
  </w:p>
  <w:p w:rsidR="00C74D13" w:rsidRDefault="00C74D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13" w:rsidRDefault="00C74D13" w:rsidP="003B0C47">
    <w:pPr>
      <w:tabs>
        <w:tab w:val="left" w:pos="7216"/>
      </w:tabs>
      <w:spacing w:before="179" w:after="0"/>
      <w:rPr>
        <w:rFonts w:ascii="Arial"/>
        <w:b/>
        <w:color w:val="231F20"/>
        <w:sz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Gordon Ramsay</w:t>
    </w:r>
    <w:r>
      <w:rPr>
        <w:rFonts w:ascii="Arial"/>
        <w:b/>
        <w:color w:val="231F20"/>
        <w:spacing w:val="15"/>
        <w:sz w:val="35"/>
      </w:rPr>
      <w:t xml:space="preserve"> </w:t>
    </w:r>
    <w:r>
      <w:rPr>
        <w:rFonts w:ascii="Arial"/>
        <w:b/>
        <w:color w:val="231F20"/>
        <w:sz w:val="24"/>
      </w:rPr>
      <w:t>MLA</w:t>
    </w:r>
  </w:p>
  <w:p w:rsidR="00C74D13" w:rsidRPr="004F08B7" w:rsidRDefault="00C74D13" w:rsidP="003B0C47">
    <w:pPr>
      <w:tabs>
        <w:tab w:val="left" w:pos="7216"/>
      </w:tabs>
      <w:spacing w:before="80"/>
      <w:rPr>
        <w:rFonts w:asciiTheme="majorHAnsi" w:hAnsiTheme="majorHAnsi"/>
      </w:rPr>
    </w:pPr>
    <w:r w:rsidRPr="004F08B7">
      <w:rPr>
        <w:rFonts w:asciiTheme="majorHAnsi" w:hAnsiTheme="majorHAnsi"/>
      </w:rPr>
      <w:t>Member</w:t>
    </w:r>
    <w:r w:rsidRPr="004F08B7">
      <w:rPr>
        <w:rFonts w:asciiTheme="majorHAnsi" w:hAnsiTheme="majorHAnsi"/>
        <w:spacing w:val="-5"/>
      </w:rPr>
      <w:t xml:space="preserve"> </w:t>
    </w:r>
    <w:r w:rsidRPr="004F08B7">
      <w:rPr>
        <w:rFonts w:asciiTheme="majorHAnsi" w:hAnsiTheme="majorHAnsi"/>
        <w:spacing w:val="-2"/>
      </w:rPr>
      <w:t>for</w:t>
    </w:r>
    <w:r w:rsidRPr="004F08B7">
      <w:rPr>
        <w:rFonts w:asciiTheme="majorHAnsi" w:hAnsiTheme="majorHAnsi"/>
        <w:spacing w:val="-4"/>
      </w:rPr>
      <w:t xml:space="preserve"> </w:t>
    </w:r>
    <w:r w:rsidRPr="004F08B7">
      <w:rPr>
        <w:rFonts w:asciiTheme="majorHAnsi" w:hAnsiTheme="majorHAnsi"/>
      </w:rPr>
      <w:t>Ginninderra</w:t>
    </w:r>
  </w:p>
  <w:p w:rsidR="00C74D13" w:rsidRPr="00493B73" w:rsidRDefault="00C74D1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Attorney-General</w:t>
    </w:r>
  </w:p>
  <w:p w:rsidR="00C74D13" w:rsidRPr="00493B73" w:rsidRDefault="00C74D1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Regulatory Services</w:t>
    </w:r>
  </w:p>
  <w:p w:rsidR="00C74D13" w:rsidRPr="00493B73" w:rsidRDefault="00C74D1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the Arts and Community Events</w:t>
    </w:r>
  </w:p>
  <w:p w:rsidR="00C74D13" w:rsidRDefault="00C74D1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Veterans and Seniors</w:t>
    </w:r>
  </w:p>
  <w:p w:rsidR="00C74D13" w:rsidRDefault="00C74D13" w:rsidP="00493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60BA83"/>
    <w:multiLevelType w:val="hybridMultilevel"/>
    <w:tmpl w:val="A109B8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E5FEB"/>
    <w:multiLevelType w:val="hybridMultilevel"/>
    <w:tmpl w:val="37E84A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337AC6"/>
    <w:multiLevelType w:val="hybridMultilevel"/>
    <w:tmpl w:val="B1FC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342205"/>
    <w:multiLevelType w:val="hybridMultilevel"/>
    <w:tmpl w:val="997819A8"/>
    <w:lvl w:ilvl="0" w:tplc="8222F748">
      <w:start w:val="1"/>
      <w:numFmt w:val="bullet"/>
      <w:pStyle w:val="Asubparabullet"/>
      <w:lvlText w:val=""/>
      <w:lvlJc w:val="left"/>
      <w:pPr>
        <w:tabs>
          <w:tab w:val="num" w:pos="2540"/>
        </w:tabs>
        <w:ind w:left="254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13A0EE2"/>
    <w:multiLevelType w:val="hybridMultilevel"/>
    <w:tmpl w:val="286896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D0754BF"/>
    <w:multiLevelType w:val="hybridMultilevel"/>
    <w:tmpl w:val="7012E512"/>
    <w:lvl w:ilvl="0" w:tplc="7A22FE9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2E1B80"/>
    <w:multiLevelType w:val="hybridMultilevel"/>
    <w:tmpl w:val="62F01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E653F5"/>
    <w:multiLevelType w:val="hybridMultilevel"/>
    <w:tmpl w:val="D8781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5B6E8E"/>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71C5BC1"/>
    <w:multiLevelType w:val="hybridMultilevel"/>
    <w:tmpl w:val="8E6EB5B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D3732E2"/>
    <w:multiLevelType w:val="hybridMultilevel"/>
    <w:tmpl w:val="7FAC4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06351C"/>
    <w:multiLevelType w:val="hybridMultilevel"/>
    <w:tmpl w:val="6410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5E0A4F"/>
    <w:multiLevelType w:val="hybridMultilevel"/>
    <w:tmpl w:val="4D64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49467D"/>
    <w:multiLevelType w:val="hybridMultilevel"/>
    <w:tmpl w:val="FE966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AB6E0D"/>
    <w:multiLevelType w:val="hybridMultilevel"/>
    <w:tmpl w:val="1C74FD80"/>
    <w:lvl w:ilvl="0" w:tplc="FA74CA5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AE0215"/>
    <w:multiLevelType w:val="hybridMultilevel"/>
    <w:tmpl w:val="38381672"/>
    <w:lvl w:ilvl="0" w:tplc="037AAE38">
      <w:start w:val="1"/>
      <w:numFmt w:val="lowerLetter"/>
      <w:lvlText w:val="(%1)"/>
      <w:lvlJc w:val="left"/>
      <w:pPr>
        <w:tabs>
          <w:tab w:val="num" w:pos="303"/>
        </w:tabs>
        <w:ind w:left="303" w:hanging="360"/>
      </w:pPr>
      <w:rPr>
        <w:rFonts w:hint="default"/>
      </w:rPr>
    </w:lvl>
    <w:lvl w:ilvl="1" w:tplc="0C090019" w:tentative="1">
      <w:start w:val="1"/>
      <w:numFmt w:val="lowerLetter"/>
      <w:lvlText w:val="%2."/>
      <w:lvlJc w:val="left"/>
      <w:pPr>
        <w:tabs>
          <w:tab w:val="num" w:pos="1023"/>
        </w:tabs>
        <w:ind w:left="1023" w:hanging="360"/>
      </w:pPr>
    </w:lvl>
    <w:lvl w:ilvl="2" w:tplc="0C09001B" w:tentative="1">
      <w:start w:val="1"/>
      <w:numFmt w:val="lowerRoman"/>
      <w:lvlText w:val="%3."/>
      <w:lvlJc w:val="right"/>
      <w:pPr>
        <w:tabs>
          <w:tab w:val="num" w:pos="1743"/>
        </w:tabs>
        <w:ind w:left="1743" w:hanging="180"/>
      </w:pPr>
    </w:lvl>
    <w:lvl w:ilvl="3" w:tplc="0C09000F" w:tentative="1">
      <w:start w:val="1"/>
      <w:numFmt w:val="decimal"/>
      <w:lvlText w:val="%4."/>
      <w:lvlJc w:val="left"/>
      <w:pPr>
        <w:tabs>
          <w:tab w:val="num" w:pos="2463"/>
        </w:tabs>
        <w:ind w:left="2463" w:hanging="360"/>
      </w:pPr>
    </w:lvl>
    <w:lvl w:ilvl="4" w:tplc="0C090019" w:tentative="1">
      <w:start w:val="1"/>
      <w:numFmt w:val="lowerLetter"/>
      <w:lvlText w:val="%5."/>
      <w:lvlJc w:val="left"/>
      <w:pPr>
        <w:tabs>
          <w:tab w:val="num" w:pos="3183"/>
        </w:tabs>
        <w:ind w:left="3183" w:hanging="360"/>
      </w:pPr>
    </w:lvl>
    <w:lvl w:ilvl="5" w:tplc="0C09001B" w:tentative="1">
      <w:start w:val="1"/>
      <w:numFmt w:val="lowerRoman"/>
      <w:lvlText w:val="%6."/>
      <w:lvlJc w:val="right"/>
      <w:pPr>
        <w:tabs>
          <w:tab w:val="num" w:pos="3903"/>
        </w:tabs>
        <w:ind w:left="3903" w:hanging="180"/>
      </w:pPr>
    </w:lvl>
    <w:lvl w:ilvl="6" w:tplc="0C09000F" w:tentative="1">
      <w:start w:val="1"/>
      <w:numFmt w:val="decimal"/>
      <w:lvlText w:val="%7."/>
      <w:lvlJc w:val="left"/>
      <w:pPr>
        <w:tabs>
          <w:tab w:val="num" w:pos="4623"/>
        </w:tabs>
        <w:ind w:left="4623" w:hanging="360"/>
      </w:pPr>
    </w:lvl>
    <w:lvl w:ilvl="7" w:tplc="0C090019" w:tentative="1">
      <w:start w:val="1"/>
      <w:numFmt w:val="lowerLetter"/>
      <w:lvlText w:val="%8."/>
      <w:lvlJc w:val="left"/>
      <w:pPr>
        <w:tabs>
          <w:tab w:val="num" w:pos="5343"/>
        </w:tabs>
        <w:ind w:left="5343" w:hanging="360"/>
      </w:pPr>
    </w:lvl>
    <w:lvl w:ilvl="8" w:tplc="0C09001B" w:tentative="1">
      <w:start w:val="1"/>
      <w:numFmt w:val="lowerRoman"/>
      <w:lvlText w:val="%9."/>
      <w:lvlJc w:val="right"/>
      <w:pPr>
        <w:tabs>
          <w:tab w:val="num" w:pos="6063"/>
        </w:tabs>
        <w:ind w:left="6063" w:hanging="180"/>
      </w:pPr>
    </w:lvl>
  </w:abstractNum>
  <w:abstractNum w:abstractNumId="16">
    <w:nsid w:val="56D03144"/>
    <w:multiLevelType w:val="hybridMultilevel"/>
    <w:tmpl w:val="59080E56"/>
    <w:lvl w:ilvl="0" w:tplc="37F05722">
      <w:start w:val="1"/>
      <w:numFmt w:val="decimal"/>
      <w:lvlText w:val="%1."/>
      <w:lvlJc w:val="left"/>
      <w:pPr>
        <w:ind w:left="360" w:hanging="360"/>
      </w:pPr>
      <w:rPr>
        <w:rFonts w:ascii="Times New Roman" w:eastAsia="Times New Roman" w:hAnsi="Times New Roman"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8A0330C"/>
    <w:multiLevelType w:val="hybridMultilevel"/>
    <w:tmpl w:val="01F2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781551"/>
    <w:multiLevelType w:val="hybridMultilevel"/>
    <w:tmpl w:val="5CEC5D78"/>
    <w:lvl w:ilvl="0" w:tplc="B0AE839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95728D"/>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D9D0963"/>
    <w:multiLevelType w:val="hybridMultilevel"/>
    <w:tmpl w:val="821279D4"/>
    <w:lvl w:ilvl="0" w:tplc="624A1BB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CA308C"/>
    <w:multiLevelType w:val="hybridMultilevel"/>
    <w:tmpl w:val="51DE0D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FB51EB"/>
    <w:multiLevelType w:val="hybridMultilevel"/>
    <w:tmpl w:val="99C21E5E"/>
    <w:lvl w:ilvl="0" w:tplc="476A3E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200B12"/>
    <w:multiLevelType w:val="hybridMultilevel"/>
    <w:tmpl w:val="DB2A5C48"/>
    <w:lvl w:ilvl="0" w:tplc="8222F74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A260044"/>
    <w:multiLevelType w:val="hybridMultilevel"/>
    <w:tmpl w:val="B73A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00366B"/>
    <w:multiLevelType w:val="hybridMultilevel"/>
    <w:tmpl w:val="DE28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D05F84"/>
    <w:multiLevelType w:val="hybridMultilevel"/>
    <w:tmpl w:val="4D26FF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FDB7252"/>
    <w:multiLevelType w:val="hybridMultilevel"/>
    <w:tmpl w:val="02A4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F12C97"/>
    <w:multiLevelType w:val="hybridMultilevel"/>
    <w:tmpl w:val="B5AE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D25A65"/>
    <w:multiLevelType w:val="hybridMultilevel"/>
    <w:tmpl w:val="2F124E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429217E"/>
    <w:multiLevelType w:val="hybridMultilevel"/>
    <w:tmpl w:val="521C7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44E2A75"/>
    <w:multiLevelType w:val="hybridMultilevel"/>
    <w:tmpl w:val="CE588E40"/>
    <w:lvl w:ilvl="0" w:tplc="881284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B01716"/>
    <w:multiLevelType w:val="hybridMultilevel"/>
    <w:tmpl w:val="F2985C98"/>
    <w:lvl w:ilvl="0" w:tplc="3256886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5C1810"/>
    <w:multiLevelType w:val="hybridMultilevel"/>
    <w:tmpl w:val="A67EA232"/>
    <w:lvl w:ilvl="0" w:tplc="CC36ACAE">
      <w:start w:val="1"/>
      <w:numFmt w:val="decimal"/>
      <w:lvlText w:val="%1."/>
      <w:lvlJc w:val="left"/>
      <w:pPr>
        <w:tabs>
          <w:tab w:val="num" w:pos="567"/>
        </w:tabs>
        <w:ind w:left="0" w:firstLine="0"/>
      </w:pPr>
      <w:rPr>
        <w:rFonts w:hint="default"/>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15"/>
  </w:num>
  <w:num w:numId="5">
    <w:abstractNumId w:val="23"/>
  </w:num>
  <w:num w:numId="6">
    <w:abstractNumId w:val="5"/>
  </w:num>
  <w:num w:numId="7">
    <w:abstractNumId w:val="9"/>
  </w:num>
  <w:num w:numId="8">
    <w:abstractNumId w:val="3"/>
  </w:num>
  <w:num w:numId="9">
    <w:abstractNumId w:val="26"/>
  </w:num>
  <w:num w:numId="10">
    <w:abstractNumId w:val="29"/>
  </w:num>
  <w:num w:numId="11">
    <w:abstractNumId w:val="33"/>
  </w:num>
  <w:num w:numId="12">
    <w:abstractNumId w:val="1"/>
  </w:num>
  <w:num w:numId="13">
    <w:abstractNumId w:val="16"/>
  </w:num>
  <w:num w:numId="14">
    <w:abstractNumId w:val="22"/>
  </w:num>
  <w:num w:numId="15">
    <w:abstractNumId w:val="31"/>
  </w:num>
  <w:num w:numId="16">
    <w:abstractNumId w:val="6"/>
  </w:num>
  <w:num w:numId="17">
    <w:abstractNumId w:val="28"/>
  </w:num>
  <w:num w:numId="18">
    <w:abstractNumId w:val="18"/>
  </w:num>
  <w:num w:numId="19">
    <w:abstractNumId w:val="21"/>
  </w:num>
  <w:num w:numId="20">
    <w:abstractNumId w:val="14"/>
  </w:num>
  <w:num w:numId="21">
    <w:abstractNumId w:val="12"/>
  </w:num>
  <w:num w:numId="22">
    <w:abstractNumId w:val="17"/>
  </w:num>
  <w:num w:numId="23">
    <w:abstractNumId w:val="27"/>
  </w:num>
  <w:num w:numId="24">
    <w:abstractNumId w:val="11"/>
  </w:num>
  <w:num w:numId="25">
    <w:abstractNumId w:val="24"/>
  </w:num>
  <w:num w:numId="26">
    <w:abstractNumId w:val="10"/>
  </w:num>
  <w:num w:numId="27">
    <w:abstractNumId w:val="32"/>
  </w:num>
  <w:num w:numId="28">
    <w:abstractNumId w:val="13"/>
  </w:num>
  <w:num w:numId="29">
    <w:abstractNumId w:val="19"/>
  </w:num>
  <w:num w:numId="30">
    <w:abstractNumId w:val="25"/>
  </w:num>
  <w:num w:numId="31">
    <w:abstractNumId w:val="30"/>
  </w:num>
  <w:num w:numId="32">
    <w:abstractNumId w:val="0"/>
  </w:num>
  <w:num w:numId="33">
    <w:abstractNumId w:val="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AD7D31"/>
    <w:rsid w:val="0000219C"/>
    <w:rsid w:val="000335A8"/>
    <w:rsid w:val="00051F29"/>
    <w:rsid w:val="000951CC"/>
    <w:rsid w:val="000A3803"/>
    <w:rsid w:val="000A4D17"/>
    <w:rsid w:val="000B5AE2"/>
    <w:rsid w:val="000F68F7"/>
    <w:rsid w:val="0010309E"/>
    <w:rsid w:val="00113168"/>
    <w:rsid w:val="00126293"/>
    <w:rsid w:val="001804F3"/>
    <w:rsid w:val="001A0503"/>
    <w:rsid w:val="00227574"/>
    <w:rsid w:val="00235EE7"/>
    <w:rsid w:val="002453A7"/>
    <w:rsid w:val="00254434"/>
    <w:rsid w:val="00272BDA"/>
    <w:rsid w:val="00273887"/>
    <w:rsid w:val="002B700A"/>
    <w:rsid w:val="002F2D4B"/>
    <w:rsid w:val="00307DB7"/>
    <w:rsid w:val="00324060"/>
    <w:rsid w:val="00371185"/>
    <w:rsid w:val="003B0C47"/>
    <w:rsid w:val="003B328E"/>
    <w:rsid w:val="003F2EBC"/>
    <w:rsid w:val="00441702"/>
    <w:rsid w:val="00446E67"/>
    <w:rsid w:val="004903F3"/>
    <w:rsid w:val="00493656"/>
    <w:rsid w:val="00493B73"/>
    <w:rsid w:val="004C1927"/>
    <w:rsid w:val="004C1D62"/>
    <w:rsid w:val="004C643E"/>
    <w:rsid w:val="004D49EC"/>
    <w:rsid w:val="004E3111"/>
    <w:rsid w:val="004F08B7"/>
    <w:rsid w:val="00505FB3"/>
    <w:rsid w:val="00505FF1"/>
    <w:rsid w:val="0053334E"/>
    <w:rsid w:val="0055749D"/>
    <w:rsid w:val="005A0A11"/>
    <w:rsid w:val="005A4689"/>
    <w:rsid w:val="005A5C5E"/>
    <w:rsid w:val="005B3DDD"/>
    <w:rsid w:val="005B47E2"/>
    <w:rsid w:val="005E7DE1"/>
    <w:rsid w:val="006145CA"/>
    <w:rsid w:val="00620DE2"/>
    <w:rsid w:val="00631009"/>
    <w:rsid w:val="0064748B"/>
    <w:rsid w:val="00655CD8"/>
    <w:rsid w:val="00694460"/>
    <w:rsid w:val="006945D6"/>
    <w:rsid w:val="006D6693"/>
    <w:rsid w:val="00782145"/>
    <w:rsid w:val="0079719B"/>
    <w:rsid w:val="007D6F80"/>
    <w:rsid w:val="007D7FAC"/>
    <w:rsid w:val="00806ACB"/>
    <w:rsid w:val="00834846"/>
    <w:rsid w:val="00847330"/>
    <w:rsid w:val="00855531"/>
    <w:rsid w:val="008977B5"/>
    <w:rsid w:val="008A0D4E"/>
    <w:rsid w:val="008A3E0D"/>
    <w:rsid w:val="008B060E"/>
    <w:rsid w:val="00981636"/>
    <w:rsid w:val="009A6C7B"/>
    <w:rsid w:val="009C0D25"/>
    <w:rsid w:val="009C0E1A"/>
    <w:rsid w:val="009C2877"/>
    <w:rsid w:val="00A26B23"/>
    <w:rsid w:val="00A44B5C"/>
    <w:rsid w:val="00A46C46"/>
    <w:rsid w:val="00A526C9"/>
    <w:rsid w:val="00A63D90"/>
    <w:rsid w:val="00A84CA4"/>
    <w:rsid w:val="00AB2990"/>
    <w:rsid w:val="00AD7D31"/>
    <w:rsid w:val="00B220DE"/>
    <w:rsid w:val="00B25753"/>
    <w:rsid w:val="00B31ABF"/>
    <w:rsid w:val="00B43A5A"/>
    <w:rsid w:val="00BB3A03"/>
    <w:rsid w:val="00BE33D5"/>
    <w:rsid w:val="00C05653"/>
    <w:rsid w:val="00C1219A"/>
    <w:rsid w:val="00C23462"/>
    <w:rsid w:val="00C37C88"/>
    <w:rsid w:val="00C43430"/>
    <w:rsid w:val="00C74D13"/>
    <w:rsid w:val="00CC3A2C"/>
    <w:rsid w:val="00CF1915"/>
    <w:rsid w:val="00D102D4"/>
    <w:rsid w:val="00D10354"/>
    <w:rsid w:val="00D13407"/>
    <w:rsid w:val="00D27611"/>
    <w:rsid w:val="00D41801"/>
    <w:rsid w:val="00D6753A"/>
    <w:rsid w:val="00D71DFB"/>
    <w:rsid w:val="00D810F5"/>
    <w:rsid w:val="00D96CE5"/>
    <w:rsid w:val="00DB1A16"/>
    <w:rsid w:val="00DC7B8D"/>
    <w:rsid w:val="00DD5480"/>
    <w:rsid w:val="00E46B16"/>
    <w:rsid w:val="00E52D79"/>
    <w:rsid w:val="00E9103C"/>
    <w:rsid w:val="00EA5686"/>
    <w:rsid w:val="00F2149F"/>
    <w:rsid w:val="00FA00EF"/>
    <w:rsid w:val="00FC0383"/>
    <w:rsid w:val="00FD77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11"/>
  </w:style>
  <w:style w:type="paragraph" w:styleId="Heading1">
    <w:name w:val="heading 1"/>
    <w:basedOn w:val="Normal"/>
    <w:next w:val="Normal"/>
    <w:link w:val="Heading1Char"/>
    <w:qFormat/>
    <w:rsid w:val="00A84CA4"/>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paragraph" w:styleId="Heading8">
    <w:name w:val="heading 8"/>
    <w:basedOn w:val="Normal"/>
    <w:next w:val="Normal"/>
    <w:link w:val="Heading8Char"/>
    <w:qFormat/>
    <w:rsid w:val="00A84CA4"/>
    <w:pPr>
      <w:keepNext/>
      <w:widowControl w:val="0"/>
      <w:spacing w:after="0" w:line="240" w:lineRule="auto"/>
      <w:jc w:val="right"/>
      <w:outlineLvl w:val="7"/>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customStyle="1" w:styleId="Default">
    <w:name w:val="Default"/>
    <w:rsid w:val="00A84CA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semiHidden/>
    <w:unhideWhenUsed/>
    <w:rsid w:val="00A8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A4"/>
    <w:rPr>
      <w:rFonts w:ascii="Tahoma" w:hAnsi="Tahoma" w:cs="Tahoma"/>
      <w:sz w:val="16"/>
      <w:szCs w:val="16"/>
    </w:rPr>
  </w:style>
  <w:style w:type="character" w:customStyle="1" w:styleId="Heading1Char">
    <w:name w:val="Heading 1 Char"/>
    <w:basedOn w:val="DefaultParagraphFont"/>
    <w:link w:val="Heading1"/>
    <w:rsid w:val="00A84CA4"/>
    <w:rPr>
      <w:rFonts w:ascii="Cambria" w:eastAsia="Times New Roman" w:hAnsi="Cambria" w:cs="Times New Roman"/>
      <w:b/>
      <w:bCs/>
      <w:color w:val="365F91"/>
      <w:sz w:val="28"/>
      <w:szCs w:val="28"/>
    </w:rPr>
  </w:style>
  <w:style w:type="character" w:customStyle="1" w:styleId="Heading8Char">
    <w:name w:val="Heading 8 Char"/>
    <w:basedOn w:val="DefaultParagraphFont"/>
    <w:link w:val="Heading8"/>
    <w:rsid w:val="00A84CA4"/>
    <w:rPr>
      <w:rFonts w:ascii="Times New Roman" w:eastAsia="Times New Roman" w:hAnsi="Times New Roman" w:cs="Times New Roman"/>
      <w:b/>
      <w:sz w:val="24"/>
      <w:szCs w:val="24"/>
      <w:lang w:val="en-US"/>
    </w:rPr>
  </w:style>
  <w:style w:type="paragraph" w:customStyle="1" w:styleId="HeaderEven">
    <w:name w:val="HeaderEven"/>
    <w:basedOn w:val="Normal"/>
    <w:rsid w:val="00A84CA4"/>
    <w:pPr>
      <w:spacing w:after="0" w:line="240" w:lineRule="auto"/>
    </w:pPr>
    <w:rPr>
      <w:rFonts w:ascii="Arial" w:eastAsia="Times New Roman" w:hAnsi="Arial" w:cs="Times New Roman"/>
      <w:sz w:val="18"/>
      <w:szCs w:val="20"/>
    </w:rPr>
  </w:style>
  <w:style w:type="paragraph" w:customStyle="1" w:styleId="HeaderEven6">
    <w:name w:val="HeaderEven6"/>
    <w:basedOn w:val="HeaderEven"/>
    <w:rsid w:val="00A84CA4"/>
    <w:pPr>
      <w:spacing w:before="120" w:after="60"/>
    </w:pPr>
  </w:style>
  <w:style w:type="paragraph" w:customStyle="1" w:styleId="N-9pt">
    <w:name w:val="N-9pt"/>
    <w:basedOn w:val="Normal"/>
    <w:next w:val="Normal"/>
    <w:rsid w:val="00A84CA4"/>
    <w:pPr>
      <w:keepNext/>
      <w:tabs>
        <w:tab w:val="right" w:pos="7707"/>
      </w:tabs>
      <w:spacing w:before="120" w:after="20" w:line="240" w:lineRule="auto"/>
      <w:jc w:val="both"/>
    </w:pPr>
    <w:rPr>
      <w:rFonts w:ascii="Arial" w:eastAsia="Times New Roman" w:hAnsi="Arial" w:cs="Times New Roman"/>
      <w:sz w:val="18"/>
      <w:szCs w:val="20"/>
    </w:rPr>
  </w:style>
  <w:style w:type="character" w:styleId="PageNumber">
    <w:name w:val="page number"/>
    <w:basedOn w:val="DefaultParagraphFont"/>
    <w:rsid w:val="00A84CA4"/>
    <w:rPr>
      <w:rFonts w:cs="Times New Roman"/>
    </w:rPr>
  </w:style>
  <w:style w:type="paragraph" w:customStyle="1" w:styleId="Status">
    <w:name w:val="Status"/>
    <w:basedOn w:val="Normal"/>
    <w:rsid w:val="00A84CA4"/>
    <w:pPr>
      <w:spacing w:before="280" w:after="0" w:line="240" w:lineRule="auto"/>
      <w:jc w:val="center"/>
    </w:pPr>
    <w:rPr>
      <w:rFonts w:ascii="Arial" w:eastAsia="Times New Roman" w:hAnsi="Arial" w:cs="Times New Roman"/>
      <w:sz w:val="14"/>
      <w:szCs w:val="20"/>
    </w:rPr>
  </w:style>
  <w:style w:type="paragraph" w:customStyle="1" w:styleId="Apara">
    <w:name w:val="A para"/>
    <w:basedOn w:val="Normal"/>
    <w:rsid w:val="00A84CA4"/>
    <w:pPr>
      <w:tabs>
        <w:tab w:val="right" w:pos="1400"/>
        <w:tab w:val="left" w:pos="1600"/>
      </w:tabs>
      <w:spacing w:before="80" w:after="6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A84CA4"/>
    <w:pPr>
      <w:tabs>
        <w:tab w:val="right" w:pos="1900"/>
        <w:tab w:val="left" w:pos="2100"/>
      </w:tabs>
      <w:spacing w:before="80" w:after="60" w:line="240" w:lineRule="auto"/>
      <w:ind w:left="2100" w:hanging="2100"/>
      <w:jc w:val="both"/>
      <w:outlineLvl w:val="7"/>
    </w:pPr>
    <w:rPr>
      <w:rFonts w:ascii="Times New Roman" w:eastAsia="Times New Roman" w:hAnsi="Times New Roman" w:cs="Times New Roman"/>
      <w:sz w:val="24"/>
      <w:szCs w:val="20"/>
    </w:rPr>
  </w:style>
  <w:style w:type="paragraph" w:customStyle="1" w:styleId="Amain">
    <w:name w:val="A main"/>
    <w:basedOn w:val="Normal"/>
    <w:rsid w:val="00A84CA4"/>
    <w:pPr>
      <w:tabs>
        <w:tab w:val="right" w:pos="900"/>
        <w:tab w:val="left" w:pos="1100"/>
      </w:tabs>
      <w:spacing w:before="80" w:after="60" w:line="240" w:lineRule="auto"/>
      <w:ind w:left="1100" w:hanging="1100"/>
      <w:jc w:val="both"/>
      <w:outlineLvl w:val="5"/>
    </w:pPr>
    <w:rPr>
      <w:rFonts w:ascii="Times New Roman" w:eastAsia="Times New Roman" w:hAnsi="Times New Roman" w:cs="Times New Roman"/>
      <w:sz w:val="24"/>
      <w:szCs w:val="20"/>
    </w:rPr>
  </w:style>
  <w:style w:type="character" w:styleId="Emphasis">
    <w:name w:val="Emphasis"/>
    <w:basedOn w:val="DefaultParagraphFont"/>
    <w:qFormat/>
    <w:rsid w:val="00A84CA4"/>
    <w:rPr>
      <w:i/>
      <w:iCs/>
    </w:rPr>
  </w:style>
  <w:style w:type="paragraph" w:customStyle="1" w:styleId="Asubparabullet">
    <w:name w:val="A subpara bullet"/>
    <w:basedOn w:val="Normal"/>
    <w:rsid w:val="00A84CA4"/>
    <w:pPr>
      <w:numPr>
        <w:numId w:val="8"/>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84CA4"/>
    <w:pPr>
      <w:spacing w:after="0" w:line="240" w:lineRule="auto"/>
      <w:ind w:left="720"/>
    </w:pPr>
    <w:rPr>
      <w:rFonts w:ascii="Calibri" w:eastAsia="Calibri" w:hAnsi="Calibri" w:cs="Calibri"/>
      <w:lang w:eastAsia="en-AU"/>
    </w:rPr>
  </w:style>
  <w:style w:type="paragraph" w:styleId="FootnoteText">
    <w:name w:val="footnote text"/>
    <w:basedOn w:val="Normal"/>
    <w:link w:val="FootnoteTextChar"/>
    <w:uiPriority w:val="99"/>
    <w:unhideWhenUsed/>
    <w:rsid w:val="00A84CA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84CA4"/>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A84CA4"/>
    <w:rPr>
      <w:vertAlign w:val="superscript"/>
    </w:rPr>
  </w:style>
  <w:style w:type="character" w:styleId="CommentReference">
    <w:name w:val="annotation reference"/>
    <w:basedOn w:val="DefaultParagraphFont"/>
    <w:rsid w:val="00A84CA4"/>
    <w:rPr>
      <w:sz w:val="16"/>
      <w:szCs w:val="16"/>
    </w:rPr>
  </w:style>
  <w:style w:type="paragraph" w:styleId="CommentText">
    <w:name w:val="annotation text"/>
    <w:basedOn w:val="Normal"/>
    <w:link w:val="CommentTextChar"/>
    <w:rsid w:val="00A84C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84C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84CA4"/>
    <w:rPr>
      <w:b/>
      <w:bCs/>
    </w:rPr>
  </w:style>
  <w:style w:type="character" w:customStyle="1" w:styleId="CommentSubjectChar">
    <w:name w:val="Comment Subject Char"/>
    <w:basedOn w:val="CommentTextChar"/>
    <w:link w:val="CommentSubject"/>
    <w:rsid w:val="00A84CA4"/>
    <w:rPr>
      <w:rFonts w:ascii="Times New Roman" w:eastAsia="Times New Roman" w:hAnsi="Times New Roman" w:cs="Times New Roman"/>
      <w:b/>
      <w:bCs/>
      <w:sz w:val="20"/>
      <w:szCs w:val="20"/>
    </w:rPr>
  </w:style>
  <w:style w:type="paragraph" w:styleId="NormalWeb">
    <w:name w:val="Normal (Web)"/>
    <w:basedOn w:val="Normal"/>
    <w:uiPriority w:val="99"/>
    <w:rsid w:val="00A84CA4"/>
    <w:pPr>
      <w:spacing w:before="100" w:beforeAutospacing="1" w:after="100" w:afterAutospacing="1" w:line="240" w:lineRule="auto"/>
    </w:pPr>
    <w:rPr>
      <w:rFonts w:ascii="Verdana" w:eastAsia="Times New Roman" w:hAnsi="Verdana" w:cs="Times New Roman"/>
      <w:sz w:val="19"/>
      <w:szCs w:val="19"/>
      <w:lang w:eastAsia="en-AU"/>
    </w:rPr>
  </w:style>
  <w:style w:type="character" w:customStyle="1" w:styleId="apple-converted-space">
    <w:name w:val="apple-converted-space"/>
    <w:basedOn w:val="DefaultParagraphFont"/>
    <w:uiPriority w:val="99"/>
    <w:rsid w:val="00A84CA4"/>
  </w:style>
  <w:style w:type="paragraph" w:customStyle="1" w:styleId="CM34">
    <w:name w:val="CM34"/>
    <w:basedOn w:val="Default"/>
    <w:next w:val="Default"/>
    <w:uiPriority w:val="99"/>
    <w:rsid w:val="00631009"/>
    <w:rPr>
      <w:rFonts w:ascii="Arial Narrow" w:hAnsi="Arial Narrow" w:cstheme="minorBidi"/>
      <w:color w:val="auto"/>
    </w:rPr>
  </w:style>
  <w:style w:type="table" w:styleId="TableGrid">
    <w:name w:val="Table Grid"/>
    <w:basedOn w:val="TableNormal"/>
    <w:uiPriority w:val="39"/>
    <w:rsid w:val="00033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376199999">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2" Type="http://schemas.openxmlformats.org/officeDocument/2006/relationships/hyperlink" Target="http://www.aic.gov.au/media_library/conferences/gambling00/mcmillen.pdf" TargetMode="External"/><Relationship Id="rId1" Type="http://schemas.openxmlformats.org/officeDocument/2006/relationships/hyperlink" Target="http://www.austrac.gov.au/sites/default/files/documents/eligo_ml_fact_shee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89ED5-EB29-4ED9-8D78-E9FD2683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Gordon Ramsay MLA</vt:lpstr>
    </vt:vector>
  </TitlesOfParts>
  <Company>ACT Government</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Ramsay MLA</dc:title>
  <dc:creator>ACT Government</dc:creator>
  <cp:lastModifiedBy>Markham, Luke</cp:lastModifiedBy>
  <cp:revision>33</cp:revision>
  <cp:lastPrinted>2017-08-15T01:32:00Z</cp:lastPrinted>
  <dcterms:created xsi:type="dcterms:W3CDTF">2017-09-08T00:26:00Z</dcterms:created>
  <dcterms:modified xsi:type="dcterms:W3CDTF">2017-09-21T23:00:00Z</dcterms:modified>
</cp:coreProperties>
</file>