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24F40" w14:textId="71C98002" w:rsidR="00AD7D31" w:rsidRPr="00A031A0" w:rsidRDefault="00AD7D31" w:rsidP="008D37E0">
      <w:pPr>
        <w:pStyle w:val="Header"/>
        <w:tabs>
          <w:tab w:val="clear" w:pos="9026"/>
          <w:tab w:val="left" w:pos="7245"/>
        </w:tabs>
        <w:rPr>
          <w:sz w:val="24"/>
          <w:szCs w:val="24"/>
          <w:lang w:val="en-US"/>
        </w:rPr>
      </w:pPr>
      <w:bookmarkStart w:id="0" w:name="_GoBack"/>
      <w:bookmarkEnd w:id="0"/>
      <w:r w:rsidRPr="00A031A0">
        <w:rPr>
          <w:sz w:val="24"/>
          <w:szCs w:val="24"/>
          <w:lang w:val="en-US"/>
        </w:rPr>
        <w:tab/>
      </w:r>
      <w:r w:rsidR="001450DC">
        <w:rPr>
          <w:sz w:val="24"/>
          <w:szCs w:val="24"/>
          <w:lang w:val="en-US"/>
        </w:rPr>
        <w:tab/>
      </w:r>
      <w:r w:rsidRPr="00A031A0">
        <w:rPr>
          <w:sz w:val="24"/>
          <w:szCs w:val="24"/>
          <w:lang w:val="en-US"/>
        </w:rPr>
        <w:tab/>
      </w:r>
    </w:p>
    <w:p w14:paraId="11173699" w14:textId="585432CC" w:rsidR="00AD7D31" w:rsidRPr="00A031A0" w:rsidRDefault="00B053CE" w:rsidP="00AD7D31">
      <w:pPr>
        <w:spacing w:after="0" w:line="240" w:lineRule="auto"/>
        <w:rPr>
          <w:sz w:val="24"/>
          <w:szCs w:val="24"/>
        </w:rPr>
      </w:pPr>
      <w:r>
        <w:rPr>
          <w:sz w:val="24"/>
          <w:szCs w:val="24"/>
        </w:rPr>
        <w:t>Mr Jeremy Hanson CSC MLA</w:t>
      </w:r>
    </w:p>
    <w:p w14:paraId="0EA818FB" w14:textId="77777777" w:rsidR="004D163A" w:rsidRPr="00A031A0" w:rsidRDefault="004D163A" w:rsidP="004D163A">
      <w:pPr>
        <w:spacing w:after="0" w:line="240" w:lineRule="auto"/>
        <w:rPr>
          <w:sz w:val="24"/>
          <w:szCs w:val="24"/>
        </w:rPr>
      </w:pPr>
      <w:r>
        <w:rPr>
          <w:sz w:val="24"/>
          <w:szCs w:val="24"/>
        </w:rPr>
        <w:t>Chair</w:t>
      </w:r>
    </w:p>
    <w:p w14:paraId="61D315D8" w14:textId="77777777" w:rsidR="004D163A" w:rsidRPr="00A031A0" w:rsidRDefault="004D163A" w:rsidP="004D163A">
      <w:pPr>
        <w:tabs>
          <w:tab w:val="left" w:pos="3420"/>
        </w:tabs>
        <w:spacing w:after="0" w:line="240" w:lineRule="auto"/>
        <w:rPr>
          <w:sz w:val="24"/>
          <w:szCs w:val="24"/>
        </w:rPr>
      </w:pPr>
      <w:r>
        <w:rPr>
          <w:sz w:val="24"/>
          <w:szCs w:val="24"/>
        </w:rPr>
        <w:t>Standing Committee on Justice and Community Safety (Legislative Scrutiny Role)</w:t>
      </w:r>
    </w:p>
    <w:p w14:paraId="79F9F64D" w14:textId="77777777" w:rsidR="004D163A" w:rsidRPr="00A031A0" w:rsidRDefault="004D163A" w:rsidP="004D163A">
      <w:pPr>
        <w:spacing w:after="0" w:line="240" w:lineRule="auto"/>
        <w:rPr>
          <w:sz w:val="24"/>
          <w:szCs w:val="24"/>
          <w:lang w:val="en-US"/>
        </w:rPr>
      </w:pPr>
      <w:r>
        <w:rPr>
          <w:sz w:val="24"/>
          <w:szCs w:val="24"/>
        </w:rPr>
        <w:t>ACT Legislative Assembly</w:t>
      </w:r>
    </w:p>
    <w:p w14:paraId="056AEB53" w14:textId="77777777" w:rsidR="004D163A" w:rsidRDefault="004D163A" w:rsidP="004D163A">
      <w:pPr>
        <w:spacing w:after="0" w:line="240" w:lineRule="auto"/>
        <w:rPr>
          <w:sz w:val="24"/>
          <w:szCs w:val="24"/>
        </w:rPr>
      </w:pPr>
      <w:r>
        <w:rPr>
          <w:sz w:val="24"/>
          <w:szCs w:val="24"/>
        </w:rPr>
        <w:t>GPO Box 1020</w:t>
      </w:r>
    </w:p>
    <w:p w14:paraId="71D292A9" w14:textId="77777777" w:rsidR="004D163A" w:rsidRPr="00A031A0" w:rsidRDefault="004D163A" w:rsidP="004D163A">
      <w:pPr>
        <w:spacing w:after="0" w:line="240" w:lineRule="auto"/>
        <w:rPr>
          <w:sz w:val="24"/>
          <w:szCs w:val="24"/>
        </w:rPr>
      </w:pPr>
      <w:proofErr w:type="gramStart"/>
      <w:r>
        <w:rPr>
          <w:sz w:val="24"/>
          <w:szCs w:val="24"/>
        </w:rPr>
        <w:t>CANBERRA  ACT</w:t>
      </w:r>
      <w:proofErr w:type="gramEnd"/>
      <w:r>
        <w:rPr>
          <w:sz w:val="24"/>
          <w:szCs w:val="24"/>
        </w:rPr>
        <w:t xml:space="preserve">  2601</w:t>
      </w:r>
    </w:p>
    <w:p w14:paraId="7960A4B7" w14:textId="77777777" w:rsidR="00AD7D31" w:rsidRDefault="00AD7D31" w:rsidP="00AD7D31">
      <w:pPr>
        <w:spacing w:after="0" w:line="240" w:lineRule="auto"/>
        <w:rPr>
          <w:sz w:val="24"/>
          <w:szCs w:val="24"/>
        </w:rPr>
      </w:pPr>
    </w:p>
    <w:p w14:paraId="0B9BF42C" w14:textId="77777777" w:rsidR="00B91F55" w:rsidRPr="00A031A0" w:rsidRDefault="00B91F55" w:rsidP="00AD7D31">
      <w:pPr>
        <w:spacing w:after="0" w:line="240" w:lineRule="auto"/>
        <w:rPr>
          <w:sz w:val="24"/>
          <w:szCs w:val="24"/>
        </w:rPr>
      </w:pPr>
    </w:p>
    <w:p w14:paraId="2E653B27" w14:textId="77777777" w:rsidR="00E427A2" w:rsidRPr="00A031A0" w:rsidRDefault="00E427A2" w:rsidP="00E427A2">
      <w:pPr>
        <w:spacing w:after="0" w:line="240" w:lineRule="auto"/>
        <w:rPr>
          <w:sz w:val="24"/>
          <w:szCs w:val="24"/>
        </w:rPr>
      </w:pPr>
      <w:r w:rsidRPr="00A031A0">
        <w:rPr>
          <w:sz w:val="24"/>
          <w:szCs w:val="24"/>
          <w:lang w:val="en-US"/>
        </w:rPr>
        <w:t xml:space="preserve">Dear </w:t>
      </w:r>
      <w:r>
        <w:rPr>
          <w:sz w:val="24"/>
          <w:szCs w:val="24"/>
          <w:lang w:val="en-US"/>
        </w:rPr>
        <w:t>Mr Hanson,</w:t>
      </w:r>
    </w:p>
    <w:p w14:paraId="7C9B1CF5" w14:textId="77777777" w:rsidR="00E427A2" w:rsidRPr="00A031A0" w:rsidRDefault="00E427A2" w:rsidP="00E427A2">
      <w:pPr>
        <w:pStyle w:val="Header"/>
        <w:tabs>
          <w:tab w:val="left" w:pos="720"/>
        </w:tabs>
        <w:rPr>
          <w:sz w:val="24"/>
          <w:szCs w:val="24"/>
        </w:rPr>
      </w:pPr>
    </w:p>
    <w:p w14:paraId="65B2E261" w14:textId="77777777" w:rsidR="00E427A2" w:rsidRDefault="00E427A2" w:rsidP="00E427A2">
      <w:pPr>
        <w:spacing w:after="0" w:line="240" w:lineRule="auto"/>
        <w:jc w:val="both"/>
        <w:rPr>
          <w:sz w:val="24"/>
          <w:szCs w:val="24"/>
        </w:rPr>
      </w:pPr>
      <w:r w:rsidRPr="0002647B">
        <w:rPr>
          <w:sz w:val="24"/>
          <w:szCs w:val="24"/>
        </w:rPr>
        <w:t xml:space="preserve">I write in response to the Standing Committee on Justice and Community Safety’s (the Committee’s) comments in Report </w:t>
      </w:r>
      <w:r>
        <w:rPr>
          <w:sz w:val="24"/>
          <w:szCs w:val="24"/>
        </w:rPr>
        <w:t>7</w:t>
      </w:r>
      <w:r w:rsidRPr="0002647B">
        <w:rPr>
          <w:sz w:val="24"/>
          <w:szCs w:val="24"/>
        </w:rPr>
        <w:t xml:space="preserve"> in relation to the </w:t>
      </w:r>
      <w:r>
        <w:rPr>
          <w:i/>
          <w:iCs/>
          <w:sz w:val="24"/>
          <w:szCs w:val="24"/>
        </w:rPr>
        <w:t>Crimes Legislation Amendment Bill 2021</w:t>
      </w:r>
      <w:r w:rsidRPr="0002647B">
        <w:rPr>
          <w:sz w:val="24"/>
          <w:szCs w:val="24"/>
        </w:rPr>
        <w:t xml:space="preserve"> (the </w:t>
      </w:r>
      <w:r>
        <w:rPr>
          <w:sz w:val="24"/>
          <w:szCs w:val="24"/>
        </w:rPr>
        <w:t>Bill</w:t>
      </w:r>
      <w:r w:rsidRPr="0002647B">
        <w:rPr>
          <w:sz w:val="24"/>
          <w:szCs w:val="24"/>
        </w:rPr>
        <w:t xml:space="preserve">). </w:t>
      </w:r>
    </w:p>
    <w:p w14:paraId="1AA39B5A" w14:textId="77777777" w:rsidR="00E427A2" w:rsidRDefault="00E427A2" w:rsidP="00E427A2">
      <w:pPr>
        <w:spacing w:after="0" w:line="240" w:lineRule="auto"/>
        <w:jc w:val="both"/>
        <w:rPr>
          <w:sz w:val="24"/>
          <w:szCs w:val="24"/>
        </w:rPr>
      </w:pPr>
    </w:p>
    <w:p w14:paraId="118B85B1" w14:textId="77777777" w:rsidR="00E427A2" w:rsidRPr="00313EE9" w:rsidRDefault="00E427A2" w:rsidP="00E427A2">
      <w:pPr>
        <w:spacing w:after="0" w:line="240" w:lineRule="auto"/>
        <w:jc w:val="both"/>
        <w:rPr>
          <w:i/>
          <w:iCs/>
          <w:sz w:val="24"/>
          <w:szCs w:val="24"/>
        </w:rPr>
      </w:pPr>
      <w:r>
        <w:rPr>
          <w:i/>
          <w:iCs/>
          <w:sz w:val="24"/>
          <w:szCs w:val="24"/>
        </w:rPr>
        <w:t>Proposed amendment to the Crimes (Child Sex Offenders) Act 2005</w:t>
      </w:r>
    </w:p>
    <w:p w14:paraId="3094A168" w14:textId="77777777" w:rsidR="00E427A2" w:rsidRPr="00A031A0" w:rsidRDefault="00E427A2" w:rsidP="00E427A2">
      <w:pPr>
        <w:spacing w:after="0" w:line="240" w:lineRule="auto"/>
        <w:rPr>
          <w:sz w:val="24"/>
          <w:szCs w:val="24"/>
        </w:rPr>
      </w:pPr>
      <w:r w:rsidRPr="00A031A0">
        <w:rPr>
          <w:sz w:val="24"/>
          <w:szCs w:val="24"/>
        </w:rPr>
        <w:t xml:space="preserve"> </w:t>
      </w:r>
    </w:p>
    <w:p w14:paraId="6F9AED7C" w14:textId="77777777" w:rsidR="00AF5601" w:rsidRDefault="00E427A2" w:rsidP="00E427A2">
      <w:pPr>
        <w:spacing w:after="0" w:line="240" w:lineRule="auto"/>
        <w:rPr>
          <w:sz w:val="24"/>
          <w:szCs w:val="24"/>
        </w:rPr>
      </w:pPr>
      <w:r>
        <w:rPr>
          <w:sz w:val="24"/>
          <w:szCs w:val="24"/>
        </w:rPr>
        <w:t xml:space="preserve">The Committee notes that the proposed amendments to </w:t>
      </w:r>
      <w:r w:rsidRPr="00387F82">
        <w:rPr>
          <w:sz w:val="24"/>
          <w:szCs w:val="24"/>
        </w:rPr>
        <w:t xml:space="preserve">add a </w:t>
      </w:r>
      <w:r>
        <w:rPr>
          <w:sz w:val="24"/>
          <w:szCs w:val="24"/>
        </w:rPr>
        <w:t>C</w:t>
      </w:r>
      <w:r w:rsidRPr="00387F82">
        <w:rPr>
          <w:sz w:val="24"/>
          <w:szCs w:val="24"/>
        </w:rPr>
        <w:t xml:space="preserve">ommonwealth offence to the </w:t>
      </w:r>
      <w:r>
        <w:rPr>
          <w:sz w:val="24"/>
          <w:szCs w:val="24"/>
        </w:rPr>
        <w:t xml:space="preserve">list of offences that can lead to registration on the </w:t>
      </w:r>
      <w:r w:rsidRPr="00387F82">
        <w:rPr>
          <w:sz w:val="24"/>
          <w:szCs w:val="24"/>
        </w:rPr>
        <w:t>child sex offender register</w:t>
      </w:r>
      <w:r w:rsidRPr="002F4456">
        <w:rPr>
          <w:b/>
          <w:bCs/>
          <w:sz w:val="24"/>
          <w:szCs w:val="24"/>
        </w:rPr>
        <w:t xml:space="preserve"> </w:t>
      </w:r>
      <w:r>
        <w:rPr>
          <w:sz w:val="24"/>
          <w:szCs w:val="24"/>
        </w:rPr>
        <w:t xml:space="preserve">may limit the right to work (s 27B of the </w:t>
      </w:r>
      <w:r w:rsidRPr="00ED5C8F">
        <w:rPr>
          <w:i/>
          <w:iCs/>
          <w:sz w:val="24"/>
          <w:szCs w:val="24"/>
        </w:rPr>
        <w:t>Human Rights Act 2004</w:t>
      </w:r>
      <w:r>
        <w:rPr>
          <w:sz w:val="24"/>
          <w:szCs w:val="24"/>
        </w:rPr>
        <w:t xml:space="preserve"> (HR Act)) and that consideration should be given to amending the explanatory statement to reference this potential limitation and its justification. </w:t>
      </w:r>
    </w:p>
    <w:p w14:paraId="7728A300" w14:textId="77777777" w:rsidR="00AF5601" w:rsidRDefault="00AF5601" w:rsidP="00E427A2">
      <w:pPr>
        <w:spacing w:after="0" w:line="240" w:lineRule="auto"/>
        <w:rPr>
          <w:sz w:val="24"/>
          <w:szCs w:val="24"/>
        </w:rPr>
      </w:pPr>
    </w:p>
    <w:p w14:paraId="5100DEE8" w14:textId="25959959" w:rsidR="00E427A2" w:rsidRDefault="00E427A2" w:rsidP="00E427A2">
      <w:pPr>
        <w:spacing w:after="0" w:line="240" w:lineRule="auto"/>
        <w:rPr>
          <w:sz w:val="24"/>
          <w:szCs w:val="24"/>
        </w:rPr>
      </w:pPr>
      <w:r w:rsidRPr="00D5468F">
        <w:rPr>
          <w:sz w:val="24"/>
          <w:szCs w:val="24"/>
        </w:rPr>
        <w:t xml:space="preserve">I thank the Committee for </w:t>
      </w:r>
      <w:r>
        <w:rPr>
          <w:sz w:val="24"/>
          <w:szCs w:val="24"/>
        </w:rPr>
        <w:t>its comment. An amended e</w:t>
      </w:r>
      <w:r w:rsidRPr="00D5468F">
        <w:rPr>
          <w:sz w:val="24"/>
          <w:szCs w:val="24"/>
        </w:rPr>
        <w:t xml:space="preserve">xplanatory </w:t>
      </w:r>
      <w:r>
        <w:rPr>
          <w:sz w:val="24"/>
          <w:szCs w:val="24"/>
        </w:rPr>
        <w:t>s</w:t>
      </w:r>
      <w:r w:rsidRPr="00D5468F">
        <w:rPr>
          <w:sz w:val="24"/>
          <w:szCs w:val="24"/>
        </w:rPr>
        <w:t xml:space="preserve">tatement </w:t>
      </w:r>
      <w:r>
        <w:rPr>
          <w:sz w:val="24"/>
          <w:szCs w:val="24"/>
        </w:rPr>
        <w:t xml:space="preserve">for the Bill has been prepared </w:t>
      </w:r>
      <w:r w:rsidRPr="00D5468F">
        <w:rPr>
          <w:sz w:val="24"/>
          <w:szCs w:val="24"/>
        </w:rPr>
        <w:t>to</w:t>
      </w:r>
      <w:r>
        <w:rPr>
          <w:sz w:val="24"/>
          <w:szCs w:val="24"/>
        </w:rPr>
        <w:t xml:space="preserve"> address the Committee’s comment. </w:t>
      </w:r>
    </w:p>
    <w:p w14:paraId="2974591A" w14:textId="77777777" w:rsidR="00E427A2" w:rsidRDefault="00E427A2" w:rsidP="00E427A2">
      <w:pPr>
        <w:spacing w:after="0" w:line="240" w:lineRule="auto"/>
        <w:rPr>
          <w:sz w:val="24"/>
          <w:szCs w:val="24"/>
        </w:rPr>
      </w:pPr>
    </w:p>
    <w:p w14:paraId="6F8B06B8" w14:textId="77777777" w:rsidR="00E427A2" w:rsidRPr="00313EE9" w:rsidRDefault="00E427A2" w:rsidP="00E427A2">
      <w:pPr>
        <w:spacing w:after="0" w:line="240" w:lineRule="auto"/>
        <w:rPr>
          <w:i/>
          <w:iCs/>
          <w:sz w:val="24"/>
          <w:szCs w:val="24"/>
        </w:rPr>
      </w:pPr>
      <w:r>
        <w:rPr>
          <w:i/>
          <w:iCs/>
          <w:sz w:val="24"/>
          <w:szCs w:val="24"/>
        </w:rPr>
        <w:t>Proposed amendments to the Crimes (Surveillance Devices) Act 2010 and Listening Devices Act 1992 – body-worn cameras</w:t>
      </w:r>
    </w:p>
    <w:p w14:paraId="438DBD99" w14:textId="77777777" w:rsidR="00E427A2" w:rsidRDefault="00E427A2" w:rsidP="00E427A2">
      <w:pPr>
        <w:spacing w:after="0" w:line="240" w:lineRule="auto"/>
        <w:rPr>
          <w:sz w:val="24"/>
          <w:szCs w:val="24"/>
        </w:rPr>
      </w:pPr>
    </w:p>
    <w:p w14:paraId="2FAF810E" w14:textId="4D86ABB3" w:rsidR="00E427A2" w:rsidRDefault="00E427A2" w:rsidP="00E427A2">
      <w:pPr>
        <w:spacing w:after="0" w:line="240" w:lineRule="auto"/>
        <w:rPr>
          <w:sz w:val="24"/>
          <w:szCs w:val="24"/>
        </w:rPr>
      </w:pPr>
      <w:r w:rsidRPr="00312840">
        <w:rPr>
          <w:sz w:val="24"/>
          <w:szCs w:val="24"/>
        </w:rPr>
        <w:t xml:space="preserve">The Committee </w:t>
      </w:r>
      <w:r>
        <w:rPr>
          <w:sz w:val="24"/>
          <w:szCs w:val="24"/>
        </w:rPr>
        <w:t xml:space="preserve">has commented </w:t>
      </w:r>
      <w:r w:rsidRPr="00312840">
        <w:rPr>
          <w:sz w:val="24"/>
          <w:szCs w:val="24"/>
        </w:rPr>
        <w:t>that</w:t>
      </w:r>
      <w:r>
        <w:rPr>
          <w:sz w:val="24"/>
          <w:szCs w:val="24"/>
        </w:rPr>
        <w:t xml:space="preserve"> the explanatory statement for the Bill does not justify why </w:t>
      </w:r>
      <w:r w:rsidRPr="00312840">
        <w:rPr>
          <w:sz w:val="24"/>
          <w:szCs w:val="24"/>
        </w:rPr>
        <w:t xml:space="preserve">some of the </w:t>
      </w:r>
      <w:r>
        <w:rPr>
          <w:sz w:val="24"/>
          <w:szCs w:val="24"/>
        </w:rPr>
        <w:t xml:space="preserve">substantive </w:t>
      </w:r>
      <w:r w:rsidRPr="00312840">
        <w:rPr>
          <w:sz w:val="24"/>
          <w:szCs w:val="24"/>
        </w:rPr>
        <w:t xml:space="preserve">privacy protections for police use of </w:t>
      </w:r>
      <w:r w:rsidRPr="00387F82">
        <w:rPr>
          <w:sz w:val="24"/>
          <w:szCs w:val="24"/>
        </w:rPr>
        <w:t>body-worn cameras</w:t>
      </w:r>
      <w:r w:rsidRPr="00312840">
        <w:rPr>
          <w:sz w:val="24"/>
          <w:szCs w:val="24"/>
        </w:rPr>
        <w:t xml:space="preserve"> </w:t>
      </w:r>
      <w:r w:rsidR="00AF5601">
        <w:rPr>
          <w:sz w:val="24"/>
          <w:szCs w:val="24"/>
        </w:rPr>
        <w:t xml:space="preserve">are </w:t>
      </w:r>
      <w:r>
        <w:rPr>
          <w:sz w:val="24"/>
          <w:szCs w:val="24"/>
        </w:rPr>
        <w:t>to be</w:t>
      </w:r>
      <w:r w:rsidRPr="00312840">
        <w:rPr>
          <w:sz w:val="24"/>
          <w:szCs w:val="24"/>
        </w:rPr>
        <w:t xml:space="preserve"> contained in a disallowable </w:t>
      </w:r>
      <w:r>
        <w:rPr>
          <w:sz w:val="24"/>
          <w:szCs w:val="24"/>
        </w:rPr>
        <w:t>instrument prepared by the Chief Police Officer (CPO)</w:t>
      </w:r>
      <w:r w:rsidRPr="00312840">
        <w:rPr>
          <w:sz w:val="24"/>
          <w:szCs w:val="24"/>
        </w:rPr>
        <w:t>, rather than in the Bill</w:t>
      </w:r>
      <w:r>
        <w:rPr>
          <w:sz w:val="24"/>
          <w:szCs w:val="24"/>
        </w:rPr>
        <w:t xml:space="preserve">. </w:t>
      </w:r>
    </w:p>
    <w:p w14:paraId="7AF6D431" w14:textId="77777777" w:rsidR="00E427A2" w:rsidRDefault="00E427A2" w:rsidP="00E427A2">
      <w:pPr>
        <w:spacing w:after="0" w:line="240" w:lineRule="auto"/>
        <w:rPr>
          <w:sz w:val="24"/>
          <w:szCs w:val="24"/>
        </w:rPr>
      </w:pPr>
    </w:p>
    <w:p w14:paraId="41B48358" w14:textId="77777777" w:rsidR="005C6B6A" w:rsidRDefault="00E427A2" w:rsidP="00E427A2">
      <w:pPr>
        <w:spacing w:after="0" w:line="240" w:lineRule="auto"/>
        <w:rPr>
          <w:sz w:val="24"/>
          <w:szCs w:val="24"/>
        </w:rPr>
      </w:pPr>
      <w:r>
        <w:rPr>
          <w:sz w:val="24"/>
          <w:szCs w:val="24"/>
        </w:rPr>
        <w:t xml:space="preserve">As the Committee notes, </w:t>
      </w:r>
      <w:r w:rsidR="0091400C">
        <w:rPr>
          <w:sz w:val="24"/>
          <w:szCs w:val="24"/>
        </w:rPr>
        <w:t xml:space="preserve">key </w:t>
      </w:r>
      <w:r>
        <w:rPr>
          <w:sz w:val="24"/>
          <w:szCs w:val="24"/>
        </w:rPr>
        <w:t xml:space="preserve">privacy protections are included in the Bill, including </w:t>
      </w:r>
      <w:r w:rsidR="00224756">
        <w:rPr>
          <w:sz w:val="24"/>
          <w:szCs w:val="24"/>
        </w:rPr>
        <w:t xml:space="preserve">an exception to the requirement that police use </w:t>
      </w:r>
      <w:r>
        <w:rPr>
          <w:sz w:val="24"/>
          <w:szCs w:val="24"/>
        </w:rPr>
        <w:t>a body worn camera</w:t>
      </w:r>
      <w:r w:rsidR="00224756">
        <w:rPr>
          <w:sz w:val="24"/>
          <w:szCs w:val="24"/>
        </w:rPr>
        <w:t xml:space="preserve"> when </w:t>
      </w:r>
      <w:r w:rsidR="0091400C">
        <w:rPr>
          <w:sz w:val="24"/>
          <w:szCs w:val="24"/>
        </w:rPr>
        <w:t>that use</w:t>
      </w:r>
      <w:r w:rsidR="00224756">
        <w:rPr>
          <w:sz w:val="24"/>
          <w:szCs w:val="24"/>
        </w:rPr>
        <w:t xml:space="preserve"> </w:t>
      </w:r>
      <w:r>
        <w:rPr>
          <w:sz w:val="24"/>
          <w:szCs w:val="24"/>
        </w:rPr>
        <w:t xml:space="preserve">would unreasonably limit a </w:t>
      </w:r>
      <w:r>
        <w:rPr>
          <w:sz w:val="24"/>
          <w:szCs w:val="24"/>
        </w:rPr>
        <w:lastRenderedPageBreak/>
        <w:t>person’s privacy.  The guidelines to be developed by the CPO will, necessarily,</w:t>
      </w:r>
      <w:r w:rsidR="00AF5601">
        <w:rPr>
          <w:sz w:val="24"/>
          <w:szCs w:val="24"/>
        </w:rPr>
        <w:t xml:space="preserve"> be </w:t>
      </w:r>
      <w:r>
        <w:rPr>
          <w:sz w:val="24"/>
          <w:szCs w:val="24"/>
        </w:rPr>
        <w:t xml:space="preserve">consistent with the Bill. </w:t>
      </w:r>
    </w:p>
    <w:p w14:paraId="69159A9F" w14:textId="77777777" w:rsidR="005C6B6A" w:rsidRDefault="005C6B6A" w:rsidP="00E427A2">
      <w:pPr>
        <w:spacing w:after="0" w:line="240" w:lineRule="auto"/>
        <w:rPr>
          <w:sz w:val="24"/>
          <w:szCs w:val="24"/>
        </w:rPr>
      </w:pPr>
    </w:p>
    <w:p w14:paraId="6A376165" w14:textId="315C2D20" w:rsidR="00E427A2" w:rsidRDefault="005C6B6A" w:rsidP="00E427A2">
      <w:pPr>
        <w:spacing w:after="0" w:line="240" w:lineRule="auto"/>
        <w:rPr>
          <w:sz w:val="24"/>
          <w:szCs w:val="24"/>
        </w:rPr>
      </w:pPr>
      <w:r>
        <w:rPr>
          <w:sz w:val="24"/>
          <w:szCs w:val="24"/>
        </w:rPr>
        <w:t>The guidelines are intended to provide</w:t>
      </w:r>
      <w:r w:rsidR="00E427A2">
        <w:rPr>
          <w:sz w:val="24"/>
          <w:szCs w:val="24"/>
        </w:rPr>
        <w:t xml:space="preserve"> </w:t>
      </w:r>
      <w:r>
        <w:rPr>
          <w:sz w:val="24"/>
          <w:szCs w:val="24"/>
        </w:rPr>
        <w:t>the</w:t>
      </w:r>
      <w:r w:rsidR="00E427A2">
        <w:rPr>
          <w:sz w:val="24"/>
          <w:szCs w:val="24"/>
        </w:rPr>
        <w:t xml:space="preserve"> </w:t>
      </w:r>
      <w:r w:rsidR="0091400C">
        <w:rPr>
          <w:sz w:val="24"/>
          <w:szCs w:val="24"/>
        </w:rPr>
        <w:t xml:space="preserve">operational </w:t>
      </w:r>
      <w:r w:rsidR="00E427A2">
        <w:rPr>
          <w:sz w:val="24"/>
          <w:szCs w:val="24"/>
        </w:rPr>
        <w:t xml:space="preserve">detail </w:t>
      </w:r>
      <w:r>
        <w:rPr>
          <w:sz w:val="24"/>
          <w:szCs w:val="24"/>
        </w:rPr>
        <w:t>required to</w:t>
      </w:r>
      <w:r w:rsidR="0091400C">
        <w:rPr>
          <w:sz w:val="24"/>
          <w:szCs w:val="24"/>
        </w:rPr>
        <w:t xml:space="preserve"> </w:t>
      </w:r>
      <w:r w:rsidR="00E427A2">
        <w:rPr>
          <w:sz w:val="24"/>
          <w:szCs w:val="24"/>
        </w:rPr>
        <w:t xml:space="preserve">support </w:t>
      </w:r>
      <w:r>
        <w:rPr>
          <w:sz w:val="24"/>
          <w:szCs w:val="24"/>
        </w:rPr>
        <w:t xml:space="preserve">use of body worn cameras by </w:t>
      </w:r>
      <w:r w:rsidR="00E427A2">
        <w:rPr>
          <w:sz w:val="24"/>
          <w:szCs w:val="24"/>
        </w:rPr>
        <w:t xml:space="preserve">ACT police officers.  It is not uncommon for </w:t>
      </w:r>
      <w:r>
        <w:rPr>
          <w:sz w:val="24"/>
          <w:szCs w:val="24"/>
        </w:rPr>
        <w:t xml:space="preserve">such </w:t>
      </w:r>
      <w:r w:rsidR="00E427A2">
        <w:rPr>
          <w:sz w:val="24"/>
          <w:szCs w:val="24"/>
        </w:rPr>
        <w:t>matters of detail</w:t>
      </w:r>
      <w:r>
        <w:rPr>
          <w:sz w:val="24"/>
          <w:szCs w:val="24"/>
        </w:rPr>
        <w:t xml:space="preserve"> </w:t>
      </w:r>
      <w:r w:rsidR="00E427A2">
        <w:rPr>
          <w:sz w:val="24"/>
          <w:szCs w:val="24"/>
        </w:rPr>
        <w:t xml:space="preserve">to be included in regulations or other disallowable instruments.  </w:t>
      </w:r>
      <w:r>
        <w:rPr>
          <w:sz w:val="24"/>
          <w:szCs w:val="24"/>
        </w:rPr>
        <w:t>This approach</w:t>
      </w:r>
      <w:r w:rsidR="00E427A2">
        <w:rPr>
          <w:sz w:val="24"/>
          <w:szCs w:val="24"/>
        </w:rPr>
        <w:t xml:space="preserve"> provide</w:t>
      </w:r>
      <w:r>
        <w:rPr>
          <w:sz w:val="24"/>
          <w:szCs w:val="24"/>
        </w:rPr>
        <w:t>s</w:t>
      </w:r>
      <w:r w:rsidR="00E427A2">
        <w:rPr>
          <w:sz w:val="24"/>
          <w:szCs w:val="24"/>
        </w:rPr>
        <w:t xml:space="preserve"> flexibility to modify the guid</w:t>
      </w:r>
      <w:r>
        <w:rPr>
          <w:sz w:val="24"/>
          <w:szCs w:val="24"/>
        </w:rPr>
        <w:t>elines</w:t>
      </w:r>
      <w:r w:rsidR="00E427A2">
        <w:rPr>
          <w:sz w:val="24"/>
          <w:szCs w:val="24"/>
        </w:rPr>
        <w:t xml:space="preserve"> in response to any </w:t>
      </w:r>
      <w:r w:rsidR="006768D4">
        <w:rPr>
          <w:sz w:val="24"/>
          <w:szCs w:val="24"/>
        </w:rPr>
        <w:t xml:space="preserve">emerging or apparent </w:t>
      </w:r>
      <w:r w:rsidR="00E427A2">
        <w:rPr>
          <w:sz w:val="24"/>
          <w:szCs w:val="24"/>
        </w:rPr>
        <w:t>issues.</w:t>
      </w:r>
      <w:r>
        <w:rPr>
          <w:sz w:val="24"/>
          <w:szCs w:val="24"/>
        </w:rPr>
        <w:t xml:space="preserve"> </w:t>
      </w:r>
      <w:r w:rsidR="006768D4">
        <w:rPr>
          <w:sz w:val="24"/>
          <w:szCs w:val="24"/>
        </w:rPr>
        <w:t>I note that t</w:t>
      </w:r>
      <w:r>
        <w:rPr>
          <w:sz w:val="24"/>
          <w:szCs w:val="24"/>
        </w:rPr>
        <w:t xml:space="preserve">he CPO must consult the Director-General of the Justice and Community Safety Directorate before making the guidelines and </w:t>
      </w:r>
      <w:r w:rsidR="006768D4">
        <w:rPr>
          <w:sz w:val="24"/>
          <w:szCs w:val="24"/>
        </w:rPr>
        <w:t xml:space="preserve">that </w:t>
      </w:r>
      <w:r>
        <w:rPr>
          <w:sz w:val="24"/>
          <w:szCs w:val="24"/>
        </w:rPr>
        <w:t xml:space="preserve">the guidelines must include </w:t>
      </w:r>
      <w:r w:rsidR="00E427A2">
        <w:rPr>
          <w:sz w:val="24"/>
          <w:szCs w:val="24"/>
        </w:rPr>
        <w:t xml:space="preserve">a statement about how human rights have been considered. </w:t>
      </w:r>
      <w:r>
        <w:rPr>
          <w:sz w:val="24"/>
          <w:szCs w:val="24"/>
        </w:rPr>
        <w:t>Importantly, a</w:t>
      </w:r>
      <w:r w:rsidR="00E427A2">
        <w:rPr>
          <w:sz w:val="24"/>
          <w:szCs w:val="24"/>
        </w:rPr>
        <w:t>s a disallowable instrument, the guideline</w:t>
      </w:r>
      <w:r>
        <w:rPr>
          <w:sz w:val="24"/>
          <w:szCs w:val="24"/>
        </w:rPr>
        <w:t>s are</w:t>
      </w:r>
      <w:r w:rsidR="00E427A2">
        <w:rPr>
          <w:sz w:val="24"/>
          <w:szCs w:val="24"/>
        </w:rPr>
        <w:t xml:space="preserve"> subject to the parliamentary scrutiny process and may be disallowed. </w:t>
      </w:r>
    </w:p>
    <w:p w14:paraId="69A05ACC" w14:textId="77777777" w:rsidR="00E427A2" w:rsidRDefault="00E427A2" w:rsidP="00E427A2">
      <w:pPr>
        <w:spacing w:after="0" w:line="240" w:lineRule="auto"/>
        <w:rPr>
          <w:sz w:val="24"/>
          <w:szCs w:val="24"/>
        </w:rPr>
      </w:pPr>
    </w:p>
    <w:p w14:paraId="47C82EA8" w14:textId="77777777" w:rsidR="00E427A2" w:rsidRPr="00D82050" w:rsidRDefault="00E427A2" w:rsidP="00E427A2">
      <w:pPr>
        <w:spacing w:after="0" w:line="240" w:lineRule="auto"/>
        <w:rPr>
          <w:sz w:val="24"/>
          <w:szCs w:val="24"/>
        </w:rPr>
      </w:pPr>
      <w:r w:rsidRPr="00D82050">
        <w:rPr>
          <w:sz w:val="24"/>
          <w:szCs w:val="24"/>
        </w:rPr>
        <w:t xml:space="preserve">The Committee </w:t>
      </w:r>
      <w:r>
        <w:rPr>
          <w:sz w:val="24"/>
          <w:szCs w:val="24"/>
        </w:rPr>
        <w:t>commented</w:t>
      </w:r>
      <w:r w:rsidRPr="00D82050">
        <w:rPr>
          <w:sz w:val="24"/>
          <w:szCs w:val="24"/>
        </w:rPr>
        <w:t xml:space="preserve"> that it is not clear how police accountability will be ensured, including through providing appropriate access to the recordings</w:t>
      </w:r>
      <w:r>
        <w:rPr>
          <w:sz w:val="24"/>
          <w:szCs w:val="24"/>
        </w:rPr>
        <w:t>. All body-worn camera recordings made by ACT police officers are Australian Federal Police (AFP) records, and therefore subject to Commonwealth legislation and administrative arrangements.</w:t>
      </w:r>
      <w:r w:rsidRPr="00ED5C8F">
        <w:rPr>
          <w:sz w:val="24"/>
          <w:szCs w:val="24"/>
        </w:rPr>
        <w:t xml:space="preserve"> </w:t>
      </w:r>
      <w:r>
        <w:rPr>
          <w:sz w:val="24"/>
          <w:szCs w:val="24"/>
        </w:rPr>
        <w:t xml:space="preserve">The </w:t>
      </w:r>
      <w:r>
        <w:rPr>
          <w:i/>
          <w:iCs/>
          <w:sz w:val="24"/>
          <w:szCs w:val="24"/>
        </w:rPr>
        <w:t>Australian Federal Police Act 1979</w:t>
      </w:r>
      <w:r>
        <w:rPr>
          <w:sz w:val="24"/>
          <w:szCs w:val="24"/>
        </w:rPr>
        <w:t xml:space="preserve"> (</w:t>
      </w:r>
      <w:proofErr w:type="spellStart"/>
      <w:r>
        <w:rPr>
          <w:sz w:val="24"/>
          <w:szCs w:val="24"/>
        </w:rPr>
        <w:t>Cth</w:t>
      </w:r>
      <w:proofErr w:type="spellEnd"/>
      <w:r>
        <w:rPr>
          <w:sz w:val="24"/>
          <w:szCs w:val="24"/>
        </w:rPr>
        <w:t xml:space="preserve">), the </w:t>
      </w:r>
      <w:r>
        <w:rPr>
          <w:i/>
          <w:iCs/>
          <w:sz w:val="24"/>
          <w:szCs w:val="24"/>
        </w:rPr>
        <w:t>Freedom of Information Act 1982</w:t>
      </w:r>
      <w:r>
        <w:rPr>
          <w:sz w:val="24"/>
          <w:szCs w:val="24"/>
        </w:rPr>
        <w:t xml:space="preserve"> (</w:t>
      </w:r>
      <w:proofErr w:type="spellStart"/>
      <w:r>
        <w:rPr>
          <w:sz w:val="24"/>
          <w:szCs w:val="24"/>
        </w:rPr>
        <w:t>Cth</w:t>
      </w:r>
      <w:proofErr w:type="spellEnd"/>
      <w:r>
        <w:rPr>
          <w:sz w:val="24"/>
          <w:szCs w:val="24"/>
        </w:rPr>
        <w:t xml:space="preserve">) and the </w:t>
      </w:r>
      <w:r>
        <w:rPr>
          <w:i/>
          <w:iCs/>
          <w:sz w:val="24"/>
          <w:szCs w:val="24"/>
        </w:rPr>
        <w:t>Privacy Act 1988</w:t>
      </w:r>
      <w:r>
        <w:rPr>
          <w:sz w:val="24"/>
          <w:szCs w:val="24"/>
        </w:rPr>
        <w:t xml:space="preserve"> (</w:t>
      </w:r>
      <w:proofErr w:type="spellStart"/>
      <w:r>
        <w:rPr>
          <w:sz w:val="24"/>
          <w:szCs w:val="24"/>
        </w:rPr>
        <w:t>Cth</w:t>
      </w:r>
      <w:proofErr w:type="spellEnd"/>
      <w:r>
        <w:rPr>
          <w:sz w:val="24"/>
          <w:szCs w:val="24"/>
        </w:rPr>
        <w:t xml:space="preserve">) contain key information access mechanisms and review options. </w:t>
      </w:r>
    </w:p>
    <w:p w14:paraId="65B2C81C" w14:textId="77777777" w:rsidR="00E427A2" w:rsidRPr="00D82050" w:rsidRDefault="00E427A2" w:rsidP="00E427A2">
      <w:pPr>
        <w:spacing w:after="0" w:line="240" w:lineRule="auto"/>
        <w:rPr>
          <w:sz w:val="24"/>
          <w:szCs w:val="24"/>
        </w:rPr>
      </w:pPr>
    </w:p>
    <w:p w14:paraId="16B3B54A" w14:textId="538C959E" w:rsidR="00E427A2" w:rsidRDefault="00E427A2" w:rsidP="00E427A2">
      <w:pPr>
        <w:spacing w:after="0" w:line="240" w:lineRule="auto"/>
        <w:rPr>
          <w:sz w:val="24"/>
          <w:szCs w:val="24"/>
        </w:rPr>
      </w:pPr>
      <w:r w:rsidRPr="00D82050">
        <w:rPr>
          <w:sz w:val="24"/>
          <w:szCs w:val="24"/>
        </w:rPr>
        <w:t xml:space="preserve">The Committee has </w:t>
      </w:r>
      <w:r>
        <w:rPr>
          <w:sz w:val="24"/>
          <w:szCs w:val="24"/>
        </w:rPr>
        <w:t xml:space="preserve">also </w:t>
      </w:r>
      <w:r w:rsidRPr="00D82050">
        <w:rPr>
          <w:sz w:val="24"/>
          <w:szCs w:val="24"/>
        </w:rPr>
        <w:t xml:space="preserve">noted that the Bill does not provide additional means for enforcing the </w:t>
      </w:r>
      <w:r w:rsidR="006768D4">
        <w:rPr>
          <w:sz w:val="24"/>
          <w:szCs w:val="24"/>
        </w:rPr>
        <w:t>guidelines</w:t>
      </w:r>
      <w:r>
        <w:rPr>
          <w:sz w:val="24"/>
          <w:szCs w:val="24"/>
        </w:rPr>
        <w:t>. While there is no legislat</w:t>
      </w:r>
      <w:r w:rsidR="006768D4">
        <w:rPr>
          <w:sz w:val="24"/>
          <w:szCs w:val="24"/>
        </w:rPr>
        <w:t>ed</w:t>
      </w:r>
      <w:r>
        <w:rPr>
          <w:sz w:val="24"/>
          <w:szCs w:val="24"/>
        </w:rPr>
        <w:t xml:space="preserve"> penalty for non-compliance with the </w:t>
      </w:r>
      <w:r w:rsidR="006768D4">
        <w:rPr>
          <w:sz w:val="24"/>
          <w:szCs w:val="24"/>
        </w:rPr>
        <w:t>guidelines</w:t>
      </w:r>
      <w:r>
        <w:rPr>
          <w:sz w:val="24"/>
          <w:szCs w:val="24"/>
        </w:rPr>
        <w:t xml:space="preserve">, the Chief Police Officer and the Australian Federal Police </w:t>
      </w:r>
      <w:r w:rsidR="006768D4">
        <w:rPr>
          <w:sz w:val="24"/>
          <w:szCs w:val="24"/>
        </w:rPr>
        <w:t xml:space="preserve">will be able </w:t>
      </w:r>
      <w:r>
        <w:rPr>
          <w:sz w:val="24"/>
          <w:szCs w:val="24"/>
        </w:rPr>
        <w:t xml:space="preserve">to investigate complaints and take disciplinary action for </w:t>
      </w:r>
      <w:r w:rsidR="006768D4">
        <w:rPr>
          <w:sz w:val="24"/>
          <w:szCs w:val="24"/>
        </w:rPr>
        <w:t xml:space="preserve">any </w:t>
      </w:r>
      <w:r>
        <w:rPr>
          <w:sz w:val="24"/>
          <w:szCs w:val="24"/>
        </w:rPr>
        <w:t xml:space="preserve">failure to comply. Additionally, if an AFP Professional Standards investigation finds that an integrity breach or unlawful action has occurred, the matter may be referred to criminal charges. </w:t>
      </w:r>
    </w:p>
    <w:p w14:paraId="073E8691" w14:textId="77777777" w:rsidR="00E427A2" w:rsidRDefault="00E427A2" w:rsidP="00E427A2">
      <w:pPr>
        <w:spacing w:after="0" w:line="240" w:lineRule="auto"/>
        <w:rPr>
          <w:sz w:val="24"/>
          <w:szCs w:val="24"/>
        </w:rPr>
      </w:pPr>
    </w:p>
    <w:p w14:paraId="04BD2260" w14:textId="751969F2" w:rsidR="00E427A2" w:rsidRDefault="00E427A2" w:rsidP="00E427A2">
      <w:pPr>
        <w:spacing w:after="0" w:line="240" w:lineRule="auto"/>
        <w:rPr>
          <w:sz w:val="24"/>
          <w:szCs w:val="24"/>
        </w:rPr>
      </w:pPr>
      <w:r>
        <w:rPr>
          <w:sz w:val="24"/>
          <w:szCs w:val="24"/>
        </w:rPr>
        <w:t xml:space="preserve">I refer to the Committee’s </w:t>
      </w:r>
      <w:r w:rsidRPr="00D82050">
        <w:rPr>
          <w:sz w:val="24"/>
          <w:szCs w:val="24"/>
        </w:rPr>
        <w:t xml:space="preserve">concern about the compatibility of body-worn camera use with the right to a fair trial </w:t>
      </w:r>
      <w:r w:rsidR="00AF5601">
        <w:rPr>
          <w:sz w:val="24"/>
          <w:szCs w:val="24"/>
        </w:rPr>
        <w:t>(</w:t>
      </w:r>
      <w:r>
        <w:rPr>
          <w:sz w:val="24"/>
          <w:szCs w:val="24"/>
        </w:rPr>
        <w:t>s</w:t>
      </w:r>
      <w:r w:rsidRPr="00D82050">
        <w:rPr>
          <w:sz w:val="24"/>
          <w:szCs w:val="24"/>
        </w:rPr>
        <w:t xml:space="preserve"> 21 of the HRA</w:t>
      </w:r>
      <w:r w:rsidR="00AF5601">
        <w:rPr>
          <w:sz w:val="24"/>
          <w:szCs w:val="24"/>
        </w:rPr>
        <w:t>)</w:t>
      </w:r>
      <w:r>
        <w:rPr>
          <w:sz w:val="24"/>
          <w:szCs w:val="24"/>
        </w:rPr>
        <w:t xml:space="preserve"> noting that the recordings obtained through the use of body-worn cameras will generally not be subject to the protections and exceptions set out in division 5.1 of the </w:t>
      </w:r>
      <w:r w:rsidRPr="00920E3E">
        <w:rPr>
          <w:i/>
          <w:iCs/>
          <w:sz w:val="24"/>
          <w:szCs w:val="24"/>
        </w:rPr>
        <w:t>Crimes (Surveillance Devices) Act 2010</w:t>
      </w:r>
      <w:r w:rsidRPr="00920E3E">
        <w:rPr>
          <w:sz w:val="24"/>
          <w:szCs w:val="24"/>
        </w:rPr>
        <w:t xml:space="preserve"> (ACT) and </w:t>
      </w:r>
      <w:proofErr w:type="spellStart"/>
      <w:r w:rsidRPr="00920E3E">
        <w:rPr>
          <w:sz w:val="24"/>
          <w:szCs w:val="24"/>
        </w:rPr>
        <w:t>pt</w:t>
      </w:r>
      <w:proofErr w:type="spellEnd"/>
      <w:r w:rsidRPr="00920E3E">
        <w:rPr>
          <w:sz w:val="24"/>
          <w:szCs w:val="24"/>
        </w:rPr>
        <w:t xml:space="preserve"> 6 of the </w:t>
      </w:r>
      <w:r w:rsidRPr="00920E3E">
        <w:rPr>
          <w:i/>
          <w:iCs/>
          <w:sz w:val="24"/>
          <w:szCs w:val="24"/>
        </w:rPr>
        <w:t>Surveillance Devices Act 2004</w:t>
      </w:r>
      <w:r w:rsidRPr="00920E3E">
        <w:rPr>
          <w:sz w:val="24"/>
          <w:szCs w:val="24"/>
        </w:rPr>
        <w:t xml:space="preserve"> (</w:t>
      </w:r>
      <w:proofErr w:type="spellStart"/>
      <w:r w:rsidRPr="00920E3E">
        <w:rPr>
          <w:sz w:val="24"/>
          <w:szCs w:val="24"/>
        </w:rPr>
        <w:t>Cth</w:t>
      </w:r>
      <w:proofErr w:type="spellEnd"/>
      <w:r w:rsidRPr="00920E3E">
        <w:rPr>
          <w:sz w:val="24"/>
          <w:szCs w:val="24"/>
        </w:rPr>
        <w:t>)</w:t>
      </w:r>
      <w:r w:rsidRPr="00D82050">
        <w:rPr>
          <w:sz w:val="24"/>
          <w:szCs w:val="24"/>
        </w:rPr>
        <w:t>.</w:t>
      </w:r>
      <w:r>
        <w:rPr>
          <w:sz w:val="24"/>
          <w:szCs w:val="24"/>
        </w:rPr>
        <w:t xml:space="preserve"> I a</w:t>
      </w:r>
      <w:r w:rsidR="006768D4">
        <w:rPr>
          <w:sz w:val="24"/>
          <w:szCs w:val="24"/>
        </w:rPr>
        <w:t>gree</w:t>
      </w:r>
      <w:r>
        <w:rPr>
          <w:sz w:val="24"/>
          <w:szCs w:val="24"/>
        </w:rPr>
        <w:t xml:space="preserve"> that these protections will not apply, </w:t>
      </w:r>
      <w:r w:rsidR="006768D4">
        <w:rPr>
          <w:sz w:val="24"/>
          <w:szCs w:val="24"/>
        </w:rPr>
        <w:t xml:space="preserve">but note that </w:t>
      </w:r>
      <w:r>
        <w:rPr>
          <w:sz w:val="24"/>
          <w:szCs w:val="24"/>
        </w:rPr>
        <w:t xml:space="preserve">they exist to protect information collected using covert surveillance devices issued under warrant or in other restricted circumstances. </w:t>
      </w:r>
    </w:p>
    <w:p w14:paraId="66DC6B1B" w14:textId="77777777" w:rsidR="00E427A2" w:rsidRDefault="00E427A2" w:rsidP="00E427A2">
      <w:pPr>
        <w:spacing w:after="0" w:line="240" w:lineRule="auto"/>
        <w:rPr>
          <w:sz w:val="24"/>
          <w:szCs w:val="24"/>
        </w:rPr>
      </w:pPr>
    </w:p>
    <w:p w14:paraId="572E2E25" w14:textId="77777777" w:rsidR="006768D4" w:rsidRDefault="00E427A2" w:rsidP="00E427A2">
      <w:pPr>
        <w:spacing w:after="0" w:line="240" w:lineRule="auto"/>
        <w:rPr>
          <w:sz w:val="24"/>
          <w:szCs w:val="24"/>
        </w:rPr>
      </w:pPr>
      <w:r>
        <w:rPr>
          <w:sz w:val="24"/>
          <w:szCs w:val="24"/>
        </w:rPr>
        <w:t xml:space="preserve">I am of the view that there is an important distinction to be made between recordings made by covert devices, and those made by overt devices, such as body-worn cameras. The Bill requires that use of body worn cameras be overt subject to limited exceptions, such as where this would result in a risk to safety. In developing these amendments, it was identified that section 34 of the </w:t>
      </w:r>
      <w:r w:rsidRPr="00D82050">
        <w:rPr>
          <w:i/>
          <w:iCs/>
          <w:sz w:val="24"/>
          <w:szCs w:val="24"/>
        </w:rPr>
        <w:t>Crimes (Surveillance Devices) Act 2010</w:t>
      </w:r>
      <w:r>
        <w:rPr>
          <w:sz w:val="24"/>
          <w:szCs w:val="24"/>
        </w:rPr>
        <w:t xml:space="preserve"> and section 45 of the </w:t>
      </w:r>
      <w:r w:rsidRPr="00D82050">
        <w:rPr>
          <w:i/>
          <w:iCs/>
          <w:sz w:val="24"/>
          <w:szCs w:val="24"/>
        </w:rPr>
        <w:t>Surveillance Devices Act 2004</w:t>
      </w:r>
      <w:r w:rsidRPr="00D82050">
        <w:rPr>
          <w:sz w:val="24"/>
          <w:szCs w:val="24"/>
        </w:rPr>
        <w:t xml:space="preserve"> (</w:t>
      </w:r>
      <w:proofErr w:type="spellStart"/>
      <w:r w:rsidRPr="00D82050">
        <w:rPr>
          <w:sz w:val="24"/>
          <w:szCs w:val="24"/>
        </w:rPr>
        <w:t>Cth</w:t>
      </w:r>
      <w:proofErr w:type="spellEnd"/>
      <w:r w:rsidRPr="00D82050">
        <w:rPr>
          <w:sz w:val="24"/>
          <w:szCs w:val="24"/>
        </w:rPr>
        <w:t>)</w:t>
      </w:r>
      <w:r>
        <w:rPr>
          <w:sz w:val="24"/>
          <w:szCs w:val="24"/>
        </w:rPr>
        <w:t xml:space="preserve"> would not apply to the use of body-worn cameras, as they are not covert surveillance devices. These sections limit the admissibility of body-worn camera footage on the basis that information collected covertly should only be used in relatively serious matters, where the public interest may override potential prejudice to the accused person.  Similar limitations on the admissibility of </w:t>
      </w:r>
      <w:r w:rsidRPr="00D817AC">
        <w:rPr>
          <w:i/>
          <w:iCs/>
          <w:sz w:val="24"/>
          <w:szCs w:val="24"/>
        </w:rPr>
        <w:t>overt</w:t>
      </w:r>
      <w:r>
        <w:rPr>
          <w:sz w:val="24"/>
          <w:szCs w:val="24"/>
        </w:rPr>
        <w:t xml:space="preserve"> </w:t>
      </w:r>
      <w:r w:rsidRPr="00D817AC">
        <w:rPr>
          <w:sz w:val="24"/>
          <w:szCs w:val="24"/>
        </w:rPr>
        <w:t>body</w:t>
      </w:r>
      <w:r>
        <w:rPr>
          <w:sz w:val="24"/>
          <w:szCs w:val="24"/>
        </w:rPr>
        <w:t xml:space="preserve">-worn camera recordings are not necessary, on the basis that there is a reduced risk of unfair prejudice to a person who is filmed overtly and is aware of the recording and the limitation on their privacy at the time the recording is being made. </w:t>
      </w:r>
    </w:p>
    <w:p w14:paraId="3105C76C" w14:textId="6B026D76" w:rsidR="00E427A2" w:rsidRDefault="00E427A2" w:rsidP="00E427A2">
      <w:pPr>
        <w:spacing w:after="0" w:line="240" w:lineRule="auto"/>
        <w:rPr>
          <w:sz w:val="24"/>
          <w:szCs w:val="24"/>
        </w:rPr>
      </w:pPr>
      <w:r>
        <w:rPr>
          <w:sz w:val="24"/>
          <w:szCs w:val="24"/>
        </w:rPr>
        <w:lastRenderedPageBreak/>
        <w:t xml:space="preserve">If it is later identified that the recordings should not be admitted as evidence for any reason, the </w:t>
      </w:r>
      <w:r>
        <w:rPr>
          <w:i/>
          <w:iCs/>
          <w:sz w:val="24"/>
          <w:szCs w:val="24"/>
        </w:rPr>
        <w:t>Evidence Act 2011</w:t>
      </w:r>
      <w:r>
        <w:rPr>
          <w:sz w:val="24"/>
          <w:szCs w:val="24"/>
        </w:rPr>
        <w:t xml:space="preserve"> provides a range of grounds on which evidence can be excluded. Most notably, the provisions of Part 3.11 of the </w:t>
      </w:r>
      <w:r>
        <w:rPr>
          <w:i/>
          <w:iCs/>
          <w:sz w:val="24"/>
          <w:szCs w:val="24"/>
        </w:rPr>
        <w:t xml:space="preserve">Evidence Act </w:t>
      </w:r>
      <w:r w:rsidRPr="004C531C">
        <w:rPr>
          <w:i/>
          <w:iCs/>
          <w:sz w:val="24"/>
          <w:szCs w:val="24"/>
        </w:rPr>
        <w:t>2011</w:t>
      </w:r>
      <w:r>
        <w:rPr>
          <w:sz w:val="24"/>
          <w:szCs w:val="24"/>
        </w:rPr>
        <w:t xml:space="preserve"> which provide, among other things, for:</w:t>
      </w:r>
    </w:p>
    <w:p w14:paraId="45C04131" w14:textId="77777777" w:rsidR="00E427A2" w:rsidRDefault="00E427A2" w:rsidP="00E427A2">
      <w:pPr>
        <w:spacing w:after="0" w:line="240" w:lineRule="auto"/>
        <w:rPr>
          <w:sz w:val="24"/>
          <w:szCs w:val="24"/>
        </w:rPr>
      </w:pPr>
    </w:p>
    <w:p w14:paraId="7B91CF29" w14:textId="77777777" w:rsidR="00E427A2" w:rsidRDefault="00E427A2" w:rsidP="00E427A2">
      <w:pPr>
        <w:pStyle w:val="ListParagraph"/>
        <w:numPr>
          <w:ilvl w:val="0"/>
          <w:numId w:val="6"/>
        </w:numPr>
        <w:spacing w:after="0" w:line="240" w:lineRule="auto"/>
        <w:rPr>
          <w:sz w:val="24"/>
          <w:szCs w:val="24"/>
        </w:rPr>
      </w:pPr>
      <w:r>
        <w:rPr>
          <w:sz w:val="24"/>
          <w:szCs w:val="24"/>
        </w:rPr>
        <w:t>the court’s discretion to</w:t>
      </w:r>
      <w:r w:rsidRPr="00D2292A">
        <w:rPr>
          <w:sz w:val="24"/>
          <w:szCs w:val="24"/>
        </w:rPr>
        <w:t xml:space="preserve"> </w:t>
      </w:r>
      <w:r w:rsidRPr="006E3147">
        <w:rPr>
          <w:sz w:val="24"/>
          <w:szCs w:val="24"/>
        </w:rPr>
        <w:t>exclude evidence “if its probative value is substantially outweighed by the danger that the evidence might… be unfairly prejudicial to a party”</w:t>
      </w:r>
      <w:r>
        <w:rPr>
          <w:sz w:val="24"/>
          <w:szCs w:val="24"/>
        </w:rPr>
        <w:t>;</w:t>
      </w:r>
    </w:p>
    <w:p w14:paraId="23C55A59" w14:textId="77777777" w:rsidR="00E427A2" w:rsidRDefault="00E427A2" w:rsidP="00E427A2">
      <w:pPr>
        <w:pStyle w:val="ListParagraph"/>
        <w:numPr>
          <w:ilvl w:val="0"/>
          <w:numId w:val="6"/>
        </w:numPr>
        <w:spacing w:after="0" w:line="240" w:lineRule="auto"/>
        <w:rPr>
          <w:sz w:val="24"/>
          <w:szCs w:val="24"/>
        </w:rPr>
      </w:pPr>
      <w:r w:rsidRPr="006E3147">
        <w:rPr>
          <w:sz w:val="24"/>
          <w:szCs w:val="24"/>
        </w:rPr>
        <w:t xml:space="preserve"> </w:t>
      </w:r>
      <w:r>
        <w:rPr>
          <w:sz w:val="24"/>
          <w:szCs w:val="24"/>
        </w:rPr>
        <w:t>the exclusion of evidence in criminal proceedings if its probative value is outweighed by the danger of unfair prejudice to the defendant;</w:t>
      </w:r>
    </w:p>
    <w:p w14:paraId="6527C4F2" w14:textId="77777777" w:rsidR="00E427A2" w:rsidRPr="006E3147" w:rsidRDefault="00E427A2" w:rsidP="00E427A2">
      <w:pPr>
        <w:pStyle w:val="ListParagraph"/>
        <w:numPr>
          <w:ilvl w:val="0"/>
          <w:numId w:val="6"/>
        </w:numPr>
        <w:spacing w:after="0" w:line="240" w:lineRule="auto"/>
        <w:rPr>
          <w:sz w:val="24"/>
          <w:szCs w:val="24"/>
        </w:rPr>
      </w:pPr>
      <w:r>
        <w:rPr>
          <w:sz w:val="24"/>
          <w:szCs w:val="24"/>
        </w:rPr>
        <w:t>the exclusion of improperly or illegally obtained evidence.</w:t>
      </w:r>
    </w:p>
    <w:p w14:paraId="41BB7618" w14:textId="77777777" w:rsidR="00E427A2" w:rsidRDefault="00E427A2" w:rsidP="00E427A2">
      <w:pPr>
        <w:spacing w:after="0" w:line="240" w:lineRule="auto"/>
        <w:rPr>
          <w:sz w:val="24"/>
          <w:szCs w:val="24"/>
        </w:rPr>
      </w:pPr>
    </w:p>
    <w:p w14:paraId="4FAE4C10" w14:textId="0412CA3D" w:rsidR="00E427A2" w:rsidRDefault="00E427A2" w:rsidP="00E427A2">
      <w:pPr>
        <w:spacing w:after="0" w:line="240" w:lineRule="auto"/>
        <w:rPr>
          <w:sz w:val="24"/>
          <w:szCs w:val="24"/>
        </w:rPr>
      </w:pPr>
      <w:r>
        <w:rPr>
          <w:sz w:val="24"/>
          <w:szCs w:val="24"/>
        </w:rPr>
        <w:t xml:space="preserve">In terms of preserving the integrity and security of the recordings, </w:t>
      </w:r>
      <w:r w:rsidR="006768D4">
        <w:rPr>
          <w:sz w:val="24"/>
          <w:szCs w:val="24"/>
        </w:rPr>
        <w:t>existing</w:t>
      </w:r>
      <w:r>
        <w:rPr>
          <w:sz w:val="24"/>
          <w:szCs w:val="24"/>
        </w:rPr>
        <w:t xml:space="preserve"> legal frameworks provide strict limits and protections for the handling of AFP records by police officers. Those records include recordings from body-worn cameras (for example, the </w:t>
      </w:r>
      <w:r>
        <w:rPr>
          <w:i/>
          <w:iCs/>
          <w:sz w:val="24"/>
          <w:szCs w:val="24"/>
        </w:rPr>
        <w:t>Archives Act 1983</w:t>
      </w:r>
      <w:r>
        <w:rPr>
          <w:sz w:val="24"/>
          <w:szCs w:val="24"/>
        </w:rPr>
        <w:t xml:space="preserve"> (</w:t>
      </w:r>
      <w:proofErr w:type="spellStart"/>
      <w:r>
        <w:rPr>
          <w:sz w:val="24"/>
          <w:szCs w:val="24"/>
        </w:rPr>
        <w:t>Cth</w:t>
      </w:r>
      <w:proofErr w:type="spellEnd"/>
      <w:r>
        <w:rPr>
          <w:sz w:val="24"/>
          <w:szCs w:val="24"/>
        </w:rPr>
        <w:t xml:space="preserve">) and the </w:t>
      </w:r>
      <w:r>
        <w:rPr>
          <w:i/>
          <w:iCs/>
          <w:sz w:val="24"/>
          <w:szCs w:val="24"/>
        </w:rPr>
        <w:t>Australian Federal Police Act 1979</w:t>
      </w:r>
      <w:r>
        <w:rPr>
          <w:sz w:val="24"/>
          <w:szCs w:val="24"/>
        </w:rPr>
        <w:t xml:space="preserve"> (</w:t>
      </w:r>
      <w:proofErr w:type="spellStart"/>
      <w:r>
        <w:rPr>
          <w:sz w:val="24"/>
          <w:szCs w:val="24"/>
        </w:rPr>
        <w:t>Cth</w:t>
      </w:r>
      <w:proofErr w:type="spellEnd"/>
      <w:r>
        <w:rPr>
          <w:sz w:val="24"/>
          <w:szCs w:val="24"/>
        </w:rPr>
        <w:t xml:space="preserve">)). In particular, section 60A of the </w:t>
      </w:r>
      <w:r>
        <w:rPr>
          <w:i/>
          <w:iCs/>
          <w:sz w:val="24"/>
          <w:szCs w:val="24"/>
        </w:rPr>
        <w:t>Australian Federal Police Act 1979</w:t>
      </w:r>
      <w:r>
        <w:rPr>
          <w:sz w:val="24"/>
          <w:szCs w:val="24"/>
        </w:rPr>
        <w:t xml:space="preserve"> (</w:t>
      </w:r>
      <w:proofErr w:type="spellStart"/>
      <w:r>
        <w:rPr>
          <w:sz w:val="24"/>
          <w:szCs w:val="24"/>
        </w:rPr>
        <w:t>Cth</w:t>
      </w:r>
      <w:proofErr w:type="spellEnd"/>
      <w:r>
        <w:rPr>
          <w:sz w:val="24"/>
          <w:szCs w:val="24"/>
        </w:rPr>
        <w:t>) provides it is an offence to copy or disclose AFP records without proper authorisation.</w:t>
      </w:r>
    </w:p>
    <w:p w14:paraId="689FD310" w14:textId="77777777" w:rsidR="001E79A7" w:rsidRDefault="001E79A7" w:rsidP="002F4456">
      <w:pPr>
        <w:spacing w:after="0" w:line="240" w:lineRule="auto"/>
        <w:rPr>
          <w:sz w:val="24"/>
          <w:szCs w:val="24"/>
        </w:rPr>
      </w:pPr>
    </w:p>
    <w:p w14:paraId="27B61E41" w14:textId="71062E3F" w:rsidR="00920E3E" w:rsidRPr="00920E3E" w:rsidRDefault="00920E3E" w:rsidP="002F4456">
      <w:pPr>
        <w:spacing w:after="0" w:line="240" w:lineRule="auto"/>
        <w:rPr>
          <w:i/>
          <w:iCs/>
          <w:sz w:val="24"/>
          <w:szCs w:val="24"/>
        </w:rPr>
      </w:pPr>
      <w:r>
        <w:rPr>
          <w:i/>
          <w:iCs/>
          <w:sz w:val="24"/>
          <w:szCs w:val="24"/>
        </w:rPr>
        <w:t xml:space="preserve">Proposed amendments to the </w:t>
      </w:r>
      <w:r w:rsidRPr="00920E3E">
        <w:rPr>
          <w:i/>
          <w:iCs/>
          <w:sz w:val="24"/>
          <w:szCs w:val="24"/>
        </w:rPr>
        <w:t>Terrorism (Extraordinary Temporary Powers) Act 2006</w:t>
      </w:r>
    </w:p>
    <w:p w14:paraId="6727A1F2" w14:textId="77777777" w:rsidR="00920E3E" w:rsidRDefault="00920E3E" w:rsidP="002F4456">
      <w:pPr>
        <w:spacing w:after="0" w:line="240" w:lineRule="auto"/>
        <w:rPr>
          <w:sz w:val="24"/>
          <w:szCs w:val="24"/>
        </w:rPr>
      </w:pPr>
    </w:p>
    <w:p w14:paraId="18100356" w14:textId="58C4E05D" w:rsidR="002F4456" w:rsidRDefault="002F4456" w:rsidP="002F4456">
      <w:pPr>
        <w:spacing w:after="0" w:line="240" w:lineRule="auto"/>
        <w:rPr>
          <w:sz w:val="24"/>
          <w:szCs w:val="24"/>
        </w:rPr>
      </w:pPr>
      <w:r>
        <w:rPr>
          <w:sz w:val="24"/>
          <w:szCs w:val="24"/>
        </w:rPr>
        <w:t xml:space="preserve">In </w:t>
      </w:r>
      <w:r w:rsidR="00D2292A">
        <w:rPr>
          <w:sz w:val="24"/>
          <w:szCs w:val="24"/>
        </w:rPr>
        <w:t xml:space="preserve">relation to </w:t>
      </w:r>
      <w:r>
        <w:rPr>
          <w:sz w:val="24"/>
          <w:szCs w:val="24"/>
        </w:rPr>
        <w:t xml:space="preserve">the amendments to extend the sunset of the </w:t>
      </w:r>
      <w:r w:rsidRPr="00920E3E">
        <w:rPr>
          <w:i/>
          <w:iCs/>
          <w:sz w:val="24"/>
          <w:szCs w:val="24"/>
        </w:rPr>
        <w:t>Terrorism (Extraordinary Temporary Powers) Act 2006</w:t>
      </w:r>
      <w:r w:rsidRPr="00920E3E">
        <w:rPr>
          <w:sz w:val="24"/>
          <w:szCs w:val="24"/>
        </w:rPr>
        <w:t xml:space="preserve"> (</w:t>
      </w:r>
      <w:r>
        <w:rPr>
          <w:sz w:val="24"/>
          <w:szCs w:val="24"/>
        </w:rPr>
        <w:t xml:space="preserve">TETPA), the Committee requested </w:t>
      </w:r>
      <w:r w:rsidRPr="002F4456">
        <w:rPr>
          <w:sz w:val="24"/>
          <w:szCs w:val="24"/>
        </w:rPr>
        <w:t xml:space="preserve">further information </w:t>
      </w:r>
      <w:r w:rsidR="00880D34">
        <w:rPr>
          <w:sz w:val="24"/>
          <w:szCs w:val="24"/>
        </w:rPr>
        <w:t>as to</w:t>
      </w:r>
      <w:r w:rsidRPr="002F4456">
        <w:rPr>
          <w:sz w:val="24"/>
          <w:szCs w:val="24"/>
        </w:rPr>
        <w:t xml:space="preserve"> why it is considered necessary and proportionate to extend the operation of the Act</w:t>
      </w:r>
      <w:r>
        <w:rPr>
          <w:sz w:val="24"/>
          <w:szCs w:val="24"/>
        </w:rPr>
        <w:t>.</w:t>
      </w:r>
    </w:p>
    <w:p w14:paraId="01AFA6F8" w14:textId="77777777" w:rsidR="002F4456" w:rsidRPr="002F4456" w:rsidRDefault="002F4456" w:rsidP="002F4456">
      <w:pPr>
        <w:spacing w:after="0" w:line="240" w:lineRule="auto"/>
        <w:rPr>
          <w:sz w:val="24"/>
          <w:szCs w:val="24"/>
        </w:rPr>
      </w:pPr>
    </w:p>
    <w:p w14:paraId="68B50674" w14:textId="5D573FA0" w:rsidR="002F4456" w:rsidRDefault="002F4456" w:rsidP="002F4456">
      <w:pPr>
        <w:spacing w:after="0" w:line="240" w:lineRule="auto"/>
        <w:rPr>
          <w:sz w:val="24"/>
          <w:szCs w:val="24"/>
        </w:rPr>
      </w:pPr>
      <w:r w:rsidRPr="002F4456">
        <w:rPr>
          <w:sz w:val="24"/>
          <w:szCs w:val="24"/>
        </w:rPr>
        <w:t xml:space="preserve">As noted by the Committee, this amendment follows a recent review of the operation and effectiveness of </w:t>
      </w:r>
      <w:r>
        <w:rPr>
          <w:sz w:val="24"/>
          <w:szCs w:val="24"/>
        </w:rPr>
        <w:t>TETPA</w:t>
      </w:r>
      <w:r w:rsidRPr="002F4456">
        <w:rPr>
          <w:sz w:val="24"/>
          <w:szCs w:val="24"/>
        </w:rPr>
        <w:t xml:space="preserve"> which concluded that it was appropriate to give further consideration to opportunities to incorporate additional rights protections in </w:t>
      </w:r>
      <w:r>
        <w:rPr>
          <w:sz w:val="24"/>
          <w:szCs w:val="24"/>
        </w:rPr>
        <w:t>TETPA</w:t>
      </w:r>
      <w:r w:rsidRPr="001430F7">
        <w:rPr>
          <w:sz w:val="24"/>
          <w:szCs w:val="24"/>
        </w:rPr>
        <w:t xml:space="preserve">. I acknowledge that the report </w:t>
      </w:r>
      <w:r w:rsidR="00AF5601">
        <w:rPr>
          <w:sz w:val="24"/>
          <w:szCs w:val="24"/>
        </w:rPr>
        <w:t>contemplate</w:t>
      </w:r>
      <w:r w:rsidRPr="001430F7">
        <w:rPr>
          <w:sz w:val="24"/>
          <w:szCs w:val="24"/>
        </w:rPr>
        <w:t>d that the work to consider improvements to the TETPA would be undertaken before the sunsetting of TETPA in November 2021.</w:t>
      </w:r>
      <w:r w:rsidRPr="002F4456">
        <w:rPr>
          <w:sz w:val="24"/>
          <w:szCs w:val="24"/>
        </w:rPr>
        <w:t xml:space="preserve"> However, a short extension is required to allow sufficient opportunity to consider and consult on ways in which the</w:t>
      </w:r>
      <w:r w:rsidR="00C16C90">
        <w:rPr>
          <w:sz w:val="24"/>
          <w:szCs w:val="24"/>
        </w:rPr>
        <w:t xml:space="preserve"> considerable</w:t>
      </w:r>
      <w:r w:rsidRPr="002F4456">
        <w:rPr>
          <w:sz w:val="24"/>
          <w:szCs w:val="24"/>
        </w:rPr>
        <w:t xml:space="preserve"> safeguards</w:t>
      </w:r>
      <w:r>
        <w:rPr>
          <w:sz w:val="24"/>
          <w:szCs w:val="24"/>
        </w:rPr>
        <w:t xml:space="preserve"> in TETPA</w:t>
      </w:r>
      <w:r w:rsidRPr="002F4456">
        <w:rPr>
          <w:sz w:val="24"/>
          <w:szCs w:val="24"/>
        </w:rPr>
        <w:t xml:space="preserve"> could be further refined or enhanced, whil</w:t>
      </w:r>
      <w:r>
        <w:rPr>
          <w:sz w:val="24"/>
          <w:szCs w:val="24"/>
        </w:rPr>
        <w:t xml:space="preserve">e </w:t>
      </w:r>
      <w:r w:rsidRPr="002F4456">
        <w:rPr>
          <w:sz w:val="24"/>
          <w:szCs w:val="24"/>
        </w:rPr>
        <w:t xml:space="preserve">ensuring that </w:t>
      </w:r>
      <w:r>
        <w:rPr>
          <w:sz w:val="24"/>
          <w:szCs w:val="24"/>
        </w:rPr>
        <w:t>it</w:t>
      </w:r>
      <w:r w:rsidRPr="002F4456">
        <w:rPr>
          <w:sz w:val="24"/>
          <w:szCs w:val="24"/>
        </w:rPr>
        <w:t xml:space="preserve"> continues to support community safety.</w:t>
      </w:r>
      <w:r w:rsidR="00C16C90">
        <w:rPr>
          <w:sz w:val="24"/>
          <w:szCs w:val="24"/>
        </w:rPr>
        <w:t xml:space="preserve"> The</w:t>
      </w:r>
      <w:r w:rsidRPr="002F4456">
        <w:rPr>
          <w:sz w:val="24"/>
          <w:szCs w:val="24"/>
        </w:rPr>
        <w:t xml:space="preserve"> </w:t>
      </w:r>
      <w:r>
        <w:rPr>
          <w:sz w:val="24"/>
          <w:szCs w:val="24"/>
        </w:rPr>
        <w:t>TETPA</w:t>
      </w:r>
      <w:r w:rsidRPr="002F4456">
        <w:rPr>
          <w:sz w:val="24"/>
          <w:szCs w:val="24"/>
        </w:rPr>
        <w:t xml:space="preserve"> remains consistent with human rights and any limitations on rights by the extension of </w:t>
      </w:r>
      <w:r w:rsidR="00880D34">
        <w:rPr>
          <w:sz w:val="24"/>
          <w:szCs w:val="24"/>
        </w:rPr>
        <w:t>the Act</w:t>
      </w:r>
      <w:r>
        <w:rPr>
          <w:sz w:val="24"/>
          <w:szCs w:val="24"/>
        </w:rPr>
        <w:t xml:space="preserve"> </w:t>
      </w:r>
      <w:r w:rsidR="00C16C90">
        <w:rPr>
          <w:sz w:val="24"/>
          <w:szCs w:val="24"/>
        </w:rPr>
        <w:t xml:space="preserve">are </w:t>
      </w:r>
      <w:r w:rsidRPr="002F4456">
        <w:rPr>
          <w:sz w:val="24"/>
          <w:szCs w:val="24"/>
        </w:rPr>
        <w:t>reasonable and necessary to achieve the legitimate purpose of responding to the threat of terrorism.</w:t>
      </w:r>
    </w:p>
    <w:p w14:paraId="680FF8CA" w14:textId="47C84E4D" w:rsidR="00387F82" w:rsidRDefault="00387F82" w:rsidP="002F4456">
      <w:pPr>
        <w:spacing w:after="0" w:line="240" w:lineRule="auto"/>
        <w:rPr>
          <w:sz w:val="24"/>
          <w:szCs w:val="24"/>
        </w:rPr>
      </w:pPr>
    </w:p>
    <w:p w14:paraId="6A70AF8B" w14:textId="07B35CB2" w:rsidR="00387F82" w:rsidRPr="00A031A0" w:rsidRDefault="00387F82" w:rsidP="002F4456">
      <w:pPr>
        <w:spacing w:after="0" w:line="240" w:lineRule="auto"/>
        <w:rPr>
          <w:sz w:val="24"/>
          <w:szCs w:val="24"/>
        </w:rPr>
      </w:pPr>
      <w:r>
        <w:rPr>
          <w:sz w:val="24"/>
          <w:szCs w:val="24"/>
        </w:rPr>
        <w:t>I thank the Committee for their consideration of the B</w:t>
      </w:r>
      <w:r w:rsidR="00880D34">
        <w:rPr>
          <w:sz w:val="24"/>
          <w:szCs w:val="24"/>
        </w:rPr>
        <w:t>i</w:t>
      </w:r>
      <w:r>
        <w:rPr>
          <w:sz w:val="24"/>
          <w:szCs w:val="24"/>
        </w:rPr>
        <w:t>ll.</w:t>
      </w:r>
    </w:p>
    <w:p w14:paraId="38CDF983" w14:textId="77777777" w:rsidR="00AD7D31" w:rsidRPr="00A031A0" w:rsidRDefault="00AD7D31" w:rsidP="00AD7D31">
      <w:pPr>
        <w:spacing w:after="0" w:line="240" w:lineRule="auto"/>
        <w:rPr>
          <w:sz w:val="24"/>
          <w:szCs w:val="24"/>
        </w:rPr>
      </w:pPr>
    </w:p>
    <w:p w14:paraId="50E9D920" w14:textId="77777777" w:rsidR="00AD7D31" w:rsidRPr="00A031A0" w:rsidRDefault="00AD7D31" w:rsidP="00AD7D31">
      <w:pPr>
        <w:spacing w:after="0" w:line="240" w:lineRule="auto"/>
        <w:rPr>
          <w:sz w:val="24"/>
          <w:szCs w:val="24"/>
        </w:rPr>
      </w:pPr>
      <w:r w:rsidRPr="00A031A0">
        <w:rPr>
          <w:sz w:val="24"/>
          <w:szCs w:val="24"/>
        </w:rPr>
        <w:t>Yours sincerely</w:t>
      </w:r>
    </w:p>
    <w:p w14:paraId="248AE53F" w14:textId="77777777" w:rsidR="00AD7D31" w:rsidRDefault="00834846" w:rsidP="00AD7D31">
      <w:pPr>
        <w:spacing w:after="0" w:line="240" w:lineRule="auto"/>
        <w:rPr>
          <w:sz w:val="24"/>
          <w:szCs w:val="24"/>
        </w:rPr>
      </w:pPr>
      <w:r w:rsidRPr="00A031A0">
        <w:rPr>
          <w:sz w:val="24"/>
          <w:szCs w:val="24"/>
        </w:rPr>
        <w:br/>
      </w:r>
    </w:p>
    <w:p w14:paraId="7F896EAF" w14:textId="77777777" w:rsidR="008D37E0" w:rsidRPr="00A031A0" w:rsidRDefault="008D37E0" w:rsidP="00AD7D31">
      <w:pPr>
        <w:spacing w:after="0" w:line="240" w:lineRule="auto"/>
        <w:rPr>
          <w:sz w:val="24"/>
          <w:szCs w:val="24"/>
        </w:rPr>
      </w:pPr>
    </w:p>
    <w:p w14:paraId="6DB2D9D4" w14:textId="77777777" w:rsidR="002C0FA3" w:rsidRDefault="00F255AE" w:rsidP="00880D34">
      <w:pPr>
        <w:spacing w:after="0" w:line="240" w:lineRule="auto"/>
        <w:rPr>
          <w:sz w:val="24"/>
          <w:szCs w:val="24"/>
        </w:rPr>
      </w:pPr>
      <w:r>
        <w:rPr>
          <w:sz w:val="24"/>
          <w:szCs w:val="24"/>
        </w:rPr>
        <w:t>Shane Rattenbury</w:t>
      </w:r>
      <w:r w:rsidR="00AD7D31" w:rsidRPr="00A031A0">
        <w:rPr>
          <w:sz w:val="24"/>
          <w:szCs w:val="24"/>
        </w:rPr>
        <w:t xml:space="preserve"> MLA</w:t>
      </w:r>
    </w:p>
    <w:p w14:paraId="6656D172" w14:textId="7DFB0567" w:rsidR="00725519" w:rsidRPr="00880D34" w:rsidRDefault="00F14007" w:rsidP="00880D34">
      <w:pPr>
        <w:spacing w:after="0" w:line="240" w:lineRule="auto"/>
        <w:rPr>
          <w:sz w:val="24"/>
          <w:szCs w:val="24"/>
        </w:rPr>
      </w:pPr>
      <w:r>
        <w:rPr>
          <w:noProof/>
          <w:lang w:eastAsia="en-AU"/>
        </w:rPr>
        <mc:AlternateContent>
          <mc:Choice Requires="wps">
            <w:drawing>
              <wp:anchor distT="0" distB="0" distL="114300" distR="114300" simplePos="0" relativeHeight="251666432" behindDoc="1" locked="0" layoutInCell="1" allowOverlap="1" wp14:anchorId="2BAE0251" wp14:editId="4D9BB996">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FDB30"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AE0251"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7CCFDB30"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v:textbox>
                <w10:wrap anchorx="page" anchory="page"/>
              </v:shape>
            </w:pict>
          </mc:Fallback>
        </mc:AlternateContent>
      </w:r>
      <w:r w:rsidR="002C0FA3">
        <w:rPr>
          <w:sz w:val="24"/>
          <w:szCs w:val="24"/>
        </w:rPr>
        <w:t>Attorney-General</w:t>
      </w:r>
    </w:p>
    <w:sectPr w:rsidR="00725519" w:rsidRPr="00880D34" w:rsidSect="001430F7">
      <w:headerReference w:type="first" r:id="rId11"/>
      <w:footerReference w:type="first" r:id="rId12"/>
      <w:pgSz w:w="11906" w:h="16838" w:code="9"/>
      <w:pgMar w:top="1701" w:right="1021" w:bottom="1440"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E74AF" w14:textId="77777777" w:rsidR="00EF59BC" w:rsidRDefault="00EF59BC" w:rsidP="00AD7D31">
      <w:pPr>
        <w:spacing w:after="0" w:line="240" w:lineRule="auto"/>
      </w:pPr>
      <w:r>
        <w:separator/>
      </w:r>
    </w:p>
  </w:endnote>
  <w:endnote w:type="continuationSeparator" w:id="0">
    <w:p w14:paraId="3DED479B" w14:textId="77777777" w:rsidR="00EF59BC" w:rsidRDefault="00EF59BC"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AF8FA" w14:textId="77777777" w:rsidR="001E1C2A" w:rsidRDefault="008C5119" w:rsidP="001E1C2A">
    <w:pPr>
      <w:pStyle w:val="Footer"/>
      <w:tabs>
        <w:tab w:val="clear" w:pos="4513"/>
        <w:tab w:val="clear" w:pos="9026"/>
        <w:tab w:val="left" w:pos="8064"/>
      </w:tabs>
      <w:jc w:val="left"/>
    </w:pPr>
    <w:r>
      <w:rPr>
        <w:noProof/>
        <w:lang w:eastAsia="en-AU"/>
      </w:rPr>
      <w:drawing>
        <wp:anchor distT="0" distB="0" distL="114300" distR="114300" simplePos="0" relativeHeight="251677696" behindDoc="1" locked="0" layoutInCell="1" allowOverlap="1" wp14:anchorId="6DD1A387" wp14:editId="1BA8BEA8">
          <wp:simplePos x="0" y="0"/>
          <wp:positionH relativeFrom="page">
            <wp:posOffset>4445</wp:posOffset>
          </wp:positionH>
          <wp:positionV relativeFrom="paragraph">
            <wp:posOffset>19050</wp:posOffset>
          </wp:positionV>
          <wp:extent cx="7162800" cy="1502235"/>
          <wp:effectExtent l="0" t="0" r="0" b="3175"/>
          <wp:wrapNone/>
          <wp:docPr id="38" name="Picture 3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r w:rsidR="001E1C2A">
      <w:tab/>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1E1C2A" w:rsidRPr="00910ED5" w14:paraId="2606B84E" w14:textId="77777777" w:rsidTr="009260CD">
      <w:trPr>
        <w:trHeight w:val="340"/>
        <w:jc w:val="right"/>
      </w:trPr>
      <w:tc>
        <w:tcPr>
          <w:tcW w:w="6804" w:type="dxa"/>
          <w:gridSpan w:val="4"/>
          <w:tcBorders>
            <w:top w:val="nil"/>
            <w:bottom w:val="single" w:sz="4" w:space="0" w:color="724793"/>
          </w:tcBorders>
        </w:tcPr>
        <w:p w14:paraId="3A2E873B"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1E1C2A" w:rsidRPr="00910ED5" w14:paraId="4443CFC5" w14:textId="77777777" w:rsidTr="001E1C2A">
      <w:trPr>
        <w:trHeight w:val="20"/>
        <w:jc w:val="right"/>
      </w:trPr>
      <w:tc>
        <w:tcPr>
          <w:tcW w:w="425" w:type="dxa"/>
          <w:tcBorders>
            <w:top w:val="single" w:sz="4" w:space="0" w:color="724793"/>
            <w:bottom w:val="nil"/>
          </w:tcBorders>
          <w:vAlign w:val="center"/>
        </w:tcPr>
        <w:p w14:paraId="6AD941F4" w14:textId="77777777" w:rsidR="001E1C2A" w:rsidRPr="00910ED5" w:rsidRDefault="001E1C2A" w:rsidP="001E1C2A">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2BC421A2" w14:textId="77777777" w:rsidR="001E1C2A" w:rsidRPr="00910ED5" w:rsidRDefault="001E1C2A" w:rsidP="001E1C2A">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1E4AFE39" w14:textId="4429A936"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28C215DB" wp14:editId="38CD4BCD">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98EBD5"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3E07974A" w14:textId="375843AB"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36E1B7C3" wp14:editId="0C5387D7">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C12BB"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1E1C2A" w:rsidRPr="00910ED5" w14:paraId="7E51F21C" w14:textId="77777777" w:rsidTr="001E1C2A">
      <w:trPr>
        <w:trHeight w:val="20"/>
        <w:jc w:val="right"/>
      </w:trPr>
      <w:tc>
        <w:tcPr>
          <w:tcW w:w="425" w:type="dxa"/>
          <w:tcBorders>
            <w:top w:val="nil"/>
            <w:bottom w:val="nil"/>
          </w:tcBorders>
          <w:vAlign w:val="center"/>
        </w:tcPr>
        <w:p w14:paraId="788682E4"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5B586C39" w14:textId="7F83663E"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7B8EE7F8" wp14:editId="3465FD05">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12527"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6A3CA93C" w14:textId="6B82577F" w:rsidR="001E1C2A" w:rsidRPr="00910ED5" w:rsidRDefault="00261999" w:rsidP="001E1C2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026388AB" wp14:editId="3F7EC065">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0320F8"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1E1C2A" w:rsidRPr="00910ED5">
            <w:rPr>
              <w:color w:val="724793" w:themeColor="accent2"/>
              <w:spacing w:val="-4"/>
              <w:sz w:val="18"/>
              <w:szCs w:val="18"/>
            </w:rPr>
            <w:t xml:space="preserve">  </w:t>
          </w:r>
          <w:proofErr w:type="spellStart"/>
          <w:r w:rsidR="001E1C2A">
            <w:rPr>
              <w:color w:val="724793" w:themeColor="accent2"/>
              <w:spacing w:val="-4"/>
              <w:sz w:val="18"/>
              <w:szCs w:val="18"/>
            </w:rPr>
            <w:t>shanerattenburymla</w:t>
          </w:r>
          <w:proofErr w:type="spellEnd"/>
        </w:p>
      </w:tc>
      <w:tc>
        <w:tcPr>
          <w:tcW w:w="2268" w:type="dxa"/>
          <w:vAlign w:val="center"/>
        </w:tcPr>
        <w:p w14:paraId="34355D88" w14:textId="299B2405" w:rsidR="001E1C2A" w:rsidRPr="00910ED5" w:rsidRDefault="00261999" w:rsidP="001E1C2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3FC19468" wp14:editId="0067234A">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1E6D40"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1E1C2A" w:rsidRPr="00910ED5">
            <w:rPr>
              <w:color w:val="724793" w:themeColor="accent2"/>
              <w:spacing w:val="-4"/>
              <w:sz w:val="18"/>
              <w:szCs w:val="18"/>
            </w:rPr>
            <w:t xml:space="preserve">  </w:t>
          </w:r>
          <w:proofErr w:type="spellStart"/>
          <w:r w:rsidR="001E1C2A">
            <w:rPr>
              <w:color w:val="724793" w:themeColor="accent2"/>
              <w:spacing w:val="-4"/>
              <w:sz w:val="18"/>
              <w:szCs w:val="18"/>
            </w:rPr>
            <w:t>shanerattenbury</w:t>
          </w:r>
          <w:proofErr w:type="spellEnd"/>
        </w:p>
      </w:tc>
    </w:tr>
  </w:tbl>
  <w:p w14:paraId="1DA0D7FF" w14:textId="7CE7B440" w:rsidR="008C5119" w:rsidRDefault="008C5119" w:rsidP="001E1C2A">
    <w:pPr>
      <w:pStyle w:val="Footer"/>
      <w:tabs>
        <w:tab w:val="clear" w:pos="4513"/>
        <w:tab w:val="clear" w:pos="9026"/>
        <w:tab w:val="left" w:pos="8064"/>
      </w:tabs>
      <w:jc w:val="left"/>
    </w:pPr>
  </w:p>
  <w:p w14:paraId="3E8B1D64"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2AF98" w14:textId="77777777" w:rsidR="00EF59BC" w:rsidRDefault="00EF59BC" w:rsidP="00AD7D31">
      <w:pPr>
        <w:spacing w:after="0" w:line="240" w:lineRule="auto"/>
      </w:pPr>
      <w:r>
        <w:separator/>
      </w:r>
    </w:p>
  </w:footnote>
  <w:footnote w:type="continuationSeparator" w:id="0">
    <w:p w14:paraId="3ABD22C2" w14:textId="77777777" w:rsidR="00EF59BC" w:rsidRDefault="00EF59BC"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32588"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A5F7EEF" wp14:editId="6C9599CC">
          <wp:simplePos x="0" y="0"/>
          <wp:positionH relativeFrom="margin">
            <wp:posOffset>-619758</wp:posOffset>
          </wp:positionH>
          <wp:positionV relativeFrom="paragraph">
            <wp:posOffset>-36195</wp:posOffset>
          </wp:positionV>
          <wp:extent cx="7538814" cy="1580719"/>
          <wp:effectExtent l="0" t="0" r="5080" b="63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423A146E" wp14:editId="492E9A66">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A9DE22"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61830386" w14:textId="1C215C23" w:rsidR="006F4E04" w:rsidRPr="00DD766A" w:rsidRDefault="00F255AE" w:rsidP="006F4E04">
    <w:pPr>
      <w:pStyle w:val="Portfolios"/>
    </w:pPr>
    <w:r>
      <w:rPr>
        <w:b/>
        <w:color w:val="231F20"/>
        <w:spacing w:val="-1"/>
        <w:sz w:val="24"/>
      </w:rPr>
      <w:t>Shane Rattenbury</w:t>
    </w:r>
    <w:r w:rsidR="006F4E04">
      <w:rPr>
        <w:b/>
        <w:color w:val="231F20"/>
        <w:spacing w:val="-1"/>
        <w:sz w:val="24"/>
      </w:rPr>
      <w:t xml:space="preserve"> MLA</w:t>
    </w:r>
    <w:r w:rsidR="006F4E04" w:rsidRPr="00DD766A">
      <w:t xml:space="preserve"> </w:t>
    </w:r>
    <w:r w:rsidR="006F4E04">
      <w:br/>
    </w:r>
    <w:r>
      <w:t>Attorney-General</w:t>
    </w:r>
    <w:r>
      <w:br/>
      <w:t xml:space="preserve">Minister for Consumer Affairs </w:t>
    </w:r>
    <w:r>
      <w:br/>
      <w:t>Minister for Water, Energy and Emissions Reduction</w:t>
    </w:r>
    <w:r>
      <w:br/>
      <w:t>Minister for Gaming</w:t>
    </w:r>
  </w:p>
  <w:p w14:paraId="6EC312CF" w14:textId="49D6C5C2" w:rsidR="00F255AE" w:rsidRPr="00003B4A" w:rsidRDefault="00F255AE" w:rsidP="00F255AE">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80768" behindDoc="0" locked="0" layoutInCell="1" allowOverlap="1" wp14:anchorId="611C83FD" wp14:editId="4F6D7AD8">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F32720" id="Straight Connector 100"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Pr="0046418A">
      <w:rPr>
        <w:rFonts w:ascii="Calibri" w:hAnsi="Calibri"/>
        <w:sz w:val="20"/>
        <w:szCs w:val="20"/>
      </w:rPr>
      <w:t xml:space="preserve">Member for </w:t>
    </w:r>
    <w:proofErr w:type="spellStart"/>
    <w:r>
      <w:rPr>
        <w:rFonts w:ascii="Calibri" w:hAnsi="Calibri"/>
        <w:sz w:val="20"/>
        <w:szCs w:val="20"/>
      </w:rPr>
      <w:t>Kurrajong</w:t>
    </w:r>
    <w:proofErr w:type="spellEnd"/>
  </w:p>
  <w:p w14:paraId="54E97E4D" w14:textId="6E6689D8" w:rsidR="00A6097C" w:rsidRPr="00003B4A" w:rsidRDefault="00A6097C" w:rsidP="00F255AE">
    <w:pPr>
      <w:pStyle w:val="Portfolio"/>
      <w:spacing w:after="80" w:line="240" w:lineRule="exact"/>
      <w:ind w:right="-626"/>
      <w:rPr>
        <w:rFonts w:ascii="Calibri" w:hAnsi="Calibr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7883"/>
    <w:multiLevelType w:val="hybridMultilevel"/>
    <w:tmpl w:val="6BBC7A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9A18B6"/>
    <w:multiLevelType w:val="hybridMultilevel"/>
    <w:tmpl w:val="5D9216B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259F106D"/>
    <w:multiLevelType w:val="hybridMultilevel"/>
    <w:tmpl w:val="77046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921370"/>
    <w:multiLevelType w:val="hybridMultilevel"/>
    <w:tmpl w:val="FA7ADBAC"/>
    <w:lvl w:ilvl="0" w:tplc="1EF03F7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924F8B"/>
    <w:multiLevelType w:val="hybridMultilevel"/>
    <w:tmpl w:val="9A02A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4164C9"/>
    <w:multiLevelType w:val="hybridMultilevel"/>
    <w:tmpl w:val="103070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9AE1977-E5A6-4227-8055-EEE0678C3F84}"/>
    <w:docVar w:name="dgnword-eventsink" w:val="611385760"/>
  </w:docVars>
  <w:rsids>
    <w:rsidRoot w:val="00696899"/>
    <w:rsid w:val="00003B4A"/>
    <w:rsid w:val="000125FC"/>
    <w:rsid w:val="00027AFE"/>
    <w:rsid w:val="0006371F"/>
    <w:rsid w:val="000C331E"/>
    <w:rsid w:val="001149B0"/>
    <w:rsid w:val="00131016"/>
    <w:rsid w:val="001430F7"/>
    <w:rsid w:val="001450DC"/>
    <w:rsid w:val="00161DD4"/>
    <w:rsid w:val="001804F3"/>
    <w:rsid w:val="001851B2"/>
    <w:rsid w:val="00195EAD"/>
    <w:rsid w:val="001D5B6A"/>
    <w:rsid w:val="001D7389"/>
    <w:rsid w:val="001E1C2A"/>
    <w:rsid w:val="001E5611"/>
    <w:rsid w:val="001E79A7"/>
    <w:rsid w:val="00224756"/>
    <w:rsid w:val="00226DED"/>
    <w:rsid w:val="00240F3E"/>
    <w:rsid w:val="002450E9"/>
    <w:rsid w:val="00261999"/>
    <w:rsid w:val="002C0FA3"/>
    <w:rsid w:val="002D4441"/>
    <w:rsid w:val="002E1D40"/>
    <w:rsid w:val="002F4456"/>
    <w:rsid w:val="002F4D12"/>
    <w:rsid w:val="00312840"/>
    <w:rsid w:val="00313E4A"/>
    <w:rsid w:val="00313EE9"/>
    <w:rsid w:val="003313BD"/>
    <w:rsid w:val="003856F4"/>
    <w:rsid w:val="00387F82"/>
    <w:rsid w:val="003C5DFD"/>
    <w:rsid w:val="003E4068"/>
    <w:rsid w:val="004031AF"/>
    <w:rsid w:val="004032E4"/>
    <w:rsid w:val="0041104E"/>
    <w:rsid w:val="004517FA"/>
    <w:rsid w:val="00453AA2"/>
    <w:rsid w:val="004C2E93"/>
    <w:rsid w:val="004C531C"/>
    <w:rsid w:val="004D163A"/>
    <w:rsid w:val="005238B7"/>
    <w:rsid w:val="005351C5"/>
    <w:rsid w:val="0055749D"/>
    <w:rsid w:val="005C4787"/>
    <w:rsid w:val="005C6B6A"/>
    <w:rsid w:val="005E1B73"/>
    <w:rsid w:val="005E7DE1"/>
    <w:rsid w:val="0061634E"/>
    <w:rsid w:val="0064748B"/>
    <w:rsid w:val="00655CD8"/>
    <w:rsid w:val="006740C8"/>
    <w:rsid w:val="006768D4"/>
    <w:rsid w:val="00692C0A"/>
    <w:rsid w:val="00696899"/>
    <w:rsid w:val="006A1AAA"/>
    <w:rsid w:val="006A1B70"/>
    <w:rsid w:val="006C6335"/>
    <w:rsid w:val="006C63E7"/>
    <w:rsid w:val="006F4E04"/>
    <w:rsid w:val="00712BA7"/>
    <w:rsid w:val="00725519"/>
    <w:rsid w:val="00742013"/>
    <w:rsid w:val="00751F7B"/>
    <w:rsid w:val="00795E1D"/>
    <w:rsid w:val="007B465C"/>
    <w:rsid w:val="007D5881"/>
    <w:rsid w:val="007D7FAC"/>
    <w:rsid w:val="007E5D14"/>
    <w:rsid w:val="007F5BA8"/>
    <w:rsid w:val="00806ACB"/>
    <w:rsid w:val="00834846"/>
    <w:rsid w:val="00855531"/>
    <w:rsid w:val="00880D34"/>
    <w:rsid w:val="008A04F4"/>
    <w:rsid w:val="008A438E"/>
    <w:rsid w:val="008C5119"/>
    <w:rsid w:val="008D15E5"/>
    <w:rsid w:val="008D37E0"/>
    <w:rsid w:val="008E09AD"/>
    <w:rsid w:val="00905F4F"/>
    <w:rsid w:val="0091400C"/>
    <w:rsid w:val="00920E3E"/>
    <w:rsid w:val="009358C0"/>
    <w:rsid w:val="009B6D21"/>
    <w:rsid w:val="009C2877"/>
    <w:rsid w:val="00A031A0"/>
    <w:rsid w:val="00A16DCC"/>
    <w:rsid w:val="00A2718B"/>
    <w:rsid w:val="00A6097C"/>
    <w:rsid w:val="00AD7D31"/>
    <w:rsid w:val="00AF08DA"/>
    <w:rsid w:val="00AF2B15"/>
    <w:rsid w:val="00AF5601"/>
    <w:rsid w:val="00B053CE"/>
    <w:rsid w:val="00B21A66"/>
    <w:rsid w:val="00B375A1"/>
    <w:rsid w:val="00B85096"/>
    <w:rsid w:val="00B91F55"/>
    <w:rsid w:val="00B9289F"/>
    <w:rsid w:val="00BF0956"/>
    <w:rsid w:val="00BF127D"/>
    <w:rsid w:val="00C04DFF"/>
    <w:rsid w:val="00C16C90"/>
    <w:rsid w:val="00C4542D"/>
    <w:rsid w:val="00CA0045"/>
    <w:rsid w:val="00CA4B9B"/>
    <w:rsid w:val="00D2292A"/>
    <w:rsid w:val="00D5468F"/>
    <w:rsid w:val="00D817AC"/>
    <w:rsid w:val="00D82050"/>
    <w:rsid w:val="00DB6E41"/>
    <w:rsid w:val="00DD766A"/>
    <w:rsid w:val="00DF289A"/>
    <w:rsid w:val="00DF6768"/>
    <w:rsid w:val="00DF71D2"/>
    <w:rsid w:val="00E04FD9"/>
    <w:rsid w:val="00E427A2"/>
    <w:rsid w:val="00E80BC3"/>
    <w:rsid w:val="00E93D3A"/>
    <w:rsid w:val="00E95435"/>
    <w:rsid w:val="00EA7B1C"/>
    <w:rsid w:val="00EB388C"/>
    <w:rsid w:val="00ED5634"/>
    <w:rsid w:val="00ED5C8F"/>
    <w:rsid w:val="00EE6CA3"/>
    <w:rsid w:val="00EF0A8B"/>
    <w:rsid w:val="00EF59BC"/>
    <w:rsid w:val="00F07C6C"/>
    <w:rsid w:val="00F14007"/>
    <w:rsid w:val="00F255AE"/>
    <w:rsid w:val="00F45C8B"/>
    <w:rsid w:val="00F50739"/>
    <w:rsid w:val="00FB6B4E"/>
    <w:rsid w:val="00FB6C11"/>
    <w:rsid w:val="00FB7B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BC9228"/>
  <w15:chartTrackingRefBased/>
  <w15:docId w15:val="{C1567440-6CDA-45F3-AFB0-A3A58464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ListParagraph">
    <w:name w:val="List Paragraph"/>
    <w:basedOn w:val="Normal"/>
    <w:uiPriority w:val="34"/>
    <w:qFormat/>
    <w:rsid w:val="002F4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748381560">
      <w:bodyDiv w:val="1"/>
      <w:marLeft w:val="0"/>
      <w:marRight w:val="0"/>
      <w:marTop w:val="0"/>
      <w:marBottom w:val="0"/>
      <w:divBdr>
        <w:top w:val="none" w:sz="0" w:space="0" w:color="auto"/>
        <w:left w:val="none" w:sz="0" w:space="0" w:color="auto"/>
        <w:bottom w:val="none" w:sz="0" w:space="0" w:color="auto"/>
        <w:right w:val="none" w:sz="0" w:space="0" w:color="auto"/>
      </w:divBdr>
    </w:div>
    <w:div w:id="2005743910">
      <w:bodyDiv w:val="1"/>
      <w:marLeft w:val="0"/>
      <w:marRight w:val="0"/>
      <w:marTop w:val="0"/>
      <w:marBottom w:val="0"/>
      <w:divBdr>
        <w:top w:val="none" w:sz="0" w:space="0" w:color="auto"/>
        <w:left w:val="none" w:sz="0" w:space="0" w:color="auto"/>
        <w:bottom w:val="none" w:sz="0" w:space="0" w:color="auto"/>
        <w:right w:val="none" w:sz="0" w:space="0" w:color="auto"/>
      </w:divBdr>
      <w:divsChild>
        <w:div w:id="343828137">
          <w:marLeft w:val="0"/>
          <w:marRight w:val="0"/>
          <w:marTop w:val="0"/>
          <w:marBottom w:val="0"/>
          <w:divBdr>
            <w:top w:val="none" w:sz="0" w:space="0" w:color="auto"/>
            <w:left w:val="none" w:sz="0" w:space="0" w:color="auto"/>
            <w:bottom w:val="none" w:sz="0" w:space="0" w:color="auto"/>
            <w:right w:val="none" w:sz="0" w:space="0" w:color="auto"/>
          </w:divBdr>
        </w:div>
      </w:divsChild>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http://www.w3.org/XML/1998/namespace"/>
    <ds:schemaRef ds:uri="4d47241e-7224-40da-83d9-1113ff4a4334"/>
    <ds:schemaRef ds:uri="f6c841be-bb08-4901-87b0-0033aa80d2c6"/>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4AB46B7D-06A9-4F43-B28D-0F33C75A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F6C33-443D-4CB9-B046-AA32BEFD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1198</Words>
  <Characters>6449</Characters>
  <Application>Microsoft Office Word</Application>
  <DocSecurity>0</DocSecurity>
  <Lines>121</Lines>
  <Paragraphs>36</Paragraphs>
  <ScaleCrop>false</ScaleCrop>
  <HeadingPairs>
    <vt:vector size="2" baseType="variant">
      <vt:variant>
        <vt:lpstr>Title</vt:lpstr>
      </vt:variant>
      <vt:variant>
        <vt:i4>1</vt:i4>
      </vt:variant>
    </vt:vector>
  </HeadingPairs>
  <TitlesOfParts>
    <vt:vector size="1" baseType="lpstr">
      <vt:lpstr>Response - Crimes Legislation Amendment Bill 2021</vt:lpstr>
    </vt:vector>
  </TitlesOfParts>
  <Company>ACT Government</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 Crimes Legislation Amendment Bill 2021</dc:title>
  <dc:subject/>
  <dc:creator/>
  <cp:keywords/>
  <dc:description/>
  <cp:lastModifiedBy>Shannon, Anne</cp:lastModifiedBy>
  <cp:revision>3</cp:revision>
  <cp:lastPrinted>2018-08-24T07:17:00Z</cp:lastPrinted>
  <dcterms:created xsi:type="dcterms:W3CDTF">2021-12-14T21:17:00Z</dcterms:created>
  <dcterms:modified xsi:type="dcterms:W3CDTF">2021-12-14T21:40:00Z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