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7B95A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14:paraId="3BEE7E6C" w14:textId="650FBAC3" w:rsidR="00AD7D31" w:rsidRPr="00A031A0" w:rsidRDefault="004E0342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6738DD92" w14:textId="58FC2BEA" w:rsidR="00AD7D31" w:rsidRDefault="004E0342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5D2DA27F" w14:textId="59E12DBC" w:rsidR="004E0342" w:rsidRPr="00A031A0" w:rsidRDefault="004E0342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14:paraId="0DE51EFA" w14:textId="4F0A73B7" w:rsidR="00AD7D31" w:rsidRDefault="00C12F9C" w:rsidP="00AD7D31">
      <w:pPr>
        <w:spacing w:after="0" w:line="240" w:lineRule="auto"/>
        <w:rPr>
          <w:rFonts w:ascii="Calibri" w:hAnsi="Calibri"/>
          <w:sz w:val="24"/>
          <w:szCs w:val="24"/>
        </w:rPr>
      </w:pPr>
      <w:hyperlink r:id="rId6" w:history="1">
        <w:r w:rsidR="004E0342" w:rsidRPr="009F2B02">
          <w:rPr>
            <w:rStyle w:val="Hyperlink"/>
            <w:rFonts w:ascii="Calibri" w:hAnsi="Calibri"/>
            <w:sz w:val="24"/>
            <w:szCs w:val="24"/>
          </w:rPr>
          <w:t>scrutiny@parliament.act.gov.au</w:t>
        </w:r>
      </w:hyperlink>
      <w:r w:rsidR="004E0342">
        <w:rPr>
          <w:rFonts w:ascii="Calibri" w:hAnsi="Calibri"/>
          <w:sz w:val="24"/>
          <w:szCs w:val="24"/>
        </w:rPr>
        <w:t xml:space="preserve"> </w:t>
      </w:r>
    </w:p>
    <w:p w14:paraId="5F0613E9" w14:textId="0736C916" w:rsidR="004E0342" w:rsidRDefault="004E034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BCCF2A2" w14:textId="6085200B" w:rsidR="004E0342" w:rsidRDefault="004E034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6EC06F7" w14:textId="3786182F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4E0342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4E0342">
        <w:rPr>
          <w:rFonts w:ascii="Calibri" w:hAnsi="Calibri"/>
          <w:sz w:val="24"/>
          <w:szCs w:val="24"/>
          <w:lang w:val="en-US"/>
        </w:rPr>
        <w:t xml:space="preserve"> Jones</w:t>
      </w:r>
    </w:p>
    <w:p w14:paraId="37D40760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255A0D6E" w14:textId="77777777" w:rsidR="00C24EA8" w:rsidRPr="00C24EA8" w:rsidRDefault="00C24EA8" w:rsidP="00C24EA8">
      <w:pPr>
        <w:spacing w:after="0" w:line="240" w:lineRule="auto"/>
        <w:rPr>
          <w:rFonts w:ascii="Calibri" w:hAnsi="Calibri"/>
          <w:sz w:val="24"/>
          <w:szCs w:val="24"/>
        </w:rPr>
      </w:pPr>
      <w:r w:rsidRPr="00C24EA8">
        <w:rPr>
          <w:rFonts w:ascii="Calibri" w:hAnsi="Calibri"/>
          <w:sz w:val="24"/>
          <w:szCs w:val="24"/>
        </w:rPr>
        <w:t>I write in relation to comments made by the Standing Committee on Justice and Community Safety</w:t>
      </w:r>
    </w:p>
    <w:p w14:paraId="64BF8E40" w14:textId="662425EE" w:rsidR="00C24EA8" w:rsidRDefault="00C24EA8" w:rsidP="001F0665">
      <w:pPr>
        <w:spacing w:after="0" w:line="240" w:lineRule="auto"/>
        <w:rPr>
          <w:rFonts w:ascii="Calibri" w:hAnsi="Calibri"/>
          <w:sz w:val="24"/>
          <w:szCs w:val="24"/>
        </w:rPr>
      </w:pPr>
      <w:r w:rsidRPr="00C24EA8">
        <w:rPr>
          <w:rFonts w:ascii="Calibri" w:hAnsi="Calibri"/>
          <w:sz w:val="24"/>
          <w:szCs w:val="24"/>
        </w:rPr>
        <w:t>(Legislation Scrutiny Role) (</w:t>
      </w:r>
      <w:r w:rsidR="00A85264">
        <w:rPr>
          <w:rFonts w:ascii="Calibri" w:hAnsi="Calibri"/>
          <w:sz w:val="24"/>
          <w:szCs w:val="24"/>
        </w:rPr>
        <w:t>‘</w:t>
      </w:r>
      <w:r w:rsidRPr="00C24EA8">
        <w:rPr>
          <w:rFonts w:ascii="Calibri" w:hAnsi="Calibri"/>
          <w:sz w:val="24"/>
          <w:szCs w:val="24"/>
        </w:rPr>
        <w:t>the Committee</w:t>
      </w:r>
      <w:r w:rsidR="00A85264">
        <w:rPr>
          <w:rFonts w:ascii="Calibri" w:hAnsi="Calibri"/>
          <w:sz w:val="24"/>
          <w:szCs w:val="24"/>
        </w:rPr>
        <w:t>’</w:t>
      </w:r>
      <w:r w:rsidRPr="00C24EA8">
        <w:rPr>
          <w:rFonts w:ascii="Calibri" w:hAnsi="Calibri"/>
          <w:sz w:val="24"/>
          <w:szCs w:val="24"/>
        </w:rPr>
        <w:t>) in its Scrutiny Report 4</w:t>
      </w:r>
      <w:r>
        <w:rPr>
          <w:rFonts w:ascii="Calibri" w:hAnsi="Calibri"/>
          <w:sz w:val="24"/>
          <w:szCs w:val="24"/>
        </w:rPr>
        <w:t>5</w:t>
      </w:r>
      <w:r w:rsidRPr="00C24EA8">
        <w:rPr>
          <w:rFonts w:ascii="Calibri" w:hAnsi="Calibri"/>
          <w:sz w:val="24"/>
          <w:szCs w:val="24"/>
        </w:rPr>
        <w:t xml:space="preserve"> in relation to </w:t>
      </w:r>
      <w:r w:rsidR="001F0665" w:rsidRPr="001F0665">
        <w:rPr>
          <w:rFonts w:ascii="Calibri" w:hAnsi="Calibri"/>
          <w:sz w:val="24"/>
          <w:szCs w:val="24"/>
        </w:rPr>
        <w:t xml:space="preserve">Disallowable Instrument 2020-109 being the Electronic Conveyancing National Law (ACT) Participation Rules 2020 </w:t>
      </w:r>
      <w:r w:rsidR="001F0665">
        <w:rPr>
          <w:rFonts w:ascii="Calibri" w:hAnsi="Calibri"/>
          <w:sz w:val="24"/>
          <w:szCs w:val="24"/>
        </w:rPr>
        <w:t xml:space="preserve">and </w:t>
      </w:r>
      <w:r w:rsidR="001F0665" w:rsidRPr="001F0665">
        <w:rPr>
          <w:rFonts w:ascii="Calibri" w:hAnsi="Calibri"/>
          <w:sz w:val="24"/>
          <w:szCs w:val="24"/>
        </w:rPr>
        <w:t>Disallowable Instrument 2020-110 being the Electronic Conveyancing National Law (ACT) Operating Requirements 2020</w:t>
      </w:r>
      <w:r w:rsidR="001F0665">
        <w:rPr>
          <w:rFonts w:ascii="Calibri" w:hAnsi="Calibri"/>
          <w:sz w:val="24"/>
          <w:szCs w:val="24"/>
        </w:rPr>
        <w:t>.</w:t>
      </w:r>
    </w:p>
    <w:p w14:paraId="1856CD25" w14:textId="77777777" w:rsidR="00C24EA8" w:rsidRPr="00C24EA8" w:rsidRDefault="00C24EA8" w:rsidP="00C24EA8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D7F1A6F" w14:textId="494015AE" w:rsidR="00147C31" w:rsidRDefault="00C24EA8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C24EA8">
        <w:rPr>
          <w:rFonts w:ascii="Calibri" w:hAnsi="Calibri"/>
          <w:sz w:val="24"/>
          <w:szCs w:val="24"/>
        </w:rPr>
        <w:t xml:space="preserve">I thank the Committee for its detailed consideration of </w:t>
      </w:r>
      <w:r>
        <w:rPr>
          <w:rFonts w:ascii="Calibri" w:hAnsi="Calibri"/>
          <w:sz w:val="24"/>
          <w:szCs w:val="24"/>
        </w:rPr>
        <w:t>both instruments and</w:t>
      </w:r>
      <w:r w:rsidRPr="00C24EA8">
        <w:rPr>
          <w:rFonts w:ascii="Calibri" w:hAnsi="Calibri"/>
          <w:sz w:val="24"/>
          <w:szCs w:val="24"/>
        </w:rPr>
        <w:t xml:space="preserve"> confirm the Government’s</w:t>
      </w:r>
      <w:r>
        <w:rPr>
          <w:rFonts w:ascii="Calibri" w:hAnsi="Calibri"/>
          <w:sz w:val="24"/>
          <w:szCs w:val="24"/>
        </w:rPr>
        <w:t xml:space="preserve"> </w:t>
      </w:r>
      <w:r w:rsidRPr="00C24EA8">
        <w:rPr>
          <w:rFonts w:ascii="Calibri" w:hAnsi="Calibri"/>
          <w:sz w:val="24"/>
          <w:szCs w:val="24"/>
        </w:rPr>
        <w:t xml:space="preserve">response to the Committee, in </w:t>
      </w:r>
      <w:r w:rsidRPr="002F5E6B">
        <w:rPr>
          <w:rFonts w:ascii="Calibri" w:hAnsi="Calibri"/>
          <w:sz w:val="24"/>
          <w:szCs w:val="24"/>
          <w:u w:val="single"/>
        </w:rPr>
        <w:t>Attachment A</w:t>
      </w:r>
      <w:r w:rsidRPr="00C24EA8">
        <w:rPr>
          <w:rFonts w:ascii="Calibri" w:hAnsi="Calibri"/>
          <w:sz w:val="24"/>
          <w:szCs w:val="24"/>
        </w:rPr>
        <w:t>.</w:t>
      </w:r>
    </w:p>
    <w:p w14:paraId="3025CA59" w14:textId="77777777" w:rsidR="00147C31" w:rsidRPr="00A031A0" w:rsidRDefault="00147C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51BF181" w14:textId="77777777" w:rsidR="00147C31" w:rsidRPr="00147C31" w:rsidRDefault="00147C31" w:rsidP="00147C31">
      <w:pPr>
        <w:spacing w:after="0" w:line="240" w:lineRule="auto"/>
        <w:rPr>
          <w:rFonts w:ascii="Calibri" w:hAnsi="Calibri"/>
          <w:sz w:val="24"/>
          <w:szCs w:val="24"/>
        </w:rPr>
      </w:pPr>
      <w:r w:rsidRPr="00147C31">
        <w:rPr>
          <w:rFonts w:ascii="Calibri" w:hAnsi="Calibri"/>
          <w:sz w:val="24"/>
          <w:szCs w:val="24"/>
        </w:rPr>
        <w:t>If you would like to discuss the matter further, please contact my office.</w:t>
      </w:r>
    </w:p>
    <w:p w14:paraId="1C0C829C" w14:textId="77777777" w:rsidR="00147C31" w:rsidRPr="00147C31" w:rsidRDefault="00147C31" w:rsidP="00147C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63F67D7" w14:textId="77777777" w:rsidR="00147C31" w:rsidRPr="00A031A0" w:rsidRDefault="00147C31" w:rsidP="00147C31">
      <w:pPr>
        <w:spacing w:after="0" w:line="240" w:lineRule="auto"/>
        <w:rPr>
          <w:rFonts w:ascii="Calibri" w:hAnsi="Calibri"/>
          <w:sz w:val="24"/>
          <w:szCs w:val="24"/>
        </w:rPr>
      </w:pPr>
      <w:r w:rsidRPr="00147C31">
        <w:rPr>
          <w:rFonts w:ascii="Calibri" w:hAnsi="Calibri"/>
          <w:sz w:val="24"/>
          <w:szCs w:val="24"/>
        </w:rPr>
        <w:t>Thank you for bringing this matter to my attention.</w:t>
      </w:r>
    </w:p>
    <w:p w14:paraId="597F8E8D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D8CA333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675D852F" w14:textId="77777777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9CB5BFB" w14:textId="77777777" w:rsidR="00147C31" w:rsidRDefault="00147C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99461FB" w14:textId="77777777" w:rsidR="00147C31" w:rsidRDefault="00147C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C7FC40F" w14:textId="77777777" w:rsidR="00147C31" w:rsidRPr="00A031A0" w:rsidRDefault="00147C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33C991C" w14:textId="77777777" w:rsidR="00F73211" w:rsidRDefault="00F47925" w:rsidP="007C66A0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21857D63" w14:textId="77777777" w:rsidR="00F73211" w:rsidRDefault="00F73211" w:rsidP="007C66A0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F248EBB" w14:textId="77777777" w:rsidR="00EF7599" w:rsidRDefault="00EF7599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040067F2" w14:textId="77777777" w:rsidR="00C12F9C" w:rsidRPr="00EF7599" w:rsidRDefault="00C12F9C" w:rsidP="00C12F9C">
      <w:pPr>
        <w:rPr>
          <w:b/>
          <w:bCs/>
        </w:rPr>
      </w:pPr>
      <w:r w:rsidRPr="00CD6654">
        <w:rPr>
          <w:b/>
          <w:bCs/>
        </w:rPr>
        <w:lastRenderedPageBreak/>
        <w:t>Attachment A</w:t>
      </w:r>
    </w:p>
    <w:p w14:paraId="1EA07114" w14:textId="77777777" w:rsidR="00C12F9C" w:rsidRDefault="00C12F9C" w:rsidP="00C12F9C">
      <w:pPr>
        <w:pStyle w:val="Header"/>
      </w:pPr>
    </w:p>
    <w:p w14:paraId="1BEC2703" w14:textId="77777777" w:rsidR="00EF7599" w:rsidRDefault="00EF7599" w:rsidP="00EF7599">
      <w:pPr>
        <w:rPr>
          <w:b/>
          <w:bCs/>
        </w:rPr>
      </w:pPr>
      <w:bookmarkStart w:id="0" w:name="_GoBack"/>
      <w:bookmarkEnd w:id="0"/>
      <w:r w:rsidRPr="00AD67FA">
        <w:rPr>
          <w:b/>
          <w:bCs/>
        </w:rPr>
        <w:t>Disallowable Instrument DI2020-109 being the Electronic Conveyancing National Law (ACT) Participation Rules 2020 section 23 and 25 of the Electronic Conveyancing National Law (ACT) determines the ACT Participation Rules for Electronic Conveyancing.</w:t>
      </w:r>
    </w:p>
    <w:p w14:paraId="4DA15071" w14:textId="77777777" w:rsidR="00EF7599" w:rsidRDefault="00EF7599" w:rsidP="00EF7599">
      <w:pPr>
        <w:rPr>
          <w:b/>
          <w:bCs/>
        </w:rPr>
      </w:pPr>
      <w:r w:rsidRPr="00AD67FA">
        <w:rPr>
          <w:b/>
          <w:bCs/>
        </w:rPr>
        <w:t>Disallowable Instrument DI2020-110 being the Electronic Conveyancing National Law (ACT) Operating Requirements 2020 section 22 and 25 of the Electronic Conveyancing National Law (ACT) determines the ACT Operating Requirements for Electronic Conveyancing.</w:t>
      </w:r>
    </w:p>
    <w:p w14:paraId="4097DB4A" w14:textId="77777777" w:rsidR="00EF7599" w:rsidRDefault="00EF7599" w:rsidP="00EF7599">
      <w:pPr>
        <w:rPr>
          <w:b/>
          <w:bCs/>
        </w:rPr>
      </w:pPr>
      <w:r w:rsidRPr="00583843">
        <w:rPr>
          <w:b/>
          <w:bCs/>
        </w:rPr>
        <w:t>The Committee draws this matter to the attention of the Assembly and asks the Minister to</w:t>
      </w:r>
      <w:r>
        <w:rPr>
          <w:b/>
          <w:bCs/>
        </w:rPr>
        <w:t xml:space="preserve"> </w:t>
      </w:r>
      <w:r w:rsidRPr="00583843">
        <w:rPr>
          <w:b/>
          <w:bCs/>
        </w:rPr>
        <w:t>respond.</w:t>
      </w:r>
    </w:p>
    <w:p w14:paraId="1CC4705D" w14:textId="77777777" w:rsidR="00EF7599" w:rsidRPr="000E3056" w:rsidRDefault="00EF7599" w:rsidP="00EF7599">
      <w:pPr>
        <w:rPr>
          <w:b/>
          <w:bCs/>
        </w:rPr>
      </w:pPr>
      <w:r>
        <w:t>The Committee noted that:</w:t>
      </w:r>
    </w:p>
    <w:p w14:paraId="37176864" w14:textId="77777777" w:rsidR="00EF7599" w:rsidRDefault="00EF7599" w:rsidP="00EF7599">
      <w:r>
        <w:t>T</w:t>
      </w:r>
      <w:r w:rsidRPr="00583843">
        <w:t>he explanatory statement</w:t>
      </w:r>
      <w:r>
        <w:t xml:space="preserve">s for each </w:t>
      </w:r>
      <w:r w:rsidRPr="00583843">
        <w:t xml:space="preserve">instrument do not address </w:t>
      </w:r>
      <w:r>
        <w:t xml:space="preserve">how the commencement requirements </w:t>
      </w:r>
      <w:r w:rsidRPr="00583843">
        <w:t>set out in paragraph 25(1</w:t>
      </w:r>
      <w:proofErr w:type="gramStart"/>
      <w:r w:rsidRPr="00583843">
        <w:t>)(</w:t>
      </w:r>
      <w:proofErr w:type="gramEnd"/>
      <w:r w:rsidRPr="00583843">
        <w:t xml:space="preserve">b) </w:t>
      </w:r>
      <w:r>
        <w:t xml:space="preserve">of the </w:t>
      </w:r>
      <w:r w:rsidRPr="00AF401F">
        <w:t>Electronic Conveyancing National Law (ACT)</w:t>
      </w:r>
      <w:r>
        <w:t xml:space="preserve"> was exempted under subsection 25(5).</w:t>
      </w:r>
      <w:r w:rsidRPr="00583843">
        <w:t>The Committee considers that the explanatory statement</w:t>
      </w:r>
      <w:r>
        <w:t>s</w:t>
      </w:r>
      <w:r w:rsidRPr="00583843">
        <w:t xml:space="preserve"> should have addressed </w:t>
      </w:r>
      <w:r>
        <w:t xml:space="preserve">why the instruments were “in effect” before the </w:t>
      </w:r>
      <w:r w:rsidRPr="00775225">
        <w:t>Electronic Conveyancing National Law (ACT)</w:t>
      </w:r>
      <w:r>
        <w:t xml:space="preserve"> came into effect</w:t>
      </w:r>
      <w:r w:rsidRPr="00583843">
        <w:t>, especially given the complicated statutory requirements for commencement of such instruments.</w:t>
      </w:r>
    </w:p>
    <w:p w14:paraId="180C9E8B" w14:textId="77777777" w:rsidR="00EF7599" w:rsidRDefault="00EF7599" w:rsidP="00EF7599">
      <w:r>
        <w:rPr>
          <w:b/>
          <w:bCs/>
        </w:rPr>
        <w:t>Response:</w:t>
      </w:r>
    </w:p>
    <w:p w14:paraId="372B08A6" w14:textId="77777777" w:rsidR="00EF7599" w:rsidRDefault="00EF7599" w:rsidP="00EF7599">
      <w:pPr>
        <w:rPr>
          <w:lang w:eastAsia="en-AU"/>
        </w:rPr>
      </w:pPr>
      <w:r w:rsidRPr="00C03712">
        <w:t>The i</w:t>
      </w:r>
      <w:r>
        <w:t xml:space="preserve">nclusion </w:t>
      </w:r>
      <w:r w:rsidRPr="00C03712">
        <w:t>of the</w:t>
      </w:r>
      <w:r>
        <w:t xml:space="preserve"> </w:t>
      </w:r>
      <w:r w:rsidRPr="00C03712">
        <w:t xml:space="preserve">subsection 25(5) to the </w:t>
      </w:r>
      <w:r w:rsidRPr="00AF401F">
        <w:t xml:space="preserve">Electronic Conveyancing National Law (ACT) 2020 </w:t>
      </w:r>
      <w:r w:rsidRPr="00C03712">
        <w:t>ensure</w:t>
      </w:r>
      <w:r>
        <w:t>d that</w:t>
      </w:r>
      <w:r w:rsidRPr="00C03712">
        <w:t xml:space="preserve"> the disallowable </w:t>
      </w:r>
      <w:r>
        <w:t>instruments</w:t>
      </w:r>
      <w:r w:rsidRPr="00C03712">
        <w:t xml:space="preserve"> made for e-conveyancing prior to 1 June </w:t>
      </w:r>
      <w:r>
        <w:t xml:space="preserve">2020 </w:t>
      </w:r>
      <w:r w:rsidRPr="00C03712">
        <w:t>c</w:t>
      </w:r>
      <w:r>
        <w:t>ould</w:t>
      </w:r>
      <w:r w:rsidRPr="00C03712">
        <w:t xml:space="preserve"> come into effect the day after they </w:t>
      </w:r>
      <w:r>
        <w:t>were</w:t>
      </w:r>
      <w:r w:rsidRPr="00C03712">
        <w:t xml:space="preserve"> notified.</w:t>
      </w:r>
      <w:r>
        <w:t xml:space="preserve"> This was explained in the Supplementary Explanatory Statement to the Electronic Conveyancing National Law (ACT) Bill 2020</w:t>
      </w:r>
      <w:r w:rsidRPr="005170E4">
        <w:rPr>
          <w:lang w:eastAsia="en-AU"/>
        </w:rPr>
        <w:t>.</w:t>
      </w:r>
    </w:p>
    <w:p w14:paraId="08F78D18" w14:textId="13D00364" w:rsidR="00EF7599" w:rsidRDefault="00EF7599" w:rsidP="00EF7599">
      <w:r>
        <w:rPr>
          <w:lang w:eastAsia="en-AU"/>
        </w:rPr>
        <w:t xml:space="preserve">The reason that the disallowable instruments came into effect before 1 June 2020 was to allow for </w:t>
      </w:r>
      <w:r w:rsidR="00A85264">
        <w:rPr>
          <w:lang w:eastAsia="en-AU"/>
        </w:rPr>
        <w:br/>
      </w:r>
      <w:r>
        <w:rPr>
          <w:lang w:eastAsia="en-AU"/>
        </w:rPr>
        <w:t>e</w:t>
      </w:r>
      <w:r w:rsidRPr="00775225">
        <w:rPr>
          <w:lang w:eastAsia="en-AU"/>
        </w:rPr>
        <w:t xml:space="preserve">-Conveyancing to be </w:t>
      </w:r>
      <w:r>
        <w:rPr>
          <w:lang w:eastAsia="en-AU"/>
        </w:rPr>
        <w:t>made available sooner in the ACT.</w:t>
      </w:r>
      <w:r>
        <w:t xml:space="preserve"> The current situation is that the COVID-19 physical distancing requirements are impacting the ACT paper-based land titling system. Early commencement of the disallowable rules has reduced the risk of delayed implementation of e-conveyancing</w:t>
      </w:r>
      <w:r w:rsidRPr="00C03712">
        <w:t xml:space="preserve"> </w:t>
      </w:r>
      <w:r>
        <w:t xml:space="preserve">and may have </w:t>
      </w:r>
      <w:r w:rsidRPr="00C03712">
        <w:t xml:space="preserve">prospectively </w:t>
      </w:r>
      <w:r>
        <w:t>deterred interested parties</w:t>
      </w:r>
      <w:r w:rsidRPr="00C03712">
        <w:t xml:space="preserve"> from putting in an application to operate in the ACT.</w:t>
      </w:r>
      <w:r>
        <w:t xml:space="preserve"> </w:t>
      </w:r>
    </w:p>
    <w:p w14:paraId="1BEC7B75" w14:textId="7C9DB85D" w:rsidR="00EF7599" w:rsidRPr="00AD67FA" w:rsidRDefault="00EF7599" w:rsidP="00EF7599">
      <w:r>
        <w:t xml:space="preserve">Members of the Assembly were supportive of both bills especially considering the </w:t>
      </w:r>
      <w:r w:rsidR="00A85264">
        <w:t>COVID</w:t>
      </w:r>
      <w:r>
        <w:t xml:space="preserve">-19 environment and understood that the legislation needed to be implemented effectively and quickly. The </w:t>
      </w:r>
      <w:r w:rsidRPr="00470F9E">
        <w:t>associated rules adopt and apply the nationally agreed model rules for electronic lodgement network operators</w:t>
      </w:r>
      <w:r>
        <w:t xml:space="preserve"> </w:t>
      </w:r>
      <w:r w:rsidRPr="00470F9E">
        <w:t>and subscribers to the E</w:t>
      </w:r>
      <w:r>
        <w:t xml:space="preserve">lectronic </w:t>
      </w:r>
      <w:r w:rsidRPr="00470F9E">
        <w:t>L</w:t>
      </w:r>
      <w:r>
        <w:t xml:space="preserve">odgement </w:t>
      </w:r>
      <w:r w:rsidRPr="00470F9E">
        <w:t>N</w:t>
      </w:r>
      <w:r>
        <w:t xml:space="preserve">etwork </w:t>
      </w:r>
      <w:r w:rsidRPr="00470F9E">
        <w:t>O</w:t>
      </w:r>
      <w:r>
        <w:t>perator</w:t>
      </w:r>
      <w:r w:rsidRPr="00470F9E">
        <w:t>s, being lawyers and mortgagee banks</w:t>
      </w:r>
      <w:r>
        <w:t>.</w:t>
      </w:r>
    </w:p>
    <w:p w14:paraId="3C91402D" w14:textId="34B27275" w:rsidR="0055749D" w:rsidRPr="007C66A0" w:rsidRDefault="0061634E" w:rsidP="00EF7599">
      <w:pPr>
        <w:rPr>
          <w:rFonts w:ascii="Calibri" w:hAnsi="Calibri"/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B57D830" wp14:editId="640D7B1C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1B2645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16A7C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7C66A0" w:rsidSect="00EF7599">
      <w:headerReference w:type="first" r:id="rId7"/>
      <w:footerReference w:type="first" r:id="rId8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C5C5B" w14:textId="77777777" w:rsidR="008136BF" w:rsidRDefault="008136BF" w:rsidP="00AD7D31">
      <w:pPr>
        <w:spacing w:after="0" w:line="240" w:lineRule="auto"/>
      </w:pPr>
      <w:r>
        <w:separator/>
      </w:r>
    </w:p>
  </w:endnote>
  <w:endnote w:type="continuationSeparator" w:id="0">
    <w:p w14:paraId="19F77982" w14:textId="77777777" w:rsidR="008136BF" w:rsidRDefault="008136BF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D4FD7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40B6013" wp14:editId="13717A05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D53F26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565CA40D" w14:textId="77777777"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362BF60" wp14:editId="7E548A22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AF60692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iEgwkAACMwAAAOAAAAZHJzL2Uyb0RvYy54bWzsWl2P27gVfS/Q/yD4scXEIvVtZLLobnaC&#10;AtntAlF/gEaWbaG25UqacbJF/3vPJUWZVEiNOt0WKJA8jOTo+PLwHl2S916//e7z6eg9V21XN+f7&#10;FXvjr7zqXDbb+ry/X/01f7hLV17XF+dtcWzO1f3qS9Wtvnv3+9+9vV42FW8OzXFbtR6MnLvN9XK/&#10;OvT9ZbNed+WhOhXdm+ZSnfFw17SnosfHdr/etsUV1k/HNff9eH1t2u2lbcqq6/C/7+XD1Tthf7er&#10;yv4vu11X9d7xfgVuvfjbir+P9Hf97m2x2bfF5VCXA43iFSxORX3GoKOp90VfeE9t/ZWpU122Tdfs&#10;+jdlc1o3u11dVmIOmA3zJ7P50DZPFzGX/ea6v4xugmsnfnq12fLn519ar97erzhfeefiBI3EsB59&#10;3lZdCWd9asq6OHqnalsXXl02Zziy7o+Afv0EDr1e9hvY/dBePl1+aaVXcPuxKf/W4fF6+pw+7yXY&#10;e7z+1GxhuHjqG+HQz7v2RCbgKu+z0O3LqFv1ufdK/CcPkziCuiUeDfdC1/IA8elbPI0wGzxlURZz&#10;KXp5+FF9PY2G7+KGCBYbOapgOjCjaeEV7W4qdP+ZCp8OxaUS4nbkLaVCoFR4aKuK3nuPhUSKRgdM&#10;ebTT3ak9IVgHr7/oSJtLRn+6HFJsyqeu/1A1QpLi+WPXC0fvt7gTQm+HdyiHHLvTEbH0xzvP93ia&#10;ZfgDFQa8gjEF+8Pay33vSqApBtJppoSEnibkfhwTvpNAGJOwg81eqGADtSS1UsNLMVrLQzu1WGGE&#10;KRozsVNLFHCglnhWalgttanyNGZWapmCkddSOzVmKgBuKbdzY7oIEmclx0whSE4rO6brkDPu4GfK&#10;wGLfd/HTlZA4Oz9TDTc/XYycxQ5+phYsZniFxVs1fT+ZLofEWflxUxHwS6z+47oeOXdFhakGizln&#10;dn5c10Pi7PxMRXia2N8+ruuRc0docFMNjBs4YoPrekicnZ+pCNYUBz9dj5w74iMw1cC4YWz3X6Dr&#10;IXFWfoGpCM+y0KpvoOuRB474CEw1aFyH/wJdD4mz8zMVcfPT9cgDR3wEphp47wNHfAS6HhJn5Rea&#10;ivAssu8Zoa5HHjriIzTVmOEX6nrM8TMVcfPT9chDR3yEphpY1zLH+hfqekic3X+mIk59Q12PPHTE&#10;Bx2otL1ohl+k6zHDj85gmkUnv0jXI8cmYz0VRKYaGDcJ7PEb6XpInNV/kakI+KXW+I10PfLIER+R&#10;qQbGjRzrc6TrIXFWfrGpSICEwcov1vXIY0d84Bysq4FxAwe/WNdD4uz8TEUCn8d2froeeeyIj9hU&#10;A+Oy1K5vrOshcXZ+piKBjwWVDgnT/TzW9chjR3wkpho0ruP9S3Q9JM7KLzEVCRg2TBu/RNcjTxzx&#10;kZhqzPHT9ZjjZyri5qfrkSeO+EhMNTCu79g/El0PibP6LzUVAT/7+SDV9chTR3ykphp0Lna8f6mu&#10;h8TZ+ZmKBIzZ9aXs65Z5pI74SE01MC7eBOv5NNX1kDg7P1ORwM8c/HQ9cnjlSq/pNIoyUw1i5oiP&#10;TNdD4qz8MlMRZ06Z6Xrk2FXt/Ew1hOfs/st0PSRu5IdawZj8FgeVD5efz0NCjDuvoFqYL6oZl6aj&#10;ekSOGaMakQfkNJgAirJnBxjDEzhZBIY2BEZOt8Q0pWoCrgof80wY3iQBzxZZp0SG4EhAlpChvELA&#10;l82UD1PF8XyJdTp1k3WclhfBh6ni8LoETmdSso6z5CL4MFUc7RbBh6nipLUETgcoIoODzyL4MFWc&#10;Q5bA6XhB1nEsWAQfpopdehF8mCo2zSVw2guJTLJsqskwVWwpS6zTTkHWscIvgg9TxYK7CD5MFevf&#10;Ejgta0QGy5EGl6vHsNq0qHdPK93tykOl+5G+U2wuRU+LlLr1rqI2uvIO8kr/f2qeq7wRiJ7WKso+&#10;MKwolWOw2+PjWYdRug+Y4qYequtF2JITRh1ETkA9VFcJwr4BQ0gGXwahpDCLknrw8cVWA6mrHJDq&#10;NxiRj++QeqyuEkZpLMFSUY+FK9RjdR2sUeIpcPO+YAOO4Z2cmynzpQCLcShszNpT4y7FjVuJmqe6&#10;qvlK5VMVUuqxug4wyofgFhyuZ9nRsRUw5GKzMNqTCaZCRw2mrnJQOpb8G7BxNVZW1HWwRgdRUnae&#10;G4/loCjAzk2BhwNsFjWJPkWoPDZdJa1TSItDxBjbtCRoZfquOdbbh/p4pJju2v3jD8fWey7QEOMB&#10;exiD0YAdxXnk3NDX1CTo6+gQDMsH9QpEg+sfGeOh/z3P7h7iNLkLH8LoLkv89M5n2fdZ7IdZ+P7h&#10;n3T6YeHmUG+31fljfa5Us42Fy9ooQ9tPtslEu40WryzCoUHMyzlJX/wbnGxMEt218xazKzaHqtj+&#10;ONz3RX2U92uTsXAypq2uwhFoEcmGi+zQPDbbL2i+tI1sNKIxiptD0/668q5oMt6vur8/FW218o5/&#10;PqN/lLGQil69+BBGCcTwWv3Jo/6kOJcwdb/qVzhS0u0PPT7hK0+Xtt4fMBITvjg3f0L3bFdT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kIP13+VjZ6ddlI/CAav0QXJbDhV/P0U3f9&#10;sygz3X7b/+5fAAAA//8DAFBLAwQUAAYACAAAACEAwdrLY+IAAAANAQAADwAAAGRycy9kb3ducmV2&#10;LnhtbEyPwU7DMBBE70j8g7VI3KgTakcQ4lRVBZwqJFokxM2Nt0nU2I5iN0n/nuVEjzvzNDtTrGbb&#10;sRGH0HqnIF0kwNBV3rSuVvC1f3t4AhaidkZ33qGCCwZYlbc3hc6Nn9wnjrtYMwpxIdcKmhj7nPNQ&#10;NWh1WPgeHXlHP1gd6RxqbgY9Ubjt+GOSZNzq1tGHRve4abA67c5Wwfukp/UyfR23p+Pm8rOXH9/b&#10;FJW6v5vXL8AizvEfhr/6VB1K6nTwZ2cC6xSIREpCyZDPmQBGiBCCpANJ2VIK4GXBr1eUvwAAAP//&#10;AwBQSwECLQAUAAYACAAAACEAtoM4kv4AAADhAQAAEwAAAAAAAAAAAAAAAAAAAAAAW0NvbnRlbnRf&#10;VHlwZXNdLnhtbFBLAQItABQABgAIAAAAIQA4/SH/1gAAAJQBAAALAAAAAAAAAAAAAAAAAC8BAABf&#10;cmVscy8ucmVsc1BLAQItABQABgAIAAAAIQCSBbiEgwkAACMwAAAOAAAAAAAAAAAAAAAAAC4CAABk&#10;cnMvZTJvRG9jLnhtbFBLAQItABQABgAIAAAAIQDB2stj4gAAAA0BAAAPAAAAAAAAAAAAAAAAAN0L&#10;AABkcnMvZG93bnJldi54bWxQSwUGAAAAAAQABADzAAAA7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14:paraId="3B0E625C" w14:textId="77777777"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442667" wp14:editId="2D81EE33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76EA2" w14:textId="77777777" w:rsidR="0061634E" w:rsidRPr="0039472D" w:rsidRDefault="00F4792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    <v:textbox inset="0,0,0,0">
                <w:txbxContent>
                  <w:p w:rsidR="0061634E" w:rsidRPr="0039472D" w:rsidRDefault="00F4792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C9BD784" wp14:editId="31A7DD9D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7A076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</w:t>
                          </w:r>
                          <w:r w:rsidR="00F4792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ordon_R_Ramsay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8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</w:t>
                    </w:r>
                    <w:r w:rsidR="00F4792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ordon_R_Ramsay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FED90DA" wp14:editId="27DAB33E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54C570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22AC6" w14:textId="77777777" w:rsidR="008136BF" w:rsidRDefault="008136BF" w:rsidP="00AD7D31">
      <w:pPr>
        <w:spacing w:after="0" w:line="240" w:lineRule="auto"/>
      </w:pPr>
      <w:r>
        <w:separator/>
      </w:r>
    </w:p>
  </w:footnote>
  <w:footnote w:type="continuationSeparator" w:id="0">
    <w:p w14:paraId="5E08C8B5" w14:textId="77777777" w:rsidR="008136BF" w:rsidRDefault="008136BF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2D5BB" w14:textId="77777777"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5EBD2347" wp14:editId="18FF451E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F47925">
      <w:t>Attorney-General</w:t>
    </w:r>
    <w:r w:rsidR="00F47925">
      <w:br/>
      <w:t>Minister for the Arts and Cultural Events</w:t>
    </w:r>
    <w:r w:rsidR="00F47925">
      <w:br/>
      <w:t>Minister for Building Quality Improvement</w:t>
    </w:r>
    <w:r w:rsidR="00F47925">
      <w:br/>
      <w:t>Minister for Business and Regulatory Services</w:t>
    </w:r>
    <w:r w:rsidR="00F47925">
      <w:br/>
      <w:t>Minister for Seniors and Veterans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512E1D68" w14:textId="77777777" w:rsidR="00AD7D31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F47925">
      <w:rPr>
        <w:rFonts w:asciiTheme="minorHAnsi" w:hAnsiTheme="minorHAnsi"/>
        <w:sz w:val="20"/>
        <w:szCs w:val="20"/>
      </w:rPr>
      <w:t>Ginninderra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</w:p>
  <w:p w14:paraId="712AFAA4" w14:textId="4EF17A45" w:rsidR="00430F43" w:rsidRPr="00430F43" w:rsidRDefault="004E0342" w:rsidP="00430F43">
    <w:pPr>
      <w:pStyle w:val="Portfolio"/>
      <w:spacing w:after="80" w:line="240" w:lineRule="exact"/>
      <w:ind w:left="5245" w:right="-626"/>
      <w:jc w:val="right"/>
      <w:rPr>
        <w:rFonts w:asciiTheme="minorHAnsi" w:hAnsiTheme="minorHAnsi"/>
        <w:sz w:val="20"/>
        <w:szCs w:val="20"/>
      </w:rPr>
    </w:pPr>
    <w:proofErr w:type="spellStart"/>
    <w:r>
      <w:rPr>
        <w:rFonts w:asciiTheme="minorHAnsi" w:hAnsiTheme="minorHAnsi"/>
        <w:sz w:val="20"/>
        <w:szCs w:val="20"/>
      </w:rPr>
      <w:t>Obj</w:t>
    </w:r>
    <w:proofErr w:type="spellEnd"/>
    <w:r w:rsidR="00430F43">
      <w:rPr>
        <w:rFonts w:asciiTheme="minorHAnsi" w:hAnsiTheme="minorHAnsi"/>
        <w:sz w:val="20"/>
        <w:szCs w:val="20"/>
      </w:rPr>
      <w:t xml:space="preserve">: </w:t>
    </w:r>
    <w:r>
      <w:rPr>
        <w:rFonts w:asciiTheme="minorHAnsi" w:hAnsiTheme="minorHAnsi"/>
        <w:sz w:val="20"/>
        <w:szCs w:val="20"/>
      </w:rPr>
      <w:t>20/42489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135F3C"/>
    <w:rsid w:val="001450DC"/>
    <w:rsid w:val="00147C31"/>
    <w:rsid w:val="001804F3"/>
    <w:rsid w:val="001851B2"/>
    <w:rsid w:val="001D7389"/>
    <w:rsid w:val="001E3831"/>
    <w:rsid w:val="001F0665"/>
    <w:rsid w:val="00203B94"/>
    <w:rsid w:val="00284B81"/>
    <w:rsid w:val="002F5E6B"/>
    <w:rsid w:val="00313E4A"/>
    <w:rsid w:val="0041104E"/>
    <w:rsid w:val="00430F43"/>
    <w:rsid w:val="004E0342"/>
    <w:rsid w:val="005351C5"/>
    <w:rsid w:val="0055749D"/>
    <w:rsid w:val="005C4787"/>
    <w:rsid w:val="005E7DE1"/>
    <w:rsid w:val="0061634E"/>
    <w:rsid w:val="0064748B"/>
    <w:rsid w:val="00655CD8"/>
    <w:rsid w:val="006A1B70"/>
    <w:rsid w:val="00712BA7"/>
    <w:rsid w:val="007C66A0"/>
    <w:rsid w:val="007D7FAC"/>
    <w:rsid w:val="00806ACB"/>
    <w:rsid w:val="008136BF"/>
    <w:rsid w:val="008208DA"/>
    <w:rsid w:val="00834846"/>
    <w:rsid w:val="00855531"/>
    <w:rsid w:val="008D15E5"/>
    <w:rsid w:val="009C2877"/>
    <w:rsid w:val="00A031A0"/>
    <w:rsid w:val="00A254F7"/>
    <w:rsid w:val="00A85264"/>
    <w:rsid w:val="00AD7D31"/>
    <w:rsid w:val="00B85096"/>
    <w:rsid w:val="00C12F9C"/>
    <w:rsid w:val="00C21476"/>
    <w:rsid w:val="00C24EA8"/>
    <w:rsid w:val="00CF705F"/>
    <w:rsid w:val="00D53F26"/>
    <w:rsid w:val="00DD766A"/>
    <w:rsid w:val="00E615B0"/>
    <w:rsid w:val="00ED5634"/>
    <w:rsid w:val="00EF7599"/>
    <w:rsid w:val="00F47925"/>
    <w:rsid w:val="00F50739"/>
    <w:rsid w:val="00F73211"/>
    <w:rsid w:val="00F8472A"/>
    <w:rsid w:val="00FA47E3"/>
    <w:rsid w:val="00FB6C11"/>
    <w:rsid w:val="00F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4DD3C3"/>
  <w15:chartTrackingRefBased/>
  <w15:docId w15:val="{7E37D6B6-0DF9-4164-90C1-1F412D69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0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rutiny@parliament.act.gov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DI2020-109 and DI2020-110</vt:lpstr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DI2020-109 and DI2020-110</dc:title>
  <dc:subject/>
  <dc:creator/>
  <cp:keywords/>
  <dc:description/>
  <cp:lastModifiedBy>Shannon, Anne</cp:lastModifiedBy>
  <cp:revision>4</cp:revision>
  <cp:lastPrinted>2018-08-24T07:17:00Z</cp:lastPrinted>
  <dcterms:created xsi:type="dcterms:W3CDTF">2020-08-03T01:39:00Z</dcterms:created>
  <dcterms:modified xsi:type="dcterms:W3CDTF">2020-08-04T01:48:00Z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A18976292</vt:lpwstr>
  </property>
  <property fmtid="{D5CDD505-2E9C-101B-9397-08002B2CF9AE}" pid="4" name="Objective-Title">
    <vt:lpwstr>Ramsay - Response to Scrutiny Committee Comments - Scrutiny Report 45</vt:lpwstr>
  </property>
  <property fmtid="{D5CDD505-2E9C-101B-9397-08002B2CF9AE}" pid="5" name="Objective-Comment">
    <vt:lpwstr/>
  </property>
  <property fmtid="{D5CDD505-2E9C-101B-9397-08002B2CF9AE}" pid="6" name="Objective-CreationStamp">
    <vt:filetime>2019-02-27T03:27:46Z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2020-07-29T06:03:13Z</vt:filetime>
  </property>
  <property fmtid="{D5CDD505-2E9C-101B-9397-08002B2CF9AE}" pid="10" name="Objective-ModificationStamp">
    <vt:filetime>2020-07-30T04:49:59Z</vt:filetime>
  </property>
  <property fmtid="{D5CDD505-2E9C-101B-9397-08002B2CF9AE}" pid="11" name="Objective-Owner">
    <vt:lpwstr>Tim Boulton</vt:lpwstr>
  </property>
  <property fmtid="{D5CDD505-2E9C-101B-9397-08002B2CF9AE}" pid="12" name="Objective-Path">
    <vt:lpwstr>Whole of ACT Government:AC - Access Canberra:16. BRANCH - Projects, Governance &amp; Support:SECTION - Policy &amp; Coordination:UNIT - Government Business &amp; Coordination:01. Assembly Business:9th Assembly:13. Scrutiny:2020 - Scrutiny:Scrutiny Report 45 - 30 June</vt:lpwstr>
  </property>
  <property fmtid="{D5CDD505-2E9C-101B-9397-08002B2CF9AE}" pid="13" name="Objective-Parent">
    <vt:lpwstr>Scrutiny Report 45 - 30 June 2020</vt:lpwstr>
  </property>
  <property fmtid="{D5CDD505-2E9C-101B-9397-08002B2CF9AE}" pid="14" name="Objective-State">
    <vt:lpwstr>Published</vt:lpwstr>
  </property>
  <property fmtid="{D5CDD505-2E9C-101B-9397-08002B2CF9AE}" pid="15" name="Objective-Version">
    <vt:lpwstr>8.0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1-2020/42489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ACCESS CANBERRA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</Properties>
</file>