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0566" w14:textId="3371073B" w:rsidR="0086604E" w:rsidRDefault="0086604E" w:rsidP="00ED181C">
      <w:pPr>
        <w:jc w:val="center"/>
        <w:rPr>
          <w:b/>
        </w:rPr>
      </w:pPr>
    </w:p>
    <w:p w14:paraId="122F4139" w14:textId="39E5D291" w:rsidR="0086604E" w:rsidRDefault="0086604E" w:rsidP="00ED181C">
      <w:pPr>
        <w:jc w:val="center"/>
        <w:rPr>
          <w:b/>
        </w:rPr>
      </w:pPr>
    </w:p>
    <w:p w14:paraId="40CBDA9E" w14:textId="678EC659" w:rsidR="0086604E" w:rsidRDefault="0086604E" w:rsidP="00ED181C">
      <w:pPr>
        <w:jc w:val="center"/>
        <w:rPr>
          <w:b/>
        </w:rPr>
      </w:pPr>
    </w:p>
    <w:p w14:paraId="6B5C3433" w14:textId="77777777" w:rsidR="0086604E" w:rsidRDefault="0086604E" w:rsidP="00ED181C">
      <w:pPr>
        <w:jc w:val="center"/>
        <w:rPr>
          <w:b/>
        </w:rPr>
      </w:pPr>
    </w:p>
    <w:p w14:paraId="640A50F9" w14:textId="77777777" w:rsidR="0086604E" w:rsidRDefault="0086604E" w:rsidP="00ED181C">
      <w:pPr>
        <w:jc w:val="center"/>
        <w:rPr>
          <w:b/>
        </w:rPr>
      </w:pPr>
    </w:p>
    <w:p w14:paraId="4CDDABEC" w14:textId="77777777" w:rsidR="0086604E" w:rsidRDefault="0086604E" w:rsidP="00ED181C">
      <w:pPr>
        <w:jc w:val="center"/>
        <w:rPr>
          <w:b/>
        </w:rPr>
      </w:pPr>
    </w:p>
    <w:p w14:paraId="7A4125DC" w14:textId="64B14D97" w:rsidR="00ED181C" w:rsidRPr="00596C97" w:rsidRDefault="00E36EF3" w:rsidP="00ED181C">
      <w:pPr>
        <w:jc w:val="center"/>
        <w:rPr>
          <w:b/>
          <w:color w:val="4472C4" w:themeColor="accent1"/>
          <w:sz w:val="28"/>
          <w:szCs w:val="28"/>
        </w:rPr>
      </w:pPr>
      <w:bookmarkStart w:id="0" w:name="_GoBack"/>
      <w:r w:rsidRPr="00596C97">
        <w:rPr>
          <w:b/>
          <w:color w:val="4472C4" w:themeColor="accent1"/>
          <w:sz w:val="28"/>
          <w:szCs w:val="28"/>
        </w:rPr>
        <w:t>Review</w:t>
      </w:r>
      <w:r w:rsidR="00ED181C" w:rsidRPr="00596C97">
        <w:rPr>
          <w:b/>
          <w:color w:val="4472C4" w:themeColor="accent1"/>
          <w:sz w:val="28"/>
          <w:szCs w:val="28"/>
        </w:rPr>
        <w:t xml:space="preserve"> of the Performance of the Three Branches of Government in </w:t>
      </w:r>
      <w:r w:rsidRPr="00596C97">
        <w:rPr>
          <w:b/>
          <w:color w:val="4472C4" w:themeColor="accent1"/>
          <w:sz w:val="28"/>
          <w:szCs w:val="28"/>
        </w:rPr>
        <w:t xml:space="preserve">the </w:t>
      </w:r>
      <w:r w:rsidR="00ED181C" w:rsidRPr="00596C97">
        <w:rPr>
          <w:b/>
          <w:color w:val="4472C4" w:themeColor="accent1"/>
          <w:sz w:val="28"/>
          <w:szCs w:val="28"/>
        </w:rPr>
        <w:t>A</w:t>
      </w:r>
      <w:r w:rsidRPr="00596C97">
        <w:rPr>
          <w:b/>
          <w:color w:val="4472C4" w:themeColor="accent1"/>
          <w:sz w:val="28"/>
          <w:szCs w:val="28"/>
        </w:rPr>
        <w:t>ustralia</w:t>
      </w:r>
      <w:r w:rsidR="0035144C">
        <w:rPr>
          <w:b/>
          <w:color w:val="4472C4" w:themeColor="accent1"/>
          <w:sz w:val="28"/>
          <w:szCs w:val="28"/>
        </w:rPr>
        <w:t>n</w:t>
      </w:r>
      <w:r w:rsidRPr="00596C97">
        <w:rPr>
          <w:b/>
          <w:color w:val="4472C4" w:themeColor="accent1"/>
          <w:sz w:val="28"/>
          <w:szCs w:val="28"/>
        </w:rPr>
        <w:t xml:space="preserve"> Capital Territory</w:t>
      </w:r>
      <w:r w:rsidR="00ED181C" w:rsidRPr="00596C97">
        <w:rPr>
          <w:b/>
          <w:color w:val="4472C4" w:themeColor="accent1"/>
          <w:sz w:val="28"/>
          <w:szCs w:val="28"/>
        </w:rPr>
        <w:t xml:space="preserve"> </w:t>
      </w:r>
      <w:r w:rsidRPr="00596C97">
        <w:rPr>
          <w:b/>
          <w:color w:val="4472C4" w:themeColor="accent1"/>
          <w:sz w:val="28"/>
          <w:szCs w:val="28"/>
        </w:rPr>
        <w:t>a</w:t>
      </w:r>
      <w:r w:rsidR="00ED181C" w:rsidRPr="00596C97">
        <w:rPr>
          <w:b/>
          <w:color w:val="4472C4" w:themeColor="accent1"/>
          <w:sz w:val="28"/>
          <w:szCs w:val="28"/>
        </w:rPr>
        <w:t>gainst Latimer House Principles</w:t>
      </w:r>
      <w:bookmarkEnd w:id="0"/>
    </w:p>
    <w:p w14:paraId="7AC747ED" w14:textId="6F194A6F" w:rsidR="00ED181C" w:rsidRDefault="00ED181C" w:rsidP="00ED181C">
      <w:pPr>
        <w:tabs>
          <w:tab w:val="left" w:pos="6981"/>
        </w:tabs>
      </w:pPr>
      <w:r>
        <w:tab/>
      </w:r>
    </w:p>
    <w:p w14:paraId="38496C07" w14:textId="73C20B00" w:rsidR="0086604E" w:rsidRDefault="0086604E" w:rsidP="00ED181C">
      <w:pPr>
        <w:tabs>
          <w:tab w:val="left" w:pos="6981"/>
        </w:tabs>
      </w:pPr>
    </w:p>
    <w:p w14:paraId="762D039F" w14:textId="1CB4098E" w:rsidR="0086604E" w:rsidRDefault="0086604E" w:rsidP="00ED181C">
      <w:pPr>
        <w:tabs>
          <w:tab w:val="left" w:pos="6981"/>
        </w:tabs>
      </w:pPr>
    </w:p>
    <w:p w14:paraId="41DF4502" w14:textId="77777777" w:rsidR="001463D1" w:rsidRDefault="001463D1" w:rsidP="00ED181C">
      <w:pPr>
        <w:tabs>
          <w:tab w:val="left" w:pos="6981"/>
        </w:tabs>
      </w:pPr>
    </w:p>
    <w:p w14:paraId="08693033" w14:textId="2528083C" w:rsidR="00ED181C" w:rsidRPr="00C30770" w:rsidRDefault="00ED181C" w:rsidP="00ED181C">
      <w:pPr>
        <w:pStyle w:val="Normal18J"/>
        <w:jc w:val="center"/>
        <w:outlineLvl w:val="0"/>
        <w:rPr>
          <w:bCs/>
        </w:rPr>
      </w:pPr>
      <w:r w:rsidRPr="00C30770">
        <w:rPr>
          <w:bCs/>
        </w:rPr>
        <w:t>John Halligan</w:t>
      </w:r>
    </w:p>
    <w:p w14:paraId="466ABB44" w14:textId="34A9D6C8" w:rsidR="00ED181C" w:rsidRPr="00C30770" w:rsidRDefault="00ED181C" w:rsidP="00ED181C">
      <w:pPr>
        <w:jc w:val="center"/>
        <w:outlineLvl w:val="0"/>
        <w:rPr>
          <w:bCs/>
        </w:rPr>
      </w:pPr>
      <w:r w:rsidRPr="00C30770">
        <w:rPr>
          <w:bCs/>
        </w:rPr>
        <w:t>Institute for Governance and Policy Analysis</w:t>
      </w:r>
    </w:p>
    <w:p w14:paraId="079EF606" w14:textId="6709A011" w:rsidR="00ED181C" w:rsidRDefault="00ED181C" w:rsidP="00ED181C">
      <w:pPr>
        <w:jc w:val="center"/>
        <w:outlineLvl w:val="0"/>
        <w:rPr>
          <w:bCs/>
        </w:rPr>
      </w:pPr>
      <w:r w:rsidRPr="00C30770">
        <w:rPr>
          <w:bCs/>
        </w:rPr>
        <w:t>University of Canberra</w:t>
      </w:r>
    </w:p>
    <w:p w14:paraId="2D9E7812" w14:textId="77777777" w:rsidR="0086604E" w:rsidRPr="00C30770" w:rsidRDefault="0086604E" w:rsidP="00ED181C">
      <w:pPr>
        <w:jc w:val="center"/>
        <w:outlineLvl w:val="0"/>
        <w:rPr>
          <w:bCs/>
        </w:rPr>
      </w:pPr>
    </w:p>
    <w:p w14:paraId="65E7CB25" w14:textId="7E7A2F9A" w:rsidR="00ED181C" w:rsidRDefault="006570FE" w:rsidP="006570FE">
      <w:pPr>
        <w:tabs>
          <w:tab w:val="left" w:pos="6981"/>
        </w:tabs>
        <w:jc w:val="center"/>
      </w:pPr>
      <w:r>
        <w:t>with</w:t>
      </w:r>
    </w:p>
    <w:p w14:paraId="30812F8A" w14:textId="77777777" w:rsidR="006570FE" w:rsidRDefault="006570FE" w:rsidP="006570FE">
      <w:pPr>
        <w:tabs>
          <w:tab w:val="left" w:pos="6981"/>
        </w:tabs>
        <w:jc w:val="center"/>
      </w:pPr>
    </w:p>
    <w:p w14:paraId="6CC477DE" w14:textId="28C000AA" w:rsidR="006570FE" w:rsidRDefault="006570FE" w:rsidP="006570FE">
      <w:pPr>
        <w:pStyle w:val="Normal18J"/>
        <w:jc w:val="center"/>
      </w:pPr>
      <w:r>
        <w:t xml:space="preserve">Benedict </w:t>
      </w:r>
      <w:r w:rsidR="00E36EF3">
        <w:t>S</w:t>
      </w:r>
      <w:r>
        <w:t>h</w:t>
      </w:r>
      <w:r w:rsidR="00E36EF3">
        <w:t>e</w:t>
      </w:r>
      <w:r>
        <w:t>e</w:t>
      </w:r>
      <w:r w:rsidR="00E36EF3">
        <w:t>h</w:t>
      </w:r>
      <w:r>
        <w:t>y</w:t>
      </w:r>
    </w:p>
    <w:p w14:paraId="647CCE1C" w14:textId="7DC99C23" w:rsidR="006570FE" w:rsidRDefault="006570FE" w:rsidP="006570FE">
      <w:pPr>
        <w:tabs>
          <w:tab w:val="left" w:pos="6981"/>
        </w:tabs>
        <w:jc w:val="center"/>
      </w:pPr>
      <w:r>
        <w:t>Faculty of Business</w:t>
      </w:r>
      <w:r w:rsidR="001C62CF">
        <w:t>,</w:t>
      </w:r>
      <w:r>
        <w:t xml:space="preserve"> Government and Law</w:t>
      </w:r>
    </w:p>
    <w:p w14:paraId="2DD9D545" w14:textId="77777777" w:rsidR="006570FE" w:rsidRDefault="006570FE" w:rsidP="006570FE">
      <w:pPr>
        <w:jc w:val="center"/>
        <w:outlineLvl w:val="0"/>
        <w:rPr>
          <w:bCs/>
        </w:rPr>
      </w:pPr>
      <w:r w:rsidRPr="00C30770">
        <w:rPr>
          <w:bCs/>
        </w:rPr>
        <w:t>University of Canberra</w:t>
      </w:r>
    </w:p>
    <w:p w14:paraId="617057A4" w14:textId="0A6FBF9E" w:rsidR="00880B62" w:rsidRDefault="00880B62" w:rsidP="00451589">
      <w:pPr>
        <w:pStyle w:val="Normal18J"/>
        <w:rPr>
          <w:b/>
          <w:bCs/>
        </w:rPr>
      </w:pPr>
    </w:p>
    <w:p w14:paraId="7C16D375" w14:textId="12BB1F26" w:rsidR="001872FC" w:rsidRDefault="001872FC" w:rsidP="00451589">
      <w:pPr>
        <w:pStyle w:val="Normal18J"/>
        <w:rPr>
          <w:b/>
          <w:bCs/>
        </w:rPr>
      </w:pPr>
    </w:p>
    <w:p w14:paraId="2FA6C128" w14:textId="2B4CF8E5" w:rsidR="001872FC" w:rsidRDefault="001872FC" w:rsidP="00451589">
      <w:pPr>
        <w:pStyle w:val="Normal18J"/>
        <w:rPr>
          <w:b/>
          <w:bCs/>
        </w:rPr>
      </w:pPr>
    </w:p>
    <w:p w14:paraId="42F5291B" w14:textId="5236C853" w:rsidR="001872FC" w:rsidRDefault="001872FC" w:rsidP="00451589">
      <w:pPr>
        <w:pStyle w:val="Normal18J"/>
        <w:rPr>
          <w:b/>
          <w:bCs/>
        </w:rPr>
      </w:pPr>
    </w:p>
    <w:p w14:paraId="1AAFF7FD" w14:textId="6BC96499" w:rsidR="001872FC" w:rsidRDefault="001872FC" w:rsidP="00451589">
      <w:pPr>
        <w:pStyle w:val="Normal18J"/>
        <w:rPr>
          <w:b/>
          <w:bCs/>
        </w:rPr>
      </w:pPr>
    </w:p>
    <w:p w14:paraId="28252A8F" w14:textId="34DE75DC" w:rsidR="001872FC" w:rsidRDefault="001872FC" w:rsidP="00451589">
      <w:pPr>
        <w:pStyle w:val="Normal18J"/>
        <w:rPr>
          <w:b/>
          <w:bCs/>
        </w:rPr>
      </w:pPr>
    </w:p>
    <w:p w14:paraId="555C3E74" w14:textId="4ED4D78F" w:rsidR="001872FC" w:rsidRDefault="001872FC" w:rsidP="00451589">
      <w:pPr>
        <w:pStyle w:val="Normal18J"/>
        <w:rPr>
          <w:b/>
          <w:bCs/>
        </w:rPr>
      </w:pPr>
    </w:p>
    <w:p w14:paraId="565E669C" w14:textId="7E934A75" w:rsidR="001872FC" w:rsidRDefault="001872FC" w:rsidP="00451589">
      <w:pPr>
        <w:pStyle w:val="Normal18J"/>
        <w:rPr>
          <w:b/>
          <w:bCs/>
        </w:rPr>
      </w:pPr>
    </w:p>
    <w:p w14:paraId="739C57E5" w14:textId="4FE4F3E3" w:rsidR="001872FC" w:rsidRDefault="001872FC" w:rsidP="00451589">
      <w:pPr>
        <w:pStyle w:val="Normal18J"/>
        <w:rPr>
          <w:b/>
          <w:bCs/>
        </w:rPr>
      </w:pPr>
    </w:p>
    <w:p w14:paraId="1D6D2382" w14:textId="7EF7F61C" w:rsidR="001872FC" w:rsidRDefault="001872FC" w:rsidP="00451589">
      <w:pPr>
        <w:pStyle w:val="Normal18J"/>
        <w:rPr>
          <w:b/>
          <w:bCs/>
        </w:rPr>
      </w:pPr>
    </w:p>
    <w:p w14:paraId="09A97FBE" w14:textId="46966155" w:rsidR="001872FC" w:rsidRDefault="001872FC" w:rsidP="00451589">
      <w:pPr>
        <w:pStyle w:val="Normal18J"/>
        <w:rPr>
          <w:b/>
          <w:bCs/>
        </w:rPr>
      </w:pPr>
    </w:p>
    <w:p w14:paraId="1220D465" w14:textId="1080EA5B" w:rsidR="001872FC" w:rsidRDefault="001872FC" w:rsidP="00451589">
      <w:pPr>
        <w:pStyle w:val="Normal18J"/>
        <w:rPr>
          <w:b/>
          <w:bCs/>
        </w:rPr>
      </w:pPr>
    </w:p>
    <w:p w14:paraId="3CAB595C" w14:textId="148FF006" w:rsidR="001872FC" w:rsidRDefault="001872FC" w:rsidP="00451589">
      <w:pPr>
        <w:pStyle w:val="Normal18J"/>
        <w:rPr>
          <w:b/>
          <w:bCs/>
        </w:rPr>
      </w:pPr>
    </w:p>
    <w:p w14:paraId="70F7C23C" w14:textId="6BE37081" w:rsidR="001872FC" w:rsidRDefault="001872FC" w:rsidP="00451589">
      <w:pPr>
        <w:pStyle w:val="Normal18J"/>
        <w:rPr>
          <w:b/>
          <w:bCs/>
        </w:rPr>
      </w:pPr>
    </w:p>
    <w:p w14:paraId="0F5FF6AF" w14:textId="6F8747C0" w:rsidR="001872FC" w:rsidRDefault="001872FC" w:rsidP="00451589">
      <w:pPr>
        <w:pStyle w:val="Normal18J"/>
        <w:rPr>
          <w:b/>
          <w:bCs/>
        </w:rPr>
      </w:pPr>
    </w:p>
    <w:p w14:paraId="33D88916" w14:textId="150FE00B" w:rsidR="001872FC" w:rsidRDefault="001872FC" w:rsidP="00451589">
      <w:pPr>
        <w:pStyle w:val="Normal18J"/>
        <w:rPr>
          <w:b/>
          <w:bCs/>
        </w:rPr>
      </w:pPr>
    </w:p>
    <w:p w14:paraId="1D12D1AD" w14:textId="76029EDB" w:rsidR="001872FC" w:rsidRDefault="001872FC" w:rsidP="00451589">
      <w:pPr>
        <w:pStyle w:val="Normal18J"/>
        <w:rPr>
          <w:b/>
          <w:bCs/>
        </w:rPr>
      </w:pPr>
    </w:p>
    <w:p w14:paraId="5D951C8F" w14:textId="3C759475" w:rsidR="001872FC" w:rsidRDefault="001872FC" w:rsidP="00451589">
      <w:pPr>
        <w:pStyle w:val="Normal18J"/>
        <w:rPr>
          <w:b/>
          <w:bCs/>
        </w:rPr>
      </w:pPr>
    </w:p>
    <w:p w14:paraId="05CD25AC" w14:textId="10E51AD4" w:rsidR="00485732" w:rsidRDefault="00485732">
      <w:pPr>
        <w:rPr>
          <w:b/>
          <w:bCs/>
        </w:rPr>
      </w:pPr>
      <w:r>
        <w:rPr>
          <w:b/>
          <w:bCs/>
        </w:rPr>
        <w:br w:type="page"/>
      </w:r>
    </w:p>
    <w:p w14:paraId="644682F5" w14:textId="5865FBD1" w:rsidR="001872FC" w:rsidRPr="00E77CEB" w:rsidRDefault="001872FC" w:rsidP="006C359D">
      <w:pPr>
        <w:pStyle w:val="NormalWeb"/>
        <w:ind w:left="720"/>
        <w:rPr>
          <w:sz w:val="32"/>
          <w:szCs w:val="32"/>
        </w:rPr>
      </w:pPr>
      <w:r w:rsidRPr="00E77CEB">
        <w:rPr>
          <w:sz w:val="32"/>
          <w:szCs w:val="32"/>
        </w:rPr>
        <w:lastRenderedPageBreak/>
        <w:t xml:space="preserve">Contents </w:t>
      </w:r>
    </w:p>
    <w:p w14:paraId="0662B861" w14:textId="4ADD337B" w:rsidR="004C5B3B" w:rsidRDefault="00DB70FA" w:rsidP="00D15DAC">
      <w:pPr>
        <w:pStyle w:val="NormalWeb"/>
        <w:spacing w:before="0" w:beforeAutospacing="0" w:after="240" w:afterAutospacing="0"/>
        <w:ind w:left="720"/>
      </w:pPr>
      <w:r w:rsidRPr="00AE3A94">
        <w:t>Preface and A</w:t>
      </w:r>
      <w:r w:rsidR="001872FC" w:rsidRPr="00AE3A94">
        <w:t xml:space="preserve">cknowledgements </w:t>
      </w:r>
      <w:r w:rsidR="00D15DAC">
        <w:tab/>
      </w:r>
      <w:r w:rsidR="00D15DAC">
        <w:tab/>
      </w:r>
      <w:r w:rsidR="00D15DAC">
        <w:tab/>
      </w:r>
      <w:r w:rsidR="00D15DAC">
        <w:tab/>
      </w:r>
      <w:r w:rsidR="00D15DAC">
        <w:tab/>
      </w:r>
      <w:r w:rsidR="00D15DAC">
        <w:tab/>
      </w:r>
      <w:r w:rsidR="00D15DAC">
        <w:tab/>
      </w:r>
      <w:r w:rsidR="00281B33">
        <w:t xml:space="preserve">   </w:t>
      </w:r>
      <w:r w:rsidR="006A28D3">
        <w:t>3</w:t>
      </w:r>
    </w:p>
    <w:p w14:paraId="763AB385" w14:textId="14A64CCE" w:rsidR="006A28D3" w:rsidRPr="00AE3A94" w:rsidRDefault="006A28D3" w:rsidP="006A28D3">
      <w:pPr>
        <w:pStyle w:val="NormalWeb"/>
        <w:spacing w:before="0" w:beforeAutospacing="0" w:after="240" w:afterAutospacing="0"/>
        <w:ind w:left="720"/>
      </w:pPr>
      <w:r w:rsidRPr="00AE3A94">
        <w:t>Applying Latimer House Principles to the Australian Capital Territory</w:t>
      </w:r>
      <w:r w:rsidR="00FE2F67">
        <w:tab/>
      </w:r>
      <w:r w:rsidR="00FE2F67">
        <w:tab/>
        <w:t xml:space="preserve">   3</w:t>
      </w:r>
    </w:p>
    <w:p w14:paraId="6DEBDCE0" w14:textId="3B052C79" w:rsidR="00985B81" w:rsidRDefault="00E46AD8" w:rsidP="00D15DAC">
      <w:pPr>
        <w:pStyle w:val="NormalWeb"/>
        <w:spacing w:before="0" w:beforeAutospacing="0" w:after="240" w:afterAutospacing="0"/>
        <w:ind w:left="720"/>
      </w:pPr>
      <w:r w:rsidRPr="00AE3A94">
        <w:t>Recommendations and Observations</w:t>
      </w:r>
      <w:r w:rsidR="00FE2F67">
        <w:tab/>
      </w:r>
      <w:r w:rsidR="00FE2F67">
        <w:tab/>
      </w:r>
      <w:r w:rsidR="00FE2F67">
        <w:tab/>
      </w:r>
      <w:r w:rsidR="00FE2F67">
        <w:tab/>
      </w:r>
      <w:r w:rsidR="00FE2F67">
        <w:tab/>
      </w:r>
      <w:r w:rsidR="00FE2F67">
        <w:tab/>
      </w:r>
      <w:r w:rsidR="00FE2F67">
        <w:tab/>
        <w:t xml:space="preserve">   5</w:t>
      </w:r>
    </w:p>
    <w:p w14:paraId="355193C2" w14:textId="1E14FD5E" w:rsidR="00985B81" w:rsidRPr="00AE3A94" w:rsidRDefault="00985B81" w:rsidP="006C359D">
      <w:pPr>
        <w:ind w:left="720"/>
      </w:pPr>
      <w:r w:rsidRPr="00AE3A94">
        <w:t xml:space="preserve">Executive </w:t>
      </w:r>
      <w:r w:rsidR="00831FFF">
        <w:t>B</w:t>
      </w:r>
      <w:r w:rsidRPr="00AE3A94">
        <w:t>ranch</w:t>
      </w:r>
      <w:r w:rsidR="00FE2F67">
        <w:tab/>
      </w:r>
      <w:r w:rsidR="00FE2F67">
        <w:tab/>
      </w:r>
      <w:r w:rsidR="00FE2F67">
        <w:tab/>
      </w:r>
      <w:r w:rsidR="00FE2F67">
        <w:tab/>
      </w:r>
      <w:r w:rsidR="00FE2F67">
        <w:tab/>
      </w:r>
      <w:r w:rsidR="00FE2F67">
        <w:tab/>
      </w:r>
      <w:r w:rsidR="00FE2F67">
        <w:tab/>
      </w:r>
      <w:r w:rsidR="00FE2F67">
        <w:tab/>
      </w:r>
      <w:r w:rsidR="00FE2F67">
        <w:tab/>
        <w:t xml:space="preserve">   7</w:t>
      </w:r>
    </w:p>
    <w:p w14:paraId="45F1855B" w14:textId="77777777" w:rsidR="00CB1DEB" w:rsidRPr="00AE3A94" w:rsidRDefault="00CB1DEB" w:rsidP="006C359D">
      <w:pPr>
        <w:ind w:left="720"/>
      </w:pPr>
    </w:p>
    <w:p w14:paraId="25141357" w14:textId="4675E288" w:rsidR="00985B81" w:rsidRPr="00AE3A94" w:rsidRDefault="00985B81" w:rsidP="006C359D">
      <w:pPr>
        <w:ind w:left="720"/>
        <w:rPr>
          <w:color w:val="000000" w:themeColor="text1"/>
        </w:rPr>
      </w:pPr>
      <w:r w:rsidRPr="00AE3A94">
        <w:rPr>
          <w:color w:val="000000" w:themeColor="text1"/>
        </w:rPr>
        <w:t xml:space="preserve">Parliamentary </w:t>
      </w:r>
      <w:r w:rsidR="00831FFF">
        <w:rPr>
          <w:color w:val="000000" w:themeColor="text1"/>
        </w:rPr>
        <w:t>B</w:t>
      </w:r>
      <w:r w:rsidRPr="00AE3A94">
        <w:rPr>
          <w:color w:val="000000" w:themeColor="text1"/>
        </w:rPr>
        <w:t>ranch</w:t>
      </w:r>
      <w:r w:rsidR="00FE2F67">
        <w:rPr>
          <w:color w:val="000000" w:themeColor="text1"/>
        </w:rPr>
        <w:tab/>
      </w:r>
      <w:r w:rsidR="00FE2F67">
        <w:rPr>
          <w:color w:val="000000" w:themeColor="text1"/>
        </w:rPr>
        <w:tab/>
      </w:r>
      <w:r w:rsidR="00FE2F67">
        <w:rPr>
          <w:color w:val="000000" w:themeColor="text1"/>
        </w:rPr>
        <w:tab/>
      </w:r>
      <w:r w:rsidR="00FE2F67">
        <w:rPr>
          <w:color w:val="000000" w:themeColor="text1"/>
        </w:rPr>
        <w:tab/>
      </w:r>
      <w:r w:rsidR="00FE2F67">
        <w:rPr>
          <w:color w:val="000000" w:themeColor="text1"/>
        </w:rPr>
        <w:tab/>
      </w:r>
      <w:r w:rsidR="00FE2F67">
        <w:rPr>
          <w:color w:val="000000" w:themeColor="text1"/>
        </w:rPr>
        <w:tab/>
      </w:r>
      <w:r w:rsidR="00FE2F67">
        <w:rPr>
          <w:color w:val="000000" w:themeColor="text1"/>
        </w:rPr>
        <w:tab/>
      </w:r>
      <w:r w:rsidR="00FE2F67">
        <w:rPr>
          <w:color w:val="000000" w:themeColor="text1"/>
        </w:rPr>
        <w:tab/>
      </w:r>
      <w:r w:rsidR="00FE2F67">
        <w:rPr>
          <w:color w:val="000000" w:themeColor="text1"/>
        </w:rPr>
        <w:tab/>
        <w:t xml:space="preserve"> 1</w:t>
      </w:r>
      <w:r w:rsidR="00C23757">
        <w:rPr>
          <w:color w:val="000000" w:themeColor="text1"/>
        </w:rPr>
        <w:t>3</w:t>
      </w:r>
    </w:p>
    <w:p w14:paraId="7EDBA3CB" w14:textId="6534F39A" w:rsidR="0087526E" w:rsidRPr="00AE3A94" w:rsidRDefault="001872FC" w:rsidP="006C359D">
      <w:pPr>
        <w:pStyle w:val="NormalWeb"/>
        <w:ind w:left="720"/>
      </w:pPr>
      <w:r w:rsidRPr="00AE3A94">
        <w:t xml:space="preserve">Judiciary </w:t>
      </w:r>
      <w:r w:rsidR="00831FFF">
        <w:t>Branch</w:t>
      </w:r>
      <w:r w:rsidR="00831FFF">
        <w:tab/>
      </w:r>
      <w:r w:rsidR="00831FFF">
        <w:tab/>
      </w:r>
      <w:r w:rsidR="00831FFF">
        <w:tab/>
      </w:r>
      <w:r w:rsidR="00831FFF">
        <w:tab/>
      </w:r>
      <w:r w:rsidR="00831FFF">
        <w:tab/>
      </w:r>
      <w:r w:rsidR="00831FFF">
        <w:tab/>
      </w:r>
      <w:r w:rsidR="00831FFF">
        <w:tab/>
      </w:r>
      <w:r w:rsidR="00831FFF">
        <w:tab/>
      </w:r>
      <w:r w:rsidR="00831FFF">
        <w:tab/>
        <w:t xml:space="preserve"> 24</w:t>
      </w:r>
    </w:p>
    <w:p w14:paraId="6FF5E4BD" w14:textId="5B16C581" w:rsidR="001872FC" w:rsidRPr="00AE3A94" w:rsidRDefault="001872FC" w:rsidP="006C359D">
      <w:pPr>
        <w:pStyle w:val="NormalWeb"/>
        <w:ind w:left="720"/>
      </w:pPr>
      <w:r w:rsidRPr="00AE3A94">
        <w:t>Public Office Holders</w:t>
      </w:r>
      <w:r w:rsidR="00831FFF">
        <w:t>, Oversight and Integrity</w:t>
      </w:r>
      <w:r w:rsidRPr="00AE3A94">
        <w:t xml:space="preserve"> </w:t>
      </w:r>
      <w:r w:rsidR="00831FFF">
        <w:tab/>
      </w:r>
      <w:r w:rsidR="00831FFF">
        <w:tab/>
      </w:r>
      <w:r w:rsidR="00831FFF">
        <w:tab/>
      </w:r>
      <w:r w:rsidR="00831FFF">
        <w:tab/>
      </w:r>
      <w:r w:rsidR="00831FFF">
        <w:tab/>
        <w:t xml:space="preserve"> 2</w:t>
      </w:r>
      <w:r w:rsidR="004B4242">
        <w:t>7</w:t>
      </w:r>
    </w:p>
    <w:p w14:paraId="2655B9E0" w14:textId="3B21AFAD" w:rsidR="001872FC" w:rsidRPr="00AE3A94" w:rsidRDefault="00E77CEB" w:rsidP="006C359D">
      <w:pPr>
        <w:pStyle w:val="NormalWeb"/>
        <w:ind w:left="720"/>
      </w:pPr>
      <w:r w:rsidRPr="00AE3A94">
        <w:t>Civil Society and Governance</w:t>
      </w:r>
      <w:r w:rsidR="00DD72C0">
        <w:t xml:space="preserve"> in the ACT</w:t>
      </w:r>
      <w:r w:rsidR="00DD72C0">
        <w:tab/>
      </w:r>
      <w:r w:rsidR="00DD72C0">
        <w:tab/>
      </w:r>
      <w:r w:rsidR="00DD72C0">
        <w:tab/>
      </w:r>
      <w:r w:rsidR="00DD72C0">
        <w:tab/>
      </w:r>
      <w:r w:rsidR="00DD72C0">
        <w:tab/>
      </w:r>
      <w:r w:rsidR="00DD72C0">
        <w:tab/>
        <w:t xml:space="preserve"> </w:t>
      </w:r>
      <w:r w:rsidR="00A02148">
        <w:t>29</w:t>
      </w:r>
    </w:p>
    <w:p w14:paraId="41C87C40" w14:textId="6B34DF00" w:rsidR="001872FC" w:rsidRPr="00AE3A94" w:rsidRDefault="005631C7" w:rsidP="00481B7B">
      <w:pPr>
        <w:pStyle w:val="NormalWeb"/>
        <w:spacing w:after="240" w:afterAutospacing="0"/>
        <w:ind w:left="720"/>
      </w:pPr>
      <w:r w:rsidRPr="00AE3A94">
        <w:t xml:space="preserve">ACT </w:t>
      </w:r>
      <w:r w:rsidR="006244E2">
        <w:t>F</w:t>
      </w:r>
      <w:r w:rsidR="001872FC" w:rsidRPr="00AE3A94">
        <w:t xml:space="preserve">utures </w:t>
      </w:r>
      <w:r w:rsidR="006244E2">
        <w:tab/>
      </w:r>
      <w:r w:rsidR="006244E2">
        <w:tab/>
      </w:r>
      <w:r w:rsidR="006244E2">
        <w:tab/>
      </w:r>
      <w:r w:rsidR="006244E2">
        <w:tab/>
      </w:r>
      <w:r w:rsidR="006244E2">
        <w:tab/>
      </w:r>
      <w:r w:rsidR="006244E2">
        <w:tab/>
      </w:r>
      <w:r w:rsidR="006244E2">
        <w:tab/>
      </w:r>
      <w:r w:rsidR="006244E2">
        <w:tab/>
      </w:r>
      <w:r w:rsidR="006244E2">
        <w:tab/>
        <w:t xml:space="preserve">             3</w:t>
      </w:r>
      <w:r w:rsidR="004B4242">
        <w:t>2</w:t>
      </w:r>
    </w:p>
    <w:p w14:paraId="2D5FB65A" w14:textId="6E398A28" w:rsidR="004C5B3B" w:rsidRPr="00AE3A94" w:rsidRDefault="008E7949" w:rsidP="006C359D">
      <w:pPr>
        <w:pStyle w:val="NormalWeb"/>
        <w:ind w:left="720"/>
      </w:pPr>
      <w:r w:rsidRPr="00AE3A94">
        <w:t>Conclusion</w:t>
      </w:r>
      <w:r w:rsidR="00481B7B">
        <w:tab/>
      </w:r>
      <w:r w:rsidR="00481B7B">
        <w:tab/>
      </w:r>
      <w:r w:rsidR="00481B7B">
        <w:tab/>
      </w:r>
      <w:r w:rsidR="00A02148">
        <w:tab/>
      </w:r>
      <w:r w:rsidR="00A02148">
        <w:tab/>
      </w:r>
      <w:r w:rsidR="00481B7B">
        <w:tab/>
      </w:r>
      <w:r w:rsidR="00481B7B">
        <w:tab/>
      </w:r>
      <w:r w:rsidR="00481B7B">
        <w:tab/>
      </w:r>
      <w:r w:rsidR="00481B7B">
        <w:tab/>
      </w:r>
      <w:r w:rsidR="00481B7B">
        <w:tab/>
        <w:t xml:space="preserve"> 3</w:t>
      </w:r>
      <w:r w:rsidR="004B4242">
        <w:t>4</w:t>
      </w:r>
    </w:p>
    <w:p w14:paraId="5E40FEF2" w14:textId="3C62DA2F" w:rsidR="003E5631" w:rsidRPr="00AE3A94" w:rsidRDefault="001872FC" w:rsidP="003E5631">
      <w:pPr>
        <w:pStyle w:val="NormalWeb"/>
        <w:spacing w:after="0" w:afterAutospacing="0"/>
        <w:ind w:left="720"/>
      </w:pPr>
      <w:r w:rsidRPr="00AE3A94">
        <w:t xml:space="preserve">References </w:t>
      </w:r>
      <w:r w:rsidR="00481B7B">
        <w:tab/>
      </w:r>
      <w:r w:rsidR="00481B7B">
        <w:tab/>
      </w:r>
      <w:r w:rsidR="00481B7B">
        <w:tab/>
      </w:r>
      <w:r w:rsidR="00481B7B">
        <w:tab/>
      </w:r>
      <w:r w:rsidR="00481B7B">
        <w:tab/>
      </w:r>
      <w:r w:rsidR="00481B7B">
        <w:tab/>
      </w:r>
      <w:r w:rsidR="00481B7B">
        <w:tab/>
      </w:r>
      <w:r w:rsidR="00481B7B">
        <w:tab/>
      </w:r>
      <w:r w:rsidR="00481B7B">
        <w:tab/>
      </w:r>
      <w:r w:rsidR="00481B7B">
        <w:tab/>
        <w:t xml:space="preserve"> 3</w:t>
      </w:r>
      <w:r w:rsidR="004B4242">
        <w:t>4</w:t>
      </w:r>
    </w:p>
    <w:p w14:paraId="43536DBB" w14:textId="6DDF970D" w:rsidR="001872FC" w:rsidRPr="00AE3A94" w:rsidRDefault="001872FC" w:rsidP="003E5631">
      <w:pPr>
        <w:pStyle w:val="NormalWeb"/>
        <w:spacing w:before="240" w:beforeAutospacing="0"/>
        <w:ind w:left="720"/>
      </w:pPr>
      <w:r w:rsidRPr="00AE3A94">
        <w:t>A</w:t>
      </w:r>
      <w:r w:rsidR="00CD6BAE" w:rsidRPr="00AE3A94">
        <w:t>ppendix</w:t>
      </w:r>
      <w:r w:rsidRPr="00AE3A94">
        <w:t>: The Latimer House Principles</w:t>
      </w:r>
      <w:r w:rsidR="00E01777">
        <w:tab/>
      </w:r>
      <w:r w:rsidR="00E01777">
        <w:tab/>
      </w:r>
      <w:r w:rsidR="00E01777">
        <w:tab/>
      </w:r>
      <w:r w:rsidR="00E01777">
        <w:tab/>
      </w:r>
      <w:r w:rsidR="00E01777">
        <w:tab/>
        <w:t xml:space="preserve">             3</w:t>
      </w:r>
      <w:r w:rsidR="004B4242">
        <w:t>7</w:t>
      </w:r>
    </w:p>
    <w:p w14:paraId="366538D5" w14:textId="77777777" w:rsidR="001872FC" w:rsidRDefault="001872FC" w:rsidP="00985B81"/>
    <w:p w14:paraId="7AB2D355" w14:textId="77777777" w:rsidR="001872FC" w:rsidRDefault="001872FC" w:rsidP="00985B81"/>
    <w:p w14:paraId="0C282817" w14:textId="77777777" w:rsidR="001872FC" w:rsidRDefault="001872FC" w:rsidP="00451589">
      <w:pPr>
        <w:pStyle w:val="Normal18J"/>
        <w:rPr>
          <w:b/>
          <w:bCs/>
        </w:rPr>
      </w:pPr>
    </w:p>
    <w:p w14:paraId="5EB174E3" w14:textId="77777777" w:rsidR="001872FC" w:rsidRDefault="001872FC" w:rsidP="00451589">
      <w:pPr>
        <w:pStyle w:val="Normal18J"/>
        <w:rPr>
          <w:b/>
          <w:bCs/>
        </w:rPr>
      </w:pPr>
    </w:p>
    <w:p w14:paraId="582DBA74" w14:textId="77777777" w:rsidR="001872FC" w:rsidRDefault="001872FC" w:rsidP="00451589">
      <w:pPr>
        <w:pStyle w:val="Normal18J"/>
        <w:rPr>
          <w:b/>
          <w:bCs/>
        </w:rPr>
      </w:pPr>
    </w:p>
    <w:p w14:paraId="3A2DF98F" w14:textId="77777777" w:rsidR="001872FC" w:rsidRDefault="001872FC" w:rsidP="00451589">
      <w:pPr>
        <w:pStyle w:val="Normal18J"/>
        <w:rPr>
          <w:b/>
          <w:bCs/>
        </w:rPr>
      </w:pPr>
    </w:p>
    <w:p w14:paraId="70648217" w14:textId="77777777" w:rsidR="001872FC" w:rsidRDefault="001872FC" w:rsidP="00451589">
      <w:pPr>
        <w:pStyle w:val="Normal18J"/>
        <w:rPr>
          <w:b/>
          <w:bCs/>
        </w:rPr>
      </w:pPr>
    </w:p>
    <w:p w14:paraId="00D7B9CE" w14:textId="77777777" w:rsidR="001872FC" w:rsidRDefault="001872FC" w:rsidP="00451589">
      <w:pPr>
        <w:pStyle w:val="Normal18J"/>
        <w:rPr>
          <w:b/>
          <w:bCs/>
        </w:rPr>
      </w:pPr>
    </w:p>
    <w:p w14:paraId="751B2491" w14:textId="77777777" w:rsidR="0090419A" w:rsidRDefault="0090419A">
      <w:pPr>
        <w:rPr>
          <w:rFonts w:eastAsiaTheme="minorHAnsi" w:cstheme="minorBidi"/>
          <w:b/>
          <w:bCs/>
          <w:szCs w:val="22"/>
          <w:lang w:eastAsia="en-US"/>
        </w:rPr>
      </w:pPr>
      <w:r>
        <w:rPr>
          <w:b/>
          <w:bCs/>
        </w:rPr>
        <w:lastRenderedPageBreak/>
        <w:br w:type="page"/>
      </w:r>
    </w:p>
    <w:p w14:paraId="3A08E19F" w14:textId="2A28AA54" w:rsidR="00982250" w:rsidRPr="004A07FA" w:rsidRDefault="00DE7102" w:rsidP="009B0112">
      <w:pPr>
        <w:pStyle w:val="Normal18J"/>
        <w:spacing w:before="240" w:after="240" w:line="276" w:lineRule="auto"/>
        <w:rPr>
          <w:b/>
          <w:bCs/>
          <w:color w:val="4472C4" w:themeColor="accent1"/>
          <w:sz w:val="28"/>
          <w:szCs w:val="28"/>
        </w:rPr>
      </w:pPr>
      <w:r w:rsidRPr="004A07FA">
        <w:rPr>
          <w:b/>
          <w:bCs/>
          <w:color w:val="4472C4" w:themeColor="accent1"/>
          <w:sz w:val="28"/>
          <w:szCs w:val="28"/>
        </w:rPr>
        <w:lastRenderedPageBreak/>
        <w:t>Preface</w:t>
      </w:r>
      <w:r w:rsidR="00B52DD6" w:rsidRPr="004A07FA">
        <w:rPr>
          <w:b/>
          <w:bCs/>
          <w:color w:val="4472C4" w:themeColor="accent1"/>
          <w:sz w:val="28"/>
          <w:szCs w:val="28"/>
        </w:rPr>
        <w:t xml:space="preserve"> and Acknowledgements</w:t>
      </w:r>
    </w:p>
    <w:p w14:paraId="646BC7F2" w14:textId="0E4DA094" w:rsidR="00982250" w:rsidRDefault="003357BA" w:rsidP="00D132AF">
      <w:pPr>
        <w:spacing w:after="120" w:line="276" w:lineRule="auto"/>
        <w:jc w:val="both"/>
      </w:pPr>
      <w:r>
        <w:t>This is a period of major change and development in the Australian Capital Territory</w:t>
      </w:r>
      <w:r w:rsidR="006218A4">
        <w:t xml:space="preserve"> and of greater complexities in and demands on </w:t>
      </w:r>
      <w:r w:rsidR="00AE3A94">
        <w:t xml:space="preserve">the </w:t>
      </w:r>
      <w:r w:rsidR="006218A4">
        <w:t>system of government</w:t>
      </w:r>
      <w:r>
        <w:t xml:space="preserve">. </w:t>
      </w:r>
      <w:r w:rsidR="0090419A">
        <w:t xml:space="preserve">It is timely therefore that </w:t>
      </w:r>
      <w:r w:rsidR="00A664A1">
        <w:t>t</w:t>
      </w:r>
      <w:r>
        <w:t>h</w:t>
      </w:r>
      <w:r w:rsidR="00790B66">
        <w:t xml:space="preserve">is </w:t>
      </w:r>
      <w:r w:rsidR="00A664A1" w:rsidRPr="00A664A1">
        <w:rPr>
          <w:color w:val="222222"/>
          <w:shd w:val="clear" w:color="auto" w:fill="FFFFFF"/>
        </w:rPr>
        <w:t>quadrennial</w:t>
      </w:r>
      <w:r w:rsidR="00A664A1">
        <w:t xml:space="preserve"> </w:t>
      </w:r>
      <w:r w:rsidR="00790B66">
        <w:t xml:space="preserve">review of the application of </w:t>
      </w:r>
      <w:r>
        <w:t>Latimer</w:t>
      </w:r>
      <w:r w:rsidR="00790B66">
        <w:t xml:space="preserve"> House Principles </w:t>
      </w:r>
      <w:r w:rsidR="00A664A1">
        <w:t xml:space="preserve">should be undertaken because it allows consideration of core questions </w:t>
      </w:r>
      <w:r w:rsidR="00797F74">
        <w:t xml:space="preserve">about accountabilities and relationships </w:t>
      </w:r>
      <w:r w:rsidR="00A664A1">
        <w:t xml:space="preserve">within and </w:t>
      </w:r>
      <w:r w:rsidR="00797F74">
        <w:t xml:space="preserve">among the </w:t>
      </w:r>
      <w:r w:rsidR="009620AF">
        <w:t xml:space="preserve">three </w:t>
      </w:r>
      <w:r w:rsidR="00797F74">
        <w:t>branches of the ACT government</w:t>
      </w:r>
      <w:r w:rsidR="009620AF">
        <w:t xml:space="preserve"> as well as other matters regarding the quality of governance</w:t>
      </w:r>
      <w:r>
        <w:t>.</w:t>
      </w:r>
    </w:p>
    <w:p w14:paraId="79527759" w14:textId="7B32BB15" w:rsidR="004A07FA" w:rsidRDefault="004A07FA" w:rsidP="00D132AF">
      <w:pPr>
        <w:spacing w:after="120" w:line="276" w:lineRule="auto"/>
        <w:jc w:val="both"/>
      </w:pPr>
      <w:r>
        <w:t xml:space="preserve">The Australian Capital Territory governance system derives from a unique combination of features, at least in Australian terms. It is a fusion of two levels of </w:t>
      </w:r>
      <w:r w:rsidR="00154853">
        <w:t>government and</w:t>
      </w:r>
      <w:r>
        <w:t xml:space="preserve"> is therefore responsible for an extensive range of functions. The ACT has been something of a developmental site with the parameters for action evolving in its 30 years as an independent but comparatively small jurisdiction. It is a mixture of governing models producing a hybrid approach to Westminster.  It is also a capital territory that lacks the standing of the Australian states. There has been a decade of significant development with regard to the individual branches and their relationships.</w:t>
      </w:r>
    </w:p>
    <w:p w14:paraId="4667C53E" w14:textId="77777777" w:rsidR="004A07FA" w:rsidRDefault="004A07FA" w:rsidP="00D132AF">
      <w:pPr>
        <w:pStyle w:val="Normal18Jin0"/>
        <w:spacing w:after="120" w:line="276" w:lineRule="auto"/>
        <w:ind w:firstLine="0"/>
      </w:pPr>
      <w:r>
        <w:t xml:space="preserve">This report examines the roles and interplay of the elements that contribute to ACT’s hybrid character, the ways in which functioning government has emerged in practice through institutionalisation, and the results and contradictions of the hybrid governance model. Over time, the ACT system of government has become more complex and its environment more demanding. </w:t>
      </w:r>
    </w:p>
    <w:p w14:paraId="601A9E84" w14:textId="3F578B14" w:rsidR="00B4382B" w:rsidRDefault="00A73AC5" w:rsidP="00D132AF">
      <w:pPr>
        <w:spacing w:after="120" w:line="276" w:lineRule="auto"/>
        <w:jc w:val="both"/>
      </w:pPr>
      <w:r>
        <w:t xml:space="preserve">Associate Professor </w:t>
      </w:r>
      <w:r w:rsidR="00B4382B">
        <w:t xml:space="preserve">Benedict </w:t>
      </w:r>
      <w:r w:rsidR="00E36EF3">
        <w:t>Sheehy</w:t>
      </w:r>
      <w:r w:rsidR="000B762C">
        <w:t>, a legal specialist,</w:t>
      </w:r>
      <w:r w:rsidR="00B4382B">
        <w:t xml:space="preserve"> has been responsible for the </w:t>
      </w:r>
      <w:r w:rsidR="00A82771">
        <w:t xml:space="preserve">review of the </w:t>
      </w:r>
      <w:r w:rsidR="00B4382B">
        <w:t>judicial branch.</w:t>
      </w:r>
    </w:p>
    <w:p w14:paraId="23C05F26" w14:textId="4F8566EE" w:rsidR="0001067A" w:rsidRDefault="00B90D9C" w:rsidP="0001067A">
      <w:pPr>
        <w:spacing w:line="276" w:lineRule="auto"/>
        <w:jc w:val="both"/>
      </w:pPr>
      <w:r>
        <w:t>We a</w:t>
      </w:r>
      <w:r w:rsidR="00451589">
        <w:t xml:space="preserve">ppreciate the willingness and enthusiasm of those who are part of </w:t>
      </w:r>
      <w:r>
        <w:t xml:space="preserve">the </w:t>
      </w:r>
      <w:r w:rsidR="00451589">
        <w:t xml:space="preserve">ACT </w:t>
      </w:r>
      <w:r w:rsidR="00BC1012">
        <w:t>g</w:t>
      </w:r>
      <w:r w:rsidR="00451589">
        <w:t xml:space="preserve">overnment </w:t>
      </w:r>
      <w:r w:rsidR="009B4E21">
        <w:t xml:space="preserve">and Canberra community </w:t>
      </w:r>
      <w:r w:rsidR="0001067A">
        <w:t>in</w:t>
      </w:r>
      <w:r w:rsidR="00451589">
        <w:t xml:space="preserve"> contribut</w:t>
      </w:r>
      <w:r w:rsidR="0001067A">
        <w:t>ing</w:t>
      </w:r>
      <w:r w:rsidR="00451589">
        <w:t xml:space="preserve"> ideas </w:t>
      </w:r>
      <w:r w:rsidR="009B4E21">
        <w:t xml:space="preserve">and views that </w:t>
      </w:r>
      <w:r w:rsidR="00451589">
        <w:t>form</w:t>
      </w:r>
      <w:r w:rsidR="009B4E21">
        <w:t xml:space="preserve"> an important</w:t>
      </w:r>
      <w:r w:rsidR="00451589">
        <w:t xml:space="preserve"> basis </w:t>
      </w:r>
      <w:r w:rsidR="009B4E21">
        <w:t>to</w:t>
      </w:r>
      <w:r w:rsidR="00451589">
        <w:t xml:space="preserve"> this report. </w:t>
      </w:r>
      <w:r w:rsidR="00DF1152">
        <w:t>In particular, w</w:t>
      </w:r>
      <w:r w:rsidR="0001067A">
        <w:t>e would also like to thank the Speaker of the Assembly</w:t>
      </w:r>
      <w:r w:rsidR="00BC1012">
        <w:t>,</w:t>
      </w:r>
      <w:r w:rsidR="0001067A">
        <w:t xml:space="preserve"> </w:t>
      </w:r>
      <w:r w:rsidR="00BC1012">
        <w:t>m</w:t>
      </w:r>
      <w:r w:rsidR="0001067A">
        <w:t>inisters and MLAs, and members of the judiciary who made themselves available. The Clerk of the Legislative Assembly and the Chief Executive of ACTPS and other senior executives in the ACT system of government were most supportive.</w:t>
      </w:r>
    </w:p>
    <w:p w14:paraId="62202521" w14:textId="5724AAA3" w:rsidR="00C80814" w:rsidRPr="004A07FA" w:rsidRDefault="002F2035" w:rsidP="0019318A">
      <w:pPr>
        <w:spacing w:before="240" w:after="240" w:line="276" w:lineRule="auto"/>
        <w:rPr>
          <w:b/>
          <w:bCs/>
          <w:color w:val="4472C4" w:themeColor="accent1"/>
          <w:sz w:val="28"/>
          <w:szCs w:val="28"/>
        </w:rPr>
      </w:pPr>
      <w:r w:rsidRPr="004A07FA">
        <w:rPr>
          <w:b/>
          <w:bCs/>
          <w:color w:val="4472C4" w:themeColor="accent1"/>
          <w:sz w:val="28"/>
          <w:szCs w:val="28"/>
        </w:rPr>
        <w:t xml:space="preserve">Applying </w:t>
      </w:r>
      <w:r w:rsidR="00C80814" w:rsidRPr="004A07FA">
        <w:rPr>
          <w:b/>
          <w:bCs/>
          <w:color w:val="4472C4" w:themeColor="accent1"/>
          <w:sz w:val="28"/>
          <w:szCs w:val="28"/>
        </w:rPr>
        <w:t>Latimer House Principles</w:t>
      </w:r>
      <w:r w:rsidRPr="004A07FA">
        <w:rPr>
          <w:b/>
          <w:bCs/>
          <w:color w:val="4472C4" w:themeColor="accent1"/>
          <w:sz w:val="28"/>
          <w:szCs w:val="28"/>
        </w:rPr>
        <w:t xml:space="preserve"> to the Australian Capital Territory</w:t>
      </w:r>
    </w:p>
    <w:p w14:paraId="2BCF4C4D" w14:textId="457C4B0D" w:rsidR="004B450B" w:rsidRDefault="004B450B" w:rsidP="00984659">
      <w:pPr>
        <w:spacing w:line="276" w:lineRule="auto"/>
        <w:jc w:val="both"/>
      </w:pPr>
      <w:r>
        <w:t xml:space="preserve">The </w:t>
      </w:r>
      <w:r w:rsidRPr="004B450B">
        <w:t>Latimer House Principles</w:t>
      </w:r>
      <w:r>
        <w:t xml:space="preserve"> provide a framework for government that reflect what are seen as Commonwealth values</w:t>
      </w:r>
      <w:r w:rsidR="00AF1F0E">
        <w:t xml:space="preserve"> concerning</w:t>
      </w:r>
      <w:r w:rsidR="00A4450D">
        <w:t xml:space="preserve">: </w:t>
      </w:r>
      <w:r w:rsidR="00F2597A">
        <w:t>i</w:t>
      </w:r>
      <w:r>
        <w:t xml:space="preserve">ndependence of </w:t>
      </w:r>
      <w:r w:rsidR="00AF1F0E">
        <w:t xml:space="preserve">the </w:t>
      </w:r>
      <w:r>
        <w:t>branches</w:t>
      </w:r>
      <w:r w:rsidR="00D12C5D">
        <w:t xml:space="preserve"> of government</w:t>
      </w:r>
      <w:r>
        <w:t xml:space="preserve">, accountability, ethical governance, </w:t>
      </w:r>
      <w:r w:rsidR="009C5D43">
        <w:t xml:space="preserve">law-making process, </w:t>
      </w:r>
      <w:r>
        <w:t>oversight of government</w:t>
      </w:r>
      <w:r w:rsidR="009C21F0">
        <w:t>,</w:t>
      </w:r>
      <w:r w:rsidR="00A4450D">
        <w:t xml:space="preserve"> public office holders</w:t>
      </w:r>
      <w:r w:rsidR="00F2597A">
        <w:t>, a</w:t>
      </w:r>
      <w:r w:rsidR="00175E67">
        <w:t>nd the place of civil society (see A</w:t>
      </w:r>
      <w:r w:rsidR="0019318A">
        <w:t>ttachment A</w:t>
      </w:r>
      <w:r w:rsidR="00175E67">
        <w:t>).</w:t>
      </w:r>
      <w:r w:rsidR="00F2597A">
        <w:t xml:space="preserve"> There are also Guidelines that </w:t>
      </w:r>
      <w:r w:rsidR="002541EA">
        <w:t xml:space="preserve">address </w:t>
      </w:r>
      <w:r w:rsidR="00984659">
        <w:t xml:space="preserve">the </w:t>
      </w:r>
      <w:r w:rsidR="002541EA">
        <w:t xml:space="preserve">implementation of the principles and give attention to </w:t>
      </w:r>
      <w:r w:rsidR="00730B31">
        <w:t>questions such as gender imbalance.</w:t>
      </w:r>
      <w:r w:rsidR="00DA3050">
        <w:rPr>
          <w:rStyle w:val="FootnoteReference"/>
        </w:rPr>
        <w:footnoteReference w:id="1"/>
      </w:r>
      <w:r w:rsidR="00F2597A">
        <w:t xml:space="preserve"> </w:t>
      </w:r>
    </w:p>
    <w:p w14:paraId="2EC5C862" w14:textId="77777777" w:rsidR="004B450B" w:rsidRPr="004B450B" w:rsidRDefault="004B450B" w:rsidP="00984659">
      <w:pPr>
        <w:spacing w:line="276" w:lineRule="auto"/>
        <w:jc w:val="both"/>
      </w:pPr>
    </w:p>
    <w:p w14:paraId="4AECFF1F" w14:textId="646BE2D5" w:rsidR="00BD56A9" w:rsidRDefault="009C5D43" w:rsidP="00D132AF">
      <w:pPr>
        <w:spacing w:after="120" w:line="276" w:lineRule="auto"/>
        <w:jc w:val="both"/>
      </w:pPr>
      <w:r>
        <w:lastRenderedPageBreak/>
        <w:t xml:space="preserve">Following up on the spirit and substance of </w:t>
      </w:r>
      <w:r w:rsidR="005A0C49">
        <w:t xml:space="preserve">the </w:t>
      </w:r>
      <w:r>
        <w:t xml:space="preserve">Latimer House Principles, the Commonwealth Parliamentary Association </w:t>
      </w:r>
      <w:r w:rsidR="002356B4">
        <w:t xml:space="preserve">has </w:t>
      </w:r>
      <w:r>
        <w:t>produce</w:t>
      </w:r>
      <w:r w:rsidR="002356B4">
        <w:t>d</w:t>
      </w:r>
      <w:r>
        <w:t xml:space="preserve"> </w:t>
      </w:r>
      <w:r w:rsidR="004A07FA">
        <w:t>a</w:t>
      </w:r>
      <w:r>
        <w:t xml:space="preserve"> set of benchmarks for democratic legislature</w:t>
      </w:r>
      <w:r w:rsidR="00557684">
        <w:t xml:space="preserve"> that extends the principles</w:t>
      </w:r>
      <w:r w:rsidR="00731402">
        <w:t xml:space="preserve"> and which are regularly updated (currently 2018)</w:t>
      </w:r>
      <w:r w:rsidR="002015E0">
        <w:t>.</w:t>
      </w:r>
      <w:r w:rsidR="00C55D50">
        <w:rPr>
          <w:rStyle w:val="FootnoteReference"/>
        </w:rPr>
        <w:footnoteReference w:id="2"/>
      </w:r>
      <w:r w:rsidR="00705200">
        <w:t xml:space="preserve"> The</w:t>
      </w:r>
      <w:r w:rsidR="005A0C49">
        <w:t>se</w:t>
      </w:r>
      <w:r w:rsidR="00705200">
        <w:t xml:space="preserve"> benchmarks are inclined to focus on </w:t>
      </w:r>
      <w:r w:rsidR="005A0C49">
        <w:t xml:space="preserve">the </w:t>
      </w:r>
      <w:r w:rsidR="00705200">
        <w:t>requirements for a democratic legislature</w:t>
      </w:r>
      <w:r w:rsidR="00C0038B">
        <w:t xml:space="preserve">, but not necessary </w:t>
      </w:r>
      <w:r w:rsidR="00D6790C">
        <w:t xml:space="preserve">those </w:t>
      </w:r>
      <w:r w:rsidR="00C0038B">
        <w:t>for higher levels</w:t>
      </w:r>
      <w:r w:rsidR="00D6790C">
        <w:t xml:space="preserve"> of performance and effectiveness</w:t>
      </w:r>
      <w:r w:rsidR="00C0038B">
        <w:t>.</w:t>
      </w:r>
      <w:r w:rsidR="003A2DA3">
        <w:t xml:space="preserve"> </w:t>
      </w:r>
    </w:p>
    <w:p w14:paraId="35AC5302" w14:textId="0ACB8020" w:rsidR="003B1CE9" w:rsidRDefault="001F5C0D" w:rsidP="00D132AF">
      <w:pPr>
        <w:spacing w:after="120" w:line="276" w:lineRule="auto"/>
        <w:jc w:val="both"/>
      </w:pPr>
      <w:r>
        <w:t xml:space="preserve">There </w:t>
      </w:r>
      <w:r w:rsidR="00D5179A">
        <w:t>is</w:t>
      </w:r>
      <w:r>
        <w:t xml:space="preserve"> a number </w:t>
      </w:r>
      <w:r w:rsidR="003B1CE9">
        <w:t>of other reviews international</w:t>
      </w:r>
      <w:r w:rsidR="00A8455A">
        <w:t>ly</w:t>
      </w:r>
      <w:r w:rsidR="003B1CE9">
        <w:t xml:space="preserve"> that address fundamental questions about performance and accountability, the functioning of the core institutions of system</w:t>
      </w:r>
      <w:r w:rsidR="00A8455A">
        <w:t>s</w:t>
      </w:r>
      <w:r w:rsidR="003B1CE9">
        <w:t xml:space="preserve"> of government and good governance in general. </w:t>
      </w:r>
      <w:r w:rsidR="0030798F">
        <w:t>For example, two recent reports</w:t>
      </w:r>
      <w:r w:rsidR="004D271A">
        <w:t xml:space="preserve"> </w:t>
      </w:r>
      <w:r w:rsidR="00154853">
        <w:t>from a</w:t>
      </w:r>
      <w:r w:rsidR="004D271A">
        <w:t xml:space="preserve"> relatively small system take different </w:t>
      </w:r>
      <w:r w:rsidR="00053C7C">
        <w:t>approach</w:t>
      </w:r>
      <w:r w:rsidR="004D271A">
        <w:t>es: one</w:t>
      </w:r>
      <w:r w:rsidR="00053C7C">
        <w:t xml:space="preserve"> </w:t>
      </w:r>
      <w:r w:rsidR="00125C09">
        <w:t>examine</w:t>
      </w:r>
      <w:r w:rsidR="0030798F">
        <w:t>s</w:t>
      </w:r>
      <w:r w:rsidR="00053C7C">
        <w:t xml:space="preserve"> states of democracy </w:t>
      </w:r>
      <w:r w:rsidR="008D23AA">
        <w:t xml:space="preserve">resulting </w:t>
      </w:r>
      <w:r w:rsidR="004D271A">
        <w:t xml:space="preserve">from </w:t>
      </w:r>
      <w:r w:rsidR="00053C7C" w:rsidRPr="00341BB2">
        <w:rPr>
          <w:color w:val="000000" w:themeColor="text1"/>
        </w:rPr>
        <w:t xml:space="preserve">different </w:t>
      </w:r>
      <w:r w:rsidR="00D65C16" w:rsidRPr="00341BB2">
        <w:rPr>
          <w:color w:val="000000" w:themeColor="text1"/>
        </w:rPr>
        <w:t>models of resourci</w:t>
      </w:r>
      <w:r w:rsidR="00D65C16">
        <w:rPr>
          <w:color w:val="000000" w:themeColor="text1"/>
        </w:rPr>
        <w:t>ng for a parliament</w:t>
      </w:r>
      <w:r w:rsidR="0030798F">
        <w:rPr>
          <w:color w:val="000000" w:themeColor="text1"/>
        </w:rPr>
        <w:t>;</w:t>
      </w:r>
      <w:r w:rsidR="00D65C16">
        <w:rPr>
          <w:rStyle w:val="FootnoteReference"/>
        </w:rPr>
        <w:footnoteReference w:id="3"/>
      </w:r>
      <w:r w:rsidR="0030798F">
        <w:t xml:space="preserve"> a</w:t>
      </w:r>
      <w:r w:rsidR="008D23AA">
        <w:t>nother</w:t>
      </w:r>
      <w:r w:rsidR="003B1CE9">
        <w:t xml:space="preserve"> explor</w:t>
      </w:r>
      <w:r w:rsidR="008D23AA">
        <w:t>es</w:t>
      </w:r>
      <w:r w:rsidR="003B1CE9">
        <w:t xml:space="preserve"> new institutional roles</w:t>
      </w:r>
      <w:r w:rsidR="00125C09">
        <w:t xml:space="preserve"> for improving governance through parliamentary scrutiny</w:t>
      </w:r>
      <w:r w:rsidR="00CE26E1">
        <w:t>.</w:t>
      </w:r>
      <w:r w:rsidR="00A8455A">
        <w:rPr>
          <w:rStyle w:val="FootnoteReference"/>
        </w:rPr>
        <w:footnoteReference w:id="4"/>
      </w:r>
    </w:p>
    <w:p w14:paraId="0EA229F0" w14:textId="00FA9557" w:rsidR="00767387" w:rsidRDefault="00767387" w:rsidP="00D132AF">
      <w:pPr>
        <w:spacing w:after="120" w:line="276" w:lineRule="auto"/>
        <w:jc w:val="both"/>
      </w:pPr>
      <w:r>
        <w:t>In preparing the report</w:t>
      </w:r>
      <w:r w:rsidR="0035144C">
        <w:t>,</w:t>
      </w:r>
      <w:r>
        <w:t xml:space="preserve"> consideration has </w:t>
      </w:r>
      <w:r w:rsidR="009B5CAB">
        <w:t xml:space="preserve">also </w:t>
      </w:r>
      <w:r>
        <w:t xml:space="preserve">been given to a range of approaches employed in other jurisdictions internationally in reviews of aspects of government. The ACT sits astride local and state government and </w:t>
      </w:r>
      <w:r w:rsidR="00567A23">
        <w:t xml:space="preserve">has a national role </w:t>
      </w:r>
      <w:r>
        <w:t>through its capital city status. Beyond the basic principles, there are matters concerning the level of adherence and commitment, which may entail resourcing.</w:t>
      </w:r>
    </w:p>
    <w:p w14:paraId="00768C24" w14:textId="50B90403" w:rsidR="00767387" w:rsidRDefault="00767387" w:rsidP="00D132AF">
      <w:pPr>
        <w:spacing w:after="120" w:line="276" w:lineRule="auto"/>
        <w:jc w:val="both"/>
      </w:pPr>
      <w:r>
        <w:t xml:space="preserve">The review is based on </w:t>
      </w:r>
      <w:r w:rsidR="002B5087">
        <w:t xml:space="preserve">extensive </w:t>
      </w:r>
      <w:r>
        <w:t xml:space="preserve">discussions with senior persons in the Assembly, Executive and the Judiciary and advice from other participants inside and outside the ACT system of government. Document analysis was important as was the growing body of statistics available, notably for the Legislative Assembly, which is particularly conscious of its performance and </w:t>
      </w:r>
      <w:r w:rsidRPr="00B15701">
        <w:t>the</w:t>
      </w:r>
      <w:r>
        <w:t xml:space="preserve"> </w:t>
      </w:r>
      <w:r w:rsidR="00EC41DF">
        <w:t xml:space="preserve">public </w:t>
      </w:r>
      <w:r w:rsidRPr="00B15701">
        <w:t xml:space="preserve">availability </w:t>
      </w:r>
      <w:r>
        <w:t>of indicators</w:t>
      </w:r>
      <w:r w:rsidRPr="00B15701">
        <w:t>.</w:t>
      </w:r>
    </w:p>
    <w:p w14:paraId="35C66994" w14:textId="52C85874" w:rsidR="00D65C16" w:rsidRDefault="004E5986" w:rsidP="00D132AF">
      <w:pPr>
        <w:spacing w:after="120" w:line="276" w:lineRule="auto"/>
        <w:jc w:val="both"/>
      </w:pPr>
      <w:r>
        <w:t xml:space="preserve">There is a caveat. </w:t>
      </w:r>
      <w:r w:rsidR="00D65C16">
        <w:t xml:space="preserve">Within this present review, there are limits to how comprehensive </w:t>
      </w:r>
      <w:r w:rsidR="00987249">
        <w:t>it can be in breadth and depth</w:t>
      </w:r>
      <w:r w:rsidR="00D65C16">
        <w:t xml:space="preserve">.  </w:t>
      </w:r>
      <w:r w:rsidR="00265167">
        <w:t xml:space="preserve">At one level it can attest to the extent to which the ACT fulfils </w:t>
      </w:r>
      <w:r w:rsidR="009543D1">
        <w:t xml:space="preserve">the </w:t>
      </w:r>
      <w:r w:rsidR="00265167">
        <w:t>basic precepts of Latimer</w:t>
      </w:r>
      <w:r w:rsidR="00CA1D2A">
        <w:t xml:space="preserve"> House Principles</w:t>
      </w:r>
      <w:r w:rsidR="00265167">
        <w:t xml:space="preserve">, recording strong </w:t>
      </w:r>
      <w:r w:rsidR="00E21D6B">
        <w:t xml:space="preserve">areas </w:t>
      </w:r>
      <w:r w:rsidR="00A7685F">
        <w:t xml:space="preserve">of </w:t>
      </w:r>
      <w:r w:rsidR="00265167">
        <w:t>con</w:t>
      </w:r>
      <w:r w:rsidR="00E21D6B">
        <w:t>for</w:t>
      </w:r>
      <w:r w:rsidR="00265167">
        <w:t>mity a</w:t>
      </w:r>
      <w:r w:rsidR="009543D1">
        <w:t>s well as</w:t>
      </w:r>
      <w:r w:rsidR="00265167">
        <w:t xml:space="preserve"> </w:t>
      </w:r>
      <w:r w:rsidR="00A7685F">
        <w:t>shortcoming</w:t>
      </w:r>
      <w:r w:rsidR="00C0281B">
        <w:t>s</w:t>
      </w:r>
      <w:r w:rsidR="00A7685F">
        <w:t>,</w:t>
      </w:r>
      <w:r w:rsidR="00265167">
        <w:t xml:space="preserve"> and areas for potential development. </w:t>
      </w:r>
      <w:r w:rsidR="00E21D6B">
        <w:t xml:space="preserve">Much relevant activity can be reported </w:t>
      </w:r>
      <w:r w:rsidR="00DE7705">
        <w:t xml:space="preserve">but more detailed analysis is necessary to determine its substance (e.g. </w:t>
      </w:r>
      <w:r w:rsidR="00FD19E5">
        <w:t xml:space="preserve">the impact of </w:t>
      </w:r>
      <w:r w:rsidR="00DE7705">
        <w:t>aspects of scrutiny and oversight, and engagement).</w:t>
      </w:r>
      <w:r w:rsidR="00547323">
        <w:t xml:space="preserve"> The complexity of the ACT system means that there must be some selectivity in the depth to which topics are </w:t>
      </w:r>
      <w:r w:rsidR="00D153FE">
        <w:t xml:space="preserve">examined </w:t>
      </w:r>
      <w:r w:rsidR="00547323">
        <w:t>while ensuring that the basic elements of Latimer are covered.</w:t>
      </w:r>
    </w:p>
    <w:p w14:paraId="5DD167C6" w14:textId="4586FE8E" w:rsidR="00C0281B" w:rsidRDefault="00C0281B" w:rsidP="00D153FE">
      <w:pPr>
        <w:spacing w:line="276" w:lineRule="auto"/>
        <w:jc w:val="both"/>
      </w:pPr>
    </w:p>
    <w:p w14:paraId="66E06F71" w14:textId="4B20246E" w:rsidR="00C0281B" w:rsidRDefault="00C0281B" w:rsidP="00D153FE">
      <w:pPr>
        <w:spacing w:line="276" w:lineRule="auto"/>
        <w:jc w:val="both"/>
      </w:pPr>
    </w:p>
    <w:p w14:paraId="2B227CC2" w14:textId="6518EE6C" w:rsidR="00C0281B" w:rsidRDefault="00C0281B">
      <w:r>
        <w:br w:type="page"/>
      </w:r>
    </w:p>
    <w:p w14:paraId="35E6D01B" w14:textId="77777777" w:rsidR="006543BC" w:rsidRPr="005812A1" w:rsidRDefault="006543BC" w:rsidP="009B0112">
      <w:pPr>
        <w:spacing w:before="240" w:after="240" w:line="276" w:lineRule="auto"/>
        <w:jc w:val="both"/>
        <w:rPr>
          <w:b/>
          <w:bCs/>
          <w:color w:val="4F7FBC"/>
          <w:sz w:val="28"/>
          <w:szCs w:val="28"/>
        </w:rPr>
      </w:pPr>
      <w:r w:rsidRPr="005812A1">
        <w:rPr>
          <w:b/>
          <w:bCs/>
          <w:color w:val="4F7FBC"/>
          <w:sz w:val="28"/>
          <w:szCs w:val="28"/>
        </w:rPr>
        <w:lastRenderedPageBreak/>
        <w:t xml:space="preserve">Recommendations and Observations </w:t>
      </w:r>
    </w:p>
    <w:p w14:paraId="3F2B29E0" w14:textId="77777777" w:rsidR="00C0281B" w:rsidRDefault="004A652C" w:rsidP="00C37270">
      <w:pPr>
        <w:spacing w:line="360" w:lineRule="auto"/>
        <w:jc w:val="both"/>
        <w:rPr>
          <w:b/>
          <w:bCs/>
          <w:color w:val="4F7FBC"/>
        </w:rPr>
      </w:pPr>
      <w:r w:rsidRPr="006A13E2">
        <w:rPr>
          <w:b/>
          <w:bCs/>
          <w:color w:val="4F7FBC"/>
        </w:rPr>
        <w:t>Executive Branch</w:t>
      </w:r>
    </w:p>
    <w:p w14:paraId="66C0F102" w14:textId="068D5D0E" w:rsidR="000820AB" w:rsidRDefault="00C0281B" w:rsidP="006A13E2">
      <w:pPr>
        <w:spacing w:after="100" w:afterAutospacing="1" w:line="276" w:lineRule="auto"/>
        <w:jc w:val="both"/>
        <w:rPr>
          <w:lang w:val="en-GB"/>
        </w:rPr>
      </w:pPr>
      <w:r>
        <w:rPr>
          <w:lang w:val="en-GB"/>
        </w:rPr>
        <w:t xml:space="preserve">Across a range of </w:t>
      </w:r>
      <w:r w:rsidR="00154853">
        <w:rPr>
          <w:lang w:val="en-GB"/>
        </w:rPr>
        <w:t>areas,</w:t>
      </w:r>
      <w:r>
        <w:rPr>
          <w:lang w:val="en-GB"/>
        </w:rPr>
        <w:t xml:space="preserve"> the Executive </w:t>
      </w:r>
      <w:r w:rsidR="004618E3">
        <w:rPr>
          <w:lang w:val="en-GB"/>
        </w:rPr>
        <w:t>branch has</w:t>
      </w:r>
      <w:r>
        <w:rPr>
          <w:lang w:val="en-GB"/>
        </w:rPr>
        <w:t xml:space="preserve"> be</w:t>
      </w:r>
      <w:r w:rsidR="004618E3">
        <w:rPr>
          <w:lang w:val="en-GB"/>
        </w:rPr>
        <w:t>en</w:t>
      </w:r>
      <w:r>
        <w:rPr>
          <w:lang w:val="en-GB"/>
        </w:rPr>
        <w:t xml:space="preserve"> sensitive to Latimer </w:t>
      </w:r>
      <w:r w:rsidR="0035144C">
        <w:rPr>
          <w:lang w:val="en-GB"/>
        </w:rPr>
        <w:t xml:space="preserve">House </w:t>
      </w:r>
      <w:r w:rsidR="00154853">
        <w:rPr>
          <w:lang w:val="en-GB"/>
        </w:rPr>
        <w:t xml:space="preserve">Principles. </w:t>
      </w:r>
      <w:r w:rsidR="00091893">
        <w:rPr>
          <w:lang w:val="en-GB"/>
        </w:rPr>
        <w:t>It</w:t>
      </w:r>
      <w:r w:rsidR="000820AB">
        <w:rPr>
          <w:lang w:val="en-GB"/>
        </w:rPr>
        <w:t xml:space="preserve"> has demonstrate</w:t>
      </w:r>
      <w:r w:rsidR="00A273EC">
        <w:rPr>
          <w:lang w:val="en-GB"/>
        </w:rPr>
        <w:t>d</w:t>
      </w:r>
      <w:r w:rsidR="000820AB">
        <w:rPr>
          <w:lang w:val="en-GB"/>
        </w:rPr>
        <w:t xml:space="preserve"> a willingness to respond to the need for strengthening the Legislative </w:t>
      </w:r>
      <w:r w:rsidR="00AF5C80">
        <w:rPr>
          <w:lang w:val="en-GB"/>
        </w:rPr>
        <w:t>B</w:t>
      </w:r>
      <w:r w:rsidR="000820AB">
        <w:rPr>
          <w:lang w:val="en-GB"/>
        </w:rPr>
        <w:t>ranch</w:t>
      </w:r>
      <w:r w:rsidR="00AF5C80">
        <w:rPr>
          <w:lang w:val="en-GB"/>
        </w:rPr>
        <w:t xml:space="preserve"> </w:t>
      </w:r>
      <w:r w:rsidR="009B337A">
        <w:rPr>
          <w:lang w:val="en-GB"/>
        </w:rPr>
        <w:t>in</w:t>
      </w:r>
      <w:r w:rsidR="00AF5C80">
        <w:rPr>
          <w:lang w:val="en-GB"/>
        </w:rPr>
        <w:t xml:space="preserve"> areas such as </w:t>
      </w:r>
      <w:r w:rsidR="00A273EC">
        <w:rPr>
          <w:lang w:val="en-GB"/>
        </w:rPr>
        <w:t>O</w:t>
      </w:r>
      <w:r w:rsidR="00AF5C80">
        <w:rPr>
          <w:lang w:val="en-GB"/>
        </w:rPr>
        <w:t>fficer</w:t>
      </w:r>
      <w:r w:rsidR="00A273EC">
        <w:rPr>
          <w:lang w:val="en-GB"/>
        </w:rPr>
        <w:t>s</w:t>
      </w:r>
      <w:r w:rsidR="00AF5C80">
        <w:rPr>
          <w:lang w:val="en-GB"/>
        </w:rPr>
        <w:t xml:space="preserve"> of the Legislative Assembly and the development of budget protocols</w:t>
      </w:r>
      <w:r w:rsidR="006B0ABD">
        <w:rPr>
          <w:lang w:val="en-GB"/>
        </w:rPr>
        <w:t>.</w:t>
      </w:r>
    </w:p>
    <w:p w14:paraId="7C5AA30C" w14:textId="73FAFDD9" w:rsidR="006B0ABD" w:rsidRDefault="00320C71" w:rsidP="009410EE">
      <w:pPr>
        <w:spacing w:before="100" w:beforeAutospacing="1" w:after="100" w:afterAutospacing="1" w:line="276" w:lineRule="auto"/>
        <w:jc w:val="both"/>
        <w:rPr>
          <w:lang w:val="en-GB"/>
        </w:rPr>
      </w:pPr>
      <w:r w:rsidRPr="0035144C">
        <w:rPr>
          <w:color w:val="4472C4" w:themeColor="accent1"/>
          <w:lang w:val="en-GB"/>
        </w:rPr>
        <w:t>Recommendation</w:t>
      </w:r>
      <w:r w:rsidR="008436C1">
        <w:rPr>
          <w:color w:val="4472C4" w:themeColor="accent1"/>
          <w:lang w:val="en-GB"/>
        </w:rPr>
        <w:t xml:space="preserve"> 1</w:t>
      </w:r>
      <w:r w:rsidRPr="0035144C">
        <w:rPr>
          <w:color w:val="4472C4" w:themeColor="accent1"/>
          <w:lang w:val="en-GB"/>
        </w:rPr>
        <w:t xml:space="preserve">: </w:t>
      </w:r>
      <w:r w:rsidR="006B0ABD">
        <w:rPr>
          <w:lang w:val="en-GB"/>
        </w:rPr>
        <w:t xml:space="preserve">The Executive should seek a better balance between principles of portfolio allocation so that there is greater alignment of ministers and </w:t>
      </w:r>
      <w:r w:rsidR="003B0A4D">
        <w:rPr>
          <w:lang w:val="en-GB"/>
        </w:rPr>
        <w:t>d</w:t>
      </w:r>
      <w:r w:rsidR="006B0ABD">
        <w:rPr>
          <w:lang w:val="en-GB"/>
        </w:rPr>
        <w:t>irectorates and more stability in the arrangements in the interests of clarity for accountability purposes.</w:t>
      </w:r>
    </w:p>
    <w:p w14:paraId="702BE450" w14:textId="2B61E2EC" w:rsidR="002F3E7B" w:rsidRDefault="002F3E7B" w:rsidP="002F3E7B">
      <w:pPr>
        <w:spacing w:line="276" w:lineRule="auto"/>
        <w:jc w:val="both"/>
      </w:pPr>
      <w:r w:rsidRPr="0035144C">
        <w:rPr>
          <w:color w:val="4472C4" w:themeColor="accent1"/>
        </w:rPr>
        <w:t>Recommendation</w:t>
      </w:r>
      <w:r w:rsidR="008436C1">
        <w:rPr>
          <w:color w:val="4472C4" w:themeColor="accent1"/>
        </w:rPr>
        <w:t xml:space="preserve"> 2</w:t>
      </w:r>
      <w:r w:rsidRPr="0035144C">
        <w:rPr>
          <w:color w:val="4472C4" w:themeColor="accent1"/>
        </w:rPr>
        <w:t xml:space="preserve">: </w:t>
      </w:r>
      <w:r>
        <w:t xml:space="preserve">There </w:t>
      </w:r>
      <w:r w:rsidR="0061031B">
        <w:t xml:space="preserve">be </w:t>
      </w:r>
      <w:r>
        <w:t xml:space="preserve">an ongoing role for the ACT </w:t>
      </w:r>
      <w:r w:rsidR="00C13F57">
        <w:t>E</w:t>
      </w:r>
      <w:r>
        <w:t>xecutive, the Auditor-General and the Legislative Assembly in reviewing the efficacy of performance indicators and accountability</w:t>
      </w:r>
      <w:r w:rsidR="003B0A4D">
        <w:t>.</w:t>
      </w:r>
    </w:p>
    <w:p w14:paraId="5C9687BC" w14:textId="77777777" w:rsidR="002F3E7B" w:rsidRPr="002F3E7B" w:rsidRDefault="002F3E7B" w:rsidP="002F3E7B">
      <w:pPr>
        <w:spacing w:line="276" w:lineRule="auto"/>
        <w:jc w:val="both"/>
      </w:pPr>
    </w:p>
    <w:p w14:paraId="5E9BC4CD" w14:textId="0860BC59" w:rsidR="006543BC" w:rsidRPr="006A13E2" w:rsidRDefault="006543BC" w:rsidP="00C37270">
      <w:pPr>
        <w:spacing w:line="360" w:lineRule="auto"/>
        <w:jc w:val="both"/>
      </w:pPr>
      <w:r w:rsidRPr="006A13E2">
        <w:rPr>
          <w:b/>
          <w:bCs/>
          <w:color w:val="4F7FBC"/>
        </w:rPr>
        <w:t xml:space="preserve">Parliamentary Branch </w:t>
      </w:r>
    </w:p>
    <w:p w14:paraId="049E7FE5" w14:textId="3503BED5" w:rsidR="00D82149" w:rsidRPr="0019324D" w:rsidRDefault="007C105A" w:rsidP="00903F3B">
      <w:pPr>
        <w:spacing w:line="276" w:lineRule="auto"/>
        <w:jc w:val="both"/>
        <w:outlineLvl w:val="0"/>
        <w:rPr>
          <w:sz w:val="22"/>
        </w:rPr>
      </w:pPr>
      <w:r w:rsidRPr="00060EC9">
        <w:t xml:space="preserve">The </w:t>
      </w:r>
      <w:r w:rsidR="007877E4" w:rsidRPr="00060EC9">
        <w:t>Parliamentary Branch</w:t>
      </w:r>
      <w:r w:rsidRPr="00060EC9">
        <w:t xml:space="preserve"> </w:t>
      </w:r>
      <w:r w:rsidR="00220FC5" w:rsidRPr="00060EC9">
        <w:t xml:space="preserve">continues to </w:t>
      </w:r>
      <w:r w:rsidRPr="00060EC9">
        <w:t xml:space="preserve">rate very well against Latimer </w:t>
      </w:r>
      <w:r w:rsidR="00C13F57">
        <w:t xml:space="preserve">House </w:t>
      </w:r>
      <w:r w:rsidRPr="00060EC9">
        <w:t>Principles in terms of its</w:t>
      </w:r>
      <w:r w:rsidRPr="0019324D">
        <w:t xml:space="preserve"> relative independence from the Executive</w:t>
      </w:r>
      <w:r w:rsidR="007877E4">
        <w:t xml:space="preserve"> Branch</w:t>
      </w:r>
      <w:r w:rsidRPr="0019324D">
        <w:t xml:space="preserve">, the opportunities for </w:t>
      </w:r>
      <w:r w:rsidR="007877E4">
        <w:t>non-executive</w:t>
      </w:r>
      <w:r w:rsidRPr="0019324D">
        <w:t xml:space="preserve"> members, and concern with enhancing the institution.</w:t>
      </w:r>
      <w:r w:rsidR="0019324D">
        <w:rPr>
          <w:sz w:val="22"/>
        </w:rPr>
        <w:t xml:space="preserve"> </w:t>
      </w:r>
      <w:r w:rsidR="00D82149" w:rsidRPr="0054393B">
        <w:t>Independence is indicated by</w:t>
      </w:r>
      <w:r w:rsidR="000C3515" w:rsidRPr="0054393B">
        <w:t xml:space="preserve"> </w:t>
      </w:r>
      <w:r w:rsidR="00D82149" w:rsidRPr="0054393B">
        <w:t xml:space="preserve">opportunities for private members, and the </w:t>
      </w:r>
      <w:r w:rsidR="00F02840">
        <w:t>attention given to</w:t>
      </w:r>
      <w:r w:rsidR="00D82149" w:rsidRPr="0054393B">
        <w:t xml:space="preserve"> enhancing the institution.</w:t>
      </w:r>
      <w:r w:rsidR="00F02840">
        <w:t xml:space="preserve"> </w:t>
      </w:r>
      <w:r w:rsidR="00D82149" w:rsidRPr="0054393B">
        <w:t>The concern with institution enhancement is expressed through the continual focus on performance measures</w:t>
      </w:r>
      <w:r w:rsidR="0047656B">
        <w:t xml:space="preserve">, </w:t>
      </w:r>
      <w:r w:rsidR="006B0B8A" w:rsidRPr="0054393B">
        <w:t>and discussion of them in various for</w:t>
      </w:r>
      <w:r w:rsidR="00105016">
        <w:t>ums</w:t>
      </w:r>
      <w:r w:rsidR="006B0B8A" w:rsidRPr="0054393B">
        <w:t>.</w:t>
      </w:r>
      <w:r w:rsidR="00E768BA" w:rsidRPr="0054393B">
        <w:t xml:space="preserve">                          </w:t>
      </w:r>
    </w:p>
    <w:p w14:paraId="50E5095B" w14:textId="77777777" w:rsidR="006B0B8A" w:rsidRDefault="006B0B8A" w:rsidP="00903F3B">
      <w:pPr>
        <w:spacing w:line="276" w:lineRule="auto"/>
        <w:jc w:val="both"/>
        <w:outlineLvl w:val="0"/>
        <w:rPr>
          <w:sz w:val="22"/>
        </w:rPr>
      </w:pPr>
    </w:p>
    <w:p w14:paraId="3F07AB1A" w14:textId="527C8CB2" w:rsidR="009F3BDB" w:rsidRDefault="009F3BDB" w:rsidP="00903F3B">
      <w:pPr>
        <w:spacing w:line="276" w:lineRule="auto"/>
        <w:jc w:val="both"/>
      </w:pPr>
      <w:r w:rsidRPr="0047656B">
        <w:rPr>
          <w:color w:val="4472C4" w:themeColor="accent1"/>
        </w:rPr>
        <w:t>Recommendation</w:t>
      </w:r>
      <w:r w:rsidR="008436C1">
        <w:rPr>
          <w:color w:val="4472C4" w:themeColor="accent1"/>
        </w:rPr>
        <w:t xml:space="preserve"> 3</w:t>
      </w:r>
      <w:r w:rsidRPr="0047656B">
        <w:rPr>
          <w:color w:val="4472C4" w:themeColor="accent1"/>
        </w:rPr>
        <w:t xml:space="preserve">: </w:t>
      </w:r>
      <w:r>
        <w:t>There is a case for re</w:t>
      </w:r>
      <w:r w:rsidR="00691ABA">
        <w:t>view</w:t>
      </w:r>
      <w:r>
        <w:t>ing the role</w:t>
      </w:r>
      <w:r w:rsidR="00A55206">
        <w:t>s</w:t>
      </w:r>
      <w:r>
        <w:t xml:space="preserve"> of committees including:</w:t>
      </w:r>
    </w:p>
    <w:p w14:paraId="147EA6DA" w14:textId="476AC52E" w:rsidR="003B5E35" w:rsidRDefault="003B5E35" w:rsidP="003B5E35">
      <w:pPr>
        <w:spacing w:line="276" w:lineRule="auto"/>
        <w:jc w:val="both"/>
      </w:pPr>
      <w:r>
        <w:t xml:space="preserve">• the language used should be sharpened by referring to scrutiny of the </w:t>
      </w:r>
      <w:r w:rsidR="00BB7CB8">
        <w:t>E</w:t>
      </w:r>
      <w:r>
        <w:t>xecutive and investigation of public policy matters</w:t>
      </w:r>
    </w:p>
    <w:p w14:paraId="59D3AC98" w14:textId="77777777" w:rsidR="003B5E35" w:rsidRDefault="003B5E35" w:rsidP="003B5E35">
      <w:pPr>
        <w:spacing w:line="276" w:lineRule="auto"/>
        <w:jc w:val="both"/>
      </w:pPr>
      <w:r>
        <w:t xml:space="preserve">• greater use should be made of standing committees for the examination of bills </w:t>
      </w:r>
    </w:p>
    <w:p w14:paraId="2891344A" w14:textId="77777777" w:rsidR="003B5E35" w:rsidRDefault="003B5E35" w:rsidP="003B5E35">
      <w:pPr>
        <w:spacing w:line="276" w:lineRule="auto"/>
        <w:jc w:val="both"/>
      </w:pPr>
      <w:r>
        <w:t>• standing committees should more explicitly reflect directorates, and be clearly subject matter committees</w:t>
      </w:r>
    </w:p>
    <w:p w14:paraId="658FB207" w14:textId="77777777" w:rsidR="003B5E35" w:rsidRDefault="003B5E35" w:rsidP="003B5E35">
      <w:pPr>
        <w:spacing w:line="276" w:lineRule="auto"/>
        <w:jc w:val="both"/>
      </w:pPr>
      <w:r>
        <w:t>• some subjects incorporated in committee titles that are not given obvious attention in committee activity should be dropped</w:t>
      </w:r>
    </w:p>
    <w:p w14:paraId="54ADAAC1" w14:textId="77777777" w:rsidR="003B5E35" w:rsidRDefault="003B5E35" w:rsidP="003B5E35">
      <w:pPr>
        <w:spacing w:line="276" w:lineRule="auto"/>
        <w:jc w:val="both"/>
      </w:pPr>
      <w:r>
        <w:t>• some select committee activity might be incorporated in standing committees</w:t>
      </w:r>
    </w:p>
    <w:p w14:paraId="257CA3C1" w14:textId="77777777" w:rsidR="003B5E35" w:rsidRDefault="003B5E35" w:rsidP="003B5E35">
      <w:pPr>
        <w:spacing w:line="276" w:lineRule="auto"/>
        <w:jc w:val="both"/>
      </w:pPr>
      <w:r>
        <w:t>• the work of estimates committees should become part of standing committees</w:t>
      </w:r>
    </w:p>
    <w:p w14:paraId="6BCA399C" w14:textId="2EF95A55" w:rsidR="009F3BDB" w:rsidRDefault="009F3BDB" w:rsidP="009F3BDB">
      <w:pPr>
        <w:spacing w:line="276" w:lineRule="auto"/>
        <w:jc w:val="both"/>
      </w:pPr>
    </w:p>
    <w:p w14:paraId="3A4924DB" w14:textId="76816712" w:rsidR="00D61B5D" w:rsidRDefault="00154853" w:rsidP="00D61B5D">
      <w:pPr>
        <w:spacing w:after="240" w:line="276" w:lineRule="auto"/>
        <w:jc w:val="both"/>
      </w:pPr>
      <w:r w:rsidRPr="00164E46">
        <w:rPr>
          <w:color w:val="4472C4" w:themeColor="accent1"/>
          <w:lang w:val="en-GB"/>
        </w:rPr>
        <w:t>Recommendation</w:t>
      </w:r>
      <w:r w:rsidR="008436C1">
        <w:rPr>
          <w:color w:val="4472C4" w:themeColor="accent1"/>
          <w:lang w:val="en-GB"/>
        </w:rPr>
        <w:t xml:space="preserve"> 4</w:t>
      </w:r>
      <w:r w:rsidRPr="00164E46">
        <w:rPr>
          <w:color w:val="4472C4" w:themeColor="accent1"/>
          <w:lang w:val="en-GB"/>
        </w:rPr>
        <w:t>:</w:t>
      </w:r>
      <w:r w:rsidR="00D61B5D">
        <w:t xml:space="preserve"> </w:t>
      </w:r>
      <w:r w:rsidR="009C61E8" w:rsidRPr="009C61E8">
        <w:rPr>
          <w:iCs/>
        </w:rPr>
        <w:t xml:space="preserve">That the Legislative Assembly should review the purpose and operation of the Public Accounts Committee with reference to how they operate in comparable jurisdictions, and whether </w:t>
      </w:r>
      <w:r w:rsidR="009C61E8" w:rsidRPr="009C61E8">
        <w:t>the resources available should be increased.</w:t>
      </w:r>
    </w:p>
    <w:p w14:paraId="4BEAD424" w14:textId="66A72289" w:rsidR="005B1C29" w:rsidRPr="006D14AA" w:rsidRDefault="005B1C29" w:rsidP="005B1C29">
      <w:pPr>
        <w:pStyle w:val="xmsonormal"/>
        <w:spacing w:before="0" w:beforeAutospacing="0" w:after="0" w:afterAutospacing="0" w:line="276" w:lineRule="auto"/>
        <w:jc w:val="both"/>
        <w:rPr>
          <w:i/>
          <w:iCs/>
          <w:color w:val="000000"/>
          <w:bdr w:val="none" w:sz="0" w:space="0" w:color="auto" w:frame="1"/>
        </w:rPr>
      </w:pPr>
      <w:r w:rsidRPr="005B1C29">
        <w:rPr>
          <w:color w:val="4472C4" w:themeColor="accent1"/>
        </w:rPr>
        <w:t>Recommendation 5:</w:t>
      </w:r>
      <w:r w:rsidRPr="005B1C29">
        <w:rPr>
          <w:i/>
          <w:iCs/>
          <w:color w:val="4472C4" w:themeColor="accent1"/>
          <w:bdr w:val="none" w:sz="0" w:space="0" w:color="auto" w:frame="1"/>
        </w:rPr>
        <w:t xml:space="preserve"> </w:t>
      </w:r>
      <w:r w:rsidRPr="00662049">
        <w:rPr>
          <w:color w:val="000000"/>
          <w:bdr w:val="none" w:sz="0" w:space="0" w:color="auto" w:frame="1"/>
        </w:rPr>
        <w:t xml:space="preserve">The </w:t>
      </w:r>
      <w:r w:rsidR="00662049">
        <w:rPr>
          <w:color w:val="000000"/>
          <w:bdr w:val="none" w:sz="0" w:space="0" w:color="auto" w:frame="1"/>
        </w:rPr>
        <w:t xml:space="preserve">low recent </w:t>
      </w:r>
      <w:r w:rsidRPr="00662049">
        <w:rPr>
          <w:color w:val="000000"/>
          <w:bdr w:val="none" w:sz="0" w:space="0" w:color="auto" w:frame="1"/>
        </w:rPr>
        <w:t>percentages for</w:t>
      </w:r>
      <w:r w:rsidR="00662049">
        <w:rPr>
          <w:color w:val="000000"/>
          <w:bdr w:val="none" w:sz="0" w:space="0" w:color="auto" w:frame="1"/>
        </w:rPr>
        <w:t xml:space="preserve"> Executive responses to committee recommendations</w:t>
      </w:r>
      <w:r w:rsidRPr="00662049">
        <w:rPr>
          <w:color w:val="000000"/>
          <w:bdr w:val="none" w:sz="0" w:space="0" w:color="auto" w:frame="1"/>
        </w:rPr>
        <w:t xml:space="preserve"> indicate that the reasons for the rates of response need to be clarified and </w:t>
      </w:r>
      <w:r w:rsidR="00662049">
        <w:rPr>
          <w:color w:val="000000"/>
          <w:bdr w:val="none" w:sz="0" w:space="0" w:color="auto" w:frame="1"/>
        </w:rPr>
        <w:t xml:space="preserve">this task </w:t>
      </w:r>
      <w:r w:rsidRPr="00662049">
        <w:rPr>
          <w:color w:val="000000"/>
          <w:bdr w:val="none" w:sz="0" w:space="0" w:color="auto" w:frame="1"/>
        </w:rPr>
        <w:t>should be undertaken by the Executive.</w:t>
      </w:r>
    </w:p>
    <w:p w14:paraId="5D5C18CB" w14:textId="65215C9D" w:rsidR="005B1C29" w:rsidRPr="009C61E8" w:rsidRDefault="005B1C29" w:rsidP="00D61B5D">
      <w:pPr>
        <w:spacing w:after="240" w:line="276" w:lineRule="auto"/>
        <w:jc w:val="both"/>
        <w:rPr>
          <w:iCs/>
        </w:rPr>
      </w:pPr>
    </w:p>
    <w:p w14:paraId="0A6A39B0" w14:textId="3E5153DA" w:rsidR="00646A14" w:rsidRPr="008C4489" w:rsidRDefault="00646A14" w:rsidP="00646A14">
      <w:pPr>
        <w:spacing w:line="276" w:lineRule="auto"/>
        <w:jc w:val="both"/>
      </w:pPr>
      <w:r w:rsidRPr="00164E46">
        <w:rPr>
          <w:color w:val="4472C4" w:themeColor="accent1"/>
          <w:lang w:val="en-US"/>
        </w:rPr>
        <w:t>Recommendation</w:t>
      </w:r>
      <w:r w:rsidR="008436C1">
        <w:rPr>
          <w:color w:val="4472C4" w:themeColor="accent1"/>
          <w:lang w:val="en-US"/>
        </w:rPr>
        <w:t xml:space="preserve"> </w:t>
      </w:r>
      <w:r w:rsidR="005B1C29">
        <w:rPr>
          <w:color w:val="4472C4" w:themeColor="accent1"/>
          <w:lang w:val="en-US"/>
        </w:rPr>
        <w:t>6</w:t>
      </w:r>
      <w:r w:rsidRPr="00164E46">
        <w:rPr>
          <w:color w:val="4472C4" w:themeColor="accent1"/>
          <w:lang w:val="en-US"/>
        </w:rPr>
        <w:t>:</w:t>
      </w:r>
      <w:r w:rsidRPr="00164E46">
        <w:rPr>
          <w:i/>
          <w:iCs/>
          <w:color w:val="4472C4" w:themeColor="accent1"/>
          <w:lang w:val="en-US"/>
        </w:rPr>
        <w:t xml:space="preserve"> </w:t>
      </w:r>
      <w:r w:rsidRPr="00646A14">
        <w:rPr>
          <w:lang w:val="en-US"/>
        </w:rPr>
        <w:t xml:space="preserve">The capacity needs of the Assembly should be </w:t>
      </w:r>
      <w:r w:rsidR="0043553D">
        <w:rPr>
          <w:lang w:val="en-US"/>
        </w:rPr>
        <w:t>re</w:t>
      </w:r>
      <w:r w:rsidRPr="00646A14">
        <w:rPr>
          <w:lang w:val="en-US"/>
        </w:rPr>
        <w:t xml:space="preserve">viewed holistically </w:t>
      </w:r>
      <w:r w:rsidR="00B45E9C">
        <w:rPr>
          <w:lang w:val="en-US"/>
        </w:rPr>
        <w:t>to determine</w:t>
      </w:r>
      <w:r w:rsidRPr="00646A14">
        <w:rPr>
          <w:lang w:val="en-US"/>
        </w:rPr>
        <w:t xml:space="preserve"> where weaknesses in support can be best addressed. This ranges from resources for MLAs particularly the opposition members, committee work particularly investigat</w:t>
      </w:r>
      <w:r w:rsidR="00295408">
        <w:rPr>
          <w:lang w:val="en-US"/>
        </w:rPr>
        <w:t>ive</w:t>
      </w:r>
      <w:r w:rsidRPr="00646A14">
        <w:rPr>
          <w:lang w:val="en-US"/>
        </w:rPr>
        <w:t xml:space="preserve"> activities</w:t>
      </w:r>
      <w:r w:rsidR="006E2000">
        <w:rPr>
          <w:lang w:val="en-US"/>
        </w:rPr>
        <w:t>,</w:t>
      </w:r>
      <w:r w:rsidRPr="00646A14">
        <w:rPr>
          <w:lang w:val="en-US"/>
        </w:rPr>
        <w:t xml:space="preserve"> more in-depth scrutiny of the </w:t>
      </w:r>
      <w:r w:rsidR="00BB7CB8">
        <w:rPr>
          <w:lang w:val="en-US"/>
        </w:rPr>
        <w:t>E</w:t>
      </w:r>
      <w:r w:rsidRPr="00646A14">
        <w:rPr>
          <w:lang w:val="en-US"/>
        </w:rPr>
        <w:t xml:space="preserve">xecutive, </w:t>
      </w:r>
      <w:r w:rsidR="00105016">
        <w:rPr>
          <w:lang w:val="en-US"/>
        </w:rPr>
        <w:t xml:space="preserve">and the </w:t>
      </w:r>
      <w:r w:rsidR="006E2000">
        <w:rPr>
          <w:lang w:val="en-US"/>
        </w:rPr>
        <w:t xml:space="preserve">level of </w:t>
      </w:r>
      <w:r w:rsidRPr="00646A14">
        <w:rPr>
          <w:lang w:val="en-US"/>
        </w:rPr>
        <w:t xml:space="preserve">research staff in the </w:t>
      </w:r>
      <w:r w:rsidR="006E2000">
        <w:rPr>
          <w:lang w:val="en-US"/>
        </w:rPr>
        <w:t xml:space="preserve">Office of the </w:t>
      </w:r>
      <w:r w:rsidR="00BB7CB8">
        <w:rPr>
          <w:lang w:val="en-US"/>
        </w:rPr>
        <w:t>Legislative Assembly</w:t>
      </w:r>
      <w:r w:rsidR="006E2000">
        <w:rPr>
          <w:lang w:val="en-US"/>
        </w:rPr>
        <w:t xml:space="preserve"> </w:t>
      </w:r>
      <w:r w:rsidRPr="00646A14">
        <w:rPr>
          <w:lang w:val="en-US"/>
        </w:rPr>
        <w:t xml:space="preserve">that can be drawn on. This should be done in conjunction with the review of how </w:t>
      </w:r>
      <w:r w:rsidR="00295408">
        <w:rPr>
          <w:lang w:val="en-US"/>
        </w:rPr>
        <w:t xml:space="preserve">standing </w:t>
      </w:r>
      <w:r w:rsidRPr="00646A14">
        <w:rPr>
          <w:lang w:val="en-US"/>
        </w:rPr>
        <w:t>committees are performing</w:t>
      </w:r>
      <w:r w:rsidR="008C4489">
        <w:rPr>
          <w:lang w:val="en-US"/>
        </w:rPr>
        <w:t xml:space="preserve"> as a</w:t>
      </w:r>
      <w:r w:rsidRPr="00646A14">
        <w:t xml:space="preserve"> strengthened committee system is likely to require greater supporting expertise</w:t>
      </w:r>
      <w:r w:rsidRPr="008C4489">
        <w:t>.</w:t>
      </w:r>
      <w:r w:rsidR="0043553D" w:rsidRPr="008C4489">
        <w:t xml:space="preserve"> The optimal approach is an independent review process </w:t>
      </w:r>
      <w:r w:rsidR="00F57762">
        <w:t xml:space="preserve">that </w:t>
      </w:r>
      <w:r w:rsidR="00D5179A">
        <w:t>considers</w:t>
      </w:r>
      <w:r w:rsidR="00F57762">
        <w:t xml:space="preserve"> the role</w:t>
      </w:r>
      <w:r w:rsidR="004B4242">
        <w:t>s</w:t>
      </w:r>
      <w:r w:rsidR="00F57762">
        <w:t xml:space="preserve"> of the Assembly and the resources required.</w:t>
      </w:r>
    </w:p>
    <w:p w14:paraId="7ED16501" w14:textId="77777777" w:rsidR="00B11ADA" w:rsidRPr="00B11ADA" w:rsidRDefault="00B11ADA" w:rsidP="00B11ADA">
      <w:pPr>
        <w:spacing w:line="276" w:lineRule="auto"/>
        <w:jc w:val="both"/>
      </w:pPr>
    </w:p>
    <w:p w14:paraId="47785AC7" w14:textId="6D84FF01" w:rsidR="006543BC" w:rsidRPr="006C4C86" w:rsidRDefault="006543BC" w:rsidP="00B14019">
      <w:pPr>
        <w:spacing w:line="360" w:lineRule="auto"/>
        <w:jc w:val="both"/>
        <w:rPr>
          <w:lang w:val="en-GB"/>
        </w:rPr>
      </w:pPr>
      <w:r w:rsidRPr="006C4C86">
        <w:rPr>
          <w:b/>
          <w:bCs/>
          <w:color w:val="4F7FBC"/>
        </w:rPr>
        <w:t>Judicial Branch</w:t>
      </w:r>
      <w:r w:rsidR="0097485A" w:rsidRPr="006C4C86">
        <w:rPr>
          <w:b/>
          <w:bCs/>
          <w:color w:val="4F7FBC"/>
        </w:rPr>
        <w:t xml:space="preserve"> </w:t>
      </w:r>
    </w:p>
    <w:p w14:paraId="358FD1A3" w14:textId="1AADC7B1" w:rsidR="00346DA6" w:rsidRPr="006543BC" w:rsidRDefault="00346DA6" w:rsidP="009410EE">
      <w:pPr>
        <w:spacing w:line="276" w:lineRule="auto"/>
        <w:jc w:val="both"/>
        <w:rPr>
          <w:lang w:val="en-GB"/>
        </w:rPr>
      </w:pPr>
      <w:r w:rsidRPr="0026619A">
        <w:rPr>
          <w:color w:val="4472C4" w:themeColor="accent1"/>
          <w:lang w:val="en-GB"/>
        </w:rPr>
        <w:t>Recommendation</w:t>
      </w:r>
      <w:r w:rsidR="008436C1">
        <w:rPr>
          <w:color w:val="4472C4" w:themeColor="accent1"/>
          <w:lang w:val="en-GB"/>
        </w:rPr>
        <w:t xml:space="preserve"> </w:t>
      </w:r>
      <w:r w:rsidR="004B4242">
        <w:rPr>
          <w:color w:val="4472C4" w:themeColor="accent1"/>
          <w:lang w:val="en-GB"/>
        </w:rPr>
        <w:t>7</w:t>
      </w:r>
      <w:r w:rsidRPr="0026619A">
        <w:rPr>
          <w:color w:val="4472C4" w:themeColor="accent1"/>
          <w:lang w:val="en-GB"/>
        </w:rPr>
        <w:t>:</w:t>
      </w:r>
      <w:r w:rsidRPr="006543BC">
        <w:rPr>
          <w:lang w:val="en-GB"/>
        </w:rPr>
        <w:t xml:space="preserve"> A regular review of the work and needs of the courts be instituted in consultation with both the courts and the </w:t>
      </w:r>
      <w:r w:rsidR="00BF6A0C">
        <w:rPr>
          <w:lang w:val="en-GB"/>
        </w:rPr>
        <w:t>e</w:t>
      </w:r>
      <w:r w:rsidRPr="006543BC">
        <w:rPr>
          <w:lang w:val="en-GB"/>
        </w:rPr>
        <w:t xml:space="preserve">xecutive for </w:t>
      </w:r>
      <w:r w:rsidR="00BA08FF">
        <w:rPr>
          <w:lang w:val="en-GB"/>
        </w:rPr>
        <w:t xml:space="preserve">the </w:t>
      </w:r>
      <w:r w:rsidRPr="006543BC">
        <w:rPr>
          <w:lang w:val="en-GB"/>
        </w:rPr>
        <w:t>purposes of determining appropriate resourcing and accountability.</w:t>
      </w:r>
    </w:p>
    <w:p w14:paraId="482F0A50" w14:textId="77777777" w:rsidR="00346DA6" w:rsidRPr="006543BC" w:rsidRDefault="00346DA6" w:rsidP="009410EE">
      <w:pPr>
        <w:spacing w:line="276" w:lineRule="auto"/>
        <w:jc w:val="both"/>
        <w:rPr>
          <w:sz w:val="22"/>
        </w:rPr>
      </w:pPr>
    </w:p>
    <w:p w14:paraId="7FEC2630" w14:textId="04DAC28D" w:rsidR="00346DA6" w:rsidRPr="006543BC" w:rsidRDefault="00346DA6" w:rsidP="009410EE">
      <w:pPr>
        <w:spacing w:line="276" w:lineRule="auto"/>
        <w:jc w:val="both"/>
        <w:rPr>
          <w:lang w:val="en-GB"/>
        </w:rPr>
      </w:pPr>
      <w:r w:rsidRPr="0026619A">
        <w:rPr>
          <w:color w:val="4472C4" w:themeColor="accent1"/>
          <w:lang w:val="en-GB"/>
        </w:rPr>
        <w:t>Recommendation</w:t>
      </w:r>
      <w:r w:rsidR="008436C1">
        <w:rPr>
          <w:color w:val="4472C4" w:themeColor="accent1"/>
          <w:lang w:val="en-GB"/>
        </w:rPr>
        <w:t xml:space="preserve"> </w:t>
      </w:r>
      <w:r w:rsidR="004B4242">
        <w:rPr>
          <w:color w:val="4472C4" w:themeColor="accent1"/>
          <w:lang w:val="en-GB"/>
        </w:rPr>
        <w:t>8</w:t>
      </w:r>
      <w:r w:rsidRPr="0026619A">
        <w:rPr>
          <w:color w:val="4472C4" w:themeColor="accent1"/>
          <w:lang w:val="en-GB"/>
        </w:rPr>
        <w:t>:</w:t>
      </w:r>
      <w:r w:rsidRPr="006543BC">
        <w:rPr>
          <w:lang w:val="en-GB"/>
        </w:rPr>
        <w:t xml:space="preserve"> The relationship between the Registrar, the courts and JACS has been described as ‘structurally awkward’ and may be an area where reform should be considered.</w:t>
      </w:r>
    </w:p>
    <w:p w14:paraId="2181F9F3" w14:textId="77777777" w:rsidR="00346DA6" w:rsidRPr="006543BC" w:rsidRDefault="00346DA6" w:rsidP="009410EE">
      <w:pPr>
        <w:spacing w:line="276" w:lineRule="auto"/>
        <w:jc w:val="both"/>
        <w:rPr>
          <w:lang w:val="en-GB"/>
        </w:rPr>
      </w:pPr>
    </w:p>
    <w:p w14:paraId="125E9228" w14:textId="6A85CD7C" w:rsidR="00346DA6" w:rsidRDefault="00346DA6" w:rsidP="009410EE">
      <w:pPr>
        <w:spacing w:line="276" w:lineRule="auto"/>
        <w:jc w:val="both"/>
        <w:rPr>
          <w:lang w:val="en-GB"/>
        </w:rPr>
      </w:pPr>
      <w:r w:rsidRPr="0026619A">
        <w:rPr>
          <w:color w:val="4472C4" w:themeColor="accent1"/>
          <w:lang w:val="en-GB"/>
        </w:rPr>
        <w:t>Recommendation</w:t>
      </w:r>
      <w:r w:rsidR="008436C1">
        <w:rPr>
          <w:color w:val="4472C4" w:themeColor="accent1"/>
          <w:lang w:val="en-GB"/>
        </w:rPr>
        <w:t xml:space="preserve"> </w:t>
      </w:r>
      <w:r w:rsidR="004B4242">
        <w:rPr>
          <w:color w:val="4472C4" w:themeColor="accent1"/>
          <w:lang w:val="en-GB"/>
        </w:rPr>
        <w:t>9</w:t>
      </w:r>
      <w:r w:rsidRPr="0026619A">
        <w:rPr>
          <w:color w:val="4472C4" w:themeColor="accent1"/>
          <w:lang w:val="en-GB"/>
        </w:rPr>
        <w:t>:</w:t>
      </w:r>
      <w:r w:rsidRPr="006543BC">
        <w:rPr>
          <w:lang w:val="en-GB"/>
        </w:rPr>
        <w:t xml:space="preserve"> The ACT review the </w:t>
      </w:r>
      <w:r w:rsidR="009B3039">
        <w:rPr>
          <w:lang w:val="en-GB"/>
        </w:rPr>
        <w:t xml:space="preserve">operation of the </w:t>
      </w:r>
      <w:r w:rsidRPr="006543BC">
        <w:rPr>
          <w:lang w:val="en-GB"/>
        </w:rPr>
        <w:t xml:space="preserve">Integrity Commission Act to see whether it is introducing unnecessary and costly redundancy with respect to providing oversight </w:t>
      </w:r>
      <w:r w:rsidR="00DA6E92">
        <w:rPr>
          <w:lang w:val="en-GB"/>
        </w:rPr>
        <w:t>of</w:t>
      </w:r>
      <w:r w:rsidRPr="006543BC">
        <w:rPr>
          <w:lang w:val="en-GB"/>
        </w:rPr>
        <w:t xml:space="preserve"> judicial officers. </w:t>
      </w:r>
    </w:p>
    <w:p w14:paraId="159ABB1B" w14:textId="77777777" w:rsidR="009410EE" w:rsidRPr="006543BC" w:rsidRDefault="009410EE" w:rsidP="009410EE">
      <w:pPr>
        <w:spacing w:line="276" w:lineRule="auto"/>
        <w:jc w:val="both"/>
        <w:rPr>
          <w:lang w:val="en-GB"/>
        </w:rPr>
      </w:pPr>
    </w:p>
    <w:p w14:paraId="6539F448" w14:textId="03A463F8" w:rsidR="00346DA6" w:rsidRDefault="00346DA6" w:rsidP="009410EE">
      <w:pPr>
        <w:spacing w:line="276" w:lineRule="auto"/>
        <w:jc w:val="both"/>
        <w:rPr>
          <w:lang w:val="en-GB"/>
        </w:rPr>
      </w:pPr>
      <w:r w:rsidRPr="0026619A">
        <w:rPr>
          <w:color w:val="4472C4" w:themeColor="accent1"/>
          <w:lang w:val="en-GB"/>
        </w:rPr>
        <w:t>Recommendation</w:t>
      </w:r>
      <w:r w:rsidR="008436C1">
        <w:rPr>
          <w:color w:val="4472C4" w:themeColor="accent1"/>
          <w:lang w:val="en-GB"/>
        </w:rPr>
        <w:t xml:space="preserve"> 1</w:t>
      </w:r>
      <w:r w:rsidR="004B4242">
        <w:rPr>
          <w:color w:val="4472C4" w:themeColor="accent1"/>
          <w:lang w:val="en-GB"/>
        </w:rPr>
        <w:t>0</w:t>
      </w:r>
      <w:r w:rsidRPr="0026619A">
        <w:rPr>
          <w:color w:val="4472C4" w:themeColor="accent1"/>
          <w:lang w:val="en-GB"/>
        </w:rPr>
        <w:t>:</w:t>
      </w:r>
      <w:r w:rsidRPr="006543BC">
        <w:rPr>
          <w:lang w:val="en-GB"/>
        </w:rPr>
        <w:t xml:space="preserve"> </w:t>
      </w:r>
      <w:r w:rsidR="00154853" w:rsidRPr="006543BC">
        <w:rPr>
          <w:lang w:val="en-GB"/>
        </w:rPr>
        <w:t>The</w:t>
      </w:r>
      <w:r w:rsidRPr="006543BC">
        <w:rPr>
          <w:lang w:val="en-GB"/>
        </w:rPr>
        <w:t xml:space="preserve"> </w:t>
      </w:r>
      <w:r w:rsidR="00BF6A0C">
        <w:rPr>
          <w:lang w:val="en-GB"/>
        </w:rPr>
        <w:t>e</w:t>
      </w:r>
      <w:r w:rsidRPr="006543BC">
        <w:rPr>
          <w:lang w:val="en-GB"/>
        </w:rPr>
        <w:t xml:space="preserve">xecutive </w:t>
      </w:r>
      <w:r w:rsidR="00DA6E92" w:rsidRPr="006543BC">
        <w:rPr>
          <w:lang w:val="en-GB"/>
        </w:rPr>
        <w:t xml:space="preserve">with the different parts of the </w:t>
      </w:r>
      <w:r w:rsidR="00DA6E92">
        <w:rPr>
          <w:lang w:val="en-GB"/>
        </w:rPr>
        <w:t>J</w:t>
      </w:r>
      <w:r w:rsidR="00DA6E92" w:rsidRPr="006543BC">
        <w:rPr>
          <w:lang w:val="en-GB"/>
        </w:rPr>
        <w:t xml:space="preserve">udiciary, namely, judicial officers, ACT Law Society and ACT Bar Association </w:t>
      </w:r>
      <w:r w:rsidR="0026567D" w:rsidRPr="006543BC">
        <w:rPr>
          <w:lang w:val="en-GB"/>
        </w:rPr>
        <w:t xml:space="preserve">separately </w:t>
      </w:r>
      <w:r w:rsidRPr="006543BC">
        <w:rPr>
          <w:lang w:val="en-GB"/>
        </w:rPr>
        <w:t>establish what appropriate time frames are for consultation</w:t>
      </w:r>
      <w:r w:rsidR="00A759FE">
        <w:rPr>
          <w:lang w:val="en-GB"/>
        </w:rPr>
        <w:t xml:space="preserve"> </w:t>
      </w:r>
      <w:r w:rsidRPr="006543BC">
        <w:rPr>
          <w:lang w:val="en-GB"/>
        </w:rPr>
        <w:t xml:space="preserve">and provide proposed legislation within those time frames. </w:t>
      </w:r>
    </w:p>
    <w:p w14:paraId="6B32E209" w14:textId="77777777" w:rsidR="00F0525F" w:rsidRDefault="00F0525F" w:rsidP="009410EE">
      <w:pPr>
        <w:spacing w:line="276" w:lineRule="auto"/>
        <w:jc w:val="both"/>
        <w:rPr>
          <w:lang w:val="en-GB"/>
        </w:rPr>
      </w:pPr>
    </w:p>
    <w:p w14:paraId="2C3EAD4C" w14:textId="34F672F8" w:rsidR="0081255E" w:rsidRPr="006C4C86" w:rsidRDefault="0081255E" w:rsidP="00B14019">
      <w:pPr>
        <w:spacing w:line="360" w:lineRule="auto"/>
        <w:jc w:val="both"/>
        <w:rPr>
          <w:b/>
          <w:bCs/>
          <w:color w:val="4472C4" w:themeColor="accent1"/>
          <w:lang w:val="en-GB"/>
        </w:rPr>
      </w:pPr>
      <w:r w:rsidRPr="006C4C86">
        <w:rPr>
          <w:b/>
          <w:bCs/>
          <w:color w:val="4472C4" w:themeColor="accent1"/>
          <w:lang w:val="en-GB"/>
        </w:rPr>
        <w:t>Governance</w:t>
      </w:r>
      <w:r w:rsidR="00263750">
        <w:rPr>
          <w:b/>
          <w:bCs/>
          <w:color w:val="4472C4" w:themeColor="accent1"/>
          <w:lang w:val="en-GB"/>
        </w:rPr>
        <w:t xml:space="preserve"> and ACT Futures</w:t>
      </w:r>
    </w:p>
    <w:p w14:paraId="7626D9CF" w14:textId="48416AB7" w:rsidR="00263750" w:rsidRDefault="00633EBC" w:rsidP="0081255E">
      <w:pPr>
        <w:pStyle w:val="Normal18J"/>
        <w:spacing w:line="276" w:lineRule="auto"/>
        <w:rPr>
          <w:lang w:val="en-US"/>
        </w:rPr>
      </w:pPr>
      <w:r>
        <w:t>T</w:t>
      </w:r>
      <w:r w:rsidR="00263750">
        <w:t xml:space="preserve">he intergovernmental context: the place and standing of the Australian Capital Territory. </w:t>
      </w:r>
      <w:r w:rsidR="00263750" w:rsidRPr="00994406">
        <w:rPr>
          <w:lang w:val="en-US"/>
        </w:rPr>
        <w:t>The ACT remains a</w:t>
      </w:r>
      <w:r w:rsidR="00263750">
        <w:rPr>
          <w:lang w:val="en-US"/>
        </w:rPr>
        <w:t>n unfulfilled</w:t>
      </w:r>
      <w:r w:rsidR="00263750" w:rsidRPr="00994406">
        <w:rPr>
          <w:lang w:val="en-US"/>
        </w:rPr>
        <w:t xml:space="preserve"> system of governance </w:t>
      </w:r>
      <w:r w:rsidR="00263750">
        <w:rPr>
          <w:lang w:val="en-US"/>
        </w:rPr>
        <w:t xml:space="preserve">in </w:t>
      </w:r>
      <w:r w:rsidR="00263750" w:rsidRPr="00994406">
        <w:rPr>
          <w:lang w:val="en-US"/>
        </w:rPr>
        <w:t xml:space="preserve">that </w:t>
      </w:r>
      <w:r w:rsidR="00263750">
        <w:rPr>
          <w:lang w:val="en-US"/>
        </w:rPr>
        <w:t>it continues to operate under rules</w:t>
      </w:r>
      <w:r w:rsidR="00263750" w:rsidRPr="00994406">
        <w:rPr>
          <w:lang w:val="en-US"/>
        </w:rPr>
        <w:t xml:space="preserve"> </w:t>
      </w:r>
      <w:r w:rsidR="00263750">
        <w:rPr>
          <w:lang w:val="en-US"/>
        </w:rPr>
        <w:t xml:space="preserve">set </w:t>
      </w:r>
      <w:r w:rsidR="00263750" w:rsidRPr="00994406">
        <w:rPr>
          <w:lang w:val="en-US"/>
        </w:rPr>
        <w:t xml:space="preserve">by another level of government </w:t>
      </w:r>
      <w:r w:rsidR="00105016">
        <w:rPr>
          <w:lang w:val="en-US"/>
        </w:rPr>
        <w:t>with</w:t>
      </w:r>
      <w:r w:rsidR="00263750" w:rsidRPr="00994406">
        <w:rPr>
          <w:lang w:val="en-US"/>
        </w:rPr>
        <w:t xml:space="preserve"> lack of agreement on s</w:t>
      </w:r>
      <w:r w:rsidR="00263750">
        <w:rPr>
          <w:lang w:val="en-US"/>
        </w:rPr>
        <w:t>ome</w:t>
      </w:r>
      <w:r w:rsidR="00263750" w:rsidRPr="00994406">
        <w:rPr>
          <w:lang w:val="en-US"/>
        </w:rPr>
        <w:t xml:space="preserve"> </w:t>
      </w:r>
      <w:r w:rsidR="00263750">
        <w:rPr>
          <w:lang w:val="en-US"/>
        </w:rPr>
        <w:t>questions</w:t>
      </w:r>
      <w:r w:rsidR="00263750" w:rsidRPr="00994406">
        <w:rPr>
          <w:lang w:val="en-US"/>
        </w:rPr>
        <w:t xml:space="preserve">. </w:t>
      </w:r>
    </w:p>
    <w:p w14:paraId="5A9389ED" w14:textId="549BDB63" w:rsidR="00263750" w:rsidRDefault="00263750" w:rsidP="0081255E">
      <w:pPr>
        <w:pStyle w:val="Normal18J"/>
        <w:spacing w:line="276" w:lineRule="auto"/>
        <w:rPr>
          <w:lang w:val="en-US"/>
        </w:rPr>
      </w:pPr>
    </w:p>
    <w:p w14:paraId="73C0F4E7" w14:textId="2C76DDA1" w:rsidR="004B4242" w:rsidRDefault="004B4242" w:rsidP="004B4242">
      <w:pPr>
        <w:spacing w:line="276" w:lineRule="auto"/>
        <w:jc w:val="both"/>
      </w:pPr>
      <w:r w:rsidRPr="00164E46">
        <w:rPr>
          <w:color w:val="4472C4" w:themeColor="accent1"/>
          <w:lang w:val="en-GB"/>
        </w:rPr>
        <w:t>Recommendation</w:t>
      </w:r>
      <w:r>
        <w:rPr>
          <w:color w:val="4472C4" w:themeColor="accent1"/>
          <w:lang w:val="en-GB"/>
        </w:rPr>
        <w:t xml:space="preserve"> 11</w:t>
      </w:r>
      <w:r w:rsidRPr="00164E46">
        <w:rPr>
          <w:color w:val="4472C4" w:themeColor="accent1"/>
          <w:lang w:val="en-GB"/>
        </w:rPr>
        <w:t xml:space="preserve">: </w:t>
      </w:r>
      <w:r w:rsidRPr="00B11ADA">
        <w:t>The Officers of the Legislative Assembly should be profiled on its website.</w:t>
      </w:r>
      <w:r>
        <w:t xml:space="preserve"> </w:t>
      </w:r>
    </w:p>
    <w:p w14:paraId="7A3C4AF0" w14:textId="77777777" w:rsidR="004B4242" w:rsidRDefault="004B4242" w:rsidP="0081255E">
      <w:pPr>
        <w:pStyle w:val="Normal18J"/>
        <w:spacing w:line="276" w:lineRule="auto"/>
        <w:rPr>
          <w:lang w:val="en-US"/>
        </w:rPr>
      </w:pPr>
    </w:p>
    <w:p w14:paraId="19B95820" w14:textId="00E7844B" w:rsidR="00376994" w:rsidRDefault="00376994" w:rsidP="0081255E">
      <w:pPr>
        <w:pStyle w:val="Normal18J"/>
        <w:spacing w:line="276" w:lineRule="auto"/>
        <w:rPr>
          <w:lang w:val="en-US" w:eastAsia="ja-JP"/>
        </w:rPr>
      </w:pPr>
      <w:r w:rsidRPr="00B13E4A">
        <w:rPr>
          <w:color w:val="4472C4" w:themeColor="accent1"/>
          <w:lang w:val="en-US" w:eastAsia="ja-JP"/>
        </w:rPr>
        <w:lastRenderedPageBreak/>
        <w:t>Recommendation</w:t>
      </w:r>
      <w:r w:rsidR="008436C1">
        <w:rPr>
          <w:color w:val="4472C4" w:themeColor="accent1"/>
          <w:lang w:val="en-US" w:eastAsia="ja-JP"/>
        </w:rPr>
        <w:t xml:space="preserve"> 1</w:t>
      </w:r>
      <w:r w:rsidR="004B4242">
        <w:rPr>
          <w:color w:val="4472C4" w:themeColor="accent1"/>
          <w:lang w:val="en-US" w:eastAsia="ja-JP"/>
        </w:rPr>
        <w:t>2</w:t>
      </w:r>
      <w:r w:rsidRPr="00B13E4A">
        <w:rPr>
          <w:color w:val="4472C4" w:themeColor="accent1"/>
          <w:lang w:val="en-US" w:eastAsia="ja-JP"/>
        </w:rPr>
        <w:t>:</w:t>
      </w:r>
      <w:r>
        <w:rPr>
          <w:lang w:val="en-US" w:eastAsia="ja-JP"/>
        </w:rPr>
        <w:t xml:space="preserve"> </w:t>
      </w:r>
      <w:r w:rsidR="00633EBC">
        <w:rPr>
          <w:lang w:val="en-US" w:eastAsia="ja-JP"/>
        </w:rPr>
        <w:t xml:space="preserve">A priority issue for the Executive is </w:t>
      </w:r>
      <w:r w:rsidR="00F868D0">
        <w:rPr>
          <w:lang w:val="en-US" w:eastAsia="ja-JP"/>
        </w:rPr>
        <w:t xml:space="preserve">to address </w:t>
      </w:r>
      <w:r w:rsidR="00633EBC">
        <w:rPr>
          <w:lang w:val="en-US" w:eastAsia="ja-JP"/>
        </w:rPr>
        <w:t xml:space="preserve">the continuing shortfall in representative capacity. </w:t>
      </w:r>
      <w:r>
        <w:rPr>
          <w:lang w:val="en-US" w:eastAsia="ja-JP"/>
        </w:rPr>
        <w:t>The</w:t>
      </w:r>
      <w:r w:rsidR="00633EBC">
        <w:rPr>
          <w:lang w:val="en-US" w:eastAsia="ja-JP"/>
        </w:rPr>
        <w:t xml:space="preserve"> </w:t>
      </w:r>
      <w:r>
        <w:rPr>
          <w:lang w:val="en-US" w:eastAsia="ja-JP"/>
        </w:rPr>
        <w:t xml:space="preserve">two </w:t>
      </w:r>
      <w:r w:rsidR="00D76888">
        <w:rPr>
          <w:lang w:val="en-US" w:eastAsia="ja-JP"/>
        </w:rPr>
        <w:t xml:space="preserve">main </w:t>
      </w:r>
      <w:r>
        <w:rPr>
          <w:lang w:val="en-US" w:eastAsia="ja-JP"/>
        </w:rPr>
        <w:t xml:space="preserve">alternatives </w:t>
      </w:r>
      <w:r w:rsidR="00FF54DA">
        <w:rPr>
          <w:lang w:val="en-US" w:eastAsia="ja-JP"/>
        </w:rPr>
        <w:t xml:space="preserve">are </w:t>
      </w:r>
      <w:r>
        <w:rPr>
          <w:lang w:val="en-US" w:eastAsia="ja-JP"/>
        </w:rPr>
        <w:t>either to increase the number of MLAs and Ministers (as recommended</w:t>
      </w:r>
      <w:r w:rsidR="00202618">
        <w:rPr>
          <w:lang w:val="en-US" w:eastAsia="ja-JP"/>
        </w:rPr>
        <w:t xml:space="preserve"> by previous reviews</w:t>
      </w:r>
      <w:r>
        <w:rPr>
          <w:lang w:val="en-US" w:eastAsia="ja-JP"/>
        </w:rPr>
        <w:t xml:space="preserve">) </w:t>
      </w:r>
      <w:r w:rsidR="00BA08FF">
        <w:rPr>
          <w:lang w:val="en-US" w:eastAsia="ja-JP"/>
        </w:rPr>
        <w:t xml:space="preserve">which can be accomplished within the existing legislation; </w:t>
      </w:r>
      <w:r>
        <w:rPr>
          <w:lang w:val="en-US" w:eastAsia="ja-JP"/>
        </w:rPr>
        <w:t>or to reassign functions and responsibilities within a new structure</w:t>
      </w:r>
      <w:r w:rsidR="00BA08FF">
        <w:rPr>
          <w:lang w:val="en-US" w:eastAsia="ja-JP"/>
        </w:rPr>
        <w:t>, which would involve reviewing the legislation and the appointment of an expert reference group to undertake the task</w:t>
      </w:r>
      <w:r>
        <w:rPr>
          <w:lang w:val="en-US" w:eastAsia="ja-JP"/>
        </w:rPr>
        <w:t>.</w:t>
      </w:r>
    </w:p>
    <w:p w14:paraId="2C08A8DC" w14:textId="6342C634" w:rsidR="00376ACC" w:rsidRDefault="00376ACC" w:rsidP="0081255E">
      <w:pPr>
        <w:pStyle w:val="Normal18J"/>
        <w:spacing w:line="276" w:lineRule="auto"/>
        <w:rPr>
          <w:lang w:val="en-US" w:eastAsia="ja-JP"/>
        </w:rPr>
      </w:pPr>
    </w:p>
    <w:p w14:paraId="13BAA145" w14:textId="1B9C0294" w:rsidR="00376ACC" w:rsidRDefault="00376ACC" w:rsidP="00376ACC">
      <w:pPr>
        <w:spacing w:line="276" w:lineRule="auto"/>
        <w:jc w:val="both"/>
      </w:pPr>
      <w:r w:rsidRPr="00B13E4A">
        <w:rPr>
          <w:color w:val="4472C4" w:themeColor="accent1"/>
        </w:rPr>
        <w:t>Recommendation</w:t>
      </w:r>
      <w:r w:rsidR="008436C1">
        <w:rPr>
          <w:color w:val="4472C4" w:themeColor="accent1"/>
        </w:rPr>
        <w:t xml:space="preserve"> 1</w:t>
      </w:r>
      <w:r w:rsidR="004B4242">
        <w:rPr>
          <w:color w:val="4472C4" w:themeColor="accent1"/>
        </w:rPr>
        <w:t>3</w:t>
      </w:r>
      <w:r w:rsidRPr="00B13E4A">
        <w:rPr>
          <w:color w:val="4472C4" w:themeColor="accent1"/>
        </w:rPr>
        <w:t>:</w:t>
      </w:r>
      <w:r>
        <w:t xml:space="preserve"> In view of the Executive’s </w:t>
      </w:r>
      <w:r w:rsidR="00F56BF7">
        <w:t xml:space="preserve">interest </w:t>
      </w:r>
      <w:r>
        <w:t xml:space="preserve">in deliberative engagement, the potential for a citizens’ council should be explored as a </w:t>
      </w:r>
      <w:r w:rsidR="00C05AB6">
        <w:t xml:space="preserve">structure that </w:t>
      </w:r>
      <w:r>
        <w:t>complement</w:t>
      </w:r>
      <w:r w:rsidR="00C05AB6">
        <w:t xml:space="preserve">s and supplements </w:t>
      </w:r>
      <w:r>
        <w:t>the Legislative Assembly</w:t>
      </w:r>
      <w:r w:rsidR="00C05AB6">
        <w:t xml:space="preserve"> (variation</w:t>
      </w:r>
      <w:r w:rsidR="00BB12D3">
        <w:t>s</w:t>
      </w:r>
      <w:r w:rsidR="00C05AB6">
        <w:t xml:space="preserve"> being either </w:t>
      </w:r>
      <w:r>
        <w:t>electorate-based mechanisms for providing a</w:t>
      </w:r>
      <w:r w:rsidR="00F56BF7">
        <w:t xml:space="preserve"> </w:t>
      </w:r>
      <w:r>
        <w:t>real recognition</w:t>
      </w:r>
      <w:r w:rsidR="00C05AB6">
        <w:t xml:space="preserve"> or a local government focus)</w:t>
      </w:r>
      <w:r>
        <w:t xml:space="preserve">. </w:t>
      </w:r>
    </w:p>
    <w:p w14:paraId="6072E10C" w14:textId="472CD430" w:rsidR="00071121" w:rsidRPr="005812A1" w:rsidRDefault="005812A1" w:rsidP="00C739D7">
      <w:pPr>
        <w:spacing w:before="240" w:after="240" w:line="276" w:lineRule="auto"/>
        <w:jc w:val="both"/>
        <w:outlineLvl w:val="0"/>
        <w:rPr>
          <w:b/>
          <w:color w:val="4472C4" w:themeColor="accent1"/>
          <w:sz w:val="28"/>
          <w:szCs w:val="28"/>
        </w:rPr>
      </w:pPr>
      <w:r w:rsidRPr="005812A1">
        <w:rPr>
          <w:b/>
          <w:color w:val="4472C4" w:themeColor="accent1"/>
          <w:sz w:val="28"/>
          <w:szCs w:val="28"/>
        </w:rPr>
        <w:t xml:space="preserve">Executive Branch </w:t>
      </w:r>
    </w:p>
    <w:p w14:paraId="5EC6FD44" w14:textId="16CF3A7B" w:rsidR="00AF0A36" w:rsidRDefault="006E2A37" w:rsidP="009410EE">
      <w:pPr>
        <w:spacing w:line="276" w:lineRule="auto"/>
        <w:jc w:val="both"/>
      </w:pPr>
      <w:r w:rsidRPr="006E2A37">
        <w:t xml:space="preserve">The </w:t>
      </w:r>
      <w:r w:rsidR="009B5349">
        <w:t>E</w:t>
      </w:r>
      <w:r w:rsidRPr="006E2A37">
        <w:t xml:space="preserve">xecutive </w:t>
      </w:r>
      <w:r w:rsidR="009B5349">
        <w:t>B</w:t>
      </w:r>
      <w:r>
        <w:t>ranch has been distinguished by t</w:t>
      </w:r>
      <w:r w:rsidR="0025293E">
        <w:t>hree</w:t>
      </w:r>
      <w:r>
        <w:t xml:space="preserve"> features</w:t>
      </w:r>
      <w:r w:rsidR="009B5349">
        <w:t xml:space="preserve">: an integrated ACTPS structure with a strong central agency presiding; </w:t>
      </w:r>
      <w:r w:rsidR="009B4A35">
        <w:t xml:space="preserve">a set of </w:t>
      </w:r>
      <w:r w:rsidR="0025293E">
        <w:t>d</w:t>
      </w:r>
      <w:r w:rsidR="009B4A35">
        <w:t>irectorates that have evolve</w:t>
      </w:r>
      <w:r w:rsidR="009B4A35">
        <w:rPr>
          <w:lang w:val="en-US"/>
        </w:rPr>
        <w:t>d</w:t>
      </w:r>
      <w:r w:rsidR="0025293E">
        <w:rPr>
          <w:lang w:val="en-US"/>
        </w:rPr>
        <w:t xml:space="preserve"> in the 2010s</w:t>
      </w:r>
      <w:r w:rsidR="009B4A35">
        <w:rPr>
          <w:lang w:val="en-US"/>
        </w:rPr>
        <w:t xml:space="preserve">; </w:t>
      </w:r>
      <w:r w:rsidR="009B5349">
        <w:t>and</w:t>
      </w:r>
      <w:r>
        <w:t xml:space="preserve"> a</w:t>
      </w:r>
      <w:r w:rsidR="006C3987">
        <w:t xml:space="preserve">n expanded </w:t>
      </w:r>
      <w:r w:rsidR="0025293E">
        <w:t>Ministry</w:t>
      </w:r>
      <w:r w:rsidR="00154853">
        <w:t xml:space="preserve"> that</w:t>
      </w:r>
      <w:r w:rsidR="009B5349">
        <w:t xml:space="preserve"> commenced in 2016 with the 9</w:t>
      </w:r>
      <w:r w:rsidR="009B5349" w:rsidRPr="009B5349">
        <w:rPr>
          <w:vertAlign w:val="superscript"/>
        </w:rPr>
        <w:t>th</w:t>
      </w:r>
      <w:r w:rsidR="009B5349">
        <w:t xml:space="preserve"> Assembly</w:t>
      </w:r>
      <w:r w:rsidR="00066AE9">
        <w:t xml:space="preserve">. </w:t>
      </w:r>
    </w:p>
    <w:p w14:paraId="12EF06CD" w14:textId="77777777" w:rsidR="00AF0A36" w:rsidRDefault="00AF0A36" w:rsidP="009410EE">
      <w:pPr>
        <w:spacing w:line="276" w:lineRule="auto"/>
        <w:jc w:val="both"/>
      </w:pPr>
    </w:p>
    <w:p w14:paraId="76E4ABEE" w14:textId="34331650" w:rsidR="00AF0A36" w:rsidRPr="00C80DDE" w:rsidRDefault="00474953" w:rsidP="00C37270">
      <w:pPr>
        <w:pStyle w:val="Normal18J"/>
        <w:rPr>
          <w:b/>
          <w:bCs/>
          <w:color w:val="4472C4" w:themeColor="accent1"/>
        </w:rPr>
      </w:pPr>
      <w:r w:rsidRPr="00C80DDE">
        <w:rPr>
          <w:b/>
          <w:bCs/>
          <w:color w:val="4472C4" w:themeColor="accent1"/>
        </w:rPr>
        <w:t>Ministry</w:t>
      </w:r>
    </w:p>
    <w:p w14:paraId="6874195B" w14:textId="1A0E364C" w:rsidR="00F959CF" w:rsidRDefault="009B5349" w:rsidP="00D132AF">
      <w:pPr>
        <w:spacing w:after="120" w:line="276" w:lineRule="auto"/>
        <w:jc w:val="both"/>
      </w:pPr>
      <w:r>
        <w:t xml:space="preserve">A fundamental weakness in the early terms of </w:t>
      </w:r>
      <w:r w:rsidR="004571A1">
        <w:t xml:space="preserve">ACT </w:t>
      </w:r>
      <w:r>
        <w:t xml:space="preserve">government was the small size of the </w:t>
      </w:r>
      <w:r w:rsidR="003F4B62">
        <w:t>Ministry</w:t>
      </w:r>
      <w:r>
        <w:t xml:space="preserve">, with five (at times four) </w:t>
      </w:r>
      <w:r w:rsidR="00057133">
        <w:t>M</w:t>
      </w:r>
      <w:r>
        <w:t xml:space="preserve">inisters shouldering the complex requirements of a city state. The five ministers under the 17-member Legislative Assembly, rose to seven under the 25-member Assembly with an eighth minister appointed in 2018, </w:t>
      </w:r>
      <w:r w:rsidR="00BA08FF">
        <w:t>and following a</w:t>
      </w:r>
      <w:r>
        <w:t xml:space="preserve"> redu</w:t>
      </w:r>
      <w:r w:rsidR="00BA08FF">
        <w:t>ction</w:t>
      </w:r>
      <w:r w:rsidR="00244401">
        <w:t xml:space="preserve"> </w:t>
      </w:r>
      <w:r>
        <w:t xml:space="preserve">to seven in mid-2019 </w:t>
      </w:r>
      <w:r w:rsidR="00105016">
        <w:t>after</w:t>
      </w:r>
      <w:r>
        <w:t xml:space="preserve"> the resignation of a </w:t>
      </w:r>
      <w:r w:rsidR="00057133">
        <w:t>M</w:t>
      </w:r>
      <w:r>
        <w:t>inister</w:t>
      </w:r>
      <w:r w:rsidR="005660CE">
        <w:t xml:space="preserve">, </w:t>
      </w:r>
      <w:r w:rsidR="00BA08FF">
        <w:t>there</w:t>
      </w:r>
      <w:r w:rsidR="00057133">
        <w:t xml:space="preserve"> </w:t>
      </w:r>
      <w:r w:rsidR="00105016">
        <w:t>are</w:t>
      </w:r>
      <w:r w:rsidR="005660CE">
        <w:t xml:space="preserve"> now eight again</w:t>
      </w:r>
      <w:r>
        <w:t xml:space="preserve">. </w:t>
      </w:r>
    </w:p>
    <w:p w14:paraId="2D5B3D1B" w14:textId="3108265A" w:rsidR="003C69E3" w:rsidRPr="00B113A8" w:rsidRDefault="00F959CF" w:rsidP="00D132AF">
      <w:pPr>
        <w:spacing w:after="120" w:line="276" w:lineRule="auto"/>
        <w:jc w:val="both"/>
      </w:pPr>
      <w:r>
        <w:t xml:space="preserve">A standard limitation of the smaller ministry </w:t>
      </w:r>
      <w:r w:rsidR="00A22893">
        <w:t>h</w:t>
      </w:r>
      <w:r>
        <w:t>as</w:t>
      </w:r>
      <w:r w:rsidR="00A22893">
        <w:t xml:space="preserve"> been</w:t>
      </w:r>
      <w:r>
        <w:t xml:space="preserve"> the number and range of demands on </w:t>
      </w:r>
      <w:r w:rsidR="00C41474">
        <w:t>m</w:t>
      </w:r>
      <w:r>
        <w:t xml:space="preserve">inisters. Interviews indicate that a larger ministry has not </w:t>
      </w:r>
      <w:r w:rsidR="00ED5ACC">
        <w:t xml:space="preserve">necessarily </w:t>
      </w:r>
      <w:r>
        <w:t xml:space="preserve">solved the </w:t>
      </w:r>
      <w:r w:rsidR="00154853">
        <w:t>workload</w:t>
      </w:r>
      <w:r>
        <w:t xml:space="preserve"> questions</w:t>
      </w:r>
      <w:r w:rsidR="002D49F9">
        <w:t xml:space="preserve"> as</w:t>
      </w:r>
      <w:r w:rsidR="00966CAF">
        <w:t xml:space="preserve"> </w:t>
      </w:r>
      <w:r w:rsidR="00C41474">
        <w:t>m</w:t>
      </w:r>
      <w:r w:rsidR="006E61DF">
        <w:t xml:space="preserve">inisters have </w:t>
      </w:r>
      <w:r w:rsidR="004571A1">
        <w:t>numerous and diverse</w:t>
      </w:r>
      <w:r w:rsidR="006E61DF">
        <w:t xml:space="preserve"> portfolios</w:t>
      </w:r>
      <w:r w:rsidR="00807E13">
        <w:t xml:space="preserve"> (Table 1)</w:t>
      </w:r>
      <w:r w:rsidR="002D49F9">
        <w:t>.</w:t>
      </w:r>
      <w:r w:rsidR="00C82867">
        <w:rPr>
          <w:rStyle w:val="FootnoteReference"/>
        </w:rPr>
        <w:footnoteReference w:id="5"/>
      </w:r>
      <w:r w:rsidR="002D49F9">
        <w:t xml:space="preserve"> </w:t>
      </w:r>
      <w:r w:rsidR="003C69E3">
        <w:t xml:space="preserve">Two principles are important in developing ministries: the first </w:t>
      </w:r>
      <w:r w:rsidR="00376757">
        <w:t>relate</w:t>
      </w:r>
      <w:r w:rsidR="003C69E3">
        <w:t xml:space="preserve">s </w:t>
      </w:r>
      <w:r w:rsidR="00376757">
        <w:t xml:space="preserve">to </w:t>
      </w:r>
      <w:r w:rsidR="003C69E3">
        <w:t xml:space="preserve">purpose; the second </w:t>
      </w:r>
      <w:r w:rsidR="00376757">
        <w:t>to</w:t>
      </w:r>
      <w:r w:rsidR="003C69E3">
        <w:t xml:space="preserve"> the client. Two models are discernible: one focuses on primary subject area portfolios, which means that ministers may conventionally have one portfolio (or possibly two); the other is to acknowledge a range of specific clients and specialised fields of public interest. The first can achieve coordination by internalising closely related fields in one portfolio. The second has to find other means of coordination. </w:t>
      </w:r>
      <w:r w:rsidR="003C69E3" w:rsidRPr="00C751B5">
        <w:t>In practice</w:t>
      </w:r>
      <w:r w:rsidR="003C69E3">
        <w:t xml:space="preserve">, there may be a combination of both models. At the national level, another principle has also become significant. </w:t>
      </w:r>
      <w:r w:rsidR="001E2F93">
        <w:t>An</w:t>
      </w:r>
      <w:r w:rsidR="003C69E3" w:rsidRPr="00D21058">
        <w:t xml:space="preserve"> overall trend </w:t>
      </w:r>
      <w:r w:rsidR="003C69E3">
        <w:t>in</w:t>
      </w:r>
      <w:r w:rsidR="003C69E3" w:rsidRPr="00D21058">
        <w:t xml:space="preserve"> OECD countries </w:t>
      </w:r>
      <w:r w:rsidR="003C69E3">
        <w:t>has</w:t>
      </w:r>
      <w:r w:rsidR="003C69E3" w:rsidRPr="00D21058">
        <w:t xml:space="preserve"> </w:t>
      </w:r>
      <w:r w:rsidR="003C69E3">
        <w:t xml:space="preserve">been </w:t>
      </w:r>
      <w:r w:rsidR="003C69E3" w:rsidRPr="00D21058">
        <w:t>from single-focus siloed departments with specialis</w:t>
      </w:r>
      <w:r w:rsidR="003C69E3">
        <w:t>ed</w:t>
      </w:r>
      <w:r w:rsidR="003C69E3" w:rsidRPr="00D21058">
        <w:t xml:space="preserve"> skills and approaches (</w:t>
      </w:r>
      <w:r w:rsidR="003C69E3">
        <w:t>e.g.</w:t>
      </w:r>
      <w:r w:rsidR="003C69E3" w:rsidRPr="00D21058">
        <w:t xml:space="preserve"> defence</w:t>
      </w:r>
      <w:r w:rsidR="003C69E3">
        <w:t xml:space="preserve"> and </w:t>
      </w:r>
      <w:r w:rsidR="003C69E3" w:rsidRPr="00D21058">
        <w:t xml:space="preserve">justice) </w:t>
      </w:r>
      <w:r w:rsidR="003C69E3">
        <w:t>‘</w:t>
      </w:r>
      <w:r w:rsidR="003C69E3" w:rsidRPr="00D21058">
        <w:t>towards non-siloed approaches, combining connected functions (as with agriculture, environment and business)</w:t>
      </w:r>
      <w:r w:rsidR="003C69E3">
        <w:t>’ (</w:t>
      </w:r>
      <w:r w:rsidR="003C69E3" w:rsidRPr="00EE036E">
        <w:t>White and Dunleavy</w:t>
      </w:r>
      <w:r w:rsidR="003C69E3">
        <w:t xml:space="preserve"> 2010,</w:t>
      </w:r>
      <w:r w:rsidR="003C69E3" w:rsidRPr="00EE036E">
        <w:t xml:space="preserve"> 25</w:t>
      </w:r>
      <w:r w:rsidR="003C69E3">
        <w:t>).</w:t>
      </w:r>
      <w:r w:rsidR="003C69E3" w:rsidRPr="00D21058">
        <w:rPr>
          <w:sz w:val="28"/>
          <w:szCs w:val="28"/>
        </w:rPr>
        <w:t xml:space="preserve"> </w:t>
      </w:r>
    </w:p>
    <w:p w14:paraId="2043FF70" w14:textId="0785D926" w:rsidR="003C69E3" w:rsidRDefault="003C69E3" w:rsidP="00D132AF">
      <w:pPr>
        <w:pStyle w:val="NormalWeb"/>
        <w:spacing w:before="0" w:beforeAutospacing="0" w:after="120" w:afterAutospacing="0" w:line="276" w:lineRule="auto"/>
        <w:jc w:val="both"/>
        <w:rPr>
          <w:lang w:eastAsia="en-GB"/>
        </w:rPr>
      </w:pPr>
      <w:r w:rsidRPr="0083205E">
        <w:lastRenderedPageBreak/>
        <w:t xml:space="preserve">The expansion in the number of ACT Ministers seems to have been associated with more specification. The average number of portfolios is higher than other states and the Northern Territory. While the current position to some extent reflects the reversion to a seven-minister cabinet, there are nevertheless three Ministers with six portfolio assignments, one has five, two have four, and the newest Minister, three. The only competitor for numerous portfolios would appear to be the NT </w:t>
      </w:r>
      <w:r w:rsidR="00A13AE4">
        <w:t>C</w:t>
      </w:r>
      <w:r w:rsidRPr="0083205E">
        <w:t xml:space="preserve">hief </w:t>
      </w:r>
      <w:r w:rsidR="00A13AE4">
        <w:t>M</w:t>
      </w:r>
      <w:r w:rsidRPr="0083205E">
        <w:t xml:space="preserve">inister. NSW and Qld keep their allocations to under four portfolios, as does Victoria with several exceptions. Tasmania and WA have more ministers with four or five portfolios. Most ministers in NSW have a single portfolio (but they may be conglomerates of fields that elsewhere are differentiated). </w:t>
      </w:r>
    </w:p>
    <w:p w14:paraId="4FA99CD4" w14:textId="77777777" w:rsidR="00183365" w:rsidRDefault="00183365" w:rsidP="006A621D">
      <w:pPr>
        <w:spacing w:after="120"/>
      </w:pPr>
    </w:p>
    <w:p w14:paraId="437BF63B" w14:textId="77777777" w:rsidR="00183365" w:rsidRDefault="00183365" w:rsidP="006A621D">
      <w:pPr>
        <w:spacing w:after="120"/>
      </w:pPr>
    </w:p>
    <w:p w14:paraId="32792166" w14:textId="77777777" w:rsidR="00183365" w:rsidRDefault="00183365" w:rsidP="006A621D">
      <w:pPr>
        <w:spacing w:after="120"/>
      </w:pPr>
    </w:p>
    <w:p w14:paraId="62B23CC6" w14:textId="05A1FD25" w:rsidR="00AF0A36" w:rsidRDefault="004142F6" w:rsidP="006A621D">
      <w:pPr>
        <w:spacing w:after="120"/>
      </w:pPr>
      <w:r>
        <w:t>Table 1</w:t>
      </w:r>
      <w:r>
        <w:tab/>
      </w:r>
      <w:r w:rsidR="000D14CB">
        <w:t xml:space="preserve">                   </w:t>
      </w:r>
      <w:r w:rsidR="005439F7">
        <w:t xml:space="preserve"> </w:t>
      </w:r>
      <w:r w:rsidR="00AF0A36">
        <w:t>Ministers’ Portfolios and Directorates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94"/>
        <w:gridCol w:w="4188"/>
        <w:gridCol w:w="3628"/>
      </w:tblGrid>
      <w:tr w:rsidR="00DA1E9D" w14:paraId="3CF5784B" w14:textId="77777777" w:rsidTr="000C0D0E">
        <w:tc>
          <w:tcPr>
            <w:tcW w:w="1194" w:type="dxa"/>
          </w:tcPr>
          <w:p w14:paraId="6AD25A16" w14:textId="23B68C4E" w:rsidR="00DA1E9D" w:rsidRPr="009C6000" w:rsidRDefault="00DA1E9D" w:rsidP="005622FF">
            <w:pPr>
              <w:rPr>
                <w:sz w:val="22"/>
              </w:rPr>
            </w:pPr>
            <w:r w:rsidRPr="00B8655C">
              <w:rPr>
                <w:sz w:val="22"/>
              </w:rPr>
              <w:t>Minister</w:t>
            </w:r>
            <w:r w:rsidR="009C6000">
              <w:rPr>
                <w:sz w:val="22"/>
              </w:rPr>
              <w:t xml:space="preserve"> </w:t>
            </w:r>
            <w:r w:rsidRPr="009C6000">
              <w:rPr>
                <w:sz w:val="21"/>
                <w:szCs w:val="21"/>
              </w:rPr>
              <w:t>(</w:t>
            </w:r>
            <w:r w:rsidR="009C6000" w:rsidRPr="009C6000">
              <w:rPr>
                <w:sz w:val="21"/>
                <w:szCs w:val="21"/>
              </w:rPr>
              <w:t>Portfolios)</w:t>
            </w:r>
          </w:p>
        </w:tc>
        <w:tc>
          <w:tcPr>
            <w:tcW w:w="4188" w:type="dxa"/>
          </w:tcPr>
          <w:p w14:paraId="22D6E159" w14:textId="7BF813C5" w:rsidR="00DA1E9D" w:rsidRPr="00B8655C" w:rsidRDefault="00DA1E9D" w:rsidP="00CD2DB4">
            <w:pPr>
              <w:rPr>
                <w:sz w:val="22"/>
              </w:rPr>
            </w:pPr>
            <w:r w:rsidRPr="00B8655C">
              <w:rPr>
                <w:sz w:val="22"/>
              </w:rPr>
              <w:t>Portfolios</w:t>
            </w:r>
          </w:p>
        </w:tc>
        <w:tc>
          <w:tcPr>
            <w:tcW w:w="3628" w:type="dxa"/>
          </w:tcPr>
          <w:p w14:paraId="288FE7C7" w14:textId="430E2EAD" w:rsidR="00DA1E9D" w:rsidRPr="00B8655C" w:rsidRDefault="00DA1E9D" w:rsidP="00CD2DB4">
            <w:pPr>
              <w:rPr>
                <w:sz w:val="22"/>
              </w:rPr>
            </w:pPr>
            <w:r w:rsidRPr="00B8655C">
              <w:rPr>
                <w:sz w:val="22"/>
              </w:rPr>
              <w:t>Directorate</w:t>
            </w:r>
            <w:r>
              <w:rPr>
                <w:sz w:val="22"/>
              </w:rPr>
              <w:t>s (</w:t>
            </w:r>
            <w:r w:rsidR="00B9518F">
              <w:rPr>
                <w:sz w:val="22"/>
              </w:rPr>
              <w:t>N</w:t>
            </w:r>
            <w:r w:rsidR="00601C1C">
              <w:rPr>
                <w:sz w:val="22"/>
              </w:rPr>
              <w:t xml:space="preserve"> per Minister</w:t>
            </w:r>
            <w:r>
              <w:rPr>
                <w:sz w:val="22"/>
              </w:rPr>
              <w:t>)</w:t>
            </w:r>
          </w:p>
        </w:tc>
      </w:tr>
      <w:tr w:rsidR="00DA1E9D" w14:paraId="5D7B4D71" w14:textId="77777777" w:rsidTr="000C0D0E">
        <w:tc>
          <w:tcPr>
            <w:tcW w:w="1194" w:type="dxa"/>
          </w:tcPr>
          <w:p w14:paraId="1E0F40B7" w14:textId="77777777" w:rsidR="00DA1E9D" w:rsidRDefault="00DA1E9D" w:rsidP="00770635">
            <w:pPr>
              <w:rPr>
                <w:sz w:val="22"/>
              </w:rPr>
            </w:pPr>
            <w:r w:rsidRPr="00B8655C">
              <w:rPr>
                <w:sz w:val="22"/>
              </w:rPr>
              <w:t>Andrew Barr</w:t>
            </w:r>
          </w:p>
          <w:p w14:paraId="3014AEDD" w14:textId="7955FBF4" w:rsidR="00DA1E9D" w:rsidRPr="00B8655C" w:rsidRDefault="00DA1E9D" w:rsidP="00770635">
            <w:pPr>
              <w:rPr>
                <w:sz w:val="22"/>
              </w:rPr>
            </w:pPr>
            <w:r>
              <w:rPr>
                <w:sz w:val="22"/>
              </w:rPr>
              <w:t>(6)</w:t>
            </w:r>
          </w:p>
        </w:tc>
        <w:tc>
          <w:tcPr>
            <w:tcW w:w="4188" w:type="dxa"/>
          </w:tcPr>
          <w:p w14:paraId="3C44E9B7" w14:textId="5E476CAF" w:rsidR="00DA1E9D" w:rsidRDefault="00DA1E9D" w:rsidP="00CD2DB4">
            <w:pPr>
              <w:rPr>
                <w:sz w:val="22"/>
              </w:rPr>
            </w:pPr>
            <w:r>
              <w:rPr>
                <w:sz w:val="22"/>
              </w:rPr>
              <w:t>Chie</w:t>
            </w:r>
            <w:r w:rsidR="00F959CF">
              <w:rPr>
                <w:sz w:val="22"/>
              </w:rPr>
              <w:t>f</w:t>
            </w:r>
            <w:r>
              <w:rPr>
                <w:sz w:val="22"/>
              </w:rPr>
              <w:t xml:space="preserve"> Minister</w:t>
            </w:r>
            <w:r w:rsidR="00BE73E8">
              <w:rPr>
                <w:sz w:val="22"/>
              </w:rPr>
              <w:t>*</w:t>
            </w:r>
          </w:p>
          <w:p w14:paraId="49FB249F" w14:textId="29A8655A" w:rsidR="00DA1E9D" w:rsidRPr="00B8655C" w:rsidRDefault="00DA1E9D" w:rsidP="00CD2DB4">
            <w:pPr>
              <w:rPr>
                <w:sz w:val="22"/>
              </w:rPr>
            </w:pPr>
            <w:r w:rsidRPr="00B8655C">
              <w:rPr>
                <w:sz w:val="22"/>
              </w:rPr>
              <w:t>Treasurer</w:t>
            </w:r>
            <w:r>
              <w:rPr>
                <w:sz w:val="22"/>
              </w:rPr>
              <w:t>*</w:t>
            </w:r>
          </w:p>
          <w:p w14:paraId="42B8D24F" w14:textId="77777777" w:rsidR="00DA1E9D" w:rsidRPr="00B8655C" w:rsidRDefault="00DA1E9D" w:rsidP="00CD2DB4">
            <w:pPr>
              <w:rPr>
                <w:sz w:val="22"/>
              </w:rPr>
            </w:pPr>
            <w:r w:rsidRPr="00B8655C">
              <w:rPr>
                <w:sz w:val="22"/>
              </w:rPr>
              <w:t>Minister for Social Inclusion and Equality</w:t>
            </w:r>
          </w:p>
          <w:p w14:paraId="476905C7" w14:textId="77777777" w:rsidR="00DA1E9D" w:rsidRPr="00B8655C" w:rsidRDefault="00DA1E9D" w:rsidP="00CD2DB4">
            <w:pPr>
              <w:rPr>
                <w:sz w:val="22"/>
              </w:rPr>
            </w:pPr>
            <w:r w:rsidRPr="00B8655C">
              <w:rPr>
                <w:sz w:val="22"/>
              </w:rPr>
              <w:t>Minister for Tertiary Education</w:t>
            </w:r>
          </w:p>
          <w:p w14:paraId="230F7E68" w14:textId="77777777" w:rsidR="00DA1E9D" w:rsidRPr="00B8655C" w:rsidRDefault="00DA1E9D" w:rsidP="00CD2DB4">
            <w:pPr>
              <w:rPr>
                <w:sz w:val="22"/>
              </w:rPr>
            </w:pPr>
            <w:r w:rsidRPr="00B8655C">
              <w:rPr>
                <w:sz w:val="22"/>
              </w:rPr>
              <w:t>Minister for Tourism and Special Events</w:t>
            </w:r>
          </w:p>
          <w:p w14:paraId="1D86938E" w14:textId="256AEEB6" w:rsidR="00DA1E9D" w:rsidRPr="00B8655C" w:rsidRDefault="00DA1E9D" w:rsidP="00CD2DB4">
            <w:pPr>
              <w:rPr>
                <w:sz w:val="22"/>
              </w:rPr>
            </w:pPr>
            <w:r w:rsidRPr="00B8655C">
              <w:rPr>
                <w:sz w:val="22"/>
              </w:rPr>
              <w:t>Minister for Trade, Industry and Investment</w:t>
            </w:r>
          </w:p>
        </w:tc>
        <w:tc>
          <w:tcPr>
            <w:tcW w:w="3628" w:type="dxa"/>
          </w:tcPr>
          <w:p w14:paraId="64793A29" w14:textId="208AF4B7" w:rsidR="00DA1E9D" w:rsidRPr="005439F7" w:rsidRDefault="00DA1E9D" w:rsidP="004632EE">
            <w:pPr>
              <w:pStyle w:val="NormalWeb"/>
              <w:spacing w:before="0" w:beforeAutospacing="0" w:after="0" w:afterAutospacing="0"/>
              <w:rPr>
                <w:sz w:val="22"/>
                <w:szCs w:val="22"/>
              </w:rPr>
            </w:pPr>
            <w:r w:rsidRPr="005439F7">
              <w:rPr>
                <w:sz w:val="22"/>
                <w:szCs w:val="22"/>
              </w:rPr>
              <w:t xml:space="preserve">Chief Minister, Treasury </w:t>
            </w:r>
            <w:r>
              <w:rPr>
                <w:sz w:val="22"/>
                <w:szCs w:val="22"/>
              </w:rPr>
              <w:t>&amp;</w:t>
            </w:r>
            <w:r w:rsidRPr="005439F7">
              <w:rPr>
                <w:sz w:val="22"/>
                <w:szCs w:val="22"/>
              </w:rPr>
              <w:t xml:space="preserve"> Economic Development </w:t>
            </w:r>
          </w:p>
          <w:p w14:paraId="4ED76BA7" w14:textId="187BD413" w:rsidR="00DA1E9D" w:rsidRPr="005439F7" w:rsidRDefault="00DA1E9D" w:rsidP="004632EE">
            <w:pPr>
              <w:pStyle w:val="NormalWeb"/>
              <w:spacing w:before="0" w:beforeAutospacing="0" w:after="0" w:afterAutospacing="0"/>
              <w:rPr>
                <w:sz w:val="22"/>
                <w:szCs w:val="22"/>
              </w:rPr>
            </w:pPr>
            <w:r w:rsidRPr="005439F7">
              <w:rPr>
                <w:sz w:val="22"/>
                <w:szCs w:val="22"/>
              </w:rPr>
              <w:t xml:space="preserve">Environment, Planning </w:t>
            </w:r>
            <w:r>
              <w:rPr>
                <w:sz w:val="22"/>
                <w:szCs w:val="22"/>
              </w:rPr>
              <w:t>&amp;</w:t>
            </w:r>
            <w:r w:rsidRPr="005439F7">
              <w:rPr>
                <w:sz w:val="22"/>
                <w:szCs w:val="22"/>
              </w:rPr>
              <w:t xml:space="preserve"> Sustainable Development</w:t>
            </w:r>
            <w:r>
              <w:rPr>
                <w:sz w:val="22"/>
                <w:szCs w:val="22"/>
              </w:rPr>
              <w:t xml:space="preserve"> (2)</w:t>
            </w:r>
          </w:p>
        </w:tc>
      </w:tr>
      <w:tr w:rsidR="00DA1E9D" w14:paraId="7442B67A" w14:textId="77777777" w:rsidTr="000C0D0E">
        <w:tc>
          <w:tcPr>
            <w:tcW w:w="1194" w:type="dxa"/>
          </w:tcPr>
          <w:p w14:paraId="25489671" w14:textId="77777777" w:rsidR="00DA1E9D" w:rsidRDefault="00DA1E9D" w:rsidP="00770635">
            <w:pPr>
              <w:rPr>
                <w:sz w:val="22"/>
              </w:rPr>
            </w:pPr>
            <w:r w:rsidRPr="00B8655C">
              <w:rPr>
                <w:sz w:val="22"/>
              </w:rPr>
              <w:t>Yvette Berry</w:t>
            </w:r>
          </w:p>
          <w:p w14:paraId="5E56BFDD" w14:textId="5848E95A" w:rsidR="00DA1E9D" w:rsidRPr="00B8655C" w:rsidRDefault="00DA1E9D" w:rsidP="00770635">
            <w:pPr>
              <w:rPr>
                <w:sz w:val="22"/>
              </w:rPr>
            </w:pPr>
            <w:r>
              <w:rPr>
                <w:sz w:val="22"/>
              </w:rPr>
              <w:t>(5)</w:t>
            </w:r>
          </w:p>
        </w:tc>
        <w:tc>
          <w:tcPr>
            <w:tcW w:w="4188" w:type="dxa"/>
          </w:tcPr>
          <w:p w14:paraId="73165A9F" w14:textId="4DF65800" w:rsidR="00DA1E9D" w:rsidRPr="00B8655C" w:rsidRDefault="00DA1E9D" w:rsidP="00CD2DB4">
            <w:pPr>
              <w:rPr>
                <w:sz w:val="22"/>
              </w:rPr>
            </w:pPr>
            <w:r w:rsidRPr="00B8655C">
              <w:rPr>
                <w:sz w:val="22"/>
              </w:rPr>
              <w:t>Minister for Education</w:t>
            </w:r>
            <w:r>
              <w:rPr>
                <w:sz w:val="22"/>
              </w:rPr>
              <w:t xml:space="preserve"> </w:t>
            </w:r>
            <w:r w:rsidRPr="00B8655C">
              <w:rPr>
                <w:sz w:val="22"/>
              </w:rPr>
              <w:t>and Early Childhood Development</w:t>
            </w:r>
            <w:r>
              <w:rPr>
                <w:sz w:val="22"/>
              </w:rPr>
              <w:t>*</w:t>
            </w:r>
          </w:p>
          <w:p w14:paraId="716A6BE8" w14:textId="21ADF4B1" w:rsidR="00DA1E9D" w:rsidRPr="00B8655C" w:rsidRDefault="00DA1E9D" w:rsidP="00CD2DB4">
            <w:pPr>
              <w:rPr>
                <w:sz w:val="22"/>
              </w:rPr>
            </w:pPr>
            <w:r w:rsidRPr="00B8655C">
              <w:rPr>
                <w:sz w:val="22"/>
              </w:rPr>
              <w:t>Minister for Housing and Suburban Development</w:t>
            </w:r>
          </w:p>
          <w:p w14:paraId="034A12CE" w14:textId="2990DF0D" w:rsidR="00DA1E9D" w:rsidRPr="00B8655C" w:rsidRDefault="00DA1E9D" w:rsidP="00CD2DB4">
            <w:pPr>
              <w:rPr>
                <w:sz w:val="22"/>
              </w:rPr>
            </w:pPr>
            <w:r w:rsidRPr="00B8655C">
              <w:rPr>
                <w:sz w:val="22"/>
              </w:rPr>
              <w:t>Minister for the Prevention of Domestic and Family Violence</w:t>
            </w:r>
          </w:p>
          <w:p w14:paraId="4BC0090E" w14:textId="77777777" w:rsidR="00DA1E9D" w:rsidRPr="00B8655C" w:rsidRDefault="00DA1E9D" w:rsidP="00CD2DB4">
            <w:pPr>
              <w:rPr>
                <w:sz w:val="22"/>
              </w:rPr>
            </w:pPr>
            <w:r w:rsidRPr="00B8655C">
              <w:rPr>
                <w:sz w:val="22"/>
              </w:rPr>
              <w:t>Minister for Sport and Recreation</w:t>
            </w:r>
          </w:p>
          <w:p w14:paraId="70C6F1D7" w14:textId="2888097F" w:rsidR="00DA1E9D" w:rsidRPr="00B8655C" w:rsidRDefault="00DA1E9D" w:rsidP="00CD2DB4">
            <w:pPr>
              <w:rPr>
                <w:sz w:val="22"/>
              </w:rPr>
            </w:pPr>
            <w:r w:rsidRPr="00B8655C">
              <w:rPr>
                <w:sz w:val="22"/>
              </w:rPr>
              <w:t>Minister for Women</w:t>
            </w:r>
          </w:p>
        </w:tc>
        <w:tc>
          <w:tcPr>
            <w:tcW w:w="3628" w:type="dxa"/>
          </w:tcPr>
          <w:p w14:paraId="0B304992"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Education </w:t>
            </w:r>
          </w:p>
          <w:p w14:paraId="0C0646AA"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Community Services </w:t>
            </w:r>
          </w:p>
          <w:p w14:paraId="38C6B1A1" w14:textId="50921919" w:rsidR="00DA1E9D" w:rsidRPr="005439F7" w:rsidRDefault="00DA1E9D" w:rsidP="004632EE">
            <w:pPr>
              <w:pStyle w:val="NormalWeb"/>
              <w:spacing w:before="0" w:beforeAutospacing="0" w:after="0" w:afterAutospacing="0"/>
              <w:rPr>
                <w:sz w:val="22"/>
                <w:szCs w:val="22"/>
              </w:rPr>
            </w:pPr>
            <w:r w:rsidRPr="005439F7">
              <w:rPr>
                <w:sz w:val="22"/>
                <w:szCs w:val="22"/>
              </w:rPr>
              <w:t xml:space="preserve">Environment, Planning </w:t>
            </w:r>
            <w:r>
              <w:rPr>
                <w:sz w:val="22"/>
                <w:szCs w:val="22"/>
              </w:rPr>
              <w:t>&amp;</w:t>
            </w:r>
            <w:r w:rsidRPr="005439F7">
              <w:rPr>
                <w:sz w:val="22"/>
                <w:szCs w:val="22"/>
              </w:rPr>
              <w:t xml:space="preserve"> Sustainable Development </w:t>
            </w:r>
          </w:p>
          <w:p w14:paraId="6AAEB3EF" w14:textId="0C488FD0" w:rsidR="00DA1E9D" w:rsidRPr="005439F7" w:rsidRDefault="00DA1E9D" w:rsidP="004632EE">
            <w:pPr>
              <w:pStyle w:val="NormalWeb"/>
              <w:spacing w:before="0" w:beforeAutospacing="0" w:after="0" w:afterAutospacing="0"/>
              <w:rPr>
                <w:sz w:val="22"/>
                <w:szCs w:val="22"/>
              </w:rPr>
            </w:pPr>
            <w:r w:rsidRPr="005439F7">
              <w:rPr>
                <w:sz w:val="22"/>
                <w:szCs w:val="22"/>
              </w:rPr>
              <w:t xml:space="preserve">Justice </w:t>
            </w:r>
            <w:r>
              <w:rPr>
                <w:sz w:val="22"/>
                <w:szCs w:val="22"/>
              </w:rPr>
              <w:t>&amp;</w:t>
            </w:r>
            <w:r w:rsidRPr="005439F7">
              <w:rPr>
                <w:sz w:val="22"/>
                <w:szCs w:val="22"/>
              </w:rPr>
              <w:t xml:space="preserve"> Community Safety</w:t>
            </w:r>
          </w:p>
          <w:p w14:paraId="6005716B" w14:textId="6B69590B" w:rsidR="00DA1E9D" w:rsidRPr="005439F7" w:rsidRDefault="00DA1E9D" w:rsidP="004632EE">
            <w:pPr>
              <w:pStyle w:val="NormalWeb"/>
              <w:spacing w:before="0" w:beforeAutospacing="0" w:after="0" w:afterAutospacing="0"/>
              <w:rPr>
                <w:sz w:val="22"/>
                <w:szCs w:val="22"/>
              </w:rPr>
            </w:pPr>
            <w:r w:rsidRPr="005439F7">
              <w:rPr>
                <w:sz w:val="22"/>
                <w:szCs w:val="22"/>
              </w:rPr>
              <w:t>Chief Minister, Treasury</w:t>
            </w:r>
            <w:r>
              <w:rPr>
                <w:sz w:val="22"/>
                <w:szCs w:val="22"/>
              </w:rPr>
              <w:t xml:space="preserve"> &amp; </w:t>
            </w:r>
            <w:r w:rsidRPr="005439F7">
              <w:rPr>
                <w:sz w:val="22"/>
                <w:szCs w:val="22"/>
              </w:rPr>
              <w:t xml:space="preserve">Economic Development </w:t>
            </w:r>
          </w:p>
          <w:p w14:paraId="1B38AF95" w14:textId="3D1C0B48" w:rsidR="00DA1E9D" w:rsidRPr="005439F7" w:rsidRDefault="00DA1E9D" w:rsidP="004632EE">
            <w:pPr>
              <w:pStyle w:val="NormalWeb"/>
              <w:spacing w:before="0" w:beforeAutospacing="0" w:after="0" w:afterAutospacing="0"/>
              <w:rPr>
                <w:sz w:val="22"/>
                <w:szCs w:val="22"/>
              </w:rPr>
            </w:pPr>
            <w:r w:rsidRPr="005439F7">
              <w:rPr>
                <w:sz w:val="22"/>
                <w:szCs w:val="22"/>
              </w:rPr>
              <w:t xml:space="preserve">Transport Canberra </w:t>
            </w:r>
            <w:r>
              <w:rPr>
                <w:sz w:val="22"/>
                <w:szCs w:val="22"/>
              </w:rPr>
              <w:t>&amp;</w:t>
            </w:r>
            <w:r w:rsidRPr="005439F7">
              <w:rPr>
                <w:sz w:val="22"/>
                <w:szCs w:val="22"/>
              </w:rPr>
              <w:t xml:space="preserve"> City </w:t>
            </w:r>
            <w:r w:rsidR="00154853" w:rsidRPr="005439F7">
              <w:rPr>
                <w:sz w:val="22"/>
                <w:szCs w:val="22"/>
              </w:rPr>
              <w:t>Services (</w:t>
            </w:r>
            <w:r>
              <w:rPr>
                <w:sz w:val="22"/>
                <w:szCs w:val="22"/>
              </w:rPr>
              <w:t>6)</w:t>
            </w:r>
          </w:p>
        </w:tc>
      </w:tr>
      <w:tr w:rsidR="00DA1E9D" w14:paraId="71472561" w14:textId="77777777" w:rsidTr="000C0D0E">
        <w:tc>
          <w:tcPr>
            <w:tcW w:w="1194" w:type="dxa"/>
          </w:tcPr>
          <w:p w14:paraId="587E2B28" w14:textId="77777777" w:rsidR="00DA1E9D" w:rsidRDefault="00DA1E9D" w:rsidP="00770635">
            <w:pPr>
              <w:rPr>
                <w:sz w:val="22"/>
              </w:rPr>
            </w:pPr>
            <w:r w:rsidRPr="00B8655C">
              <w:rPr>
                <w:sz w:val="22"/>
              </w:rPr>
              <w:t>Mick Gentleman</w:t>
            </w:r>
          </w:p>
          <w:p w14:paraId="3E5F5D3B" w14:textId="62D8050A" w:rsidR="00DA1E9D" w:rsidRPr="00B8655C" w:rsidRDefault="00DA1E9D" w:rsidP="00770635">
            <w:pPr>
              <w:rPr>
                <w:sz w:val="22"/>
              </w:rPr>
            </w:pPr>
            <w:r>
              <w:rPr>
                <w:sz w:val="22"/>
              </w:rPr>
              <w:t>(4)</w:t>
            </w:r>
          </w:p>
        </w:tc>
        <w:tc>
          <w:tcPr>
            <w:tcW w:w="4188" w:type="dxa"/>
          </w:tcPr>
          <w:p w14:paraId="00D36E77" w14:textId="26A22C5B" w:rsidR="00DA1E9D" w:rsidRPr="00B8655C" w:rsidRDefault="00DA1E9D" w:rsidP="00CD2DB4">
            <w:pPr>
              <w:rPr>
                <w:sz w:val="22"/>
              </w:rPr>
            </w:pPr>
            <w:r w:rsidRPr="00B8655C">
              <w:rPr>
                <w:sz w:val="22"/>
              </w:rPr>
              <w:t>Minister for the Environment and Heritage</w:t>
            </w:r>
          </w:p>
          <w:p w14:paraId="4B0EB54D" w14:textId="48D059EA" w:rsidR="00DA1E9D" w:rsidRPr="00B8655C" w:rsidRDefault="00DA1E9D" w:rsidP="00CD2DB4">
            <w:pPr>
              <w:rPr>
                <w:sz w:val="22"/>
              </w:rPr>
            </w:pPr>
            <w:r w:rsidRPr="00B8655C">
              <w:rPr>
                <w:sz w:val="22"/>
              </w:rPr>
              <w:t xml:space="preserve">Minister for Planning </w:t>
            </w:r>
            <w:r>
              <w:rPr>
                <w:sz w:val="22"/>
              </w:rPr>
              <w:t>&amp;</w:t>
            </w:r>
            <w:r w:rsidRPr="00B8655C">
              <w:rPr>
                <w:sz w:val="22"/>
              </w:rPr>
              <w:t xml:space="preserve"> Land Management</w:t>
            </w:r>
          </w:p>
          <w:p w14:paraId="0E4E28B6" w14:textId="77777777" w:rsidR="00DA1E9D" w:rsidRPr="00B8655C" w:rsidRDefault="00DA1E9D" w:rsidP="00CD2DB4">
            <w:pPr>
              <w:rPr>
                <w:sz w:val="22"/>
              </w:rPr>
            </w:pPr>
            <w:r w:rsidRPr="00B8655C">
              <w:rPr>
                <w:sz w:val="22"/>
              </w:rPr>
              <w:t>Minister for Police and Emergency Services</w:t>
            </w:r>
          </w:p>
          <w:p w14:paraId="33E47D1E" w14:textId="763DE622" w:rsidR="00DA1E9D" w:rsidRPr="00B8655C" w:rsidRDefault="00DA1E9D" w:rsidP="00CD2DB4">
            <w:pPr>
              <w:rPr>
                <w:sz w:val="22"/>
              </w:rPr>
            </w:pPr>
            <w:r w:rsidRPr="00B8655C">
              <w:rPr>
                <w:sz w:val="22"/>
              </w:rPr>
              <w:t>Minister assisting the Chief Minister on Advanced Technology and Space Industries</w:t>
            </w:r>
          </w:p>
        </w:tc>
        <w:tc>
          <w:tcPr>
            <w:tcW w:w="3628" w:type="dxa"/>
          </w:tcPr>
          <w:p w14:paraId="3DE8CF70" w14:textId="2F67AAEE" w:rsidR="00DA1E9D" w:rsidRPr="005439F7" w:rsidRDefault="00DA1E9D" w:rsidP="004632EE">
            <w:pPr>
              <w:pStyle w:val="NormalWeb"/>
              <w:spacing w:before="0" w:beforeAutospacing="0" w:after="0" w:afterAutospacing="0"/>
              <w:rPr>
                <w:sz w:val="22"/>
                <w:szCs w:val="22"/>
              </w:rPr>
            </w:pPr>
            <w:r w:rsidRPr="005439F7">
              <w:rPr>
                <w:sz w:val="22"/>
                <w:szCs w:val="22"/>
              </w:rPr>
              <w:t xml:space="preserve">Environment, Planning and </w:t>
            </w:r>
            <w:r w:rsidR="005D2807">
              <w:rPr>
                <w:sz w:val="22"/>
                <w:szCs w:val="22"/>
              </w:rPr>
              <w:t xml:space="preserve">  </w:t>
            </w:r>
            <w:r w:rsidRPr="005439F7">
              <w:rPr>
                <w:sz w:val="22"/>
                <w:szCs w:val="22"/>
              </w:rPr>
              <w:t xml:space="preserve">Sustainable Development </w:t>
            </w:r>
          </w:p>
          <w:p w14:paraId="036F2BE8" w14:textId="1F362347" w:rsidR="00DA1E9D" w:rsidRPr="005439F7" w:rsidRDefault="00DA1E9D" w:rsidP="004632EE">
            <w:pPr>
              <w:pStyle w:val="NormalWeb"/>
              <w:spacing w:before="0" w:beforeAutospacing="0" w:after="0" w:afterAutospacing="0"/>
              <w:rPr>
                <w:sz w:val="22"/>
                <w:szCs w:val="22"/>
              </w:rPr>
            </w:pPr>
            <w:r w:rsidRPr="005439F7">
              <w:rPr>
                <w:sz w:val="22"/>
                <w:szCs w:val="22"/>
              </w:rPr>
              <w:t xml:space="preserve">Justice </w:t>
            </w:r>
            <w:r>
              <w:rPr>
                <w:sz w:val="22"/>
                <w:szCs w:val="22"/>
              </w:rPr>
              <w:t>&amp;</w:t>
            </w:r>
            <w:r w:rsidRPr="005439F7">
              <w:rPr>
                <w:sz w:val="22"/>
                <w:szCs w:val="22"/>
              </w:rPr>
              <w:t xml:space="preserve"> Community Safety</w:t>
            </w:r>
          </w:p>
          <w:p w14:paraId="5FA0AA5C" w14:textId="19AF6324" w:rsidR="00DA1E9D" w:rsidRPr="005439F7" w:rsidRDefault="00DA1E9D" w:rsidP="004632EE">
            <w:pPr>
              <w:pStyle w:val="NormalWeb"/>
              <w:spacing w:before="0" w:beforeAutospacing="0" w:after="0" w:afterAutospacing="0"/>
              <w:rPr>
                <w:sz w:val="22"/>
                <w:szCs w:val="22"/>
              </w:rPr>
            </w:pPr>
            <w:r w:rsidRPr="005439F7">
              <w:rPr>
                <w:sz w:val="22"/>
                <w:szCs w:val="22"/>
              </w:rPr>
              <w:t xml:space="preserve">Chief Minister, Treasury </w:t>
            </w:r>
            <w:r>
              <w:rPr>
                <w:sz w:val="22"/>
                <w:szCs w:val="22"/>
              </w:rPr>
              <w:t>&amp;</w:t>
            </w:r>
            <w:r w:rsidRPr="005439F7">
              <w:rPr>
                <w:sz w:val="22"/>
                <w:szCs w:val="22"/>
              </w:rPr>
              <w:t xml:space="preserve"> Economic Development</w:t>
            </w:r>
            <w:r>
              <w:rPr>
                <w:sz w:val="22"/>
                <w:szCs w:val="22"/>
              </w:rPr>
              <w:t xml:space="preserve"> (3)</w:t>
            </w:r>
          </w:p>
        </w:tc>
      </w:tr>
      <w:tr w:rsidR="00DA1E9D" w14:paraId="4E7E6F73" w14:textId="77777777" w:rsidTr="000C0D0E">
        <w:tc>
          <w:tcPr>
            <w:tcW w:w="1194" w:type="dxa"/>
          </w:tcPr>
          <w:p w14:paraId="7F40FB05" w14:textId="77777777" w:rsidR="00DA1E9D" w:rsidRDefault="00DA1E9D" w:rsidP="009A1486">
            <w:pPr>
              <w:rPr>
                <w:sz w:val="22"/>
              </w:rPr>
            </w:pPr>
            <w:r w:rsidRPr="00B8655C">
              <w:rPr>
                <w:sz w:val="22"/>
              </w:rPr>
              <w:t>Rachel</w:t>
            </w:r>
            <w:r>
              <w:rPr>
                <w:sz w:val="22"/>
              </w:rPr>
              <w:t xml:space="preserve"> </w:t>
            </w:r>
            <w:r w:rsidRPr="00B8655C">
              <w:rPr>
                <w:sz w:val="22"/>
              </w:rPr>
              <w:t>Stephen-Smith</w:t>
            </w:r>
          </w:p>
          <w:p w14:paraId="1F511E21" w14:textId="7AEAEDF7" w:rsidR="00DA1E9D" w:rsidRPr="00B8655C" w:rsidRDefault="00DA1E9D" w:rsidP="009A1486">
            <w:pPr>
              <w:rPr>
                <w:sz w:val="22"/>
              </w:rPr>
            </w:pPr>
            <w:r>
              <w:rPr>
                <w:sz w:val="22"/>
              </w:rPr>
              <w:t>(6)</w:t>
            </w:r>
          </w:p>
        </w:tc>
        <w:tc>
          <w:tcPr>
            <w:tcW w:w="4188" w:type="dxa"/>
          </w:tcPr>
          <w:p w14:paraId="21B82660" w14:textId="77777777" w:rsidR="00DA1E9D" w:rsidRPr="00B8655C" w:rsidRDefault="00DA1E9D" w:rsidP="009A1486">
            <w:pPr>
              <w:rPr>
                <w:sz w:val="22"/>
              </w:rPr>
            </w:pPr>
            <w:r w:rsidRPr="00B8655C">
              <w:rPr>
                <w:sz w:val="22"/>
              </w:rPr>
              <w:t>Minister for Aboriginal and Torres Strait Islander Affairs</w:t>
            </w:r>
          </w:p>
          <w:p w14:paraId="30A4FE47" w14:textId="77777777" w:rsidR="00DA1E9D" w:rsidRPr="00B8655C" w:rsidRDefault="00DA1E9D" w:rsidP="009A1486">
            <w:pPr>
              <w:rPr>
                <w:sz w:val="22"/>
              </w:rPr>
            </w:pPr>
            <w:r w:rsidRPr="00B8655C">
              <w:rPr>
                <w:sz w:val="22"/>
              </w:rPr>
              <w:t>Minister for Children, Youth and Families</w:t>
            </w:r>
          </w:p>
          <w:p w14:paraId="44BBB59F" w14:textId="77777777" w:rsidR="00DA1E9D" w:rsidRPr="00B8655C" w:rsidRDefault="00DA1E9D" w:rsidP="009A1486">
            <w:pPr>
              <w:rPr>
                <w:sz w:val="22"/>
              </w:rPr>
            </w:pPr>
            <w:r w:rsidRPr="00B8655C">
              <w:rPr>
                <w:sz w:val="22"/>
              </w:rPr>
              <w:t>Minister for Disability</w:t>
            </w:r>
          </w:p>
          <w:p w14:paraId="703367B4" w14:textId="77777777" w:rsidR="00DA1E9D" w:rsidRPr="00B8655C" w:rsidRDefault="00DA1E9D" w:rsidP="009A1486">
            <w:pPr>
              <w:rPr>
                <w:sz w:val="22"/>
              </w:rPr>
            </w:pPr>
            <w:r w:rsidRPr="00B8655C">
              <w:rPr>
                <w:sz w:val="22"/>
              </w:rPr>
              <w:t xml:space="preserve">Minister for Employment </w:t>
            </w:r>
            <w:r>
              <w:rPr>
                <w:sz w:val="22"/>
              </w:rPr>
              <w:t>&amp;</w:t>
            </w:r>
            <w:r w:rsidRPr="00B8655C">
              <w:rPr>
                <w:sz w:val="22"/>
              </w:rPr>
              <w:t xml:space="preserve"> Workplace Safety</w:t>
            </w:r>
          </w:p>
          <w:p w14:paraId="7F1E6783" w14:textId="77777777" w:rsidR="00DA1E9D" w:rsidRPr="00B8655C" w:rsidRDefault="00DA1E9D" w:rsidP="009A1486">
            <w:pPr>
              <w:rPr>
                <w:sz w:val="22"/>
              </w:rPr>
            </w:pPr>
            <w:r w:rsidRPr="00B8655C">
              <w:rPr>
                <w:sz w:val="22"/>
              </w:rPr>
              <w:lastRenderedPageBreak/>
              <w:t>Minister for Health</w:t>
            </w:r>
            <w:r>
              <w:rPr>
                <w:sz w:val="22"/>
              </w:rPr>
              <w:t>*</w:t>
            </w:r>
          </w:p>
          <w:p w14:paraId="05FDA9F7" w14:textId="4C7607FF" w:rsidR="00DA1E9D" w:rsidRPr="00B8655C" w:rsidRDefault="00DA1E9D" w:rsidP="009A1486">
            <w:pPr>
              <w:rPr>
                <w:sz w:val="22"/>
              </w:rPr>
            </w:pPr>
            <w:r w:rsidRPr="00B8655C">
              <w:rPr>
                <w:sz w:val="22"/>
              </w:rPr>
              <w:t>Minister for Urban Renewal</w:t>
            </w:r>
          </w:p>
        </w:tc>
        <w:tc>
          <w:tcPr>
            <w:tcW w:w="3628" w:type="dxa"/>
          </w:tcPr>
          <w:p w14:paraId="671DA1C5" w14:textId="77777777" w:rsidR="00DA1E9D" w:rsidRPr="005439F7" w:rsidRDefault="00DA1E9D" w:rsidP="004632EE">
            <w:pPr>
              <w:pStyle w:val="NormalWeb"/>
              <w:spacing w:before="0" w:beforeAutospacing="0" w:after="0" w:afterAutospacing="0"/>
              <w:rPr>
                <w:sz w:val="22"/>
                <w:szCs w:val="22"/>
              </w:rPr>
            </w:pPr>
            <w:r w:rsidRPr="005439F7">
              <w:rPr>
                <w:sz w:val="22"/>
                <w:szCs w:val="22"/>
              </w:rPr>
              <w:lastRenderedPageBreak/>
              <w:t xml:space="preserve">Community Services </w:t>
            </w:r>
          </w:p>
          <w:p w14:paraId="76D3DE20"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Chief Minister, Treasury </w:t>
            </w:r>
            <w:r>
              <w:rPr>
                <w:sz w:val="22"/>
                <w:szCs w:val="22"/>
              </w:rPr>
              <w:t>&amp;</w:t>
            </w:r>
            <w:r w:rsidRPr="005439F7">
              <w:rPr>
                <w:sz w:val="22"/>
                <w:szCs w:val="22"/>
              </w:rPr>
              <w:t xml:space="preserve"> Economic Development</w:t>
            </w:r>
          </w:p>
          <w:p w14:paraId="38FD707B" w14:textId="2756F589" w:rsidR="00DA1E9D" w:rsidRPr="005439F7" w:rsidRDefault="00DA1E9D" w:rsidP="004632EE">
            <w:pPr>
              <w:pStyle w:val="NormalWeb"/>
              <w:spacing w:before="0" w:beforeAutospacing="0" w:after="0" w:afterAutospacing="0"/>
              <w:rPr>
                <w:sz w:val="22"/>
                <w:szCs w:val="22"/>
              </w:rPr>
            </w:pPr>
            <w:r w:rsidRPr="005439F7">
              <w:rPr>
                <w:sz w:val="22"/>
                <w:szCs w:val="22"/>
              </w:rPr>
              <w:t xml:space="preserve">ACT Health </w:t>
            </w:r>
          </w:p>
          <w:p w14:paraId="6F6E1144" w14:textId="3FA1438F" w:rsidR="00DA1E9D" w:rsidRPr="005439F7" w:rsidRDefault="00DA1E9D" w:rsidP="004632EE">
            <w:pPr>
              <w:pStyle w:val="NormalWeb"/>
              <w:spacing w:before="0" w:beforeAutospacing="0" w:after="0" w:afterAutospacing="0"/>
              <w:rPr>
                <w:sz w:val="22"/>
                <w:szCs w:val="22"/>
              </w:rPr>
            </w:pPr>
            <w:r w:rsidRPr="005439F7">
              <w:rPr>
                <w:sz w:val="22"/>
                <w:szCs w:val="22"/>
              </w:rPr>
              <w:t xml:space="preserve">Environment, Planning </w:t>
            </w:r>
            <w:r>
              <w:rPr>
                <w:sz w:val="22"/>
                <w:szCs w:val="22"/>
              </w:rPr>
              <w:t>&amp;</w:t>
            </w:r>
            <w:r w:rsidRPr="005439F7">
              <w:rPr>
                <w:sz w:val="22"/>
                <w:szCs w:val="22"/>
              </w:rPr>
              <w:t xml:space="preserve"> Sustainable Development</w:t>
            </w:r>
            <w:r>
              <w:rPr>
                <w:sz w:val="22"/>
                <w:szCs w:val="22"/>
              </w:rPr>
              <w:t xml:space="preserve"> (4)</w:t>
            </w:r>
          </w:p>
        </w:tc>
      </w:tr>
      <w:tr w:rsidR="00DA1E9D" w14:paraId="5E7D5BA3" w14:textId="77777777" w:rsidTr="000C0D0E">
        <w:tc>
          <w:tcPr>
            <w:tcW w:w="1194" w:type="dxa"/>
          </w:tcPr>
          <w:p w14:paraId="45E70146" w14:textId="77777777" w:rsidR="00DA1E9D" w:rsidRDefault="00DA1E9D" w:rsidP="00353A71">
            <w:pPr>
              <w:rPr>
                <w:sz w:val="22"/>
              </w:rPr>
            </w:pPr>
            <w:r w:rsidRPr="00B8655C">
              <w:rPr>
                <w:sz w:val="22"/>
              </w:rPr>
              <w:t>Gordon Ramsay</w:t>
            </w:r>
          </w:p>
          <w:p w14:paraId="3694F4F8" w14:textId="4A28A236" w:rsidR="00DA1E9D" w:rsidRPr="00B8655C" w:rsidRDefault="00DA1E9D" w:rsidP="00353A71">
            <w:pPr>
              <w:rPr>
                <w:sz w:val="22"/>
              </w:rPr>
            </w:pPr>
            <w:r>
              <w:rPr>
                <w:sz w:val="22"/>
              </w:rPr>
              <w:t>(6)</w:t>
            </w:r>
          </w:p>
        </w:tc>
        <w:tc>
          <w:tcPr>
            <w:tcW w:w="4188" w:type="dxa"/>
          </w:tcPr>
          <w:p w14:paraId="13E3CBE9" w14:textId="77777777" w:rsidR="00DA1E9D" w:rsidRPr="00B8655C" w:rsidRDefault="00DA1E9D" w:rsidP="00353A71">
            <w:pPr>
              <w:rPr>
                <w:sz w:val="22"/>
              </w:rPr>
            </w:pPr>
            <w:r w:rsidRPr="00B8655C">
              <w:rPr>
                <w:sz w:val="22"/>
              </w:rPr>
              <w:t>Attorney-General</w:t>
            </w:r>
            <w:r>
              <w:rPr>
                <w:sz w:val="22"/>
              </w:rPr>
              <w:t>*</w:t>
            </w:r>
          </w:p>
          <w:p w14:paraId="25125867" w14:textId="77777777" w:rsidR="00DA1E9D" w:rsidRPr="00B8655C" w:rsidRDefault="00DA1E9D" w:rsidP="00353A71">
            <w:pPr>
              <w:rPr>
                <w:sz w:val="22"/>
              </w:rPr>
            </w:pPr>
            <w:r w:rsidRPr="00B8655C">
              <w:rPr>
                <w:sz w:val="22"/>
              </w:rPr>
              <w:t>Minister for the Arts and Cultural Events</w:t>
            </w:r>
          </w:p>
          <w:p w14:paraId="4BD62815" w14:textId="77777777" w:rsidR="00DA1E9D" w:rsidRPr="00B8655C" w:rsidRDefault="00DA1E9D" w:rsidP="00353A71">
            <w:pPr>
              <w:rPr>
                <w:sz w:val="22"/>
              </w:rPr>
            </w:pPr>
            <w:r w:rsidRPr="00B8655C">
              <w:rPr>
                <w:sz w:val="22"/>
              </w:rPr>
              <w:t>Minister for Building Quality Improvement</w:t>
            </w:r>
          </w:p>
          <w:p w14:paraId="71CC7E19" w14:textId="77777777" w:rsidR="00DA1E9D" w:rsidRPr="00B8655C" w:rsidRDefault="00DA1E9D" w:rsidP="00353A71">
            <w:pPr>
              <w:rPr>
                <w:sz w:val="22"/>
              </w:rPr>
            </w:pPr>
            <w:r w:rsidRPr="00B8655C">
              <w:rPr>
                <w:sz w:val="22"/>
              </w:rPr>
              <w:t xml:space="preserve">Minister for Business </w:t>
            </w:r>
            <w:r>
              <w:rPr>
                <w:sz w:val="22"/>
              </w:rPr>
              <w:t>&amp;</w:t>
            </w:r>
            <w:r w:rsidRPr="00B8655C">
              <w:rPr>
                <w:sz w:val="22"/>
              </w:rPr>
              <w:t xml:space="preserve"> Regulatory Services</w:t>
            </w:r>
          </w:p>
          <w:p w14:paraId="4D0E886E" w14:textId="77777777" w:rsidR="00DA1E9D" w:rsidRPr="00B8655C" w:rsidRDefault="00DA1E9D" w:rsidP="00353A71">
            <w:pPr>
              <w:rPr>
                <w:sz w:val="22"/>
              </w:rPr>
            </w:pPr>
            <w:r w:rsidRPr="00B8655C">
              <w:rPr>
                <w:sz w:val="22"/>
              </w:rPr>
              <w:t>Minister for Government Services and Procurement</w:t>
            </w:r>
          </w:p>
          <w:p w14:paraId="0B869C3F" w14:textId="4194CDD6" w:rsidR="00DA1E9D" w:rsidRPr="00B8655C" w:rsidRDefault="00DA1E9D" w:rsidP="00353A71">
            <w:pPr>
              <w:rPr>
                <w:sz w:val="22"/>
              </w:rPr>
            </w:pPr>
            <w:r w:rsidRPr="00B8655C">
              <w:rPr>
                <w:sz w:val="22"/>
              </w:rPr>
              <w:t>Minister for Seniors and Veterans</w:t>
            </w:r>
          </w:p>
        </w:tc>
        <w:tc>
          <w:tcPr>
            <w:tcW w:w="3628" w:type="dxa"/>
          </w:tcPr>
          <w:p w14:paraId="04A95779"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Justice </w:t>
            </w:r>
            <w:r>
              <w:rPr>
                <w:sz w:val="22"/>
                <w:szCs w:val="22"/>
              </w:rPr>
              <w:t>&amp;</w:t>
            </w:r>
            <w:r w:rsidRPr="005439F7">
              <w:rPr>
                <w:sz w:val="22"/>
                <w:szCs w:val="22"/>
              </w:rPr>
              <w:t xml:space="preserve"> Community Safety</w:t>
            </w:r>
          </w:p>
          <w:p w14:paraId="6F8D706E"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Chief Minister, Treasury </w:t>
            </w:r>
            <w:r>
              <w:rPr>
                <w:sz w:val="22"/>
                <w:szCs w:val="22"/>
              </w:rPr>
              <w:t>&amp;</w:t>
            </w:r>
            <w:r w:rsidRPr="005439F7">
              <w:rPr>
                <w:sz w:val="22"/>
                <w:szCs w:val="22"/>
              </w:rPr>
              <w:t xml:space="preserve"> Economic Development</w:t>
            </w:r>
          </w:p>
          <w:p w14:paraId="201F2400"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Environment, Planning </w:t>
            </w:r>
            <w:r>
              <w:rPr>
                <w:sz w:val="22"/>
                <w:szCs w:val="22"/>
              </w:rPr>
              <w:t>&amp;</w:t>
            </w:r>
            <w:r w:rsidRPr="005439F7">
              <w:rPr>
                <w:sz w:val="22"/>
                <w:szCs w:val="22"/>
              </w:rPr>
              <w:t xml:space="preserve"> Sustainable Development</w:t>
            </w:r>
          </w:p>
          <w:p w14:paraId="4624E1AC" w14:textId="6302372F" w:rsidR="00DA1E9D" w:rsidRPr="005439F7" w:rsidRDefault="00DA1E9D" w:rsidP="004632EE">
            <w:pPr>
              <w:pStyle w:val="NormalWeb"/>
              <w:spacing w:before="0" w:beforeAutospacing="0" w:after="0" w:afterAutospacing="0"/>
              <w:rPr>
                <w:sz w:val="22"/>
                <w:szCs w:val="22"/>
              </w:rPr>
            </w:pPr>
            <w:r w:rsidRPr="005439F7">
              <w:rPr>
                <w:sz w:val="22"/>
                <w:szCs w:val="22"/>
              </w:rPr>
              <w:t>Community Services</w:t>
            </w:r>
            <w:r>
              <w:rPr>
                <w:sz w:val="22"/>
                <w:szCs w:val="22"/>
              </w:rPr>
              <w:t xml:space="preserve"> (4)</w:t>
            </w:r>
          </w:p>
        </w:tc>
      </w:tr>
      <w:tr w:rsidR="00DA1E9D" w14:paraId="750DCADE" w14:textId="77777777" w:rsidTr="000C0D0E">
        <w:tc>
          <w:tcPr>
            <w:tcW w:w="1194" w:type="dxa"/>
          </w:tcPr>
          <w:p w14:paraId="4985B80A" w14:textId="77777777" w:rsidR="00DA1E9D" w:rsidRDefault="00DA1E9D" w:rsidP="00F54572">
            <w:pPr>
              <w:rPr>
                <w:sz w:val="22"/>
              </w:rPr>
            </w:pPr>
            <w:r w:rsidRPr="00B8655C">
              <w:rPr>
                <w:sz w:val="22"/>
              </w:rPr>
              <w:t>Chris Steel</w:t>
            </w:r>
          </w:p>
          <w:p w14:paraId="483C96D0" w14:textId="29F2349F" w:rsidR="00DA1E9D" w:rsidRPr="00B8655C" w:rsidRDefault="00DA1E9D" w:rsidP="00F54572">
            <w:pPr>
              <w:rPr>
                <w:sz w:val="22"/>
              </w:rPr>
            </w:pPr>
            <w:r>
              <w:rPr>
                <w:sz w:val="22"/>
              </w:rPr>
              <w:t>(3)</w:t>
            </w:r>
          </w:p>
        </w:tc>
        <w:tc>
          <w:tcPr>
            <w:tcW w:w="4188" w:type="dxa"/>
          </w:tcPr>
          <w:p w14:paraId="4BD97B32" w14:textId="77777777" w:rsidR="00DA1E9D" w:rsidRPr="00B8655C" w:rsidRDefault="00DA1E9D" w:rsidP="00F54572">
            <w:pPr>
              <w:shd w:val="clear" w:color="auto" w:fill="FFFFFF"/>
              <w:rPr>
                <w:sz w:val="22"/>
              </w:rPr>
            </w:pPr>
            <w:r w:rsidRPr="00B8655C">
              <w:rPr>
                <w:sz w:val="22"/>
              </w:rPr>
              <w:t xml:space="preserve">Minister for Community Services </w:t>
            </w:r>
            <w:r>
              <w:rPr>
                <w:sz w:val="22"/>
              </w:rPr>
              <w:t>&amp;</w:t>
            </w:r>
            <w:r w:rsidRPr="00B8655C">
              <w:rPr>
                <w:sz w:val="22"/>
              </w:rPr>
              <w:t xml:space="preserve"> Facilities</w:t>
            </w:r>
          </w:p>
          <w:p w14:paraId="71581948" w14:textId="77777777" w:rsidR="00DA1E9D" w:rsidRPr="00B8655C" w:rsidRDefault="00DA1E9D" w:rsidP="00F54572">
            <w:pPr>
              <w:shd w:val="clear" w:color="auto" w:fill="FFFFFF"/>
              <w:rPr>
                <w:sz w:val="22"/>
              </w:rPr>
            </w:pPr>
            <w:r w:rsidRPr="00B8655C">
              <w:rPr>
                <w:sz w:val="22"/>
              </w:rPr>
              <w:t>Minister for Multicultural Affairs</w:t>
            </w:r>
          </w:p>
          <w:p w14:paraId="43CD9E7F" w14:textId="5BCEE37A" w:rsidR="00DA1E9D" w:rsidRPr="00B8655C" w:rsidRDefault="00DA1E9D" w:rsidP="00F54572">
            <w:pPr>
              <w:rPr>
                <w:sz w:val="22"/>
              </w:rPr>
            </w:pPr>
            <w:r w:rsidRPr="00B8655C">
              <w:rPr>
                <w:sz w:val="22"/>
              </w:rPr>
              <w:t>Minister for Transport and City Services</w:t>
            </w:r>
            <w:r>
              <w:rPr>
                <w:sz w:val="22"/>
              </w:rPr>
              <w:t>*</w:t>
            </w:r>
          </w:p>
        </w:tc>
        <w:tc>
          <w:tcPr>
            <w:tcW w:w="3628" w:type="dxa"/>
          </w:tcPr>
          <w:p w14:paraId="2AF9B722"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Community Services </w:t>
            </w:r>
          </w:p>
          <w:p w14:paraId="48F357D6" w14:textId="11F09876" w:rsidR="00DA1E9D" w:rsidRPr="005439F7" w:rsidRDefault="00DA1E9D" w:rsidP="004632EE">
            <w:pPr>
              <w:rPr>
                <w:sz w:val="22"/>
              </w:rPr>
            </w:pPr>
            <w:r w:rsidRPr="005439F7">
              <w:rPr>
                <w:sz w:val="22"/>
              </w:rPr>
              <w:fldChar w:fldCharType="begin"/>
            </w:r>
            <w:r w:rsidR="004144AA">
              <w:rPr>
                <w:sz w:val="22"/>
              </w:rPr>
              <w:instrText xml:space="preserve"> INCLUDEPICTURE "C:\\var\\folders\\5t\\1tmbjd497z1bjqkfllgdhpdw0000gn\\T\\com.microsoft.Word\\WebArchiveCopyPasteTempFiles\\page18image28878896" \* MERGEFORMAT </w:instrText>
            </w:r>
            <w:r w:rsidRPr="005439F7">
              <w:rPr>
                <w:sz w:val="22"/>
              </w:rPr>
              <w:fldChar w:fldCharType="separate"/>
            </w:r>
            <w:r w:rsidRPr="005439F7">
              <w:rPr>
                <w:noProof/>
                <w:sz w:val="22"/>
                <w:lang w:eastAsia="en-AU"/>
              </w:rPr>
              <w:drawing>
                <wp:inline distT="0" distB="0" distL="0" distR="0" wp14:anchorId="0FAA5BC6" wp14:editId="158F669E">
                  <wp:extent cx="14605" cy="14605"/>
                  <wp:effectExtent l="0" t="0" r="0" b="0"/>
                  <wp:docPr id="1" name="Picture 1" descr="page18image2887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8image28878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5439F7">
              <w:rPr>
                <w:sz w:val="22"/>
              </w:rPr>
              <w:fldChar w:fldCharType="end"/>
            </w:r>
            <w:r w:rsidRPr="005439F7">
              <w:rPr>
                <w:sz w:val="22"/>
              </w:rPr>
              <w:t xml:space="preserve">Chief Minister, Treasury </w:t>
            </w:r>
            <w:r>
              <w:rPr>
                <w:sz w:val="22"/>
              </w:rPr>
              <w:t>&amp;</w:t>
            </w:r>
            <w:r w:rsidRPr="005439F7">
              <w:rPr>
                <w:sz w:val="22"/>
              </w:rPr>
              <w:t xml:space="preserve"> Economic Development</w:t>
            </w:r>
          </w:p>
          <w:p w14:paraId="3A7D8755"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Environment, Planning </w:t>
            </w:r>
            <w:r>
              <w:rPr>
                <w:sz w:val="22"/>
                <w:szCs w:val="22"/>
              </w:rPr>
              <w:t>&amp;</w:t>
            </w:r>
            <w:r w:rsidRPr="005439F7">
              <w:rPr>
                <w:sz w:val="22"/>
                <w:szCs w:val="22"/>
              </w:rPr>
              <w:t xml:space="preserve"> Sustainable Development</w:t>
            </w:r>
          </w:p>
          <w:p w14:paraId="42464E58" w14:textId="0DE0A96C" w:rsidR="00DA1E9D" w:rsidRPr="005439F7" w:rsidRDefault="00DA1E9D" w:rsidP="004632EE">
            <w:pPr>
              <w:pStyle w:val="NormalWeb"/>
              <w:spacing w:before="0" w:beforeAutospacing="0" w:after="0" w:afterAutospacing="0"/>
              <w:rPr>
                <w:sz w:val="22"/>
                <w:szCs w:val="22"/>
              </w:rPr>
            </w:pPr>
            <w:r w:rsidRPr="005439F7">
              <w:rPr>
                <w:sz w:val="22"/>
                <w:szCs w:val="22"/>
              </w:rPr>
              <w:t xml:space="preserve">Transport Canberra </w:t>
            </w:r>
            <w:r>
              <w:rPr>
                <w:sz w:val="22"/>
                <w:szCs w:val="22"/>
              </w:rPr>
              <w:t>&amp;</w:t>
            </w:r>
            <w:r w:rsidRPr="005439F7">
              <w:rPr>
                <w:sz w:val="22"/>
                <w:szCs w:val="22"/>
              </w:rPr>
              <w:t xml:space="preserve"> City Services</w:t>
            </w:r>
            <w:r w:rsidR="00D15DAC">
              <w:rPr>
                <w:sz w:val="22"/>
                <w:szCs w:val="22"/>
              </w:rPr>
              <w:t xml:space="preserve"> (</w:t>
            </w:r>
            <w:r>
              <w:rPr>
                <w:sz w:val="22"/>
                <w:szCs w:val="22"/>
              </w:rPr>
              <w:t>4)</w:t>
            </w:r>
          </w:p>
        </w:tc>
      </w:tr>
      <w:tr w:rsidR="00DA1E9D" w14:paraId="32CB1123" w14:textId="77777777" w:rsidTr="000C0D0E">
        <w:tc>
          <w:tcPr>
            <w:tcW w:w="1194" w:type="dxa"/>
          </w:tcPr>
          <w:p w14:paraId="5339869C" w14:textId="77777777" w:rsidR="00DA1E9D" w:rsidRDefault="00DA1E9D" w:rsidP="00F54572">
            <w:pPr>
              <w:rPr>
                <w:sz w:val="22"/>
              </w:rPr>
            </w:pPr>
            <w:r w:rsidRPr="00B8655C">
              <w:rPr>
                <w:sz w:val="22"/>
              </w:rPr>
              <w:t>Shane Rattenbury</w:t>
            </w:r>
          </w:p>
          <w:p w14:paraId="2D2C94B8" w14:textId="60EDFBFE" w:rsidR="00DA1E9D" w:rsidRPr="00B8655C" w:rsidRDefault="00DA1E9D" w:rsidP="00F54572">
            <w:pPr>
              <w:rPr>
                <w:sz w:val="22"/>
              </w:rPr>
            </w:pPr>
            <w:r>
              <w:rPr>
                <w:sz w:val="22"/>
              </w:rPr>
              <w:t>(4)</w:t>
            </w:r>
          </w:p>
        </w:tc>
        <w:tc>
          <w:tcPr>
            <w:tcW w:w="4188" w:type="dxa"/>
          </w:tcPr>
          <w:p w14:paraId="24E919A4" w14:textId="77777777" w:rsidR="00DA1E9D" w:rsidRPr="00B8655C" w:rsidRDefault="00DA1E9D" w:rsidP="00F54572">
            <w:pPr>
              <w:rPr>
                <w:sz w:val="22"/>
              </w:rPr>
            </w:pPr>
            <w:r w:rsidRPr="00B8655C">
              <w:rPr>
                <w:sz w:val="22"/>
              </w:rPr>
              <w:t xml:space="preserve">Minister for Climate Change </w:t>
            </w:r>
            <w:r>
              <w:rPr>
                <w:sz w:val="22"/>
              </w:rPr>
              <w:t>&amp;</w:t>
            </w:r>
            <w:r w:rsidRPr="00B8655C">
              <w:rPr>
                <w:sz w:val="22"/>
              </w:rPr>
              <w:t xml:space="preserve"> Sustainability</w:t>
            </w:r>
          </w:p>
          <w:p w14:paraId="1D895E4E" w14:textId="77777777" w:rsidR="00DA1E9D" w:rsidRPr="00B8655C" w:rsidRDefault="00DA1E9D" w:rsidP="00F54572">
            <w:pPr>
              <w:rPr>
                <w:sz w:val="22"/>
              </w:rPr>
            </w:pPr>
            <w:r w:rsidRPr="00B8655C">
              <w:rPr>
                <w:sz w:val="22"/>
              </w:rPr>
              <w:t>Minister for Corrections and Justice Health</w:t>
            </w:r>
          </w:p>
          <w:p w14:paraId="39F392E1" w14:textId="77777777" w:rsidR="00DA1E9D" w:rsidRPr="00B8655C" w:rsidRDefault="00DA1E9D" w:rsidP="00F54572">
            <w:pPr>
              <w:rPr>
                <w:sz w:val="22"/>
              </w:rPr>
            </w:pPr>
            <w:r w:rsidRPr="00B8655C">
              <w:rPr>
                <w:sz w:val="22"/>
              </w:rPr>
              <w:t>Minister for Justice, Consumer Affairs and Road Safety</w:t>
            </w:r>
          </w:p>
          <w:p w14:paraId="283766AE" w14:textId="50569296" w:rsidR="00DA1E9D" w:rsidRPr="00B8655C" w:rsidRDefault="00DA1E9D" w:rsidP="00F54572">
            <w:pPr>
              <w:shd w:val="clear" w:color="auto" w:fill="FFFFFF"/>
              <w:rPr>
                <w:sz w:val="22"/>
              </w:rPr>
            </w:pPr>
            <w:r w:rsidRPr="00B8655C">
              <w:rPr>
                <w:sz w:val="22"/>
              </w:rPr>
              <w:t>Minister for Mental Health</w:t>
            </w:r>
          </w:p>
        </w:tc>
        <w:tc>
          <w:tcPr>
            <w:tcW w:w="3628" w:type="dxa"/>
          </w:tcPr>
          <w:p w14:paraId="24425DF5"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Environment, Planning and Sustainable Development </w:t>
            </w:r>
          </w:p>
          <w:p w14:paraId="211B5533" w14:textId="77777777" w:rsidR="00DA1E9D" w:rsidRPr="005439F7" w:rsidRDefault="00DA1E9D" w:rsidP="004632EE">
            <w:pPr>
              <w:pStyle w:val="NormalWeb"/>
              <w:spacing w:before="0" w:beforeAutospacing="0" w:after="0" w:afterAutospacing="0"/>
              <w:rPr>
                <w:sz w:val="22"/>
                <w:szCs w:val="22"/>
              </w:rPr>
            </w:pPr>
            <w:r w:rsidRPr="005439F7">
              <w:rPr>
                <w:sz w:val="22"/>
                <w:szCs w:val="22"/>
              </w:rPr>
              <w:t xml:space="preserve">Justice </w:t>
            </w:r>
            <w:r>
              <w:rPr>
                <w:sz w:val="22"/>
                <w:szCs w:val="22"/>
              </w:rPr>
              <w:t>&amp;</w:t>
            </w:r>
            <w:r w:rsidRPr="005439F7">
              <w:rPr>
                <w:sz w:val="22"/>
                <w:szCs w:val="22"/>
              </w:rPr>
              <w:t xml:space="preserve"> Community Safety </w:t>
            </w:r>
          </w:p>
          <w:p w14:paraId="706AF594" w14:textId="4A883FAD" w:rsidR="00DA1E9D" w:rsidRPr="005439F7" w:rsidRDefault="00DA1E9D" w:rsidP="004632EE">
            <w:pPr>
              <w:pStyle w:val="NormalWeb"/>
              <w:spacing w:before="0" w:beforeAutospacing="0" w:after="0" w:afterAutospacing="0"/>
              <w:rPr>
                <w:sz w:val="22"/>
                <w:szCs w:val="22"/>
              </w:rPr>
            </w:pPr>
            <w:r w:rsidRPr="005439F7">
              <w:rPr>
                <w:sz w:val="22"/>
                <w:szCs w:val="22"/>
              </w:rPr>
              <w:t>ACT Health</w:t>
            </w:r>
            <w:r>
              <w:rPr>
                <w:sz w:val="22"/>
                <w:szCs w:val="22"/>
              </w:rPr>
              <w:t xml:space="preserve"> (3)</w:t>
            </w:r>
          </w:p>
        </w:tc>
      </w:tr>
    </w:tbl>
    <w:p w14:paraId="7F9A9999" w14:textId="2F194DA4" w:rsidR="00481D99" w:rsidRPr="009C6000" w:rsidRDefault="00D1466D" w:rsidP="00481D99">
      <w:pPr>
        <w:rPr>
          <w:sz w:val="21"/>
          <w:szCs w:val="21"/>
        </w:rPr>
      </w:pPr>
      <w:r w:rsidRPr="009C6000">
        <w:rPr>
          <w:sz w:val="21"/>
          <w:szCs w:val="21"/>
        </w:rPr>
        <w:t>*</w:t>
      </w:r>
      <w:r w:rsidR="000C38DF" w:rsidRPr="009C6000">
        <w:rPr>
          <w:sz w:val="21"/>
          <w:szCs w:val="21"/>
        </w:rPr>
        <w:t>Primary portfolio</w:t>
      </w:r>
      <w:r w:rsidR="00DA1E9D" w:rsidRPr="009C6000">
        <w:rPr>
          <w:sz w:val="21"/>
          <w:szCs w:val="21"/>
        </w:rPr>
        <w:t xml:space="preserve">. </w:t>
      </w:r>
      <w:r w:rsidR="00B32824" w:rsidRPr="009C6000">
        <w:rPr>
          <w:sz w:val="21"/>
          <w:szCs w:val="21"/>
        </w:rPr>
        <w:t>Source</w:t>
      </w:r>
      <w:r w:rsidR="00A81B9E">
        <w:rPr>
          <w:sz w:val="21"/>
          <w:szCs w:val="21"/>
        </w:rPr>
        <w:t>s</w:t>
      </w:r>
      <w:r w:rsidR="00B32824" w:rsidRPr="009C6000">
        <w:rPr>
          <w:sz w:val="21"/>
          <w:szCs w:val="21"/>
        </w:rPr>
        <w:t>: Australian Capital Territory (Self-Government) Ministerial Appointment 2019 (No 1)</w:t>
      </w:r>
      <w:r w:rsidR="00481D99" w:rsidRPr="009C6000">
        <w:rPr>
          <w:sz w:val="21"/>
          <w:szCs w:val="21"/>
        </w:rPr>
        <w:t>; Administrative Arrangements 2019 (No 1)</w:t>
      </w:r>
      <w:r w:rsidR="00481D99" w:rsidRPr="009C6000">
        <w:rPr>
          <w:rFonts w:ascii="Arial" w:hAnsi="Arial" w:cs="Arial"/>
          <w:b/>
          <w:bCs/>
          <w:sz w:val="21"/>
          <w:szCs w:val="21"/>
        </w:rPr>
        <w:t xml:space="preserve"> </w:t>
      </w:r>
    </w:p>
    <w:p w14:paraId="5CDD9509" w14:textId="183EECD0" w:rsidR="005C7339" w:rsidRDefault="005C7339" w:rsidP="009E66BC">
      <w:pPr>
        <w:spacing w:line="276" w:lineRule="auto"/>
        <w:jc w:val="both"/>
        <w:rPr>
          <w:lang w:val="en-US"/>
        </w:rPr>
      </w:pPr>
    </w:p>
    <w:p w14:paraId="410FA53B" w14:textId="61F335B1" w:rsidR="00183365" w:rsidRDefault="00183365" w:rsidP="00C37270">
      <w:pPr>
        <w:pStyle w:val="NormalWeb"/>
        <w:spacing w:before="0" w:beforeAutospacing="0" w:after="120" w:afterAutospacing="0" w:line="276" w:lineRule="auto"/>
        <w:jc w:val="both"/>
        <w:rPr>
          <w:lang w:eastAsia="en-GB"/>
        </w:rPr>
      </w:pPr>
      <w:r>
        <w:t xml:space="preserve">Does the number matter? There were </w:t>
      </w:r>
      <w:r w:rsidR="00D5179A">
        <w:t>several</w:t>
      </w:r>
      <w:r>
        <w:t xml:space="preserve"> comments made, including the observation to an earlier review that </w:t>
      </w:r>
      <w:r>
        <w:rPr>
          <w:lang w:eastAsia="en-GB"/>
        </w:rPr>
        <w:t>covering a range of functions results ‘in some</w:t>
      </w:r>
      <w:r w:rsidRPr="0083205E">
        <w:rPr>
          <w:lang w:eastAsia="en-GB"/>
        </w:rPr>
        <w:t xml:space="preserve"> ministers ha</w:t>
      </w:r>
      <w:r>
        <w:rPr>
          <w:lang w:eastAsia="en-GB"/>
        </w:rPr>
        <w:t xml:space="preserve">ving </w:t>
      </w:r>
      <w:r w:rsidRPr="0083205E">
        <w:rPr>
          <w:lang w:eastAsia="en-GB"/>
        </w:rPr>
        <w:t>a smorgasbord of portfolios that no one person could do justice to</w:t>
      </w:r>
      <w:r>
        <w:rPr>
          <w:lang w:eastAsia="en-GB"/>
        </w:rPr>
        <w:t>’.</w:t>
      </w:r>
      <w:r>
        <w:rPr>
          <w:rStyle w:val="FootnoteReference"/>
          <w:lang w:eastAsia="en-GB"/>
        </w:rPr>
        <w:footnoteReference w:id="6"/>
      </w:r>
      <w:r>
        <w:rPr>
          <w:lang w:eastAsia="en-GB"/>
        </w:rPr>
        <w:t xml:space="preserve"> </w:t>
      </w:r>
      <w:r>
        <w:t xml:space="preserve">Different types of accountability can be seen to be in play, one being about visibility, client focus and connections, and more general resonance with the public; the other being about process, clarity and alignment. The span of focus is much more complicated where there are multiple portfolios, particularly when they are diverse rather than cognate. Ministers have noted that it is difficult to comprehend portfolios in depth. They </w:t>
      </w:r>
      <w:r w:rsidR="00D5179A">
        <w:t>must</w:t>
      </w:r>
      <w:r>
        <w:t xml:space="preserve"> appear before different committees as part of the accountability process. Functions may be divided between portfolios. It is not clear that ministers are able to convey what is being achieved in some specialised areas, and comments were made about the credibility of a few portfolio areas.</w:t>
      </w:r>
    </w:p>
    <w:p w14:paraId="1F48106B" w14:textId="21B94D77" w:rsidR="009E66BC" w:rsidRPr="00310447" w:rsidRDefault="009E66BC" w:rsidP="00D132AF">
      <w:pPr>
        <w:spacing w:after="120" w:line="276" w:lineRule="auto"/>
        <w:jc w:val="both"/>
        <w:rPr>
          <w:sz w:val="22"/>
        </w:rPr>
      </w:pPr>
      <w:r>
        <w:rPr>
          <w:lang w:val="en-US"/>
        </w:rPr>
        <w:t>T</w:t>
      </w:r>
      <w:r w:rsidR="00B07D12">
        <w:rPr>
          <w:lang w:val="en-US"/>
        </w:rPr>
        <w:t>o take on</w:t>
      </w:r>
      <w:r w:rsidR="00CC3A6A">
        <w:rPr>
          <w:lang w:val="en-US"/>
        </w:rPr>
        <w:t>e</w:t>
      </w:r>
      <w:r w:rsidR="00B07D12">
        <w:rPr>
          <w:lang w:val="en-US"/>
        </w:rPr>
        <w:t xml:space="preserve"> ex</w:t>
      </w:r>
      <w:r w:rsidR="00CC3A6A">
        <w:rPr>
          <w:lang w:val="en-US"/>
        </w:rPr>
        <w:t>am</w:t>
      </w:r>
      <w:r w:rsidR="00B07D12">
        <w:rPr>
          <w:lang w:val="en-US"/>
        </w:rPr>
        <w:t>p</w:t>
      </w:r>
      <w:r w:rsidR="00CC3A6A">
        <w:rPr>
          <w:lang w:val="en-US"/>
        </w:rPr>
        <w:t>le</w:t>
      </w:r>
      <w:r w:rsidR="00B07D12">
        <w:rPr>
          <w:lang w:val="en-US"/>
        </w:rPr>
        <w:t xml:space="preserve">, </w:t>
      </w:r>
      <w:r w:rsidR="00AD34FB">
        <w:rPr>
          <w:lang w:val="en-US"/>
        </w:rPr>
        <w:t>in</w:t>
      </w:r>
      <w:r>
        <w:rPr>
          <w:lang w:val="en-US"/>
        </w:rPr>
        <w:t xml:space="preserve"> 2019 the </w:t>
      </w:r>
      <w:r w:rsidRPr="00310447">
        <w:rPr>
          <w:lang w:val="en-US"/>
        </w:rPr>
        <w:t>Attorney</w:t>
      </w:r>
      <w:r>
        <w:rPr>
          <w:lang w:val="en-US"/>
        </w:rPr>
        <w:t>-</w:t>
      </w:r>
      <w:r w:rsidRPr="00310447">
        <w:rPr>
          <w:lang w:val="en-US"/>
        </w:rPr>
        <w:t>General</w:t>
      </w:r>
      <w:r>
        <w:rPr>
          <w:lang w:val="en-US"/>
        </w:rPr>
        <w:t xml:space="preserve"> has six ministerial appointments. In addition to being Attorney-General </w:t>
      </w:r>
      <w:r w:rsidRPr="00310447">
        <w:rPr>
          <w:lang w:val="en-US"/>
        </w:rPr>
        <w:t>he is</w:t>
      </w:r>
      <w:r>
        <w:rPr>
          <w:lang w:val="en-US"/>
        </w:rPr>
        <w:t xml:space="preserve"> </w:t>
      </w:r>
      <w:r w:rsidRPr="00310447">
        <w:t>Minister for the Arts and Cultural Events, Minister for Building Quality Improvement, Minister for Business and Regulatory Services, Minister for Government Services and Procurement and Minister for Seniors and Veterans.</w:t>
      </w:r>
      <w:r w:rsidR="00001751">
        <w:t xml:space="preserve"> </w:t>
      </w:r>
    </w:p>
    <w:p w14:paraId="3DF7570B" w14:textId="4F04F9F7" w:rsidR="008D1ACA" w:rsidRDefault="00B07D12" w:rsidP="008D1ACA">
      <w:pPr>
        <w:spacing w:line="276" w:lineRule="auto"/>
        <w:jc w:val="both"/>
      </w:pPr>
      <w:r>
        <w:lastRenderedPageBreak/>
        <w:t xml:space="preserve">Diverse </w:t>
      </w:r>
      <w:r w:rsidR="002950CF">
        <w:t xml:space="preserve">portfolios mean dealing with </w:t>
      </w:r>
      <w:r>
        <w:t xml:space="preserve">multiple </w:t>
      </w:r>
      <w:r w:rsidR="00FE3CB8">
        <w:t>d</w:t>
      </w:r>
      <w:r>
        <w:t>irectorates</w:t>
      </w:r>
      <w:r w:rsidR="00001751">
        <w:t xml:space="preserve">. The Chief Minister has only two, the merger of 2011 </w:t>
      </w:r>
      <w:r w:rsidR="00550F58">
        <w:t xml:space="preserve">incorporated </w:t>
      </w:r>
      <w:r w:rsidR="00001751">
        <w:t>Treasury and Economic Development in the Chief Minister’s Directorate</w:t>
      </w:r>
      <w:r w:rsidR="002950CF">
        <w:t>, but t</w:t>
      </w:r>
      <w:r w:rsidR="00550F58">
        <w:t xml:space="preserve">he Deputy Chief Minister’s </w:t>
      </w:r>
      <w:r w:rsidR="002973C0">
        <w:t xml:space="preserve">five </w:t>
      </w:r>
      <w:r w:rsidR="00550F58">
        <w:t xml:space="preserve">portfolios </w:t>
      </w:r>
      <w:r w:rsidR="004255C1">
        <w:t xml:space="preserve">involve six of </w:t>
      </w:r>
      <w:r w:rsidR="002973C0">
        <w:t xml:space="preserve">the </w:t>
      </w:r>
      <w:r w:rsidR="004255C1">
        <w:t xml:space="preserve">seven </w:t>
      </w:r>
      <w:r w:rsidR="00FE3CB8">
        <w:t>d</w:t>
      </w:r>
      <w:r w:rsidR="004255C1">
        <w:t>irectorates</w:t>
      </w:r>
      <w:r w:rsidR="003D3437">
        <w:t xml:space="preserve">. </w:t>
      </w:r>
      <w:r w:rsidR="00F43FC7">
        <w:t>Three</w:t>
      </w:r>
      <w:r w:rsidR="003D3437">
        <w:t xml:space="preserve"> other Ministers work with four </w:t>
      </w:r>
      <w:r w:rsidR="00F77631">
        <w:t>d</w:t>
      </w:r>
      <w:r w:rsidR="003D3437">
        <w:t>irectorates.</w:t>
      </w:r>
    </w:p>
    <w:p w14:paraId="59E79560" w14:textId="2AD89CF3" w:rsidR="008D1ACA" w:rsidRPr="00054DA9" w:rsidRDefault="00054DA9" w:rsidP="00054DA9">
      <w:pPr>
        <w:spacing w:before="100" w:beforeAutospacing="1" w:after="100" w:afterAutospacing="1" w:line="276" w:lineRule="auto"/>
        <w:jc w:val="both"/>
        <w:rPr>
          <w:i/>
          <w:iCs/>
          <w:lang w:val="en-GB"/>
        </w:rPr>
      </w:pPr>
      <w:r w:rsidRPr="00054DA9">
        <w:rPr>
          <w:color w:val="000000" w:themeColor="text1"/>
          <w:lang w:val="en-GB"/>
        </w:rPr>
        <w:t>Recommendation 1:</w:t>
      </w:r>
      <w:r w:rsidRPr="00054DA9">
        <w:rPr>
          <w:i/>
          <w:iCs/>
          <w:color w:val="000000" w:themeColor="text1"/>
          <w:lang w:val="en-GB"/>
        </w:rPr>
        <w:t xml:space="preserve"> </w:t>
      </w:r>
      <w:r w:rsidRPr="00054DA9">
        <w:rPr>
          <w:i/>
          <w:iCs/>
          <w:lang w:val="en-GB"/>
        </w:rPr>
        <w:t>The Executive should seek a better balance between principles of portfolio allocation so that there is greater alignment of ministers and directorates and more stability in the arrangements in the interests of clarity for accountability purposes.</w:t>
      </w:r>
    </w:p>
    <w:p w14:paraId="310ECA7F" w14:textId="67864381" w:rsidR="00AF0A36" w:rsidRPr="00C80DDE" w:rsidRDefault="00AF0A36" w:rsidP="00C37270">
      <w:pPr>
        <w:spacing w:line="360" w:lineRule="auto"/>
        <w:rPr>
          <w:b/>
          <w:bCs/>
          <w:color w:val="4472C4" w:themeColor="accent1"/>
        </w:rPr>
      </w:pPr>
      <w:r w:rsidRPr="00C80DDE">
        <w:rPr>
          <w:b/>
          <w:bCs/>
          <w:color w:val="4472C4" w:themeColor="accent1"/>
        </w:rPr>
        <w:t>Directorates</w:t>
      </w:r>
    </w:p>
    <w:p w14:paraId="518A15F5" w14:textId="3AEC928F" w:rsidR="00307066" w:rsidRDefault="00AF0A36" w:rsidP="001C6D39">
      <w:pPr>
        <w:spacing w:line="276" w:lineRule="auto"/>
        <w:jc w:val="both"/>
      </w:pPr>
      <w:r>
        <w:t xml:space="preserve">The seven directorates </w:t>
      </w:r>
      <w:r w:rsidR="00F2508C">
        <w:t xml:space="preserve">are </w:t>
      </w:r>
      <w:r>
        <w:t>organised by purpose as the primary principle followed by collections of services</w:t>
      </w:r>
      <w:r w:rsidR="0077722F">
        <w:t xml:space="preserve">. </w:t>
      </w:r>
      <w:r w:rsidR="000D277E">
        <w:t xml:space="preserve">They </w:t>
      </w:r>
      <w:r w:rsidR="00307066">
        <w:t xml:space="preserve">generally </w:t>
      </w:r>
      <w:r w:rsidR="000D277E">
        <w:t xml:space="preserve">reflect the </w:t>
      </w:r>
      <w:r w:rsidR="009F153B">
        <w:t>d</w:t>
      </w:r>
      <w:r w:rsidR="00307066">
        <w:t>irectorate</w:t>
      </w:r>
      <w:r w:rsidR="009F153B">
        <w:t>s</w:t>
      </w:r>
      <w:r w:rsidR="00307066">
        <w:t xml:space="preserve"> announced following the Hawke R</w:t>
      </w:r>
      <w:r w:rsidR="00295408">
        <w:t>eport</w:t>
      </w:r>
      <w:r w:rsidR="000D277E">
        <w:t xml:space="preserve"> </w:t>
      </w:r>
      <w:r w:rsidR="009F153B">
        <w:t xml:space="preserve"> </w:t>
      </w:r>
      <w:r w:rsidR="000D277E">
        <w:t>(</w:t>
      </w:r>
      <w:r w:rsidR="009F153B">
        <w:t>ACTPS</w:t>
      </w:r>
      <w:r w:rsidR="00295408">
        <w:t xml:space="preserve"> Review </w:t>
      </w:r>
      <w:r w:rsidR="000D277E">
        <w:t xml:space="preserve">2011), </w:t>
      </w:r>
      <w:r w:rsidR="00307066">
        <w:t xml:space="preserve">with the major exceptions </w:t>
      </w:r>
      <w:r w:rsidR="00457810">
        <w:t xml:space="preserve">being </w:t>
      </w:r>
      <w:r w:rsidR="000D277E">
        <w:t xml:space="preserve">the creation of </w:t>
      </w:r>
      <w:r w:rsidR="00C70029">
        <w:t>Chief Minister, Treasury and Economic Development (</w:t>
      </w:r>
      <w:r>
        <w:t>CMTED</w:t>
      </w:r>
      <w:r w:rsidR="00A40FD6">
        <w:t>D</w:t>
      </w:r>
      <w:r w:rsidR="00C70029">
        <w:t>)</w:t>
      </w:r>
      <w:r>
        <w:t xml:space="preserve"> </w:t>
      </w:r>
      <w:r w:rsidR="000D277E">
        <w:t xml:space="preserve">which </w:t>
      </w:r>
      <w:r w:rsidR="0077722F">
        <w:t>operates</w:t>
      </w:r>
      <w:r>
        <w:t xml:space="preserve"> as a central agency</w:t>
      </w:r>
      <w:r w:rsidR="00C70029">
        <w:t xml:space="preserve"> with some line responsibilities reflecting the interests of the </w:t>
      </w:r>
      <w:r w:rsidR="00313E07">
        <w:t>C</w:t>
      </w:r>
      <w:r w:rsidR="00C70029">
        <w:t xml:space="preserve">hief </w:t>
      </w:r>
      <w:r w:rsidR="00313E07">
        <w:t>M</w:t>
      </w:r>
      <w:r w:rsidR="00C70029">
        <w:t>inister</w:t>
      </w:r>
      <w:r w:rsidR="00307066">
        <w:t xml:space="preserve">; and </w:t>
      </w:r>
      <w:r w:rsidR="000D277E">
        <w:t xml:space="preserve">Transport Canberra and City Services </w:t>
      </w:r>
      <w:r w:rsidR="00307066">
        <w:t xml:space="preserve">more recently </w:t>
      </w:r>
      <w:r w:rsidR="000D277E">
        <w:t>replac</w:t>
      </w:r>
      <w:r w:rsidR="007E0681">
        <w:t>ing</w:t>
      </w:r>
      <w:r w:rsidR="000D277E">
        <w:t xml:space="preserve"> </w:t>
      </w:r>
      <w:r w:rsidR="00307066" w:rsidRPr="00307066">
        <w:t>Territory and Municipal Services</w:t>
      </w:r>
      <w:r w:rsidR="002148D5">
        <w:t>.</w:t>
      </w:r>
    </w:p>
    <w:p w14:paraId="7918A23D" w14:textId="0869AD28" w:rsidR="00AF0A36" w:rsidRDefault="00AF0A36" w:rsidP="009410EE">
      <w:pPr>
        <w:jc w:val="both"/>
      </w:pPr>
    </w:p>
    <w:p w14:paraId="3F5981D8" w14:textId="22DAE9E6" w:rsidR="00EE7C00" w:rsidRDefault="004142F6" w:rsidP="00860E9A">
      <w:pPr>
        <w:spacing w:line="360" w:lineRule="auto"/>
      </w:pPr>
      <w:r>
        <w:t>Table 2</w:t>
      </w:r>
      <w:r w:rsidR="00412567">
        <w:tab/>
      </w:r>
      <w:r w:rsidR="00412567">
        <w:tab/>
        <w:t xml:space="preserve">Directorates and </w:t>
      </w:r>
      <w:r w:rsidR="00F450D8">
        <w:t>M</w:t>
      </w:r>
      <w:r w:rsidR="00412567">
        <w:t>inisters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524"/>
        <w:gridCol w:w="1701"/>
        <w:gridCol w:w="1701"/>
      </w:tblGrid>
      <w:tr w:rsidR="00704DFB" w:rsidRPr="00220315" w14:paraId="181E40FA" w14:textId="77777777" w:rsidTr="00704DFB">
        <w:tc>
          <w:tcPr>
            <w:tcW w:w="5524" w:type="dxa"/>
          </w:tcPr>
          <w:p w14:paraId="5DBBCAA9" w14:textId="77777777" w:rsidR="00704DFB" w:rsidRPr="00220315" w:rsidRDefault="00704DFB" w:rsidP="002B4126">
            <w:pPr>
              <w:rPr>
                <w:i/>
                <w:iCs/>
              </w:rPr>
            </w:pPr>
            <w:r w:rsidRPr="00220315">
              <w:rPr>
                <w:i/>
                <w:iCs/>
              </w:rPr>
              <w:t>Directorate</w:t>
            </w:r>
          </w:p>
        </w:tc>
        <w:tc>
          <w:tcPr>
            <w:tcW w:w="1701" w:type="dxa"/>
            <w:tcBorders>
              <w:bottom w:val="single" w:sz="4" w:space="0" w:color="auto"/>
            </w:tcBorders>
          </w:tcPr>
          <w:p w14:paraId="54D32130" w14:textId="4F33B8E8" w:rsidR="00704DFB" w:rsidRPr="00220315" w:rsidRDefault="00704DFB" w:rsidP="00704DFB">
            <w:pPr>
              <w:jc w:val="center"/>
              <w:rPr>
                <w:i/>
                <w:iCs/>
              </w:rPr>
            </w:pPr>
            <w:r>
              <w:rPr>
                <w:i/>
                <w:iCs/>
              </w:rPr>
              <w:t>Minister</w:t>
            </w:r>
            <w:r w:rsidR="0046006D">
              <w:rPr>
                <w:i/>
                <w:iCs/>
              </w:rPr>
              <w:t xml:space="preserve"> (N)</w:t>
            </w:r>
          </w:p>
        </w:tc>
        <w:tc>
          <w:tcPr>
            <w:tcW w:w="1701" w:type="dxa"/>
            <w:tcBorders>
              <w:bottom w:val="single" w:sz="4" w:space="0" w:color="auto"/>
            </w:tcBorders>
          </w:tcPr>
          <w:p w14:paraId="085AA2A5" w14:textId="39C7EEE8" w:rsidR="00704DFB" w:rsidRPr="00220315" w:rsidRDefault="00704DFB" w:rsidP="00704DFB">
            <w:pPr>
              <w:jc w:val="center"/>
              <w:rPr>
                <w:i/>
                <w:iCs/>
              </w:rPr>
            </w:pPr>
            <w:r>
              <w:rPr>
                <w:i/>
                <w:iCs/>
              </w:rPr>
              <w:t>Portfolios</w:t>
            </w:r>
            <w:r w:rsidR="00332978">
              <w:rPr>
                <w:i/>
                <w:iCs/>
              </w:rPr>
              <w:t xml:space="preserve"> </w:t>
            </w:r>
            <w:r w:rsidR="0046006D">
              <w:rPr>
                <w:i/>
                <w:iCs/>
              </w:rPr>
              <w:t>(N)</w:t>
            </w:r>
          </w:p>
        </w:tc>
      </w:tr>
      <w:tr w:rsidR="00704DFB" w14:paraId="3C1E4741" w14:textId="77777777" w:rsidTr="00704DFB">
        <w:tc>
          <w:tcPr>
            <w:tcW w:w="5524" w:type="dxa"/>
            <w:tcBorders>
              <w:bottom w:val="nil"/>
            </w:tcBorders>
          </w:tcPr>
          <w:p w14:paraId="5BAF70AA" w14:textId="77777777" w:rsidR="00704DFB" w:rsidRDefault="00704DFB" w:rsidP="002B4126">
            <w:r>
              <w:t>Chief Minister, Treasury and Economic Development</w:t>
            </w:r>
          </w:p>
        </w:tc>
        <w:tc>
          <w:tcPr>
            <w:tcW w:w="1701" w:type="dxa"/>
            <w:tcBorders>
              <w:bottom w:val="nil"/>
            </w:tcBorders>
          </w:tcPr>
          <w:p w14:paraId="6C921109" w14:textId="192AB391" w:rsidR="00704DFB" w:rsidRDefault="00704DFB" w:rsidP="000B4F82">
            <w:pPr>
              <w:jc w:val="center"/>
            </w:pPr>
            <w:r>
              <w:t>6</w:t>
            </w:r>
          </w:p>
        </w:tc>
        <w:tc>
          <w:tcPr>
            <w:tcW w:w="1701" w:type="dxa"/>
            <w:tcBorders>
              <w:bottom w:val="nil"/>
            </w:tcBorders>
          </w:tcPr>
          <w:p w14:paraId="74820C49" w14:textId="68EF46D4" w:rsidR="00704DFB" w:rsidRDefault="00704DFB" w:rsidP="000B4F82">
            <w:pPr>
              <w:jc w:val="center"/>
            </w:pPr>
            <w:r>
              <w:t>13</w:t>
            </w:r>
          </w:p>
        </w:tc>
      </w:tr>
      <w:tr w:rsidR="00704DFB" w14:paraId="02FA3859" w14:textId="77777777" w:rsidTr="00704DFB">
        <w:tc>
          <w:tcPr>
            <w:tcW w:w="5524" w:type="dxa"/>
            <w:tcBorders>
              <w:top w:val="nil"/>
              <w:bottom w:val="nil"/>
            </w:tcBorders>
          </w:tcPr>
          <w:p w14:paraId="70A05078" w14:textId="77777777" w:rsidR="00704DFB" w:rsidRDefault="00704DFB" w:rsidP="009132CA">
            <w:r>
              <w:t>Community Services</w:t>
            </w:r>
          </w:p>
        </w:tc>
        <w:tc>
          <w:tcPr>
            <w:tcW w:w="1701" w:type="dxa"/>
            <w:tcBorders>
              <w:top w:val="nil"/>
              <w:bottom w:val="nil"/>
            </w:tcBorders>
          </w:tcPr>
          <w:p w14:paraId="019FF32A" w14:textId="7377EC50" w:rsidR="00704DFB" w:rsidRDefault="00BC7D0A" w:rsidP="000B4F82">
            <w:pPr>
              <w:jc w:val="center"/>
            </w:pPr>
            <w:r>
              <w:t>4</w:t>
            </w:r>
          </w:p>
        </w:tc>
        <w:tc>
          <w:tcPr>
            <w:tcW w:w="1701" w:type="dxa"/>
            <w:tcBorders>
              <w:top w:val="nil"/>
              <w:bottom w:val="nil"/>
            </w:tcBorders>
          </w:tcPr>
          <w:p w14:paraId="513BECDA" w14:textId="64217AFB" w:rsidR="00704DFB" w:rsidRDefault="00BC7D0A" w:rsidP="000B4F82">
            <w:pPr>
              <w:jc w:val="center"/>
            </w:pPr>
            <w:r>
              <w:t>10</w:t>
            </w:r>
          </w:p>
        </w:tc>
      </w:tr>
      <w:tr w:rsidR="00704DFB" w14:paraId="6FB64841" w14:textId="77777777" w:rsidTr="00704DFB">
        <w:tc>
          <w:tcPr>
            <w:tcW w:w="5524" w:type="dxa"/>
            <w:tcBorders>
              <w:top w:val="nil"/>
              <w:bottom w:val="nil"/>
            </w:tcBorders>
          </w:tcPr>
          <w:p w14:paraId="545056F1" w14:textId="77777777" w:rsidR="00704DFB" w:rsidRDefault="00704DFB" w:rsidP="009132CA">
            <w:r>
              <w:t>Education</w:t>
            </w:r>
          </w:p>
        </w:tc>
        <w:tc>
          <w:tcPr>
            <w:tcW w:w="1701" w:type="dxa"/>
            <w:tcBorders>
              <w:top w:val="nil"/>
              <w:bottom w:val="nil"/>
            </w:tcBorders>
          </w:tcPr>
          <w:p w14:paraId="651F58C7" w14:textId="00E27F2E" w:rsidR="00704DFB" w:rsidRDefault="00BA67F5" w:rsidP="000B4F82">
            <w:pPr>
              <w:jc w:val="center"/>
            </w:pPr>
            <w:r>
              <w:t>1</w:t>
            </w:r>
          </w:p>
        </w:tc>
        <w:tc>
          <w:tcPr>
            <w:tcW w:w="1701" w:type="dxa"/>
            <w:tcBorders>
              <w:top w:val="nil"/>
              <w:bottom w:val="nil"/>
            </w:tcBorders>
          </w:tcPr>
          <w:p w14:paraId="292446A1" w14:textId="14ABD988" w:rsidR="00704DFB" w:rsidRDefault="00BA67F5" w:rsidP="000B4F82">
            <w:pPr>
              <w:jc w:val="center"/>
            </w:pPr>
            <w:r>
              <w:t xml:space="preserve">  1</w:t>
            </w:r>
          </w:p>
        </w:tc>
      </w:tr>
      <w:tr w:rsidR="00704DFB" w14:paraId="6FEA8E32" w14:textId="77777777" w:rsidTr="00704DFB">
        <w:tc>
          <w:tcPr>
            <w:tcW w:w="5524" w:type="dxa"/>
            <w:tcBorders>
              <w:top w:val="nil"/>
              <w:bottom w:val="nil"/>
            </w:tcBorders>
          </w:tcPr>
          <w:p w14:paraId="3EFEE78A" w14:textId="77777777" w:rsidR="00704DFB" w:rsidRDefault="00704DFB" w:rsidP="00EF540B">
            <w:r>
              <w:t>Environment, Planning and Sustainable Development</w:t>
            </w:r>
          </w:p>
        </w:tc>
        <w:tc>
          <w:tcPr>
            <w:tcW w:w="1701" w:type="dxa"/>
            <w:tcBorders>
              <w:top w:val="nil"/>
              <w:bottom w:val="nil"/>
            </w:tcBorders>
          </w:tcPr>
          <w:p w14:paraId="39BA6591" w14:textId="01D95701" w:rsidR="00704DFB" w:rsidRDefault="00113312" w:rsidP="000B4F82">
            <w:pPr>
              <w:jc w:val="center"/>
            </w:pPr>
            <w:r>
              <w:t>6</w:t>
            </w:r>
          </w:p>
        </w:tc>
        <w:tc>
          <w:tcPr>
            <w:tcW w:w="1701" w:type="dxa"/>
            <w:tcBorders>
              <w:top w:val="nil"/>
              <w:bottom w:val="nil"/>
            </w:tcBorders>
          </w:tcPr>
          <w:p w14:paraId="540571C6" w14:textId="7055D4BE" w:rsidR="00704DFB" w:rsidRDefault="00113312" w:rsidP="000B4F82">
            <w:pPr>
              <w:jc w:val="center"/>
            </w:pPr>
            <w:r>
              <w:t xml:space="preserve">  8</w:t>
            </w:r>
          </w:p>
        </w:tc>
      </w:tr>
      <w:tr w:rsidR="00704DFB" w14:paraId="339EC4F3" w14:textId="77777777" w:rsidTr="00704DFB">
        <w:tc>
          <w:tcPr>
            <w:tcW w:w="5524" w:type="dxa"/>
            <w:tcBorders>
              <w:top w:val="nil"/>
              <w:bottom w:val="nil"/>
            </w:tcBorders>
          </w:tcPr>
          <w:p w14:paraId="145E0921" w14:textId="77777777" w:rsidR="00704DFB" w:rsidRDefault="00704DFB" w:rsidP="00EF540B">
            <w:r>
              <w:t>Health</w:t>
            </w:r>
          </w:p>
        </w:tc>
        <w:tc>
          <w:tcPr>
            <w:tcW w:w="1701" w:type="dxa"/>
            <w:tcBorders>
              <w:top w:val="nil"/>
              <w:bottom w:val="nil"/>
            </w:tcBorders>
          </w:tcPr>
          <w:p w14:paraId="1E517FFD" w14:textId="64FC325C" w:rsidR="00704DFB" w:rsidRDefault="005330CD" w:rsidP="000B4F82">
            <w:pPr>
              <w:jc w:val="center"/>
            </w:pPr>
            <w:r>
              <w:t>2</w:t>
            </w:r>
          </w:p>
        </w:tc>
        <w:tc>
          <w:tcPr>
            <w:tcW w:w="1701" w:type="dxa"/>
            <w:tcBorders>
              <w:top w:val="nil"/>
              <w:bottom w:val="nil"/>
            </w:tcBorders>
          </w:tcPr>
          <w:p w14:paraId="7690FF4B" w14:textId="13870B32" w:rsidR="00704DFB" w:rsidRDefault="003E3B08" w:rsidP="000B4F82">
            <w:pPr>
              <w:jc w:val="center"/>
            </w:pPr>
            <w:r>
              <w:t xml:space="preserve">  </w:t>
            </w:r>
            <w:r w:rsidR="005330CD">
              <w:t>3</w:t>
            </w:r>
          </w:p>
        </w:tc>
      </w:tr>
      <w:tr w:rsidR="00704DFB" w14:paraId="20037B95" w14:textId="77777777" w:rsidTr="00704DFB">
        <w:tc>
          <w:tcPr>
            <w:tcW w:w="5524" w:type="dxa"/>
            <w:tcBorders>
              <w:top w:val="nil"/>
              <w:bottom w:val="nil"/>
            </w:tcBorders>
          </w:tcPr>
          <w:p w14:paraId="6CF67CE9" w14:textId="07B83E19" w:rsidR="00704DFB" w:rsidRDefault="00704DFB" w:rsidP="00EF540B">
            <w:r>
              <w:t>Justice and Community Safety</w:t>
            </w:r>
          </w:p>
        </w:tc>
        <w:tc>
          <w:tcPr>
            <w:tcW w:w="1701" w:type="dxa"/>
            <w:tcBorders>
              <w:top w:val="nil"/>
              <w:bottom w:val="nil"/>
            </w:tcBorders>
          </w:tcPr>
          <w:p w14:paraId="169A7569" w14:textId="3EC542C6" w:rsidR="00704DFB" w:rsidRDefault="003E3B08" w:rsidP="000B4F82">
            <w:pPr>
              <w:jc w:val="center"/>
            </w:pPr>
            <w:r>
              <w:t>3</w:t>
            </w:r>
          </w:p>
        </w:tc>
        <w:tc>
          <w:tcPr>
            <w:tcW w:w="1701" w:type="dxa"/>
            <w:tcBorders>
              <w:top w:val="nil"/>
              <w:bottom w:val="nil"/>
            </w:tcBorders>
          </w:tcPr>
          <w:p w14:paraId="4722E04B" w14:textId="09E4E0BD" w:rsidR="00704DFB" w:rsidRDefault="003E3B08" w:rsidP="000B4F82">
            <w:pPr>
              <w:jc w:val="center"/>
            </w:pPr>
            <w:r>
              <w:t xml:space="preserve">  4</w:t>
            </w:r>
          </w:p>
        </w:tc>
      </w:tr>
      <w:tr w:rsidR="00704DFB" w14:paraId="204C8B33" w14:textId="77777777" w:rsidTr="00704DFB">
        <w:tc>
          <w:tcPr>
            <w:tcW w:w="5524" w:type="dxa"/>
            <w:tcBorders>
              <w:top w:val="nil"/>
            </w:tcBorders>
          </w:tcPr>
          <w:p w14:paraId="40A8D0E8" w14:textId="77777777" w:rsidR="00704DFB" w:rsidRDefault="00704DFB" w:rsidP="00EF540B">
            <w:r>
              <w:t>Transport Canberra and City Services</w:t>
            </w:r>
          </w:p>
        </w:tc>
        <w:tc>
          <w:tcPr>
            <w:tcW w:w="1701" w:type="dxa"/>
            <w:tcBorders>
              <w:top w:val="nil"/>
            </w:tcBorders>
          </w:tcPr>
          <w:p w14:paraId="3261A159" w14:textId="57616ED2" w:rsidR="00704DFB" w:rsidRDefault="00E72DEB" w:rsidP="000B4F82">
            <w:pPr>
              <w:jc w:val="center"/>
            </w:pPr>
            <w:r>
              <w:t>2</w:t>
            </w:r>
          </w:p>
        </w:tc>
        <w:tc>
          <w:tcPr>
            <w:tcW w:w="1701" w:type="dxa"/>
            <w:tcBorders>
              <w:top w:val="nil"/>
            </w:tcBorders>
          </w:tcPr>
          <w:p w14:paraId="27631C97" w14:textId="4E6235A2" w:rsidR="00704DFB" w:rsidRDefault="00E72DEB" w:rsidP="000B4F82">
            <w:pPr>
              <w:jc w:val="center"/>
            </w:pPr>
            <w:r>
              <w:t xml:space="preserve">  2</w:t>
            </w:r>
          </w:p>
        </w:tc>
      </w:tr>
    </w:tbl>
    <w:p w14:paraId="222E1A83" w14:textId="29EEC6FA" w:rsidR="00AB7E2D" w:rsidRPr="009C6000" w:rsidRDefault="00444DF6" w:rsidP="00AF0A36">
      <w:pPr>
        <w:rPr>
          <w:sz w:val="21"/>
          <w:szCs w:val="21"/>
        </w:rPr>
      </w:pPr>
      <w:r w:rsidRPr="009C6000">
        <w:rPr>
          <w:sz w:val="21"/>
          <w:szCs w:val="21"/>
        </w:rPr>
        <w:t>Sources: complied</w:t>
      </w:r>
      <w:r w:rsidR="009F756D" w:rsidRPr="009C6000">
        <w:rPr>
          <w:sz w:val="21"/>
          <w:szCs w:val="21"/>
        </w:rPr>
        <w:t xml:space="preserve"> from</w:t>
      </w:r>
      <w:r w:rsidR="005F3D2F" w:rsidRPr="009C6000">
        <w:rPr>
          <w:sz w:val="21"/>
          <w:szCs w:val="21"/>
        </w:rPr>
        <w:t xml:space="preserve"> </w:t>
      </w:r>
      <w:r w:rsidR="009F756D" w:rsidRPr="009C6000">
        <w:rPr>
          <w:sz w:val="21"/>
          <w:szCs w:val="21"/>
        </w:rPr>
        <w:t>sources</w:t>
      </w:r>
      <w:r w:rsidR="005F3D2F" w:rsidRPr="009C6000">
        <w:rPr>
          <w:sz w:val="21"/>
          <w:szCs w:val="21"/>
        </w:rPr>
        <w:t xml:space="preserve"> for Table 1.</w:t>
      </w:r>
    </w:p>
    <w:p w14:paraId="7DB86DBB" w14:textId="73D496F3" w:rsidR="00F450D8" w:rsidRPr="00307066" w:rsidRDefault="00F450D8" w:rsidP="00F450D8">
      <w:pPr>
        <w:spacing w:line="276" w:lineRule="auto"/>
        <w:jc w:val="both"/>
      </w:pPr>
      <w:r>
        <w:t>Table 2 looks at the stakeholder ministers and the range of portfolio</w:t>
      </w:r>
      <w:r w:rsidR="00443CFE">
        <w:t>s</w:t>
      </w:r>
      <w:r>
        <w:t xml:space="preserve">. Not unexpectedly, almost all </w:t>
      </w:r>
      <w:r w:rsidR="008615C0">
        <w:t>m</w:t>
      </w:r>
      <w:r>
        <w:t xml:space="preserve">inisters have responsibilities that involve CMTEDD, and these cover a total of thirteen portfolios. Other </w:t>
      </w:r>
      <w:r w:rsidR="00CC44A1">
        <w:t>d</w:t>
      </w:r>
      <w:r>
        <w:t>irectorates with multiple minister</w:t>
      </w:r>
      <w:r w:rsidR="009F153B">
        <w:t>s</w:t>
      </w:r>
      <w:r>
        <w:t xml:space="preserve"> and portfolios are Community Services with four ministers but ten portfolios and Environment, Planning and Sustainable Development with six ministers and eight portfolios. Education has one minister with a single portfolio and Transport Canberra and City Services has two </w:t>
      </w:r>
      <w:r w:rsidR="008615C0">
        <w:t>m</w:t>
      </w:r>
      <w:r>
        <w:t>inisters each with a single portfolio.</w:t>
      </w:r>
    </w:p>
    <w:p w14:paraId="4D923998" w14:textId="77777777" w:rsidR="00F450D8" w:rsidRDefault="00F450D8" w:rsidP="00AF0A36"/>
    <w:p w14:paraId="6C6AA823" w14:textId="2CF9BD89" w:rsidR="00AF0A36" w:rsidRPr="00C80DDE" w:rsidRDefault="00AF0A36" w:rsidP="00C37270">
      <w:pPr>
        <w:pStyle w:val="Normal18J"/>
        <w:rPr>
          <w:b/>
          <w:bCs/>
          <w:color w:val="4472C4" w:themeColor="accent1"/>
        </w:rPr>
      </w:pPr>
      <w:r w:rsidRPr="00C80DDE">
        <w:rPr>
          <w:b/>
          <w:bCs/>
          <w:color w:val="4472C4" w:themeColor="accent1"/>
        </w:rPr>
        <w:t>Accountability</w:t>
      </w:r>
      <w:r w:rsidR="00D62610" w:rsidRPr="00C80DDE">
        <w:rPr>
          <w:b/>
          <w:bCs/>
          <w:color w:val="4472C4" w:themeColor="accent1"/>
        </w:rPr>
        <w:t xml:space="preserve"> and </w:t>
      </w:r>
      <w:r w:rsidR="00F8331F" w:rsidRPr="00C80DDE">
        <w:rPr>
          <w:b/>
          <w:bCs/>
          <w:color w:val="4472C4" w:themeColor="accent1"/>
        </w:rPr>
        <w:t>P</w:t>
      </w:r>
      <w:r w:rsidR="00D62610" w:rsidRPr="00C80DDE">
        <w:rPr>
          <w:b/>
          <w:bCs/>
          <w:color w:val="4472C4" w:themeColor="accent1"/>
        </w:rPr>
        <w:t>erformance</w:t>
      </w:r>
    </w:p>
    <w:p w14:paraId="594A0ACF" w14:textId="10AE535C" w:rsidR="008134E1" w:rsidRDefault="007202E9" w:rsidP="00D132AF">
      <w:pPr>
        <w:spacing w:after="120" w:line="276" w:lineRule="auto"/>
        <w:jc w:val="both"/>
      </w:pPr>
      <w:r>
        <w:t>There is a s</w:t>
      </w:r>
      <w:r w:rsidR="00AF0A36">
        <w:t>tandard array of accountability and reporting documents</w:t>
      </w:r>
      <w:r>
        <w:t xml:space="preserve"> for both the </w:t>
      </w:r>
      <w:r w:rsidR="00305127">
        <w:t xml:space="preserve">ACT </w:t>
      </w:r>
      <w:r>
        <w:t>Government and the ACTPS</w:t>
      </w:r>
      <w:r w:rsidR="00D11027">
        <w:t xml:space="preserve">. A key </w:t>
      </w:r>
      <w:r w:rsidR="00D30D4C">
        <w:t>G</w:t>
      </w:r>
      <w:r w:rsidR="00DE1A3D">
        <w:t xml:space="preserve">overnment </w:t>
      </w:r>
      <w:r w:rsidR="00D11027">
        <w:t xml:space="preserve">report is the delivery document reflecting </w:t>
      </w:r>
      <w:r w:rsidR="00D30D4C">
        <w:t>its</w:t>
      </w:r>
      <w:r w:rsidR="00D11027">
        <w:t xml:space="preserve"> priorities and the Parliamentary Agreement between the ALP and the Greens.</w:t>
      </w:r>
      <w:r w:rsidR="00DE1A3D">
        <w:t xml:space="preserve"> The </w:t>
      </w:r>
      <w:r w:rsidR="00DE1A3D">
        <w:lastRenderedPageBreak/>
        <w:t xml:space="preserve">estimates process and the annual review of reports and finances by the Assembly are central to the accountability regime. In both cases ministers and senior public servants appear before Assembly committees. </w:t>
      </w:r>
      <w:r w:rsidR="003222E8">
        <w:t xml:space="preserve">The </w:t>
      </w:r>
      <w:r w:rsidR="001B4CF4">
        <w:t xml:space="preserve">ACT </w:t>
      </w:r>
      <w:r w:rsidR="003222E8">
        <w:t>G</w:t>
      </w:r>
      <w:r w:rsidR="00DE1A3D">
        <w:t>overnment is also expected to respond to Assembly reports within a fixed period of time. The annual reports of directorates are the main form of external reporting.</w:t>
      </w:r>
      <w:r w:rsidR="001750CB">
        <w:t xml:space="preserve"> </w:t>
      </w:r>
      <w:r w:rsidR="008134E1">
        <w:t xml:space="preserve">External accountability to </w:t>
      </w:r>
      <w:r w:rsidR="00D6596D">
        <w:t>the Legislative Assembly</w:t>
      </w:r>
      <w:r w:rsidR="008134E1">
        <w:t xml:space="preserve"> and </w:t>
      </w:r>
      <w:r w:rsidR="00B27296">
        <w:t>O</w:t>
      </w:r>
      <w:r w:rsidR="008134E1">
        <w:t>ffice</w:t>
      </w:r>
      <w:r w:rsidR="004A2040">
        <w:t>r</w:t>
      </w:r>
      <w:r w:rsidR="008134E1">
        <w:t xml:space="preserve">s of </w:t>
      </w:r>
      <w:r w:rsidR="00B27296">
        <w:t>P</w:t>
      </w:r>
      <w:r w:rsidR="008134E1">
        <w:t>arliament – the Auditor</w:t>
      </w:r>
      <w:r w:rsidR="0020547C">
        <w:t>-</w:t>
      </w:r>
      <w:r w:rsidR="008134E1">
        <w:t>General and the Om</w:t>
      </w:r>
      <w:r w:rsidR="00AC7276">
        <w:t>b</w:t>
      </w:r>
      <w:r w:rsidR="008134E1">
        <w:t>udsman</w:t>
      </w:r>
      <w:r w:rsidR="004A2040">
        <w:t xml:space="preserve"> – discussed later</w:t>
      </w:r>
      <w:r w:rsidR="004F4BA9">
        <w:t>.</w:t>
      </w:r>
    </w:p>
    <w:p w14:paraId="256908CE" w14:textId="7AE70684" w:rsidR="009410EE" w:rsidRDefault="00AF0A36" w:rsidP="00F1467E">
      <w:pPr>
        <w:pStyle w:val="xmsonormal"/>
        <w:spacing w:before="0" w:beforeAutospacing="0" w:after="0" w:afterAutospacing="0" w:line="276" w:lineRule="auto"/>
        <w:jc w:val="both"/>
        <w:rPr>
          <w:color w:val="000000"/>
          <w:bdr w:val="none" w:sz="0" w:space="0" w:color="auto" w:frame="1"/>
        </w:rPr>
      </w:pPr>
      <w:r w:rsidRPr="00FE36BA">
        <w:rPr>
          <w:color w:val="000000"/>
          <w:bdr w:val="none" w:sz="0" w:space="0" w:color="auto" w:frame="1"/>
        </w:rPr>
        <w:t xml:space="preserve">In addition, it is worth knowing whether there are consequences within the ACT public service for poor performance in this regard. While directors-general are accountable to the relevant minister, there </w:t>
      </w:r>
      <w:r w:rsidR="0077722F" w:rsidRPr="00FE36BA">
        <w:rPr>
          <w:color w:val="000000"/>
          <w:bdr w:val="none" w:sz="0" w:space="0" w:color="auto" w:frame="1"/>
        </w:rPr>
        <w:t xml:space="preserve">are </w:t>
      </w:r>
      <w:r w:rsidRPr="00FE36BA">
        <w:rPr>
          <w:color w:val="000000"/>
          <w:bdr w:val="none" w:sz="0" w:space="0" w:color="auto" w:frame="1"/>
        </w:rPr>
        <w:t xml:space="preserve">also administrative mechanisms built into public service governance arrangements </w:t>
      </w:r>
      <w:r w:rsidR="00E07303">
        <w:rPr>
          <w:color w:val="000000"/>
          <w:bdr w:val="none" w:sz="0" w:space="0" w:color="auto" w:frame="1"/>
        </w:rPr>
        <w:t>for</w:t>
      </w:r>
      <w:r w:rsidRPr="00FE36BA">
        <w:rPr>
          <w:color w:val="000000"/>
          <w:bdr w:val="none" w:sz="0" w:space="0" w:color="auto" w:frame="1"/>
        </w:rPr>
        <w:t xml:space="preserve"> annual performance review processes by which the Head of Service is able to</w:t>
      </w:r>
      <w:r w:rsidR="00E07303">
        <w:rPr>
          <w:color w:val="000000"/>
          <w:bdr w:val="none" w:sz="0" w:space="0" w:color="auto" w:frame="1"/>
        </w:rPr>
        <w:t xml:space="preserve"> </w:t>
      </w:r>
      <w:r w:rsidRPr="00FE36BA">
        <w:rPr>
          <w:color w:val="000000"/>
          <w:bdr w:val="none" w:sz="0" w:space="0" w:color="auto" w:frame="1"/>
        </w:rPr>
        <w:t>guide directors-general</w:t>
      </w:r>
      <w:r w:rsidR="009F364F">
        <w:rPr>
          <w:color w:val="000000"/>
          <w:bdr w:val="none" w:sz="0" w:space="0" w:color="auto" w:frame="1"/>
        </w:rPr>
        <w:t>s</w:t>
      </w:r>
      <w:r w:rsidRPr="00FE36BA">
        <w:rPr>
          <w:color w:val="000000"/>
          <w:bdr w:val="none" w:sz="0" w:space="0" w:color="auto" w:frame="1"/>
        </w:rPr>
        <w:t xml:space="preserve"> in </w:t>
      </w:r>
      <w:r w:rsidR="00D60E7E">
        <w:rPr>
          <w:color w:val="000000"/>
          <w:bdr w:val="none" w:sz="0" w:space="0" w:color="auto" w:frame="1"/>
        </w:rPr>
        <w:t>responding to</w:t>
      </w:r>
      <w:r w:rsidRPr="00FE36BA">
        <w:rPr>
          <w:color w:val="000000"/>
          <w:bdr w:val="none" w:sz="0" w:space="0" w:color="auto" w:frame="1"/>
        </w:rPr>
        <w:t xml:space="preserve"> </w:t>
      </w:r>
      <w:r w:rsidR="000675CA">
        <w:rPr>
          <w:color w:val="000000"/>
          <w:bdr w:val="none" w:sz="0" w:space="0" w:color="auto" w:frame="1"/>
        </w:rPr>
        <w:t>internal and</w:t>
      </w:r>
      <w:r w:rsidRPr="00FE36BA">
        <w:rPr>
          <w:color w:val="000000"/>
          <w:bdr w:val="none" w:sz="0" w:space="0" w:color="auto" w:frame="1"/>
        </w:rPr>
        <w:t xml:space="preserve"> </w:t>
      </w:r>
      <w:r w:rsidR="00E07303">
        <w:rPr>
          <w:color w:val="000000"/>
          <w:bdr w:val="none" w:sz="0" w:space="0" w:color="auto" w:frame="1"/>
        </w:rPr>
        <w:t>external</w:t>
      </w:r>
      <w:r w:rsidRPr="00FE36BA">
        <w:rPr>
          <w:color w:val="000000"/>
          <w:bdr w:val="none" w:sz="0" w:space="0" w:color="auto" w:frame="1"/>
        </w:rPr>
        <w:t xml:space="preserve"> requirements.</w:t>
      </w:r>
    </w:p>
    <w:p w14:paraId="341A4060" w14:textId="77777777" w:rsidR="00F1467E" w:rsidRPr="00F1467E" w:rsidRDefault="00F1467E" w:rsidP="00F1467E">
      <w:pPr>
        <w:pStyle w:val="xmsonormal"/>
        <w:spacing w:before="0" w:beforeAutospacing="0" w:after="0" w:afterAutospacing="0" w:line="276" w:lineRule="auto"/>
        <w:jc w:val="both"/>
        <w:rPr>
          <w:color w:val="000000"/>
          <w:bdr w:val="none" w:sz="0" w:space="0" w:color="auto" w:frame="1"/>
        </w:rPr>
      </w:pPr>
    </w:p>
    <w:p w14:paraId="5B7BE6B8" w14:textId="6C08B733" w:rsidR="00AF0A36" w:rsidRPr="000E5A85" w:rsidRDefault="00AF0A36" w:rsidP="00C37270">
      <w:pPr>
        <w:pStyle w:val="Normal18J"/>
        <w:rPr>
          <w:i/>
          <w:iCs/>
        </w:rPr>
      </w:pPr>
      <w:r w:rsidRPr="000E5A85">
        <w:rPr>
          <w:i/>
          <w:iCs/>
        </w:rPr>
        <w:t>Performance management</w:t>
      </w:r>
    </w:p>
    <w:p w14:paraId="691538B5" w14:textId="0D0EBDB0" w:rsidR="000A4EBD" w:rsidRDefault="00AF0A36" w:rsidP="00D132AF">
      <w:pPr>
        <w:spacing w:after="120" w:line="276" w:lineRule="auto"/>
        <w:jc w:val="both"/>
      </w:pPr>
      <w:r w:rsidRPr="004228B4">
        <w:t xml:space="preserve">CMTEDD has produced </w:t>
      </w:r>
      <w:r w:rsidRPr="004228B4">
        <w:rPr>
          <w:i/>
          <w:iCs/>
        </w:rPr>
        <w:t>Strengthening Performance and Accountability: A Framework for the A</w:t>
      </w:r>
      <w:r w:rsidR="005A4A3E">
        <w:rPr>
          <w:i/>
          <w:iCs/>
        </w:rPr>
        <w:t>CT</w:t>
      </w:r>
      <w:r w:rsidRPr="004228B4">
        <w:rPr>
          <w:i/>
          <w:iCs/>
        </w:rPr>
        <w:t xml:space="preserve"> </w:t>
      </w:r>
      <w:r w:rsidR="00581A17" w:rsidRPr="004228B4">
        <w:rPr>
          <w:i/>
          <w:iCs/>
        </w:rPr>
        <w:t>Government</w:t>
      </w:r>
      <w:r w:rsidR="00581A17" w:rsidRPr="004228B4">
        <w:t xml:space="preserve"> (</w:t>
      </w:r>
      <w:r w:rsidRPr="004228B4">
        <w:t>April 2019)</w:t>
      </w:r>
      <w:r w:rsidR="000E5A85" w:rsidRPr="004228B4">
        <w:t>, which outlines the expectations for a performance regime.</w:t>
      </w:r>
      <w:r w:rsidR="00021A59">
        <w:t xml:space="preserve"> </w:t>
      </w:r>
      <w:r w:rsidR="00D95FB3" w:rsidRPr="004228B4">
        <w:t>Annual reports contain performance statement by directorates, which are subject to review by the Auditor</w:t>
      </w:r>
      <w:r w:rsidR="0020547C" w:rsidRPr="004228B4">
        <w:t>-</w:t>
      </w:r>
      <w:r w:rsidR="00D95FB3" w:rsidRPr="004228B4">
        <w:t>General.</w:t>
      </w:r>
      <w:r w:rsidR="000A4EBD">
        <w:t xml:space="preserve"> </w:t>
      </w:r>
      <w:r w:rsidR="004228B4" w:rsidRPr="004228B4">
        <w:t>While a detailed analysis of how the performance system works is beyond the scope of this report, it is poss</w:t>
      </w:r>
      <w:r w:rsidR="004228B4">
        <w:t xml:space="preserve">ible </w:t>
      </w:r>
      <w:r w:rsidR="00D11440">
        <w:t xml:space="preserve">to raise three points. </w:t>
      </w:r>
    </w:p>
    <w:p w14:paraId="25E011CC" w14:textId="546794B6" w:rsidR="000479FD" w:rsidRPr="00DB2AEB" w:rsidRDefault="001E1319" w:rsidP="00D132AF">
      <w:pPr>
        <w:spacing w:after="120" w:line="276" w:lineRule="auto"/>
        <w:jc w:val="both"/>
      </w:pPr>
      <w:r>
        <w:rPr>
          <w:color w:val="000000"/>
        </w:rPr>
        <w:t>First,</w:t>
      </w:r>
      <w:r w:rsidR="00FB0D28">
        <w:t xml:space="preserve"> </w:t>
      </w:r>
      <w:r>
        <w:t>a</w:t>
      </w:r>
      <w:r w:rsidR="00D34B0F">
        <w:t xml:space="preserve">ccountability indicators are a </w:t>
      </w:r>
      <w:r w:rsidR="00D5179A">
        <w:t>keyway</w:t>
      </w:r>
      <w:r w:rsidR="00D34B0F">
        <w:t xml:space="preserve"> to measure government performance against the goals </w:t>
      </w:r>
      <w:r w:rsidR="000F2E32">
        <w:t>specified</w:t>
      </w:r>
      <w:r w:rsidR="00D34B0F">
        <w:t xml:space="preserve"> in its budget. The budget papers set out for output 2018-19 targets, 2018-19 estimated outcomes and 2019-20 targets. </w:t>
      </w:r>
      <w:r w:rsidR="003457F2">
        <w:t xml:space="preserve">According to the </w:t>
      </w:r>
      <w:r w:rsidR="0075731F">
        <w:t xml:space="preserve">Assembly’s </w:t>
      </w:r>
      <w:r w:rsidR="003457F2">
        <w:t>Estimates Committee 2019-2020, ‘c</w:t>
      </w:r>
      <w:r w:rsidR="00D34B0F">
        <w:t>ommittees have, over the years, suggested various improvements that could be made to individual indicators to improve their usefulness and to make their measurement or target more meaningful</w:t>
      </w:r>
      <w:r w:rsidR="003457F2">
        <w:t>’</w:t>
      </w:r>
      <w:r w:rsidR="00D34B0F">
        <w:t>.</w:t>
      </w:r>
      <w:r w:rsidR="004626A8">
        <w:t xml:space="preserve"> </w:t>
      </w:r>
      <w:r w:rsidR="000479FD">
        <w:t>The Committee acknowledged the need for balance ‘between the importance of having measurable targets to assess performance against and the resource</w:t>
      </w:r>
      <w:r w:rsidR="00DB2AEB">
        <w:t>s</w:t>
      </w:r>
      <w:r w:rsidR="000479FD">
        <w:t xml:space="preserve"> required to gather that data’. The Committee made recommendations </w:t>
      </w:r>
      <w:r w:rsidR="00581A17">
        <w:t>regarding some</w:t>
      </w:r>
      <w:r w:rsidR="000479FD">
        <w:t xml:space="preserve"> </w:t>
      </w:r>
      <w:r w:rsidR="000479FD" w:rsidRPr="000F2F04">
        <w:rPr>
          <w:rStyle w:val="apple-converted-space"/>
        </w:rPr>
        <w:t>outputs</w:t>
      </w:r>
      <w:r w:rsidR="000479FD">
        <w:t xml:space="preserve"> where improvements were possible, and more generally recommended that ‘the ACT Government include historical series of accountability indicators to demonstrate performance measures over time’.</w:t>
      </w:r>
      <w:r w:rsidR="00DB2AEB">
        <w:t xml:space="preserve"> It is unclear to what extent such suggestions have been taken up.</w:t>
      </w:r>
      <w:r w:rsidR="00BD7DEF">
        <w:rPr>
          <w:rStyle w:val="FootnoteReference"/>
        </w:rPr>
        <w:footnoteReference w:id="7"/>
      </w:r>
    </w:p>
    <w:p w14:paraId="500C25B5" w14:textId="37B5BB2D" w:rsidR="001E1319" w:rsidRDefault="006F21A2" w:rsidP="00D132AF">
      <w:pPr>
        <w:spacing w:after="120" w:line="276" w:lineRule="auto"/>
        <w:jc w:val="both"/>
        <w:rPr>
          <w:color w:val="000000"/>
          <w:bdr w:val="none" w:sz="0" w:space="0" w:color="auto" w:frame="1"/>
        </w:rPr>
      </w:pPr>
      <w:r>
        <w:t>Secondly</w:t>
      </w:r>
      <w:r w:rsidR="001E1319">
        <w:t xml:space="preserve">, </w:t>
      </w:r>
      <w:r w:rsidR="00581A17">
        <w:t>a</w:t>
      </w:r>
      <w:r w:rsidR="002E2CF4">
        <w:t xml:space="preserve"> </w:t>
      </w:r>
      <w:r w:rsidR="001E1319">
        <w:t>U</w:t>
      </w:r>
      <w:r w:rsidR="002E2CF4">
        <w:t>niversity of Canberra</w:t>
      </w:r>
      <w:r w:rsidR="001E1319">
        <w:t xml:space="preserve"> doctoral thesis by Graham Smith</w:t>
      </w:r>
      <w:r w:rsidR="002F6C57">
        <w:t xml:space="preserve"> (2019)</w:t>
      </w:r>
      <w:r w:rsidR="001E1319">
        <w:t xml:space="preserve">, </w:t>
      </w:r>
      <w:r w:rsidR="002F6C57">
        <w:t>f</w:t>
      </w:r>
      <w:r w:rsidR="001E1319" w:rsidRPr="002F6C57">
        <w:t xml:space="preserve">actors influencing changes to performance measures </w:t>
      </w:r>
      <w:r w:rsidR="002F6C57">
        <w:t>in g</w:t>
      </w:r>
      <w:r w:rsidR="001E1319" w:rsidRPr="002F6C57">
        <w:t>overnment agencie</w:t>
      </w:r>
      <w:r w:rsidR="002E2CF4" w:rsidRPr="002F6C57">
        <w:t>s</w:t>
      </w:r>
      <w:r w:rsidR="001E1319" w:rsidRPr="002E2CF4">
        <w:t>,</w:t>
      </w:r>
      <w:r w:rsidR="001E1319">
        <w:t xml:space="preserve"> addresses performance data for three </w:t>
      </w:r>
      <w:r w:rsidR="00112B56">
        <w:t xml:space="preserve">different types of </w:t>
      </w:r>
      <w:r w:rsidR="001E1319">
        <w:t>agenc</w:t>
      </w:r>
      <w:r w:rsidR="00112B56">
        <w:t>y</w:t>
      </w:r>
      <w:r w:rsidR="001E1319">
        <w:t xml:space="preserve"> for three jurisdictions over five years</w:t>
      </w:r>
      <w:r w:rsidR="002F377D">
        <w:t xml:space="preserve"> (the analysis finishing in 2015–2016)</w:t>
      </w:r>
      <w:r w:rsidR="001E1319">
        <w:t>.</w:t>
      </w:r>
      <w:r w:rsidR="00E74EB4">
        <w:rPr>
          <w:rStyle w:val="FootnoteReference"/>
        </w:rPr>
        <w:footnoteReference w:id="8"/>
      </w:r>
      <w:r>
        <w:t xml:space="preserve"> </w:t>
      </w:r>
      <w:r w:rsidR="001E1319" w:rsidRPr="004228B4">
        <w:rPr>
          <w:color w:val="000000"/>
          <w:bdr w:val="none" w:sz="0" w:space="0" w:color="auto" w:frame="1"/>
        </w:rPr>
        <w:t xml:space="preserve">For the ACT, </w:t>
      </w:r>
      <w:r w:rsidR="001E1319" w:rsidRPr="00B872D9">
        <w:rPr>
          <w:i/>
          <w:iCs/>
          <w:color w:val="000000"/>
          <w:bdr w:val="none" w:sz="0" w:space="0" w:color="auto" w:frame="1"/>
        </w:rPr>
        <w:t>clarity</w:t>
      </w:r>
      <w:r w:rsidR="001E1319" w:rsidRPr="004228B4">
        <w:rPr>
          <w:color w:val="000000"/>
          <w:bdr w:val="none" w:sz="0" w:space="0" w:color="auto" w:frame="1"/>
        </w:rPr>
        <w:t xml:space="preserve"> of measures was uniformly high, with the average over the period varying between 2.7 and 3.0 for the three organisations. </w:t>
      </w:r>
      <w:r w:rsidR="00B872D9" w:rsidRPr="004228B4">
        <w:rPr>
          <w:color w:val="000000"/>
          <w:bdr w:val="none" w:sz="0" w:space="0" w:color="auto" w:frame="1"/>
        </w:rPr>
        <w:t xml:space="preserve">This may well be due to the regular review of the clarity of performance measures conducted by the Audit Office. </w:t>
      </w:r>
      <w:r w:rsidR="001E1319" w:rsidRPr="004228B4">
        <w:rPr>
          <w:color w:val="000000"/>
          <w:bdr w:val="none" w:sz="0" w:space="0" w:color="auto" w:frame="1"/>
        </w:rPr>
        <w:t xml:space="preserve">However, </w:t>
      </w:r>
      <w:r w:rsidR="001E1319" w:rsidRPr="00B872D9">
        <w:rPr>
          <w:i/>
          <w:iCs/>
          <w:color w:val="000000"/>
          <w:bdr w:val="none" w:sz="0" w:space="0" w:color="auto" w:frame="1"/>
        </w:rPr>
        <w:t>relevance</w:t>
      </w:r>
      <w:r w:rsidR="001E1319" w:rsidRPr="004228B4">
        <w:rPr>
          <w:color w:val="000000"/>
          <w:bdr w:val="none" w:sz="0" w:space="0" w:color="auto" w:frame="1"/>
        </w:rPr>
        <w:t xml:space="preserve"> and </w:t>
      </w:r>
      <w:r w:rsidR="001E1319" w:rsidRPr="00B872D9">
        <w:rPr>
          <w:i/>
          <w:iCs/>
          <w:color w:val="000000"/>
          <w:bdr w:val="none" w:sz="0" w:space="0" w:color="auto" w:frame="1"/>
        </w:rPr>
        <w:t>completeness</w:t>
      </w:r>
      <w:r w:rsidR="001E1319" w:rsidRPr="004228B4">
        <w:rPr>
          <w:color w:val="000000"/>
          <w:bdr w:val="none" w:sz="0" w:space="0" w:color="auto" w:frame="1"/>
        </w:rPr>
        <w:t xml:space="preserve"> were not subject to formal review, and these dimensions of </w:t>
      </w:r>
      <w:r w:rsidR="001E1319" w:rsidRPr="004228B4">
        <w:rPr>
          <w:color w:val="000000"/>
          <w:bdr w:val="none" w:sz="0" w:space="0" w:color="auto" w:frame="1"/>
        </w:rPr>
        <w:lastRenderedPageBreak/>
        <w:t xml:space="preserve">quality varied significantly, from 1.1 to 2.3 for relevance, and from 1.6 to 2.7 for completeness. </w:t>
      </w:r>
      <w:r w:rsidR="00E54342">
        <w:rPr>
          <w:color w:val="000000"/>
          <w:bdr w:val="none" w:sz="0" w:space="0" w:color="auto" w:frame="1"/>
        </w:rPr>
        <w:t xml:space="preserve">The relevance and completeness figures for a small ACT commission were the lowest in the survey. </w:t>
      </w:r>
      <w:r w:rsidR="001E1319">
        <w:rPr>
          <w:color w:val="000000"/>
          <w:bdr w:val="none" w:sz="0" w:space="0" w:color="auto" w:frame="1"/>
        </w:rPr>
        <w:t>Sm</w:t>
      </w:r>
      <w:r>
        <w:rPr>
          <w:color w:val="000000"/>
          <w:bdr w:val="none" w:sz="0" w:space="0" w:color="auto" w:frame="1"/>
        </w:rPr>
        <w:t>ith</w:t>
      </w:r>
      <w:r w:rsidR="001E1319">
        <w:rPr>
          <w:color w:val="000000"/>
          <w:bdr w:val="none" w:sz="0" w:space="0" w:color="auto" w:frame="1"/>
        </w:rPr>
        <w:t xml:space="preserve"> concludes that th</w:t>
      </w:r>
      <w:r w:rsidR="00E54342">
        <w:rPr>
          <w:color w:val="000000"/>
          <w:bdr w:val="none" w:sz="0" w:space="0" w:color="auto" w:frame="1"/>
        </w:rPr>
        <w:t>e results</w:t>
      </w:r>
      <w:r w:rsidR="001E1319" w:rsidRPr="004228B4">
        <w:rPr>
          <w:color w:val="000000"/>
          <w:bdr w:val="none" w:sz="0" w:space="0" w:color="auto" w:frame="1"/>
        </w:rPr>
        <w:t xml:space="preserve"> indicate the power of external review in influencing quality.</w:t>
      </w:r>
    </w:p>
    <w:p w14:paraId="6C486BE7" w14:textId="3F8B9929" w:rsidR="000479FD" w:rsidRDefault="000479FD" w:rsidP="00D132AF">
      <w:pPr>
        <w:spacing w:after="120" w:line="276" w:lineRule="auto"/>
        <w:jc w:val="both"/>
      </w:pPr>
      <w:r>
        <w:rPr>
          <w:color w:val="000000"/>
          <w:bdr w:val="none" w:sz="0" w:space="0" w:color="auto" w:frame="1"/>
        </w:rPr>
        <w:t xml:space="preserve">Thirdly is the question of evaluation and how and with what impact it </w:t>
      </w:r>
      <w:r w:rsidR="00C62959">
        <w:rPr>
          <w:color w:val="000000"/>
          <w:bdr w:val="none" w:sz="0" w:space="0" w:color="auto" w:frame="1"/>
        </w:rPr>
        <w:t>has been</w:t>
      </w:r>
      <w:r>
        <w:rPr>
          <w:color w:val="000000"/>
          <w:bdr w:val="none" w:sz="0" w:space="0" w:color="auto" w:frame="1"/>
        </w:rPr>
        <w:t xml:space="preserve"> used.</w:t>
      </w:r>
      <w:r>
        <w:t xml:space="preserve"> The need for evaluation in the public sector has been a long-held imperative of public management </w:t>
      </w:r>
      <w:r w:rsidR="00493EC4">
        <w:t xml:space="preserve">that was </w:t>
      </w:r>
      <w:r>
        <w:t xml:space="preserve">voiced strongly at the Commonwealth level in the 1980s, but then lost as mandatory evaluation was replaced by the belief that it should be incorporated in routine management. The result, particularly under the devolved arrangements within </w:t>
      </w:r>
      <w:r w:rsidR="00493EC4">
        <w:t xml:space="preserve">the </w:t>
      </w:r>
      <w:r>
        <w:t>APS initiated in the 1990s, was that evaluation came to be an impossible dream (with a few notable exceptions) as echoed in various reports (e.g. Alexander and Thodey 2018). The ACT has also subscribed to evaluation in an emphatic way</w:t>
      </w:r>
      <w:r w:rsidR="00B7307F">
        <w:t xml:space="preserve"> by indicating that it should be a routine part of management.</w:t>
      </w:r>
    </w:p>
    <w:p w14:paraId="7C249B1B" w14:textId="37424CB2" w:rsidR="00B54B12" w:rsidRDefault="00AF0A36" w:rsidP="009410EE">
      <w:pPr>
        <w:spacing w:line="276" w:lineRule="auto"/>
        <w:jc w:val="both"/>
      </w:pPr>
      <w:r w:rsidRPr="00F97F13">
        <w:t xml:space="preserve">Agency Evaluation Plans </w:t>
      </w:r>
      <w:r w:rsidR="00C62959">
        <w:t>were mandated a decade ago with provision for them to be revi</w:t>
      </w:r>
      <w:r w:rsidR="00625A56">
        <w:t>e</w:t>
      </w:r>
      <w:r w:rsidR="00C62959">
        <w:t xml:space="preserve">wed by a cabinet committee </w:t>
      </w:r>
      <w:r w:rsidR="007850F3">
        <w:t>(</w:t>
      </w:r>
      <w:r w:rsidR="00C62959">
        <w:t>Chief Minister’s Department 2010)</w:t>
      </w:r>
      <w:r w:rsidR="00B54B12">
        <w:t>. Under the 2019 Framework there is a requirement to develop an agency evaluation plan.</w:t>
      </w:r>
      <w:r w:rsidR="00C62959">
        <w:rPr>
          <w:rStyle w:val="FootnoteReference"/>
        </w:rPr>
        <w:footnoteReference w:id="9"/>
      </w:r>
      <w:r w:rsidR="00B54B12">
        <w:t xml:space="preserve"> The annual reports of selected directorates did not indicate </w:t>
      </w:r>
      <w:r w:rsidR="007445AD">
        <w:t>particular</w:t>
      </w:r>
      <w:r w:rsidR="00B54B12">
        <w:t xml:space="preserve"> commitment to evaluation beyond specific programs and projects</w:t>
      </w:r>
      <w:r w:rsidR="007445AD">
        <w:t xml:space="preserve">, and </w:t>
      </w:r>
      <w:r w:rsidR="00371B41">
        <w:t xml:space="preserve">by establishing </w:t>
      </w:r>
      <w:r w:rsidR="00B54B12">
        <w:t xml:space="preserve">to what extent an evaluation culture was </w:t>
      </w:r>
      <w:r w:rsidR="00D662AA">
        <w:t xml:space="preserve">being </w:t>
      </w:r>
      <w:r w:rsidR="00B54B12">
        <w:t>practi</w:t>
      </w:r>
      <w:r w:rsidR="009F0BDD">
        <w:t>s</w:t>
      </w:r>
      <w:r w:rsidR="00B54B12">
        <w:t>ed.</w:t>
      </w:r>
    </w:p>
    <w:p w14:paraId="05E075A0" w14:textId="5CB57871" w:rsidR="00376E08" w:rsidRDefault="00376E08" w:rsidP="009410EE">
      <w:pPr>
        <w:spacing w:line="276" w:lineRule="auto"/>
        <w:jc w:val="both"/>
      </w:pPr>
    </w:p>
    <w:p w14:paraId="38DA6204" w14:textId="3E19EE69" w:rsidR="004E42F4" w:rsidRPr="0093349B" w:rsidRDefault="00C62959" w:rsidP="009410EE">
      <w:pPr>
        <w:spacing w:line="276" w:lineRule="auto"/>
        <w:jc w:val="both"/>
        <w:rPr>
          <w:i/>
          <w:iCs/>
        </w:rPr>
      </w:pPr>
      <w:r w:rsidRPr="00054DA9">
        <w:t>Recommendation</w:t>
      </w:r>
      <w:r w:rsidR="00054DA9" w:rsidRPr="00054DA9">
        <w:t xml:space="preserve"> 2</w:t>
      </w:r>
      <w:r w:rsidRPr="00054DA9">
        <w:t>:</w:t>
      </w:r>
      <w:r w:rsidRPr="0093349B">
        <w:rPr>
          <w:i/>
          <w:iCs/>
        </w:rPr>
        <w:t xml:space="preserve"> </w:t>
      </w:r>
      <w:r w:rsidR="004E42F4" w:rsidRPr="0093349B">
        <w:rPr>
          <w:i/>
          <w:iCs/>
        </w:rPr>
        <w:t>There is an ongoing role for the ACT executive, the Auditor-General and the Legislative Assembly in reviewing the efficacy of performance indicators and accountability</w:t>
      </w:r>
      <w:r w:rsidR="006F2BA0">
        <w:rPr>
          <w:i/>
          <w:iCs/>
        </w:rPr>
        <w:t>.</w:t>
      </w:r>
    </w:p>
    <w:p w14:paraId="39CA88A9" w14:textId="77777777" w:rsidR="004E42F4" w:rsidRDefault="004E42F4" w:rsidP="009410EE">
      <w:pPr>
        <w:spacing w:line="276" w:lineRule="auto"/>
        <w:jc w:val="both"/>
      </w:pPr>
    </w:p>
    <w:p w14:paraId="2BA0E58D" w14:textId="2D024C4A" w:rsidR="006B27A7" w:rsidRDefault="00625A56" w:rsidP="00D132AF">
      <w:pPr>
        <w:spacing w:after="120" w:line="276" w:lineRule="auto"/>
        <w:jc w:val="both"/>
      </w:pPr>
      <w:r>
        <w:t>Two other initiative</w:t>
      </w:r>
      <w:r w:rsidR="009F0BDD">
        <w:t>s</w:t>
      </w:r>
      <w:r>
        <w:t xml:space="preserve"> in public service modernisation and professionalisation deserve to be noted.</w:t>
      </w:r>
      <w:r w:rsidR="00C622FB">
        <w:t xml:space="preserve"> First, r</w:t>
      </w:r>
      <w:r w:rsidR="006B27A7">
        <w:t xml:space="preserve">ed tape has bedevilled central governments in Westminster systems (Halligan 2019). </w:t>
      </w:r>
      <w:r w:rsidR="009F0BDD">
        <w:t xml:space="preserve">The </w:t>
      </w:r>
      <w:r w:rsidR="006B27A7">
        <w:t>ACT annually reviews</w:t>
      </w:r>
      <w:r w:rsidR="006B27A7" w:rsidRPr="001840B3">
        <w:t xml:space="preserve"> regulation</w:t>
      </w:r>
      <w:r w:rsidR="006B27A7">
        <w:t>s</w:t>
      </w:r>
      <w:r w:rsidR="006B27A7" w:rsidRPr="001840B3">
        <w:t xml:space="preserve"> to simplify the community’s interactions with government and to drive innovation.</w:t>
      </w:r>
      <w:r w:rsidR="006B27A7">
        <w:t xml:space="preserve"> </w:t>
      </w:r>
      <w:r w:rsidR="009F0BDD">
        <w:t xml:space="preserve">The </w:t>
      </w:r>
      <w:r w:rsidR="006B27A7" w:rsidRPr="00624B62">
        <w:rPr>
          <w:i/>
          <w:iCs/>
        </w:rPr>
        <w:t>Red Tape Reduction Act 2018</w:t>
      </w:r>
      <w:r w:rsidR="006B27A7">
        <w:t xml:space="preserve"> is o</w:t>
      </w:r>
      <w:r w:rsidR="006B27A7" w:rsidRPr="001840B3">
        <w:t>ne of a series o</w:t>
      </w:r>
      <w:r w:rsidR="00CD3130">
        <w:t>f</w:t>
      </w:r>
      <w:r w:rsidR="006B27A7" w:rsidRPr="001840B3">
        <w:t xml:space="preserve"> regular</w:t>
      </w:r>
      <w:r w:rsidR="006B27A7" w:rsidRPr="001840B3">
        <w:rPr>
          <w:spacing w:val="-5"/>
        </w:rPr>
        <w:t xml:space="preserve"> </w:t>
      </w:r>
      <w:r w:rsidR="006B27A7" w:rsidRPr="001840B3">
        <w:t xml:space="preserve">reviews </w:t>
      </w:r>
      <w:r w:rsidR="00A873E9">
        <w:t xml:space="preserve">of </w:t>
      </w:r>
      <w:r w:rsidR="006B27A7" w:rsidRPr="001840B3">
        <w:t>the ACT’</w:t>
      </w:r>
      <w:r w:rsidR="006B27A7">
        <w:t xml:space="preserve">s </w:t>
      </w:r>
      <w:r w:rsidR="006B27A7" w:rsidRPr="001840B3">
        <w:t xml:space="preserve">regulatory settings </w:t>
      </w:r>
      <w:r w:rsidR="00723556">
        <w:t>for</w:t>
      </w:r>
      <w:r w:rsidR="006B27A7" w:rsidRPr="001840B3">
        <w:t xml:space="preserve"> address</w:t>
      </w:r>
      <w:r w:rsidR="006B27A7">
        <w:t>ing</w:t>
      </w:r>
      <w:r w:rsidR="006B27A7" w:rsidRPr="001840B3">
        <w:t xml:space="preserve"> unnecessary administrative and compliance costs for business, the community and</w:t>
      </w:r>
      <w:r w:rsidR="006B27A7" w:rsidRPr="001840B3">
        <w:rPr>
          <w:spacing w:val="-10"/>
        </w:rPr>
        <w:t xml:space="preserve"> </w:t>
      </w:r>
      <w:r w:rsidR="006B27A7" w:rsidRPr="001840B3">
        <w:t>government.</w:t>
      </w:r>
      <w:r w:rsidR="006B27A7">
        <w:t xml:space="preserve"> </w:t>
      </w:r>
      <w:r w:rsidR="006B27A7" w:rsidRPr="001840B3">
        <w:t xml:space="preserve">The focus </w:t>
      </w:r>
      <w:r w:rsidR="00A873E9">
        <w:t>i</w:t>
      </w:r>
      <w:r w:rsidR="006B27A7">
        <w:t xml:space="preserve">s </w:t>
      </w:r>
      <w:r w:rsidR="006B27A7" w:rsidRPr="001840B3">
        <w:t xml:space="preserve">on streamlining processes and regulation for </w:t>
      </w:r>
      <w:r w:rsidR="006B27A7">
        <w:t>the</w:t>
      </w:r>
      <w:r w:rsidR="006B27A7" w:rsidRPr="001840B3">
        <w:t xml:space="preserve"> community sector.</w:t>
      </w:r>
      <w:r w:rsidR="006B27A7">
        <w:t xml:space="preserve"> The extent to which internal rather than external red tape is covered is unclear, although the latter has implications for the former. While </w:t>
      </w:r>
      <w:r w:rsidR="00A873E9">
        <w:t xml:space="preserve">the </w:t>
      </w:r>
      <w:r w:rsidR="006B27A7">
        <w:t xml:space="preserve">ACT has historically been </w:t>
      </w:r>
      <w:r w:rsidR="00FF54DA">
        <w:t>nimbler</w:t>
      </w:r>
      <w:r w:rsidR="006B27A7">
        <w:t xml:space="preserve"> and managerially </w:t>
      </w:r>
      <w:r w:rsidR="009D6B66">
        <w:t xml:space="preserve">more </w:t>
      </w:r>
      <w:r w:rsidR="006B27A7">
        <w:t>responsive than larger systems of government, it may of course with growth in the machinery generate more internal red tape</w:t>
      </w:r>
      <w:r w:rsidR="00D8743D">
        <w:t>.</w:t>
      </w:r>
      <w:r w:rsidR="00D8743D">
        <w:rPr>
          <w:rStyle w:val="FootnoteReference"/>
        </w:rPr>
        <w:footnoteReference w:id="10"/>
      </w:r>
    </w:p>
    <w:p w14:paraId="3FB27CBF" w14:textId="6888EA4F" w:rsidR="00796A47" w:rsidRPr="002A2F9C" w:rsidRDefault="009D71B2" w:rsidP="009410EE">
      <w:pPr>
        <w:spacing w:line="276" w:lineRule="auto"/>
        <w:jc w:val="both"/>
      </w:pPr>
      <w:r w:rsidRPr="00A60162">
        <w:t xml:space="preserve">The office of the independent Public Sector Standards Commissioner (PSS Commissioner) was </w:t>
      </w:r>
      <w:r>
        <w:t>creat</w:t>
      </w:r>
      <w:r w:rsidRPr="00A60162">
        <w:t xml:space="preserve">ed </w:t>
      </w:r>
      <w:r>
        <w:t xml:space="preserve">in </w:t>
      </w:r>
      <w:r w:rsidRPr="00A60162">
        <w:t>2016</w:t>
      </w:r>
      <w:r>
        <w:t>,</w:t>
      </w:r>
      <w:r w:rsidRPr="00A60162">
        <w:t xml:space="preserve"> replac</w:t>
      </w:r>
      <w:r w:rsidR="00625A56">
        <w:t>ing</w:t>
      </w:r>
      <w:r w:rsidRPr="00A60162">
        <w:t xml:space="preserve"> </w:t>
      </w:r>
      <w:r>
        <w:t xml:space="preserve">that of </w:t>
      </w:r>
      <w:r w:rsidRPr="00A60162">
        <w:t>the office of the Commissioner for Public Administration.</w:t>
      </w:r>
      <w:r>
        <w:t xml:space="preserve"> The core functions of the Commissioner are to undertake</w:t>
      </w:r>
      <w:r w:rsidRPr="00930D16">
        <w:t xml:space="preserve"> investigations</w:t>
      </w:r>
      <w:r>
        <w:t xml:space="preserve"> </w:t>
      </w:r>
      <w:r w:rsidRPr="00A83784">
        <w:t xml:space="preserve">about </w:t>
      </w:r>
      <w:r w:rsidRPr="00A83784">
        <w:lastRenderedPageBreak/>
        <w:t>a matter declared by the Chief Minister in the way prescribed;</w:t>
      </w:r>
      <w:r w:rsidRPr="00A83784">
        <w:rPr>
          <w:spacing w:val="-16"/>
        </w:rPr>
        <w:t xml:space="preserve"> </w:t>
      </w:r>
      <w:r w:rsidRPr="00A83784">
        <w:t>and</w:t>
      </w:r>
      <w:r>
        <w:t xml:space="preserve"> </w:t>
      </w:r>
      <w:r w:rsidRPr="00A83784">
        <w:t>under an industrial</w:t>
      </w:r>
      <w:r w:rsidRPr="00A83784">
        <w:rPr>
          <w:spacing w:val="-1"/>
        </w:rPr>
        <w:t xml:space="preserve"> </w:t>
      </w:r>
      <w:r w:rsidRPr="00A83784">
        <w:t>instrument;</w:t>
      </w:r>
      <w:r>
        <w:t xml:space="preserve"> </w:t>
      </w:r>
      <w:r w:rsidRPr="00930D16">
        <w:t xml:space="preserve">promote and provide advice about public sector values, principles and </w:t>
      </w:r>
      <w:r>
        <w:t xml:space="preserve">appropriate </w:t>
      </w:r>
      <w:r w:rsidRPr="00930D16">
        <w:t xml:space="preserve">conduct required under </w:t>
      </w:r>
      <w:r w:rsidR="009D6B66">
        <w:t xml:space="preserve">the </w:t>
      </w:r>
      <w:r w:rsidRPr="00AC5BB4">
        <w:rPr>
          <w:i/>
          <w:iCs/>
        </w:rPr>
        <w:t>Public Sector Management Act 2014</w:t>
      </w:r>
      <w:r>
        <w:t>; and advi</w:t>
      </w:r>
      <w:r w:rsidR="009D6B66">
        <w:t>s</w:t>
      </w:r>
      <w:r>
        <w:t>e about public interest</w:t>
      </w:r>
      <w:r>
        <w:rPr>
          <w:spacing w:val="-4"/>
        </w:rPr>
        <w:t xml:space="preserve"> </w:t>
      </w:r>
      <w:r>
        <w:t>disclosures</w:t>
      </w:r>
      <w:r w:rsidRPr="00930D16">
        <w:t>.</w:t>
      </w:r>
      <w:r>
        <w:t xml:space="preserve"> T</w:t>
      </w:r>
      <w:r w:rsidRPr="00A60162">
        <w:t>he Chief Minister</w:t>
      </w:r>
      <w:r>
        <w:t xml:space="preserve"> </w:t>
      </w:r>
      <w:r w:rsidRPr="00A60162">
        <w:t>appoint</w:t>
      </w:r>
      <w:r>
        <w:t>s t</w:t>
      </w:r>
      <w:r w:rsidRPr="00A60162">
        <w:t xml:space="preserve">he </w:t>
      </w:r>
      <w:r w:rsidR="00A873E9" w:rsidRPr="00A60162">
        <w:t xml:space="preserve">PSS </w:t>
      </w:r>
      <w:r w:rsidRPr="00A60162">
        <w:t>Commissioner</w:t>
      </w:r>
      <w:r w:rsidR="00A873E9">
        <w:t xml:space="preserve"> who is</w:t>
      </w:r>
      <w:r w:rsidRPr="00A60162">
        <w:t xml:space="preserve"> independent of the Public </w:t>
      </w:r>
      <w:r w:rsidR="00154853" w:rsidRPr="00A60162">
        <w:t xml:space="preserve">Service </w:t>
      </w:r>
      <w:r w:rsidR="001D373F">
        <w:t>but</w:t>
      </w:r>
      <w:r w:rsidR="00D50809">
        <w:t xml:space="preserve"> </w:t>
      </w:r>
      <w:r w:rsidRPr="00A60162">
        <w:t>report</w:t>
      </w:r>
      <w:r>
        <w:t>s</w:t>
      </w:r>
      <w:r w:rsidRPr="00A60162">
        <w:t xml:space="preserve"> directly to the Chief Minister.</w:t>
      </w:r>
      <w:r>
        <w:t xml:space="preserve"> </w:t>
      </w:r>
      <w:r w:rsidRPr="00A60162">
        <w:t>The PSS Commissioner does not have staff with discrete responsibility for supporting the office</w:t>
      </w:r>
      <w:r w:rsidR="001D373F">
        <w:t xml:space="preserve"> </w:t>
      </w:r>
      <w:r>
        <w:t>but</w:t>
      </w:r>
      <w:r w:rsidRPr="00A60162">
        <w:t xml:space="preserve"> </w:t>
      </w:r>
      <w:r>
        <w:t>draw</w:t>
      </w:r>
      <w:r w:rsidRPr="00A60162">
        <w:t xml:space="preserve">s on the capacity of </w:t>
      </w:r>
      <w:r>
        <w:t>relevant CM</w:t>
      </w:r>
      <w:r w:rsidR="004E42A9">
        <w:t>T</w:t>
      </w:r>
      <w:r>
        <w:t xml:space="preserve">EDD </w:t>
      </w:r>
      <w:r w:rsidRPr="00A60162">
        <w:t xml:space="preserve">staff </w:t>
      </w:r>
      <w:r>
        <w:t xml:space="preserve">for </w:t>
      </w:r>
      <w:r w:rsidRPr="00A60162">
        <w:t>support.</w:t>
      </w:r>
      <w:r w:rsidR="006B3147">
        <w:rPr>
          <w:rStyle w:val="FootnoteReference"/>
        </w:rPr>
        <w:footnoteReference w:id="11"/>
      </w:r>
    </w:p>
    <w:p w14:paraId="47675EED" w14:textId="77777777" w:rsidR="006B27A7" w:rsidRDefault="006B27A7" w:rsidP="009410EE">
      <w:pPr>
        <w:spacing w:line="276" w:lineRule="auto"/>
        <w:jc w:val="both"/>
      </w:pPr>
    </w:p>
    <w:p w14:paraId="46F35F80" w14:textId="1C82C622" w:rsidR="00FD5C27" w:rsidRPr="00C80DDE" w:rsidRDefault="00FD5C27" w:rsidP="00C37270">
      <w:pPr>
        <w:spacing w:line="360" w:lineRule="auto"/>
        <w:jc w:val="both"/>
        <w:rPr>
          <w:b/>
          <w:bCs/>
          <w:color w:val="4472C4" w:themeColor="accent1"/>
        </w:rPr>
      </w:pPr>
      <w:r w:rsidRPr="00C80DDE">
        <w:rPr>
          <w:b/>
          <w:bCs/>
          <w:color w:val="4472C4" w:themeColor="accent1"/>
        </w:rPr>
        <w:t>Open government</w:t>
      </w:r>
    </w:p>
    <w:p w14:paraId="04CC8388" w14:textId="60B71FF6" w:rsidR="00276765" w:rsidRPr="00276765" w:rsidRDefault="00745773" w:rsidP="00D132AF">
      <w:pPr>
        <w:spacing w:after="120" w:line="276" w:lineRule="auto"/>
        <w:jc w:val="both"/>
      </w:pPr>
      <w:r w:rsidRPr="00B047C9">
        <w:t xml:space="preserve">The ACT Government </w:t>
      </w:r>
      <w:r>
        <w:t>declares its</w:t>
      </w:r>
      <w:r w:rsidRPr="00B047C9">
        <w:t xml:space="preserve"> commit</w:t>
      </w:r>
      <w:r>
        <w:t>ment</w:t>
      </w:r>
      <w:r w:rsidRPr="00B047C9">
        <w:t xml:space="preserve"> to</w:t>
      </w:r>
      <w:r>
        <w:t xml:space="preserve"> </w:t>
      </w:r>
      <w:r w:rsidRPr="00B047C9">
        <w:t>transparency</w:t>
      </w:r>
      <w:r>
        <w:t xml:space="preserve"> </w:t>
      </w:r>
      <w:r w:rsidRPr="00B047C9">
        <w:rPr>
          <w:color w:val="313131"/>
        </w:rPr>
        <w:t>in process and information</w:t>
      </w:r>
      <w:r>
        <w:t xml:space="preserve">, citizen </w:t>
      </w:r>
      <w:r w:rsidRPr="00B047C9">
        <w:t>participation</w:t>
      </w:r>
      <w:r>
        <w:t xml:space="preserve"> in governing and public </w:t>
      </w:r>
      <w:r w:rsidRPr="00B047C9">
        <w:t>collaboration</w:t>
      </w:r>
      <w:r>
        <w:t xml:space="preserve"> in solving problems and improving community well-being</w:t>
      </w:r>
      <w:r>
        <w:rPr>
          <w:color w:val="313131"/>
        </w:rPr>
        <w:t xml:space="preserve">. </w:t>
      </w:r>
      <w:r w:rsidRPr="002378DC">
        <w:rPr>
          <w:color w:val="313131"/>
        </w:rPr>
        <w:t xml:space="preserve">The </w:t>
      </w:r>
      <w:r>
        <w:rPr>
          <w:color w:val="313131"/>
        </w:rPr>
        <w:t>o</w:t>
      </w:r>
      <w:r w:rsidRPr="002378DC">
        <w:rPr>
          <w:color w:val="313131"/>
        </w:rPr>
        <w:t xml:space="preserve">pen </w:t>
      </w:r>
      <w:r>
        <w:rPr>
          <w:color w:val="313131"/>
        </w:rPr>
        <w:t>g</w:t>
      </w:r>
      <w:r w:rsidRPr="002378DC">
        <w:rPr>
          <w:color w:val="313131"/>
        </w:rPr>
        <w:t>overnment initiatives are presented as enhancing democracy and placing ‘the community at the centre of the governance process’ (Open Government website)</w:t>
      </w:r>
      <w:r>
        <w:rPr>
          <w:color w:val="313131"/>
        </w:rPr>
        <w:t>.</w:t>
      </w:r>
      <w:r>
        <w:rPr>
          <w:rStyle w:val="FootnoteReference"/>
          <w:color w:val="313131"/>
        </w:rPr>
        <w:footnoteReference w:id="12"/>
      </w:r>
      <w:r>
        <w:rPr>
          <w:color w:val="313131"/>
        </w:rPr>
        <w:t xml:space="preserve"> </w:t>
      </w:r>
      <w:r>
        <w:t xml:space="preserve">There are numerous components of which </w:t>
      </w:r>
      <w:r w:rsidR="00CF7F72">
        <w:t>three</w:t>
      </w:r>
      <w:r>
        <w:t xml:space="preserve"> are mentioned here</w:t>
      </w:r>
      <w:r w:rsidR="00F13686">
        <w:t>:</w:t>
      </w:r>
      <w:r w:rsidR="00192133">
        <w:t xml:space="preserve"> Annual reports, </w:t>
      </w:r>
      <w:r w:rsidR="00E96F2C">
        <w:t xml:space="preserve">freedom of information and </w:t>
      </w:r>
      <w:r w:rsidR="00192133">
        <w:t>o</w:t>
      </w:r>
      <w:r w:rsidR="00276765" w:rsidRPr="00276765">
        <w:t>pen access information</w:t>
      </w:r>
      <w:r w:rsidR="00E96F2C">
        <w:t xml:space="preserve"> including cabinet decisions</w:t>
      </w:r>
      <w:r w:rsidR="00192133">
        <w:t>.</w:t>
      </w:r>
    </w:p>
    <w:p w14:paraId="2CAB76DE" w14:textId="09FC1041" w:rsidR="00546D05" w:rsidRPr="00EC12EC" w:rsidRDefault="00546D05" w:rsidP="00D132AF">
      <w:pPr>
        <w:pStyle w:val="NormalWeb"/>
        <w:spacing w:before="0" w:beforeAutospacing="0" w:after="120" w:afterAutospacing="0" w:line="276" w:lineRule="auto"/>
        <w:jc w:val="both"/>
        <w:rPr>
          <w:color w:val="313131"/>
        </w:rPr>
      </w:pPr>
      <w:r w:rsidRPr="00EC12EC">
        <w:rPr>
          <w:color w:val="313131"/>
        </w:rPr>
        <w:t xml:space="preserve">The ACT </w:t>
      </w:r>
      <w:r w:rsidR="00E96F2C">
        <w:rPr>
          <w:color w:val="313131"/>
        </w:rPr>
        <w:t>g</w:t>
      </w:r>
      <w:r w:rsidRPr="00EC12EC">
        <w:rPr>
          <w:color w:val="313131"/>
        </w:rPr>
        <w:t>overnment de</w:t>
      </w:r>
      <w:r w:rsidR="00B239C8">
        <w:rPr>
          <w:color w:val="313131"/>
        </w:rPr>
        <w:t>cid</w:t>
      </w:r>
      <w:r w:rsidRPr="00EC12EC">
        <w:rPr>
          <w:color w:val="313131"/>
        </w:rPr>
        <w:t>ed to release Cabinet information</w:t>
      </w:r>
      <w:r>
        <w:rPr>
          <w:color w:val="313131"/>
        </w:rPr>
        <w:t xml:space="preserve"> </w:t>
      </w:r>
      <w:r w:rsidRPr="00EC12EC">
        <w:rPr>
          <w:color w:val="313131"/>
        </w:rPr>
        <w:t>in 2011</w:t>
      </w:r>
      <w:r>
        <w:rPr>
          <w:color w:val="313131"/>
        </w:rPr>
        <w:t xml:space="preserve"> as part of an</w:t>
      </w:r>
      <w:r w:rsidRPr="00EC12EC">
        <w:rPr>
          <w:color w:val="313131"/>
        </w:rPr>
        <w:t xml:space="preserve"> open government agenda, designed to make government information more readily available to the community.</w:t>
      </w:r>
      <w:r>
        <w:rPr>
          <w:color w:val="313131"/>
        </w:rPr>
        <w:t xml:space="preserve"> C</w:t>
      </w:r>
      <w:r w:rsidRPr="00EC12EC">
        <w:rPr>
          <w:color w:val="313131"/>
        </w:rPr>
        <w:t xml:space="preserve">abinet decisions are </w:t>
      </w:r>
      <w:r>
        <w:rPr>
          <w:color w:val="313131"/>
        </w:rPr>
        <w:t xml:space="preserve">also </w:t>
      </w:r>
      <w:r w:rsidRPr="00EC12EC">
        <w:rPr>
          <w:color w:val="313131"/>
        </w:rPr>
        <w:t xml:space="preserve">announced by </w:t>
      </w:r>
      <w:r>
        <w:rPr>
          <w:color w:val="313131"/>
        </w:rPr>
        <w:t>g</w:t>
      </w:r>
      <w:r w:rsidRPr="00EC12EC">
        <w:rPr>
          <w:color w:val="313131"/>
        </w:rPr>
        <w:t xml:space="preserve">overnment and </w:t>
      </w:r>
      <w:r>
        <w:rPr>
          <w:color w:val="313131"/>
        </w:rPr>
        <w:t>c</w:t>
      </w:r>
      <w:r w:rsidRPr="00EC12EC">
        <w:rPr>
          <w:color w:val="313131"/>
        </w:rPr>
        <w:t xml:space="preserve">abinet material may </w:t>
      </w:r>
      <w:r>
        <w:rPr>
          <w:color w:val="313131"/>
        </w:rPr>
        <w:t xml:space="preserve">be made </w:t>
      </w:r>
      <w:r w:rsidRPr="00EC12EC">
        <w:rPr>
          <w:color w:val="313131"/>
        </w:rPr>
        <w:t>public</w:t>
      </w:r>
      <w:r>
        <w:rPr>
          <w:color w:val="313131"/>
        </w:rPr>
        <w:t xml:space="preserve"> through ministers’ media releases and statements in the Legislative Assembly, </w:t>
      </w:r>
      <w:r w:rsidRPr="00EC12EC">
        <w:rPr>
          <w:color w:val="313131"/>
        </w:rPr>
        <w:t xml:space="preserve">which are published in the Hansard </w:t>
      </w:r>
      <w:r>
        <w:rPr>
          <w:color w:val="313131"/>
        </w:rPr>
        <w:t xml:space="preserve">or </w:t>
      </w:r>
      <w:r w:rsidRPr="00EC12EC">
        <w:rPr>
          <w:color w:val="313131"/>
        </w:rPr>
        <w:t xml:space="preserve">available on </w:t>
      </w:r>
      <w:r w:rsidR="00D57875">
        <w:rPr>
          <w:color w:val="313131"/>
        </w:rPr>
        <w:t xml:space="preserve">the </w:t>
      </w:r>
      <w:r>
        <w:rPr>
          <w:color w:val="313131"/>
        </w:rPr>
        <w:t>Assembl</w:t>
      </w:r>
      <w:r w:rsidR="00D21651">
        <w:rPr>
          <w:color w:val="313131"/>
        </w:rPr>
        <w:t>y</w:t>
      </w:r>
      <w:r>
        <w:rPr>
          <w:color w:val="313131"/>
        </w:rPr>
        <w:t xml:space="preserve"> website.</w:t>
      </w:r>
    </w:p>
    <w:p w14:paraId="45307C71" w14:textId="75D32E69" w:rsidR="00DE1B80" w:rsidRDefault="00241B00" w:rsidP="009628BA">
      <w:pPr>
        <w:widowControl w:val="0"/>
        <w:tabs>
          <w:tab w:val="left" w:pos="837"/>
          <w:tab w:val="left" w:pos="838"/>
        </w:tabs>
        <w:autoSpaceDE w:val="0"/>
        <w:autoSpaceDN w:val="0"/>
        <w:spacing w:after="240" w:line="276" w:lineRule="auto"/>
        <w:ind w:right="164"/>
        <w:jc w:val="both"/>
      </w:pPr>
      <w:r>
        <w:t xml:space="preserve">A new </w:t>
      </w:r>
      <w:r w:rsidR="00DE1B80" w:rsidRPr="003201E6">
        <w:rPr>
          <w:i/>
          <w:iCs/>
        </w:rPr>
        <w:t xml:space="preserve">Freedom of Information </w:t>
      </w:r>
      <w:r w:rsidR="009B3BF7" w:rsidRPr="003201E6">
        <w:rPr>
          <w:i/>
          <w:iCs/>
        </w:rPr>
        <w:t>Act</w:t>
      </w:r>
      <w:r w:rsidR="00DE1B80" w:rsidRPr="003201E6">
        <w:rPr>
          <w:i/>
          <w:iCs/>
        </w:rPr>
        <w:t xml:space="preserve"> 2016</w:t>
      </w:r>
      <w:r w:rsidR="00DE1B80" w:rsidRPr="00930D16">
        <w:t xml:space="preserve"> (FOI Act) commence</w:t>
      </w:r>
      <w:r w:rsidR="00DE1B80">
        <w:t>d in</w:t>
      </w:r>
      <w:r w:rsidR="00DE1B80" w:rsidRPr="00AF0A36">
        <w:rPr>
          <w:spacing w:val="-1"/>
        </w:rPr>
        <w:t xml:space="preserve"> </w:t>
      </w:r>
      <w:r w:rsidR="00DE1B80" w:rsidRPr="00930D16">
        <w:t>2018</w:t>
      </w:r>
      <w:r>
        <w:t>,</w:t>
      </w:r>
      <w:r w:rsidR="00DE1B80" w:rsidRPr="00930D16">
        <w:t xml:space="preserve"> </w:t>
      </w:r>
      <w:r w:rsidR="00DE1B80">
        <w:t>chang</w:t>
      </w:r>
      <w:r>
        <w:t>ing</w:t>
      </w:r>
      <w:r w:rsidR="00DE1B80">
        <w:t xml:space="preserve"> the</w:t>
      </w:r>
      <w:r w:rsidR="00DE1B80" w:rsidRPr="00930D16">
        <w:t xml:space="preserve"> model </w:t>
      </w:r>
      <w:r w:rsidR="00DE1B80">
        <w:rPr>
          <w:iCs/>
        </w:rPr>
        <w:t>to one</w:t>
      </w:r>
      <w:r w:rsidR="00DE1B80" w:rsidRPr="00930D16">
        <w:t xml:space="preserve"> based on the Queensland</w:t>
      </w:r>
      <w:r w:rsidR="00DE1B80">
        <w:t xml:space="preserve">’s concept of </w:t>
      </w:r>
      <w:r w:rsidR="00DE1B80">
        <w:rPr>
          <w:iCs/>
        </w:rPr>
        <w:t>‘r</w:t>
      </w:r>
      <w:r w:rsidR="00DE1B80" w:rsidRPr="00E62820">
        <w:rPr>
          <w:iCs/>
        </w:rPr>
        <w:t xml:space="preserve">ight to </w:t>
      </w:r>
      <w:r w:rsidR="00DE1B80">
        <w:rPr>
          <w:iCs/>
        </w:rPr>
        <w:t>i</w:t>
      </w:r>
      <w:r w:rsidR="00DE1B80" w:rsidRPr="00E62820">
        <w:rPr>
          <w:iCs/>
        </w:rPr>
        <w:t>nformation</w:t>
      </w:r>
      <w:r w:rsidR="00DE1B80">
        <w:rPr>
          <w:iCs/>
        </w:rPr>
        <w:t>’</w:t>
      </w:r>
      <w:r w:rsidR="00DE1B80" w:rsidRPr="00930D16">
        <w:t xml:space="preserve"> with </w:t>
      </w:r>
      <w:r w:rsidR="00DE1B80">
        <w:t>modification</w:t>
      </w:r>
      <w:r w:rsidR="00DE1B80" w:rsidRPr="00930D16">
        <w:t xml:space="preserve">s </w:t>
      </w:r>
      <w:r w:rsidR="00DE1B80">
        <w:t>for</w:t>
      </w:r>
      <w:r w:rsidR="00DE1B80" w:rsidRPr="00930D16">
        <w:t xml:space="preserve"> improv</w:t>
      </w:r>
      <w:r w:rsidR="00DE1B80">
        <w:t>ing</w:t>
      </w:r>
      <w:r w:rsidR="00DE1B80" w:rsidRPr="00930D16">
        <w:t xml:space="preserve"> the scheme and the</w:t>
      </w:r>
      <w:r w:rsidR="00DE1B80" w:rsidRPr="00AF0A36">
        <w:rPr>
          <w:spacing w:val="-32"/>
        </w:rPr>
        <w:t xml:space="preserve"> </w:t>
      </w:r>
      <w:r w:rsidR="00DE1B80" w:rsidRPr="00930D16">
        <w:t>availability of government information</w:t>
      </w:r>
      <w:r w:rsidR="00DE1B80" w:rsidRPr="00AF0A36">
        <w:rPr>
          <w:b/>
        </w:rPr>
        <w:t>.</w:t>
      </w:r>
      <w:r w:rsidR="00DE1B80">
        <w:rPr>
          <w:rFonts w:ascii="Symbol" w:hAnsi="Symbol"/>
          <w:b/>
        </w:rPr>
        <w:t></w:t>
      </w:r>
      <w:r w:rsidR="00DE1B80">
        <w:rPr>
          <w:rFonts w:ascii="Symbol" w:hAnsi="Symbol"/>
          <w:b/>
        </w:rPr>
        <w:t></w:t>
      </w:r>
      <w:r w:rsidR="00DE1B80" w:rsidRPr="00930D16">
        <w:t xml:space="preserve">Underpinning the Act </w:t>
      </w:r>
      <w:r w:rsidR="009D6B66">
        <w:t>is</w:t>
      </w:r>
      <w:r w:rsidR="00DE1B80" w:rsidRPr="00930D16">
        <w:t xml:space="preserve"> the principle that effective democracy </w:t>
      </w:r>
      <w:r w:rsidR="00DE1B80">
        <w:t xml:space="preserve">requires </w:t>
      </w:r>
      <w:r w:rsidR="00DE1B80" w:rsidRPr="00930D16">
        <w:t xml:space="preserve">a public right to government information. Consequently, the FOI Act was designed to make information held by </w:t>
      </w:r>
      <w:r w:rsidR="00DE1B80">
        <w:t>g</w:t>
      </w:r>
      <w:r w:rsidR="00DE1B80" w:rsidRPr="00930D16">
        <w:t xml:space="preserve">overnment more accessible to the community than before. </w:t>
      </w:r>
      <w:r w:rsidR="00DE1B80">
        <w:t>It</w:t>
      </w:r>
      <w:r w:rsidR="00DE1B80" w:rsidRPr="00930D16">
        <w:t xml:space="preserve"> </w:t>
      </w:r>
      <w:r w:rsidR="00C311EE">
        <w:t xml:space="preserve">has </w:t>
      </w:r>
      <w:r w:rsidR="00DE1B80" w:rsidRPr="00930D16">
        <w:t xml:space="preserve">created a statutory right of access to information held by the </w:t>
      </w:r>
      <w:r w:rsidR="00150493">
        <w:t>g</w:t>
      </w:r>
      <w:r w:rsidR="00DE1B80" w:rsidRPr="00930D16">
        <w:t>overnment and set up a clear framework for determining the public interest</w:t>
      </w:r>
      <w:r w:rsidR="00DE1B80" w:rsidRPr="00AF0A36">
        <w:rPr>
          <w:spacing w:val="-36"/>
        </w:rPr>
        <w:t xml:space="preserve"> </w:t>
      </w:r>
      <w:r w:rsidR="00DE1B80" w:rsidRPr="00930D16">
        <w:t>in the disclosure or non-disclosure of government information. Information only remain</w:t>
      </w:r>
      <w:r w:rsidR="00CF7411">
        <w:t>s</w:t>
      </w:r>
      <w:r w:rsidR="00DE1B80" w:rsidRPr="00930D16">
        <w:t xml:space="preserve"> confidential where it is contrary to the public interest to release </w:t>
      </w:r>
      <w:r w:rsidR="00A00004">
        <w:t>it</w:t>
      </w:r>
      <w:r w:rsidR="00DE1B80" w:rsidRPr="00930D16">
        <w:t>.</w:t>
      </w:r>
    </w:p>
    <w:p w14:paraId="046D7392" w14:textId="6BF3A0DA" w:rsidR="00DE1B80" w:rsidRDefault="00DE1B80" w:rsidP="00D132AF">
      <w:pPr>
        <w:widowControl w:val="0"/>
        <w:tabs>
          <w:tab w:val="left" w:pos="837"/>
          <w:tab w:val="left" w:pos="838"/>
        </w:tabs>
        <w:autoSpaceDE w:val="0"/>
        <w:autoSpaceDN w:val="0"/>
        <w:spacing w:after="120" w:line="276" w:lineRule="auto"/>
        <w:ind w:right="130"/>
        <w:jc w:val="both"/>
      </w:pPr>
      <w:r w:rsidRPr="00930D16">
        <w:t xml:space="preserve">The FOI Act </w:t>
      </w:r>
      <w:r>
        <w:t>ma</w:t>
      </w:r>
      <w:r w:rsidR="00C633EB">
        <w:t>k</w:t>
      </w:r>
      <w:r>
        <w:t>e</w:t>
      </w:r>
      <w:r w:rsidR="00C633EB">
        <w:t>s</w:t>
      </w:r>
      <w:r w:rsidRPr="00930D16">
        <w:t xml:space="preserve"> provi</w:t>
      </w:r>
      <w:r>
        <w:t xml:space="preserve">sion for </w:t>
      </w:r>
      <w:r w:rsidRPr="00930D16">
        <w:t>respon</w:t>
      </w:r>
      <w:r>
        <w:t>ding</w:t>
      </w:r>
      <w:r w:rsidRPr="00930D16">
        <w:t xml:space="preserve"> to particular requests</w:t>
      </w:r>
      <w:r>
        <w:t xml:space="preserve"> for </w:t>
      </w:r>
      <w:r w:rsidRPr="00930D16">
        <w:t xml:space="preserve">information, </w:t>
      </w:r>
      <w:r>
        <w:t>and</w:t>
      </w:r>
      <w:r w:rsidRPr="00930D16">
        <w:t xml:space="preserve"> </w:t>
      </w:r>
      <w:r>
        <w:t>there is a</w:t>
      </w:r>
      <w:r w:rsidRPr="00930D16">
        <w:t xml:space="preserve"> greater emphasis on the proactive disclosure of information without the need for a formal request. </w:t>
      </w:r>
      <w:r>
        <w:t>T</w:t>
      </w:r>
      <w:r w:rsidRPr="00930D16">
        <w:t xml:space="preserve">he ‘push model’ for </w:t>
      </w:r>
      <w:r>
        <w:t>providing</w:t>
      </w:r>
      <w:r w:rsidRPr="00930D16">
        <w:t xml:space="preserve"> information</w:t>
      </w:r>
      <w:r>
        <w:t xml:space="preserve"> means</w:t>
      </w:r>
      <w:r w:rsidRPr="00930D16">
        <w:t xml:space="preserve"> that a range of information including policy documents, details about agency activities and budgeting, certain expert</w:t>
      </w:r>
      <w:r w:rsidRPr="00AF0A36">
        <w:rPr>
          <w:spacing w:val="-26"/>
        </w:rPr>
        <w:t xml:space="preserve"> </w:t>
      </w:r>
      <w:r w:rsidRPr="00930D16">
        <w:t xml:space="preserve">reports from three years after they are written: incoming minister briefs, question time briefs and estimates and annual reports briefs must be proactively published </w:t>
      </w:r>
      <w:r w:rsidRPr="00930D16">
        <w:lastRenderedPageBreak/>
        <w:t>by agencies</w:t>
      </w:r>
      <w:r>
        <w:t xml:space="preserve"> (except </w:t>
      </w:r>
      <w:r w:rsidR="00B26461">
        <w:t>where</w:t>
      </w:r>
      <w:r w:rsidRPr="00930D16">
        <w:t xml:space="preserve"> contrary to the public interest</w:t>
      </w:r>
      <w:r>
        <w:t>)</w:t>
      </w:r>
      <w:r w:rsidRPr="00930D16">
        <w:t>.</w:t>
      </w:r>
      <w:r w:rsidR="009E4840">
        <w:t xml:space="preserve"> </w:t>
      </w:r>
      <w:r w:rsidRPr="00930D16">
        <w:t xml:space="preserve">The FOI Act imposes an obligation on government agencies to </w:t>
      </w:r>
      <w:r>
        <w:t xml:space="preserve">take the initiative in </w:t>
      </w:r>
      <w:r w:rsidRPr="00930D16">
        <w:t>continually consider</w:t>
      </w:r>
      <w:r w:rsidR="00F23632">
        <w:t>ing</w:t>
      </w:r>
      <w:r w:rsidRPr="00930D16">
        <w:t xml:space="preserve"> what additional information can </w:t>
      </w:r>
      <w:r>
        <w:t xml:space="preserve">be made </w:t>
      </w:r>
      <w:r w:rsidRPr="00930D16">
        <w:t xml:space="preserve">available and authorises agencies to provide information in response to informal requests for information to avoid </w:t>
      </w:r>
      <w:r>
        <w:t>going through a</w:t>
      </w:r>
      <w:r w:rsidRPr="00930D16">
        <w:t xml:space="preserve"> formal FOI</w:t>
      </w:r>
      <w:r w:rsidRPr="00AF0A36">
        <w:rPr>
          <w:spacing w:val="-16"/>
        </w:rPr>
        <w:t xml:space="preserve"> </w:t>
      </w:r>
      <w:r w:rsidRPr="00930D16">
        <w:t>process.</w:t>
      </w:r>
    </w:p>
    <w:p w14:paraId="75F7651A" w14:textId="30B77096" w:rsidR="00DE1B80" w:rsidRDefault="00DE1B80" w:rsidP="00D132AF">
      <w:pPr>
        <w:widowControl w:val="0"/>
        <w:tabs>
          <w:tab w:val="left" w:pos="837"/>
          <w:tab w:val="left" w:pos="838"/>
        </w:tabs>
        <w:autoSpaceDE w:val="0"/>
        <w:autoSpaceDN w:val="0"/>
        <w:spacing w:after="120" w:line="276" w:lineRule="auto"/>
        <w:ind w:right="130"/>
        <w:jc w:val="both"/>
      </w:pPr>
      <w:r>
        <w:t>T</w:t>
      </w:r>
      <w:r w:rsidRPr="00930D16">
        <w:t xml:space="preserve">he </w:t>
      </w:r>
      <w:r w:rsidRPr="00AF0A36">
        <w:rPr>
          <w:i/>
        </w:rPr>
        <w:t>Territory Records Act 2002</w:t>
      </w:r>
      <w:r w:rsidRPr="00930D16">
        <w:t xml:space="preserve"> </w:t>
      </w:r>
      <w:r>
        <w:t xml:space="preserve">was amended to </w:t>
      </w:r>
      <w:r w:rsidRPr="00930D16">
        <w:t xml:space="preserve">complement the </w:t>
      </w:r>
      <w:r>
        <w:t xml:space="preserve">new </w:t>
      </w:r>
      <w:r w:rsidRPr="00930D16">
        <w:t>FOI Act</w:t>
      </w:r>
      <w:r>
        <w:t xml:space="preserve"> by providing</w:t>
      </w:r>
      <w:r w:rsidRPr="00930D16">
        <w:t xml:space="preserve"> that agency records are open to public access after 20 years</w:t>
      </w:r>
      <w:r>
        <w:t>,</w:t>
      </w:r>
      <w:r w:rsidRPr="00930D16">
        <w:t xml:space="preserve"> and executive records are access</w:t>
      </w:r>
      <w:r>
        <w:t xml:space="preserve">ible after </w:t>
      </w:r>
      <w:r w:rsidRPr="00930D16">
        <w:t xml:space="preserve">10 years. </w:t>
      </w:r>
      <w:r>
        <w:t>The two schemes have</w:t>
      </w:r>
      <w:r w:rsidRPr="00AC79A3">
        <w:t xml:space="preserve"> </w:t>
      </w:r>
      <w:r>
        <w:t>been devised to be complementary over time</w:t>
      </w:r>
      <w:r w:rsidR="00C83CE7">
        <w:t xml:space="preserve"> and</w:t>
      </w:r>
      <w:r w:rsidRPr="00930D16">
        <w:t xml:space="preserve"> will work harmoniously so that agency records are subject to the new FOI scheme. </w:t>
      </w:r>
    </w:p>
    <w:p w14:paraId="0347222B" w14:textId="37D685AC" w:rsidR="007A7EEA" w:rsidRDefault="007A7EEA" w:rsidP="00D132AF">
      <w:pPr>
        <w:pStyle w:val="NormalWeb"/>
        <w:spacing w:before="0" w:beforeAutospacing="0" w:after="120" w:afterAutospacing="0" w:line="276" w:lineRule="auto"/>
        <w:jc w:val="both"/>
        <w:rPr>
          <w:color w:val="313131"/>
        </w:rPr>
      </w:pPr>
      <w:r w:rsidRPr="009071C0">
        <w:rPr>
          <w:color w:val="313131"/>
        </w:rPr>
        <w:t xml:space="preserve">The </w:t>
      </w:r>
      <w:r w:rsidR="008A3EAC">
        <w:rPr>
          <w:color w:val="313131"/>
        </w:rPr>
        <w:t>FOI</w:t>
      </w:r>
      <w:r w:rsidRPr="009071C0">
        <w:rPr>
          <w:color w:val="313131"/>
        </w:rPr>
        <w:t xml:space="preserve"> Act </w:t>
      </w:r>
      <w:r w:rsidR="00A54D67">
        <w:rPr>
          <w:color w:val="313131"/>
        </w:rPr>
        <w:t>extend</w:t>
      </w:r>
      <w:r w:rsidRPr="009071C0">
        <w:rPr>
          <w:color w:val="313131"/>
        </w:rPr>
        <w:t xml:space="preserve">s an open access regime </w:t>
      </w:r>
      <w:r w:rsidR="008A3EAC">
        <w:rPr>
          <w:color w:val="313131"/>
        </w:rPr>
        <w:t>designed to</w:t>
      </w:r>
      <w:r w:rsidRPr="009071C0">
        <w:rPr>
          <w:color w:val="313131"/>
        </w:rPr>
        <w:t xml:space="preserve"> ensure regular disclosure of certain categories of government information.</w:t>
      </w:r>
      <w:r>
        <w:rPr>
          <w:color w:val="313131"/>
        </w:rPr>
        <w:t xml:space="preserve"> </w:t>
      </w:r>
      <w:r w:rsidRPr="009071C0">
        <w:rPr>
          <w:color w:val="313131"/>
        </w:rPr>
        <w:t>Th</w:t>
      </w:r>
      <w:r>
        <w:rPr>
          <w:color w:val="313131"/>
        </w:rPr>
        <w:t>e</w:t>
      </w:r>
      <w:r w:rsidRPr="009071C0">
        <w:rPr>
          <w:color w:val="313131"/>
        </w:rPr>
        <w:t xml:space="preserve"> website is created to support a pro-disclosure culture across the ACT </w:t>
      </w:r>
      <w:r w:rsidR="008A3EAC">
        <w:rPr>
          <w:color w:val="313131"/>
        </w:rPr>
        <w:t>g</w:t>
      </w:r>
      <w:r w:rsidRPr="009071C0">
        <w:rPr>
          <w:color w:val="313131"/>
        </w:rPr>
        <w:t xml:space="preserve">overnment by providing a central, searchable interface to enable the community to access government information. ACT </w:t>
      </w:r>
      <w:r w:rsidR="008A3EAC">
        <w:rPr>
          <w:color w:val="313131"/>
        </w:rPr>
        <w:t>g</w:t>
      </w:r>
      <w:r w:rsidRPr="009071C0">
        <w:rPr>
          <w:color w:val="313131"/>
        </w:rPr>
        <w:t>overnment agencies will progressively make open access information available through this website.</w:t>
      </w:r>
      <w:r w:rsidR="008A3EAC">
        <w:rPr>
          <w:rStyle w:val="FootnoteReference"/>
          <w:color w:val="313131"/>
        </w:rPr>
        <w:footnoteReference w:id="13"/>
      </w:r>
      <w:r w:rsidRPr="009071C0">
        <w:rPr>
          <w:color w:val="313131"/>
        </w:rPr>
        <w:t xml:space="preserve"> </w:t>
      </w:r>
    </w:p>
    <w:p w14:paraId="277AFEE0" w14:textId="0A44EF34" w:rsidR="00DE1B80" w:rsidRDefault="003D7957" w:rsidP="00D132AF">
      <w:pPr>
        <w:widowControl w:val="0"/>
        <w:tabs>
          <w:tab w:val="left" w:pos="837"/>
          <w:tab w:val="left" w:pos="838"/>
        </w:tabs>
        <w:autoSpaceDE w:val="0"/>
        <w:autoSpaceDN w:val="0"/>
        <w:spacing w:after="120" w:line="276" w:lineRule="auto"/>
        <w:ind w:right="130"/>
        <w:jc w:val="both"/>
      </w:pPr>
      <w:r>
        <w:t xml:space="preserve">There has been provision for public access to </w:t>
      </w:r>
      <w:r w:rsidR="00890EF7">
        <w:t>e</w:t>
      </w:r>
      <w:r>
        <w:t xml:space="preserve">xecutive documents for three decades. </w:t>
      </w:r>
      <w:r w:rsidR="00746674">
        <w:t>The C</w:t>
      </w:r>
      <w:r w:rsidR="00746674" w:rsidRPr="00930D16">
        <w:t>hief Min</w:t>
      </w:r>
      <w:r w:rsidR="0064115B">
        <w:t>i</w:t>
      </w:r>
      <w:r w:rsidR="00746674" w:rsidRPr="00930D16">
        <w:t xml:space="preserve">ster </w:t>
      </w:r>
      <w:r w:rsidR="00746674">
        <w:t>is required to</w:t>
      </w:r>
      <w:r w:rsidR="00746674" w:rsidRPr="00930D16">
        <w:t xml:space="preserve"> publish a summary of cabinet decisions and a copy of the corresponding triple bottom line assessments for the decisions. Some information relating to cabinet decisions is published</w:t>
      </w:r>
      <w:r w:rsidR="00746674">
        <w:t>.</w:t>
      </w:r>
      <w:r w:rsidR="00746674">
        <w:rPr>
          <w:rStyle w:val="FootnoteReference"/>
        </w:rPr>
        <w:footnoteReference w:id="14"/>
      </w:r>
      <w:r w:rsidR="00746674">
        <w:t xml:space="preserve"> </w:t>
      </w:r>
      <w:r w:rsidR="00746674" w:rsidRPr="00930D16">
        <w:t xml:space="preserve">The requirement in the FOI Act </w:t>
      </w:r>
      <w:r w:rsidR="00746674">
        <w:t>is intended to</w:t>
      </w:r>
      <w:r w:rsidR="00746674" w:rsidRPr="00930D16">
        <w:t xml:space="preserve"> </w:t>
      </w:r>
      <w:r w:rsidR="00746674">
        <w:t>increase</w:t>
      </w:r>
      <w:r w:rsidR="00746674" w:rsidRPr="00930D16">
        <w:t xml:space="preserve"> the </w:t>
      </w:r>
      <w:r w:rsidR="00746674">
        <w:t>volume</w:t>
      </w:r>
      <w:r w:rsidR="00746674" w:rsidRPr="00930D16">
        <w:t xml:space="preserve"> </w:t>
      </w:r>
      <w:r w:rsidR="00746674">
        <w:t xml:space="preserve">and </w:t>
      </w:r>
      <w:r w:rsidR="00746674" w:rsidRPr="00930D16">
        <w:t xml:space="preserve">timeliness </w:t>
      </w:r>
      <w:r w:rsidR="00746674">
        <w:t xml:space="preserve">of </w:t>
      </w:r>
      <w:r w:rsidR="00746674" w:rsidRPr="00930D16">
        <w:t>information about cabinet decisions.</w:t>
      </w:r>
      <w:r w:rsidR="00E77FD4">
        <w:t xml:space="preserve"> </w:t>
      </w:r>
      <w:r w:rsidR="00DE1B80">
        <w:t>U</w:t>
      </w:r>
      <w:r w:rsidR="00DE1B80" w:rsidRPr="00930D16">
        <w:t>nder the open access information scheme</w:t>
      </w:r>
      <w:r w:rsidR="00DE1B80">
        <w:rPr>
          <w:spacing w:val="1"/>
        </w:rPr>
        <w:t>, m</w:t>
      </w:r>
      <w:r w:rsidR="00DE1B80" w:rsidRPr="00930D16">
        <w:t>inisters are required to publish</w:t>
      </w:r>
      <w:r w:rsidR="007F5DAA">
        <w:t xml:space="preserve"> </w:t>
      </w:r>
      <w:r w:rsidR="00DE1B80">
        <w:t>m</w:t>
      </w:r>
      <w:r w:rsidR="00DE1B80" w:rsidRPr="00A83784">
        <w:t>inisterial travel and hospitality</w:t>
      </w:r>
      <w:r w:rsidR="00DE1B80" w:rsidRPr="00C3282F">
        <w:rPr>
          <w:spacing w:val="-3"/>
        </w:rPr>
        <w:t xml:space="preserve"> </w:t>
      </w:r>
      <w:r w:rsidR="00DE1B80" w:rsidRPr="00A83784">
        <w:t>expenses</w:t>
      </w:r>
      <w:r w:rsidR="00DE1B80">
        <w:t xml:space="preserve"> and a copy of </w:t>
      </w:r>
      <w:r w:rsidR="00DE1B80" w:rsidRPr="00A83784">
        <w:t>the Minister’s</w:t>
      </w:r>
      <w:r w:rsidR="00DE1B80" w:rsidRPr="00C3282F">
        <w:rPr>
          <w:spacing w:val="-3"/>
        </w:rPr>
        <w:t xml:space="preserve"> </w:t>
      </w:r>
      <w:r w:rsidR="00DE1B80" w:rsidRPr="00A83784">
        <w:t>diary</w:t>
      </w:r>
      <w:r w:rsidR="00FF1A24">
        <w:rPr>
          <w:rFonts w:ascii="Symbol" w:hAnsi="Symbol"/>
        </w:rPr>
        <w:t></w:t>
      </w:r>
      <w:r w:rsidR="009E4840">
        <w:rPr>
          <w:rFonts w:ascii="Symbol" w:hAnsi="Symbol"/>
        </w:rPr>
        <w:t></w:t>
      </w:r>
      <w:r w:rsidR="009E4840">
        <w:rPr>
          <w:color w:val="313131"/>
        </w:rPr>
        <w:t xml:space="preserve">which </w:t>
      </w:r>
      <w:r w:rsidR="00DE1B80">
        <w:t xml:space="preserve">must include the appointments and meetings that relate to the Minister's responsibilities. The intention is to give the public a greater understanding of who </w:t>
      </w:r>
      <w:r w:rsidR="00FB12E8">
        <w:t>m</w:t>
      </w:r>
      <w:r w:rsidR="00DE1B80">
        <w:t>inisters engage with and how. O</w:t>
      </w:r>
      <w:r w:rsidR="00DE1B80" w:rsidRPr="00930D16">
        <w:t>pen access information for agenc</w:t>
      </w:r>
      <w:r w:rsidR="00DE1B80">
        <w:t>ies</w:t>
      </w:r>
      <w:r w:rsidR="00DE1B80" w:rsidRPr="00930D16">
        <w:t xml:space="preserve"> include</w:t>
      </w:r>
      <w:r w:rsidR="003D6748">
        <w:t>s</w:t>
      </w:r>
      <w:r w:rsidR="00DE1B80">
        <w:t>,</w:t>
      </w:r>
      <w:r w:rsidR="00DE1B80" w:rsidRPr="00930D16">
        <w:t xml:space="preserve"> </w:t>
      </w:r>
      <w:r w:rsidR="00DE1B80">
        <w:t>after an interval of five years</w:t>
      </w:r>
      <w:r w:rsidR="00DE1B80">
        <w:rPr>
          <w:rFonts w:ascii="Symbol" w:hAnsi="Symbol"/>
        </w:rPr>
        <w:t></w:t>
      </w:r>
      <w:r w:rsidR="00DE1B80">
        <w:rPr>
          <w:rFonts w:ascii="Symbol" w:hAnsi="Symbol"/>
        </w:rPr>
        <w:t></w:t>
      </w:r>
      <w:r w:rsidR="00DE1B80">
        <w:t>briefs to</w:t>
      </w:r>
      <w:r w:rsidR="00DE1B80" w:rsidRPr="00DA6B7C">
        <w:t xml:space="preserve"> parliamentary estimates, annual reports</w:t>
      </w:r>
      <w:r w:rsidR="00DE1B80">
        <w:t xml:space="preserve"> and </w:t>
      </w:r>
      <w:r w:rsidR="00DE1B80" w:rsidRPr="00DA6B7C">
        <w:t>question time.</w:t>
      </w:r>
    </w:p>
    <w:p w14:paraId="386F26B4" w14:textId="708BC520" w:rsidR="006369F5" w:rsidRPr="005812A1" w:rsidRDefault="005812A1" w:rsidP="002C62EF">
      <w:pPr>
        <w:spacing w:before="240" w:after="240" w:line="276" w:lineRule="auto"/>
        <w:jc w:val="both"/>
        <w:outlineLvl w:val="0"/>
        <w:rPr>
          <w:b/>
          <w:color w:val="4472C4" w:themeColor="accent1"/>
          <w:sz w:val="28"/>
          <w:szCs w:val="28"/>
        </w:rPr>
      </w:pPr>
      <w:r w:rsidRPr="005812A1">
        <w:rPr>
          <w:b/>
          <w:color w:val="4472C4" w:themeColor="accent1"/>
          <w:sz w:val="28"/>
          <w:szCs w:val="28"/>
        </w:rPr>
        <w:t xml:space="preserve">Parliamentary Branch </w:t>
      </w:r>
    </w:p>
    <w:p w14:paraId="23E313BB" w14:textId="77777777" w:rsidR="00675C3B" w:rsidRPr="00C80DDE" w:rsidRDefault="00675C3B" w:rsidP="00C37270">
      <w:pPr>
        <w:spacing w:before="120" w:line="360" w:lineRule="auto"/>
        <w:jc w:val="both"/>
        <w:outlineLvl w:val="0"/>
        <w:rPr>
          <w:b/>
          <w:color w:val="4472C4" w:themeColor="accent1"/>
          <w:lang w:val="en-US"/>
        </w:rPr>
      </w:pPr>
      <w:r w:rsidRPr="00C80DDE">
        <w:rPr>
          <w:b/>
          <w:color w:val="4472C4" w:themeColor="accent1"/>
          <w:lang w:val="en-US"/>
        </w:rPr>
        <w:t>Parliament and Latimer</w:t>
      </w:r>
    </w:p>
    <w:p w14:paraId="2F5A8DD8" w14:textId="1B19A38F" w:rsidR="00AF0A36" w:rsidRDefault="006369F5" w:rsidP="00D132AF">
      <w:pPr>
        <w:spacing w:after="120" w:line="276" w:lineRule="auto"/>
        <w:jc w:val="both"/>
        <w:rPr>
          <w:lang w:val="en-US"/>
        </w:rPr>
      </w:pPr>
      <w:r w:rsidRPr="002E2CF4">
        <w:rPr>
          <w:lang w:val="en-US"/>
        </w:rPr>
        <w:t xml:space="preserve">The Assembly has had relatively more independence, compared to comparable systems operating within a Westminster tradition because a one-party majority in the Assembly is the exception. </w:t>
      </w:r>
      <w:r w:rsidR="00AF0A36">
        <w:t xml:space="preserve">At the same time, the conditions have not existed for a regular change of government. One-party government </w:t>
      </w:r>
      <w:r w:rsidR="0029631F">
        <w:t xml:space="preserve">has </w:t>
      </w:r>
      <w:r w:rsidR="00AF0A36" w:rsidRPr="00842234">
        <w:rPr>
          <w:lang w:val="en-US"/>
        </w:rPr>
        <w:t xml:space="preserve">prevailed for 18 years, </w:t>
      </w:r>
      <w:r w:rsidR="00311C17">
        <w:rPr>
          <w:lang w:val="en-US"/>
        </w:rPr>
        <w:t>one</w:t>
      </w:r>
      <w:r w:rsidR="00AF0A36" w:rsidRPr="00842234">
        <w:rPr>
          <w:lang w:val="en-US"/>
        </w:rPr>
        <w:t xml:space="preserve"> ter</w:t>
      </w:r>
      <w:r w:rsidR="00311C17">
        <w:rPr>
          <w:lang w:val="en-US"/>
        </w:rPr>
        <w:t>m</w:t>
      </w:r>
      <w:r w:rsidR="00AF0A36" w:rsidRPr="00842234">
        <w:rPr>
          <w:lang w:val="en-US"/>
        </w:rPr>
        <w:t xml:space="preserve"> of majority government and three with </w:t>
      </w:r>
      <w:r w:rsidR="0013632F">
        <w:rPr>
          <w:lang w:val="en-US"/>
        </w:rPr>
        <w:t xml:space="preserve">a </w:t>
      </w:r>
      <w:r w:rsidR="00AF0A36" w:rsidRPr="00842234">
        <w:rPr>
          <w:lang w:val="en-US"/>
        </w:rPr>
        <w:t xml:space="preserve">minority government majority in the Assembly. The numbers in the two main parties have been fairly even </w:t>
      </w:r>
      <w:r w:rsidR="00842234">
        <w:rPr>
          <w:lang w:val="en-US"/>
        </w:rPr>
        <w:t>for</w:t>
      </w:r>
      <w:r w:rsidR="00AF0A36" w:rsidRPr="00842234">
        <w:rPr>
          <w:lang w:val="en-US"/>
        </w:rPr>
        <w:t xml:space="preserve"> the last two election results, with the balance of power being assumed by the third party.</w:t>
      </w:r>
      <w:r w:rsidR="00996C96">
        <w:t xml:space="preserve"> </w:t>
      </w:r>
      <w:r w:rsidR="00AF0A36" w:rsidRPr="00842234">
        <w:rPr>
          <w:lang w:val="en-US"/>
        </w:rPr>
        <w:t>Parliamentary Agreement</w:t>
      </w:r>
      <w:r w:rsidR="00996C96">
        <w:rPr>
          <w:lang w:val="en-US"/>
        </w:rPr>
        <w:t>s</w:t>
      </w:r>
      <w:r w:rsidR="00AF0A36" w:rsidRPr="00842234">
        <w:rPr>
          <w:lang w:val="en-US"/>
        </w:rPr>
        <w:t xml:space="preserve"> between the governing party (the Australian Labor Party ACT) and the ACT Greens</w:t>
      </w:r>
      <w:r w:rsidR="00996C96">
        <w:rPr>
          <w:lang w:val="en-US"/>
        </w:rPr>
        <w:t xml:space="preserve"> for recent Assemblies </w:t>
      </w:r>
      <w:r w:rsidR="00842234">
        <w:rPr>
          <w:lang w:val="en-US"/>
        </w:rPr>
        <w:t xml:space="preserve">has </w:t>
      </w:r>
      <w:r w:rsidR="00AF0A36" w:rsidRPr="00842234">
        <w:rPr>
          <w:lang w:val="en-US"/>
        </w:rPr>
        <w:t>include</w:t>
      </w:r>
      <w:r w:rsidR="00842234">
        <w:rPr>
          <w:lang w:val="en-US"/>
        </w:rPr>
        <w:t>d</w:t>
      </w:r>
      <w:r w:rsidR="00AF0A36" w:rsidRPr="00842234">
        <w:rPr>
          <w:lang w:val="en-US"/>
        </w:rPr>
        <w:t xml:space="preserve"> an agenda for improving the work, operations and the resources </w:t>
      </w:r>
      <w:r w:rsidR="00AF0A36" w:rsidRPr="00842234">
        <w:rPr>
          <w:lang w:val="en-US"/>
        </w:rPr>
        <w:lastRenderedPageBreak/>
        <w:t>of the Assembly.</w:t>
      </w:r>
      <w:r w:rsidR="002A7EB9">
        <w:t xml:space="preserve">  </w:t>
      </w:r>
      <w:r w:rsidR="00AF0A36">
        <w:t>In</w:t>
      </w:r>
      <w:r w:rsidR="00AF0A36" w:rsidRPr="002A7EB9">
        <w:rPr>
          <w:lang w:val="en-US"/>
        </w:rPr>
        <w:t xml:space="preserve"> ACT’s multi-party </w:t>
      </w:r>
      <w:r w:rsidR="00255D6C">
        <w:rPr>
          <w:lang w:val="en-US"/>
        </w:rPr>
        <w:t xml:space="preserve">system </w:t>
      </w:r>
      <w:r w:rsidR="00996C96">
        <w:rPr>
          <w:lang w:val="en-US"/>
        </w:rPr>
        <w:t>with</w:t>
      </w:r>
      <w:r w:rsidR="00996C96" w:rsidRPr="002A7EB9">
        <w:rPr>
          <w:lang w:val="en-US"/>
        </w:rPr>
        <w:t xml:space="preserve"> an active Opposition</w:t>
      </w:r>
      <w:r w:rsidR="00996C96">
        <w:rPr>
          <w:lang w:val="en-US"/>
        </w:rPr>
        <w:t xml:space="preserve"> and </w:t>
      </w:r>
      <w:r w:rsidR="00996C96" w:rsidRPr="002A7EB9">
        <w:rPr>
          <w:lang w:val="en-US"/>
        </w:rPr>
        <w:t>mediums for inter-party cooperation</w:t>
      </w:r>
      <w:r w:rsidR="00255D6C">
        <w:rPr>
          <w:lang w:val="en-US"/>
        </w:rPr>
        <w:t>,</w:t>
      </w:r>
      <w:r w:rsidR="00AF0A36" w:rsidRPr="002A7EB9">
        <w:rPr>
          <w:lang w:val="en-US"/>
        </w:rPr>
        <w:t xml:space="preserve"> regular </w:t>
      </w:r>
      <w:r w:rsidR="00996C96">
        <w:rPr>
          <w:lang w:val="en-US"/>
        </w:rPr>
        <w:t>discussion</w:t>
      </w:r>
      <w:r w:rsidR="008D6483">
        <w:rPr>
          <w:lang w:val="en-US"/>
        </w:rPr>
        <w:t>s</w:t>
      </w:r>
      <w:r w:rsidR="00AF0A36" w:rsidRPr="002A7EB9">
        <w:rPr>
          <w:lang w:val="en-US"/>
        </w:rPr>
        <w:t xml:space="preserve"> occur </w:t>
      </w:r>
      <w:r w:rsidR="00996C96">
        <w:rPr>
          <w:lang w:val="en-US"/>
        </w:rPr>
        <w:t xml:space="preserve">about </w:t>
      </w:r>
      <w:r w:rsidR="00AF0A36" w:rsidRPr="002A7EB9">
        <w:rPr>
          <w:lang w:val="en-US"/>
        </w:rPr>
        <w:t xml:space="preserve">enhancing the institution. </w:t>
      </w:r>
    </w:p>
    <w:p w14:paraId="10FD108D" w14:textId="2631D631" w:rsidR="00DF3215" w:rsidRPr="00CE2A4C" w:rsidRDefault="00917573" w:rsidP="0021187C">
      <w:pPr>
        <w:spacing w:after="240" w:line="276" w:lineRule="auto"/>
        <w:jc w:val="both"/>
      </w:pPr>
      <w:r w:rsidRPr="002E2CF4">
        <w:rPr>
          <w:lang w:val="en-US"/>
        </w:rPr>
        <w:t xml:space="preserve">The </w:t>
      </w:r>
      <w:r>
        <w:rPr>
          <w:lang w:val="en-US"/>
        </w:rPr>
        <w:t xml:space="preserve">ACT </w:t>
      </w:r>
      <w:r w:rsidRPr="002E2CF4">
        <w:rPr>
          <w:lang w:val="en-US"/>
        </w:rPr>
        <w:t xml:space="preserve">Legislative Assembly </w:t>
      </w:r>
      <w:r w:rsidR="00520C71">
        <w:rPr>
          <w:lang w:val="en-US"/>
        </w:rPr>
        <w:t xml:space="preserve">has </w:t>
      </w:r>
      <w:r w:rsidRPr="002E2CF4">
        <w:rPr>
          <w:lang w:val="en-US"/>
        </w:rPr>
        <w:t>continue</w:t>
      </w:r>
      <w:r w:rsidR="00520C71">
        <w:rPr>
          <w:lang w:val="en-US"/>
        </w:rPr>
        <w:t>d</w:t>
      </w:r>
      <w:r>
        <w:rPr>
          <w:lang w:val="en-US"/>
        </w:rPr>
        <w:t xml:space="preserve"> to</w:t>
      </w:r>
      <w:r w:rsidRPr="002E2CF4">
        <w:rPr>
          <w:lang w:val="en-US"/>
        </w:rPr>
        <w:t xml:space="preserve"> perform</w:t>
      </w:r>
      <w:r>
        <w:rPr>
          <w:lang w:val="en-US"/>
        </w:rPr>
        <w:t xml:space="preserve"> </w:t>
      </w:r>
      <w:r w:rsidRPr="002E2CF4">
        <w:rPr>
          <w:lang w:val="en-US"/>
        </w:rPr>
        <w:t xml:space="preserve">well against Latimer </w:t>
      </w:r>
      <w:r w:rsidR="0013632F">
        <w:rPr>
          <w:lang w:val="en-US"/>
        </w:rPr>
        <w:t xml:space="preserve">House </w:t>
      </w:r>
      <w:r w:rsidRPr="002E2CF4">
        <w:rPr>
          <w:lang w:val="en-US"/>
        </w:rPr>
        <w:t>Principles (and the</w:t>
      </w:r>
      <w:r w:rsidRPr="006E2A37">
        <w:t xml:space="preserve"> benchmarks of the Commonwealth Parliamentary</w:t>
      </w:r>
      <w:r>
        <w:t xml:space="preserve"> Association 2018</w:t>
      </w:r>
      <w:r w:rsidRPr="006E2A37">
        <w:t xml:space="preserve">) as </w:t>
      </w:r>
      <w:r w:rsidRPr="002E2CF4">
        <w:rPr>
          <w:lang w:val="en-US"/>
        </w:rPr>
        <w:t xml:space="preserve">a unicameral parliament </w:t>
      </w:r>
      <w:r>
        <w:rPr>
          <w:lang w:val="en-US"/>
        </w:rPr>
        <w:t>with</w:t>
      </w:r>
      <w:r w:rsidRPr="002E2CF4">
        <w:rPr>
          <w:lang w:val="en-US"/>
        </w:rPr>
        <w:t xml:space="preserve"> </w:t>
      </w:r>
      <w:r w:rsidR="00135AF9">
        <w:rPr>
          <w:lang w:val="en-US"/>
        </w:rPr>
        <w:t>broad</w:t>
      </w:r>
      <w:r w:rsidRPr="002E2CF4">
        <w:rPr>
          <w:lang w:val="en-US"/>
        </w:rPr>
        <w:t xml:space="preserve"> responsibilities</w:t>
      </w:r>
      <w:r w:rsidRPr="006E2A37">
        <w:t>.</w:t>
      </w:r>
      <w:r>
        <w:t xml:space="preserve"> The</w:t>
      </w:r>
      <w:r w:rsidR="00CC08CD">
        <w:t xml:space="preserve"> most recent and comprehensive indication is the assessment </w:t>
      </w:r>
      <w:r w:rsidR="0034235B">
        <w:t xml:space="preserve">of </w:t>
      </w:r>
      <w:r w:rsidR="00520C71">
        <w:t xml:space="preserve">the ACT’s record against </w:t>
      </w:r>
      <w:r w:rsidR="0034235B">
        <w:t>132</w:t>
      </w:r>
      <w:r w:rsidR="002F319C">
        <w:t xml:space="preserve"> </w:t>
      </w:r>
      <w:r>
        <w:t>CPA</w:t>
      </w:r>
      <w:r w:rsidR="00CC08CD">
        <w:t xml:space="preserve"> benchmarks</w:t>
      </w:r>
      <w:r w:rsidR="001577E0">
        <w:t xml:space="preserve">. </w:t>
      </w:r>
      <w:r w:rsidR="00B71F76">
        <w:t xml:space="preserve">The </w:t>
      </w:r>
      <w:r w:rsidR="00721E87">
        <w:t>results indicated that the Assembly</w:t>
      </w:r>
      <w:r w:rsidR="0007136B">
        <w:t xml:space="preserve"> </w:t>
      </w:r>
      <w:r w:rsidR="00721E87">
        <w:t>‘</w:t>
      </w:r>
      <w:r w:rsidR="0007136B">
        <w:t>fully complied with the spir</w:t>
      </w:r>
      <w:r w:rsidR="00F72F30">
        <w:t>i</w:t>
      </w:r>
      <w:r w:rsidR="0007136B">
        <w:t>t</w:t>
      </w:r>
      <w:r w:rsidR="00F72F30">
        <w:t xml:space="preserve"> a</w:t>
      </w:r>
      <w:r w:rsidR="0007136B">
        <w:t>nd letter of the benchmar</w:t>
      </w:r>
      <w:r w:rsidR="00CA33CA">
        <w:t>k</w:t>
      </w:r>
      <w:r w:rsidR="00721E87">
        <w:t xml:space="preserve">’ </w:t>
      </w:r>
      <w:r w:rsidR="00FC3E54">
        <w:t>in</w:t>
      </w:r>
      <w:r w:rsidR="00721E87">
        <w:t xml:space="preserve"> 79% of the </w:t>
      </w:r>
      <w:r w:rsidR="00FC3E54">
        <w:t>case</w:t>
      </w:r>
      <w:r w:rsidR="00721E87">
        <w:t>s</w:t>
      </w:r>
      <w:r w:rsidR="0007136B">
        <w:t xml:space="preserve">; </w:t>
      </w:r>
      <w:r w:rsidR="00C95556">
        <w:t xml:space="preserve">and </w:t>
      </w:r>
      <w:r w:rsidR="005525B5">
        <w:t xml:space="preserve">partially complied </w:t>
      </w:r>
      <w:r w:rsidR="006E1E25">
        <w:t xml:space="preserve">with </w:t>
      </w:r>
      <w:r w:rsidR="005525B5">
        <w:t>12%</w:t>
      </w:r>
      <w:r w:rsidR="00C95556">
        <w:t>. N</w:t>
      </w:r>
      <w:r w:rsidR="005525B5">
        <w:t>on-compliance (2%)</w:t>
      </w:r>
      <w:r w:rsidR="00C95556">
        <w:t xml:space="preserve"> and</w:t>
      </w:r>
      <w:r w:rsidR="005525B5">
        <w:t xml:space="preserve"> not applicable (e.g. bicameral benchmarks)</w:t>
      </w:r>
      <w:r w:rsidR="001577E0">
        <w:t xml:space="preserve"> (7%) </w:t>
      </w:r>
      <w:r w:rsidR="00C95556">
        <w:t xml:space="preserve">made up the remainder </w:t>
      </w:r>
      <w:r w:rsidR="001577E0">
        <w:t>(Duncan 2019).</w:t>
      </w:r>
    </w:p>
    <w:p w14:paraId="253A3C13" w14:textId="77777777" w:rsidR="00AF0A36" w:rsidRPr="00E74DBB" w:rsidRDefault="00AF0A36" w:rsidP="00C37270">
      <w:pPr>
        <w:pStyle w:val="Normal18J"/>
        <w:rPr>
          <w:b/>
          <w:bCs/>
          <w:color w:val="4472C4" w:themeColor="accent1"/>
        </w:rPr>
      </w:pPr>
      <w:r w:rsidRPr="00E74DBB">
        <w:rPr>
          <w:b/>
          <w:bCs/>
          <w:color w:val="4472C4" w:themeColor="accent1"/>
        </w:rPr>
        <w:t>Indicators of MLA independence</w:t>
      </w:r>
    </w:p>
    <w:p w14:paraId="66FE114D" w14:textId="07DD6A0A" w:rsidR="00896D45" w:rsidRDefault="00896D45" w:rsidP="0025346E">
      <w:pPr>
        <w:spacing w:after="240" w:line="276" w:lineRule="auto"/>
        <w:jc w:val="both"/>
      </w:pPr>
      <w:r>
        <w:t>Several</w:t>
      </w:r>
      <w:r w:rsidR="00AF0A36" w:rsidRPr="00FE5AA2">
        <w:t xml:space="preserve"> indicators are used to examine the </w:t>
      </w:r>
      <w:r w:rsidR="00AD366D">
        <w:t xml:space="preserve">relative </w:t>
      </w:r>
      <w:r w:rsidR="00AF0A36" w:rsidRPr="00FE5AA2">
        <w:t xml:space="preserve">independence of </w:t>
      </w:r>
      <w:r w:rsidR="00AD366D">
        <w:t>MLAs</w:t>
      </w:r>
      <w:r w:rsidR="00AF0A36" w:rsidRPr="00FE5AA2">
        <w:t xml:space="preserve"> (who are still acting as members of political parties)</w:t>
      </w:r>
      <w:r>
        <w:t xml:space="preserve">: the functioning of committees, the </w:t>
      </w:r>
      <w:r w:rsidR="00374C01">
        <w:t>attention</w:t>
      </w:r>
      <w:r>
        <w:t xml:space="preserve"> given by the </w:t>
      </w:r>
      <w:r w:rsidR="00E50D66">
        <w:t>a</w:t>
      </w:r>
      <w:r>
        <w:t xml:space="preserve">ssembly to </w:t>
      </w:r>
      <w:r w:rsidR="004311FB">
        <w:t xml:space="preserve">non-executive bills, the willingness of the </w:t>
      </w:r>
      <w:r w:rsidR="00E50D66">
        <w:t>e</w:t>
      </w:r>
      <w:r w:rsidR="004311FB">
        <w:t>xecutive to accept amendments from non-executive M</w:t>
      </w:r>
      <w:r w:rsidR="00AD066C">
        <w:t>LAs</w:t>
      </w:r>
      <w:r w:rsidR="00E95E8F">
        <w:t xml:space="preserve">, </w:t>
      </w:r>
      <w:r w:rsidR="008809A8">
        <w:t>non-government questions and time assigned to non-government business.</w:t>
      </w:r>
    </w:p>
    <w:p w14:paraId="5A2F341E" w14:textId="27C6FAD4" w:rsidR="00205790" w:rsidRPr="00D03896" w:rsidRDefault="00205790" w:rsidP="00C37270">
      <w:pPr>
        <w:spacing w:line="360" w:lineRule="auto"/>
        <w:jc w:val="both"/>
        <w:rPr>
          <w:i/>
          <w:iCs/>
        </w:rPr>
      </w:pPr>
      <w:r w:rsidRPr="00D03896">
        <w:rPr>
          <w:i/>
          <w:iCs/>
          <w:color w:val="000000"/>
          <w:lang w:eastAsia="en-AU"/>
        </w:rPr>
        <w:t>C</w:t>
      </w:r>
      <w:r w:rsidR="009D4532">
        <w:rPr>
          <w:i/>
          <w:iCs/>
          <w:color w:val="000000"/>
          <w:lang w:eastAsia="en-AU"/>
        </w:rPr>
        <w:t>omposition and c</w:t>
      </w:r>
      <w:r w:rsidRPr="00D03896">
        <w:rPr>
          <w:i/>
          <w:iCs/>
          <w:color w:val="000000"/>
          <w:lang w:eastAsia="en-AU"/>
        </w:rPr>
        <w:t>hairs of committees</w:t>
      </w:r>
    </w:p>
    <w:p w14:paraId="7BB72543" w14:textId="3C24B7E7" w:rsidR="00205790" w:rsidRPr="005F6B16" w:rsidRDefault="00FF54DA" w:rsidP="00D132AF">
      <w:pPr>
        <w:spacing w:after="120" w:line="276" w:lineRule="auto"/>
        <w:ind w:right="203"/>
        <w:jc w:val="both"/>
        <w:rPr>
          <w:w w:val="105"/>
        </w:rPr>
      </w:pPr>
      <w:r>
        <w:rPr>
          <w:w w:val="105"/>
        </w:rPr>
        <w:t>Under the p</w:t>
      </w:r>
      <w:r w:rsidR="00205790" w:rsidRPr="006217BF">
        <w:rPr>
          <w:w w:val="105"/>
        </w:rPr>
        <w:t>arl</w:t>
      </w:r>
      <w:r>
        <w:rPr>
          <w:w w:val="105"/>
        </w:rPr>
        <w:t xml:space="preserve">iamentary </w:t>
      </w:r>
      <w:r w:rsidR="00205790" w:rsidRPr="006217BF">
        <w:rPr>
          <w:w w:val="105"/>
        </w:rPr>
        <w:t xml:space="preserve">agreement </w:t>
      </w:r>
      <w:r>
        <w:rPr>
          <w:w w:val="105"/>
        </w:rPr>
        <w:t xml:space="preserve">for the </w:t>
      </w:r>
      <w:r w:rsidRPr="006217BF">
        <w:rPr>
          <w:w w:val="105"/>
        </w:rPr>
        <w:t>9</w:t>
      </w:r>
      <w:r w:rsidRPr="006217BF">
        <w:rPr>
          <w:w w:val="105"/>
          <w:vertAlign w:val="superscript"/>
        </w:rPr>
        <w:t>th</w:t>
      </w:r>
      <w:r>
        <w:rPr>
          <w:w w:val="105"/>
        </w:rPr>
        <w:t xml:space="preserve"> assembly,</w:t>
      </w:r>
      <w:r w:rsidR="005F6B16">
        <w:rPr>
          <w:w w:val="105"/>
        </w:rPr>
        <w:t xml:space="preserve"> </w:t>
      </w:r>
      <w:r w:rsidR="00205790" w:rsidRPr="006217BF">
        <w:rPr>
          <w:w w:val="105"/>
        </w:rPr>
        <w:t>‘The</w:t>
      </w:r>
      <w:r w:rsidR="00205790" w:rsidRPr="006217BF">
        <w:rPr>
          <w:spacing w:val="-16"/>
          <w:w w:val="105"/>
        </w:rPr>
        <w:t xml:space="preserve"> </w:t>
      </w:r>
      <w:r w:rsidR="00205790" w:rsidRPr="006217BF">
        <w:rPr>
          <w:w w:val="105"/>
        </w:rPr>
        <w:t>parties</w:t>
      </w:r>
      <w:r w:rsidR="00205790" w:rsidRPr="006217BF">
        <w:rPr>
          <w:spacing w:val="-6"/>
          <w:w w:val="105"/>
        </w:rPr>
        <w:t xml:space="preserve"> </w:t>
      </w:r>
      <w:r w:rsidR="00205790" w:rsidRPr="006217BF">
        <w:rPr>
          <w:w w:val="105"/>
        </w:rPr>
        <w:t>agree</w:t>
      </w:r>
      <w:r w:rsidR="00205790" w:rsidRPr="006217BF">
        <w:rPr>
          <w:spacing w:val="-9"/>
          <w:w w:val="105"/>
        </w:rPr>
        <w:t xml:space="preserve"> </w:t>
      </w:r>
      <w:r w:rsidR="00205790" w:rsidRPr="006217BF">
        <w:rPr>
          <w:w w:val="105"/>
        </w:rPr>
        <w:t>to</w:t>
      </w:r>
      <w:r w:rsidR="00205790" w:rsidRPr="006217BF">
        <w:rPr>
          <w:spacing w:val="10"/>
          <w:w w:val="105"/>
        </w:rPr>
        <w:t xml:space="preserve"> </w:t>
      </w:r>
      <w:r w:rsidR="00205790" w:rsidRPr="006217BF">
        <w:rPr>
          <w:w w:val="105"/>
        </w:rPr>
        <w:t>establish</w:t>
      </w:r>
      <w:r w:rsidR="00205790" w:rsidRPr="006217BF">
        <w:rPr>
          <w:spacing w:val="-9"/>
          <w:w w:val="105"/>
        </w:rPr>
        <w:t xml:space="preserve"> </w:t>
      </w:r>
      <w:r w:rsidR="00205790" w:rsidRPr="006217BF">
        <w:rPr>
          <w:w w:val="105"/>
        </w:rPr>
        <w:t>seven</w:t>
      </w:r>
      <w:r w:rsidR="00205790" w:rsidRPr="006217BF">
        <w:rPr>
          <w:spacing w:val="-10"/>
          <w:w w:val="105"/>
        </w:rPr>
        <w:t xml:space="preserve"> </w:t>
      </w:r>
      <w:r w:rsidR="00205790" w:rsidRPr="006217BF">
        <w:rPr>
          <w:w w:val="105"/>
        </w:rPr>
        <w:t>Standing</w:t>
      </w:r>
      <w:r w:rsidR="00205790" w:rsidRPr="006217BF">
        <w:rPr>
          <w:spacing w:val="-16"/>
          <w:w w:val="105"/>
        </w:rPr>
        <w:t xml:space="preserve"> </w:t>
      </w:r>
      <w:r w:rsidR="00205790" w:rsidRPr="006217BF">
        <w:rPr>
          <w:w w:val="105"/>
        </w:rPr>
        <w:t>Committees. As</w:t>
      </w:r>
      <w:r w:rsidR="00205790" w:rsidRPr="006217BF">
        <w:rPr>
          <w:spacing w:val="-11"/>
          <w:w w:val="105"/>
        </w:rPr>
        <w:t xml:space="preserve"> </w:t>
      </w:r>
      <w:r w:rsidR="00205790" w:rsidRPr="006217BF">
        <w:rPr>
          <w:w w:val="105"/>
        </w:rPr>
        <w:t>reflected</w:t>
      </w:r>
      <w:r w:rsidR="00205790" w:rsidRPr="006217BF">
        <w:rPr>
          <w:spacing w:val="-13"/>
          <w:w w:val="105"/>
        </w:rPr>
        <w:t xml:space="preserve"> </w:t>
      </w:r>
      <w:r w:rsidR="00205790" w:rsidRPr="006217BF">
        <w:rPr>
          <w:w w:val="105"/>
        </w:rPr>
        <w:t>in</w:t>
      </w:r>
      <w:r w:rsidR="00205790" w:rsidRPr="006217BF">
        <w:rPr>
          <w:spacing w:val="-10"/>
          <w:w w:val="105"/>
        </w:rPr>
        <w:t xml:space="preserve"> </w:t>
      </w:r>
      <w:r w:rsidR="00205790" w:rsidRPr="006217BF">
        <w:rPr>
          <w:w w:val="105"/>
        </w:rPr>
        <w:t>the</w:t>
      </w:r>
      <w:r w:rsidR="00205790" w:rsidRPr="006217BF">
        <w:rPr>
          <w:spacing w:val="-2"/>
          <w:w w:val="105"/>
        </w:rPr>
        <w:t xml:space="preserve"> </w:t>
      </w:r>
      <w:r w:rsidR="00205790" w:rsidRPr="006217BF">
        <w:rPr>
          <w:w w:val="105"/>
        </w:rPr>
        <w:t>Latimer</w:t>
      </w:r>
      <w:r w:rsidR="00205790" w:rsidRPr="006217BF">
        <w:rPr>
          <w:spacing w:val="-4"/>
          <w:w w:val="105"/>
        </w:rPr>
        <w:t xml:space="preserve"> </w:t>
      </w:r>
      <w:r w:rsidR="00205790" w:rsidRPr="006217BF">
        <w:rPr>
          <w:w w:val="105"/>
        </w:rPr>
        <w:t>House Principles, the Opposition will Chair three committees (including the JACS and Scrutiny of Bills Committee and the Public Accounts Committee), the ALP will Chair three committees, and the Greens will Chair one committee. Committees will comprise two Labor Members, two Liberal Members, and the Greens Member if she chooses to join the</w:t>
      </w:r>
      <w:r w:rsidR="00205790" w:rsidRPr="006217BF">
        <w:rPr>
          <w:spacing w:val="-35"/>
          <w:w w:val="105"/>
        </w:rPr>
        <w:t xml:space="preserve"> </w:t>
      </w:r>
      <w:r w:rsidR="00205790" w:rsidRPr="006217BF">
        <w:rPr>
          <w:w w:val="105"/>
        </w:rPr>
        <w:t>committee’.</w:t>
      </w:r>
    </w:p>
    <w:p w14:paraId="483EFCE9" w14:textId="35A685E4" w:rsidR="00450225" w:rsidRDefault="00450225" w:rsidP="00D132AF">
      <w:pPr>
        <w:spacing w:after="120" w:line="276" w:lineRule="auto"/>
      </w:pPr>
      <w:r>
        <w:t>T</w:t>
      </w:r>
      <w:r w:rsidRPr="00FE5AA2">
        <w:t xml:space="preserve">he roles of chairs of committees are distributed across the parties, but with one exception are currently held by opposition or crossbench members. The ACT has a tradition of using opposition members in this position. Another example is the Select Committee on Estimates, which has five members (two from the Opposition, </w:t>
      </w:r>
      <w:r>
        <w:t>one</w:t>
      </w:r>
      <w:r w:rsidRPr="00FE5AA2">
        <w:t xml:space="preserve"> from the third party, and </w:t>
      </w:r>
      <w:r>
        <w:t>two</w:t>
      </w:r>
      <w:r w:rsidRPr="00FE5AA2">
        <w:t xml:space="preserve"> from the government), and a non-government chair.</w:t>
      </w:r>
    </w:p>
    <w:p w14:paraId="37D6AC66" w14:textId="58558575" w:rsidR="00450225" w:rsidRPr="009C51F3" w:rsidRDefault="00450225" w:rsidP="00D132AF">
      <w:pPr>
        <w:spacing w:after="120" w:line="276" w:lineRule="auto"/>
        <w:jc w:val="both"/>
      </w:pPr>
      <w:r w:rsidRPr="00FE5AA2">
        <w:t xml:space="preserve">The four-person standing committee created conflicts </w:t>
      </w:r>
      <w:r>
        <w:t>in the 8</w:t>
      </w:r>
      <w:r w:rsidRPr="00896D45">
        <w:rPr>
          <w:vertAlign w:val="superscript"/>
        </w:rPr>
        <w:t>th</w:t>
      </w:r>
      <w:r>
        <w:t xml:space="preserve"> Assembly </w:t>
      </w:r>
      <w:r w:rsidRPr="00FE5AA2">
        <w:t>because government and opposition were dividing on matters.</w:t>
      </w:r>
      <w:r w:rsidR="005F5088">
        <w:t xml:space="preserve"> S</w:t>
      </w:r>
      <w:r w:rsidR="005F5088" w:rsidRPr="005F5088">
        <w:t xml:space="preserve">everal committees </w:t>
      </w:r>
      <w:r w:rsidR="005F5088">
        <w:t>were unable to</w:t>
      </w:r>
      <w:r w:rsidR="005F5088" w:rsidRPr="005F5088">
        <w:t xml:space="preserve"> report findings and mak</w:t>
      </w:r>
      <w:r w:rsidR="005F5088">
        <w:t>e</w:t>
      </w:r>
      <w:r w:rsidR="005F5088" w:rsidRPr="005F5088">
        <w:t xml:space="preserve"> recommendation</w:t>
      </w:r>
      <w:r w:rsidR="0064115B">
        <w:t>s</w:t>
      </w:r>
      <w:r w:rsidR="005F5088" w:rsidRPr="005F5088">
        <w:t xml:space="preserve"> in relation to particular inquiries</w:t>
      </w:r>
      <w:r w:rsidR="005F5088" w:rsidRPr="00FE5AA2">
        <w:t>.</w:t>
      </w:r>
      <w:r w:rsidR="00FF54DA">
        <w:t xml:space="preserve"> </w:t>
      </w:r>
      <w:r w:rsidRPr="00FE5AA2">
        <w:t>The solution was</w:t>
      </w:r>
      <w:r w:rsidRPr="00FE5AA2">
        <w:rPr>
          <w:b/>
          <w:bCs/>
        </w:rPr>
        <w:t xml:space="preserve"> </w:t>
      </w:r>
      <w:r w:rsidRPr="00FE5AA2">
        <w:t xml:space="preserve">to use three-person committees under an arrangement whereby the opposition members either had </w:t>
      </w:r>
      <w:r>
        <w:t xml:space="preserve">a </w:t>
      </w:r>
      <w:r w:rsidRPr="00FE5AA2">
        <w:t>representation of two or the chair’s position. The committee</w:t>
      </w:r>
      <w:r>
        <w:t xml:space="preserve">s’ </w:t>
      </w:r>
      <w:r w:rsidRPr="00FE5AA2">
        <w:t xml:space="preserve">functioning </w:t>
      </w:r>
      <w:r>
        <w:t>h</w:t>
      </w:r>
      <w:r w:rsidRPr="00FE5AA2">
        <w:t xml:space="preserve">as accordingly </w:t>
      </w:r>
      <w:r>
        <w:t xml:space="preserve">been more successful in producing reports </w:t>
      </w:r>
    </w:p>
    <w:p w14:paraId="36511A8B" w14:textId="0D422832" w:rsidR="00205790" w:rsidRDefault="00205790" w:rsidP="00887ED9">
      <w:pPr>
        <w:spacing w:line="276" w:lineRule="auto"/>
        <w:jc w:val="both"/>
        <w:rPr>
          <w:lang w:val="en-US"/>
        </w:rPr>
      </w:pPr>
      <w:r w:rsidRPr="0093370A">
        <w:rPr>
          <w:lang w:val="en-US"/>
        </w:rPr>
        <w:t>In line with the ACT practice of using non-government MLAs as chairs of the committee</w:t>
      </w:r>
      <w:r w:rsidR="006D7A53">
        <w:rPr>
          <w:lang w:val="en-US"/>
        </w:rPr>
        <w:t>, o</w:t>
      </w:r>
      <w:r w:rsidRPr="0093370A">
        <w:rPr>
          <w:lang w:val="en-US"/>
        </w:rPr>
        <w:t>f the twelve chairs from self-government up to 2008, only one (the first) was from the governing party, ten came from the opposition, and one from the crossbenches. Further, the deliberations can be quite collegial (an experience shared with the comparable committees elsewhere).</w:t>
      </w:r>
    </w:p>
    <w:p w14:paraId="6074258A" w14:textId="77777777" w:rsidR="00205790" w:rsidRPr="0093370A" w:rsidRDefault="00205790" w:rsidP="00205790">
      <w:pPr>
        <w:spacing w:line="276" w:lineRule="auto"/>
        <w:jc w:val="both"/>
        <w:rPr>
          <w:lang w:val="en-US"/>
        </w:rPr>
      </w:pPr>
    </w:p>
    <w:p w14:paraId="62D11BF6" w14:textId="662C1FAF" w:rsidR="00205790" w:rsidRDefault="00205790" w:rsidP="00205790">
      <w:pPr>
        <w:spacing w:line="360" w:lineRule="auto"/>
      </w:pPr>
      <w:r>
        <w:lastRenderedPageBreak/>
        <w:t xml:space="preserve">Table </w:t>
      </w:r>
      <w:r w:rsidR="00887ED9">
        <w:t>3</w:t>
      </w:r>
      <w:r>
        <w:t xml:space="preserve"> </w:t>
      </w:r>
      <w:r>
        <w:tab/>
      </w:r>
      <w:r>
        <w:tab/>
        <w:t xml:space="preserve">               Distribution of committee chair positions</w:t>
      </w:r>
    </w:p>
    <w:tbl>
      <w:tblPr>
        <w:tblStyle w:val="TableGrid"/>
        <w:tblW w:w="5000" w:type="pct"/>
        <w:tblLook w:val="04A0" w:firstRow="1" w:lastRow="0" w:firstColumn="1" w:lastColumn="0" w:noHBand="0" w:noVBand="1"/>
      </w:tblPr>
      <w:tblGrid>
        <w:gridCol w:w="2574"/>
        <w:gridCol w:w="955"/>
        <w:gridCol w:w="955"/>
        <w:gridCol w:w="837"/>
        <w:gridCol w:w="954"/>
        <w:gridCol w:w="837"/>
        <w:gridCol w:w="954"/>
        <w:gridCol w:w="954"/>
      </w:tblGrid>
      <w:tr w:rsidR="00205790" w14:paraId="1CB82AC1" w14:textId="77777777" w:rsidTr="00DA6E92">
        <w:tc>
          <w:tcPr>
            <w:tcW w:w="1425" w:type="pct"/>
            <w:tcBorders>
              <w:left w:val="nil"/>
            </w:tcBorders>
          </w:tcPr>
          <w:p w14:paraId="0B2A9DBD" w14:textId="77777777" w:rsidR="00205790" w:rsidRDefault="00205790" w:rsidP="00DA6E92"/>
        </w:tc>
        <w:tc>
          <w:tcPr>
            <w:tcW w:w="529" w:type="pct"/>
          </w:tcPr>
          <w:p w14:paraId="7CF20850" w14:textId="77777777" w:rsidR="00205790" w:rsidRPr="00936307" w:rsidRDefault="00205790" w:rsidP="00DA6E92">
            <w:pPr>
              <w:jc w:val="center"/>
              <w:rPr>
                <w:sz w:val="22"/>
              </w:rPr>
            </w:pPr>
            <w:r w:rsidRPr="00936307">
              <w:rPr>
                <w:sz w:val="22"/>
              </w:rPr>
              <w:t>2012</w:t>
            </w:r>
          </w:p>
        </w:tc>
        <w:tc>
          <w:tcPr>
            <w:tcW w:w="529" w:type="pct"/>
          </w:tcPr>
          <w:p w14:paraId="6C35EF27" w14:textId="77777777" w:rsidR="00205790" w:rsidRPr="00936307" w:rsidRDefault="00205790" w:rsidP="00DA6E92">
            <w:pPr>
              <w:jc w:val="center"/>
              <w:rPr>
                <w:sz w:val="22"/>
              </w:rPr>
            </w:pPr>
            <w:r w:rsidRPr="00936307">
              <w:rPr>
                <w:sz w:val="22"/>
              </w:rPr>
              <w:t>2013</w:t>
            </w:r>
          </w:p>
        </w:tc>
        <w:tc>
          <w:tcPr>
            <w:tcW w:w="464" w:type="pct"/>
          </w:tcPr>
          <w:p w14:paraId="6C24A260" w14:textId="77777777" w:rsidR="00205790" w:rsidRPr="00936307" w:rsidRDefault="00205790" w:rsidP="00DA6E92">
            <w:pPr>
              <w:jc w:val="center"/>
              <w:rPr>
                <w:sz w:val="22"/>
              </w:rPr>
            </w:pPr>
            <w:r w:rsidRPr="00936307">
              <w:rPr>
                <w:sz w:val="22"/>
              </w:rPr>
              <w:t>2014</w:t>
            </w:r>
          </w:p>
        </w:tc>
        <w:tc>
          <w:tcPr>
            <w:tcW w:w="529" w:type="pct"/>
          </w:tcPr>
          <w:p w14:paraId="54763CC7" w14:textId="77777777" w:rsidR="00205790" w:rsidRPr="00936307" w:rsidRDefault="00205790" w:rsidP="00DA6E92">
            <w:pPr>
              <w:jc w:val="center"/>
              <w:rPr>
                <w:sz w:val="22"/>
              </w:rPr>
            </w:pPr>
            <w:r w:rsidRPr="00936307">
              <w:rPr>
                <w:sz w:val="22"/>
              </w:rPr>
              <w:t>2015</w:t>
            </w:r>
          </w:p>
        </w:tc>
        <w:tc>
          <w:tcPr>
            <w:tcW w:w="464" w:type="pct"/>
          </w:tcPr>
          <w:p w14:paraId="57067A87" w14:textId="77777777" w:rsidR="00205790" w:rsidRPr="00936307" w:rsidRDefault="00205790" w:rsidP="00DA6E92">
            <w:pPr>
              <w:jc w:val="center"/>
              <w:rPr>
                <w:sz w:val="22"/>
              </w:rPr>
            </w:pPr>
            <w:r w:rsidRPr="00936307">
              <w:rPr>
                <w:sz w:val="22"/>
              </w:rPr>
              <w:t>2016</w:t>
            </w:r>
          </w:p>
        </w:tc>
        <w:tc>
          <w:tcPr>
            <w:tcW w:w="529" w:type="pct"/>
          </w:tcPr>
          <w:p w14:paraId="2E977DE3" w14:textId="77777777" w:rsidR="00205790" w:rsidRPr="00936307" w:rsidRDefault="00205790" w:rsidP="00DA6E92">
            <w:pPr>
              <w:jc w:val="center"/>
              <w:rPr>
                <w:sz w:val="22"/>
              </w:rPr>
            </w:pPr>
            <w:r w:rsidRPr="00936307">
              <w:rPr>
                <w:sz w:val="22"/>
              </w:rPr>
              <w:t>2017</w:t>
            </w:r>
          </w:p>
        </w:tc>
        <w:tc>
          <w:tcPr>
            <w:tcW w:w="529" w:type="pct"/>
            <w:tcBorders>
              <w:right w:val="nil"/>
            </w:tcBorders>
          </w:tcPr>
          <w:p w14:paraId="04C53613" w14:textId="77777777" w:rsidR="00205790" w:rsidRPr="00936307" w:rsidRDefault="00205790" w:rsidP="00DA6E92">
            <w:pPr>
              <w:jc w:val="center"/>
              <w:rPr>
                <w:sz w:val="22"/>
              </w:rPr>
            </w:pPr>
            <w:r w:rsidRPr="00936307">
              <w:rPr>
                <w:sz w:val="22"/>
              </w:rPr>
              <w:t>2018</w:t>
            </w:r>
          </w:p>
        </w:tc>
      </w:tr>
      <w:tr w:rsidR="00205790" w14:paraId="746A9C6A" w14:textId="77777777" w:rsidTr="00DA6E92">
        <w:tc>
          <w:tcPr>
            <w:tcW w:w="1425" w:type="pct"/>
            <w:tcBorders>
              <w:left w:val="nil"/>
              <w:bottom w:val="nil"/>
            </w:tcBorders>
          </w:tcPr>
          <w:p w14:paraId="604CFC43" w14:textId="77777777" w:rsidR="00205790" w:rsidRPr="00936307" w:rsidRDefault="00205790" w:rsidP="00DA6E92">
            <w:pPr>
              <w:rPr>
                <w:sz w:val="22"/>
              </w:rPr>
            </w:pPr>
            <w:r w:rsidRPr="00936307">
              <w:rPr>
                <w:sz w:val="22"/>
              </w:rPr>
              <w:t>Chair positions</w:t>
            </w:r>
            <w:r>
              <w:rPr>
                <w:sz w:val="22"/>
              </w:rPr>
              <w:t xml:space="preserve"> N</w:t>
            </w:r>
          </w:p>
        </w:tc>
        <w:tc>
          <w:tcPr>
            <w:tcW w:w="529" w:type="pct"/>
            <w:tcBorders>
              <w:bottom w:val="nil"/>
            </w:tcBorders>
          </w:tcPr>
          <w:p w14:paraId="0476817E" w14:textId="77777777" w:rsidR="00205790" w:rsidRPr="00936307" w:rsidRDefault="00205790" w:rsidP="00DA6E92">
            <w:pPr>
              <w:jc w:val="center"/>
              <w:rPr>
                <w:sz w:val="22"/>
              </w:rPr>
            </w:pPr>
            <w:r w:rsidRPr="00936307">
              <w:rPr>
                <w:sz w:val="22"/>
              </w:rPr>
              <w:t>7</w:t>
            </w:r>
          </w:p>
        </w:tc>
        <w:tc>
          <w:tcPr>
            <w:tcW w:w="529" w:type="pct"/>
            <w:tcBorders>
              <w:bottom w:val="nil"/>
            </w:tcBorders>
          </w:tcPr>
          <w:p w14:paraId="51526882" w14:textId="77777777" w:rsidR="00205790" w:rsidRPr="00936307" w:rsidRDefault="00205790" w:rsidP="00DA6E92">
            <w:pPr>
              <w:jc w:val="center"/>
              <w:rPr>
                <w:sz w:val="22"/>
              </w:rPr>
            </w:pPr>
            <w:r w:rsidRPr="00936307">
              <w:rPr>
                <w:sz w:val="22"/>
              </w:rPr>
              <w:t>8</w:t>
            </w:r>
          </w:p>
        </w:tc>
        <w:tc>
          <w:tcPr>
            <w:tcW w:w="464" w:type="pct"/>
            <w:tcBorders>
              <w:bottom w:val="nil"/>
            </w:tcBorders>
          </w:tcPr>
          <w:p w14:paraId="618023BC" w14:textId="77777777" w:rsidR="00205790" w:rsidRPr="00936307" w:rsidRDefault="00205790" w:rsidP="00DA6E92">
            <w:pPr>
              <w:jc w:val="center"/>
              <w:rPr>
                <w:sz w:val="22"/>
              </w:rPr>
            </w:pPr>
            <w:r w:rsidRPr="00936307">
              <w:rPr>
                <w:sz w:val="22"/>
              </w:rPr>
              <w:t>10</w:t>
            </w:r>
          </w:p>
        </w:tc>
        <w:tc>
          <w:tcPr>
            <w:tcW w:w="529" w:type="pct"/>
            <w:tcBorders>
              <w:bottom w:val="nil"/>
            </w:tcBorders>
          </w:tcPr>
          <w:p w14:paraId="0BE7BB57" w14:textId="77777777" w:rsidR="00205790" w:rsidRPr="00936307" w:rsidRDefault="00205790" w:rsidP="00DA6E92">
            <w:pPr>
              <w:jc w:val="center"/>
              <w:rPr>
                <w:sz w:val="22"/>
              </w:rPr>
            </w:pPr>
            <w:r w:rsidRPr="00936307">
              <w:rPr>
                <w:sz w:val="22"/>
              </w:rPr>
              <w:t>8</w:t>
            </w:r>
          </w:p>
        </w:tc>
        <w:tc>
          <w:tcPr>
            <w:tcW w:w="464" w:type="pct"/>
            <w:tcBorders>
              <w:bottom w:val="nil"/>
            </w:tcBorders>
          </w:tcPr>
          <w:p w14:paraId="540ABC7D" w14:textId="77777777" w:rsidR="00205790" w:rsidRPr="00936307" w:rsidRDefault="00205790" w:rsidP="00DA6E92">
            <w:pPr>
              <w:jc w:val="center"/>
              <w:rPr>
                <w:sz w:val="22"/>
              </w:rPr>
            </w:pPr>
            <w:r w:rsidRPr="00936307">
              <w:rPr>
                <w:sz w:val="22"/>
              </w:rPr>
              <w:t>8</w:t>
            </w:r>
          </w:p>
        </w:tc>
        <w:tc>
          <w:tcPr>
            <w:tcW w:w="529" w:type="pct"/>
            <w:tcBorders>
              <w:bottom w:val="nil"/>
            </w:tcBorders>
          </w:tcPr>
          <w:p w14:paraId="3AEDF6FB" w14:textId="77777777" w:rsidR="00205790" w:rsidRPr="00936307" w:rsidRDefault="00205790" w:rsidP="00DA6E92">
            <w:pPr>
              <w:jc w:val="center"/>
              <w:rPr>
                <w:sz w:val="22"/>
              </w:rPr>
            </w:pPr>
            <w:r w:rsidRPr="00936307">
              <w:rPr>
                <w:sz w:val="22"/>
              </w:rPr>
              <w:t>11</w:t>
            </w:r>
          </w:p>
        </w:tc>
        <w:tc>
          <w:tcPr>
            <w:tcW w:w="529" w:type="pct"/>
            <w:tcBorders>
              <w:bottom w:val="nil"/>
              <w:right w:val="nil"/>
            </w:tcBorders>
          </w:tcPr>
          <w:p w14:paraId="5628C06B" w14:textId="77777777" w:rsidR="00205790" w:rsidRPr="00936307" w:rsidRDefault="00205790" w:rsidP="00DA6E92">
            <w:pPr>
              <w:jc w:val="center"/>
              <w:rPr>
                <w:sz w:val="22"/>
              </w:rPr>
            </w:pPr>
            <w:r w:rsidRPr="00936307">
              <w:rPr>
                <w:sz w:val="22"/>
              </w:rPr>
              <w:t>12</w:t>
            </w:r>
          </w:p>
        </w:tc>
      </w:tr>
      <w:tr w:rsidR="00205790" w14:paraId="3BBEF0D3" w14:textId="77777777" w:rsidTr="00DA6E92">
        <w:tc>
          <w:tcPr>
            <w:tcW w:w="1425" w:type="pct"/>
            <w:tcBorders>
              <w:top w:val="nil"/>
              <w:left w:val="nil"/>
              <w:bottom w:val="single" w:sz="4" w:space="0" w:color="auto"/>
            </w:tcBorders>
          </w:tcPr>
          <w:p w14:paraId="38FF7CA7" w14:textId="77777777" w:rsidR="00205790" w:rsidRPr="00936307" w:rsidRDefault="00205790" w:rsidP="00DA6E92">
            <w:pPr>
              <w:rPr>
                <w:sz w:val="22"/>
              </w:rPr>
            </w:pPr>
            <w:r w:rsidRPr="00936307">
              <w:rPr>
                <w:sz w:val="22"/>
              </w:rPr>
              <w:t>Opposition chairs</w:t>
            </w:r>
            <w:r>
              <w:rPr>
                <w:sz w:val="22"/>
              </w:rPr>
              <w:t xml:space="preserve"> N (%)</w:t>
            </w:r>
          </w:p>
        </w:tc>
        <w:tc>
          <w:tcPr>
            <w:tcW w:w="529" w:type="pct"/>
            <w:tcBorders>
              <w:top w:val="nil"/>
              <w:bottom w:val="single" w:sz="4" w:space="0" w:color="auto"/>
            </w:tcBorders>
          </w:tcPr>
          <w:p w14:paraId="3C5DED1B" w14:textId="77777777" w:rsidR="00205790" w:rsidRPr="00936307" w:rsidRDefault="00205790" w:rsidP="00DA6E92">
            <w:pPr>
              <w:jc w:val="center"/>
              <w:rPr>
                <w:sz w:val="22"/>
              </w:rPr>
            </w:pPr>
            <w:r w:rsidRPr="00936307">
              <w:rPr>
                <w:sz w:val="22"/>
              </w:rPr>
              <w:t>6 (85)</w:t>
            </w:r>
          </w:p>
        </w:tc>
        <w:tc>
          <w:tcPr>
            <w:tcW w:w="529" w:type="pct"/>
            <w:tcBorders>
              <w:top w:val="nil"/>
              <w:bottom w:val="single" w:sz="4" w:space="0" w:color="auto"/>
            </w:tcBorders>
          </w:tcPr>
          <w:p w14:paraId="7A5E07DC" w14:textId="77777777" w:rsidR="00205790" w:rsidRPr="00936307" w:rsidRDefault="00205790" w:rsidP="00DA6E92">
            <w:pPr>
              <w:jc w:val="center"/>
              <w:rPr>
                <w:sz w:val="22"/>
              </w:rPr>
            </w:pPr>
            <w:r w:rsidRPr="00936307">
              <w:rPr>
                <w:sz w:val="22"/>
              </w:rPr>
              <w:t>4 (50)</w:t>
            </w:r>
          </w:p>
        </w:tc>
        <w:tc>
          <w:tcPr>
            <w:tcW w:w="464" w:type="pct"/>
            <w:tcBorders>
              <w:top w:val="nil"/>
              <w:bottom w:val="single" w:sz="4" w:space="0" w:color="auto"/>
            </w:tcBorders>
          </w:tcPr>
          <w:p w14:paraId="04608813" w14:textId="77777777" w:rsidR="00205790" w:rsidRPr="00936307" w:rsidRDefault="00205790" w:rsidP="00DA6E92">
            <w:pPr>
              <w:jc w:val="center"/>
              <w:rPr>
                <w:sz w:val="22"/>
              </w:rPr>
            </w:pPr>
            <w:r w:rsidRPr="00936307">
              <w:rPr>
                <w:sz w:val="22"/>
              </w:rPr>
              <w:t>5 (5)</w:t>
            </w:r>
          </w:p>
        </w:tc>
        <w:tc>
          <w:tcPr>
            <w:tcW w:w="529" w:type="pct"/>
            <w:tcBorders>
              <w:top w:val="nil"/>
              <w:bottom w:val="single" w:sz="4" w:space="0" w:color="auto"/>
            </w:tcBorders>
          </w:tcPr>
          <w:p w14:paraId="0650EBD7" w14:textId="77777777" w:rsidR="00205790" w:rsidRPr="00936307" w:rsidRDefault="00205790" w:rsidP="00DA6E92">
            <w:pPr>
              <w:jc w:val="center"/>
              <w:rPr>
                <w:sz w:val="22"/>
              </w:rPr>
            </w:pPr>
            <w:r w:rsidRPr="00936307">
              <w:rPr>
                <w:sz w:val="22"/>
              </w:rPr>
              <w:t>4 (50)</w:t>
            </w:r>
          </w:p>
        </w:tc>
        <w:tc>
          <w:tcPr>
            <w:tcW w:w="464" w:type="pct"/>
            <w:tcBorders>
              <w:top w:val="nil"/>
              <w:bottom w:val="single" w:sz="4" w:space="0" w:color="auto"/>
            </w:tcBorders>
          </w:tcPr>
          <w:p w14:paraId="69744DA7" w14:textId="77777777" w:rsidR="00205790" w:rsidRPr="00936307" w:rsidRDefault="00205790" w:rsidP="00DA6E92">
            <w:pPr>
              <w:jc w:val="center"/>
              <w:rPr>
                <w:sz w:val="22"/>
              </w:rPr>
            </w:pPr>
            <w:r w:rsidRPr="00936307">
              <w:rPr>
                <w:sz w:val="22"/>
              </w:rPr>
              <w:t>3 (3)</w:t>
            </w:r>
          </w:p>
        </w:tc>
        <w:tc>
          <w:tcPr>
            <w:tcW w:w="529" w:type="pct"/>
            <w:tcBorders>
              <w:top w:val="nil"/>
              <w:bottom w:val="single" w:sz="4" w:space="0" w:color="auto"/>
            </w:tcBorders>
          </w:tcPr>
          <w:p w14:paraId="2DD3E280" w14:textId="77777777" w:rsidR="00205790" w:rsidRPr="00936307" w:rsidRDefault="00205790" w:rsidP="00DA6E92">
            <w:pPr>
              <w:jc w:val="center"/>
              <w:rPr>
                <w:sz w:val="22"/>
              </w:rPr>
            </w:pPr>
            <w:r w:rsidRPr="00936307">
              <w:rPr>
                <w:sz w:val="22"/>
              </w:rPr>
              <w:t>6 (55)</w:t>
            </w:r>
          </w:p>
        </w:tc>
        <w:tc>
          <w:tcPr>
            <w:tcW w:w="529" w:type="pct"/>
            <w:tcBorders>
              <w:top w:val="nil"/>
              <w:bottom w:val="single" w:sz="4" w:space="0" w:color="auto"/>
              <w:right w:val="nil"/>
            </w:tcBorders>
          </w:tcPr>
          <w:p w14:paraId="34A51261" w14:textId="77777777" w:rsidR="00205790" w:rsidRPr="00936307" w:rsidRDefault="00205790" w:rsidP="00DA6E92">
            <w:pPr>
              <w:jc w:val="center"/>
              <w:rPr>
                <w:sz w:val="22"/>
              </w:rPr>
            </w:pPr>
            <w:r w:rsidRPr="00936307">
              <w:rPr>
                <w:sz w:val="22"/>
              </w:rPr>
              <w:t>8 (67)</w:t>
            </w:r>
          </w:p>
        </w:tc>
      </w:tr>
    </w:tbl>
    <w:p w14:paraId="0371241D" w14:textId="697C4CB6" w:rsidR="00205790" w:rsidRPr="00205790" w:rsidRDefault="00205790" w:rsidP="00205790">
      <w:pPr>
        <w:rPr>
          <w:sz w:val="21"/>
          <w:szCs w:val="21"/>
        </w:rPr>
      </w:pPr>
      <w:r w:rsidRPr="00F965D9">
        <w:rPr>
          <w:sz w:val="21"/>
          <w:szCs w:val="21"/>
        </w:rPr>
        <w:t xml:space="preserve">Source: </w:t>
      </w:r>
      <w:r w:rsidR="0011671F">
        <w:rPr>
          <w:sz w:val="21"/>
          <w:szCs w:val="21"/>
        </w:rPr>
        <w:t>Office of the Legislative Assembly,</w:t>
      </w:r>
      <w:r w:rsidRPr="00F965D9">
        <w:rPr>
          <w:sz w:val="21"/>
          <w:szCs w:val="21"/>
        </w:rPr>
        <w:t xml:space="preserve"> Parliamentary Performance Report Cards 2012-2018</w:t>
      </w:r>
    </w:p>
    <w:p w14:paraId="2AE5E737" w14:textId="77777777" w:rsidR="00205790" w:rsidRDefault="00205790" w:rsidP="001C0FDD">
      <w:pPr>
        <w:pStyle w:val="Normal18J"/>
        <w:spacing w:line="276" w:lineRule="auto"/>
        <w:rPr>
          <w:i/>
          <w:iCs/>
        </w:rPr>
      </w:pPr>
    </w:p>
    <w:p w14:paraId="7619814E" w14:textId="333F9FE5" w:rsidR="001C0FDD" w:rsidRPr="005B4456" w:rsidRDefault="00C157C8" w:rsidP="00C37270">
      <w:pPr>
        <w:pStyle w:val="Normal18J"/>
        <w:rPr>
          <w:i/>
          <w:iCs/>
        </w:rPr>
      </w:pPr>
      <w:r>
        <w:rPr>
          <w:i/>
          <w:iCs/>
        </w:rPr>
        <w:t>Non-executive</w:t>
      </w:r>
      <w:r w:rsidR="001C0FDD" w:rsidRPr="005B4456">
        <w:rPr>
          <w:i/>
          <w:iCs/>
        </w:rPr>
        <w:t xml:space="preserve"> bills</w:t>
      </w:r>
    </w:p>
    <w:p w14:paraId="4B828093" w14:textId="3E0CCA0D" w:rsidR="001C0FDD" w:rsidRDefault="001C0FDD" w:rsidP="00D132AF">
      <w:pPr>
        <w:spacing w:after="120" w:line="276" w:lineRule="auto"/>
        <w:jc w:val="both"/>
      </w:pPr>
      <w:r>
        <w:t>T</w:t>
      </w:r>
      <w:r w:rsidRPr="00A27267">
        <w:t>he capacity of private members to introduce legislation and to secure its passage</w:t>
      </w:r>
      <w:r>
        <w:t xml:space="preserve"> reflect</w:t>
      </w:r>
      <w:r w:rsidR="006D7A53">
        <w:t>s</w:t>
      </w:r>
      <w:r>
        <w:t xml:space="preserve"> Latimer principles</w:t>
      </w:r>
      <w:r w:rsidRPr="00A27267">
        <w:t xml:space="preserve">. </w:t>
      </w:r>
      <w:r>
        <w:t xml:space="preserve">There is a significant ACT tradition of </w:t>
      </w:r>
      <w:r w:rsidR="002B46E0">
        <w:t>non-executive</w:t>
      </w:r>
      <w:r>
        <w:t xml:space="preserve"> bills (</w:t>
      </w:r>
      <w:r w:rsidR="002B46E0">
        <w:t>NE</w:t>
      </w:r>
      <w:r>
        <w:t>B), both their introduction and passage. The volume has fluctuated over time with MLA interest and political tactical preferences.</w:t>
      </w:r>
    </w:p>
    <w:p w14:paraId="688B6F53" w14:textId="79811778" w:rsidR="001C0FDD" w:rsidRPr="00A27267" w:rsidRDefault="001C0FDD" w:rsidP="001C0FDD">
      <w:pPr>
        <w:spacing w:line="276" w:lineRule="auto"/>
        <w:jc w:val="both"/>
      </w:pPr>
      <w:r w:rsidRPr="00A27267">
        <w:t>In 2009-10, 72 bills were introduced</w:t>
      </w:r>
      <w:r w:rsidR="001D1A9A">
        <w:t>, including</w:t>
      </w:r>
      <w:r w:rsidRPr="00A27267">
        <w:t xml:space="preserve"> 17 private members’ bills</w:t>
      </w:r>
      <w:r w:rsidR="00322FF6">
        <w:t>,</w:t>
      </w:r>
      <w:r w:rsidRPr="00A27267">
        <w:t xml:space="preserve"> an unusually high number for an Australian parliament. Of those introduced all the Executive’s bills were passed, 10 private members’ bills were successful.</w:t>
      </w:r>
      <w:r>
        <w:t xml:space="preserve"> </w:t>
      </w:r>
      <w:r w:rsidR="00FA005C">
        <w:t>Non-executive</w:t>
      </w:r>
      <w:r w:rsidRPr="00A27267">
        <w:t xml:space="preserve"> bills </w:t>
      </w:r>
      <w:r w:rsidR="00991BE5">
        <w:t xml:space="preserve">(NEB) </w:t>
      </w:r>
      <w:r>
        <w:t xml:space="preserve">have </w:t>
      </w:r>
      <w:r w:rsidRPr="00A27267">
        <w:t>decline</w:t>
      </w:r>
      <w:r>
        <w:t>d</w:t>
      </w:r>
      <w:r w:rsidRPr="00A27267">
        <w:t xml:space="preserve"> to a handful between 2012-2013, but 9 in 2017–2018.</w:t>
      </w:r>
      <w:r w:rsidR="00CE412B">
        <w:t xml:space="preserve"> The </w:t>
      </w:r>
      <w:r w:rsidR="00195A6B">
        <w:t xml:space="preserve">two </w:t>
      </w:r>
      <w:r w:rsidR="00CE412B">
        <w:t>relevant point</w:t>
      </w:r>
      <w:r w:rsidR="00195A6B">
        <w:t>s</w:t>
      </w:r>
      <w:r w:rsidR="00CE412B">
        <w:t xml:space="preserve"> here </w:t>
      </w:r>
      <w:r w:rsidR="00991BE5">
        <w:t>are</w:t>
      </w:r>
      <w:r w:rsidR="00CE412B">
        <w:t xml:space="preserve"> </w:t>
      </w:r>
      <w:r w:rsidR="00195A6B">
        <w:t xml:space="preserve">first </w:t>
      </w:r>
      <w:r w:rsidR="00CE412B">
        <w:t xml:space="preserve">that </w:t>
      </w:r>
      <w:r w:rsidR="00CE6A58">
        <w:t xml:space="preserve">the legislative context is not so disciplined politically that non-executive bills are </w:t>
      </w:r>
      <w:r w:rsidR="00636DC5">
        <w:t>resist</w:t>
      </w:r>
      <w:r w:rsidR="00CE6A58">
        <w:t xml:space="preserve">ed. </w:t>
      </w:r>
      <w:r w:rsidR="00322FF6">
        <w:t>A</w:t>
      </w:r>
      <w:r w:rsidR="00CE6A58">
        <w:t xml:space="preserve">n </w:t>
      </w:r>
      <w:r w:rsidR="00154853">
        <w:t>important factor</w:t>
      </w:r>
      <w:r w:rsidR="00CE6A58">
        <w:t xml:space="preserve"> is whether the Opposition regards such bills </w:t>
      </w:r>
      <w:r w:rsidR="00195A6B">
        <w:t xml:space="preserve">in a tactical sense </w:t>
      </w:r>
      <w:r w:rsidR="00CE6A58">
        <w:t>as the best option to advance their arguments and role in the Assembly</w:t>
      </w:r>
      <w:r>
        <w:t>.</w:t>
      </w:r>
    </w:p>
    <w:p w14:paraId="483AC0E2" w14:textId="77777777" w:rsidR="001C0FDD" w:rsidRDefault="001C0FDD" w:rsidP="001C0FDD"/>
    <w:p w14:paraId="71068DD1" w14:textId="3570A699" w:rsidR="00360C23" w:rsidRDefault="001C0FDD" w:rsidP="000E029C">
      <w:pPr>
        <w:spacing w:line="360" w:lineRule="auto"/>
      </w:pPr>
      <w:r>
        <w:t xml:space="preserve">Table </w:t>
      </w:r>
      <w:r w:rsidR="00887ED9">
        <w:t>4</w:t>
      </w:r>
      <w:r>
        <w:tab/>
      </w:r>
      <w:r>
        <w:tab/>
      </w:r>
      <w:r>
        <w:tab/>
      </w:r>
      <w:r>
        <w:tab/>
      </w:r>
      <w:r w:rsidR="00C157C8">
        <w:t>Non-executive</w:t>
      </w:r>
      <w:r>
        <w:t xml:space="preserve"> bills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420"/>
        <w:gridCol w:w="944"/>
        <w:gridCol w:w="944"/>
        <w:gridCol w:w="943"/>
        <w:gridCol w:w="943"/>
        <w:gridCol w:w="943"/>
        <w:gridCol w:w="943"/>
        <w:gridCol w:w="940"/>
      </w:tblGrid>
      <w:tr w:rsidR="000E364B" w:rsidRPr="00471C8F" w14:paraId="730CB509" w14:textId="77777777" w:rsidTr="00F169D4">
        <w:tc>
          <w:tcPr>
            <w:tcW w:w="1341" w:type="pct"/>
          </w:tcPr>
          <w:p w14:paraId="3F0377EE" w14:textId="77777777" w:rsidR="000E364B" w:rsidRPr="00471C8F" w:rsidRDefault="000E364B" w:rsidP="007009C4">
            <w:pPr>
              <w:pStyle w:val="ListParagraph"/>
              <w:spacing w:before="60" w:after="60"/>
              <w:rPr>
                <w:sz w:val="22"/>
                <w:szCs w:val="22"/>
              </w:rPr>
            </w:pPr>
          </w:p>
        </w:tc>
        <w:tc>
          <w:tcPr>
            <w:tcW w:w="523" w:type="pct"/>
          </w:tcPr>
          <w:p w14:paraId="494B39A5" w14:textId="3F396D35" w:rsidR="000E364B" w:rsidRPr="00471C8F" w:rsidRDefault="000E364B" w:rsidP="007009C4">
            <w:pPr>
              <w:spacing w:before="60" w:after="60"/>
              <w:jc w:val="center"/>
              <w:rPr>
                <w:sz w:val="22"/>
                <w:szCs w:val="22"/>
              </w:rPr>
            </w:pPr>
            <w:r w:rsidRPr="00471C8F">
              <w:rPr>
                <w:sz w:val="22"/>
                <w:szCs w:val="22"/>
              </w:rPr>
              <w:t>2012</w:t>
            </w:r>
          </w:p>
        </w:tc>
        <w:tc>
          <w:tcPr>
            <w:tcW w:w="523" w:type="pct"/>
          </w:tcPr>
          <w:p w14:paraId="3D5AB9B5" w14:textId="3E3D1B40" w:rsidR="000E364B" w:rsidRPr="00471C8F" w:rsidRDefault="000E364B" w:rsidP="007009C4">
            <w:pPr>
              <w:spacing w:before="60" w:after="60"/>
              <w:jc w:val="center"/>
              <w:rPr>
                <w:sz w:val="22"/>
                <w:szCs w:val="22"/>
              </w:rPr>
            </w:pPr>
            <w:r w:rsidRPr="00471C8F">
              <w:rPr>
                <w:sz w:val="22"/>
                <w:szCs w:val="22"/>
              </w:rPr>
              <w:t>2013</w:t>
            </w:r>
          </w:p>
        </w:tc>
        <w:tc>
          <w:tcPr>
            <w:tcW w:w="523" w:type="pct"/>
          </w:tcPr>
          <w:p w14:paraId="031CCDB1" w14:textId="4849414B" w:rsidR="000E364B" w:rsidRPr="00471C8F" w:rsidRDefault="000E364B" w:rsidP="007009C4">
            <w:pPr>
              <w:spacing w:before="60" w:after="60"/>
              <w:jc w:val="center"/>
              <w:rPr>
                <w:sz w:val="22"/>
                <w:szCs w:val="22"/>
              </w:rPr>
            </w:pPr>
            <w:r w:rsidRPr="00471C8F">
              <w:rPr>
                <w:sz w:val="22"/>
                <w:szCs w:val="22"/>
              </w:rPr>
              <w:t>2014</w:t>
            </w:r>
          </w:p>
        </w:tc>
        <w:tc>
          <w:tcPr>
            <w:tcW w:w="523" w:type="pct"/>
          </w:tcPr>
          <w:p w14:paraId="030BA5D1" w14:textId="77777777" w:rsidR="000E364B" w:rsidRPr="00471C8F" w:rsidRDefault="000E364B" w:rsidP="007009C4">
            <w:pPr>
              <w:spacing w:before="60" w:after="60"/>
              <w:jc w:val="center"/>
              <w:rPr>
                <w:sz w:val="22"/>
                <w:szCs w:val="22"/>
              </w:rPr>
            </w:pPr>
            <w:r w:rsidRPr="00471C8F">
              <w:rPr>
                <w:sz w:val="22"/>
                <w:szCs w:val="22"/>
              </w:rPr>
              <w:t>2015</w:t>
            </w:r>
          </w:p>
        </w:tc>
        <w:tc>
          <w:tcPr>
            <w:tcW w:w="523" w:type="pct"/>
          </w:tcPr>
          <w:p w14:paraId="70E50456" w14:textId="77777777" w:rsidR="000E364B" w:rsidRPr="00471C8F" w:rsidRDefault="000E364B" w:rsidP="007009C4">
            <w:pPr>
              <w:spacing w:before="60" w:after="60"/>
              <w:jc w:val="center"/>
              <w:rPr>
                <w:sz w:val="22"/>
                <w:szCs w:val="22"/>
              </w:rPr>
            </w:pPr>
            <w:r w:rsidRPr="00471C8F">
              <w:rPr>
                <w:sz w:val="22"/>
                <w:szCs w:val="22"/>
              </w:rPr>
              <w:t>2016</w:t>
            </w:r>
          </w:p>
        </w:tc>
        <w:tc>
          <w:tcPr>
            <w:tcW w:w="523" w:type="pct"/>
          </w:tcPr>
          <w:p w14:paraId="1CE45E09" w14:textId="77777777" w:rsidR="000E364B" w:rsidRPr="00471C8F" w:rsidRDefault="000E364B" w:rsidP="007009C4">
            <w:pPr>
              <w:spacing w:before="60" w:after="60"/>
              <w:jc w:val="center"/>
              <w:rPr>
                <w:sz w:val="22"/>
                <w:szCs w:val="22"/>
              </w:rPr>
            </w:pPr>
            <w:r w:rsidRPr="00471C8F">
              <w:rPr>
                <w:sz w:val="22"/>
                <w:szCs w:val="22"/>
              </w:rPr>
              <w:t>2017</w:t>
            </w:r>
          </w:p>
        </w:tc>
        <w:tc>
          <w:tcPr>
            <w:tcW w:w="523" w:type="pct"/>
          </w:tcPr>
          <w:p w14:paraId="7FF848C5" w14:textId="77777777" w:rsidR="000E364B" w:rsidRPr="00471C8F" w:rsidRDefault="000E364B" w:rsidP="007009C4">
            <w:pPr>
              <w:spacing w:before="60" w:after="60"/>
              <w:jc w:val="center"/>
              <w:rPr>
                <w:sz w:val="22"/>
                <w:szCs w:val="22"/>
              </w:rPr>
            </w:pPr>
            <w:r w:rsidRPr="00471C8F">
              <w:rPr>
                <w:sz w:val="22"/>
                <w:szCs w:val="22"/>
              </w:rPr>
              <w:t>2018</w:t>
            </w:r>
          </w:p>
        </w:tc>
      </w:tr>
      <w:tr w:rsidR="000E364B" w:rsidRPr="00471C8F" w14:paraId="65E8E9E4" w14:textId="77777777" w:rsidTr="00F169D4">
        <w:tc>
          <w:tcPr>
            <w:tcW w:w="1341" w:type="pct"/>
          </w:tcPr>
          <w:p w14:paraId="327ACBFD" w14:textId="13637F94" w:rsidR="000E364B" w:rsidRPr="00471C8F" w:rsidRDefault="000E364B" w:rsidP="007009C4">
            <w:pPr>
              <w:spacing w:before="60" w:after="60"/>
              <w:rPr>
                <w:sz w:val="22"/>
                <w:szCs w:val="22"/>
              </w:rPr>
            </w:pPr>
            <w:r w:rsidRPr="00471C8F">
              <w:rPr>
                <w:sz w:val="22"/>
                <w:szCs w:val="22"/>
              </w:rPr>
              <w:t xml:space="preserve">NEB passed </w:t>
            </w:r>
            <w:r w:rsidR="00360C23" w:rsidRPr="00471C8F">
              <w:rPr>
                <w:sz w:val="22"/>
                <w:szCs w:val="22"/>
              </w:rPr>
              <w:t>(</w:t>
            </w:r>
            <w:r w:rsidRPr="00471C8F">
              <w:rPr>
                <w:sz w:val="22"/>
                <w:szCs w:val="22"/>
              </w:rPr>
              <w:t>N</w:t>
            </w:r>
            <w:r w:rsidR="00360C23" w:rsidRPr="00471C8F">
              <w:rPr>
                <w:sz w:val="22"/>
                <w:szCs w:val="22"/>
              </w:rPr>
              <w:t>)</w:t>
            </w:r>
          </w:p>
          <w:p w14:paraId="2BF07437" w14:textId="1625CC60" w:rsidR="000E364B" w:rsidRPr="00471C8F" w:rsidRDefault="000E364B" w:rsidP="007009C4">
            <w:pPr>
              <w:spacing w:before="60" w:after="60"/>
              <w:rPr>
                <w:sz w:val="22"/>
                <w:szCs w:val="22"/>
              </w:rPr>
            </w:pPr>
            <w:r w:rsidRPr="00471C8F">
              <w:rPr>
                <w:sz w:val="22"/>
                <w:szCs w:val="22"/>
              </w:rPr>
              <w:t xml:space="preserve">Bills passed </w:t>
            </w:r>
            <w:r w:rsidR="00360C23" w:rsidRPr="00471C8F">
              <w:rPr>
                <w:sz w:val="22"/>
                <w:szCs w:val="22"/>
              </w:rPr>
              <w:t>(</w:t>
            </w:r>
            <w:r w:rsidRPr="00471C8F">
              <w:rPr>
                <w:sz w:val="22"/>
                <w:szCs w:val="22"/>
              </w:rPr>
              <w:t>N</w:t>
            </w:r>
            <w:r w:rsidR="00360C23" w:rsidRPr="00471C8F">
              <w:rPr>
                <w:sz w:val="22"/>
                <w:szCs w:val="22"/>
              </w:rPr>
              <w:t>)</w:t>
            </w:r>
          </w:p>
          <w:p w14:paraId="42A72A83" w14:textId="79D768D8" w:rsidR="000E364B" w:rsidRPr="00471C8F" w:rsidRDefault="000E364B" w:rsidP="007009C4">
            <w:pPr>
              <w:spacing w:before="60" w:after="60"/>
              <w:rPr>
                <w:sz w:val="22"/>
                <w:szCs w:val="22"/>
              </w:rPr>
            </w:pPr>
            <w:r w:rsidRPr="00471C8F">
              <w:rPr>
                <w:sz w:val="22"/>
                <w:szCs w:val="22"/>
              </w:rPr>
              <w:t xml:space="preserve">NEB passed </w:t>
            </w:r>
            <w:r w:rsidR="00360C23" w:rsidRPr="00471C8F">
              <w:rPr>
                <w:sz w:val="22"/>
                <w:szCs w:val="22"/>
              </w:rPr>
              <w:t>(</w:t>
            </w:r>
            <w:r w:rsidRPr="00471C8F">
              <w:rPr>
                <w:sz w:val="22"/>
                <w:szCs w:val="22"/>
              </w:rPr>
              <w:t>%</w:t>
            </w:r>
            <w:r w:rsidR="00360C23" w:rsidRPr="00471C8F">
              <w:rPr>
                <w:sz w:val="22"/>
                <w:szCs w:val="22"/>
              </w:rPr>
              <w:t>)</w:t>
            </w:r>
          </w:p>
        </w:tc>
        <w:tc>
          <w:tcPr>
            <w:tcW w:w="523" w:type="pct"/>
          </w:tcPr>
          <w:p w14:paraId="02B7BCEE" w14:textId="3E6BA9F2" w:rsidR="006E5973" w:rsidRPr="00471C8F" w:rsidRDefault="003107C5" w:rsidP="003107C5">
            <w:pPr>
              <w:spacing w:before="60" w:after="60"/>
              <w:rPr>
                <w:sz w:val="22"/>
                <w:szCs w:val="22"/>
              </w:rPr>
            </w:pPr>
            <w:r w:rsidRPr="00471C8F">
              <w:rPr>
                <w:sz w:val="22"/>
                <w:szCs w:val="22"/>
              </w:rPr>
              <w:t xml:space="preserve">    </w:t>
            </w:r>
            <w:r w:rsidR="00F169D4">
              <w:rPr>
                <w:sz w:val="22"/>
                <w:szCs w:val="22"/>
              </w:rPr>
              <w:t xml:space="preserve">   </w:t>
            </w:r>
            <w:r w:rsidR="006E5973" w:rsidRPr="00471C8F">
              <w:rPr>
                <w:sz w:val="22"/>
                <w:szCs w:val="22"/>
              </w:rPr>
              <w:t>7</w:t>
            </w:r>
          </w:p>
          <w:p w14:paraId="5CDA0C09" w14:textId="77777777" w:rsidR="006E5973" w:rsidRPr="00471C8F" w:rsidRDefault="006E5973" w:rsidP="007009C4">
            <w:pPr>
              <w:spacing w:before="60" w:after="60"/>
              <w:ind w:left="33"/>
              <w:jc w:val="center"/>
              <w:rPr>
                <w:sz w:val="22"/>
                <w:szCs w:val="22"/>
              </w:rPr>
            </w:pPr>
            <w:r w:rsidRPr="00471C8F">
              <w:rPr>
                <w:sz w:val="22"/>
                <w:szCs w:val="22"/>
              </w:rPr>
              <w:t>50</w:t>
            </w:r>
          </w:p>
          <w:p w14:paraId="28BC4756" w14:textId="6222A819" w:rsidR="006E5973" w:rsidRPr="00471C8F" w:rsidRDefault="006E5973" w:rsidP="007009C4">
            <w:pPr>
              <w:spacing w:before="60" w:after="60"/>
              <w:ind w:left="33"/>
              <w:jc w:val="center"/>
              <w:rPr>
                <w:sz w:val="22"/>
                <w:szCs w:val="22"/>
              </w:rPr>
            </w:pPr>
            <w:r w:rsidRPr="00471C8F">
              <w:rPr>
                <w:sz w:val="22"/>
                <w:szCs w:val="22"/>
              </w:rPr>
              <w:t>14</w:t>
            </w:r>
          </w:p>
        </w:tc>
        <w:tc>
          <w:tcPr>
            <w:tcW w:w="523" w:type="pct"/>
          </w:tcPr>
          <w:p w14:paraId="6C16A3C7" w14:textId="2CF0DFA1" w:rsidR="000E364B" w:rsidRPr="00471C8F" w:rsidRDefault="003107C5" w:rsidP="003107C5">
            <w:pPr>
              <w:spacing w:before="60" w:after="60"/>
              <w:rPr>
                <w:sz w:val="22"/>
                <w:szCs w:val="22"/>
              </w:rPr>
            </w:pPr>
            <w:r w:rsidRPr="00471C8F">
              <w:rPr>
                <w:sz w:val="22"/>
                <w:szCs w:val="22"/>
              </w:rPr>
              <w:t xml:space="preserve">    </w:t>
            </w:r>
            <w:r w:rsidR="00F169D4">
              <w:rPr>
                <w:sz w:val="22"/>
                <w:szCs w:val="22"/>
              </w:rPr>
              <w:t xml:space="preserve">   </w:t>
            </w:r>
            <w:r w:rsidR="000E364B" w:rsidRPr="00471C8F">
              <w:rPr>
                <w:sz w:val="22"/>
                <w:szCs w:val="22"/>
              </w:rPr>
              <w:t>4</w:t>
            </w:r>
          </w:p>
          <w:p w14:paraId="10B358AB" w14:textId="77777777" w:rsidR="000E364B" w:rsidRPr="00471C8F" w:rsidRDefault="000E364B" w:rsidP="007009C4">
            <w:pPr>
              <w:spacing w:before="60" w:after="60"/>
              <w:ind w:left="33"/>
              <w:jc w:val="center"/>
              <w:rPr>
                <w:sz w:val="22"/>
                <w:szCs w:val="22"/>
              </w:rPr>
            </w:pPr>
            <w:r w:rsidRPr="00471C8F">
              <w:rPr>
                <w:sz w:val="22"/>
                <w:szCs w:val="22"/>
              </w:rPr>
              <w:t>52</w:t>
            </w:r>
          </w:p>
          <w:p w14:paraId="120B35F3" w14:textId="3A96DC29" w:rsidR="000E364B" w:rsidRPr="00471C8F" w:rsidRDefault="00360C23" w:rsidP="007009C4">
            <w:pPr>
              <w:spacing w:before="60" w:after="60"/>
              <w:ind w:left="33"/>
              <w:jc w:val="center"/>
              <w:rPr>
                <w:sz w:val="22"/>
                <w:szCs w:val="22"/>
              </w:rPr>
            </w:pPr>
            <w:r w:rsidRPr="00471C8F">
              <w:rPr>
                <w:sz w:val="22"/>
                <w:szCs w:val="22"/>
              </w:rPr>
              <w:t xml:space="preserve">  </w:t>
            </w:r>
            <w:r w:rsidR="000E364B" w:rsidRPr="00471C8F">
              <w:rPr>
                <w:sz w:val="22"/>
                <w:szCs w:val="22"/>
              </w:rPr>
              <w:t>8</w:t>
            </w:r>
          </w:p>
        </w:tc>
        <w:tc>
          <w:tcPr>
            <w:tcW w:w="523" w:type="pct"/>
          </w:tcPr>
          <w:p w14:paraId="766717DC" w14:textId="23E337DF" w:rsidR="000E364B" w:rsidRPr="00471C8F" w:rsidRDefault="003107C5" w:rsidP="003107C5">
            <w:pPr>
              <w:spacing w:before="60" w:after="60"/>
              <w:rPr>
                <w:sz w:val="22"/>
                <w:szCs w:val="22"/>
              </w:rPr>
            </w:pPr>
            <w:r w:rsidRPr="00471C8F">
              <w:rPr>
                <w:sz w:val="22"/>
                <w:szCs w:val="22"/>
              </w:rPr>
              <w:t xml:space="preserve">    </w:t>
            </w:r>
            <w:r w:rsidR="00F169D4">
              <w:rPr>
                <w:sz w:val="22"/>
                <w:szCs w:val="22"/>
              </w:rPr>
              <w:t xml:space="preserve">   </w:t>
            </w:r>
            <w:r w:rsidR="000E364B" w:rsidRPr="00471C8F">
              <w:rPr>
                <w:sz w:val="22"/>
                <w:szCs w:val="22"/>
              </w:rPr>
              <w:t>1</w:t>
            </w:r>
          </w:p>
          <w:p w14:paraId="6C0B4CE7" w14:textId="77777777" w:rsidR="000E364B" w:rsidRPr="00471C8F" w:rsidRDefault="000E364B" w:rsidP="007009C4">
            <w:pPr>
              <w:spacing w:before="60" w:after="60"/>
              <w:ind w:left="33"/>
              <w:jc w:val="center"/>
              <w:rPr>
                <w:sz w:val="22"/>
                <w:szCs w:val="22"/>
              </w:rPr>
            </w:pPr>
            <w:r w:rsidRPr="00471C8F">
              <w:rPr>
                <w:sz w:val="22"/>
                <w:szCs w:val="22"/>
              </w:rPr>
              <w:t>61</w:t>
            </w:r>
          </w:p>
          <w:p w14:paraId="08922F09" w14:textId="767728F7" w:rsidR="000E364B" w:rsidRPr="00471C8F" w:rsidRDefault="00360C23" w:rsidP="007009C4">
            <w:pPr>
              <w:spacing w:before="60" w:after="60"/>
              <w:ind w:left="33"/>
              <w:jc w:val="center"/>
              <w:rPr>
                <w:sz w:val="22"/>
                <w:szCs w:val="22"/>
              </w:rPr>
            </w:pPr>
            <w:r w:rsidRPr="00471C8F">
              <w:rPr>
                <w:sz w:val="22"/>
                <w:szCs w:val="22"/>
              </w:rPr>
              <w:t xml:space="preserve">  </w:t>
            </w:r>
            <w:r w:rsidR="000E364B" w:rsidRPr="00471C8F">
              <w:rPr>
                <w:sz w:val="22"/>
                <w:szCs w:val="22"/>
              </w:rPr>
              <w:t>2</w:t>
            </w:r>
          </w:p>
        </w:tc>
        <w:tc>
          <w:tcPr>
            <w:tcW w:w="523" w:type="pct"/>
          </w:tcPr>
          <w:p w14:paraId="2025A23D" w14:textId="69520C35" w:rsidR="000E364B" w:rsidRPr="00471C8F" w:rsidRDefault="003107C5" w:rsidP="003107C5">
            <w:pPr>
              <w:spacing w:before="60" w:after="60"/>
              <w:rPr>
                <w:sz w:val="22"/>
                <w:szCs w:val="22"/>
              </w:rPr>
            </w:pPr>
            <w:r w:rsidRPr="00471C8F">
              <w:rPr>
                <w:sz w:val="22"/>
                <w:szCs w:val="22"/>
              </w:rPr>
              <w:t xml:space="preserve">    </w:t>
            </w:r>
            <w:r w:rsidR="00F169D4">
              <w:rPr>
                <w:sz w:val="22"/>
                <w:szCs w:val="22"/>
              </w:rPr>
              <w:t xml:space="preserve">   </w:t>
            </w:r>
            <w:r w:rsidR="000E364B" w:rsidRPr="00471C8F">
              <w:rPr>
                <w:sz w:val="22"/>
                <w:szCs w:val="22"/>
              </w:rPr>
              <w:t>3</w:t>
            </w:r>
          </w:p>
          <w:p w14:paraId="5ECDC856" w14:textId="77777777" w:rsidR="000E364B" w:rsidRPr="00471C8F" w:rsidRDefault="000E364B" w:rsidP="007009C4">
            <w:pPr>
              <w:spacing w:before="60" w:after="60"/>
              <w:ind w:left="33"/>
              <w:jc w:val="center"/>
              <w:rPr>
                <w:sz w:val="22"/>
                <w:szCs w:val="22"/>
              </w:rPr>
            </w:pPr>
            <w:r w:rsidRPr="00471C8F">
              <w:rPr>
                <w:sz w:val="22"/>
                <w:szCs w:val="22"/>
              </w:rPr>
              <w:t>53</w:t>
            </w:r>
          </w:p>
          <w:p w14:paraId="178B84B4" w14:textId="5D807B08" w:rsidR="000E364B" w:rsidRPr="00471C8F" w:rsidRDefault="00360C23" w:rsidP="007009C4">
            <w:pPr>
              <w:spacing w:before="60" w:after="60"/>
              <w:ind w:left="33"/>
              <w:jc w:val="center"/>
              <w:rPr>
                <w:sz w:val="22"/>
                <w:szCs w:val="22"/>
              </w:rPr>
            </w:pPr>
            <w:r w:rsidRPr="00471C8F">
              <w:rPr>
                <w:sz w:val="22"/>
                <w:szCs w:val="22"/>
              </w:rPr>
              <w:t xml:space="preserve">  </w:t>
            </w:r>
            <w:r w:rsidR="000E364B" w:rsidRPr="00471C8F">
              <w:rPr>
                <w:sz w:val="22"/>
                <w:szCs w:val="22"/>
              </w:rPr>
              <w:t>6</w:t>
            </w:r>
          </w:p>
        </w:tc>
        <w:tc>
          <w:tcPr>
            <w:tcW w:w="523" w:type="pct"/>
          </w:tcPr>
          <w:p w14:paraId="6EF9D293" w14:textId="7DDBD99B" w:rsidR="000E364B" w:rsidRPr="00471C8F" w:rsidRDefault="003107C5" w:rsidP="003107C5">
            <w:pPr>
              <w:spacing w:before="60" w:after="60"/>
              <w:rPr>
                <w:sz w:val="22"/>
                <w:szCs w:val="22"/>
              </w:rPr>
            </w:pPr>
            <w:r w:rsidRPr="00471C8F">
              <w:rPr>
                <w:sz w:val="22"/>
                <w:szCs w:val="22"/>
              </w:rPr>
              <w:t xml:space="preserve">    </w:t>
            </w:r>
            <w:r w:rsidR="00F169D4">
              <w:rPr>
                <w:sz w:val="22"/>
                <w:szCs w:val="22"/>
              </w:rPr>
              <w:t xml:space="preserve">   </w:t>
            </w:r>
            <w:r w:rsidR="000E364B" w:rsidRPr="00471C8F">
              <w:rPr>
                <w:sz w:val="22"/>
                <w:szCs w:val="22"/>
              </w:rPr>
              <w:t>1</w:t>
            </w:r>
          </w:p>
          <w:p w14:paraId="01104D90" w14:textId="77777777" w:rsidR="000E364B" w:rsidRPr="00471C8F" w:rsidRDefault="000E364B" w:rsidP="007009C4">
            <w:pPr>
              <w:spacing w:before="60" w:after="60"/>
              <w:jc w:val="center"/>
              <w:rPr>
                <w:sz w:val="22"/>
                <w:szCs w:val="22"/>
              </w:rPr>
            </w:pPr>
            <w:r w:rsidRPr="00471C8F">
              <w:rPr>
                <w:sz w:val="22"/>
                <w:szCs w:val="22"/>
              </w:rPr>
              <w:t>57</w:t>
            </w:r>
          </w:p>
          <w:p w14:paraId="697C4009" w14:textId="7BA73713" w:rsidR="000E364B" w:rsidRPr="00471C8F" w:rsidRDefault="00360C23" w:rsidP="007009C4">
            <w:pPr>
              <w:spacing w:before="60" w:after="60"/>
              <w:jc w:val="center"/>
              <w:rPr>
                <w:sz w:val="22"/>
                <w:szCs w:val="22"/>
              </w:rPr>
            </w:pPr>
            <w:r w:rsidRPr="00471C8F">
              <w:rPr>
                <w:sz w:val="22"/>
                <w:szCs w:val="22"/>
              </w:rPr>
              <w:t xml:space="preserve">  </w:t>
            </w:r>
            <w:r w:rsidR="000E364B" w:rsidRPr="00471C8F">
              <w:rPr>
                <w:sz w:val="22"/>
                <w:szCs w:val="22"/>
              </w:rPr>
              <w:t>2</w:t>
            </w:r>
          </w:p>
        </w:tc>
        <w:tc>
          <w:tcPr>
            <w:tcW w:w="523" w:type="pct"/>
          </w:tcPr>
          <w:p w14:paraId="3772F9BB" w14:textId="67CEA316" w:rsidR="000E364B" w:rsidRPr="00471C8F" w:rsidRDefault="003107C5" w:rsidP="003107C5">
            <w:pPr>
              <w:spacing w:before="60" w:after="60"/>
              <w:rPr>
                <w:sz w:val="22"/>
                <w:szCs w:val="22"/>
              </w:rPr>
            </w:pPr>
            <w:r w:rsidRPr="00471C8F">
              <w:rPr>
                <w:sz w:val="22"/>
                <w:szCs w:val="22"/>
              </w:rPr>
              <w:t xml:space="preserve">    </w:t>
            </w:r>
            <w:r w:rsidR="00F169D4">
              <w:rPr>
                <w:sz w:val="22"/>
                <w:szCs w:val="22"/>
              </w:rPr>
              <w:t xml:space="preserve">   </w:t>
            </w:r>
            <w:r w:rsidR="000E364B" w:rsidRPr="00471C8F">
              <w:rPr>
                <w:sz w:val="22"/>
                <w:szCs w:val="22"/>
              </w:rPr>
              <w:t>4</w:t>
            </w:r>
          </w:p>
          <w:p w14:paraId="50E35931" w14:textId="77777777" w:rsidR="000E364B" w:rsidRPr="00471C8F" w:rsidRDefault="000E364B" w:rsidP="007009C4">
            <w:pPr>
              <w:spacing w:before="60" w:after="60"/>
              <w:jc w:val="center"/>
              <w:rPr>
                <w:sz w:val="22"/>
                <w:szCs w:val="22"/>
              </w:rPr>
            </w:pPr>
            <w:r w:rsidRPr="00471C8F">
              <w:rPr>
                <w:sz w:val="22"/>
                <w:szCs w:val="22"/>
              </w:rPr>
              <w:t>49</w:t>
            </w:r>
          </w:p>
          <w:p w14:paraId="3CE199F9" w14:textId="1EAC70FE" w:rsidR="000E364B" w:rsidRPr="00471C8F" w:rsidRDefault="00360C23" w:rsidP="007009C4">
            <w:pPr>
              <w:spacing w:before="60" w:after="60"/>
              <w:jc w:val="center"/>
              <w:rPr>
                <w:sz w:val="22"/>
                <w:szCs w:val="22"/>
              </w:rPr>
            </w:pPr>
            <w:r w:rsidRPr="00471C8F">
              <w:rPr>
                <w:sz w:val="22"/>
                <w:szCs w:val="22"/>
              </w:rPr>
              <w:t xml:space="preserve">  </w:t>
            </w:r>
            <w:r w:rsidR="000E364B" w:rsidRPr="00471C8F">
              <w:rPr>
                <w:sz w:val="22"/>
                <w:szCs w:val="22"/>
              </w:rPr>
              <w:t>8</w:t>
            </w:r>
          </w:p>
        </w:tc>
        <w:tc>
          <w:tcPr>
            <w:tcW w:w="523" w:type="pct"/>
          </w:tcPr>
          <w:p w14:paraId="33D9D11E" w14:textId="41C79071" w:rsidR="000E364B" w:rsidRPr="00471C8F" w:rsidRDefault="003107C5" w:rsidP="003107C5">
            <w:pPr>
              <w:spacing w:before="60" w:after="60"/>
              <w:rPr>
                <w:sz w:val="22"/>
                <w:szCs w:val="22"/>
              </w:rPr>
            </w:pPr>
            <w:r w:rsidRPr="00471C8F">
              <w:rPr>
                <w:sz w:val="22"/>
                <w:szCs w:val="22"/>
              </w:rPr>
              <w:t xml:space="preserve">    </w:t>
            </w:r>
            <w:r w:rsidR="00F169D4">
              <w:rPr>
                <w:sz w:val="22"/>
                <w:szCs w:val="22"/>
              </w:rPr>
              <w:t xml:space="preserve">  </w:t>
            </w:r>
            <w:r w:rsidR="000E364B" w:rsidRPr="00471C8F">
              <w:rPr>
                <w:sz w:val="22"/>
                <w:szCs w:val="22"/>
              </w:rPr>
              <w:t>2</w:t>
            </w:r>
          </w:p>
          <w:p w14:paraId="463843F0" w14:textId="77777777" w:rsidR="000E364B" w:rsidRPr="00471C8F" w:rsidRDefault="000E364B" w:rsidP="007009C4">
            <w:pPr>
              <w:spacing w:before="60" w:after="60"/>
              <w:jc w:val="center"/>
              <w:rPr>
                <w:sz w:val="22"/>
                <w:szCs w:val="22"/>
              </w:rPr>
            </w:pPr>
            <w:r w:rsidRPr="00471C8F">
              <w:rPr>
                <w:sz w:val="22"/>
                <w:szCs w:val="22"/>
              </w:rPr>
              <w:t>52</w:t>
            </w:r>
          </w:p>
          <w:p w14:paraId="7793386F" w14:textId="010E1FC5" w:rsidR="000E364B" w:rsidRPr="00471C8F" w:rsidRDefault="00360C23" w:rsidP="007009C4">
            <w:pPr>
              <w:spacing w:before="60" w:after="60"/>
              <w:jc w:val="center"/>
              <w:rPr>
                <w:sz w:val="22"/>
                <w:szCs w:val="22"/>
              </w:rPr>
            </w:pPr>
            <w:r w:rsidRPr="00471C8F">
              <w:rPr>
                <w:sz w:val="22"/>
                <w:szCs w:val="22"/>
              </w:rPr>
              <w:t xml:space="preserve">  </w:t>
            </w:r>
            <w:r w:rsidR="000E364B" w:rsidRPr="00471C8F">
              <w:rPr>
                <w:sz w:val="22"/>
                <w:szCs w:val="22"/>
              </w:rPr>
              <w:t>4</w:t>
            </w:r>
          </w:p>
        </w:tc>
      </w:tr>
    </w:tbl>
    <w:p w14:paraId="3361BB80" w14:textId="61B71441" w:rsidR="001C0FDD" w:rsidRPr="00471C8F" w:rsidRDefault="001C0FDD" w:rsidP="001C0FDD">
      <w:pPr>
        <w:rPr>
          <w:sz w:val="21"/>
          <w:szCs w:val="21"/>
        </w:rPr>
      </w:pPr>
      <w:r w:rsidRPr="00471C8F">
        <w:rPr>
          <w:sz w:val="21"/>
          <w:szCs w:val="21"/>
        </w:rPr>
        <w:t xml:space="preserve">  Sources: </w:t>
      </w:r>
      <w:r w:rsidR="003B34E3">
        <w:rPr>
          <w:sz w:val="21"/>
          <w:szCs w:val="21"/>
        </w:rPr>
        <w:t xml:space="preserve">Office of the </w:t>
      </w:r>
      <w:r w:rsidRPr="00471C8F">
        <w:rPr>
          <w:sz w:val="21"/>
          <w:szCs w:val="21"/>
        </w:rPr>
        <w:t>Legislative Assembly</w:t>
      </w:r>
      <w:r w:rsidR="003B34E3">
        <w:rPr>
          <w:sz w:val="21"/>
          <w:szCs w:val="21"/>
        </w:rPr>
        <w:t>,</w:t>
      </w:r>
      <w:r w:rsidRPr="00471C8F">
        <w:rPr>
          <w:sz w:val="21"/>
          <w:szCs w:val="21"/>
        </w:rPr>
        <w:t xml:space="preserve"> Annual Reports, Appendices.</w:t>
      </w:r>
    </w:p>
    <w:p w14:paraId="4762F803" w14:textId="5FAA9AE2" w:rsidR="001C0FDD" w:rsidRDefault="001C0FDD" w:rsidP="001C0FDD">
      <w:pPr>
        <w:rPr>
          <w:sz w:val="22"/>
        </w:rPr>
      </w:pPr>
    </w:p>
    <w:p w14:paraId="2F04B33C" w14:textId="06FDF2A0" w:rsidR="00A87BCE" w:rsidRPr="00ED37E9" w:rsidRDefault="00AD2B19" w:rsidP="008D7C8A">
      <w:pPr>
        <w:spacing w:line="276" w:lineRule="auto"/>
        <w:jc w:val="both"/>
      </w:pPr>
      <w:r w:rsidRPr="00ED37E9">
        <w:t>Data is available about the extent to which non-executive members have their amendments to bills accepted.</w:t>
      </w:r>
      <w:r w:rsidR="00ED37E9">
        <w:t xml:space="preserve"> </w:t>
      </w:r>
      <w:r w:rsidR="000A3EF2">
        <w:t>Over seven years the success rate fluctuates</w:t>
      </w:r>
      <w:r w:rsidR="001C5340">
        <w:t>, but there is always some</w:t>
      </w:r>
      <w:r w:rsidR="008D7C8A">
        <w:t xml:space="preserve"> </w:t>
      </w:r>
      <w:r w:rsidR="001C5340">
        <w:t xml:space="preserve">receptivity and in several years it is notable. </w:t>
      </w:r>
    </w:p>
    <w:p w14:paraId="1BDF328B" w14:textId="77777777" w:rsidR="00A87BCE" w:rsidRPr="00ED37E9" w:rsidRDefault="00A87BCE" w:rsidP="00ED37E9">
      <w:pPr>
        <w:spacing w:line="276" w:lineRule="auto"/>
      </w:pPr>
    </w:p>
    <w:p w14:paraId="22938ACF" w14:textId="3F6D5001" w:rsidR="00A87BCE" w:rsidRPr="00A87BCE" w:rsidRDefault="00A87BCE" w:rsidP="001C0FDD">
      <w:r w:rsidRPr="00A87BCE">
        <w:t xml:space="preserve">Table </w:t>
      </w:r>
      <w:r w:rsidR="00887ED9">
        <w:t>5</w:t>
      </w:r>
      <w:r w:rsidRPr="00A87BCE">
        <w:tab/>
      </w:r>
      <w:r w:rsidRPr="00A87BCE">
        <w:tab/>
        <w:t>Success rate of non-government amendments to bills</w:t>
      </w:r>
    </w:p>
    <w:p w14:paraId="3AD1751D" w14:textId="77777777" w:rsidR="001C0FDD" w:rsidRDefault="001C0FDD" w:rsidP="001C0FDD">
      <w:pPr>
        <w:rPr>
          <w:sz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240"/>
        <w:gridCol w:w="842"/>
        <w:gridCol w:w="824"/>
        <w:gridCol w:w="842"/>
        <w:gridCol w:w="828"/>
        <w:gridCol w:w="692"/>
        <w:gridCol w:w="828"/>
        <w:gridCol w:w="924"/>
      </w:tblGrid>
      <w:tr w:rsidR="001C0FDD" w14:paraId="02787394" w14:textId="77777777" w:rsidTr="0007201F">
        <w:tc>
          <w:tcPr>
            <w:tcW w:w="3444" w:type="dxa"/>
            <w:tcBorders>
              <w:bottom w:val="nil"/>
            </w:tcBorders>
          </w:tcPr>
          <w:p w14:paraId="1086B434" w14:textId="77777777" w:rsidR="001C0FDD" w:rsidRPr="005E6076" w:rsidRDefault="001C0FDD" w:rsidP="007009C4">
            <w:pPr>
              <w:rPr>
                <w:sz w:val="22"/>
              </w:rPr>
            </w:pPr>
          </w:p>
        </w:tc>
        <w:tc>
          <w:tcPr>
            <w:tcW w:w="844" w:type="dxa"/>
            <w:vAlign w:val="bottom"/>
          </w:tcPr>
          <w:p w14:paraId="1ABBDA20" w14:textId="77777777" w:rsidR="001C0FDD" w:rsidRPr="005E6076" w:rsidRDefault="001C0FDD" w:rsidP="007009C4">
            <w:pPr>
              <w:jc w:val="center"/>
              <w:rPr>
                <w:sz w:val="22"/>
              </w:rPr>
            </w:pPr>
            <w:r w:rsidRPr="005E6076">
              <w:rPr>
                <w:sz w:val="22"/>
                <w:lang w:eastAsia="en-AU"/>
              </w:rPr>
              <w:t>2012</w:t>
            </w:r>
          </w:p>
        </w:tc>
        <w:tc>
          <w:tcPr>
            <w:tcW w:w="843" w:type="dxa"/>
            <w:vAlign w:val="bottom"/>
          </w:tcPr>
          <w:p w14:paraId="33ABD00C" w14:textId="77777777" w:rsidR="001C0FDD" w:rsidRPr="005E6076" w:rsidRDefault="001C0FDD" w:rsidP="007009C4">
            <w:pPr>
              <w:jc w:val="center"/>
              <w:rPr>
                <w:sz w:val="22"/>
              </w:rPr>
            </w:pPr>
            <w:r w:rsidRPr="005E6076">
              <w:rPr>
                <w:sz w:val="22"/>
                <w:lang w:eastAsia="en-AU"/>
              </w:rPr>
              <w:t>2013</w:t>
            </w:r>
          </w:p>
        </w:tc>
        <w:tc>
          <w:tcPr>
            <w:tcW w:w="844" w:type="dxa"/>
            <w:vAlign w:val="bottom"/>
          </w:tcPr>
          <w:p w14:paraId="61592EB4" w14:textId="77777777" w:rsidR="001C0FDD" w:rsidRPr="005E6076" w:rsidRDefault="001C0FDD" w:rsidP="007009C4">
            <w:pPr>
              <w:jc w:val="center"/>
              <w:rPr>
                <w:sz w:val="22"/>
              </w:rPr>
            </w:pPr>
            <w:r w:rsidRPr="005E6076">
              <w:rPr>
                <w:sz w:val="22"/>
                <w:lang w:eastAsia="en-AU"/>
              </w:rPr>
              <w:t>2014</w:t>
            </w:r>
          </w:p>
        </w:tc>
        <w:tc>
          <w:tcPr>
            <w:tcW w:w="707" w:type="dxa"/>
            <w:vAlign w:val="bottom"/>
          </w:tcPr>
          <w:p w14:paraId="3561A122" w14:textId="77777777" w:rsidR="001C0FDD" w:rsidRPr="005E6076" w:rsidRDefault="001C0FDD" w:rsidP="007009C4">
            <w:pPr>
              <w:jc w:val="center"/>
              <w:rPr>
                <w:sz w:val="22"/>
              </w:rPr>
            </w:pPr>
            <w:r w:rsidRPr="005E6076">
              <w:rPr>
                <w:sz w:val="22"/>
                <w:lang w:eastAsia="en-AU"/>
              </w:rPr>
              <w:t>2015</w:t>
            </w:r>
          </w:p>
        </w:tc>
        <w:tc>
          <w:tcPr>
            <w:tcW w:w="696" w:type="dxa"/>
            <w:vAlign w:val="bottom"/>
          </w:tcPr>
          <w:p w14:paraId="7D6F64D9" w14:textId="77777777" w:rsidR="001C0FDD" w:rsidRPr="005E6076" w:rsidRDefault="001C0FDD" w:rsidP="007009C4">
            <w:pPr>
              <w:jc w:val="center"/>
              <w:rPr>
                <w:sz w:val="22"/>
              </w:rPr>
            </w:pPr>
            <w:r w:rsidRPr="005E6076">
              <w:rPr>
                <w:sz w:val="22"/>
                <w:lang w:eastAsia="en-AU"/>
              </w:rPr>
              <w:t>2016</w:t>
            </w:r>
          </w:p>
        </w:tc>
        <w:tc>
          <w:tcPr>
            <w:tcW w:w="697" w:type="dxa"/>
            <w:vAlign w:val="bottom"/>
          </w:tcPr>
          <w:p w14:paraId="357CCE52" w14:textId="77777777" w:rsidR="001C0FDD" w:rsidRPr="005E6076" w:rsidRDefault="001C0FDD" w:rsidP="007009C4">
            <w:pPr>
              <w:jc w:val="center"/>
              <w:rPr>
                <w:sz w:val="22"/>
              </w:rPr>
            </w:pPr>
            <w:r w:rsidRPr="005E6076">
              <w:rPr>
                <w:sz w:val="22"/>
                <w:lang w:eastAsia="en-AU"/>
              </w:rPr>
              <w:t>2017</w:t>
            </w:r>
          </w:p>
        </w:tc>
        <w:tc>
          <w:tcPr>
            <w:tcW w:w="935" w:type="dxa"/>
            <w:vAlign w:val="bottom"/>
          </w:tcPr>
          <w:p w14:paraId="1003F270" w14:textId="77777777" w:rsidR="001C0FDD" w:rsidRPr="005E6076" w:rsidRDefault="001C0FDD" w:rsidP="007009C4">
            <w:pPr>
              <w:jc w:val="center"/>
              <w:rPr>
                <w:sz w:val="22"/>
              </w:rPr>
            </w:pPr>
            <w:r w:rsidRPr="005E6076">
              <w:rPr>
                <w:sz w:val="22"/>
                <w:lang w:eastAsia="en-AU"/>
              </w:rPr>
              <w:t>2018</w:t>
            </w:r>
          </w:p>
        </w:tc>
      </w:tr>
      <w:tr w:rsidR="001C0FDD" w14:paraId="70126711" w14:textId="77777777" w:rsidTr="0007201F">
        <w:tc>
          <w:tcPr>
            <w:tcW w:w="3444" w:type="dxa"/>
            <w:tcBorders>
              <w:top w:val="nil"/>
            </w:tcBorders>
          </w:tcPr>
          <w:p w14:paraId="61F6B3C7" w14:textId="02977AAC" w:rsidR="001C0FDD" w:rsidRPr="005E6076" w:rsidRDefault="001C0FDD" w:rsidP="007009C4">
            <w:pPr>
              <w:rPr>
                <w:sz w:val="22"/>
              </w:rPr>
            </w:pPr>
            <w:r w:rsidRPr="005E6076">
              <w:rPr>
                <w:color w:val="000000"/>
                <w:sz w:val="22"/>
                <w:lang w:eastAsia="en-AU"/>
              </w:rPr>
              <w:t>Number of non-government amendments to bills agreed to             (% of amendments)</w:t>
            </w:r>
          </w:p>
        </w:tc>
        <w:tc>
          <w:tcPr>
            <w:tcW w:w="844" w:type="dxa"/>
            <w:vAlign w:val="center"/>
          </w:tcPr>
          <w:p w14:paraId="505BD048" w14:textId="77777777" w:rsidR="001C0FDD" w:rsidRPr="005E6076" w:rsidRDefault="001C0FDD" w:rsidP="007009C4">
            <w:pPr>
              <w:jc w:val="center"/>
              <w:rPr>
                <w:sz w:val="22"/>
              </w:rPr>
            </w:pPr>
            <w:r w:rsidRPr="005E6076">
              <w:rPr>
                <w:bCs/>
                <w:color w:val="000000"/>
                <w:sz w:val="22"/>
                <w:lang w:eastAsia="en-AU"/>
              </w:rPr>
              <w:t>57/106</w:t>
            </w:r>
            <w:r w:rsidRPr="005E6076">
              <w:rPr>
                <w:bCs/>
                <w:color w:val="000000"/>
                <w:sz w:val="22"/>
                <w:lang w:eastAsia="en-AU"/>
              </w:rPr>
              <w:br/>
              <w:t>(54)</w:t>
            </w:r>
          </w:p>
        </w:tc>
        <w:tc>
          <w:tcPr>
            <w:tcW w:w="843" w:type="dxa"/>
            <w:vAlign w:val="center"/>
          </w:tcPr>
          <w:p w14:paraId="6D5235B7" w14:textId="77777777" w:rsidR="001C0FDD" w:rsidRPr="005E6076" w:rsidRDefault="001C0FDD" w:rsidP="007009C4">
            <w:pPr>
              <w:jc w:val="center"/>
              <w:rPr>
                <w:sz w:val="22"/>
              </w:rPr>
            </w:pPr>
            <w:r w:rsidRPr="005E6076">
              <w:rPr>
                <w:bCs/>
                <w:color w:val="000000"/>
                <w:sz w:val="22"/>
                <w:lang w:eastAsia="en-AU"/>
              </w:rPr>
              <w:t>7/67</w:t>
            </w:r>
            <w:r w:rsidRPr="005E6076">
              <w:rPr>
                <w:bCs/>
                <w:color w:val="000000"/>
                <w:sz w:val="22"/>
                <w:lang w:eastAsia="en-AU"/>
              </w:rPr>
              <w:br/>
              <w:t>(10)</w:t>
            </w:r>
          </w:p>
        </w:tc>
        <w:tc>
          <w:tcPr>
            <w:tcW w:w="844" w:type="dxa"/>
            <w:vAlign w:val="center"/>
          </w:tcPr>
          <w:p w14:paraId="05E3AC57" w14:textId="77777777" w:rsidR="001C0FDD" w:rsidRPr="005E6076" w:rsidRDefault="001C0FDD" w:rsidP="007009C4">
            <w:pPr>
              <w:jc w:val="center"/>
              <w:rPr>
                <w:sz w:val="22"/>
              </w:rPr>
            </w:pPr>
            <w:r w:rsidRPr="005E6076">
              <w:rPr>
                <w:bCs/>
                <w:color w:val="000000"/>
                <w:sz w:val="22"/>
                <w:lang w:eastAsia="en-AU"/>
              </w:rPr>
              <w:t>22/260</w:t>
            </w:r>
            <w:r w:rsidRPr="005E6076">
              <w:rPr>
                <w:bCs/>
                <w:color w:val="000000"/>
                <w:sz w:val="22"/>
                <w:lang w:eastAsia="en-AU"/>
              </w:rPr>
              <w:br/>
              <w:t>(8)</w:t>
            </w:r>
          </w:p>
        </w:tc>
        <w:tc>
          <w:tcPr>
            <w:tcW w:w="707" w:type="dxa"/>
            <w:vAlign w:val="center"/>
          </w:tcPr>
          <w:p w14:paraId="0A5726A7" w14:textId="77777777" w:rsidR="001C0FDD" w:rsidRPr="005E6076" w:rsidRDefault="001C0FDD" w:rsidP="007009C4">
            <w:pPr>
              <w:jc w:val="center"/>
              <w:rPr>
                <w:sz w:val="22"/>
              </w:rPr>
            </w:pPr>
            <w:r w:rsidRPr="005E6076">
              <w:rPr>
                <w:bCs/>
                <w:color w:val="000000"/>
                <w:sz w:val="22"/>
                <w:lang w:eastAsia="en-AU"/>
              </w:rPr>
              <w:t>15/105</w:t>
            </w:r>
            <w:r w:rsidRPr="005E6076">
              <w:rPr>
                <w:bCs/>
                <w:color w:val="000000"/>
                <w:sz w:val="22"/>
                <w:lang w:eastAsia="en-AU"/>
              </w:rPr>
              <w:br/>
              <w:t>(14)</w:t>
            </w:r>
          </w:p>
        </w:tc>
        <w:tc>
          <w:tcPr>
            <w:tcW w:w="696" w:type="dxa"/>
            <w:vAlign w:val="center"/>
          </w:tcPr>
          <w:p w14:paraId="4C728C1D" w14:textId="77777777" w:rsidR="001C0FDD" w:rsidRPr="005E6076" w:rsidRDefault="001C0FDD" w:rsidP="007009C4">
            <w:pPr>
              <w:jc w:val="center"/>
              <w:rPr>
                <w:sz w:val="22"/>
              </w:rPr>
            </w:pPr>
            <w:r w:rsidRPr="005E6076">
              <w:rPr>
                <w:bCs/>
                <w:color w:val="000000"/>
                <w:sz w:val="22"/>
                <w:lang w:eastAsia="en-AU"/>
              </w:rPr>
              <w:t>7/83</w:t>
            </w:r>
            <w:r w:rsidRPr="005E6076">
              <w:rPr>
                <w:bCs/>
                <w:color w:val="000000"/>
                <w:sz w:val="22"/>
                <w:lang w:eastAsia="en-AU"/>
              </w:rPr>
              <w:br/>
              <w:t>(8)</w:t>
            </w:r>
          </w:p>
        </w:tc>
        <w:tc>
          <w:tcPr>
            <w:tcW w:w="697" w:type="dxa"/>
            <w:vAlign w:val="center"/>
          </w:tcPr>
          <w:p w14:paraId="61761E42" w14:textId="77777777" w:rsidR="001C0FDD" w:rsidRPr="005E6076" w:rsidRDefault="001C0FDD" w:rsidP="007009C4">
            <w:pPr>
              <w:jc w:val="center"/>
              <w:rPr>
                <w:sz w:val="22"/>
              </w:rPr>
            </w:pPr>
            <w:r w:rsidRPr="005E6076">
              <w:rPr>
                <w:bCs/>
                <w:color w:val="000000"/>
                <w:sz w:val="22"/>
                <w:lang w:eastAsia="en-AU"/>
              </w:rPr>
              <w:t>26/166</w:t>
            </w:r>
            <w:r w:rsidRPr="005E6076">
              <w:rPr>
                <w:bCs/>
                <w:color w:val="000000"/>
                <w:sz w:val="22"/>
                <w:lang w:eastAsia="en-AU"/>
              </w:rPr>
              <w:br/>
              <w:t>(16)</w:t>
            </w:r>
          </w:p>
        </w:tc>
        <w:tc>
          <w:tcPr>
            <w:tcW w:w="935" w:type="dxa"/>
            <w:vAlign w:val="center"/>
          </w:tcPr>
          <w:p w14:paraId="0B73AF22" w14:textId="77777777" w:rsidR="001C0FDD" w:rsidRPr="005E6076" w:rsidRDefault="001C0FDD" w:rsidP="007009C4">
            <w:pPr>
              <w:jc w:val="center"/>
              <w:rPr>
                <w:sz w:val="22"/>
              </w:rPr>
            </w:pPr>
            <w:r w:rsidRPr="005E6076">
              <w:rPr>
                <w:bCs/>
                <w:color w:val="000000"/>
                <w:sz w:val="22"/>
                <w:lang w:eastAsia="en-AU"/>
              </w:rPr>
              <w:t>32/163</w:t>
            </w:r>
            <w:r w:rsidRPr="005E6076">
              <w:rPr>
                <w:bCs/>
                <w:color w:val="000000"/>
                <w:sz w:val="22"/>
                <w:lang w:eastAsia="en-AU"/>
              </w:rPr>
              <w:br/>
              <w:t>(20)</w:t>
            </w:r>
          </w:p>
        </w:tc>
      </w:tr>
    </w:tbl>
    <w:p w14:paraId="0D08EE77" w14:textId="4CF62BDF" w:rsidR="001C0FDD" w:rsidRPr="00F965D9" w:rsidRDefault="001C0FDD" w:rsidP="00F965D9">
      <w:pPr>
        <w:spacing w:after="120"/>
        <w:rPr>
          <w:sz w:val="21"/>
          <w:szCs w:val="21"/>
        </w:rPr>
      </w:pPr>
      <w:r w:rsidRPr="00F965D9">
        <w:rPr>
          <w:sz w:val="21"/>
          <w:szCs w:val="21"/>
        </w:rPr>
        <w:t>Source:</w:t>
      </w:r>
      <w:r w:rsidR="009E4BE7" w:rsidRPr="00F965D9">
        <w:rPr>
          <w:sz w:val="21"/>
          <w:szCs w:val="21"/>
        </w:rPr>
        <w:t xml:space="preserve"> </w:t>
      </w:r>
      <w:r w:rsidR="00B32F08">
        <w:rPr>
          <w:sz w:val="21"/>
          <w:szCs w:val="21"/>
        </w:rPr>
        <w:t xml:space="preserve">Office of the </w:t>
      </w:r>
      <w:r w:rsidR="00B32F08" w:rsidRPr="00471C8F">
        <w:rPr>
          <w:sz w:val="21"/>
          <w:szCs w:val="21"/>
        </w:rPr>
        <w:t>Legislative Assembly</w:t>
      </w:r>
      <w:r w:rsidR="009E4BE7" w:rsidRPr="00F965D9">
        <w:rPr>
          <w:sz w:val="21"/>
          <w:szCs w:val="21"/>
        </w:rPr>
        <w:t>, Parliamentary Performance Report Cards 2012-2018</w:t>
      </w:r>
    </w:p>
    <w:p w14:paraId="104269A7" w14:textId="03489957" w:rsidR="001063B7" w:rsidRPr="008439B0" w:rsidRDefault="0072515E" w:rsidP="009C399F">
      <w:pPr>
        <w:spacing w:line="276" w:lineRule="auto"/>
        <w:jc w:val="both"/>
        <w:rPr>
          <w:lang w:val="en-US"/>
        </w:rPr>
      </w:pPr>
      <w:r w:rsidRPr="009C399F">
        <w:rPr>
          <w:lang w:val="en-US"/>
        </w:rPr>
        <w:lastRenderedPageBreak/>
        <w:t xml:space="preserve">The final set of indicators </w:t>
      </w:r>
      <w:r w:rsidR="00A81FAF">
        <w:rPr>
          <w:lang w:val="en-US"/>
        </w:rPr>
        <w:t>concern non-government members a</w:t>
      </w:r>
      <w:r w:rsidR="00050268">
        <w:rPr>
          <w:lang w:val="en-US"/>
        </w:rPr>
        <w:t>bility to operate meaningfully</w:t>
      </w:r>
      <w:r w:rsidR="00A81FAF">
        <w:rPr>
          <w:lang w:val="en-US"/>
        </w:rPr>
        <w:t xml:space="preserve"> in an Executive dominated Assembly.</w:t>
      </w:r>
      <w:r w:rsidR="008439B0">
        <w:rPr>
          <w:lang w:val="en-US"/>
        </w:rPr>
        <w:t xml:space="preserve"> First, </w:t>
      </w:r>
      <w:r w:rsidR="001063B7" w:rsidRPr="009C399F">
        <w:rPr>
          <w:color w:val="000000"/>
          <w:lang w:eastAsia="en-AU"/>
        </w:rPr>
        <w:t xml:space="preserve">the answering of question on notice dipped </w:t>
      </w:r>
      <w:r w:rsidR="00D16FFF">
        <w:rPr>
          <w:color w:val="000000"/>
          <w:lang w:eastAsia="en-AU"/>
        </w:rPr>
        <w:t xml:space="preserve">from a high level </w:t>
      </w:r>
      <w:r w:rsidR="001063B7" w:rsidRPr="009C399F">
        <w:rPr>
          <w:color w:val="000000"/>
          <w:lang w:eastAsia="en-AU"/>
        </w:rPr>
        <w:t>in the mid-2010s</w:t>
      </w:r>
      <w:r w:rsidR="001829D6" w:rsidRPr="009C399F">
        <w:rPr>
          <w:color w:val="000000"/>
          <w:lang w:eastAsia="en-AU"/>
        </w:rPr>
        <w:t xml:space="preserve"> </w:t>
      </w:r>
      <w:r w:rsidR="00736D0B">
        <w:rPr>
          <w:color w:val="000000"/>
          <w:lang w:eastAsia="en-AU"/>
        </w:rPr>
        <w:t xml:space="preserve">to </w:t>
      </w:r>
      <w:r w:rsidR="001829D6" w:rsidRPr="009C399F">
        <w:rPr>
          <w:color w:val="000000"/>
          <w:lang w:eastAsia="en-AU"/>
        </w:rPr>
        <w:t>becom</w:t>
      </w:r>
      <w:r w:rsidR="00736D0B">
        <w:rPr>
          <w:color w:val="000000"/>
          <w:lang w:eastAsia="en-AU"/>
        </w:rPr>
        <w:t>e</w:t>
      </w:r>
      <w:r w:rsidR="001829D6" w:rsidRPr="009C399F">
        <w:rPr>
          <w:color w:val="000000"/>
          <w:lang w:eastAsia="en-AU"/>
        </w:rPr>
        <w:t xml:space="preserve"> ‘unhealthy</w:t>
      </w:r>
      <w:r w:rsidR="005E50A7" w:rsidRPr="009C399F">
        <w:rPr>
          <w:color w:val="000000"/>
          <w:lang w:eastAsia="en-AU"/>
        </w:rPr>
        <w:t>’ in 2016</w:t>
      </w:r>
      <w:r w:rsidR="001829D6" w:rsidRPr="009C399F">
        <w:rPr>
          <w:color w:val="000000"/>
          <w:lang w:eastAsia="en-AU"/>
        </w:rPr>
        <w:t xml:space="preserve"> </w:t>
      </w:r>
      <w:r w:rsidR="00736D0B">
        <w:rPr>
          <w:color w:val="000000"/>
          <w:lang w:eastAsia="en-AU"/>
        </w:rPr>
        <w:t>(</w:t>
      </w:r>
      <w:r w:rsidR="001829D6" w:rsidRPr="009C399F">
        <w:rPr>
          <w:color w:val="000000"/>
          <w:lang w:eastAsia="en-AU"/>
        </w:rPr>
        <w:t>according to Assembly performance indicators)</w:t>
      </w:r>
      <w:r w:rsidR="001063B7" w:rsidRPr="009C399F">
        <w:rPr>
          <w:color w:val="000000"/>
          <w:lang w:eastAsia="en-AU"/>
        </w:rPr>
        <w:t>, but the percentage has since been high</w:t>
      </w:r>
      <w:r w:rsidR="00A52248">
        <w:rPr>
          <w:color w:val="000000"/>
          <w:lang w:eastAsia="en-AU"/>
        </w:rPr>
        <w:t>er</w:t>
      </w:r>
      <w:r w:rsidR="001063B7" w:rsidRPr="009C399F">
        <w:rPr>
          <w:color w:val="000000"/>
          <w:lang w:eastAsia="en-AU"/>
        </w:rPr>
        <w:t>.</w:t>
      </w:r>
      <w:r w:rsidR="00A162FA">
        <w:rPr>
          <w:color w:val="000000"/>
          <w:lang w:eastAsia="en-AU"/>
        </w:rPr>
        <w:t xml:space="preserve"> The number of </w:t>
      </w:r>
      <w:r w:rsidR="00154853">
        <w:rPr>
          <w:color w:val="000000"/>
          <w:lang w:eastAsia="en-AU"/>
        </w:rPr>
        <w:t>questions</w:t>
      </w:r>
      <w:r w:rsidR="00A162FA">
        <w:rPr>
          <w:color w:val="000000"/>
          <w:lang w:eastAsia="en-AU"/>
        </w:rPr>
        <w:t xml:space="preserve"> addressed to Ministers has varied but is generally strong.</w:t>
      </w:r>
      <w:r w:rsidR="008945F1">
        <w:rPr>
          <w:color w:val="000000"/>
          <w:lang w:eastAsia="en-AU"/>
        </w:rPr>
        <w:t xml:space="preserve"> The time spent on </w:t>
      </w:r>
      <w:r w:rsidR="00167B15">
        <w:rPr>
          <w:color w:val="000000"/>
          <w:lang w:eastAsia="en-AU"/>
        </w:rPr>
        <w:t>non-</w:t>
      </w:r>
      <w:r w:rsidR="008945F1">
        <w:rPr>
          <w:color w:val="000000"/>
          <w:lang w:eastAsia="en-AU"/>
        </w:rPr>
        <w:t xml:space="preserve">government business </w:t>
      </w:r>
      <w:r w:rsidR="00395B15">
        <w:rPr>
          <w:color w:val="000000"/>
          <w:lang w:eastAsia="en-AU"/>
        </w:rPr>
        <w:t>has been judged to be ‘somewhat unhealthy’</w:t>
      </w:r>
      <w:r w:rsidR="00AF0A55">
        <w:rPr>
          <w:color w:val="000000"/>
          <w:lang w:eastAsia="en-AU"/>
        </w:rPr>
        <w:t xml:space="preserve"> in comparison with previous years</w:t>
      </w:r>
      <w:r w:rsidR="008945F1">
        <w:rPr>
          <w:color w:val="000000"/>
          <w:lang w:eastAsia="en-AU"/>
        </w:rPr>
        <w:t xml:space="preserve"> (Table 6).</w:t>
      </w:r>
      <w:r w:rsidR="006733F0">
        <w:rPr>
          <w:color w:val="000000"/>
          <w:lang w:eastAsia="en-AU"/>
        </w:rPr>
        <w:t xml:space="preserve"> </w:t>
      </w:r>
      <w:r w:rsidR="0011671F">
        <w:rPr>
          <w:color w:val="000000"/>
          <w:lang w:eastAsia="en-AU"/>
        </w:rPr>
        <w:t>Nevertheless</w:t>
      </w:r>
      <w:r w:rsidR="006733F0">
        <w:rPr>
          <w:color w:val="000000"/>
          <w:lang w:eastAsia="en-AU"/>
        </w:rPr>
        <w:t>, the ACT Legislative Assembly still compares favourably with other Australian parliaments.</w:t>
      </w:r>
    </w:p>
    <w:p w14:paraId="34526359" w14:textId="4F061CEC" w:rsidR="0072515E" w:rsidRDefault="0072515E" w:rsidP="00B629C6">
      <w:pPr>
        <w:spacing w:line="276" w:lineRule="auto"/>
        <w:jc w:val="both"/>
        <w:rPr>
          <w:lang w:val="en-US"/>
        </w:rPr>
      </w:pPr>
    </w:p>
    <w:p w14:paraId="4224AA27" w14:textId="5E06CFA9" w:rsidR="00CC0F4F" w:rsidRPr="00497015" w:rsidRDefault="00497015" w:rsidP="00E4055D">
      <w:pPr>
        <w:spacing w:line="360" w:lineRule="auto"/>
      </w:pPr>
      <w:r>
        <w:t>Table 6</w:t>
      </w:r>
      <w:r>
        <w:tab/>
      </w:r>
      <w:r>
        <w:tab/>
      </w:r>
      <w:r w:rsidR="00F23A94">
        <w:t xml:space="preserve"> Non-government</w:t>
      </w:r>
      <w:r w:rsidR="00CC0F4F" w:rsidRPr="00497015">
        <w:t xml:space="preserve"> members questions and Assembly time</w:t>
      </w:r>
    </w:p>
    <w:tbl>
      <w:tblPr>
        <w:tblStyle w:val="TableGrid"/>
        <w:tblW w:w="0" w:type="auto"/>
        <w:tblLook w:val="04A0" w:firstRow="1" w:lastRow="0" w:firstColumn="1" w:lastColumn="0" w:noHBand="0" w:noVBand="1"/>
      </w:tblPr>
      <w:tblGrid>
        <w:gridCol w:w="4428"/>
        <w:gridCol w:w="656"/>
        <w:gridCol w:w="656"/>
        <w:gridCol w:w="656"/>
        <w:gridCol w:w="656"/>
        <w:gridCol w:w="656"/>
        <w:gridCol w:w="656"/>
        <w:gridCol w:w="656"/>
      </w:tblGrid>
      <w:tr w:rsidR="00CC0F4F" w14:paraId="4DBA3733" w14:textId="77777777" w:rsidTr="0024522F">
        <w:tc>
          <w:tcPr>
            <w:tcW w:w="0" w:type="auto"/>
            <w:tcBorders>
              <w:left w:val="nil"/>
              <w:right w:val="nil"/>
            </w:tcBorders>
          </w:tcPr>
          <w:p w14:paraId="13A07DE7" w14:textId="77777777" w:rsidR="00CC0F4F" w:rsidRDefault="00CC0F4F" w:rsidP="00EB6CC6"/>
        </w:tc>
        <w:tc>
          <w:tcPr>
            <w:tcW w:w="0" w:type="auto"/>
            <w:tcBorders>
              <w:left w:val="nil"/>
            </w:tcBorders>
            <w:vAlign w:val="center"/>
          </w:tcPr>
          <w:p w14:paraId="0F0AB155" w14:textId="77777777" w:rsidR="00CC0F4F" w:rsidRDefault="00CC0F4F" w:rsidP="00EB6CC6">
            <w:pPr>
              <w:jc w:val="center"/>
            </w:pPr>
            <w:r w:rsidRPr="000D3875">
              <w:rPr>
                <w:bCs/>
                <w:color w:val="000000"/>
                <w:sz w:val="22"/>
                <w:lang w:eastAsia="en-AU"/>
              </w:rPr>
              <w:t>2012</w:t>
            </w:r>
          </w:p>
        </w:tc>
        <w:tc>
          <w:tcPr>
            <w:tcW w:w="0" w:type="auto"/>
            <w:vAlign w:val="center"/>
          </w:tcPr>
          <w:p w14:paraId="2841B603" w14:textId="77777777" w:rsidR="00CC0F4F" w:rsidRDefault="00CC0F4F" w:rsidP="00EB6CC6">
            <w:pPr>
              <w:jc w:val="center"/>
            </w:pPr>
            <w:r w:rsidRPr="000D3875">
              <w:rPr>
                <w:bCs/>
                <w:color w:val="000000"/>
                <w:sz w:val="22"/>
                <w:lang w:eastAsia="en-AU"/>
              </w:rPr>
              <w:t>2013</w:t>
            </w:r>
          </w:p>
        </w:tc>
        <w:tc>
          <w:tcPr>
            <w:tcW w:w="0" w:type="auto"/>
            <w:vAlign w:val="center"/>
          </w:tcPr>
          <w:p w14:paraId="7BF06A67" w14:textId="77777777" w:rsidR="00CC0F4F" w:rsidRDefault="00CC0F4F" w:rsidP="00EB6CC6">
            <w:pPr>
              <w:jc w:val="center"/>
            </w:pPr>
            <w:r w:rsidRPr="000D3875">
              <w:rPr>
                <w:bCs/>
                <w:color w:val="000000"/>
                <w:sz w:val="22"/>
                <w:lang w:eastAsia="en-AU"/>
              </w:rPr>
              <w:t>2014</w:t>
            </w:r>
          </w:p>
        </w:tc>
        <w:tc>
          <w:tcPr>
            <w:tcW w:w="0" w:type="auto"/>
            <w:vAlign w:val="center"/>
          </w:tcPr>
          <w:p w14:paraId="512EDF0A" w14:textId="77777777" w:rsidR="00CC0F4F" w:rsidRDefault="00CC0F4F" w:rsidP="00EB6CC6">
            <w:pPr>
              <w:jc w:val="center"/>
            </w:pPr>
            <w:r w:rsidRPr="000D3875">
              <w:rPr>
                <w:bCs/>
                <w:color w:val="000000"/>
                <w:sz w:val="22"/>
                <w:lang w:eastAsia="en-AU"/>
              </w:rPr>
              <w:t>2015</w:t>
            </w:r>
          </w:p>
        </w:tc>
        <w:tc>
          <w:tcPr>
            <w:tcW w:w="0" w:type="auto"/>
            <w:vAlign w:val="center"/>
          </w:tcPr>
          <w:p w14:paraId="0E2F5296" w14:textId="77777777" w:rsidR="00CC0F4F" w:rsidRDefault="00CC0F4F" w:rsidP="00EB6CC6">
            <w:pPr>
              <w:jc w:val="center"/>
            </w:pPr>
            <w:r w:rsidRPr="000D3875">
              <w:rPr>
                <w:bCs/>
                <w:color w:val="000000"/>
                <w:sz w:val="22"/>
                <w:lang w:eastAsia="en-AU"/>
              </w:rPr>
              <w:t>2016</w:t>
            </w:r>
          </w:p>
        </w:tc>
        <w:tc>
          <w:tcPr>
            <w:tcW w:w="0" w:type="auto"/>
            <w:vAlign w:val="center"/>
          </w:tcPr>
          <w:p w14:paraId="487FF0B3" w14:textId="77777777" w:rsidR="00CC0F4F" w:rsidRDefault="00CC0F4F" w:rsidP="00EB6CC6">
            <w:pPr>
              <w:jc w:val="center"/>
            </w:pPr>
            <w:r w:rsidRPr="000D3875">
              <w:rPr>
                <w:bCs/>
                <w:color w:val="000000"/>
                <w:sz w:val="22"/>
                <w:lang w:eastAsia="en-AU"/>
              </w:rPr>
              <w:t>2017</w:t>
            </w:r>
          </w:p>
        </w:tc>
        <w:tc>
          <w:tcPr>
            <w:tcW w:w="0" w:type="auto"/>
            <w:tcBorders>
              <w:right w:val="nil"/>
            </w:tcBorders>
            <w:vAlign w:val="center"/>
          </w:tcPr>
          <w:p w14:paraId="6F41E34F" w14:textId="77777777" w:rsidR="00CC0F4F" w:rsidRDefault="00CC0F4F" w:rsidP="00EB6CC6">
            <w:pPr>
              <w:jc w:val="center"/>
            </w:pPr>
            <w:r w:rsidRPr="000D3875">
              <w:rPr>
                <w:bCs/>
                <w:color w:val="000000"/>
                <w:sz w:val="22"/>
                <w:lang w:eastAsia="en-AU"/>
              </w:rPr>
              <w:t>2018</w:t>
            </w:r>
          </w:p>
        </w:tc>
      </w:tr>
      <w:tr w:rsidR="00CC0F4F" w14:paraId="7A8702BA" w14:textId="77777777" w:rsidTr="0024522F">
        <w:tc>
          <w:tcPr>
            <w:tcW w:w="0" w:type="auto"/>
            <w:tcBorders>
              <w:left w:val="nil"/>
              <w:bottom w:val="nil"/>
              <w:right w:val="nil"/>
            </w:tcBorders>
          </w:tcPr>
          <w:p w14:paraId="7BE46FC6" w14:textId="77777777" w:rsidR="00CC0F4F" w:rsidRDefault="00CC0F4F" w:rsidP="00EB6CC6">
            <w:r>
              <w:rPr>
                <w:color w:val="000000"/>
                <w:sz w:val="22"/>
                <w:lang w:eastAsia="en-AU"/>
              </w:rPr>
              <w:t>Q</w:t>
            </w:r>
            <w:r w:rsidRPr="000D3875">
              <w:rPr>
                <w:color w:val="000000"/>
                <w:sz w:val="22"/>
                <w:lang w:eastAsia="en-AU"/>
              </w:rPr>
              <w:t>uestions on notice answered</w:t>
            </w:r>
            <w:r>
              <w:rPr>
                <w:color w:val="000000"/>
                <w:sz w:val="22"/>
                <w:lang w:eastAsia="en-AU"/>
              </w:rPr>
              <w:t xml:space="preserve"> (%)</w:t>
            </w:r>
          </w:p>
        </w:tc>
        <w:tc>
          <w:tcPr>
            <w:tcW w:w="0" w:type="auto"/>
            <w:tcBorders>
              <w:left w:val="nil"/>
              <w:bottom w:val="nil"/>
            </w:tcBorders>
            <w:vAlign w:val="center"/>
          </w:tcPr>
          <w:p w14:paraId="05A0ED61" w14:textId="6568FC45" w:rsidR="00CC0F4F" w:rsidRDefault="00CC0F4F" w:rsidP="00EB6CC6">
            <w:pPr>
              <w:jc w:val="center"/>
            </w:pPr>
            <w:r w:rsidRPr="000D3875">
              <w:rPr>
                <w:bCs/>
                <w:color w:val="000000"/>
                <w:sz w:val="22"/>
                <w:lang w:eastAsia="en-AU"/>
              </w:rPr>
              <w:t>9</w:t>
            </w:r>
            <w:r w:rsidR="00D83C70">
              <w:rPr>
                <w:bCs/>
                <w:color w:val="000000"/>
                <w:sz w:val="22"/>
                <w:lang w:eastAsia="en-AU"/>
              </w:rPr>
              <w:t>2</w:t>
            </w:r>
          </w:p>
        </w:tc>
        <w:tc>
          <w:tcPr>
            <w:tcW w:w="0" w:type="auto"/>
            <w:tcBorders>
              <w:bottom w:val="nil"/>
            </w:tcBorders>
            <w:vAlign w:val="center"/>
          </w:tcPr>
          <w:p w14:paraId="09BF4BD4" w14:textId="77777777" w:rsidR="00CC0F4F" w:rsidRDefault="00CC0F4F" w:rsidP="00EB6CC6">
            <w:pPr>
              <w:jc w:val="center"/>
            </w:pPr>
            <w:r w:rsidRPr="000D3875">
              <w:rPr>
                <w:bCs/>
                <w:color w:val="000000"/>
                <w:sz w:val="22"/>
                <w:lang w:eastAsia="en-AU"/>
              </w:rPr>
              <w:t>96</w:t>
            </w:r>
          </w:p>
        </w:tc>
        <w:tc>
          <w:tcPr>
            <w:tcW w:w="0" w:type="auto"/>
            <w:tcBorders>
              <w:bottom w:val="nil"/>
            </w:tcBorders>
            <w:vAlign w:val="center"/>
          </w:tcPr>
          <w:p w14:paraId="0ACCB03A" w14:textId="77777777" w:rsidR="00CC0F4F" w:rsidRDefault="00CC0F4F" w:rsidP="00EB6CC6">
            <w:pPr>
              <w:jc w:val="center"/>
            </w:pPr>
            <w:r w:rsidRPr="000D3875">
              <w:rPr>
                <w:bCs/>
                <w:color w:val="000000"/>
                <w:sz w:val="22"/>
                <w:lang w:eastAsia="en-AU"/>
              </w:rPr>
              <w:t>96</w:t>
            </w:r>
          </w:p>
        </w:tc>
        <w:tc>
          <w:tcPr>
            <w:tcW w:w="0" w:type="auto"/>
            <w:tcBorders>
              <w:bottom w:val="nil"/>
            </w:tcBorders>
            <w:vAlign w:val="center"/>
          </w:tcPr>
          <w:p w14:paraId="69915AFD" w14:textId="77777777" w:rsidR="00CC0F4F" w:rsidRDefault="00CC0F4F" w:rsidP="00EB6CC6">
            <w:pPr>
              <w:jc w:val="center"/>
            </w:pPr>
            <w:r w:rsidRPr="000D3875">
              <w:rPr>
                <w:bCs/>
                <w:color w:val="000000"/>
                <w:sz w:val="22"/>
                <w:lang w:eastAsia="en-AU"/>
              </w:rPr>
              <w:t>83</w:t>
            </w:r>
          </w:p>
        </w:tc>
        <w:tc>
          <w:tcPr>
            <w:tcW w:w="0" w:type="auto"/>
            <w:tcBorders>
              <w:bottom w:val="nil"/>
            </w:tcBorders>
            <w:vAlign w:val="center"/>
          </w:tcPr>
          <w:p w14:paraId="085C856A" w14:textId="77777777" w:rsidR="00CC0F4F" w:rsidRDefault="00CC0F4F" w:rsidP="00EB6CC6">
            <w:pPr>
              <w:jc w:val="center"/>
            </w:pPr>
            <w:r w:rsidRPr="000D3875">
              <w:rPr>
                <w:bCs/>
                <w:color w:val="000000"/>
                <w:sz w:val="22"/>
                <w:lang w:eastAsia="en-AU"/>
              </w:rPr>
              <w:t>62</w:t>
            </w:r>
          </w:p>
        </w:tc>
        <w:tc>
          <w:tcPr>
            <w:tcW w:w="0" w:type="auto"/>
            <w:tcBorders>
              <w:bottom w:val="nil"/>
            </w:tcBorders>
            <w:vAlign w:val="center"/>
          </w:tcPr>
          <w:p w14:paraId="6076DD64" w14:textId="77777777" w:rsidR="00CC0F4F" w:rsidRDefault="00CC0F4F" w:rsidP="00EB6CC6">
            <w:pPr>
              <w:jc w:val="center"/>
            </w:pPr>
            <w:r w:rsidRPr="000D3875">
              <w:rPr>
                <w:bCs/>
                <w:color w:val="000000"/>
                <w:sz w:val="22"/>
                <w:lang w:eastAsia="en-AU"/>
              </w:rPr>
              <w:t>88</w:t>
            </w:r>
          </w:p>
        </w:tc>
        <w:tc>
          <w:tcPr>
            <w:tcW w:w="0" w:type="auto"/>
            <w:tcBorders>
              <w:bottom w:val="nil"/>
              <w:right w:val="nil"/>
            </w:tcBorders>
            <w:vAlign w:val="center"/>
          </w:tcPr>
          <w:p w14:paraId="4B1833C6" w14:textId="77777777" w:rsidR="00CC0F4F" w:rsidRDefault="00CC0F4F" w:rsidP="00EB6CC6">
            <w:pPr>
              <w:jc w:val="center"/>
            </w:pPr>
            <w:r w:rsidRPr="000D3875">
              <w:rPr>
                <w:bCs/>
                <w:color w:val="000000"/>
                <w:sz w:val="22"/>
                <w:lang w:eastAsia="en-AU"/>
              </w:rPr>
              <w:t>98</w:t>
            </w:r>
          </w:p>
        </w:tc>
      </w:tr>
      <w:tr w:rsidR="00CC0F4F" w14:paraId="69CE8129" w14:textId="77777777" w:rsidTr="00F0295C">
        <w:tc>
          <w:tcPr>
            <w:tcW w:w="0" w:type="auto"/>
            <w:tcBorders>
              <w:top w:val="nil"/>
              <w:left w:val="nil"/>
              <w:bottom w:val="nil"/>
              <w:right w:val="nil"/>
            </w:tcBorders>
          </w:tcPr>
          <w:p w14:paraId="28808492" w14:textId="51A285FA" w:rsidR="00CC0F4F" w:rsidRDefault="00CC0F4F" w:rsidP="00EB6CC6">
            <w:r w:rsidRPr="000D3875">
              <w:rPr>
                <w:color w:val="000000"/>
                <w:sz w:val="22"/>
                <w:lang w:eastAsia="en-AU"/>
              </w:rPr>
              <w:t>Average number of questions without notice asked of each minister per year</w:t>
            </w:r>
            <w:r w:rsidR="00AC6302">
              <w:rPr>
                <w:color w:val="000000"/>
                <w:sz w:val="22"/>
                <w:lang w:eastAsia="en-AU"/>
              </w:rPr>
              <w:t xml:space="preserve"> (N)</w:t>
            </w:r>
          </w:p>
        </w:tc>
        <w:tc>
          <w:tcPr>
            <w:tcW w:w="0" w:type="auto"/>
            <w:tcBorders>
              <w:top w:val="nil"/>
              <w:left w:val="nil"/>
              <w:bottom w:val="nil"/>
            </w:tcBorders>
            <w:vAlign w:val="center"/>
          </w:tcPr>
          <w:p w14:paraId="656A9733" w14:textId="77777777" w:rsidR="00CC0F4F" w:rsidRDefault="00CC0F4F" w:rsidP="00EB6CC6">
            <w:pPr>
              <w:jc w:val="center"/>
            </w:pPr>
            <w:r w:rsidRPr="000D3875">
              <w:rPr>
                <w:bCs/>
                <w:color w:val="000000"/>
                <w:sz w:val="22"/>
                <w:lang w:eastAsia="en-AU"/>
              </w:rPr>
              <w:t>185</w:t>
            </w:r>
          </w:p>
        </w:tc>
        <w:tc>
          <w:tcPr>
            <w:tcW w:w="0" w:type="auto"/>
            <w:tcBorders>
              <w:top w:val="nil"/>
              <w:bottom w:val="nil"/>
            </w:tcBorders>
            <w:vAlign w:val="center"/>
          </w:tcPr>
          <w:p w14:paraId="45376847" w14:textId="77777777" w:rsidR="00CC0F4F" w:rsidRDefault="00CC0F4F" w:rsidP="00EB6CC6">
            <w:pPr>
              <w:jc w:val="center"/>
            </w:pPr>
            <w:r w:rsidRPr="000D3875">
              <w:rPr>
                <w:bCs/>
                <w:color w:val="000000"/>
                <w:sz w:val="22"/>
                <w:lang w:eastAsia="en-AU"/>
              </w:rPr>
              <w:t>343</w:t>
            </w:r>
          </w:p>
        </w:tc>
        <w:tc>
          <w:tcPr>
            <w:tcW w:w="0" w:type="auto"/>
            <w:tcBorders>
              <w:top w:val="nil"/>
              <w:bottom w:val="nil"/>
            </w:tcBorders>
            <w:vAlign w:val="center"/>
          </w:tcPr>
          <w:p w14:paraId="79A84315" w14:textId="77777777" w:rsidR="00CC0F4F" w:rsidRDefault="00CC0F4F" w:rsidP="00EB6CC6">
            <w:pPr>
              <w:jc w:val="center"/>
            </w:pPr>
            <w:r w:rsidRPr="000D3875">
              <w:rPr>
                <w:bCs/>
                <w:color w:val="000000"/>
                <w:sz w:val="22"/>
                <w:lang w:eastAsia="en-AU"/>
              </w:rPr>
              <w:t>280</w:t>
            </w:r>
          </w:p>
        </w:tc>
        <w:tc>
          <w:tcPr>
            <w:tcW w:w="0" w:type="auto"/>
            <w:tcBorders>
              <w:top w:val="nil"/>
              <w:bottom w:val="nil"/>
            </w:tcBorders>
            <w:vAlign w:val="center"/>
          </w:tcPr>
          <w:p w14:paraId="47226DEC" w14:textId="77777777" w:rsidR="00CC0F4F" w:rsidRDefault="00CC0F4F" w:rsidP="00EB6CC6">
            <w:pPr>
              <w:jc w:val="center"/>
            </w:pPr>
            <w:r w:rsidRPr="000D3875">
              <w:rPr>
                <w:bCs/>
                <w:color w:val="000000"/>
                <w:sz w:val="22"/>
                <w:lang w:eastAsia="en-AU"/>
              </w:rPr>
              <w:t>233</w:t>
            </w:r>
          </w:p>
        </w:tc>
        <w:tc>
          <w:tcPr>
            <w:tcW w:w="0" w:type="auto"/>
            <w:tcBorders>
              <w:top w:val="nil"/>
              <w:bottom w:val="nil"/>
            </w:tcBorders>
            <w:vAlign w:val="center"/>
          </w:tcPr>
          <w:p w14:paraId="0EDFC2CA" w14:textId="77777777" w:rsidR="00CC0F4F" w:rsidRDefault="00CC0F4F" w:rsidP="00EB6CC6">
            <w:pPr>
              <w:jc w:val="center"/>
            </w:pPr>
            <w:r w:rsidRPr="000D3875">
              <w:rPr>
                <w:bCs/>
                <w:color w:val="000000"/>
                <w:sz w:val="22"/>
                <w:lang w:eastAsia="en-AU"/>
              </w:rPr>
              <w:t>137</w:t>
            </w:r>
          </w:p>
        </w:tc>
        <w:tc>
          <w:tcPr>
            <w:tcW w:w="0" w:type="auto"/>
            <w:tcBorders>
              <w:top w:val="nil"/>
              <w:bottom w:val="nil"/>
            </w:tcBorders>
            <w:vAlign w:val="center"/>
          </w:tcPr>
          <w:p w14:paraId="394080DF" w14:textId="77777777" w:rsidR="00CC0F4F" w:rsidRDefault="00CC0F4F" w:rsidP="00EB6CC6">
            <w:pPr>
              <w:jc w:val="center"/>
            </w:pPr>
            <w:r w:rsidRPr="000D3875">
              <w:rPr>
                <w:bCs/>
                <w:color w:val="000000"/>
                <w:sz w:val="22"/>
                <w:lang w:eastAsia="en-AU"/>
              </w:rPr>
              <w:t>242</w:t>
            </w:r>
          </w:p>
        </w:tc>
        <w:tc>
          <w:tcPr>
            <w:tcW w:w="0" w:type="auto"/>
            <w:tcBorders>
              <w:top w:val="nil"/>
              <w:bottom w:val="nil"/>
              <w:right w:val="nil"/>
            </w:tcBorders>
            <w:vAlign w:val="center"/>
          </w:tcPr>
          <w:p w14:paraId="7A9CBB68" w14:textId="77777777" w:rsidR="00CC0F4F" w:rsidRDefault="00CC0F4F" w:rsidP="00EB6CC6">
            <w:pPr>
              <w:jc w:val="center"/>
            </w:pPr>
            <w:r w:rsidRPr="000D3875">
              <w:rPr>
                <w:bCs/>
                <w:color w:val="000000"/>
                <w:sz w:val="22"/>
                <w:lang w:eastAsia="en-AU"/>
              </w:rPr>
              <w:t>216</w:t>
            </w:r>
          </w:p>
        </w:tc>
      </w:tr>
      <w:tr w:rsidR="00CC0F4F" w14:paraId="4AFBCDE2" w14:textId="77777777" w:rsidTr="0024522F">
        <w:tc>
          <w:tcPr>
            <w:tcW w:w="0" w:type="auto"/>
            <w:tcBorders>
              <w:top w:val="nil"/>
              <w:left w:val="nil"/>
              <w:right w:val="nil"/>
            </w:tcBorders>
          </w:tcPr>
          <w:p w14:paraId="323DEFD1" w14:textId="77777777" w:rsidR="00CC0F4F" w:rsidRDefault="00CC0F4F" w:rsidP="00EB6CC6">
            <w:r w:rsidRPr="002A1DEE">
              <w:rPr>
                <w:sz w:val="22"/>
                <w:lang w:eastAsia="en-AU"/>
              </w:rPr>
              <w:t>Time spent on non-government business (%)</w:t>
            </w:r>
          </w:p>
        </w:tc>
        <w:tc>
          <w:tcPr>
            <w:tcW w:w="0" w:type="auto"/>
            <w:tcBorders>
              <w:top w:val="nil"/>
              <w:left w:val="nil"/>
            </w:tcBorders>
            <w:vAlign w:val="center"/>
          </w:tcPr>
          <w:p w14:paraId="0D25EA50" w14:textId="77777777" w:rsidR="00CC0F4F" w:rsidRDefault="00CC0F4F" w:rsidP="00EB6CC6">
            <w:pPr>
              <w:jc w:val="center"/>
            </w:pPr>
            <w:r w:rsidRPr="002A1DEE">
              <w:rPr>
                <w:sz w:val="22"/>
                <w:lang w:eastAsia="en-AU"/>
              </w:rPr>
              <w:t>74</w:t>
            </w:r>
          </w:p>
        </w:tc>
        <w:tc>
          <w:tcPr>
            <w:tcW w:w="0" w:type="auto"/>
            <w:tcBorders>
              <w:top w:val="nil"/>
            </w:tcBorders>
            <w:vAlign w:val="center"/>
          </w:tcPr>
          <w:p w14:paraId="029ABA2F" w14:textId="77777777" w:rsidR="00CC0F4F" w:rsidRDefault="00CC0F4F" w:rsidP="00EB6CC6">
            <w:pPr>
              <w:jc w:val="center"/>
            </w:pPr>
            <w:r w:rsidRPr="002A1DEE">
              <w:rPr>
                <w:sz w:val="22"/>
                <w:lang w:eastAsia="en-AU"/>
              </w:rPr>
              <w:t>56</w:t>
            </w:r>
          </w:p>
        </w:tc>
        <w:tc>
          <w:tcPr>
            <w:tcW w:w="0" w:type="auto"/>
            <w:tcBorders>
              <w:top w:val="nil"/>
            </w:tcBorders>
            <w:vAlign w:val="center"/>
          </w:tcPr>
          <w:p w14:paraId="04E55C9E" w14:textId="77777777" w:rsidR="00CC0F4F" w:rsidRDefault="00CC0F4F" w:rsidP="00EB6CC6">
            <w:pPr>
              <w:jc w:val="center"/>
            </w:pPr>
            <w:r w:rsidRPr="002A1DEE">
              <w:rPr>
                <w:sz w:val="22"/>
                <w:lang w:eastAsia="en-AU"/>
              </w:rPr>
              <w:t>42</w:t>
            </w:r>
          </w:p>
        </w:tc>
        <w:tc>
          <w:tcPr>
            <w:tcW w:w="0" w:type="auto"/>
            <w:tcBorders>
              <w:top w:val="nil"/>
            </w:tcBorders>
            <w:vAlign w:val="center"/>
          </w:tcPr>
          <w:p w14:paraId="6E1ECE13" w14:textId="77777777" w:rsidR="00CC0F4F" w:rsidRDefault="00CC0F4F" w:rsidP="00EB6CC6">
            <w:pPr>
              <w:jc w:val="center"/>
            </w:pPr>
            <w:r w:rsidRPr="002A1DEE">
              <w:rPr>
                <w:sz w:val="22"/>
                <w:lang w:eastAsia="en-AU"/>
              </w:rPr>
              <w:t>42</w:t>
            </w:r>
          </w:p>
        </w:tc>
        <w:tc>
          <w:tcPr>
            <w:tcW w:w="0" w:type="auto"/>
            <w:tcBorders>
              <w:top w:val="nil"/>
            </w:tcBorders>
            <w:vAlign w:val="center"/>
          </w:tcPr>
          <w:p w14:paraId="2ED493F9" w14:textId="77777777" w:rsidR="00CC0F4F" w:rsidRDefault="00CC0F4F" w:rsidP="00EB6CC6">
            <w:pPr>
              <w:jc w:val="center"/>
            </w:pPr>
            <w:r w:rsidRPr="002A1DEE">
              <w:rPr>
                <w:sz w:val="22"/>
                <w:lang w:eastAsia="en-AU"/>
              </w:rPr>
              <w:t>39</w:t>
            </w:r>
          </w:p>
        </w:tc>
        <w:tc>
          <w:tcPr>
            <w:tcW w:w="0" w:type="auto"/>
            <w:tcBorders>
              <w:top w:val="nil"/>
            </w:tcBorders>
            <w:vAlign w:val="center"/>
          </w:tcPr>
          <w:p w14:paraId="2C3D835C" w14:textId="77777777" w:rsidR="00CC0F4F" w:rsidRDefault="00CC0F4F" w:rsidP="00EB6CC6">
            <w:pPr>
              <w:jc w:val="center"/>
            </w:pPr>
            <w:r w:rsidRPr="002A1DEE">
              <w:rPr>
                <w:sz w:val="22"/>
                <w:lang w:eastAsia="en-AU"/>
              </w:rPr>
              <w:t>42</w:t>
            </w:r>
          </w:p>
        </w:tc>
        <w:tc>
          <w:tcPr>
            <w:tcW w:w="0" w:type="auto"/>
            <w:tcBorders>
              <w:top w:val="nil"/>
              <w:right w:val="nil"/>
            </w:tcBorders>
            <w:vAlign w:val="center"/>
          </w:tcPr>
          <w:p w14:paraId="4EE53A56" w14:textId="77777777" w:rsidR="00CC0F4F" w:rsidRDefault="00CC0F4F" w:rsidP="00EB6CC6">
            <w:pPr>
              <w:jc w:val="center"/>
            </w:pPr>
            <w:r w:rsidRPr="002A1DEE">
              <w:rPr>
                <w:sz w:val="22"/>
                <w:lang w:eastAsia="en-AU"/>
              </w:rPr>
              <w:t>41</w:t>
            </w:r>
          </w:p>
        </w:tc>
      </w:tr>
    </w:tbl>
    <w:p w14:paraId="03007A2F" w14:textId="1AC460BB" w:rsidR="0072515E" w:rsidRPr="00E4055D" w:rsidRDefault="0072515E" w:rsidP="0072515E">
      <w:pPr>
        <w:rPr>
          <w:sz w:val="21"/>
          <w:szCs w:val="21"/>
        </w:rPr>
      </w:pPr>
      <w:r w:rsidRPr="00E4055D">
        <w:rPr>
          <w:sz w:val="21"/>
          <w:szCs w:val="21"/>
        </w:rPr>
        <w:t xml:space="preserve">Source: </w:t>
      </w:r>
      <w:r w:rsidR="00B32F08">
        <w:rPr>
          <w:sz w:val="21"/>
          <w:szCs w:val="21"/>
        </w:rPr>
        <w:t xml:space="preserve">Office of the </w:t>
      </w:r>
      <w:r w:rsidR="00B32F08" w:rsidRPr="00471C8F">
        <w:rPr>
          <w:sz w:val="21"/>
          <w:szCs w:val="21"/>
        </w:rPr>
        <w:t>Legislative Assembly</w:t>
      </w:r>
      <w:r w:rsidRPr="00E4055D">
        <w:rPr>
          <w:sz w:val="21"/>
          <w:szCs w:val="21"/>
        </w:rPr>
        <w:t>, Parliamentary Performance Report Cards 2012-2018</w:t>
      </w:r>
    </w:p>
    <w:p w14:paraId="2E3FF442" w14:textId="77777777" w:rsidR="0012695A" w:rsidRDefault="0012695A" w:rsidP="009B4A35">
      <w:pPr>
        <w:spacing w:line="276" w:lineRule="auto"/>
        <w:jc w:val="both"/>
      </w:pPr>
    </w:p>
    <w:p w14:paraId="50B0E2E8" w14:textId="77777777" w:rsidR="00AF0A36" w:rsidRPr="00E74DBB" w:rsidRDefault="00AF0A36" w:rsidP="00C37270">
      <w:pPr>
        <w:pStyle w:val="Normal18J"/>
        <w:rPr>
          <w:b/>
          <w:bCs/>
          <w:color w:val="4472C4" w:themeColor="accent1"/>
        </w:rPr>
      </w:pPr>
      <w:r w:rsidRPr="00E74DBB">
        <w:rPr>
          <w:b/>
          <w:bCs/>
          <w:color w:val="4472C4" w:themeColor="accent1"/>
        </w:rPr>
        <w:t>Committee system</w:t>
      </w:r>
    </w:p>
    <w:p w14:paraId="2B0E8980" w14:textId="10AE4BB4" w:rsidR="00AF0A36" w:rsidRDefault="00AF0A36" w:rsidP="00D132AF">
      <w:pPr>
        <w:spacing w:after="120" w:line="276" w:lineRule="auto"/>
        <w:jc w:val="both"/>
      </w:pPr>
      <w:r>
        <w:t xml:space="preserve">The </w:t>
      </w:r>
      <w:r w:rsidR="008517C4">
        <w:t xml:space="preserve">ACT </w:t>
      </w:r>
      <w:r>
        <w:t xml:space="preserve">committee system comprises standing, select and domestic committees and other specialised committees. </w:t>
      </w:r>
      <w:r w:rsidR="008517C4">
        <w:t>S</w:t>
      </w:r>
      <w:r>
        <w:t>tanding committees comprise six subject matter committees, plus public accounts and the specialised committee devoted to the integrity commission</w:t>
      </w:r>
      <w:r w:rsidR="008517C4">
        <w:t>, Administration and Procedure.</w:t>
      </w:r>
      <w:r>
        <w:t xml:space="preserve"> Select committees are ad hoc and focused on a specific task, and expire when that is completed</w:t>
      </w:r>
      <w:r w:rsidR="008517C4">
        <w:t>, are used for domestic topics (privileges), estimates, and inquiries (of which there have been five during th</w:t>
      </w:r>
      <w:r w:rsidR="00683850">
        <w:t>e</w:t>
      </w:r>
      <w:r w:rsidR="008517C4">
        <w:t xml:space="preserve"> </w:t>
      </w:r>
      <w:r w:rsidR="00683850">
        <w:t>9</w:t>
      </w:r>
      <w:r w:rsidR="00683850" w:rsidRPr="00683850">
        <w:rPr>
          <w:vertAlign w:val="superscript"/>
        </w:rPr>
        <w:t>th</w:t>
      </w:r>
      <w:r w:rsidR="00683850">
        <w:t xml:space="preserve"> </w:t>
      </w:r>
      <w:r w:rsidR="008517C4">
        <w:t>Assembly</w:t>
      </w:r>
      <w:r>
        <w:t>.</w:t>
      </w:r>
      <w:r w:rsidR="008517C4">
        <w:t xml:space="preserve"> </w:t>
      </w:r>
    </w:p>
    <w:p w14:paraId="75EA5D0B" w14:textId="3666C24B" w:rsidR="00AF0A36" w:rsidRPr="00683850" w:rsidRDefault="00AF0A36" w:rsidP="00D132AF">
      <w:pPr>
        <w:spacing w:after="120" w:line="276" w:lineRule="auto"/>
        <w:jc w:val="both"/>
        <w:rPr>
          <w:color w:val="000000"/>
        </w:rPr>
      </w:pPr>
      <w:r>
        <w:t xml:space="preserve">According to the </w:t>
      </w:r>
      <w:r w:rsidRPr="003716AA">
        <w:rPr>
          <w:i/>
          <w:iCs/>
          <w:lang w:val="en-US"/>
        </w:rPr>
        <w:t xml:space="preserve">Companion to the Standing Orders </w:t>
      </w:r>
      <w:r>
        <w:rPr>
          <w:lang w:val="en-US"/>
        </w:rPr>
        <w:t>t</w:t>
      </w:r>
      <w:r w:rsidRPr="00231CF2">
        <w:t xml:space="preserve">he roles of </w:t>
      </w:r>
      <w:r>
        <w:t xml:space="preserve">the Assembly’s </w:t>
      </w:r>
      <w:r w:rsidRPr="00231CF2">
        <w:t xml:space="preserve">committees are to </w:t>
      </w:r>
      <w:r w:rsidRPr="00231CF2">
        <w:rPr>
          <w:color w:val="000000"/>
        </w:rPr>
        <w:t>scrutinise proposed legislation, monitor activities of the executive and examine public policy issues in a detailed way (McRae nd)</w:t>
      </w:r>
      <w:r>
        <w:rPr>
          <w:color w:val="000000"/>
        </w:rPr>
        <w:t xml:space="preserve">. The question </w:t>
      </w:r>
      <w:r w:rsidR="00DC2338">
        <w:rPr>
          <w:color w:val="000000"/>
        </w:rPr>
        <w:t>of interest</w:t>
      </w:r>
      <w:r>
        <w:rPr>
          <w:color w:val="000000"/>
        </w:rPr>
        <w:t xml:space="preserve"> here is how they perform these functions</w:t>
      </w:r>
      <w:r w:rsidR="00683850">
        <w:rPr>
          <w:color w:val="000000"/>
        </w:rPr>
        <w:t xml:space="preserve">. </w:t>
      </w:r>
      <w:r>
        <w:rPr>
          <w:color w:val="000000"/>
        </w:rPr>
        <w:t xml:space="preserve">First consideration is given to how the role and functions of a committee system are defined elsewhere. Some committee systems have a particular orientation. </w:t>
      </w:r>
      <w:r>
        <w:t xml:space="preserve">The Victorian committee functions are framed in terms of </w:t>
      </w:r>
      <w:r w:rsidRPr="00CB0E94">
        <w:t>investigat</w:t>
      </w:r>
      <w:r>
        <w:t>ing</w:t>
      </w:r>
      <w:r w:rsidRPr="00CB0E94">
        <w:t xml:space="preserve"> </w:t>
      </w:r>
      <w:r>
        <w:t>specific</w:t>
      </w:r>
      <w:r w:rsidRPr="00CB0E94">
        <w:t xml:space="preserve"> issue</w:t>
      </w:r>
      <w:r>
        <w:t>s</w:t>
      </w:r>
      <w:r w:rsidR="006252E4">
        <w:t>:</w:t>
      </w:r>
      <w:r>
        <w:t xml:space="preserve"> </w:t>
      </w:r>
      <w:r w:rsidRPr="001070F0">
        <w:t>‘</w:t>
      </w:r>
      <w:r w:rsidRPr="001070F0">
        <w:rPr>
          <w:color w:val="000000"/>
          <w:shd w:val="clear" w:color="auto" w:fill="FFFFFF"/>
        </w:rPr>
        <w:t xml:space="preserve">Most committees are investigatory committees. These committees conduct public inquiries and encourage public participation…Committees investigate specific issues </w:t>
      </w:r>
      <w:r w:rsidR="006252E4">
        <w:rPr>
          <w:color w:val="000000"/>
          <w:shd w:val="clear" w:color="auto" w:fill="FFFFFF"/>
        </w:rPr>
        <w:t>...</w:t>
      </w:r>
      <w:r w:rsidRPr="001070F0">
        <w:rPr>
          <w:color w:val="000000"/>
          <w:shd w:val="clear" w:color="auto" w:fill="FFFFFF"/>
        </w:rPr>
        <w:t> Members work together to research an issue in detail, by gathering and reviewing evidence from experts and the public’</w:t>
      </w:r>
      <w:r w:rsidR="00B715A0">
        <w:rPr>
          <w:color w:val="000000"/>
          <w:shd w:val="clear" w:color="auto" w:fill="FFFFFF"/>
        </w:rPr>
        <w:t>.</w:t>
      </w:r>
      <w:r w:rsidR="00B715A0">
        <w:rPr>
          <w:rStyle w:val="FootnoteReference"/>
          <w:color w:val="000000"/>
          <w:shd w:val="clear" w:color="auto" w:fill="FFFFFF"/>
        </w:rPr>
        <w:footnoteReference w:id="15"/>
      </w:r>
      <w:r w:rsidR="00EF05C8">
        <w:rPr>
          <w:color w:val="000000"/>
          <w:shd w:val="clear" w:color="auto" w:fill="FFFFFF"/>
        </w:rPr>
        <w:t xml:space="preserve"> </w:t>
      </w:r>
      <w:r w:rsidRPr="00E07BCD">
        <w:t xml:space="preserve">By way of contrast, the New Zealand House of Representatives, </w:t>
      </w:r>
      <w:r>
        <w:t xml:space="preserve">specialises in the legislative function. </w:t>
      </w:r>
      <w:r>
        <w:rPr>
          <w:rFonts w:cs="Arial"/>
          <w:color w:val="262626"/>
          <w:lang w:val="en-US"/>
        </w:rPr>
        <w:t>B</w:t>
      </w:r>
      <w:r w:rsidRPr="00E07BCD">
        <w:rPr>
          <w:rFonts w:cs="Arial"/>
          <w:color w:val="262626"/>
          <w:lang w:val="en-US"/>
        </w:rPr>
        <w:t>ills are usually referred to the relevant committee following the first reading. The committee may call for public submissions and receive oral and written submissions.</w:t>
      </w:r>
      <w:r w:rsidRPr="00E07BCD">
        <w:t xml:space="preserve"> </w:t>
      </w:r>
      <w:r w:rsidRPr="00E07BCD">
        <w:rPr>
          <w:rFonts w:cs="Arial"/>
          <w:color w:val="262626"/>
          <w:lang w:val="en-US"/>
        </w:rPr>
        <w:t>It can recommend amendments and whether the bill should be passed.</w:t>
      </w:r>
      <w:r w:rsidRPr="00E354A4">
        <w:rPr>
          <w:color w:val="262626"/>
          <w:lang w:val="en-US"/>
        </w:rPr>
        <w:t xml:space="preserve"> </w:t>
      </w:r>
      <w:r w:rsidR="00E354A4" w:rsidRPr="00E354A4">
        <w:t xml:space="preserve">In Queensland all </w:t>
      </w:r>
      <w:r w:rsidR="00A75C86">
        <w:t>b</w:t>
      </w:r>
      <w:r w:rsidR="00E354A4" w:rsidRPr="00E354A4">
        <w:t>ills, except urgent one</w:t>
      </w:r>
      <w:r w:rsidR="00B40A8C">
        <w:t>s</w:t>
      </w:r>
      <w:r w:rsidR="00E354A4" w:rsidRPr="00E354A4">
        <w:t xml:space="preserve">, are referred to a committee. </w:t>
      </w:r>
      <w:r w:rsidR="00C84A6D">
        <w:rPr>
          <w:rFonts w:cs="Arial"/>
          <w:color w:val="262626"/>
          <w:lang w:val="en-US"/>
        </w:rPr>
        <w:t>T</w:t>
      </w:r>
      <w:r w:rsidRPr="00601283">
        <w:t xml:space="preserve">he </w:t>
      </w:r>
      <w:r w:rsidRPr="00A014CD">
        <w:t>Parliamentary Procedures Handbook</w:t>
      </w:r>
      <w:r>
        <w:t xml:space="preserve"> </w:t>
      </w:r>
      <w:r w:rsidR="00407FA4">
        <w:t xml:space="preserve">also </w:t>
      </w:r>
      <w:r w:rsidR="00E354A4">
        <w:t>refers</w:t>
      </w:r>
      <w:r w:rsidR="00407FA4">
        <w:t xml:space="preserve"> </w:t>
      </w:r>
      <w:r w:rsidR="00FB3A82">
        <w:lastRenderedPageBreak/>
        <w:t xml:space="preserve">to </w:t>
      </w:r>
      <w:r w:rsidR="00407FA4">
        <w:t>opportunit</w:t>
      </w:r>
      <w:r w:rsidR="00597432">
        <w:t>i</w:t>
      </w:r>
      <w:r w:rsidR="00407FA4">
        <w:t>es provided by committees</w:t>
      </w:r>
      <w:r>
        <w:t xml:space="preserve"> </w:t>
      </w:r>
      <w:r w:rsidRPr="00504E04">
        <w:t xml:space="preserve">to </w:t>
      </w:r>
      <w:r w:rsidRPr="00410651">
        <w:t>scrutinise</w:t>
      </w:r>
      <w:r w:rsidRPr="00504E04">
        <w:t xml:space="preserve"> the executive and public service</w:t>
      </w:r>
      <w:r w:rsidR="00E354A4">
        <w:t xml:space="preserve"> and </w:t>
      </w:r>
      <w:r w:rsidR="00FD41FB">
        <w:t xml:space="preserve">to </w:t>
      </w:r>
      <w:r w:rsidRPr="00410651">
        <w:t>investigat</w:t>
      </w:r>
      <w:r w:rsidR="00FD41FB">
        <w:t>e</w:t>
      </w:r>
      <w:r w:rsidRPr="00504E04">
        <w:t xml:space="preserve"> topics that </w:t>
      </w:r>
      <w:r w:rsidR="00E354A4">
        <w:t>p</w:t>
      </w:r>
      <w:r w:rsidRPr="00504E04">
        <w:t>arliament</w:t>
      </w:r>
      <w:r w:rsidR="00E354A4">
        <w:t xml:space="preserve"> could not </w:t>
      </w:r>
      <w:r w:rsidRPr="00504E04">
        <w:t>consider</w:t>
      </w:r>
      <w:r w:rsidR="00B40A8C">
        <w:t>.</w:t>
      </w:r>
      <w:r w:rsidR="003D730A">
        <w:rPr>
          <w:rStyle w:val="FootnoteReference"/>
        </w:rPr>
        <w:footnoteReference w:id="16"/>
      </w:r>
    </w:p>
    <w:p w14:paraId="34F16FDB" w14:textId="1F8641A6" w:rsidR="00AF0A36" w:rsidRDefault="00FB3A82" w:rsidP="0025346E">
      <w:pPr>
        <w:spacing w:line="276" w:lineRule="auto"/>
        <w:jc w:val="both"/>
      </w:pPr>
      <w:r>
        <w:t xml:space="preserve">In </w:t>
      </w:r>
      <w:r w:rsidR="00DF7A7F">
        <w:t xml:space="preserve">the </w:t>
      </w:r>
      <w:r>
        <w:t>ACT, c</w:t>
      </w:r>
      <w:r w:rsidR="00AF0A36">
        <w:t xml:space="preserve">onsiderable </w:t>
      </w:r>
      <w:r w:rsidR="005C692A">
        <w:t>at</w:t>
      </w:r>
      <w:r w:rsidR="00AF0A36">
        <w:t xml:space="preserve">tention is devoted to </w:t>
      </w:r>
      <w:r w:rsidR="00D5179A">
        <w:t>issues</w:t>
      </w:r>
      <w:r w:rsidR="00AF0A36">
        <w:t xml:space="preserve"> raised during the estimates and the review of annual and financial reports.</w:t>
      </w:r>
      <w:r w:rsidR="00F93EE3">
        <w:t xml:space="preserve"> </w:t>
      </w:r>
      <w:r w:rsidR="003E2F73">
        <w:t>I</w:t>
      </w:r>
      <w:r w:rsidR="00AF0A36">
        <w:t>nquiries and investigations</w:t>
      </w:r>
      <w:r w:rsidR="003E2F73">
        <w:t xml:space="preserve"> </w:t>
      </w:r>
      <w:r w:rsidR="006733F0">
        <w:t xml:space="preserve">do not appear to be </w:t>
      </w:r>
      <w:r w:rsidR="003E2F73">
        <w:t>high priorities</w:t>
      </w:r>
      <w:r w:rsidR="00AF0A36">
        <w:t>.</w:t>
      </w:r>
      <w:r>
        <w:t xml:space="preserve"> </w:t>
      </w:r>
      <w:r w:rsidR="00AF0A36">
        <w:t>Bills are rarely referred.</w:t>
      </w:r>
      <w:r w:rsidR="00F93EE3">
        <w:t xml:space="preserve"> </w:t>
      </w:r>
      <w:r w:rsidR="00A01676">
        <w:t xml:space="preserve">Few reports are presented by the majority of committees. </w:t>
      </w:r>
      <w:r w:rsidR="00742AB1">
        <w:t>Petitions are a</w:t>
      </w:r>
      <w:r w:rsidR="002B628D">
        <w:t>lso referred to committees</w:t>
      </w:r>
      <w:r w:rsidR="00742AB1">
        <w:t>.</w:t>
      </w:r>
    </w:p>
    <w:p w14:paraId="75F3F757" w14:textId="7154FEF0" w:rsidR="006733F0" w:rsidRDefault="006733F0" w:rsidP="0025346E">
      <w:pPr>
        <w:spacing w:line="276" w:lineRule="auto"/>
        <w:jc w:val="both"/>
      </w:pPr>
    </w:p>
    <w:p w14:paraId="64C535E5" w14:textId="77777777" w:rsidR="00967E3B" w:rsidRDefault="00967E3B" w:rsidP="0025346E">
      <w:pPr>
        <w:spacing w:line="276" w:lineRule="auto"/>
        <w:jc w:val="both"/>
      </w:pPr>
    </w:p>
    <w:p w14:paraId="014D3E67" w14:textId="77777777" w:rsidR="00583AD3" w:rsidRPr="00775E80" w:rsidRDefault="00583AD3" w:rsidP="00967E3B">
      <w:pPr>
        <w:pStyle w:val="Normal18J"/>
        <w:rPr>
          <w:i/>
          <w:iCs/>
          <w:lang w:val="en-US"/>
        </w:rPr>
      </w:pPr>
      <w:r w:rsidRPr="00775E80">
        <w:rPr>
          <w:i/>
          <w:iCs/>
          <w:lang w:val="en-US"/>
        </w:rPr>
        <w:t>Referral of bills to Assembly committees</w:t>
      </w:r>
    </w:p>
    <w:p w14:paraId="6EFC1514" w14:textId="45FEE6B2" w:rsidR="00583AD3" w:rsidRDefault="00583AD3" w:rsidP="0025346E">
      <w:pPr>
        <w:spacing w:after="240" w:line="276" w:lineRule="auto"/>
        <w:jc w:val="both"/>
      </w:pPr>
      <w:r>
        <w:t>A standard indicator of the role of a parliament in legislation is whether bills are referred to committees. In large assemblies specialised consideration of bills and other matters is imperative</w:t>
      </w:r>
      <w:r w:rsidR="00974BA3">
        <w:t>, but eve</w:t>
      </w:r>
      <w:r>
        <w:t xml:space="preserve">n </w:t>
      </w:r>
      <w:r w:rsidR="00974BA3">
        <w:t xml:space="preserve">in </w:t>
      </w:r>
      <w:r>
        <w:t xml:space="preserve">a small </w:t>
      </w:r>
      <w:r w:rsidR="00AE4699">
        <w:t>l</w:t>
      </w:r>
      <w:r>
        <w:t>egislat</w:t>
      </w:r>
      <w:r w:rsidR="00AE4699">
        <w:t>ure</w:t>
      </w:r>
      <w:r>
        <w:t xml:space="preserve"> </w:t>
      </w:r>
      <w:r w:rsidR="00974BA3">
        <w:t xml:space="preserve">there are advantages from </w:t>
      </w:r>
      <w:r w:rsidR="00A75C86">
        <w:t xml:space="preserve">a </w:t>
      </w:r>
      <w:r w:rsidR="008F29D0">
        <w:t>division</w:t>
      </w:r>
      <w:r w:rsidR="00974BA3">
        <w:t xml:space="preserve"> of labour, rather than occupying all MLAs in plenary sessions.</w:t>
      </w:r>
      <w:r w:rsidR="00A503F0">
        <w:t xml:space="preserve"> An a</w:t>
      </w:r>
      <w:r>
        <w:t xml:space="preserve">verage of 7 per cent </w:t>
      </w:r>
      <w:r w:rsidR="00A503F0">
        <w:t xml:space="preserve">of bills were referred </w:t>
      </w:r>
      <w:r>
        <w:t>for 2012-2017, but up to 11 per cent for 2018, entail</w:t>
      </w:r>
      <w:r w:rsidR="00A503F0">
        <w:t>ing</w:t>
      </w:r>
      <w:r>
        <w:t xml:space="preserve"> seven bills</w:t>
      </w:r>
      <w:r w:rsidR="00FA78C2">
        <w:t xml:space="preserve"> (Table </w:t>
      </w:r>
      <w:r w:rsidR="00270B48">
        <w:t>7</w:t>
      </w:r>
      <w:r w:rsidR="00FA78C2">
        <w:t>)</w:t>
      </w:r>
      <w:r>
        <w:t xml:space="preserve">. </w:t>
      </w:r>
    </w:p>
    <w:p w14:paraId="38E9EC3E" w14:textId="4241F392" w:rsidR="00583AD3" w:rsidRDefault="00583AD3" w:rsidP="007E395D">
      <w:pPr>
        <w:spacing w:line="360" w:lineRule="auto"/>
      </w:pPr>
      <w:r>
        <w:t xml:space="preserve">Table </w:t>
      </w:r>
      <w:r w:rsidR="00270B48">
        <w:t>7</w:t>
      </w:r>
      <w:r>
        <w:tab/>
      </w:r>
      <w:r>
        <w:tab/>
      </w:r>
      <w:r w:rsidR="00C56834">
        <w:t xml:space="preserve">     </w:t>
      </w:r>
      <w:r>
        <w:t>Bills referred to standing committees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483"/>
        <w:gridCol w:w="2576"/>
        <w:gridCol w:w="2798"/>
        <w:gridCol w:w="2163"/>
      </w:tblGrid>
      <w:tr w:rsidR="00790590" w:rsidRPr="00471C8F" w14:paraId="2C84DFD7" w14:textId="77777777" w:rsidTr="00A81B9E">
        <w:tc>
          <w:tcPr>
            <w:tcW w:w="822" w:type="pct"/>
          </w:tcPr>
          <w:p w14:paraId="0118CCA9" w14:textId="77777777" w:rsidR="00790590" w:rsidRPr="00471C8F" w:rsidRDefault="00790590" w:rsidP="00790590">
            <w:pPr>
              <w:jc w:val="center"/>
              <w:rPr>
                <w:i/>
                <w:iCs/>
                <w:sz w:val="22"/>
                <w:szCs w:val="22"/>
              </w:rPr>
            </w:pPr>
            <w:r w:rsidRPr="00471C8F">
              <w:rPr>
                <w:i/>
                <w:iCs/>
                <w:sz w:val="22"/>
                <w:szCs w:val="22"/>
              </w:rPr>
              <w:t>Year</w:t>
            </w:r>
          </w:p>
        </w:tc>
        <w:tc>
          <w:tcPr>
            <w:tcW w:w="1428" w:type="pct"/>
          </w:tcPr>
          <w:p w14:paraId="5EE0C0F2" w14:textId="0C1A0A83" w:rsidR="00790590" w:rsidRPr="00471C8F" w:rsidRDefault="00790590" w:rsidP="00790590">
            <w:pPr>
              <w:jc w:val="center"/>
              <w:rPr>
                <w:i/>
                <w:iCs/>
                <w:sz w:val="22"/>
                <w:szCs w:val="22"/>
              </w:rPr>
            </w:pPr>
            <w:r w:rsidRPr="00471C8F">
              <w:rPr>
                <w:i/>
                <w:iCs/>
                <w:sz w:val="22"/>
                <w:szCs w:val="22"/>
              </w:rPr>
              <w:t>Bills Total</w:t>
            </w:r>
          </w:p>
        </w:tc>
        <w:tc>
          <w:tcPr>
            <w:tcW w:w="1551" w:type="pct"/>
          </w:tcPr>
          <w:p w14:paraId="2F702379" w14:textId="5C859B48" w:rsidR="00790590" w:rsidRPr="00471C8F" w:rsidRDefault="00790590" w:rsidP="00790590">
            <w:pPr>
              <w:jc w:val="center"/>
              <w:rPr>
                <w:i/>
                <w:iCs/>
                <w:sz w:val="22"/>
                <w:szCs w:val="22"/>
              </w:rPr>
            </w:pPr>
            <w:r w:rsidRPr="00471C8F">
              <w:rPr>
                <w:i/>
                <w:iCs/>
                <w:sz w:val="22"/>
                <w:szCs w:val="22"/>
              </w:rPr>
              <w:t>Referrals N</w:t>
            </w:r>
          </w:p>
        </w:tc>
        <w:tc>
          <w:tcPr>
            <w:tcW w:w="1199" w:type="pct"/>
          </w:tcPr>
          <w:p w14:paraId="3032EB97" w14:textId="77777777" w:rsidR="00790590" w:rsidRPr="00471C8F" w:rsidRDefault="00790590" w:rsidP="00790590">
            <w:pPr>
              <w:jc w:val="center"/>
              <w:rPr>
                <w:i/>
                <w:iCs/>
                <w:sz w:val="22"/>
                <w:szCs w:val="22"/>
              </w:rPr>
            </w:pPr>
            <w:r w:rsidRPr="00471C8F">
              <w:rPr>
                <w:i/>
                <w:iCs/>
                <w:sz w:val="22"/>
                <w:szCs w:val="22"/>
              </w:rPr>
              <w:t>Per cent</w:t>
            </w:r>
          </w:p>
        </w:tc>
      </w:tr>
      <w:tr w:rsidR="00790590" w:rsidRPr="00471C8F" w14:paraId="7FAEE14E" w14:textId="77777777" w:rsidTr="00A81B9E">
        <w:tc>
          <w:tcPr>
            <w:tcW w:w="822" w:type="pct"/>
            <w:tcBorders>
              <w:bottom w:val="nil"/>
            </w:tcBorders>
          </w:tcPr>
          <w:p w14:paraId="008C08BC" w14:textId="77777777" w:rsidR="00790590" w:rsidRPr="00471C8F" w:rsidRDefault="00790590" w:rsidP="00790590">
            <w:pPr>
              <w:jc w:val="center"/>
              <w:rPr>
                <w:sz w:val="22"/>
                <w:szCs w:val="22"/>
              </w:rPr>
            </w:pPr>
            <w:r w:rsidRPr="00471C8F">
              <w:rPr>
                <w:sz w:val="22"/>
                <w:szCs w:val="22"/>
              </w:rPr>
              <w:t>2012</w:t>
            </w:r>
          </w:p>
        </w:tc>
        <w:tc>
          <w:tcPr>
            <w:tcW w:w="1428" w:type="pct"/>
            <w:tcBorders>
              <w:bottom w:val="nil"/>
            </w:tcBorders>
          </w:tcPr>
          <w:p w14:paraId="74FE6A55" w14:textId="5E120CCB" w:rsidR="00790590" w:rsidRPr="00471C8F" w:rsidRDefault="00790590" w:rsidP="00790590">
            <w:pPr>
              <w:jc w:val="center"/>
              <w:rPr>
                <w:sz w:val="22"/>
                <w:szCs w:val="22"/>
              </w:rPr>
            </w:pPr>
            <w:r w:rsidRPr="00471C8F">
              <w:rPr>
                <w:sz w:val="22"/>
                <w:szCs w:val="22"/>
              </w:rPr>
              <w:t>na</w:t>
            </w:r>
          </w:p>
        </w:tc>
        <w:tc>
          <w:tcPr>
            <w:tcW w:w="1551" w:type="pct"/>
            <w:tcBorders>
              <w:bottom w:val="nil"/>
            </w:tcBorders>
          </w:tcPr>
          <w:p w14:paraId="1737CEAB" w14:textId="633840EE" w:rsidR="00790590" w:rsidRPr="00471C8F" w:rsidRDefault="00790590" w:rsidP="00790590">
            <w:pPr>
              <w:jc w:val="center"/>
              <w:rPr>
                <w:sz w:val="22"/>
                <w:szCs w:val="22"/>
              </w:rPr>
            </w:pPr>
            <w:r w:rsidRPr="00471C8F">
              <w:rPr>
                <w:sz w:val="22"/>
                <w:szCs w:val="22"/>
              </w:rPr>
              <w:t>na</w:t>
            </w:r>
          </w:p>
        </w:tc>
        <w:tc>
          <w:tcPr>
            <w:tcW w:w="1199" w:type="pct"/>
            <w:tcBorders>
              <w:bottom w:val="nil"/>
            </w:tcBorders>
          </w:tcPr>
          <w:p w14:paraId="4B25AEC7" w14:textId="77777777" w:rsidR="00790590" w:rsidRPr="00471C8F" w:rsidRDefault="00790590" w:rsidP="00790590">
            <w:pPr>
              <w:jc w:val="center"/>
              <w:rPr>
                <w:sz w:val="22"/>
                <w:szCs w:val="22"/>
              </w:rPr>
            </w:pPr>
            <w:r w:rsidRPr="00471C8F">
              <w:rPr>
                <w:sz w:val="22"/>
                <w:szCs w:val="22"/>
              </w:rPr>
              <w:t>8</w:t>
            </w:r>
          </w:p>
        </w:tc>
      </w:tr>
      <w:tr w:rsidR="00790590" w:rsidRPr="00471C8F" w14:paraId="2A9E209B" w14:textId="77777777" w:rsidTr="00A81B9E">
        <w:tc>
          <w:tcPr>
            <w:tcW w:w="822" w:type="pct"/>
            <w:tcBorders>
              <w:top w:val="nil"/>
              <w:bottom w:val="nil"/>
            </w:tcBorders>
          </w:tcPr>
          <w:p w14:paraId="73066571" w14:textId="77777777" w:rsidR="00790590" w:rsidRPr="00471C8F" w:rsidRDefault="00790590" w:rsidP="00790590">
            <w:pPr>
              <w:jc w:val="center"/>
              <w:rPr>
                <w:sz w:val="22"/>
                <w:szCs w:val="22"/>
              </w:rPr>
            </w:pPr>
            <w:r w:rsidRPr="00471C8F">
              <w:rPr>
                <w:sz w:val="22"/>
                <w:szCs w:val="22"/>
              </w:rPr>
              <w:t>2013</w:t>
            </w:r>
          </w:p>
        </w:tc>
        <w:tc>
          <w:tcPr>
            <w:tcW w:w="1428" w:type="pct"/>
            <w:tcBorders>
              <w:top w:val="nil"/>
              <w:bottom w:val="nil"/>
            </w:tcBorders>
          </w:tcPr>
          <w:p w14:paraId="07CC04CC" w14:textId="7581B357" w:rsidR="00790590" w:rsidRPr="00471C8F" w:rsidRDefault="00790590" w:rsidP="00790590">
            <w:pPr>
              <w:jc w:val="center"/>
              <w:rPr>
                <w:sz w:val="22"/>
                <w:szCs w:val="22"/>
              </w:rPr>
            </w:pPr>
            <w:r w:rsidRPr="00471C8F">
              <w:rPr>
                <w:sz w:val="22"/>
                <w:szCs w:val="22"/>
              </w:rPr>
              <w:t>na</w:t>
            </w:r>
          </w:p>
        </w:tc>
        <w:tc>
          <w:tcPr>
            <w:tcW w:w="1551" w:type="pct"/>
            <w:tcBorders>
              <w:top w:val="nil"/>
              <w:bottom w:val="nil"/>
            </w:tcBorders>
          </w:tcPr>
          <w:p w14:paraId="576EA6D8" w14:textId="6191A36A" w:rsidR="00790590" w:rsidRPr="00471C8F" w:rsidRDefault="00790590" w:rsidP="00790590">
            <w:pPr>
              <w:jc w:val="center"/>
              <w:rPr>
                <w:sz w:val="22"/>
                <w:szCs w:val="22"/>
              </w:rPr>
            </w:pPr>
            <w:r w:rsidRPr="00471C8F">
              <w:rPr>
                <w:sz w:val="22"/>
                <w:szCs w:val="22"/>
              </w:rPr>
              <w:t>na</w:t>
            </w:r>
          </w:p>
        </w:tc>
        <w:tc>
          <w:tcPr>
            <w:tcW w:w="1199" w:type="pct"/>
            <w:tcBorders>
              <w:top w:val="nil"/>
              <w:bottom w:val="nil"/>
            </w:tcBorders>
          </w:tcPr>
          <w:p w14:paraId="65B6A328" w14:textId="77777777" w:rsidR="00790590" w:rsidRPr="00471C8F" w:rsidRDefault="00790590" w:rsidP="00790590">
            <w:pPr>
              <w:jc w:val="center"/>
              <w:rPr>
                <w:sz w:val="22"/>
                <w:szCs w:val="22"/>
              </w:rPr>
            </w:pPr>
            <w:r w:rsidRPr="00471C8F">
              <w:rPr>
                <w:sz w:val="22"/>
                <w:szCs w:val="22"/>
              </w:rPr>
              <w:t>7</w:t>
            </w:r>
          </w:p>
        </w:tc>
      </w:tr>
      <w:tr w:rsidR="00790590" w:rsidRPr="00471C8F" w14:paraId="026C1070" w14:textId="77777777" w:rsidTr="00A81B9E">
        <w:tc>
          <w:tcPr>
            <w:tcW w:w="822" w:type="pct"/>
            <w:tcBorders>
              <w:top w:val="nil"/>
              <w:bottom w:val="nil"/>
            </w:tcBorders>
          </w:tcPr>
          <w:p w14:paraId="0F55A371" w14:textId="77777777" w:rsidR="00790590" w:rsidRPr="00471C8F" w:rsidRDefault="00790590" w:rsidP="00790590">
            <w:pPr>
              <w:jc w:val="center"/>
              <w:rPr>
                <w:sz w:val="22"/>
                <w:szCs w:val="22"/>
              </w:rPr>
            </w:pPr>
            <w:r w:rsidRPr="00471C8F">
              <w:rPr>
                <w:sz w:val="22"/>
                <w:szCs w:val="22"/>
              </w:rPr>
              <w:t>2014</w:t>
            </w:r>
          </w:p>
        </w:tc>
        <w:tc>
          <w:tcPr>
            <w:tcW w:w="1428" w:type="pct"/>
            <w:tcBorders>
              <w:top w:val="nil"/>
              <w:bottom w:val="nil"/>
            </w:tcBorders>
          </w:tcPr>
          <w:p w14:paraId="228F8665" w14:textId="0BCA0A84" w:rsidR="00790590" w:rsidRPr="00471C8F" w:rsidRDefault="00790590" w:rsidP="00790590">
            <w:pPr>
              <w:jc w:val="center"/>
              <w:rPr>
                <w:sz w:val="22"/>
                <w:szCs w:val="22"/>
              </w:rPr>
            </w:pPr>
            <w:r w:rsidRPr="00471C8F">
              <w:rPr>
                <w:sz w:val="22"/>
                <w:szCs w:val="22"/>
              </w:rPr>
              <w:t>64</w:t>
            </w:r>
          </w:p>
        </w:tc>
        <w:tc>
          <w:tcPr>
            <w:tcW w:w="1551" w:type="pct"/>
            <w:tcBorders>
              <w:top w:val="nil"/>
              <w:bottom w:val="nil"/>
            </w:tcBorders>
          </w:tcPr>
          <w:p w14:paraId="636BE450" w14:textId="77926CD5" w:rsidR="00790590" w:rsidRPr="00471C8F" w:rsidRDefault="00790590" w:rsidP="00790590">
            <w:pPr>
              <w:jc w:val="center"/>
              <w:rPr>
                <w:sz w:val="22"/>
                <w:szCs w:val="22"/>
              </w:rPr>
            </w:pPr>
            <w:r w:rsidRPr="00471C8F">
              <w:rPr>
                <w:sz w:val="22"/>
                <w:szCs w:val="22"/>
              </w:rPr>
              <w:t>5</w:t>
            </w:r>
          </w:p>
        </w:tc>
        <w:tc>
          <w:tcPr>
            <w:tcW w:w="1199" w:type="pct"/>
            <w:tcBorders>
              <w:top w:val="nil"/>
              <w:bottom w:val="nil"/>
            </w:tcBorders>
          </w:tcPr>
          <w:p w14:paraId="7B6F931F" w14:textId="77777777" w:rsidR="00790590" w:rsidRPr="00471C8F" w:rsidRDefault="00790590" w:rsidP="00790590">
            <w:pPr>
              <w:jc w:val="center"/>
              <w:rPr>
                <w:sz w:val="22"/>
                <w:szCs w:val="22"/>
              </w:rPr>
            </w:pPr>
            <w:r w:rsidRPr="00471C8F">
              <w:rPr>
                <w:sz w:val="22"/>
                <w:szCs w:val="22"/>
              </w:rPr>
              <w:t>8</w:t>
            </w:r>
          </w:p>
        </w:tc>
      </w:tr>
      <w:tr w:rsidR="00790590" w:rsidRPr="00471C8F" w14:paraId="52459833" w14:textId="77777777" w:rsidTr="00A81B9E">
        <w:tc>
          <w:tcPr>
            <w:tcW w:w="822" w:type="pct"/>
            <w:tcBorders>
              <w:top w:val="nil"/>
              <w:bottom w:val="nil"/>
            </w:tcBorders>
          </w:tcPr>
          <w:p w14:paraId="06BF5C0D" w14:textId="77777777" w:rsidR="00790590" w:rsidRPr="00471C8F" w:rsidRDefault="00790590" w:rsidP="00790590">
            <w:pPr>
              <w:jc w:val="center"/>
              <w:rPr>
                <w:sz w:val="22"/>
                <w:szCs w:val="22"/>
              </w:rPr>
            </w:pPr>
            <w:r w:rsidRPr="00471C8F">
              <w:rPr>
                <w:sz w:val="22"/>
                <w:szCs w:val="22"/>
              </w:rPr>
              <w:t>2015</w:t>
            </w:r>
          </w:p>
        </w:tc>
        <w:tc>
          <w:tcPr>
            <w:tcW w:w="1428" w:type="pct"/>
            <w:tcBorders>
              <w:top w:val="nil"/>
              <w:bottom w:val="nil"/>
            </w:tcBorders>
          </w:tcPr>
          <w:p w14:paraId="2CE4E581" w14:textId="610231CF" w:rsidR="00790590" w:rsidRPr="00471C8F" w:rsidRDefault="00790590" w:rsidP="00790590">
            <w:pPr>
              <w:jc w:val="center"/>
              <w:rPr>
                <w:sz w:val="22"/>
                <w:szCs w:val="22"/>
              </w:rPr>
            </w:pPr>
            <w:r w:rsidRPr="00471C8F">
              <w:rPr>
                <w:sz w:val="22"/>
                <w:szCs w:val="22"/>
              </w:rPr>
              <w:t>57</w:t>
            </w:r>
          </w:p>
        </w:tc>
        <w:tc>
          <w:tcPr>
            <w:tcW w:w="1551" w:type="pct"/>
            <w:tcBorders>
              <w:top w:val="nil"/>
              <w:bottom w:val="nil"/>
            </w:tcBorders>
          </w:tcPr>
          <w:p w14:paraId="763B1D83" w14:textId="35B00960" w:rsidR="00790590" w:rsidRPr="00471C8F" w:rsidRDefault="00790590" w:rsidP="00790590">
            <w:pPr>
              <w:jc w:val="center"/>
              <w:rPr>
                <w:sz w:val="22"/>
                <w:szCs w:val="22"/>
              </w:rPr>
            </w:pPr>
            <w:r w:rsidRPr="00471C8F">
              <w:rPr>
                <w:sz w:val="22"/>
                <w:szCs w:val="22"/>
              </w:rPr>
              <w:t>4</w:t>
            </w:r>
          </w:p>
        </w:tc>
        <w:tc>
          <w:tcPr>
            <w:tcW w:w="1199" w:type="pct"/>
            <w:tcBorders>
              <w:top w:val="nil"/>
              <w:bottom w:val="nil"/>
            </w:tcBorders>
          </w:tcPr>
          <w:p w14:paraId="68AD0FD7" w14:textId="77777777" w:rsidR="00790590" w:rsidRPr="00471C8F" w:rsidRDefault="00790590" w:rsidP="00790590">
            <w:pPr>
              <w:jc w:val="center"/>
              <w:rPr>
                <w:sz w:val="22"/>
                <w:szCs w:val="22"/>
              </w:rPr>
            </w:pPr>
            <w:r w:rsidRPr="00471C8F">
              <w:rPr>
                <w:sz w:val="22"/>
                <w:szCs w:val="22"/>
              </w:rPr>
              <w:t>7</w:t>
            </w:r>
          </w:p>
        </w:tc>
      </w:tr>
      <w:tr w:rsidR="00790590" w:rsidRPr="00471C8F" w14:paraId="127EEC01" w14:textId="77777777" w:rsidTr="00A81B9E">
        <w:tc>
          <w:tcPr>
            <w:tcW w:w="822" w:type="pct"/>
            <w:tcBorders>
              <w:top w:val="nil"/>
              <w:bottom w:val="nil"/>
            </w:tcBorders>
          </w:tcPr>
          <w:p w14:paraId="52ECC859" w14:textId="77777777" w:rsidR="00790590" w:rsidRPr="00471C8F" w:rsidRDefault="00790590" w:rsidP="00790590">
            <w:pPr>
              <w:jc w:val="center"/>
              <w:rPr>
                <w:sz w:val="22"/>
                <w:szCs w:val="22"/>
              </w:rPr>
            </w:pPr>
            <w:r w:rsidRPr="00471C8F">
              <w:rPr>
                <w:sz w:val="22"/>
                <w:szCs w:val="22"/>
              </w:rPr>
              <w:t>2016</w:t>
            </w:r>
          </w:p>
        </w:tc>
        <w:tc>
          <w:tcPr>
            <w:tcW w:w="1428" w:type="pct"/>
            <w:tcBorders>
              <w:top w:val="nil"/>
              <w:bottom w:val="nil"/>
            </w:tcBorders>
          </w:tcPr>
          <w:p w14:paraId="5258E660" w14:textId="2C3DB375" w:rsidR="00790590" w:rsidRPr="00471C8F" w:rsidRDefault="00790590" w:rsidP="00790590">
            <w:pPr>
              <w:jc w:val="center"/>
              <w:rPr>
                <w:sz w:val="22"/>
                <w:szCs w:val="22"/>
              </w:rPr>
            </w:pPr>
            <w:r w:rsidRPr="00471C8F">
              <w:rPr>
                <w:sz w:val="22"/>
                <w:szCs w:val="22"/>
              </w:rPr>
              <w:t>52</w:t>
            </w:r>
          </w:p>
        </w:tc>
        <w:tc>
          <w:tcPr>
            <w:tcW w:w="1551" w:type="pct"/>
            <w:tcBorders>
              <w:top w:val="nil"/>
              <w:bottom w:val="nil"/>
            </w:tcBorders>
          </w:tcPr>
          <w:p w14:paraId="60CEE6C8" w14:textId="5377FF29" w:rsidR="00790590" w:rsidRPr="00471C8F" w:rsidRDefault="00790590" w:rsidP="00790590">
            <w:pPr>
              <w:jc w:val="center"/>
              <w:rPr>
                <w:sz w:val="22"/>
                <w:szCs w:val="22"/>
              </w:rPr>
            </w:pPr>
            <w:r w:rsidRPr="00471C8F">
              <w:rPr>
                <w:sz w:val="22"/>
                <w:szCs w:val="22"/>
              </w:rPr>
              <w:t>4</w:t>
            </w:r>
          </w:p>
        </w:tc>
        <w:tc>
          <w:tcPr>
            <w:tcW w:w="1199" w:type="pct"/>
            <w:tcBorders>
              <w:top w:val="nil"/>
              <w:bottom w:val="nil"/>
            </w:tcBorders>
          </w:tcPr>
          <w:p w14:paraId="324B6C1A" w14:textId="77777777" w:rsidR="00790590" w:rsidRPr="00471C8F" w:rsidRDefault="00790590" w:rsidP="00790590">
            <w:pPr>
              <w:jc w:val="center"/>
              <w:rPr>
                <w:sz w:val="22"/>
                <w:szCs w:val="22"/>
              </w:rPr>
            </w:pPr>
            <w:r w:rsidRPr="00471C8F">
              <w:rPr>
                <w:sz w:val="22"/>
                <w:szCs w:val="22"/>
              </w:rPr>
              <w:t>8</w:t>
            </w:r>
          </w:p>
        </w:tc>
      </w:tr>
      <w:tr w:rsidR="00790590" w:rsidRPr="00471C8F" w14:paraId="6094E2AC" w14:textId="77777777" w:rsidTr="00A81B9E">
        <w:tc>
          <w:tcPr>
            <w:tcW w:w="822" w:type="pct"/>
            <w:tcBorders>
              <w:top w:val="nil"/>
              <w:bottom w:val="nil"/>
            </w:tcBorders>
          </w:tcPr>
          <w:p w14:paraId="2A308B93" w14:textId="77777777" w:rsidR="00790590" w:rsidRPr="00471C8F" w:rsidRDefault="00790590" w:rsidP="00790590">
            <w:pPr>
              <w:jc w:val="center"/>
              <w:rPr>
                <w:sz w:val="22"/>
                <w:szCs w:val="22"/>
              </w:rPr>
            </w:pPr>
            <w:r w:rsidRPr="00471C8F">
              <w:rPr>
                <w:sz w:val="22"/>
                <w:szCs w:val="22"/>
              </w:rPr>
              <w:t>2017</w:t>
            </w:r>
          </w:p>
        </w:tc>
        <w:tc>
          <w:tcPr>
            <w:tcW w:w="1428" w:type="pct"/>
            <w:tcBorders>
              <w:top w:val="nil"/>
              <w:bottom w:val="nil"/>
            </w:tcBorders>
          </w:tcPr>
          <w:p w14:paraId="639DD3FE" w14:textId="561A6080" w:rsidR="00790590" w:rsidRPr="00471C8F" w:rsidRDefault="00790590" w:rsidP="00790590">
            <w:pPr>
              <w:jc w:val="center"/>
              <w:rPr>
                <w:sz w:val="22"/>
                <w:szCs w:val="22"/>
              </w:rPr>
            </w:pPr>
            <w:r w:rsidRPr="00471C8F">
              <w:rPr>
                <w:sz w:val="22"/>
                <w:szCs w:val="22"/>
              </w:rPr>
              <w:t>54</w:t>
            </w:r>
          </w:p>
        </w:tc>
        <w:tc>
          <w:tcPr>
            <w:tcW w:w="1551" w:type="pct"/>
            <w:tcBorders>
              <w:top w:val="nil"/>
              <w:bottom w:val="nil"/>
            </w:tcBorders>
          </w:tcPr>
          <w:p w14:paraId="23675C7F" w14:textId="261205E4" w:rsidR="00790590" w:rsidRPr="00471C8F" w:rsidRDefault="00790590" w:rsidP="00790590">
            <w:pPr>
              <w:jc w:val="center"/>
              <w:rPr>
                <w:sz w:val="22"/>
                <w:szCs w:val="22"/>
              </w:rPr>
            </w:pPr>
            <w:r w:rsidRPr="00471C8F">
              <w:rPr>
                <w:sz w:val="22"/>
                <w:szCs w:val="22"/>
              </w:rPr>
              <w:t>2</w:t>
            </w:r>
          </w:p>
        </w:tc>
        <w:tc>
          <w:tcPr>
            <w:tcW w:w="1199" w:type="pct"/>
            <w:tcBorders>
              <w:top w:val="nil"/>
              <w:bottom w:val="nil"/>
            </w:tcBorders>
          </w:tcPr>
          <w:p w14:paraId="6E8E3505" w14:textId="77777777" w:rsidR="00790590" w:rsidRPr="00471C8F" w:rsidRDefault="00790590" w:rsidP="00790590">
            <w:pPr>
              <w:jc w:val="center"/>
              <w:rPr>
                <w:sz w:val="22"/>
                <w:szCs w:val="22"/>
              </w:rPr>
            </w:pPr>
            <w:r w:rsidRPr="00471C8F">
              <w:rPr>
                <w:sz w:val="22"/>
                <w:szCs w:val="22"/>
              </w:rPr>
              <w:t>4</w:t>
            </w:r>
          </w:p>
        </w:tc>
      </w:tr>
      <w:tr w:rsidR="00790590" w:rsidRPr="00471C8F" w14:paraId="2DED6844" w14:textId="77777777" w:rsidTr="00A81B9E">
        <w:tc>
          <w:tcPr>
            <w:tcW w:w="822" w:type="pct"/>
            <w:tcBorders>
              <w:top w:val="nil"/>
            </w:tcBorders>
          </w:tcPr>
          <w:p w14:paraId="4AC8C304" w14:textId="77777777" w:rsidR="00790590" w:rsidRPr="00471C8F" w:rsidRDefault="00790590" w:rsidP="00790590">
            <w:pPr>
              <w:jc w:val="center"/>
              <w:rPr>
                <w:sz w:val="22"/>
                <w:szCs w:val="22"/>
              </w:rPr>
            </w:pPr>
            <w:r w:rsidRPr="00471C8F">
              <w:rPr>
                <w:sz w:val="22"/>
                <w:szCs w:val="22"/>
              </w:rPr>
              <w:t>2018</w:t>
            </w:r>
          </w:p>
        </w:tc>
        <w:tc>
          <w:tcPr>
            <w:tcW w:w="1428" w:type="pct"/>
            <w:tcBorders>
              <w:top w:val="nil"/>
            </w:tcBorders>
          </w:tcPr>
          <w:p w14:paraId="391C9C3C" w14:textId="4CF4F5E7" w:rsidR="00790590" w:rsidRPr="00471C8F" w:rsidRDefault="00790590" w:rsidP="00790590">
            <w:pPr>
              <w:jc w:val="center"/>
              <w:rPr>
                <w:sz w:val="22"/>
                <w:szCs w:val="22"/>
              </w:rPr>
            </w:pPr>
            <w:r w:rsidRPr="00471C8F">
              <w:rPr>
                <w:sz w:val="22"/>
                <w:szCs w:val="22"/>
              </w:rPr>
              <w:t>61</w:t>
            </w:r>
          </w:p>
        </w:tc>
        <w:tc>
          <w:tcPr>
            <w:tcW w:w="1551" w:type="pct"/>
            <w:tcBorders>
              <w:top w:val="nil"/>
            </w:tcBorders>
          </w:tcPr>
          <w:p w14:paraId="12EE44D3" w14:textId="5FAA5552" w:rsidR="00790590" w:rsidRPr="00471C8F" w:rsidRDefault="00790590" w:rsidP="00790590">
            <w:pPr>
              <w:jc w:val="center"/>
              <w:rPr>
                <w:sz w:val="22"/>
                <w:szCs w:val="22"/>
              </w:rPr>
            </w:pPr>
            <w:r w:rsidRPr="00471C8F">
              <w:rPr>
                <w:sz w:val="22"/>
                <w:szCs w:val="22"/>
              </w:rPr>
              <w:t>7</w:t>
            </w:r>
          </w:p>
        </w:tc>
        <w:tc>
          <w:tcPr>
            <w:tcW w:w="1199" w:type="pct"/>
            <w:tcBorders>
              <w:top w:val="nil"/>
            </w:tcBorders>
          </w:tcPr>
          <w:p w14:paraId="12A70EBF" w14:textId="77777777" w:rsidR="00790590" w:rsidRPr="00471C8F" w:rsidRDefault="00790590" w:rsidP="00790590">
            <w:pPr>
              <w:jc w:val="center"/>
              <w:rPr>
                <w:sz w:val="22"/>
                <w:szCs w:val="22"/>
              </w:rPr>
            </w:pPr>
            <w:r w:rsidRPr="00471C8F">
              <w:rPr>
                <w:sz w:val="22"/>
                <w:szCs w:val="22"/>
              </w:rPr>
              <w:t>11</w:t>
            </w:r>
          </w:p>
        </w:tc>
      </w:tr>
    </w:tbl>
    <w:p w14:paraId="07C5B8FF" w14:textId="0070DC28" w:rsidR="00583AD3" w:rsidRPr="00E4055D" w:rsidRDefault="00B569A9" w:rsidP="00583AD3">
      <w:pPr>
        <w:rPr>
          <w:sz w:val="21"/>
          <w:szCs w:val="21"/>
        </w:rPr>
      </w:pPr>
      <w:r w:rsidRPr="00E4055D">
        <w:rPr>
          <w:sz w:val="21"/>
          <w:szCs w:val="21"/>
        </w:rPr>
        <w:t xml:space="preserve"> </w:t>
      </w:r>
      <w:r w:rsidR="00583AD3" w:rsidRPr="00E4055D">
        <w:rPr>
          <w:sz w:val="21"/>
          <w:szCs w:val="21"/>
        </w:rPr>
        <w:t xml:space="preserve">Sources: </w:t>
      </w:r>
      <w:r w:rsidR="00A81B9E">
        <w:rPr>
          <w:sz w:val="21"/>
          <w:szCs w:val="21"/>
        </w:rPr>
        <w:t xml:space="preserve">Office of the </w:t>
      </w:r>
      <w:r w:rsidR="00A81B9E" w:rsidRPr="00471C8F">
        <w:rPr>
          <w:sz w:val="21"/>
          <w:szCs w:val="21"/>
        </w:rPr>
        <w:t>Legislative Assembly</w:t>
      </w:r>
      <w:r w:rsidR="00583AD3" w:rsidRPr="00E4055D">
        <w:rPr>
          <w:sz w:val="21"/>
          <w:szCs w:val="21"/>
        </w:rPr>
        <w:t>, Parliamentary Performance Report Cards 2012-2018</w:t>
      </w:r>
    </w:p>
    <w:p w14:paraId="4756BC45" w14:textId="6E4F08F2" w:rsidR="00583AD3" w:rsidRDefault="00583AD3" w:rsidP="00583AD3">
      <w:pPr>
        <w:rPr>
          <w:sz w:val="22"/>
        </w:rPr>
      </w:pPr>
    </w:p>
    <w:p w14:paraId="6382449C" w14:textId="1B29F07D" w:rsidR="004446D8" w:rsidRDefault="002407A5" w:rsidP="004446D8">
      <w:pPr>
        <w:spacing w:line="276" w:lineRule="auto"/>
      </w:pPr>
      <w:r w:rsidRPr="00366EDE">
        <w:t xml:space="preserve">The distribution of committee activity in Table </w:t>
      </w:r>
      <w:r w:rsidR="004E2AF2">
        <w:t>8</w:t>
      </w:r>
      <w:r w:rsidR="00E32AFD" w:rsidRPr="00366EDE">
        <w:t xml:space="preserve"> indicates that the pattern consistently includes consideration of Annual and Financial reports, bills examined range</w:t>
      </w:r>
      <w:r w:rsidR="006D7A53">
        <w:t xml:space="preserve"> </w:t>
      </w:r>
      <w:r w:rsidR="00E32AFD" w:rsidRPr="00366EDE">
        <w:t xml:space="preserve">from zero to two and most committees conduct one inquiry per year or less. Committees </w:t>
      </w:r>
      <w:r w:rsidR="00E721D6" w:rsidRPr="00366EDE">
        <w:t xml:space="preserve">also </w:t>
      </w:r>
      <w:r w:rsidR="00E32AFD" w:rsidRPr="00366EDE">
        <w:t xml:space="preserve">have specialised statutory roles: e.g. Justice and Community Safety undertakes specialised legislative scrutiny. </w:t>
      </w:r>
      <w:r w:rsidR="004446D8">
        <w:t xml:space="preserve">Select committees are established for </w:t>
      </w:r>
      <w:r w:rsidR="004B35E4">
        <w:t xml:space="preserve">domestic purposes (e.g. privileges), estimates, and </w:t>
      </w:r>
      <w:r w:rsidR="004446D8">
        <w:t>con</w:t>
      </w:r>
      <w:r w:rsidR="004B35E4">
        <w:t>ducting inquiries on matters</w:t>
      </w:r>
      <w:r w:rsidR="004446D8">
        <w:t xml:space="preserve"> that could be referred to standing committees. </w:t>
      </w:r>
    </w:p>
    <w:p w14:paraId="4A297BA1" w14:textId="77777777" w:rsidR="00E4055D" w:rsidRDefault="00E4055D" w:rsidP="00E32AFD">
      <w:pPr>
        <w:spacing w:line="276" w:lineRule="auto"/>
        <w:rPr>
          <w:sz w:val="22"/>
        </w:rPr>
      </w:pPr>
    </w:p>
    <w:p w14:paraId="4597CDDA" w14:textId="1417C2E5" w:rsidR="00AB177A" w:rsidRPr="00182DC9" w:rsidRDefault="004142F6" w:rsidP="00182DC9">
      <w:pPr>
        <w:spacing w:after="120"/>
      </w:pPr>
      <w:r>
        <w:t xml:space="preserve">Table </w:t>
      </w:r>
      <w:r w:rsidR="004E2AF2">
        <w:t>8</w:t>
      </w:r>
      <w:r>
        <w:tab/>
      </w:r>
      <w:r w:rsidR="00AB177A">
        <w:t>Standing Committee Roles and Activity 2017, 2018, 2019 (up to August)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969"/>
        <w:gridCol w:w="1508"/>
        <w:gridCol w:w="2367"/>
        <w:gridCol w:w="1176"/>
      </w:tblGrid>
      <w:tr w:rsidR="00AB177A" w14:paraId="45997B1D" w14:textId="77777777" w:rsidTr="00A873A1">
        <w:tc>
          <w:tcPr>
            <w:tcW w:w="2200" w:type="pct"/>
          </w:tcPr>
          <w:p w14:paraId="68BB6FF6" w14:textId="6A5F76DE" w:rsidR="00AB177A" w:rsidRPr="00EE47FE" w:rsidRDefault="00AB177A" w:rsidP="00FC7516">
            <w:pPr>
              <w:rPr>
                <w:sz w:val="22"/>
              </w:rPr>
            </w:pPr>
            <w:r w:rsidRPr="00E3033B">
              <w:rPr>
                <w:sz w:val="22"/>
              </w:rPr>
              <w:t>Standing Committee</w:t>
            </w:r>
            <w:r w:rsidR="00EE47FE">
              <w:rPr>
                <w:sz w:val="22"/>
              </w:rPr>
              <w:t xml:space="preserve"> </w:t>
            </w:r>
            <w:r w:rsidRPr="00E3033B">
              <w:rPr>
                <w:sz w:val="22"/>
              </w:rPr>
              <w:t>(subject)</w:t>
            </w:r>
          </w:p>
        </w:tc>
        <w:tc>
          <w:tcPr>
            <w:tcW w:w="836" w:type="pct"/>
          </w:tcPr>
          <w:p w14:paraId="79C32122" w14:textId="77777777" w:rsidR="00AB177A" w:rsidRPr="00E3033B" w:rsidRDefault="00AB177A" w:rsidP="00FC7516">
            <w:pPr>
              <w:jc w:val="center"/>
              <w:rPr>
                <w:sz w:val="22"/>
              </w:rPr>
            </w:pPr>
            <w:r w:rsidRPr="00E3033B">
              <w:rPr>
                <w:sz w:val="22"/>
              </w:rPr>
              <w:t xml:space="preserve">Legislation: </w:t>
            </w:r>
          </w:p>
          <w:p w14:paraId="65364407" w14:textId="3C67BDCC" w:rsidR="00AB177A" w:rsidRPr="00E3033B" w:rsidRDefault="006B5519" w:rsidP="00E3033B">
            <w:pPr>
              <w:jc w:val="center"/>
              <w:rPr>
                <w:sz w:val="22"/>
              </w:rPr>
            </w:pPr>
            <w:r>
              <w:rPr>
                <w:sz w:val="22"/>
              </w:rPr>
              <w:lastRenderedPageBreak/>
              <w:t>B</w:t>
            </w:r>
            <w:r w:rsidRPr="00E3033B">
              <w:rPr>
                <w:sz w:val="22"/>
              </w:rPr>
              <w:t>ills</w:t>
            </w:r>
            <w:r>
              <w:rPr>
                <w:sz w:val="22"/>
              </w:rPr>
              <w:t xml:space="preserve"> reports</w:t>
            </w:r>
          </w:p>
        </w:tc>
        <w:tc>
          <w:tcPr>
            <w:tcW w:w="1312" w:type="pct"/>
          </w:tcPr>
          <w:p w14:paraId="6DDCB4AE" w14:textId="77777777" w:rsidR="00AB177A" w:rsidRPr="00E3033B" w:rsidRDefault="00AB177A" w:rsidP="00FC7516">
            <w:pPr>
              <w:jc w:val="center"/>
              <w:rPr>
                <w:color w:val="000000"/>
                <w:sz w:val="22"/>
              </w:rPr>
            </w:pPr>
            <w:r w:rsidRPr="00E3033B">
              <w:rPr>
                <w:color w:val="000000"/>
                <w:sz w:val="22"/>
              </w:rPr>
              <w:lastRenderedPageBreak/>
              <w:t>Monitoring executive:</w:t>
            </w:r>
          </w:p>
          <w:p w14:paraId="470C65E1" w14:textId="12E100B0" w:rsidR="00AB177A" w:rsidRPr="00E3033B" w:rsidRDefault="00E3033B" w:rsidP="00FC7516">
            <w:pPr>
              <w:jc w:val="center"/>
              <w:rPr>
                <w:sz w:val="22"/>
              </w:rPr>
            </w:pPr>
            <w:r w:rsidRPr="00E3033B">
              <w:rPr>
                <w:color w:val="000000"/>
                <w:sz w:val="22"/>
              </w:rPr>
              <w:lastRenderedPageBreak/>
              <w:t>A</w:t>
            </w:r>
            <w:r w:rsidR="00AB177A" w:rsidRPr="00E3033B">
              <w:rPr>
                <w:color w:val="000000"/>
                <w:sz w:val="22"/>
              </w:rPr>
              <w:t>nnual</w:t>
            </w:r>
            <w:r>
              <w:rPr>
                <w:color w:val="000000"/>
                <w:sz w:val="22"/>
              </w:rPr>
              <w:t>/</w:t>
            </w:r>
            <w:r w:rsidR="00AB177A" w:rsidRPr="00E3033B">
              <w:rPr>
                <w:color w:val="000000"/>
                <w:sz w:val="22"/>
              </w:rPr>
              <w:t>financial reports</w:t>
            </w:r>
          </w:p>
        </w:tc>
        <w:tc>
          <w:tcPr>
            <w:tcW w:w="652" w:type="pct"/>
          </w:tcPr>
          <w:p w14:paraId="3083A68F" w14:textId="45FD49C5" w:rsidR="00AB177A" w:rsidRPr="00E3033B" w:rsidRDefault="00AB177A" w:rsidP="004E6B24">
            <w:pPr>
              <w:jc w:val="center"/>
              <w:rPr>
                <w:sz w:val="22"/>
              </w:rPr>
            </w:pPr>
            <w:r w:rsidRPr="00E3033B">
              <w:rPr>
                <w:sz w:val="22"/>
              </w:rPr>
              <w:lastRenderedPageBreak/>
              <w:t>Inquiry reports</w:t>
            </w:r>
          </w:p>
        </w:tc>
      </w:tr>
      <w:tr w:rsidR="00AB177A" w:rsidRPr="00E3033B" w14:paraId="01A2EE53" w14:textId="77777777" w:rsidTr="00A873A1">
        <w:tc>
          <w:tcPr>
            <w:tcW w:w="2200" w:type="pct"/>
            <w:tcBorders>
              <w:bottom w:val="nil"/>
            </w:tcBorders>
          </w:tcPr>
          <w:p w14:paraId="2C14E619" w14:textId="76C7EECD" w:rsidR="00AB177A" w:rsidRPr="00E3033B" w:rsidRDefault="00AB177A" w:rsidP="00FC7516">
            <w:pPr>
              <w:rPr>
                <w:sz w:val="22"/>
              </w:rPr>
            </w:pPr>
            <w:r w:rsidRPr="00E3033B">
              <w:rPr>
                <w:sz w:val="22"/>
              </w:rPr>
              <w:t xml:space="preserve">Economic Development </w:t>
            </w:r>
            <w:r w:rsidR="008548F3">
              <w:rPr>
                <w:sz w:val="22"/>
              </w:rPr>
              <w:t>&amp;</w:t>
            </w:r>
            <w:r w:rsidRPr="00E3033B">
              <w:rPr>
                <w:sz w:val="22"/>
              </w:rPr>
              <w:t xml:space="preserve"> Tourism</w:t>
            </w:r>
          </w:p>
        </w:tc>
        <w:tc>
          <w:tcPr>
            <w:tcW w:w="836" w:type="pct"/>
            <w:tcBorders>
              <w:bottom w:val="nil"/>
            </w:tcBorders>
          </w:tcPr>
          <w:p w14:paraId="38CC0966" w14:textId="2B349EFB" w:rsidR="00AB177A" w:rsidRPr="00E3033B" w:rsidRDefault="00B32F08" w:rsidP="00B32F08">
            <w:pPr>
              <w:rPr>
                <w:sz w:val="22"/>
              </w:rPr>
            </w:pPr>
            <w:r>
              <w:rPr>
                <w:sz w:val="22"/>
              </w:rPr>
              <w:t xml:space="preserve">     </w:t>
            </w:r>
            <w:r w:rsidR="00D5179A" w:rsidRPr="00E3033B">
              <w:rPr>
                <w:sz w:val="22"/>
              </w:rPr>
              <w:t xml:space="preserve">0, </w:t>
            </w:r>
            <w:r w:rsidR="00D5179A">
              <w:rPr>
                <w:sz w:val="22"/>
              </w:rPr>
              <w:t xml:space="preserve"> </w:t>
            </w:r>
            <w:r w:rsidR="00AB177A" w:rsidRPr="00E3033B">
              <w:rPr>
                <w:sz w:val="22"/>
              </w:rPr>
              <w:t xml:space="preserve">1, </w:t>
            </w:r>
            <w:r w:rsidR="00A873A1">
              <w:rPr>
                <w:sz w:val="22"/>
              </w:rPr>
              <w:t xml:space="preserve"> </w:t>
            </w:r>
            <w:r w:rsidR="00683850">
              <w:rPr>
                <w:sz w:val="22"/>
              </w:rPr>
              <w:t xml:space="preserve"> </w:t>
            </w:r>
            <w:r w:rsidR="00AB177A" w:rsidRPr="00E3033B">
              <w:rPr>
                <w:sz w:val="22"/>
              </w:rPr>
              <w:t>0</w:t>
            </w:r>
          </w:p>
        </w:tc>
        <w:tc>
          <w:tcPr>
            <w:tcW w:w="1312" w:type="pct"/>
            <w:tcBorders>
              <w:bottom w:val="nil"/>
            </w:tcBorders>
          </w:tcPr>
          <w:p w14:paraId="0691705D" w14:textId="3EE7BA2C" w:rsidR="00AB177A" w:rsidRPr="00E3033B" w:rsidRDefault="00D5179A" w:rsidP="00FC7516">
            <w:pPr>
              <w:jc w:val="center"/>
              <w:rPr>
                <w:sz w:val="22"/>
              </w:rPr>
            </w:pPr>
            <w:r w:rsidRPr="00E3033B">
              <w:rPr>
                <w:sz w:val="22"/>
              </w:rPr>
              <w:t>1,</w:t>
            </w:r>
            <w:r>
              <w:rPr>
                <w:sz w:val="22"/>
              </w:rPr>
              <w:t xml:space="preserve">  </w:t>
            </w:r>
            <w:r w:rsidR="00FC7516" w:rsidRPr="00E3033B">
              <w:rPr>
                <w:sz w:val="22"/>
              </w:rPr>
              <w:t>1,</w:t>
            </w:r>
            <w:r w:rsidR="00E3033B">
              <w:rPr>
                <w:sz w:val="22"/>
              </w:rPr>
              <w:t xml:space="preserve"> </w:t>
            </w:r>
            <w:r w:rsidR="00FC7516" w:rsidRPr="00E3033B">
              <w:rPr>
                <w:sz w:val="22"/>
              </w:rPr>
              <w:t xml:space="preserve"> </w:t>
            </w:r>
            <w:r w:rsidR="00683850">
              <w:rPr>
                <w:sz w:val="22"/>
              </w:rPr>
              <w:t xml:space="preserve"> </w:t>
            </w:r>
            <w:r w:rsidR="00FC7516" w:rsidRPr="00E3033B">
              <w:rPr>
                <w:sz w:val="22"/>
              </w:rPr>
              <w:t>1</w:t>
            </w:r>
          </w:p>
        </w:tc>
        <w:tc>
          <w:tcPr>
            <w:tcW w:w="652" w:type="pct"/>
            <w:tcBorders>
              <w:bottom w:val="nil"/>
            </w:tcBorders>
          </w:tcPr>
          <w:p w14:paraId="14905F41" w14:textId="679AD373" w:rsidR="00AB177A" w:rsidRPr="00E3033B" w:rsidRDefault="00D5179A" w:rsidP="00FC7516">
            <w:pPr>
              <w:jc w:val="center"/>
              <w:rPr>
                <w:sz w:val="22"/>
              </w:rPr>
            </w:pPr>
            <w:r w:rsidRPr="00E3033B">
              <w:rPr>
                <w:sz w:val="22"/>
              </w:rPr>
              <w:t xml:space="preserve">0, </w:t>
            </w:r>
            <w:r>
              <w:rPr>
                <w:sz w:val="22"/>
              </w:rPr>
              <w:t xml:space="preserve"> </w:t>
            </w:r>
            <w:r w:rsidR="00AB177A" w:rsidRPr="00E3033B">
              <w:rPr>
                <w:sz w:val="22"/>
              </w:rPr>
              <w:t xml:space="preserve">1, </w:t>
            </w:r>
            <w:r w:rsidR="005E448C">
              <w:rPr>
                <w:sz w:val="22"/>
              </w:rPr>
              <w:t xml:space="preserve"> </w:t>
            </w:r>
            <w:r w:rsidR="00683850">
              <w:rPr>
                <w:sz w:val="22"/>
              </w:rPr>
              <w:t xml:space="preserve"> </w:t>
            </w:r>
            <w:r w:rsidR="00AB177A" w:rsidRPr="00E3033B">
              <w:rPr>
                <w:sz w:val="22"/>
              </w:rPr>
              <w:t>1</w:t>
            </w:r>
          </w:p>
        </w:tc>
      </w:tr>
      <w:tr w:rsidR="00AB177A" w:rsidRPr="00E3033B" w14:paraId="6C6DFBD8" w14:textId="77777777" w:rsidTr="00A873A1">
        <w:tc>
          <w:tcPr>
            <w:tcW w:w="2200" w:type="pct"/>
            <w:tcBorders>
              <w:top w:val="nil"/>
              <w:bottom w:val="nil"/>
            </w:tcBorders>
          </w:tcPr>
          <w:p w14:paraId="629D91FC" w14:textId="502F74B6" w:rsidR="00AB177A" w:rsidRPr="00E3033B" w:rsidRDefault="00AB177A" w:rsidP="00FC7516">
            <w:pPr>
              <w:rPr>
                <w:sz w:val="22"/>
              </w:rPr>
            </w:pPr>
            <w:r w:rsidRPr="00E3033B">
              <w:rPr>
                <w:sz w:val="22"/>
              </w:rPr>
              <w:t xml:space="preserve">Education, Employment </w:t>
            </w:r>
            <w:r w:rsidR="008548F3">
              <w:rPr>
                <w:sz w:val="22"/>
              </w:rPr>
              <w:t>&amp;</w:t>
            </w:r>
            <w:r w:rsidRPr="00E3033B">
              <w:rPr>
                <w:sz w:val="22"/>
              </w:rPr>
              <w:t xml:space="preserve"> Youth Affairs</w:t>
            </w:r>
          </w:p>
        </w:tc>
        <w:tc>
          <w:tcPr>
            <w:tcW w:w="836" w:type="pct"/>
            <w:tcBorders>
              <w:top w:val="nil"/>
              <w:bottom w:val="nil"/>
            </w:tcBorders>
          </w:tcPr>
          <w:p w14:paraId="51F6545A" w14:textId="13E1C882" w:rsidR="00AB177A" w:rsidRPr="00E3033B" w:rsidRDefault="00D5179A" w:rsidP="00FC7516">
            <w:pPr>
              <w:jc w:val="center"/>
              <w:rPr>
                <w:sz w:val="22"/>
              </w:rPr>
            </w:pPr>
            <w:r w:rsidRPr="00E3033B">
              <w:rPr>
                <w:sz w:val="22"/>
              </w:rPr>
              <w:t xml:space="preserve">0, </w:t>
            </w:r>
            <w:r>
              <w:rPr>
                <w:sz w:val="22"/>
              </w:rPr>
              <w:t xml:space="preserve"> </w:t>
            </w:r>
            <w:r w:rsidR="00AB177A" w:rsidRPr="00E3033B">
              <w:rPr>
                <w:sz w:val="22"/>
              </w:rPr>
              <w:t xml:space="preserve">0, </w:t>
            </w:r>
            <w:r w:rsidR="00A873A1">
              <w:rPr>
                <w:sz w:val="22"/>
              </w:rPr>
              <w:t xml:space="preserve"> </w:t>
            </w:r>
            <w:r w:rsidR="00683850">
              <w:rPr>
                <w:sz w:val="22"/>
              </w:rPr>
              <w:t xml:space="preserve"> </w:t>
            </w:r>
            <w:r w:rsidR="00AB177A" w:rsidRPr="00E3033B">
              <w:rPr>
                <w:sz w:val="22"/>
              </w:rPr>
              <w:t>0</w:t>
            </w:r>
          </w:p>
        </w:tc>
        <w:tc>
          <w:tcPr>
            <w:tcW w:w="1312" w:type="pct"/>
            <w:tcBorders>
              <w:top w:val="nil"/>
              <w:bottom w:val="nil"/>
            </w:tcBorders>
          </w:tcPr>
          <w:p w14:paraId="720EE3E6" w14:textId="230602FB" w:rsidR="00AB177A" w:rsidRPr="00E3033B" w:rsidRDefault="00D5179A" w:rsidP="00FC7516">
            <w:pPr>
              <w:jc w:val="center"/>
              <w:rPr>
                <w:sz w:val="22"/>
              </w:rPr>
            </w:pPr>
            <w:r w:rsidRPr="00E3033B">
              <w:rPr>
                <w:sz w:val="22"/>
              </w:rPr>
              <w:t xml:space="preserve">1, </w:t>
            </w:r>
            <w:r>
              <w:rPr>
                <w:sz w:val="22"/>
              </w:rPr>
              <w:t xml:space="preserve"> </w:t>
            </w:r>
            <w:r w:rsidR="00F2141E" w:rsidRPr="00E3033B">
              <w:rPr>
                <w:sz w:val="22"/>
              </w:rPr>
              <w:t xml:space="preserve">1, </w:t>
            </w:r>
            <w:r w:rsidR="00E3033B">
              <w:rPr>
                <w:sz w:val="22"/>
              </w:rPr>
              <w:t xml:space="preserve"> </w:t>
            </w:r>
            <w:r w:rsidR="00683850">
              <w:rPr>
                <w:sz w:val="22"/>
              </w:rPr>
              <w:t xml:space="preserve"> </w:t>
            </w:r>
            <w:r w:rsidR="00F2141E" w:rsidRPr="00E3033B">
              <w:rPr>
                <w:sz w:val="22"/>
              </w:rPr>
              <w:t>1</w:t>
            </w:r>
          </w:p>
        </w:tc>
        <w:tc>
          <w:tcPr>
            <w:tcW w:w="652" w:type="pct"/>
            <w:tcBorders>
              <w:top w:val="nil"/>
              <w:bottom w:val="nil"/>
            </w:tcBorders>
          </w:tcPr>
          <w:p w14:paraId="4049DB47" w14:textId="45CEFD59" w:rsidR="00AB177A" w:rsidRPr="00E3033B" w:rsidRDefault="00D5179A" w:rsidP="00FC7516">
            <w:pPr>
              <w:jc w:val="center"/>
              <w:rPr>
                <w:sz w:val="22"/>
              </w:rPr>
            </w:pPr>
            <w:r w:rsidRPr="00E3033B">
              <w:rPr>
                <w:sz w:val="22"/>
              </w:rPr>
              <w:t xml:space="preserve">0, </w:t>
            </w:r>
            <w:r>
              <w:rPr>
                <w:sz w:val="22"/>
              </w:rPr>
              <w:t xml:space="preserve"> </w:t>
            </w:r>
            <w:r w:rsidR="00AB177A" w:rsidRPr="00E3033B">
              <w:rPr>
                <w:sz w:val="22"/>
              </w:rPr>
              <w:t xml:space="preserve">1, </w:t>
            </w:r>
            <w:r w:rsidR="005E448C">
              <w:rPr>
                <w:sz w:val="22"/>
              </w:rPr>
              <w:t xml:space="preserve"> </w:t>
            </w:r>
            <w:r w:rsidR="00683850">
              <w:rPr>
                <w:sz w:val="22"/>
              </w:rPr>
              <w:t xml:space="preserve"> </w:t>
            </w:r>
            <w:r w:rsidR="00AB177A" w:rsidRPr="00E3033B">
              <w:rPr>
                <w:sz w:val="22"/>
              </w:rPr>
              <w:t>1</w:t>
            </w:r>
          </w:p>
        </w:tc>
      </w:tr>
      <w:tr w:rsidR="00AB177A" w:rsidRPr="00E3033B" w14:paraId="75BEB457" w14:textId="77777777" w:rsidTr="00A873A1">
        <w:tc>
          <w:tcPr>
            <w:tcW w:w="2200" w:type="pct"/>
            <w:tcBorders>
              <w:top w:val="nil"/>
              <w:bottom w:val="nil"/>
            </w:tcBorders>
          </w:tcPr>
          <w:p w14:paraId="5263917E" w14:textId="6E627C48" w:rsidR="00AB177A" w:rsidRPr="00E3033B" w:rsidRDefault="00AB177A" w:rsidP="00FC7516">
            <w:pPr>
              <w:rPr>
                <w:sz w:val="22"/>
              </w:rPr>
            </w:pPr>
            <w:r w:rsidRPr="00E3033B">
              <w:rPr>
                <w:sz w:val="22"/>
              </w:rPr>
              <w:t xml:space="preserve">Environment </w:t>
            </w:r>
            <w:r w:rsidR="00A873A1">
              <w:rPr>
                <w:sz w:val="22"/>
              </w:rPr>
              <w:t>&amp;</w:t>
            </w:r>
            <w:r w:rsidRPr="00E3033B">
              <w:rPr>
                <w:sz w:val="22"/>
              </w:rPr>
              <w:t xml:space="preserve"> Transport </w:t>
            </w:r>
            <w:r w:rsidR="008548F3">
              <w:rPr>
                <w:sz w:val="22"/>
              </w:rPr>
              <w:t>&amp;</w:t>
            </w:r>
            <w:r w:rsidRPr="00E3033B">
              <w:rPr>
                <w:sz w:val="22"/>
              </w:rPr>
              <w:t xml:space="preserve"> City Services</w:t>
            </w:r>
          </w:p>
        </w:tc>
        <w:tc>
          <w:tcPr>
            <w:tcW w:w="836" w:type="pct"/>
            <w:tcBorders>
              <w:top w:val="nil"/>
              <w:bottom w:val="nil"/>
            </w:tcBorders>
          </w:tcPr>
          <w:p w14:paraId="50D16AB6" w14:textId="3B9E2F4A" w:rsidR="00AB177A" w:rsidRPr="00E3033B" w:rsidRDefault="00D5179A" w:rsidP="00FC7516">
            <w:pPr>
              <w:jc w:val="center"/>
              <w:rPr>
                <w:sz w:val="22"/>
              </w:rPr>
            </w:pPr>
            <w:r w:rsidRPr="00E3033B">
              <w:rPr>
                <w:sz w:val="22"/>
              </w:rPr>
              <w:t xml:space="preserve">0, </w:t>
            </w:r>
            <w:r>
              <w:rPr>
                <w:sz w:val="22"/>
              </w:rPr>
              <w:t xml:space="preserve"> </w:t>
            </w:r>
            <w:r w:rsidR="00AB177A" w:rsidRPr="00E3033B">
              <w:rPr>
                <w:sz w:val="22"/>
              </w:rPr>
              <w:t xml:space="preserve">0, </w:t>
            </w:r>
            <w:r w:rsidR="00A873A1">
              <w:rPr>
                <w:sz w:val="22"/>
              </w:rPr>
              <w:t xml:space="preserve"> </w:t>
            </w:r>
            <w:r w:rsidR="00683850">
              <w:rPr>
                <w:sz w:val="22"/>
              </w:rPr>
              <w:t xml:space="preserve"> </w:t>
            </w:r>
            <w:r w:rsidR="00AB177A" w:rsidRPr="00E3033B">
              <w:rPr>
                <w:sz w:val="22"/>
              </w:rPr>
              <w:t>0</w:t>
            </w:r>
          </w:p>
        </w:tc>
        <w:tc>
          <w:tcPr>
            <w:tcW w:w="1312" w:type="pct"/>
            <w:tcBorders>
              <w:top w:val="nil"/>
              <w:bottom w:val="nil"/>
            </w:tcBorders>
          </w:tcPr>
          <w:p w14:paraId="0CF79D17" w14:textId="07914F5F" w:rsidR="00AB177A" w:rsidRPr="00E3033B" w:rsidRDefault="00D5179A" w:rsidP="00FC7516">
            <w:pPr>
              <w:jc w:val="center"/>
              <w:rPr>
                <w:sz w:val="22"/>
              </w:rPr>
            </w:pPr>
            <w:r w:rsidRPr="00E3033B">
              <w:rPr>
                <w:sz w:val="22"/>
              </w:rPr>
              <w:t xml:space="preserve">1, </w:t>
            </w:r>
            <w:r>
              <w:rPr>
                <w:sz w:val="22"/>
              </w:rPr>
              <w:t xml:space="preserve"> </w:t>
            </w:r>
            <w:r w:rsidR="00F2141E" w:rsidRPr="00E3033B">
              <w:rPr>
                <w:sz w:val="22"/>
              </w:rPr>
              <w:t xml:space="preserve">1, </w:t>
            </w:r>
            <w:r w:rsidR="00E3033B">
              <w:rPr>
                <w:sz w:val="22"/>
              </w:rPr>
              <w:t xml:space="preserve"> </w:t>
            </w:r>
            <w:r w:rsidR="00683850">
              <w:rPr>
                <w:sz w:val="22"/>
              </w:rPr>
              <w:t xml:space="preserve"> </w:t>
            </w:r>
            <w:r w:rsidR="00F2141E" w:rsidRPr="00E3033B">
              <w:rPr>
                <w:sz w:val="22"/>
              </w:rPr>
              <w:t>1</w:t>
            </w:r>
          </w:p>
        </w:tc>
        <w:tc>
          <w:tcPr>
            <w:tcW w:w="652" w:type="pct"/>
            <w:tcBorders>
              <w:top w:val="nil"/>
              <w:bottom w:val="nil"/>
            </w:tcBorders>
          </w:tcPr>
          <w:p w14:paraId="12522E16" w14:textId="683ECFCA" w:rsidR="00AB177A" w:rsidRPr="00E3033B" w:rsidRDefault="00D5179A" w:rsidP="00FC7516">
            <w:pPr>
              <w:jc w:val="center"/>
              <w:rPr>
                <w:sz w:val="22"/>
              </w:rPr>
            </w:pPr>
            <w:r w:rsidRPr="00E3033B">
              <w:rPr>
                <w:sz w:val="22"/>
              </w:rPr>
              <w:t xml:space="preserve">3, </w:t>
            </w:r>
            <w:r>
              <w:rPr>
                <w:sz w:val="22"/>
              </w:rPr>
              <w:t xml:space="preserve"> </w:t>
            </w:r>
            <w:r w:rsidR="00AB177A" w:rsidRPr="00E3033B">
              <w:rPr>
                <w:sz w:val="22"/>
              </w:rPr>
              <w:t>2,</w:t>
            </w:r>
            <w:r w:rsidR="005E448C">
              <w:rPr>
                <w:sz w:val="22"/>
              </w:rPr>
              <w:t xml:space="preserve"> </w:t>
            </w:r>
            <w:r w:rsidR="00AB177A" w:rsidRPr="00E3033B">
              <w:rPr>
                <w:sz w:val="22"/>
              </w:rPr>
              <w:t xml:space="preserve"> </w:t>
            </w:r>
            <w:r w:rsidR="00683850">
              <w:rPr>
                <w:sz w:val="22"/>
              </w:rPr>
              <w:t xml:space="preserve"> </w:t>
            </w:r>
            <w:r w:rsidR="00AB177A" w:rsidRPr="00E3033B">
              <w:rPr>
                <w:sz w:val="22"/>
              </w:rPr>
              <w:t>0</w:t>
            </w:r>
          </w:p>
        </w:tc>
      </w:tr>
      <w:tr w:rsidR="00AB177A" w:rsidRPr="00E3033B" w14:paraId="010C79B5" w14:textId="77777777" w:rsidTr="00A873A1">
        <w:tc>
          <w:tcPr>
            <w:tcW w:w="2200" w:type="pct"/>
            <w:tcBorders>
              <w:top w:val="nil"/>
              <w:bottom w:val="nil"/>
            </w:tcBorders>
          </w:tcPr>
          <w:p w14:paraId="30197035" w14:textId="41823261" w:rsidR="00AB177A" w:rsidRPr="00E3033B" w:rsidRDefault="00AB177A" w:rsidP="00FC7516">
            <w:pPr>
              <w:rPr>
                <w:sz w:val="22"/>
              </w:rPr>
            </w:pPr>
            <w:r w:rsidRPr="00E3033B">
              <w:rPr>
                <w:sz w:val="22"/>
              </w:rPr>
              <w:t xml:space="preserve">Health, Aging </w:t>
            </w:r>
            <w:r w:rsidR="0094447D">
              <w:rPr>
                <w:sz w:val="22"/>
              </w:rPr>
              <w:t>&amp;</w:t>
            </w:r>
            <w:r w:rsidRPr="00E3033B">
              <w:rPr>
                <w:sz w:val="22"/>
              </w:rPr>
              <w:t xml:space="preserve"> Community Services</w:t>
            </w:r>
          </w:p>
        </w:tc>
        <w:tc>
          <w:tcPr>
            <w:tcW w:w="836" w:type="pct"/>
            <w:tcBorders>
              <w:top w:val="nil"/>
              <w:bottom w:val="nil"/>
            </w:tcBorders>
          </w:tcPr>
          <w:p w14:paraId="5AF26BCE" w14:textId="24A6A170" w:rsidR="00AB177A" w:rsidRPr="00E3033B" w:rsidRDefault="00D5179A" w:rsidP="00FC7516">
            <w:pPr>
              <w:jc w:val="center"/>
              <w:rPr>
                <w:sz w:val="22"/>
              </w:rPr>
            </w:pPr>
            <w:r w:rsidRPr="00E3033B">
              <w:rPr>
                <w:sz w:val="22"/>
              </w:rPr>
              <w:t xml:space="preserve">0, </w:t>
            </w:r>
            <w:r>
              <w:rPr>
                <w:sz w:val="22"/>
              </w:rPr>
              <w:t xml:space="preserve"> </w:t>
            </w:r>
            <w:r w:rsidR="00AB177A" w:rsidRPr="00E3033B">
              <w:rPr>
                <w:sz w:val="22"/>
              </w:rPr>
              <w:t xml:space="preserve">0, </w:t>
            </w:r>
            <w:r w:rsidR="00A873A1">
              <w:rPr>
                <w:sz w:val="22"/>
              </w:rPr>
              <w:t xml:space="preserve"> </w:t>
            </w:r>
            <w:r w:rsidR="00683850">
              <w:rPr>
                <w:sz w:val="22"/>
              </w:rPr>
              <w:t xml:space="preserve"> </w:t>
            </w:r>
            <w:r w:rsidR="00AB177A" w:rsidRPr="00E3033B">
              <w:rPr>
                <w:sz w:val="22"/>
              </w:rPr>
              <w:t>1</w:t>
            </w:r>
          </w:p>
        </w:tc>
        <w:tc>
          <w:tcPr>
            <w:tcW w:w="1312" w:type="pct"/>
            <w:tcBorders>
              <w:top w:val="nil"/>
              <w:bottom w:val="nil"/>
            </w:tcBorders>
          </w:tcPr>
          <w:p w14:paraId="211EB3C6" w14:textId="24EDB7CC" w:rsidR="00AB177A" w:rsidRPr="00E3033B" w:rsidRDefault="00D5179A" w:rsidP="00FC7516">
            <w:pPr>
              <w:jc w:val="center"/>
              <w:rPr>
                <w:sz w:val="22"/>
              </w:rPr>
            </w:pPr>
            <w:r w:rsidRPr="00E3033B">
              <w:rPr>
                <w:sz w:val="22"/>
              </w:rPr>
              <w:t xml:space="preserve">1, </w:t>
            </w:r>
            <w:r>
              <w:rPr>
                <w:sz w:val="22"/>
              </w:rPr>
              <w:t xml:space="preserve"> </w:t>
            </w:r>
            <w:r w:rsidR="00F2141E" w:rsidRPr="00E3033B">
              <w:rPr>
                <w:sz w:val="22"/>
              </w:rPr>
              <w:t xml:space="preserve">1, </w:t>
            </w:r>
            <w:r w:rsidR="00E3033B">
              <w:rPr>
                <w:sz w:val="22"/>
              </w:rPr>
              <w:t xml:space="preserve"> </w:t>
            </w:r>
            <w:r w:rsidR="00683850">
              <w:rPr>
                <w:sz w:val="22"/>
              </w:rPr>
              <w:t xml:space="preserve"> </w:t>
            </w:r>
            <w:r w:rsidR="00F2141E" w:rsidRPr="00E3033B">
              <w:rPr>
                <w:sz w:val="22"/>
              </w:rPr>
              <w:t>1</w:t>
            </w:r>
          </w:p>
        </w:tc>
        <w:tc>
          <w:tcPr>
            <w:tcW w:w="652" w:type="pct"/>
            <w:tcBorders>
              <w:top w:val="nil"/>
              <w:bottom w:val="nil"/>
            </w:tcBorders>
          </w:tcPr>
          <w:p w14:paraId="31E38906" w14:textId="67C93E4A" w:rsidR="00AB177A" w:rsidRPr="00E3033B" w:rsidRDefault="00D5179A" w:rsidP="00FC7516">
            <w:pPr>
              <w:jc w:val="center"/>
              <w:rPr>
                <w:sz w:val="22"/>
              </w:rPr>
            </w:pPr>
            <w:r w:rsidRPr="00E3033B">
              <w:rPr>
                <w:sz w:val="22"/>
              </w:rPr>
              <w:t xml:space="preserve">1, </w:t>
            </w:r>
            <w:r>
              <w:rPr>
                <w:sz w:val="22"/>
              </w:rPr>
              <w:t xml:space="preserve"> </w:t>
            </w:r>
            <w:r w:rsidR="00AB177A" w:rsidRPr="00E3033B">
              <w:rPr>
                <w:sz w:val="22"/>
              </w:rPr>
              <w:t xml:space="preserve">2, </w:t>
            </w:r>
            <w:r w:rsidR="005E448C">
              <w:rPr>
                <w:sz w:val="22"/>
              </w:rPr>
              <w:t xml:space="preserve"> </w:t>
            </w:r>
            <w:r w:rsidR="00683850">
              <w:rPr>
                <w:sz w:val="22"/>
              </w:rPr>
              <w:t xml:space="preserve"> </w:t>
            </w:r>
            <w:r w:rsidR="00AB177A" w:rsidRPr="00E3033B">
              <w:rPr>
                <w:sz w:val="22"/>
              </w:rPr>
              <w:t>1</w:t>
            </w:r>
          </w:p>
        </w:tc>
      </w:tr>
      <w:tr w:rsidR="00AB177A" w:rsidRPr="00E3033B" w14:paraId="69CC9908" w14:textId="77777777" w:rsidTr="00A873A1">
        <w:tc>
          <w:tcPr>
            <w:tcW w:w="2200" w:type="pct"/>
            <w:tcBorders>
              <w:top w:val="nil"/>
              <w:bottom w:val="nil"/>
            </w:tcBorders>
          </w:tcPr>
          <w:p w14:paraId="56A5D604" w14:textId="77777777" w:rsidR="00AB177A" w:rsidRPr="00E3033B" w:rsidRDefault="00AB177A" w:rsidP="00FC7516">
            <w:pPr>
              <w:rPr>
                <w:sz w:val="22"/>
              </w:rPr>
            </w:pPr>
            <w:r w:rsidRPr="00E3033B">
              <w:rPr>
                <w:sz w:val="22"/>
              </w:rPr>
              <w:t>Justice and Community Safety*</w:t>
            </w:r>
          </w:p>
        </w:tc>
        <w:tc>
          <w:tcPr>
            <w:tcW w:w="836" w:type="pct"/>
            <w:tcBorders>
              <w:top w:val="nil"/>
              <w:bottom w:val="nil"/>
            </w:tcBorders>
          </w:tcPr>
          <w:p w14:paraId="33103950" w14:textId="5210C415" w:rsidR="00AB177A" w:rsidRPr="00E3033B" w:rsidRDefault="00D5179A" w:rsidP="00FC7516">
            <w:pPr>
              <w:jc w:val="center"/>
              <w:rPr>
                <w:sz w:val="22"/>
              </w:rPr>
            </w:pPr>
            <w:r w:rsidRPr="00E3033B">
              <w:rPr>
                <w:sz w:val="22"/>
              </w:rPr>
              <w:t xml:space="preserve">0, </w:t>
            </w:r>
            <w:r>
              <w:rPr>
                <w:sz w:val="22"/>
              </w:rPr>
              <w:t xml:space="preserve"> </w:t>
            </w:r>
            <w:r w:rsidR="00AB177A" w:rsidRPr="00E3033B">
              <w:rPr>
                <w:sz w:val="22"/>
              </w:rPr>
              <w:t xml:space="preserve">2, </w:t>
            </w:r>
            <w:r w:rsidR="00A873A1">
              <w:rPr>
                <w:sz w:val="22"/>
              </w:rPr>
              <w:t xml:space="preserve"> </w:t>
            </w:r>
            <w:r w:rsidR="00683850">
              <w:rPr>
                <w:sz w:val="22"/>
              </w:rPr>
              <w:t xml:space="preserve"> </w:t>
            </w:r>
            <w:r w:rsidR="00AB177A" w:rsidRPr="00E3033B">
              <w:rPr>
                <w:sz w:val="22"/>
              </w:rPr>
              <w:t>0</w:t>
            </w:r>
          </w:p>
        </w:tc>
        <w:tc>
          <w:tcPr>
            <w:tcW w:w="1312" w:type="pct"/>
            <w:tcBorders>
              <w:top w:val="nil"/>
              <w:bottom w:val="nil"/>
            </w:tcBorders>
          </w:tcPr>
          <w:p w14:paraId="1073798C" w14:textId="7DA667B9" w:rsidR="00AB177A" w:rsidRPr="00E3033B" w:rsidRDefault="00D5179A" w:rsidP="00FC7516">
            <w:pPr>
              <w:jc w:val="center"/>
              <w:rPr>
                <w:color w:val="FF0000"/>
                <w:sz w:val="22"/>
              </w:rPr>
            </w:pPr>
            <w:r w:rsidRPr="00E3033B">
              <w:rPr>
                <w:sz w:val="22"/>
              </w:rPr>
              <w:t xml:space="preserve">1, </w:t>
            </w:r>
            <w:r>
              <w:rPr>
                <w:sz w:val="22"/>
              </w:rPr>
              <w:t xml:space="preserve"> </w:t>
            </w:r>
            <w:r w:rsidR="00F2141E" w:rsidRPr="00E3033B">
              <w:rPr>
                <w:sz w:val="22"/>
              </w:rPr>
              <w:t xml:space="preserve">1, </w:t>
            </w:r>
            <w:r w:rsidR="00E3033B">
              <w:rPr>
                <w:sz w:val="22"/>
              </w:rPr>
              <w:t xml:space="preserve"> </w:t>
            </w:r>
            <w:r w:rsidR="00683850">
              <w:rPr>
                <w:sz w:val="22"/>
              </w:rPr>
              <w:t xml:space="preserve"> </w:t>
            </w:r>
            <w:r w:rsidR="00F2141E" w:rsidRPr="00E3033B">
              <w:rPr>
                <w:sz w:val="22"/>
              </w:rPr>
              <w:t>1</w:t>
            </w:r>
          </w:p>
        </w:tc>
        <w:tc>
          <w:tcPr>
            <w:tcW w:w="652" w:type="pct"/>
            <w:tcBorders>
              <w:top w:val="nil"/>
              <w:bottom w:val="nil"/>
            </w:tcBorders>
          </w:tcPr>
          <w:p w14:paraId="390AAE47" w14:textId="4C1E3B6C" w:rsidR="00AB177A" w:rsidRPr="00E3033B" w:rsidRDefault="00D5179A" w:rsidP="00FC7516">
            <w:pPr>
              <w:jc w:val="center"/>
              <w:rPr>
                <w:sz w:val="22"/>
              </w:rPr>
            </w:pPr>
            <w:r w:rsidRPr="00E3033B">
              <w:rPr>
                <w:sz w:val="22"/>
              </w:rPr>
              <w:t xml:space="preserve">0, </w:t>
            </w:r>
            <w:r>
              <w:rPr>
                <w:sz w:val="22"/>
              </w:rPr>
              <w:t xml:space="preserve"> </w:t>
            </w:r>
            <w:r w:rsidR="00AB177A" w:rsidRPr="00E3033B">
              <w:rPr>
                <w:sz w:val="22"/>
              </w:rPr>
              <w:t xml:space="preserve">0, </w:t>
            </w:r>
            <w:r w:rsidR="005E448C">
              <w:rPr>
                <w:sz w:val="22"/>
              </w:rPr>
              <w:t xml:space="preserve"> </w:t>
            </w:r>
            <w:r w:rsidR="00683850">
              <w:rPr>
                <w:sz w:val="22"/>
              </w:rPr>
              <w:t xml:space="preserve"> </w:t>
            </w:r>
            <w:r w:rsidR="00AB177A" w:rsidRPr="00E3033B">
              <w:rPr>
                <w:sz w:val="22"/>
              </w:rPr>
              <w:t>0</w:t>
            </w:r>
          </w:p>
        </w:tc>
      </w:tr>
      <w:tr w:rsidR="00AB177A" w:rsidRPr="00E3033B" w14:paraId="78167231" w14:textId="77777777" w:rsidTr="00A873A1">
        <w:tc>
          <w:tcPr>
            <w:tcW w:w="2200" w:type="pct"/>
            <w:tcBorders>
              <w:top w:val="nil"/>
              <w:bottom w:val="nil"/>
            </w:tcBorders>
          </w:tcPr>
          <w:p w14:paraId="6917AD6F" w14:textId="4AAFC6FD" w:rsidR="00AB177A" w:rsidRPr="00E3033B" w:rsidRDefault="00AB177A" w:rsidP="00FC7516">
            <w:pPr>
              <w:rPr>
                <w:sz w:val="22"/>
              </w:rPr>
            </w:pPr>
            <w:r w:rsidRPr="00E3033B">
              <w:rPr>
                <w:sz w:val="22"/>
              </w:rPr>
              <w:t>Planning and Urban Renewal</w:t>
            </w:r>
            <w:r w:rsidR="00683850">
              <w:rPr>
                <w:sz w:val="22"/>
              </w:rPr>
              <w:t>**</w:t>
            </w:r>
          </w:p>
        </w:tc>
        <w:tc>
          <w:tcPr>
            <w:tcW w:w="836" w:type="pct"/>
            <w:tcBorders>
              <w:top w:val="nil"/>
              <w:bottom w:val="nil"/>
            </w:tcBorders>
          </w:tcPr>
          <w:p w14:paraId="4C6559E2" w14:textId="2BF82D60" w:rsidR="00AB177A" w:rsidRPr="00E3033B" w:rsidRDefault="00D5179A" w:rsidP="00FC7516">
            <w:pPr>
              <w:jc w:val="center"/>
              <w:rPr>
                <w:sz w:val="22"/>
              </w:rPr>
            </w:pPr>
            <w:r w:rsidRPr="00E3033B">
              <w:rPr>
                <w:sz w:val="22"/>
              </w:rPr>
              <w:t xml:space="preserve">0, </w:t>
            </w:r>
            <w:r>
              <w:rPr>
                <w:sz w:val="22"/>
              </w:rPr>
              <w:t xml:space="preserve"> </w:t>
            </w:r>
            <w:r w:rsidR="00AB177A" w:rsidRPr="00E3033B">
              <w:rPr>
                <w:sz w:val="22"/>
              </w:rPr>
              <w:t xml:space="preserve">0, </w:t>
            </w:r>
            <w:r w:rsidR="00A873A1">
              <w:rPr>
                <w:sz w:val="22"/>
              </w:rPr>
              <w:t xml:space="preserve"> </w:t>
            </w:r>
            <w:r w:rsidR="00683850">
              <w:rPr>
                <w:sz w:val="22"/>
              </w:rPr>
              <w:t xml:space="preserve"> </w:t>
            </w:r>
            <w:r w:rsidR="00AB177A" w:rsidRPr="00E3033B">
              <w:rPr>
                <w:sz w:val="22"/>
              </w:rPr>
              <w:t>0</w:t>
            </w:r>
          </w:p>
        </w:tc>
        <w:tc>
          <w:tcPr>
            <w:tcW w:w="1312" w:type="pct"/>
            <w:tcBorders>
              <w:top w:val="nil"/>
              <w:bottom w:val="nil"/>
            </w:tcBorders>
          </w:tcPr>
          <w:p w14:paraId="673615C8" w14:textId="210507E2" w:rsidR="00AB177A" w:rsidRPr="00E3033B" w:rsidRDefault="00D5179A" w:rsidP="00FC7516">
            <w:pPr>
              <w:jc w:val="center"/>
              <w:rPr>
                <w:sz w:val="22"/>
              </w:rPr>
            </w:pPr>
            <w:r w:rsidRPr="00E3033B">
              <w:rPr>
                <w:sz w:val="22"/>
              </w:rPr>
              <w:t xml:space="preserve">1, </w:t>
            </w:r>
            <w:r>
              <w:rPr>
                <w:sz w:val="22"/>
              </w:rPr>
              <w:t xml:space="preserve"> </w:t>
            </w:r>
            <w:r w:rsidR="00F2141E" w:rsidRPr="00E3033B">
              <w:rPr>
                <w:sz w:val="22"/>
              </w:rPr>
              <w:t xml:space="preserve">1, </w:t>
            </w:r>
            <w:r w:rsidR="00E3033B">
              <w:rPr>
                <w:sz w:val="22"/>
              </w:rPr>
              <w:t xml:space="preserve"> </w:t>
            </w:r>
            <w:r w:rsidR="00683850">
              <w:rPr>
                <w:sz w:val="22"/>
              </w:rPr>
              <w:t xml:space="preserve"> </w:t>
            </w:r>
            <w:r w:rsidR="00F2141E" w:rsidRPr="00E3033B">
              <w:rPr>
                <w:sz w:val="22"/>
              </w:rPr>
              <w:t>1</w:t>
            </w:r>
          </w:p>
        </w:tc>
        <w:tc>
          <w:tcPr>
            <w:tcW w:w="652" w:type="pct"/>
            <w:tcBorders>
              <w:top w:val="nil"/>
              <w:bottom w:val="nil"/>
            </w:tcBorders>
          </w:tcPr>
          <w:p w14:paraId="20EE7BF7" w14:textId="7BC8997E" w:rsidR="00AB177A" w:rsidRPr="00E3033B" w:rsidRDefault="00D5179A" w:rsidP="00FC7516">
            <w:pPr>
              <w:jc w:val="center"/>
              <w:rPr>
                <w:sz w:val="22"/>
              </w:rPr>
            </w:pPr>
            <w:r>
              <w:rPr>
                <w:sz w:val="22"/>
              </w:rPr>
              <w:t>1</w:t>
            </w:r>
            <w:r w:rsidRPr="00E3033B">
              <w:rPr>
                <w:sz w:val="22"/>
              </w:rPr>
              <w:t xml:space="preserve">, </w:t>
            </w:r>
            <w:r>
              <w:rPr>
                <w:sz w:val="22"/>
              </w:rPr>
              <w:t xml:space="preserve"> </w:t>
            </w:r>
            <w:r w:rsidR="001A0BA5">
              <w:rPr>
                <w:sz w:val="22"/>
              </w:rPr>
              <w:t>0</w:t>
            </w:r>
            <w:r w:rsidR="00AB177A" w:rsidRPr="00E3033B">
              <w:rPr>
                <w:sz w:val="22"/>
              </w:rPr>
              <w:t xml:space="preserve">, </w:t>
            </w:r>
            <w:r w:rsidR="005E448C">
              <w:rPr>
                <w:sz w:val="22"/>
              </w:rPr>
              <w:t xml:space="preserve"> </w:t>
            </w:r>
            <w:r w:rsidR="00683850">
              <w:rPr>
                <w:sz w:val="22"/>
              </w:rPr>
              <w:t xml:space="preserve"> </w:t>
            </w:r>
            <w:r w:rsidR="001A0BA5">
              <w:rPr>
                <w:sz w:val="22"/>
              </w:rPr>
              <w:t>1</w:t>
            </w:r>
          </w:p>
        </w:tc>
      </w:tr>
      <w:tr w:rsidR="00AB177A" w:rsidRPr="00E3033B" w14:paraId="30AFF195" w14:textId="77777777" w:rsidTr="00A873A1">
        <w:tc>
          <w:tcPr>
            <w:tcW w:w="2200" w:type="pct"/>
            <w:tcBorders>
              <w:top w:val="nil"/>
            </w:tcBorders>
          </w:tcPr>
          <w:p w14:paraId="1027BC3D" w14:textId="43D1B3B9" w:rsidR="00AB177A" w:rsidRPr="00E3033B" w:rsidRDefault="004446D8" w:rsidP="00FC7516">
            <w:pPr>
              <w:rPr>
                <w:sz w:val="22"/>
              </w:rPr>
            </w:pPr>
            <w:r>
              <w:rPr>
                <w:sz w:val="22"/>
              </w:rPr>
              <w:t>(</w:t>
            </w:r>
            <w:r w:rsidR="00AB177A" w:rsidRPr="00E3033B">
              <w:rPr>
                <w:sz w:val="22"/>
              </w:rPr>
              <w:t>Public Accounts</w:t>
            </w:r>
            <w:r>
              <w:rPr>
                <w:sz w:val="22"/>
              </w:rPr>
              <w:t>)</w:t>
            </w:r>
          </w:p>
        </w:tc>
        <w:tc>
          <w:tcPr>
            <w:tcW w:w="836" w:type="pct"/>
            <w:tcBorders>
              <w:top w:val="nil"/>
            </w:tcBorders>
          </w:tcPr>
          <w:p w14:paraId="5F6D1C24" w14:textId="12207E01" w:rsidR="00AB177A" w:rsidRPr="00E3033B" w:rsidRDefault="00D5179A" w:rsidP="008B507C">
            <w:pPr>
              <w:jc w:val="center"/>
              <w:rPr>
                <w:sz w:val="22"/>
              </w:rPr>
            </w:pPr>
            <w:r>
              <w:rPr>
                <w:sz w:val="22"/>
              </w:rPr>
              <w:t xml:space="preserve">0,  </w:t>
            </w:r>
            <w:r w:rsidR="008B507C">
              <w:rPr>
                <w:sz w:val="22"/>
              </w:rPr>
              <w:t xml:space="preserve">1, </w:t>
            </w:r>
            <w:r w:rsidR="00A873A1">
              <w:rPr>
                <w:sz w:val="22"/>
              </w:rPr>
              <w:t xml:space="preserve"> </w:t>
            </w:r>
            <w:r w:rsidR="00683850">
              <w:rPr>
                <w:sz w:val="22"/>
              </w:rPr>
              <w:t xml:space="preserve"> </w:t>
            </w:r>
            <w:r w:rsidR="008B507C">
              <w:rPr>
                <w:sz w:val="22"/>
              </w:rPr>
              <w:t>0</w:t>
            </w:r>
          </w:p>
        </w:tc>
        <w:tc>
          <w:tcPr>
            <w:tcW w:w="1312" w:type="pct"/>
            <w:tcBorders>
              <w:top w:val="nil"/>
            </w:tcBorders>
          </w:tcPr>
          <w:p w14:paraId="77DD82D1" w14:textId="5B861B7D" w:rsidR="00AB177A" w:rsidRPr="00E3033B" w:rsidRDefault="00D5179A" w:rsidP="008B507C">
            <w:pPr>
              <w:jc w:val="center"/>
              <w:rPr>
                <w:sz w:val="22"/>
              </w:rPr>
            </w:pPr>
            <w:r w:rsidRPr="00E3033B">
              <w:rPr>
                <w:sz w:val="22"/>
              </w:rPr>
              <w:t xml:space="preserve">1, </w:t>
            </w:r>
            <w:r>
              <w:rPr>
                <w:sz w:val="22"/>
              </w:rPr>
              <w:t xml:space="preserve"> </w:t>
            </w:r>
            <w:r w:rsidR="008B507C" w:rsidRPr="00E3033B">
              <w:rPr>
                <w:sz w:val="22"/>
              </w:rPr>
              <w:t xml:space="preserve">1, </w:t>
            </w:r>
            <w:r w:rsidR="008B507C">
              <w:rPr>
                <w:sz w:val="22"/>
              </w:rPr>
              <w:t xml:space="preserve"> </w:t>
            </w:r>
            <w:r w:rsidR="00683850">
              <w:rPr>
                <w:sz w:val="22"/>
              </w:rPr>
              <w:t xml:space="preserve"> </w:t>
            </w:r>
            <w:r w:rsidR="008B507C" w:rsidRPr="00E3033B">
              <w:rPr>
                <w:sz w:val="22"/>
              </w:rPr>
              <w:t>1</w:t>
            </w:r>
          </w:p>
        </w:tc>
        <w:tc>
          <w:tcPr>
            <w:tcW w:w="652" w:type="pct"/>
            <w:tcBorders>
              <w:top w:val="nil"/>
            </w:tcBorders>
          </w:tcPr>
          <w:p w14:paraId="07F081CB" w14:textId="15C59928" w:rsidR="00AB177A" w:rsidRPr="00E3033B" w:rsidRDefault="00D5179A" w:rsidP="005E448C">
            <w:pPr>
              <w:jc w:val="center"/>
              <w:rPr>
                <w:sz w:val="22"/>
              </w:rPr>
            </w:pPr>
            <w:r>
              <w:rPr>
                <w:sz w:val="22"/>
              </w:rPr>
              <w:t xml:space="preserve">0,  </w:t>
            </w:r>
            <w:r w:rsidR="008B507C">
              <w:rPr>
                <w:sz w:val="22"/>
              </w:rPr>
              <w:t xml:space="preserve">1, </w:t>
            </w:r>
            <w:r w:rsidR="005E448C">
              <w:rPr>
                <w:sz w:val="22"/>
              </w:rPr>
              <w:t xml:space="preserve"> </w:t>
            </w:r>
            <w:r w:rsidR="00683850">
              <w:rPr>
                <w:sz w:val="22"/>
              </w:rPr>
              <w:t xml:space="preserve"> </w:t>
            </w:r>
            <w:r w:rsidR="008B507C">
              <w:rPr>
                <w:sz w:val="22"/>
              </w:rPr>
              <w:t>1</w:t>
            </w:r>
          </w:p>
        </w:tc>
      </w:tr>
      <w:tr w:rsidR="00AB177A" w:rsidRPr="00E3033B" w14:paraId="6C87350F" w14:textId="77777777" w:rsidTr="00A873A1">
        <w:tc>
          <w:tcPr>
            <w:tcW w:w="2200" w:type="pct"/>
          </w:tcPr>
          <w:p w14:paraId="68D3BABE" w14:textId="65963A23" w:rsidR="00AB177A" w:rsidRPr="00E3033B" w:rsidRDefault="00AB177A" w:rsidP="00FC7516">
            <w:pPr>
              <w:rPr>
                <w:sz w:val="22"/>
              </w:rPr>
            </w:pPr>
            <w:r w:rsidRPr="00E3033B">
              <w:rPr>
                <w:sz w:val="22"/>
              </w:rPr>
              <w:t>Total</w:t>
            </w:r>
            <w:r w:rsidR="00683850">
              <w:rPr>
                <w:sz w:val="22"/>
              </w:rPr>
              <w:t xml:space="preserve"> for subject area committees</w:t>
            </w:r>
          </w:p>
        </w:tc>
        <w:tc>
          <w:tcPr>
            <w:tcW w:w="836" w:type="pct"/>
          </w:tcPr>
          <w:p w14:paraId="1DAFEE28" w14:textId="5528C079" w:rsidR="00AB177A" w:rsidRPr="00E3033B" w:rsidRDefault="00D5179A" w:rsidP="00FC7516">
            <w:pPr>
              <w:jc w:val="center"/>
              <w:rPr>
                <w:sz w:val="22"/>
              </w:rPr>
            </w:pPr>
            <w:r w:rsidRPr="00E3033B">
              <w:rPr>
                <w:sz w:val="22"/>
              </w:rPr>
              <w:t>0,</w:t>
            </w:r>
            <w:r>
              <w:rPr>
                <w:sz w:val="22"/>
              </w:rPr>
              <w:t xml:space="preserve">  </w:t>
            </w:r>
            <w:r w:rsidR="00AB177A" w:rsidRPr="00E3033B">
              <w:rPr>
                <w:sz w:val="22"/>
              </w:rPr>
              <w:t xml:space="preserve">3, </w:t>
            </w:r>
            <w:r w:rsidR="00771E7F">
              <w:rPr>
                <w:sz w:val="22"/>
              </w:rPr>
              <w:t xml:space="preserve"> </w:t>
            </w:r>
            <w:r w:rsidR="00683850">
              <w:rPr>
                <w:sz w:val="22"/>
              </w:rPr>
              <w:t xml:space="preserve"> </w:t>
            </w:r>
            <w:r w:rsidR="00AB177A" w:rsidRPr="00E3033B">
              <w:rPr>
                <w:sz w:val="22"/>
              </w:rPr>
              <w:t>1</w:t>
            </w:r>
          </w:p>
        </w:tc>
        <w:tc>
          <w:tcPr>
            <w:tcW w:w="1312" w:type="pct"/>
          </w:tcPr>
          <w:p w14:paraId="015033ED" w14:textId="4EFC2429" w:rsidR="00AB177A" w:rsidRPr="00E3033B" w:rsidRDefault="00D5179A" w:rsidP="00E3033B">
            <w:pPr>
              <w:jc w:val="center"/>
              <w:rPr>
                <w:sz w:val="22"/>
              </w:rPr>
            </w:pPr>
            <w:r w:rsidRPr="00E3033B">
              <w:rPr>
                <w:sz w:val="22"/>
              </w:rPr>
              <w:t xml:space="preserve">6, </w:t>
            </w:r>
            <w:r>
              <w:rPr>
                <w:sz w:val="22"/>
              </w:rPr>
              <w:t xml:space="preserve"> </w:t>
            </w:r>
            <w:r w:rsidR="00E3033B" w:rsidRPr="00E3033B">
              <w:rPr>
                <w:sz w:val="22"/>
              </w:rPr>
              <w:t xml:space="preserve">6, </w:t>
            </w:r>
            <w:r w:rsidR="00E3033B">
              <w:rPr>
                <w:sz w:val="22"/>
              </w:rPr>
              <w:t xml:space="preserve"> </w:t>
            </w:r>
            <w:r w:rsidR="00683850">
              <w:rPr>
                <w:sz w:val="22"/>
              </w:rPr>
              <w:t xml:space="preserve"> </w:t>
            </w:r>
            <w:r w:rsidR="00E3033B" w:rsidRPr="00E3033B">
              <w:rPr>
                <w:sz w:val="22"/>
              </w:rPr>
              <w:t>6</w:t>
            </w:r>
          </w:p>
        </w:tc>
        <w:tc>
          <w:tcPr>
            <w:tcW w:w="652" w:type="pct"/>
          </w:tcPr>
          <w:p w14:paraId="7CE4B1D5" w14:textId="7E4E72C8" w:rsidR="00AB177A" w:rsidRPr="00E3033B" w:rsidRDefault="00771E7F" w:rsidP="00771E7F">
            <w:pPr>
              <w:rPr>
                <w:sz w:val="22"/>
              </w:rPr>
            </w:pPr>
            <w:r>
              <w:rPr>
                <w:sz w:val="22"/>
              </w:rPr>
              <w:t xml:space="preserve">  </w:t>
            </w:r>
            <w:r w:rsidR="00D5179A">
              <w:rPr>
                <w:sz w:val="22"/>
              </w:rPr>
              <w:t>5</w:t>
            </w:r>
            <w:r w:rsidR="00D5179A" w:rsidRPr="00E3033B">
              <w:rPr>
                <w:sz w:val="22"/>
              </w:rPr>
              <w:t xml:space="preserve">, </w:t>
            </w:r>
            <w:r w:rsidR="00D5179A">
              <w:rPr>
                <w:sz w:val="22"/>
              </w:rPr>
              <w:t xml:space="preserve"> </w:t>
            </w:r>
            <w:r w:rsidR="00C32E7A">
              <w:rPr>
                <w:sz w:val="22"/>
              </w:rPr>
              <w:t>6</w:t>
            </w:r>
            <w:r w:rsidR="00AB177A" w:rsidRPr="00E3033B">
              <w:rPr>
                <w:sz w:val="22"/>
              </w:rPr>
              <w:t xml:space="preserve">, </w:t>
            </w:r>
            <w:r>
              <w:rPr>
                <w:sz w:val="22"/>
              </w:rPr>
              <w:t xml:space="preserve"> </w:t>
            </w:r>
            <w:r w:rsidR="00C32E7A">
              <w:rPr>
                <w:sz w:val="22"/>
              </w:rPr>
              <w:t>4</w:t>
            </w:r>
          </w:p>
        </w:tc>
      </w:tr>
    </w:tbl>
    <w:p w14:paraId="1A0B6F6C" w14:textId="778C17CE" w:rsidR="00AB177A" w:rsidRPr="00C75389" w:rsidRDefault="00AB177A" w:rsidP="00AB177A">
      <w:pPr>
        <w:rPr>
          <w:sz w:val="21"/>
          <w:szCs w:val="21"/>
        </w:rPr>
      </w:pPr>
      <w:r w:rsidRPr="00C75389">
        <w:rPr>
          <w:sz w:val="21"/>
          <w:szCs w:val="21"/>
        </w:rPr>
        <w:t>* Excluding the specialised legislative scrutiny role, which involved examining 61 bills in 2017-18</w:t>
      </w:r>
      <w:r w:rsidR="00C75389">
        <w:rPr>
          <w:sz w:val="21"/>
          <w:szCs w:val="21"/>
        </w:rPr>
        <w:t>.</w:t>
      </w:r>
    </w:p>
    <w:p w14:paraId="43BE3629" w14:textId="5C0C7E63" w:rsidR="00AB177A" w:rsidRPr="00C75389" w:rsidRDefault="00683850" w:rsidP="00AB177A">
      <w:pPr>
        <w:rPr>
          <w:sz w:val="21"/>
          <w:szCs w:val="21"/>
        </w:rPr>
      </w:pPr>
      <w:r>
        <w:rPr>
          <w:sz w:val="21"/>
          <w:szCs w:val="21"/>
        </w:rPr>
        <w:t>**</w:t>
      </w:r>
      <w:r w:rsidR="00AB177A" w:rsidRPr="00C75389">
        <w:rPr>
          <w:sz w:val="21"/>
          <w:szCs w:val="21"/>
        </w:rPr>
        <w:t xml:space="preserve"> </w:t>
      </w:r>
      <w:r>
        <w:rPr>
          <w:sz w:val="21"/>
          <w:szCs w:val="21"/>
        </w:rPr>
        <w:t>Inquiries e</w:t>
      </w:r>
      <w:r w:rsidR="00D45F6D" w:rsidRPr="00C75389">
        <w:rPr>
          <w:sz w:val="21"/>
          <w:szCs w:val="21"/>
        </w:rPr>
        <w:t>xclud</w:t>
      </w:r>
      <w:r>
        <w:rPr>
          <w:sz w:val="21"/>
          <w:szCs w:val="21"/>
        </w:rPr>
        <w:t>e</w:t>
      </w:r>
      <w:r w:rsidR="00D45F6D" w:rsidRPr="00C75389">
        <w:rPr>
          <w:sz w:val="21"/>
          <w:szCs w:val="21"/>
        </w:rPr>
        <w:t xml:space="preserve"> f</w:t>
      </w:r>
      <w:r w:rsidR="00AB177A" w:rsidRPr="00C75389">
        <w:rPr>
          <w:sz w:val="21"/>
          <w:szCs w:val="21"/>
        </w:rPr>
        <w:t>our draft variations to the Territory Plan.</w:t>
      </w:r>
    </w:p>
    <w:p w14:paraId="73309803" w14:textId="77777777" w:rsidR="00AB177A" w:rsidRPr="00C75389" w:rsidRDefault="00AB177A" w:rsidP="00AB177A">
      <w:pPr>
        <w:rPr>
          <w:sz w:val="21"/>
          <w:szCs w:val="21"/>
        </w:rPr>
      </w:pPr>
      <w:r w:rsidRPr="00C75389">
        <w:rPr>
          <w:sz w:val="21"/>
          <w:szCs w:val="21"/>
        </w:rPr>
        <w:t>Source: https://www.parliament.act.gov.au/in-committees/standing-committees-current-assembly</w:t>
      </w:r>
    </w:p>
    <w:p w14:paraId="5204BD86" w14:textId="328A55A1" w:rsidR="00AB177A" w:rsidRDefault="00AB177A" w:rsidP="0025346E">
      <w:pPr>
        <w:spacing w:line="276" w:lineRule="auto"/>
        <w:jc w:val="both"/>
      </w:pPr>
    </w:p>
    <w:p w14:paraId="0003C48E" w14:textId="6D70DBA0" w:rsidR="00A6508B" w:rsidRDefault="00A6508B" w:rsidP="0025346E">
      <w:pPr>
        <w:spacing w:line="276" w:lineRule="auto"/>
        <w:jc w:val="both"/>
      </w:pPr>
      <w:r>
        <w:t xml:space="preserve">There has been </w:t>
      </w:r>
      <w:r w:rsidR="001B3B52">
        <w:t xml:space="preserve">earlier </w:t>
      </w:r>
      <w:r>
        <w:t xml:space="preserve">comment about the </w:t>
      </w:r>
      <w:r w:rsidR="009F0D6F">
        <w:t xml:space="preserve">relationship of ministerial portfolios and directorates. </w:t>
      </w:r>
      <w:r w:rsidR="00866834">
        <w:t>The standing committees generally have a link with at least on</w:t>
      </w:r>
      <w:r w:rsidR="00366EDE">
        <w:t>e</w:t>
      </w:r>
      <w:r w:rsidR="00866834">
        <w:t xml:space="preserve"> directorate</w:t>
      </w:r>
      <w:r w:rsidR="00366EDE">
        <w:t>, but multiple portfolios complicate the reporting arrangements.</w:t>
      </w:r>
    </w:p>
    <w:p w14:paraId="0E5122B7" w14:textId="6849D50F" w:rsidR="009F0D6F" w:rsidRDefault="009F0D6F" w:rsidP="0025346E">
      <w:pPr>
        <w:spacing w:line="276" w:lineRule="auto"/>
        <w:jc w:val="both"/>
      </w:pPr>
    </w:p>
    <w:p w14:paraId="737F9928" w14:textId="01238547" w:rsidR="00967E3B" w:rsidRDefault="00967E3B" w:rsidP="0025346E">
      <w:pPr>
        <w:spacing w:line="276" w:lineRule="auto"/>
        <w:jc w:val="both"/>
      </w:pPr>
    </w:p>
    <w:p w14:paraId="4ABC9E14" w14:textId="41094254" w:rsidR="00967E3B" w:rsidRDefault="00967E3B" w:rsidP="0025346E">
      <w:pPr>
        <w:spacing w:line="276" w:lineRule="auto"/>
        <w:jc w:val="both"/>
      </w:pPr>
    </w:p>
    <w:p w14:paraId="1B426663" w14:textId="5D5E9D95" w:rsidR="00967E3B" w:rsidRDefault="00967E3B" w:rsidP="0025346E">
      <w:pPr>
        <w:spacing w:line="276" w:lineRule="auto"/>
        <w:jc w:val="both"/>
      </w:pPr>
    </w:p>
    <w:p w14:paraId="11D0511F" w14:textId="77777777" w:rsidR="00967E3B" w:rsidRDefault="00967E3B" w:rsidP="0025346E">
      <w:pPr>
        <w:spacing w:line="276" w:lineRule="auto"/>
        <w:jc w:val="both"/>
      </w:pPr>
    </w:p>
    <w:p w14:paraId="00B4796F" w14:textId="06972212" w:rsidR="00410651" w:rsidRDefault="00410651" w:rsidP="00084ED5">
      <w:pPr>
        <w:spacing w:line="360" w:lineRule="auto"/>
      </w:pPr>
      <w:r>
        <w:t xml:space="preserve">Table </w:t>
      </w:r>
      <w:r w:rsidR="004E2AF2">
        <w:t>9</w:t>
      </w:r>
      <w:r>
        <w:tab/>
        <w:t xml:space="preserve">       Subject Standing Committees Legislative Assembly 2019</w:t>
      </w:r>
    </w:p>
    <w:tbl>
      <w:tblPr>
        <w:tblStyle w:val="TableGrid"/>
        <w:tblW w:w="4793" w:type="pct"/>
        <w:tblBorders>
          <w:left w:val="none" w:sz="0" w:space="0" w:color="auto"/>
          <w:right w:val="none" w:sz="0" w:space="0" w:color="auto"/>
        </w:tblBorders>
        <w:tblLook w:val="04A0" w:firstRow="1" w:lastRow="0" w:firstColumn="1" w:lastColumn="0" w:noHBand="0" w:noVBand="1"/>
      </w:tblPr>
      <w:tblGrid>
        <w:gridCol w:w="3969"/>
        <w:gridCol w:w="3545"/>
        <w:gridCol w:w="1133"/>
      </w:tblGrid>
      <w:tr w:rsidR="00410651" w14:paraId="4051B2F4" w14:textId="77777777" w:rsidTr="009F0D6F">
        <w:tc>
          <w:tcPr>
            <w:tcW w:w="2295" w:type="pct"/>
          </w:tcPr>
          <w:p w14:paraId="26A349C1" w14:textId="77777777" w:rsidR="00410651" w:rsidRPr="00C75389" w:rsidRDefault="00410651" w:rsidP="00776A29">
            <w:pPr>
              <w:rPr>
                <w:sz w:val="22"/>
              </w:rPr>
            </w:pPr>
            <w:r w:rsidRPr="00C75389">
              <w:rPr>
                <w:sz w:val="22"/>
              </w:rPr>
              <w:t>Standing Committee</w:t>
            </w:r>
          </w:p>
        </w:tc>
        <w:tc>
          <w:tcPr>
            <w:tcW w:w="2050" w:type="pct"/>
          </w:tcPr>
          <w:p w14:paraId="61512DF4" w14:textId="77777777" w:rsidR="00410651" w:rsidRPr="00C75389" w:rsidRDefault="00410651" w:rsidP="00776A29">
            <w:pPr>
              <w:rPr>
                <w:sz w:val="22"/>
              </w:rPr>
            </w:pPr>
            <w:r w:rsidRPr="00C75389">
              <w:rPr>
                <w:sz w:val="22"/>
              </w:rPr>
              <w:t>Primary directorate</w:t>
            </w:r>
          </w:p>
        </w:tc>
        <w:tc>
          <w:tcPr>
            <w:tcW w:w="655" w:type="pct"/>
          </w:tcPr>
          <w:p w14:paraId="025CE1DE" w14:textId="77777777" w:rsidR="00410651" w:rsidRPr="00C75389" w:rsidRDefault="00410651" w:rsidP="00776A29">
            <w:pPr>
              <w:rPr>
                <w:sz w:val="22"/>
              </w:rPr>
            </w:pPr>
            <w:r w:rsidRPr="00C75389">
              <w:rPr>
                <w:sz w:val="22"/>
              </w:rPr>
              <w:t xml:space="preserve">Ministers </w:t>
            </w:r>
            <w:r>
              <w:rPr>
                <w:sz w:val="22"/>
              </w:rPr>
              <w:t>reporting*</w:t>
            </w:r>
          </w:p>
        </w:tc>
      </w:tr>
      <w:tr w:rsidR="00410651" w:rsidRPr="00C75389" w14:paraId="3521A4B5" w14:textId="77777777" w:rsidTr="009F0D6F">
        <w:tc>
          <w:tcPr>
            <w:tcW w:w="2295" w:type="pct"/>
            <w:tcBorders>
              <w:bottom w:val="nil"/>
            </w:tcBorders>
          </w:tcPr>
          <w:p w14:paraId="194B020D" w14:textId="77777777" w:rsidR="00410651" w:rsidRPr="00C75389" w:rsidRDefault="00410651" w:rsidP="00776A29">
            <w:pPr>
              <w:rPr>
                <w:sz w:val="22"/>
              </w:rPr>
            </w:pPr>
            <w:r w:rsidRPr="00C75389">
              <w:rPr>
                <w:sz w:val="22"/>
              </w:rPr>
              <w:t>Economic Development &amp; Tourism</w:t>
            </w:r>
          </w:p>
        </w:tc>
        <w:tc>
          <w:tcPr>
            <w:tcW w:w="2050" w:type="pct"/>
            <w:tcBorders>
              <w:bottom w:val="nil"/>
            </w:tcBorders>
          </w:tcPr>
          <w:p w14:paraId="6D9A7B2C" w14:textId="77777777" w:rsidR="00410651" w:rsidRPr="00C75389" w:rsidRDefault="00410651" w:rsidP="00776A29">
            <w:pPr>
              <w:rPr>
                <w:sz w:val="22"/>
              </w:rPr>
            </w:pPr>
            <w:r w:rsidRPr="00C75389">
              <w:rPr>
                <w:sz w:val="22"/>
              </w:rPr>
              <w:t>CMTED</w:t>
            </w:r>
          </w:p>
        </w:tc>
        <w:tc>
          <w:tcPr>
            <w:tcW w:w="655" w:type="pct"/>
            <w:tcBorders>
              <w:bottom w:val="nil"/>
            </w:tcBorders>
          </w:tcPr>
          <w:p w14:paraId="5A7427A4" w14:textId="77777777" w:rsidR="00410651" w:rsidRPr="00C75389" w:rsidRDefault="00410651" w:rsidP="00776A29">
            <w:pPr>
              <w:jc w:val="center"/>
              <w:rPr>
                <w:sz w:val="22"/>
              </w:rPr>
            </w:pPr>
            <w:r w:rsidRPr="00C75389">
              <w:rPr>
                <w:sz w:val="22"/>
              </w:rPr>
              <w:t>4</w:t>
            </w:r>
          </w:p>
        </w:tc>
      </w:tr>
      <w:tr w:rsidR="00410651" w:rsidRPr="00C75389" w14:paraId="0EFEC392" w14:textId="77777777" w:rsidTr="009F0D6F">
        <w:tc>
          <w:tcPr>
            <w:tcW w:w="2295" w:type="pct"/>
            <w:tcBorders>
              <w:top w:val="nil"/>
              <w:bottom w:val="nil"/>
            </w:tcBorders>
          </w:tcPr>
          <w:p w14:paraId="66B87D55" w14:textId="77777777" w:rsidR="00410651" w:rsidRPr="00C75389" w:rsidRDefault="00410651" w:rsidP="00776A29">
            <w:pPr>
              <w:rPr>
                <w:sz w:val="22"/>
              </w:rPr>
            </w:pPr>
            <w:r w:rsidRPr="00C75389">
              <w:rPr>
                <w:sz w:val="22"/>
              </w:rPr>
              <w:t>Education, Employment &amp; Youth Affairs</w:t>
            </w:r>
          </w:p>
        </w:tc>
        <w:tc>
          <w:tcPr>
            <w:tcW w:w="2050" w:type="pct"/>
            <w:tcBorders>
              <w:top w:val="nil"/>
              <w:bottom w:val="nil"/>
            </w:tcBorders>
          </w:tcPr>
          <w:p w14:paraId="4EAD0DF4" w14:textId="77777777" w:rsidR="00410651" w:rsidRPr="00C75389" w:rsidRDefault="00410651" w:rsidP="00776A29">
            <w:pPr>
              <w:rPr>
                <w:sz w:val="22"/>
              </w:rPr>
            </w:pPr>
            <w:r w:rsidRPr="00C75389">
              <w:rPr>
                <w:sz w:val="22"/>
              </w:rPr>
              <w:t>Education</w:t>
            </w:r>
          </w:p>
        </w:tc>
        <w:tc>
          <w:tcPr>
            <w:tcW w:w="655" w:type="pct"/>
            <w:tcBorders>
              <w:top w:val="nil"/>
              <w:bottom w:val="nil"/>
            </w:tcBorders>
          </w:tcPr>
          <w:p w14:paraId="5FFD2EF1" w14:textId="77777777" w:rsidR="00410651" w:rsidRPr="00C75389" w:rsidRDefault="00410651" w:rsidP="00776A29">
            <w:pPr>
              <w:jc w:val="center"/>
              <w:rPr>
                <w:sz w:val="22"/>
              </w:rPr>
            </w:pPr>
            <w:r w:rsidRPr="00C75389">
              <w:rPr>
                <w:sz w:val="22"/>
              </w:rPr>
              <w:t>3</w:t>
            </w:r>
          </w:p>
        </w:tc>
      </w:tr>
      <w:tr w:rsidR="00410651" w:rsidRPr="00C75389" w14:paraId="3E7C1E90" w14:textId="77777777" w:rsidTr="009F0D6F">
        <w:tc>
          <w:tcPr>
            <w:tcW w:w="2295" w:type="pct"/>
            <w:tcBorders>
              <w:top w:val="nil"/>
              <w:bottom w:val="nil"/>
            </w:tcBorders>
          </w:tcPr>
          <w:p w14:paraId="5EA180B8" w14:textId="77777777" w:rsidR="00410651" w:rsidRPr="00C75389" w:rsidRDefault="00410651" w:rsidP="00776A29">
            <w:pPr>
              <w:rPr>
                <w:sz w:val="22"/>
              </w:rPr>
            </w:pPr>
            <w:r w:rsidRPr="00C75389">
              <w:rPr>
                <w:sz w:val="22"/>
              </w:rPr>
              <w:t xml:space="preserve">Environment </w:t>
            </w:r>
            <w:r>
              <w:rPr>
                <w:sz w:val="22"/>
              </w:rPr>
              <w:t>&amp;</w:t>
            </w:r>
            <w:r w:rsidRPr="00C75389">
              <w:rPr>
                <w:sz w:val="22"/>
              </w:rPr>
              <w:t xml:space="preserve"> Transport </w:t>
            </w:r>
            <w:r>
              <w:rPr>
                <w:sz w:val="22"/>
              </w:rPr>
              <w:t>&amp;</w:t>
            </w:r>
            <w:r w:rsidRPr="00C75389">
              <w:rPr>
                <w:sz w:val="22"/>
              </w:rPr>
              <w:t xml:space="preserve"> City Services</w:t>
            </w:r>
          </w:p>
        </w:tc>
        <w:tc>
          <w:tcPr>
            <w:tcW w:w="2050" w:type="pct"/>
            <w:tcBorders>
              <w:top w:val="nil"/>
              <w:bottom w:val="nil"/>
            </w:tcBorders>
          </w:tcPr>
          <w:p w14:paraId="74D3F406" w14:textId="77777777" w:rsidR="00410651" w:rsidRPr="00C75389" w:rsidRDefault="00410651" w:rsidP="00776A29">
            <w:pPr>
              <w:rPr>
                <w:sz w:val="22"/>
              </w:rPr>
            </w:pPr>
            <w:r w:rsidRPr="00C75389">
              <w:rPr>
                <w:sz w:val="22"/>
              </w:rPr>
              <w:t>Transport Canberra City Services</w:t>
            </w:r>
          </w:p>
        </w:tc>
        <w:tc>
          <w:tcPr>
            <w:tcW w:w="655" w:type="pct"/>
            <w:tcBorders>
              <w:top w:val="nil"/>
              <w:bottom w:val="nil"/>
            </w:tcBorders>
          </w:tcPr>
          <w:p w14:paraId="02457A94" w14:textId="77777777" w:rsidR="00410651" w:rsidRPr="00C75389" w:rsidRDefault="00410651" w:rsidP="00776A29">
            <w:pPr>
              <w:jc w:val="center"/>
              <w:rPr>
                <w:sz w:val="22"/>
              </w:rPr>
            </w:pPr>
            <w:r w:rsidRPr="00C75389">
              <w:rPr>
                <w:sz w:val="22"/>
              </w:rPr>
              <w:t>6</w:t>
            </w:r>
          </w:p>
        </w:tc>
      </w:tr>
      <w:tr w:rsidR="00410651" w:rsidRPr="00C75389" w14:paraId="0C20E0E9" w14:textId="77777777" w:rsidTr="009F0D6F">
        <w:tc>
          <w:tcPr>
            <w:tcW w:w="2295" w:type="pct"/>
            <w:tcBorders>
              <w:top w:val="nil"/>
              <w:bottom w:val="nil"/>
            </w:tcBorders>
          </w:tcPr>
          <w:p w14:paraId="3AAD46E4" w14:textId="77777777" w:rsidR="00410651" w:rsidRPr="00C75389" w:rsidRDefault="00410651" w:rsidP="00776A29">
            <w:pPr>
              <w:rPr>
                <w:sz w:val="22"/>
              </w:rPr>
            </w:pPr>
            <w:r w:rsidRPr="00C75389">
              <w:rPr>
                <w:sz w:val="22"/>
              </w:rPr>
              <w:t xml:space="preserve">Health, Ageing </w:t>
            </w:r>
            <w:r>
              <w:rPr>
                <w:sz w:val="22"/>
              </w:rPr>
              <w:t>&amp;</w:t>
            </w:r>
            <w:r w:rsidRPr="00C75389">
              <w:rPr>
                <w:sz w:val="22"/>
              </w:rPr>
              <w:t xml:space="preserve"> Community services</w:t>
            </w:r>
          </w:p>
        </w:tc>
        <w:tc>
          <w:tcPr>
            <w:tcW w:w="2050" w:type="pct"/>
            <w:tcBorders>
              <w:top w:val="nil"/>
              <w:bottom w:val="nil"/>
            </w:tcBorders>
          </w:tcPr>
          <w:p w14:paraId="24857BBC" w14:textId="3BCA2008" w:rsidR="00410651" w:rsidRPr="00C75389" w:rsidRDefault="00410651" w:rsidP="00776A29">
            <w:pPr>
              <w:rPr>
                <w:sz w:val="22"/>
              </w:rPr>
            </w:pPr>
            <w:r w:rsidRPr="00C75389">
              <w:rPr>
                <w:sz w:val="22"/>
              </w:rPr>
              <w:t>Health</w:t>
            </w:r>
            <w:r w:rsidR="005A4D65">
              <w:rPr>
                <w:sz w:val="22"/>
              </w:rPr>
              <w:t>; Community Services</w:t>
            </w:r>
          </w:p>
        </w:tc>
        <w:tc>
          <w:tcPr>
            <w:tcW w:w="655" w:type="pct"/>
            <w:tcBorders>
              <w:top w:val="nil"/>
              <w:bottom w:val="nil"/>
            </w:tcBorders>
          </w:tcPr>
          <w:p w14:paraId="2FE8AC25" w14:textId="77777777" w:rsidR="00410651" w:rsidRPr="00C75389" w:rsidRDefault="00410651" w:rsidP="00776A29">
            <w:pPr>
              <w:jc w:val="center"/>
              <w:rPr>
                <w:sz w:val="22"/>
              </w:rPr>
            </w:pPr>
            <w:r w:rsidRPr="00C75389">
              <w:rPr>
                <w:sz w:val="22"/>
              </w:rPr>
              <w:t>6</w:t>
            </w:r>
          </w:p>
        </w:tc>
      </w:tr>
      <w:tr w:rsidR="00410651" w:rsidRPr="00C75389" w14:paraId="2DABFDB6" w14:textId="77777777" w:rsidTr="009F0D6F">
        <w:tc>
          <w:tcPr>
            <w:tcW w:w="2295" w:type="pct"/>
            <w:tcBorders>
              <w:top w:val="nil"/>
              <w:bottom w:val="nil"/>
            </w:tcBorders>
          </w:tcPr>
          <w:p w14:paraId="6460F979" w14:textId="77777777" w:rsidR="00410651" w:rsidRPr="00C75389" w:rsidRDefault="00410651" w:rsidP="00776A29">
            <w:pPr>
              <w:rPr>
                <w:sz w:val="22"/>
              </w:rPr>
            </w:pPr>
            <w:r w:rsidRPr="00C75389">
              <w:rPr>
                <w:sz w:val="22"/>
              </w:rPr>
              <w:t>Justice and Community Safety</w:t>
            </w:r>
          </w:p>
        </w:tc>
        <w:tc>
          <w:tcPr>
            <w:tcW w:w="2050" w:type="pct"/>
            <w:tcBorders>
              <w:top w:val="nil"/>
              <w:bottom w:val="nil"/>
            </w:tcBorders>
          </w:tcPr>
          <w:p w14:paraId="774F84F3" w14:textId="77777777" w:rsidR="00410651" w:rsidRPr="00C75389" w:rsidRDefault="00410651" w:rsidP="00776A29">
            <w:pPr>
              <w:rPr>
                <w:sz w:val="22"/>
              </w:rPr>
            </w:pPr>
            <w:r w:rsidRPr="00C75389">
              <w:rPr>
                <w:sz w:val="22"/>
              </w:rPr>
              <w:t>Justice and Community Safety</w:t>
            </w:r>
          </w:p>
        </w:tc>
        <w:tc>
          <w:tcPr>
            <w:tcW w:w="655" w:type="pct"/>
            <w:tcBorders>
              <w:top w:val="nil"/>
              <w:bottom w:val="nil"/>
            </w:tcBorders>
          </w:tcPr>
          <w:p w14:paraId="40AC50FE" w14:textId="77777777" w:rsidR="00410651" w:rsidRPr="00C75389" w:rsidRDefault="00410651" w:rsidP="00776A29">
            <w:pPr>
              <w:jc w:val="center"/>
              <w:rPr>
                <w:sz w:val="22"/>
              </w:rPr>
            </w:pPr>
            <w:r w:rsidRPr="00C75389">
              <w:rPr>
                <w:sz w:val="22"/>
              </w:rPr>
              <w:t>3</w:t>
            </w:r>
          </w:p>
        </w:tc>
      </w:tr>
      <w:tr w:rsidR="00410651" w:rsidRPr="00C75389" w14:paraId="63A58D15" w14:textId="77777777" w:rsidTr="009F0D6F">
        <w:tc>
          <w:tcPr>
            <w:tcW w:w="2295" w:type="pct"/>
            <w:tcBorders>
              <w:top w:val="nil"/>
            </w:tcBorders>
          </w:tcPr>
          <w:p w14:paraId="3A30F600" w14:textId="77777777" w:rsidR="00410651" w:rsidRPr="00C75389" w:rsidRDefault="00410651" w:rsidP="00776A29">
            <w:pPr>
              <w:rPr>
                <w:sz w:val="22"/>
              </w:rPr>
            </w:pPr>
            <w:r w:rsidRPr="00C75389">
              <w:rPr>
                <w:sz w:val="22"/>
              </w:rPr>
              <w:t>Planning &amp; Urban Renewal</w:t>
            </w:r>
          </w:p>
        </w:tc>
        <w:tc>
          <w:tcPr>
            <w:tcW w:w="2050" w:type="pct"/>
            <w:tcBorders>
              <w:top w:val="nil"/>
            </w:tcBorders>
          </w:tcPr>
          <w:p w14:paraId="035A3166" w14:textId="4B5C8728" w:rsidR="00410651" w:rsidRPr="00594D45" w:rsidRDefault="00410651" w:rsidP="00776A29">
            <w:pPr>
              <w:rPr>
                <w:sz w:val="22"/>
              </w:rPr>
            </w:pPr>
            <w:r w:rsidRPr="00594D45">
              <w:rPr>
                <w:color w:val="000000"/>
                <w:sz w:val="22"/>
                <w:shd w:val="clear" w:color="auto" w:fill="FFFFFF"/>
              </w:rPr>
              <w:t xml:space="preserve">Environment, Planning </w:t>
            </w:r>
            <w:r w:rsidR="009F0D6F">
              <w:rPr>
                <w:color w:val="000000"/>
                <w:sz w:val="22"/>
                <w:shd w:val="clear" w:color="auto" w:fill="FFFFFF"/>
              </w:rPr>
              <w:t>&amp;</w:t>
            </w:r>
            <w:r w:rsidRPr="00594D45">
              <w:rPr>
                <w:color w:val="000000"/>
                <w:sz w:val="22"/>
                <w:shd w:val="clear" w:color="auto" w:fill="FFFFFF"/>
              </w:rPr>
              <w:t xml:space="preserve"> Sustainable Development</w:t>
            </w:r>
            <w:r w:rsidRPr="00594D45">
              <w:rPr>
                <w:rStyle w:val="apple-converted-space"/>
                <w:color w:val="000000"/>
                <w:sz w:val="22"/>
                <w:shd w:val="clear" w:color="auto" w:fill="FFFFFF"/>
              </w:rPr>
              <w:t> </w:t>
            </w:r>
          </w:p>
        </w:tc>
        <w:tc>
          <w:tcPr>
            <w:tcW w:w="655" w:type="pct"/>
            <w:tcBorders>
              <w:top w:val="nil"/>
            </w:tcBorders>
          </w:tcPr>
          <w:p w14:paraId="6F61A611" w14:textId="77777777" w:rsidR="00B32F08" w:rsidRDefault="00B32F08" w:rsidP="00776A29">
            <w:pPr>
              <w:jc w:val="center"/>
              <w:rPr>
                <w:sz w:val="22"/>
              </w:rPr>
            </w:pPr>
          </w:p>
          <w:p w14:paraId="3625CFE6" w14:textId="3A51CE3C" w:rsidR="00410651" w:rsidRPr="00C75389" w:rsidRDefault="00410651" w:rsidP="00776A29">
            <w:pPr>
              <w:jc w:val="center"/>
              <w:rPr>
                <w:sz w:val="22"/>
              </w:rPr>
            </w:pPr>
            <w:r w:rsidRPr="00C75389">
              <w:rPr>
                <w:sz w:val="22"/>
              </w:rPr>
              <w:t>5</w:t>
            </w:r>
            <w:r>
              <w:rPr>
                <w:sz w:val="22"/>
              </w:rPr>
              <w:t xml:space="preserve"> </w:t>
            </w:r>
          </w:p>
        </w:tc>
      </w:tr>
    </w:tbl>
    <w:p w14:paraId="6122595C" w14:textId="5D7E3D5D" w:rsidR="00410651" w:rsidRDefault="00410651" w:rsidP="00FA7A93">
      <w:pPr>
        <w:jc w:val="both"/>
        <w:rPr>
          <w:sz w:val="21"/>
          <w:szCs w:val="21"/>
        </w:rPr>
      </w:pPr>
      <w:r w:rsidRPr="000C10A0">
        <w:rPr>
          <w:sz w:val="21"/>
          <w:szCs w:val="21"/>
        </w:rPr>
        <w:t xml:space="preserve">* </w:t>
      </w:r>
      <w:r w:rsidR="00705293">
        <w:rPr>
          <w:sz w:val="21"/>
          <w:szCs w:val="21"/>
        </w:rPr>
        <w:t>Number of m</w:t>
      </w:r>
      <w:r w:rsidRPr="000C10A0">
        <w:rPr>
          <w:sz w:val="21"/>
          <w:szCs w:val="21"/>
        </w:rPr>
        <w:t>inisters appearing in annual and financial reporting processes</w:t>
      </w:r>
    </w:p>
    <w:p w14:paraId="7BFD0902" w14:textId="45219F4E" w:rsidR="004446D8" w:rsidRPr="000C10A0" w:rsidRDefault="00705293" w:rsidP="00410651">
      <w:pPr>
        <w:spacing w:after="120" w:line="276" w:lineRule="auto"/>
        <w:jc w:val="both"/>
        <w:rPr>
          <w:sz w:val="21"/>
          <w:szCs w:val="21"/>
        </w:rPr>
      </w:pPr>
      <w:r>
        <w:rPr>
          <w:sz w:val="21"/>
          <w:szCs w:val="21"/>
        </w:rPr>
        <w:t>Sources: Annual and Financial Reports</w:t>
      </w:r>
    </w:p>
    <w:p w14:paraId="5D41EB16" w14:textId="77777777" w:rsidR="00BB18B7" w:rsidRPr="00A14C90" w:rsidRDefault="00BB18B7" w:rsidP="004B35E4">
      <w:pPr>
        <w:pStyle w:val="Normal18J"/>
        <w:rPr>
          <w:i/>
          <w:iCs/>
        </w:rPr>
      </w:pPr>
      <w:r w:rsidRPr="00A14C90">
        <w:rPr>
          <w:i/>
          <w:iCs/>
        </w:rPr>
        <w:t>Public Accounts Committee</w:t>
      </w:r>
    </w:p>
    <w:p w14:paraId="32E4440A" w14:textId="0211791B" w:rsidR="00181FCD" w:rsidRDefault="00BB18B7" w:rsidP="00D132AF">
      <w:pPr>
        <w:spacing w:after="120" w:line="276" w:lineRule="auto"/>
        <w:jc w:val="both"/>
        <w:rPr>
          <w:lang w:val="en-US"/>
        </w:rPr>
      </w:pPr>
      <w:r w:rsidRPr="0093370A">
        <w:t xml:space="preserve">The Committee on Public Accounts has a central place in parliamentary oversight and is given special recognition by Latimer.  </w:t>
      </w:r>
      <w:r>
        <w:t xml:space="preserve">The quality of the past </w:t>
      </w:r>
      <w:r w:rsidRPr="0093370A">
        <w:t xml:space="preserve">oversight at the state level in Australia </w:t>
      </w:r>
      <w:r>
        <w:t>has been variable</w:t>
      </w:r>
      <w:r w:rsidRPr="0093370A">
        <w:t>.</w:t>
      </w:r>
      <w:r>
        <w:t xml:space="preserve"> </w:t>
      </w:r>
    </w:p>
    <w:p w14:paraId="0ED12528" w14:textId="28E2C53A" w:rsidR="00BB18B7" w:rsidRPr="0045382B" w:rsidRDefault="00181FCD" w:rsidP="00D132AF">
      <w:pPr>
        <w:spacing w:after="120" w:line="276" w:lineRule="auto"/>
        <w:jc w:val="both"/>
      </w:pPr>
      <w:r w:rsidRPr="0093370A">
        <w:t>E</w:t>
      </w:r>
      <w:r w:rsidR="0045382B">
        <w:t>in ACT e</w:t>
      </w:r>
      <w:r w:rsidRPr="0093370A">
        <w:t>very</w:t>
      </w:r>
      <w:r>
        <w:t xml:space="preserve"> </w:t>
      </w:r>
      <w:r w:rsidRPr="0093370A">
        <w:t>report</w:t>
      </w:r>
      <w:r w:rsidR="0045382B">
        <w:t xml:space="preserve"> from the Auditor-General</w:t>
      </w:r>
      <w:r w:rsidRPr="0093370A">
        <w:t xml:space="preserve"> </w:t>
      </w:r>
      <w:r w:rsidR="00E516CC">
        <w:t>i</w:t>
      </w:r>
      <w:r w:rsidRPr="0093370A">
        <w:t xml:space="preserve">s automatically referred to </w:t>
      </w:r>
      <w:r w:rsidR="00841652">
        <w:t xml:space="preserve">the </w:t>
      </w:r>
      <w:r>
        <w:t>PAC</w:t>
      </w:r>
      <w:r w:rsidRPr="0093370A">
        <w:t xml:space="preserve">, which </w:t>
      </w:r>
      <w:r>
        <w:t>c</w:t>
      </w:r>
      <w:r w:rsidR="00094DA4">
        <w:t>an</w:t>
      </w:r>
      <w:r w:rsidRPr="0093370A">
        <w:t xml:space="preserve"> choose to conduct a separate inquiry into the report. </w:t>
      </w:r>
      <w:r w:rsidR="0045382B">
        <w:t>There has often</w:t>
      </w:r>
      <w:r w:rsidRPr="0093370A">
        <w:t xml:space="preserve"> </w:t>
      </w:r>
      <w:r w:rsidR="0045382B">
        <w:t xml:space="preserve">been </w:t>
      </w:r>
      <w:r w:rsidRPr="0093370A">
        <w:t>a significant lag – a</w:t>
      </w:r>
      <w:r w:rsidR="0045382B">
        <w:t>s much as</w:t>
      </w:r>
      <w:r w:rsidRPr="0093370A">
        <w:t xml:space="preserve"> a year – between the release of an Auditor-General’s report and </w:t>
      </w:r>
      <w:r w:rsidRPr="0093370A">
        <w:lastRenderedPageBreak/>
        <w:t xml:space="preserve">consideration by the committee. This means that the committee </w:t>
      </w:r>
      <w:r>
        <w:t>wa</w:t>
      </w:r>
      <w:r w:rsidRPr="0093370A">
        <w:t xml:space="preserve">s inclined to run 4-6 reports behind. </w:t>
      </w:r>
      <w:r w:rsidR="008C42B3">
        <w:rPr>
          <w:lang w:val="en-US"/>
        </w:rPr>
        <w:t>In recent years, o</w:t>
      </w:r>
      <w:r w:rsidR="00BB18B7">
        <w:rPr>
          <w:lang w:val="en-US"/>
        </w:rPr>
        <w:t xml:space="preserve">ther than standard reporting </w:t>
      </w:r>
      <w:r w:rsidR="00BB18B7">
        <w:t xml:space="preserve">on Annual and Financial Reports and the Appropriation </w:t>
      </w:r>
      <w:r w:rsidR="00154853">
        <w:t>Bill, there</w:t>
      </w:r>
      <w:r w:rsidR="00BB18B7">
        <w:t xml:space="preserve"> is not much happening on what might conventionally be regarded as core work.</w:t>
      </w:r>
      <w:r w:rsidR="00BB18B7">
        <w:rPr>
          <w:lang w:val="en-US"/>
        </w:rPr>
        <w:t xml:space="preserve"> </w:t>
      </w:r>
      <w:r w:rsidR="00BB18B7">
        <w:t xml:space="preserve">For 2017-2018, there were thirteen </w:t>
      </w:r>
      <w:r w:rsidR="00BB18B7" w:rsidRPr="0093370A">
        <w:rPr>
          <w:lang w:val="en-US"/>
        </w:rPr>
        <w:t>SO</w:t>
      </w:r>
      <w:r w:rsidR="001E2030">
        <w:rPr>
          <w:lang w:val="en-US"/>
        </w:rPr>
        <w:t xml:space="preserve"> </w:t>
      </w:r>
      <w:r w:rsidR="00BB18B7" w:rsidRPr="0093370A">
        <w:rPr>
          <w:lang w:val="en-US"/>
        </w:rPr>
        <w:t>246A Statements</w:t>
      </w:r>
      <w:r w:rsidR="00BB18B7">
        <w:rPr>
          <w:lang w:val="en-US"/>
        </w:rPr>
        <w:t xml:space="preserve">, four Auditor-General reports have been </w:t>
      </w:r>
      <w:r w:rsidR="00BB18B7" w:rsidRPr="0034630C">
        <w:rPr>
          <w:lang w:val="en-US"/>
        </w:rPr>
        <w:t xml:space="preserve">adopted for further </w:t>
      </w:r>
      <w:r w:rsidR="00BB18B7">
        <w:rPr>
          <w:lang w:val="en-US"/>
        </w:rPr>
        <w:t>i</w:t>
      </w:r>
      <w:r w:rsidR="00BB18B7" w:rsidRPr="0034630C">
        <w:rPr>
          <w:lang w:val="en-US"/>
        </w:rPr>
        <w:t>nquiry</w:t>
      </w:r>
      <w:r w:rsidR="00BB18B7">
        <w:rPr>
          <w:lang w:val="en-US"/>
        </w:rPr>
        <w:t>, one was completed in 2019, while the other three remain ‘o</w:t>
      </w:r>
      <w:r w:rsidR="000A18A4">
        <w:rPr>
          <w:lang w:val="en-US"/>
        </w:rPr>
        <w:t>n</w:t>
      </w:r>
      <w:r w:rsidR="00BB18B7">
        <w:rPr>
          <w:lang w:val="en-US"/>
        </w:rPr>
        <w:t>-going’ approximately a year or eighteen months later. No other Auditor-General reports have been adopted for inquiry since September 2018.</w:t>
      </w:r>
    </w:p>
    <w:p w14:paraId="30F5F8A9" w14:textId="516C33F4" w:rsidR="00894992" w:rsidRDefault="000A18A4" w:rsidP="00B8049F">
      <w:pPr>
        <w:spacing w:after="120" w:line="276" w:lineRule="auto"/>
        <w:jc w:val="both"/>
      </w:pPr>
      <w:r>
        <w:rPr>
          <w:lang w:val="en-US"/>
        </w:rPr>
        <w:t xml:space="preserve">Yet </w:t>
      </w:r>
      <w:r w:rsidR="00841652">
        <w:rPr>
          <w:lang w:val="en-US"/>
        </w:rPr>
        <w:t xml:space="preserve">the </w:t>
      </w:r>
      <w:r w:rsidR="00BB18B7">
        <w:rPr>
          <w:lang w:val="en-US"/>
        </w:rPr>
        <w:t>PAC</w:t>
      </w:r>
      <w:r w:rsidR="00BB18B7">
        <w:t xml:space="preserve"> has been </w:t>
      </w:r>
      <w:r w:rsidR="00841652">
        <w:t>the</w:t>
      </w:r>
      <w:r w:rsidR="00BB18B7">
        <w:t xml:space="preserve"> hard-working committee: for 2017-2018 it had the highest number of meetings (along with JACS</w:t>
      </w:r>
      <w:r w:rsidR="00E74DBB">
        <w:t>, not counting its legislative scrutiny role</w:t>
      </w:r>
      <w:r w:rsidR="00BB18B7">
        <w:t>), the highest number of public hearings, the longest meeting hours</w:t>
      </w:r>
      <w:r w:rsidR="00E5408E">
        <w:t xml:space="preserve"> (apart from JACS)</w:t>
      </w:r>
      <w:r w:rsidR="00BB18B7">
        <w:t>, and the most submissions (</w:t>
      </w:r>
      <w:r w:rsidR="00BB18B7" w:rsidRPr="00140A7A">
        <w:t>Office of the Legislative Assembly 2018a</w:t>
      </w:r>
      <w:r w:rsidR="00BB18B7">
        <w:t xml:space="preserve">, Appendix 7). Although </w:t>
      </w:r>
      <w:r w:rsidR="00BB18B7" w:rsidRPr="0093370A">
        <w:t xml:space="preserve">Public Accounts is an active committee </w:t>
      </w:r>
      <w:r w:rsidR="00BB18B7">
        <w:t>it has</w:t>
      </w:r>
      <w:r w:rsidR="00BB18B7" w:rsidRPr="0093370A">
        <w:t xml:space="preserve"> rel</w:t>
      </w:r>
      <w:r w:rsidR="00F75202">
        <w:t>ied</w:t>
      </w:r>
      <w:r w:rsidR="00BB18B7" w:rsidRPr="0093370A">
        <w:t xml:space="preserve"> on </w:t>
      </w:r>
      <w:r w:rsidR="00BB18B7">
        <w:t>four</w:t>
      </w:r>
      <w:r w:rsidR="00BB18B7" w:rsidRPr="0093370A">
        <w:t xml:space="preserve"> members (and the support of one committee secretary). In the past it may have normally produced six to eight reports per year, but for the last two years, the figure was four or five. </w:t>
      </w:r>
    </w:p>
    <w:p w14:paraId="5DFA0FED" w14:textId="694773BC" w:rsidR="00BB18B7" w:rsidRDefault="0082624F" w:rsidP="00BB18B7">
      <w:pPr>
        <w:spacing w:after="240" w:line="276" w:lineRule="auto"/>
        <w:jc w:val="both"/>
      </w:pPr>
      <w:r>
        <w:t xml:space="preserve">The </w:t>
      </w:r>
      <w:r w:rsidR="00776A29">
        <w:t>PAC</w:t>
      </w:r>
      <w:r w:rsidR="00BB18B7">
        <w:t xml:space="preserve"> appears to have </w:t>
      </w:r>
      <w:r w:rsidR="00894992">
        <w:t>opt</w:t>
      </w:r>
      <w:r w:rsidR="00BB18B7">
        <w:t xml:space="preserve">ed </w:t>
      </w:r>
      <w:r w:rsidR="00894992">
        <w:t xml:space="preserve">out of </w:t>
      </w:r>
      <w:r w:rsidR="00BB18B7">
        <w:t>inquiring into Auditor-General audit reports</w:t>
      </w:r>
      <w:r w:rsidR="0081332C">
        <w:t xml:space="preserve"> with almost </w:t>
      </w:r>
      <w:r w:rsidR="00BB18B7">
        <w:t xml:space="preserve">no reports in the </w:t>
      </w:r>
      <w:r w:rsidR="000C4E17">
        <w:t>9</w:t>
      </w:r>
      <w:r w:rsidR="000C4E17" w:rsidRPr="000C4E17">
        <w:rPr>
          <w:vertAlign w:val="superscript"/>
        </w:rPr>
        <w:t>th</w:t>
      </w:r>
      <w:r w:rsidR="000C4E17">
        <w:t xml:space="preserve"> </w:t>
      </w:r>
      <w:r w:rsidR="00BB18B7">
        <w:t xml:space="preserve">Assembly. Either the PAC has been focused on other matters (and it has undertaken inquiries that </w:t>
      </w:r>
      <w:r w:rsidR="00B77FB7">
        <w:t>are</w:t>
      </w:r>
      <w:r w:rsidR="00BB18B7">
        <w:t xml:space="preserve"> not d</w:t>
      </w:r>
      <w:r w:rsidR="00BB18B7" w:rsidRPr="004769AC">
        <w:t>irect</w:t>
      </w:r>
      <w:r w:rsidR="00BB18B7">
        <w:t>l</w:t>
      </w:r>
      <w:r w:rsidR="00BB18B7" w:rsidRPr="004769AC">
        <w:t>y related to</w:t>
      </w:r>
      <w:r w:rsidR="00BB18B7">
        <w:t xml:space="preserve"> PAC work); or </w:t>
      </w:r>
      <w:r w:rsidR="00894992">
        <w:t xml:space="preserve">perhaps </w:t>
      </w:r>
      <w:r w:rsidR="00BB18B7">
        <w:t xml:space="preserve">the Auditor-General is not </w:t>
      </w:r>
      <w:r w:rsidR="002A5C1A">
        <w:t>reporting on</w:t>
      </w:r>
      <w:r w:rsidR="00BB18B7">
        <w:t xml:space="preserve"> topics that the committee believes </w:t>
      </w:r>
      <w:r w:rsidR="006119F7">
        <w:t>are</w:t>
      </w:r>
      <w:r w:rsidR="00BB18B7">
        <w:t xml:space="preserve"> worth an inquiry. For whatever reason there are questions to be asked about the nature of </w:t>
      </w:r>
      <w:r w:rsidR="004C2EB2">
        <w:t xml:space="preserve">the </w:t>
      </w:r>
      <w:r w:rsidR="00776A29">
        <w:t>PAC</w:t>
      </w:r>
      <w:r w:rsidR="00894992">
        <w:t>,</w:t>
      </w:r>
      <w:r w:rsidR="00776A29" w:rsidRPr="0093370A">
        <w:t xml:space="preserve"> th</w:t>
      </w:r>
      <w:r w:rsidR="00894992">
        <w:t>e</w:t>
      </w:r>
      <w:r w:rsidR="00776A29" w:rsidRPr="0093370A">
        <w:t xml:space="preserve"> timeliness</w:t>
      </w:r>
      <w:r w:rsidR="00894992">
        <w:t xml:space="preserve"> of its reporting</w:t>
      </w:r>
      <w:r w:rsidR="00B77FB7">
        <w:t>,</w:t>
      </w:r>
      <w:r w:rsidR="00776A29" w:rsidRPr="0093370A">
        <w:t xml:space="preserve"> </w:t>
      </w:r>
      <w:r w:rsidR="00B77FB7">
        <w:t xml:space="preserve">and </w:t>
      </w:r>
      <w:r w:rsidR="00894992">
        <w:t xml:space="preserve">the </w:t>
      </w:r>
      <w:r w:rsidR="00B77FB7" w:rsidRPr="00E60113">
        <w:rPr>
          <w:lang w:val="en-US"/>
        </w:rPr>
        <w:t xml:space="preserve">priority accorded </w:t>
      </w:r>
      <w:r w:rsidR="00B77FB7">
        <w:t>to</w:t>
      </w:r>
      <w:r w:rsidR="00776A29" w:rsidRPr="0093370A">
        <w:t xml:space="preserve"> oversight</w:t>
      </w:r>
      <w:r w:rsidR="00B77FB7">
        <w:t>. Is there a</w:t>
      </w:r>
      <w:r w:rsidR="00776A29" w:rsidRPr="0093370A">
        <w:t xml:space="preserve"> need for greater resources to address the backlog</w:t>
      </w:r>
      <w:r w:rsidR="00B77FB7">
        <w:t xml:space="preserve"> and to maintain its oversight role?</w:t>
      </w:r>
      <w:r w:rsidR="00776A29" w:rsidRPr="0093370A">
        <w:t xml:space="preserve"> </w:t>
      </w:r>
    </w:p>
    <w:p w14:paraId="3D4E8188" w14:textId="77777777" w:rsidR="000C4E17" w:rsidRDefault="000C4E17" w:rsidP="00A02148">
      <w:pPr>
        <w:spacing w:line="276" w:lineRule="auto"/>
        <w:jc w:val="both"/>
      </w:pPr>
    </w:p>
    <w:p w14:paraId="2B29B3B0" w14:textId="5959C530" w:rsidR="00E5408E" w:rsidRDefault="000D49ED" w:rsidP="00C37270">
      <w:pPr>
        <w:spacing w:line="276" w:lineRule="auto"/>
        <w:jc w:val="both"/>
      </w:pPr>
      <w:r>
        <w:t xml:space="preserve">In view of the </w:t>
      </w:r>
      <w:r w:rsidR="005C0B5B">
        <w:t xml:space="preserve">above </w:t>
      </w:r>
      <w:r>
        <w:t xml:space="preserve">observations </w:t>
      </w:r>
      <w:r w:rsidR="00D132AF">
        <w:t xml:space="preserve">about the committee system, </w:t>
      </w:r>
      <w:r>
        <w:t xml:space="preserve">a </w:t>
      </w:r>
      <w:r w:rsidR="00E5408E">
        <w:t xml:space="preserve">review </w:t>
      </w:r>
      <w:r>
        <w:t xml:space="preserve">appears to be timely of </w:t>
      </w:r>
      <w:r w:rsidR="00E5408E">
        <w:t>the functions, roles, and organisation of the committee system</w:t>
      </w:r>
      <w:r w:rsidR="00FA7A93">
        <w:t xml:space="preserve"> and its performance in</w:t>
      </w:r>
      <w:r>
        <w:t xml:space="preserve"> the</w:t>
      </w:r>
      <w:r w:rsidR="00FA7A93">
        <w:t xml:space="preserve"> oversight of the executive, reviewing legislation and conducting inquiries with public engagement.</w:t>
      </w:r>
    </w:p>
    <w:p w14:paraId="63EEACD5" w14:textId="77777777" w:rsidR="00C37270" w:rsidRDefault="00C37270" w:rsidP="00E5408E">
      <w:pPr>
        <w:spacing w:line="276" w:lineRule="auto"/>
      </w:pPr>
    </w:p>
    <w:p w14:paraId="0D84C08E" w14:textId="1E844BF9" w:rsidR="00F82FC3" w:rsidRPr="00E9054D" w:rsidRDefault="009F3BDB" w:rsidP="00DF2384">
      <w:pPr>
        <w:spacing w:line="276" w:lineRule="auto"/>
        <w:jc w:val="both"/>
        <w:rPr>
          <w:i/>
          <w:iCs/>
        </w:rPr>
      </w:pPr>
      <w:r w:rsidRPr="00E46AD8">
        <w:t>Recommendation</w:t>
      </w:r>
      <w:r w:rsidR="00054DA9">
        <w:t xml:space="preserve"> 3</w:t>
      </w:r>
      <w:r w:rsidRPr="00E46AD8">
        <w:t>:</w:t>
      </w:r>
      <w:r w:rsidRPr="00E9054D">
        <w:rPr>
          <w:i/>
          <w:iCs/>
        </w:rPr>
        <w:t xml:space="preserve"> </w:t>
      </w:r>
      <w:r w:rsidR="00F82FC3" w:rsidRPr="00E9054D">
        <w:rPr>
          <w:i/>
          <w:iCs/>
        </w:rPr>
        <w:t>T</w:t>
      </w:r>
      <w:r w:rsidR="005C0B5B">
        <w:rPr>
          <w:i/>
          <w:iCs/>
        </w:rPr>
        <w:t xml:space="preserve">he </w:t>
      </w:r>
      <w:r w:rsidR="00B8049F">
        <w:rPr>
          <w:i/>
          <w:iCs/>
        </w:rPr>
        <w:t xml:space="preserve">Legislative </w:t>
      </w:r>
      <w:r w:rsidR="005C0B5B">
        <w:rPr>
          <w:i/>
          <w:iCs/>
        </w:rPr>
        <w:t xml:space="preserve">Assembly </w:t>
      </w:r>
      <w:r w:rsidR="00B8049F">
        <w:rPr>
          <w:i/>
          <w:iCs/>
        </w:rPr>
        <w:t>should review the committee system and</w:t>
      </w:r>
      <w:r w:rsidR="00F82FC3" w:rsidRPr="00E9054D">
        <w:rPr>
          <w:i/>
          <w:iCs/>
        </w:rPr>
        <w:t xml:space="preserve"> committee</w:t>
      </w:r>
      <w:r w:rsidR="00B8049F">
        <w:rPr>
          <w:i/>
          <w:iCs/>
        </w:rPr>
        <w:t xml:space="preserve"> roles to determine whether</w:t>
      </w:r>
      <w:r w:rsidR="00F82FC3" w:rsidRPr="00E9054D">
        <w:rPr>
          <w:i/>
          <w:iCs/>
        </w:rPr>
        <w:t>:</w:t>
      </w:r>
    </w:p>
    <w:p w14:paraId="52430EF3" w14:textId="77777777" w:rsidR="00E74DA4" w:rsidRPr="004B058C" w:rsidRDefault="00E74DA4" w:rsidP="00E74DA4">
      <w:pPr>
        <w:spacing w:line="276" w:lineRule="auto"/>
        <w:jc w:val="both"/>
        <w:rPr>
          <w:i/>
          <w:iCs/>
        </w:rPr>
      </w:pPr>
      <w:r w:rsidRPr="004B058C">
        <w:rPr>
          <w:i/>
          <w:iCs/>
        </w:rPr>
        <w:t>• the language used should be sharpened by referring to scrutiny of the executive and investigation of public policy matters</w:t>
      </w:r>
    </w:p>
    <w:p w14:paraId="71A15FCF" w14:textId="77777777" w:rsidR="00E74DA4" w:rsidRPr="004B058C" w:rsidRDefault="00E74DA4" w:rsidP="00E74DA4">
      <w:pPr>
        <w:spacing w:line="276" w:lineRule="auto"/>
        <w:jc w:val="both"/>
        <w:rPr>
          <w:i/>
          <w:iCs/>
        </w:rPr>
      </w:pPr>
      <w:r w:rsidRPr="004B058C">
        <w:rPr>
          <w:i/>
          <w:iCs/>
        </w:rPr>
        <w:t xml:space="preserve">• greater use should be made of standing committees for the examination of bills </w:t>
      </w:r>
    </w:p>
    <w:p w14:paraId="56E578BE" w14:textId="77777777" w:rsidR="00E74DA4" w:rsidRPr="004B058C" w:rsidRDefault="00E74DA4" w:rsidP="00E74DA4">
      <w:pPr>
        <w:spacing w:line="276" w:lineRule="auto"/>
        <w:jc w:val="both"/>
        <w:rPr>
          <w:i/>
          <w:iCs/>
        </w:rPr>
      </w:pPr>
      <w:r w:rsidRPr="004B058C">
        <w:rPr>
          <w:i/>
          <w:iCs/>
        </w:rPr>
        <w:t>• standing committees should more explicitly reflect directorates, and be clearly subject matter committees</w:t>
      </w:r>
    </w:p>
    <w:p w14:paraId="3C55E445" w14:textId="4579096F" w:rsidR="00E74DA4" w:rsidRPr="004B058C" w:rsidRDefault="00E74DA4" w:rsidP="00E74DA4">
      <w:pPr>
        <w:spacing w:line="276" w:lineRule="auto"/>
        <w:jc w:val="both"/>
        <w:rPr>
          <w:i/>
          <w:iCs/>
        </w:rPr>
      </w:pPr>
      <w:r w:rsidRPr="004B058C">
        <w:rPr>
          <w:i/>
          <w:iCs/>
        </w:rPr>
        <w:t>• some subjects incorporated in committee titles</w:t>
      </w:r>
      <w:r w:rsidR="00B8049F" w:rsidRPr="00B8049F">
        <w:rPr>
          <w:i/>
          <w:iCs/>
        </w:rPr>
        <w:t xml:space="preserve"> </w:t>
      </w:r>
      <w:r w:rsidR="00B8049F" w:rsidRPr="004B058C">
        <w:rPr>
          <w:i/>
          <w:iCs/>
        </w:rPr>
        <w:t>be dropped</w:t>
      </w:r>
      <w:r w:rsidR="00B8049F">
        <w:rPr>
          <w:i/>
          <w:iCs/>
        </w:rPr>
        <w:t xml:space="preserve"> where</w:t>
      </w:r>
      <w:r w:rsidRPr="004B058C">
        <w:rPr>
          <w:i/>
          <w:iCs/>
        </w:rPr>
        <w:t xml:space="preserve"> th</w:t>
      </w:r>
      <w:r w:rsidR="00B8049F">
        <w:rPr>
          <w:i/>
          <w:iCs/>
        </w:rPr>
        <w:t>ey</w:t>
      </w:r>
      <w:r w:rsidRPr="004B058C">
        <w:rPr>
          <w:i/>
          <w:iCs/>
        </w:rPr>
        <w:t xml:space="preserve"> are not given obvious attention in committee activity</w:t>
      </w:r>
    </w:p>
    <w:p w14:paraId="475DB704" w14:textId="4F347104" w:rsidR="00E74DA4" w:rsidRPr="004B058C" w:rsidRDefault="00E74DA4" w:rsidP="00E74DA4">
      <w:pPr>
        <w:spacing w:line="276" w:lineRule="auto"/>
        <w:jc w:val="both"/>
        <w:rPr>
          <w:i/>
          <w:iCs/>
        </w:rPr>
      </w:pPr>
      <w:r w:rsidRPr="004B058C">
        <w:rPr>
          <w:i/>
          <w:iCs/>
        </w:rPr>
        <w:t xml:space="preserve">• </w:t>
      </w:r>
      <w:r w:rsidR="00B8049F">
        <w:rPr>
          <w:i/>
          <w:iCs/>
        </w:rPr>
        <w:t>much</w:t>
      </w:r>
      <w:r w:rsidRPr="004B058C">
        <w:rPr>
          <w:i/>
          <w:iCs/>
        </w:rPr>
        <w:t xml:space="preserve"> select committee activity </w:t>
      </w:r>
      <w:r w:rsidR="00B8049F">
        <w:rPr>
          <w:i/>
          <w:iCs/>
        </w:rPr>
        <w:t xml:space="preserve">might </w:t>
      </w:r>
      <w:r w:rsidRPr="004B058C">
        <w:rPr>
          <w:i/>
          <w:iCs/>
        </w:rPr>
        <w:t>be incorporated in standing committees</w:t>
      </w:r>
      <w:r w:rsidR="00B8049F">
        <w:rPr>
          <w:i/>
          <w:iCs/>
        </w:rPr>
        <w:t xml:space="preserve"> including</w:t>
      </w:r>
      <w:r w:rsidRPr="004B058C">
        <w:rPr>
          <w:i/>
          <w:iCs/>
        </w:rPr>
        <w:t xml:space="preserve"> estimates</w:t>
      </w:r>
    </w:p>
    <w:p w14:paraId="50836B2B" w14:textId="3BCABE53" w:rsidR="00AF0A36" w:rsidRDefault="00AF0A36" w:rsidP="0025346E">
      <w:pPr>
        <w:spacing w:line="276" w:lineRule="auto"/>
        <w:jc w:val="both"/>
      </w:pPr>
    </w:p>
    <w:p w14:paraId="290DAC3D" w14:textId="5B76AC0B" w:rsidR="00D61B5D" w:rsidRPr="00B77FB7" w:rsidRDefault="00BB18B7" w:rsidP="00D61B5D">
      <w:pPr>
        <w:spacing w:after="240" w:line="276" w:lineRule="auto"/>
        <w:jc w:val="both"/>
        <w:rPr>
          <w:i/>
          <w:iCs/>
        </w:rPr>
      </w:pPr>
      <w:r>
        <w:t>Recommendation</w:t>
      </w:r>
      <w:r w:rsidR="00054DA9">
        <w:t xml:space="preserve"> 4</w:t>
      </w:r>
      <w:r>
        <w:t xml:space="preserve">: </w:t>
      </w:r>
      <w:r w:rsidRPr="0072433D">
        <w:rPr>
          <w:i/>
          <w:iCs/>
        </w:rPr>
        <w:t>The Legislative Assembly should review the purpose and operation of the Public Accounts Committee with reference to how they operate in comparable jurisdictions</w:t>
      </w:r>
      <w:r w:rsidR="00B77FB7">
        <w:rPr>
          <w:i/>
          <w:iCs/>
        </w:rPr>
        <w:t xml:space="preserve">, and whether </w:t>
      </w:r>
      <w:r w:rsidR="00D61B5D" w:rsidRPr="00210E47">
        <w:rPr>
          <w:i/>
        </w:rPr>
        <w:t xml:space="preserve">the resources available </w:t>
      </w:r>
      <w:r w:rsidR="00B77FB7" w:rsidRPr="00210E47">
        <w:rPr>
          <w:i/>
        </w:rPr>
        <w:t xml:space="preserve">should be </w:t>
      </w:r>
      <w:r w:rsidR="00D61B5D" w:rsidRPr="00210E47">
        <w:rPr>
          <w:i/>
        </w:rPr>
        <w:t>increased</w:t>
      </w:r>
    </w:p>
    <w:p w14:paraId="070B2319" w14:textId="351675EA" w:rsidR="0021187C" w:rsidRPr="00C80DDE" w:rsidRDefault="0021187C" w:rsidP="0021187C">
      <w:pPr>
        <w:spacing w:line="276" w:lineRule="auto"/>
        <w:jc w:val="both"/>
        <w:rPr>
          <w:b/>
          <w:color w:val="4472C4" w:themeColor="accent1"/>
        </w:rPr>
      </w:pPr>
      <w:r w:rsidRPr="00C80DDE">
        <w:rPr>
          <w:b/>
          <w:color w:val="4472C4" w:themeColor="accent1"/>
        </w:rPr>
        <w:lastRenderedPageBreak/>
        <w:t xml:space="preserve">Independence </w:t>
      </w:r>
      <w:r w:rsidR="0067055D" w:rsidRPr="00C80DDE">
        <w:rPr>
          <w:b/>
          <w:color w:val="4472C4" w:themeColor="accent1"/>
        </w:rPr>
        <w:t xml:space="preserve">and </w:t>
      </w:r>
      <w:r w:rsidR="005E7EF1">
        <w:rPr>
          <w:b/>
          <w:color w:val="4472C4" w:themeColor="accent1"/>
        </w:rPr>
        <w:t>R</w:t>
      </w:r>
      <w:r w:rsidR="0067055D" w:rsidRPr="00C80DDE">
        <w:rPr>
          <w:b/>
          <w:color w:val="4472C4" w:themeColor="accent1"/>
        </w:rPr>
        <w:t xml:space="preserve">esourcing </w:t>
      </w:r>
      <w:r w:rsidRPr="00C80DDE">
        <w:rPr>
          <w:b/>
          <w:color w:val="4472C4" w:themeColor="accent1"/>
        </w:rPr>
        <w:t>of the Assembly</w:t>
      </w:r>
    </w:p>
    <w:p w14:paraId="57277241" w14:textId="1BAC81ED" w:rsidR="00C27DF2" w:rsidRDefault="00AD097F" w:rsidP="00C37270">
      <w:pPr>
        <w:spacing w:before="120" w:after="120" w:line="276" w:lineRule="auto"/>
        <w:jc w:val="both"/>
      </w:pPr>
      <w:r>
        <w:t xml:space="preserve">There are a number of ways of enhancing the independence of the </w:t>
      </w:r>
      <w:r w:rsidR="00957B4C">
        <w:t>Assembly</w:t>
      </w:r>
      <w:r>
        <w:t xml:space="preserve">, which are discussed in this and the following section.  </w:t>
      </w:r>
      <w:r w:rsidR="00032E86">
        <w:t xml:space="preserve">A succession of acts during the 2010s have strengthened the independence of officers and offices within or attached to the </w:t>
      </w:r>
      <w:r w:rsidR="00C27DF2">
        <w:t>Assembly</w:t>
      </w:r>
      <w:r w:rsidR="00957B4C">
        <w:t xml:space="preserve"> and provided an improved basis to its funding</w:t>
      </w:r>
      <w:r w:rsidR="00C27DF2">
        <w:t xml:space="preserve">. </w:t>
      </w:r>
    </w:p>
    <w:p w14:paraId="0A6740C4" w14:textId="49DBBA72" w:rsidR="00F55487" w:rsidRDefault="00285BF3" w:rsidP="00DB1BA7">
      <w:pPr>
        <w:pStyle w:val="Normal18J"/>
        <w:spacing w:after="120" w:line="276" w:lineRule="auto"/>
        <w:rPr>
          <w:lang w:val="en-US"/>
        </w:rPr>
      </w:pPr>
      <w:r>
        <w:rPr>
          <w:rFonts w:cs="Times New Roman"/>
          <w:szCs w:val="24"/>
        </w:rPr>
        <w:t xml:space="preserve">Latimer </w:t>
      </w:r>
      <w:r w:rsidR="0023598C">
        <w:rPr>
          <w:rFonts w:cs="Times New Roman"/>
          <w:szCs w:val="24"/>
        </w:rPr>
        <w:t xml:space="preserve">House </w:t>
      </w:r>
      <w:r>
        <w:rPr>
          <w:rFonts w:cs="Times New Roman"/>
          <w:szCs w:val="24"/>
        </w:rPr>
        <w:t>a</w:t>
      </w:r>
      <w:r w:rsidR="00CD221B" w:rsidRPr="00D57592">
        <w:rPr>
          <w:rFonts w:cs="Times New Roman"/>
          <w:szCs w:val="24"/>
        </w:rPr>
        <w:t xml:space="preserve">ction guidelines for </w:t>
      </w:r>
      <w:r w:rsidR="00CD221B">
        <w:t xml:space="preserve">the </w:t>
      </w:r>
      <w:r w:rsidR="00CD221B" w:rsidRPr="00D57592">
        <w:rPr>
          <w:rFonts w:cs="Times New Roman"/>
          <w:szCs w:val="24"/>
        </w:rPr>
        <w:t>independence of p</w:t>
      </w:r>
      <w:r w:rsidR="00CD221B" w:rsidRPr="00F55487">
        <w:rPr>
          <w:rFonts w:cs="Times New Roman"/>
          <w:szCs w:val="24"/>
        </w:rPr>
        <w:t xml:space="preserve">arliamentarians </w:t>
      </w:r>
      <w:r w:rsidR="00CD221B">
        <w:t>emphasise</w:t>
      </w:r>
      <w:r w:rsidR="00CD221B" w:rsidRPr="00F55487">
        <w:rPr>
          <w:rFonts w:ascii="GillSans" w:hAnsi="GillSans"/>
          <w:sz w:val="20"/>
          <w:szCs w:val="20"/>
        </w:rPr>
        <w:t xml:space="preserve"> </w:t>
      </w:r>
      <w:r w:rsidR="00CD221B" w:rsidRPr="00032817">
        <w:rPr>
          <w:szCs w:val="24"/>
          <w:lang w:val="en-US"/>
        </w:rPr>
        <w:t xml:space="preserve">having access to resources </w:t>
      </w:r>
      <w:r w:rsidR="00CD221B">
        <w:rPr>
          <w:lang w:val="en-US"/>
        </w:rPr>
        <w:t xml:space="preserve">that are </w:t>
      </w:r>
      <w:r w:rsidR="00CD221B" w:rsidRPr="00032817">
        <w:rPr>
          <w:szCs w:val="24"/>
          <w:lang w:val="en-US"/>
        </w:rPr>
        <w:t>commensurate with responsibilities</w:t>
      </w:r>
      <w:r w:rsidR="007F7143">
        <w:rPr>
          <w:szCs w:val="24"/>
          <w:lang w:val="en-US"/>
        </w:rPr>
        <w:t>,</w:t>
      </w:r>
      <w:r w:rsidR="00CD221B" w:rsidRPr="00032817">
        <w:rPr>
          <w:szCs w:val="24"/>
          <w:lang w:val="en-US"/>
        </w:rPr>
        <w:t xml:space="preserve"> </w:t>
      </w:r>
      <w:r w:rsidR="00CD221B">
        <w:t>and p</w:t>
      </w:r>
      <w:r w:rsidR="00CD221B" w:rsidRPr="00F55487">
        <w:rPr>
          <w:rFonts w:cs="Times New Roman"/>
          <w:szCs w:val="24"/>
        </w:rPr>
        <w:t>arliaments hav</w:t>
      </w:r>
      <w:r w:rsidR="00CD221B">
        <w:t>ing</w:t>
      </w:r>
      <w:r w:rsidR="00CD221B" w:rsidRPr="00F55487">
        <w:rPr>
          <w:rFonts w:cs="Times New Roman"/>
          <w:szCs w:val="24"/>
        </w:rPr>
        <w:t xml:space="preserve"> control of budget</w:t>
      </w:r>
      <w:r w:rsidR="007F7143">
        <w:rPr>
          <w:rFonts w:cs="Times New Roman"/>
          <w:szCs w:val="24"/>
        </w:rPr>
        <w:t>s</w:t>
      </w:r>
      <w:r w:rsidR="00CD221B" w:rsidRPr="00F55487">
        <w:rPr>
          <w:rFonts w:cs="Times New Roman"/>
          <w:szCs w:val="24"/>
        </w:rPr>
        <w:t>.</w:t>
      </w:r>
      <w:r w:rsidR="00CD221B" w:rsidRPr="00032817">
        <w:rPr>
          <w:rStyle w:val="FootnoteReference"/>
          <w:szCs w:val="24"/>
          <w:lang w:val="en-US"/>
        </w:rPr>
        <w:footnoteReference w:id="17"/>
      </w:r>
      <w:r w:rsidR="00CD221B">
        <w:rPr>
          <w:lang w:val="en-US"/>
        </w:rPr>
        <w:t xml:space="preserve"> </w:t>
      </w:r>
      <w:r w:rsidR="00B13C46">
        <w:rPr>
          <w:lang w:val="en-US"/>
        </w:rPr>
        <w:t xml:space="preserve">The </w:t>
      </w:r>
      <w:r w:rsidR="00B13C46">
        <w:t>professional staff of p</w:t>
      </w:r>
      <w:r w:rsidR="007A0C2D">
        <w:t xml:space="preserve">arliament should be independent </w:t>
      </w:r>
      <w:r w:rsidR="00B13C46">
        <w:t>from</w:t>
      </w:r>
      <w:r w:rsidR="007A0C2D">
        <w:t xml:space="preserve"> the public service.</w:t>
      </w:r>
      <w:r w:rsidR="00DE31F3">
        <w:rPr>
          <w:szCs w:val="24"/>
          <w:lang w:val="en-US"/>
        </w:rPr>
        <w:t xml:space="preserve"> </w:t>
      </w:r>
      <w:r w:rsidR="00732030" w:rsidRPr="00F41A44">
        <w:rPr>
          <w:szCs w:val="24"/>
          <w:lang w:val="en-US"/>
        </w:rPr>
        <w:t xml:space="preserve">The benchmark of the Commonwealth Parliamentary Association is </w:t>
      </w:r>
      <w:r>
        <w:rPr>
          <w:szCs w:val="24"/>
          <w:lang w:val="en-US"/>
        </w:rPr>
        <w:t xml:space="preserve">also </w:t>
      </w:r>
      <w:r w:rsidR="00732030" w:rsidRPr="00F41A44">
        <w:rPr>
          <w:szCs w:val="24"/>
          <w:lang w:val="en-US"/>
        </w:rPr>
        <w:t>clear: ‘Only the legislature shall be empowered to determine and approve the budget of the legislature’.</w:t>
      </w:r>
      <w:r w:rsidR="00732030" w:rsidRPr="00732030">
        <w:rPr>
          <w:rStyle w:val="FootnoteReference"/>
          <w:szCs w:val="24"/>
          <w:lang w:val="en-US"/>
        </w:rPr>
        <w:t xml:space="preserve"> </w:t>
      </w:r>
      <w:r w:rsidR="00732030" w:rsidRPr="00F41A44">
        <w:rPr>
          <w:rStyle w:val="FootnoteReference"/>
          <w:szCs w:val="24"/>
          <w:lang w:val="en-US"/>
        </w:rPr>
        <w:footnoteReference w:id="18"/>
      </w:r>
      <w:r w:rsidR="0023598C">
        <w:rPr>
          <w:rStyle w:val="FootnoteReference"/>
          <w:szCs w:val="24"/>
          <w:lang w:val="en-US"/>
        </w:rPr>
        <w:t xml:space="preserve"> </w:t>
      </w:r>
      <w:r w:rsidR="0021187C" w:rsidRPr="00032817">
        <w:rPr>
          <w:szCs w:val="24"/>
          <w:lang w:val="en-US"/>
        </w:rPr>
        <w:t xml:space="preserve">Less clear were ways in which the good governance of </w:t>
      </w:r>
      <w:r w:rsidR="007F7143">
        <w:rPr>
          <w:szCs w:val="24"/>
          <w:lang w:val="en-US"/>
        </w:rPr>
        <w:t xml:space="preserve">the </w:t>
      </w:r>
      <w:r w:rsidR="0021187C" w:rsidRPr="00032817">
        <w:rPr>
          <w:szCs w:val="24"/>
          <w:lang w:val="en-US"/>
        </w:rPr>
        <w:t>ACT would be advantaged through better resourcing.</w:t>
      </w:r>
      <w:r w:rsidR="00F55487">
        <w:rPr>
          <w:lang w:val="en-US"/>
        </w:rPr>
        <w:t xml:space="preserve"> Th</w:t>
      </w:r>
      <w:r w:rsidR="004C2EB2">
        <w:rPr>
          <w:lang w:val="en-US"/>
        </w:rPr>
        <w:t>at</w:t>
      </w:r>
      <w:r w:rsidR="0073709C">
        <w:rPr>
          <w:lang w:val="en-US"/>
        </w:rPr>
        <w:t xml:space="preserve"> </w:t>
      </w:r>
      <w:r w:rsidR="00F55487">
        <w:rPr>
          <w:lang w:val="en-US"/>
        </w:rPr>
        <w:t>is a matter picked up by</w:t>
      </w:r>
      <w:r w:rsidR="0023598C">
        <w:rPr>
          <w:lang w:val="en-US"/>
        </w:rPr>
        <w:t xml:space="preserve"> other</w:t>
      </w:r>
      <w:r w:rsidR="00F55487">
        <w:rPr>
          <w:lang w:val="en-US"/>
        </w:rPr>
        <w:t xml:space="preserve"> </w:t>
      </w:r>
      <w:r w:rsidR="007A0C2D">
        <w:rPr>
          <w:lang w:val="en-US"/>
        </w:rPr>
        <w:t xml:space="preserve">studies that </w:t>
      </w:r>
      <w:r w:rsidR="00F759CF">
        <w:rPr>
          <w:lang w:val="en-US"/>
        </w:rPr>
        <w:t>advance</w:t>
      </w:r>
      <w:r w:rsidR="007A0C2D">
        <w:rPr>
          <w:lang w:val="en-US"/>
        </w:rPr>
        <w:t xml:space="preserve"> aspirational objectives with different costings</w:t>
      </w:r>
      <w:r w:rsidR="000F25A6">
        <w:rPr>
          <w:lang w:val="en-US"/>
        </w:rPr>
        <w:t xml:space="preserve"> (Moran et al 2018).</w:t>
      </w:r>
    </w:p>
    <w:p w14:paraId="2460E9D9" w14:textId="6A46D614" w:rsidR="0021187C" w:rsidRPr="00F41A44" w:rsidRDefault="0021187C" w:rsidP="00DB1BA7">
      <w:pPr>
        <w:spacing w:after="120" w:line="276" w:lineRule="auto"/>
        <w:jc w:val="both"/>
        <w:rPr>
          <w:lang w:val="en-US"/>
        </w:rPr>
      </w:pPr>
      <w:r>
        <w:rPr>
          <w:lang w:val="en-US"/>
        </w:rPr>
        <w:t xml:space="preserve">In </w:t>
      </w:r>
      <w:r w:rsidRPr="00F41A44">
        <w:rPr>
          <w:lang w:val="en-US"/>
        </w:rPr>
        <w:t>the Australian tradition</w:t>
      </w:r>
      <w:r>
        <w:rPr>
          <w:lang w:val="en-US"/>
        </w:rPr>
        <w:t xml:space="preserve"> and </w:t>
      </w:r>
      <w:r w:rsidRPr="00BB412B">
        <w:rPr>
          <w:lang w:val="en-US"/>
        </w:rPr>
        <w:t xml:space="preserve">type of parliamentary system, the </w:t>
      </w:r>
      <w:r w:rsidR="006D714F">
        <w:rPr>
          <w:lang w:val="en-US"/>
        </w:rPr>
        <w:t>e</w:t>
      </w:r>
      <w:r w:rsidRPr="00BB412B">
        <w:rPr>
          <w:lang w:val="en-US"/>
        </w:rPr>
        <w:t xml:space="preserve">xecutive has been the dominant branch in the relationship with </w:t>
      </w:r>
      <w:r w:rsidR="006D714F">
        <w:rPr>
          <w:lang w:val="en-US"/>
        </w:rPr>
        <w:t>the legislature</w:t>
      </w:r>
      <w:r w:rsidRPr="00BB412B">
        <w:rPr>
          <w:lang w:val="en-US"/>
        </w:rPr>
        <w:t xml:space="preserve"> because of how they are co-joined through members of the political executive being recruited from the parliament and because of an electoral system that traditionally produced majority government.</w:t>
      </w:r>
      <w:r w:rsidRPr="00112D2F">
        <w:rPr>
          <w:sz w:val="22"/>
          <w:lang w:val="en-US"/>
        </w:rPr>
        <w:t xml:space="preserve"> </w:t>
      </w:r>
      <w:r w:rsidRPr="00BB412B">
        <w:rPr>
          <w:lang w:val="en-US"/>
        </w:rPr>
        <w:t xml:space="preserve">The ACT </w:t>
      </w:r>
      <w:r>
        <w:rPr>
          <w:lang w:val="en-US"/>
        </w:rPr>
        <w:t>has differed</w:t>
      </w:r>
      <w:r w:rsidRPr="00BB412B">
        <w:rPr>
          <w:lang w:val="en-US"/>
        </w:rPr>
        <w:t xml:space="preserve"> </w:t>
      </w:r>
      <w:r>
        <w:rPr>
          <w:lang w:val="en-US"/>
        </w:rPr>
        <w:t>because a number of</w:t>
      </w:r>
      <w:r w:rsidRPr="00BB412B">
        <w:rPr>
          <w:lang w:val="en-US"/>
        </w:rPr>
        <w:t xml:space="preserve"> Legislative Assemblies have had minority governments.</w:t>
      </w:r>
      <w:r>
        <w:rPr>
          <w:lang w:val="en-US"/>
        </w:rPr>
        <w:t xml:space="preserve"> </w:t>
      </w:r>
      <w:r w:rsidRPr="00F41A44">
        <w:rPr>
          <w:lang w:val="en-US"/>
        </w:rPr>
        <w:t xml:space="preserve">The Executive </w:t>
      </w:r>
      <w:r>
        <w:rPr>
          <w:lang w:val="en-US"/>
        </w:rPr>
        <w:t>h</w:t>
      </w:r>
      <w:r w:rsidRPr="00F41A44">
        <w:rPr>
          <w:lang w:val="en-US"/>
        </w:rPr>
        <w:t xml:space="preserve">as </w:t>
      </w:r>
      <w:r>
        <w:rPr>
          <w:lang w:val="en-US"/>
        </w:rPr>
        <w:t xml:space="preserve">been </w:t>
      </w:r>
      <w:r w:rsidRPr="00F41A44">
        <w:rPr>
          <w:lang w:val="en-US"/>
        </w:rPr>
        <w:t xml:space="preserve">fairly attentive to the needs of the Legislative Assembly, but </w:t>
      </w:r>
      <w:r>
        <w:rPr>
          <w:lang w:val="en-US"/>
        </w:rPr>
        <w:t>perhaps more so</w:t>
      </w:r>
      <w:r w:rsidRPr="00F41A44">
        <w:rPr>
          <w:lang w:val="en-US"/>
        </w:rPr>
        <w:t xml:space="preserve"> under the conditions of minority government. </w:t>
      </w:r>
    </w:p>
    <w:p w14:paraId="34F7F523" w14:textId="76E112E5" w:rsidR="0021187C" w:rsidRDefault="0021187C" w:rsidP="00DB1BA7">
      <w:pPr>
        <w:pStyle w:val="NormalWeb"/>
        <w:shd w:val="clear" w:color="auto" w:fill="FFFFFF"/>
        <w:spacing w:before="0" w:beforeAutospacing="0" w:after="120" w:afterAutospacing="0" w:line="276" w:lineRule="auto"/>
        <w:jc w:val="both"/>
      </w:pPr>
      <w:r w:rsidRPr="00F41A44">
        <w:t xml:space="preserve">It was noted in the first Latimer review that </w:t>
      </w:r>
      <w:r>
        <w:t xml:space="preserve">the statement </w:t>
      </w:r>
      <w:r w:rsidRPr="00F41A44">
        <w:t xml:space="preserve">‘In relation to the key Latimer Principle, that the Legislature should have the power to determine and approve its budget, is not applied in </w:t>
      </w:r>
      <w:r w:rsidR="00357CE9">
        <w:t xml:space="preserve">the </w:t>
      </w:r>
      <w:r w:rsidRPr="00F41A44">
        <w:t>ACT. This question should be reviewed once the ACT system of government as a whole acquires independent authority over its Governance and agreement is reached on a larger Assembly’</w:t>
      </w:r>
      <w:r w:rsidR="00FF629E">
        <w:t xml:space="preserve"> (Halligan 2011).</w:t>
      </w:r>
      <w:r w:rsidRPr="00F41A44">
        <w:t xml:space="preserve"> The Assembly d</w:t>
      </w:r>
      <w:r>
        <w:t>id</w:t>
      </w:r>
      <w:r w:rsidRPr="00F41A44">
        <w:t xml:space="preserve"> not determine the funding allocation as provided for in the relevant appropriation bill. Instead, the traditional practice has been that the executive determines the funding quantum for the Assembly having considered </w:t>
      </w:r>
      <w:r w:rsidR="00593B57">
        <w:t xml:space="preserve">recommended appropriations </w:t>
      </w:r>
      <w:r w:rsidRPr="00F41A44">
        <w:t xml:space="preserve">put by the Speaker after he or she has sought advice from the Standing Committee on </w:t>
      </w:r>
      <w:r w:rsidRPr="00410E45">
        <w:t xml:space="preserve">Administration and Procedure. </w:t>
      </w:r>
    </w:p>
    <w:p w14:paraId="7A33E425" w14:textId="4379BADE" w:rsidR="00C54C22" w:rsidRDefault="00C54C22" w:rsidP="00C37270">
      <w:pPr>
        <w:spacing w:after="120" w:line="276" w:lineRule="auto"/>
        <w:jc w:val="both"/>
      </w:pPr>
      <w:r w:rsidRPr="009119C5">
        <w:t xml:space="preserve">The Budget Protocols Agreement </w:t>
      </w:r>
      <w:r w:rsidR="001E7F74">
        <w:t xml:space="preserve">now </w:t>
      </w:r>
      <w:r w:rsidRPr="009119C5">
        <w:t xml:space="preserve">covers the principles and procedures for developing the budget </w:t>
      </w:r>
      <w:r>
        <w:t xml:space="preserve">for the </w:t>
      </w:r>
      <w:r w:rsidRPr="009119C5">
        <w:t xml:space="preserve">Office </w:t>
      </w:r>
      <w:r>
        <w:t xml:space="preserve">and </w:t>
      </w:r>
      <w:r w:rsidRPr="00E176F4">
        <w:t>Officers</w:t>
      </w:r>
      <w:r w:rsidRPr="009119C5">
        <w:t xml:space="preserve"> </w:t>
      </w:r>
      <w:r>
        <w:t xml:space="preserve">of the </w:t>
      </w:r>
      <w:r w:rsidRPr="009119C5">
        <w:t>Legislative Assembly. An agreement has existed between the Treasurer and the Speaker since 20</w:t>
      </w:r>
      <w:r w:rsidR="0043553D">
        <w:t>1</w:t>
      </w:r>
      <w:r w:rsidRPr="009119C5">
        <w:t>4 and has been progressively refined</w:t>
      </w:r>
      <w:r w:rsidR="000F25A6">
        <w:t xml:space="preserve"> (Burch 2019)</w:t>
      </w:r>
      <w:r w:rsidRPr="009119C5">
        <w:t>.</w:t>
      </w:r>
      <w:r>
        <w:t xml:space="preserve"> </w:t>
      </w:r>
      <w:r w:rsidRPr="009119C5">
        <w:t xml:space="preserve">A statement of principles states that: ‘The parties commit to advance the ‘separation of powers doctrine’ as it relates to the mutually independent status of the legislative and executive branches of government in the ACT’s form of parliamentary </w:t>
      </w:r>
      <w:r w:rsidRPr="009119C5">
        <w:lastRenderedPageBreak/>
        <w:t>democracy. The parties recognise that each branch has distinct roles and responsibilities that will not be encroached by one another’.</w:t>
      </w:r>
      <w:r w:rsidRPr="009119C5">
        <w:rPr>
          <w:rStyle w:val="FootnoteReference"/>
        </w:rPr>
        <w:footnoteReference w:id="19"/>
      </w:r>
      <w:r>
        <w:t xml:space="preserve"> W</w:t>
      </w:r>
      <w:r w:rsidRPr="00E176F4">
        <w:t xml:space="preserve">hile the executive government </w:t>
      </w:r>
      <w:r>
        <w:t>has the right</w:t>
      </w:r>
      <w:r w:rsidRPr="00E176F4">
        <w:t xml:space="preserve"> to frame a budget appropriation bill, the recommended appropriation </w:t>
      </w:r>
      <w:r>
        <w:t>must</w:t>
      </w:r>
      <w:r w:rsidRPr="00E176F4">
        <w:t xml:space="preserve"> </w:t>
      </w:r>
      <w:r>
        <w:t>reflect</w:t>
      </w:r>
      <w:r w:rsidRPr="00E176F4">
        <w:t xml:space="preserve"> the </w:t>
      </w:r>
      <w:r w:rsidR="006D714F">
        <w:t>l</w:t>
      </w:r>
      <w:r w:rsidRPr="00E176F4">
        <w:t>egislature’s resource requirements and priorities. The independent status of the Legislative Assembly, Office of the Legislative Assembly and Officers of the Legislative Assembly</w:t>
      </w:r>
      <w:r>
        <w:t xml:space="preserve"> are reaffirmed and </w:t>
      </w:r>
      <w:r w:rsidRPr="00E176F4">
        <w:t xml:space="preserve">are not subject to the direction </w:t>
      </w:r>
      <w:r w:rsidR="00F42A72">
        <w:t xml:space="preserve">or the policies and procedures </w:t>
      </w:r>
      <w:r w:rsidRPr="00E176F4">
        <w:t>of the Executive</w:t>
      </w:r>
      <w:r>
        <w:t xml:space="preserve">. </w:t>
      </w:r>
    </w:p>
    <w:p w14:paraId="230439C5" w14:textId="44B2186A" w:rsidR="0097256F" w:rsidRDefault="00C54C22" w:rsidP="00DB1BA7">
      <w:pPr>
        <w:spacing w:after="120" w:line="276" w:lineRule="auto"/>
        <w:jc w:val="both"/>
      </w:pPr>
      <w:r>
        <w:t xml:space="preserve">The </w:t>
      </w:r>
      <w:r w:rsidRPr="009B4A35">
        <w:rPr>
          <w:rStyle w:val="Emphasis"/>
          <w:i w:val="0"/>
          <w:iCs w:val="0"/>
          <w:color w:val="000000"/>
          <w:bdr w:val="none" w:sz="0" w:space="0" w:color="auto" w:frame="1"/>
        </w:rPr>
        <w:t>Budget</w:t>
      </w:r>
      <w:r w:rsidRPr="00F65938">
        <w:rPr>
          <w:rStyle w:val="Emphasis"/>
          <w:i w:val="0"/>
          <w:iCs w:val="0"/>
          <w:color w:val="000000"/>
          <w:bdr w:val="none" w:sz="0" w:space="0" w:color="auto" w:frame="1"/>
        </w:rPr>
        <w:t xml:space="preserve"> </w:t>
      </w:r>
      <w:r w:rsidR="0050117F">
        <w:rPr>
          <w:rStyle w:val="Emphasis"/>
          <w:i w:val="0"/>
          <w:iCs w:val="0"/>
          <w:color w:val="000000"/>
          <w:bdr w:val="none" w:sz="0" w:space="0" w:color="auto" w:frame="1"/>
        </w:rPr>
        <w:t>P</w:t>
      </w:r>
      <w:r w:rsidRPr="00F65938">
        <w:rPr>
          <w:rStyle w:val="Emphasis"/>
          <w:i w:val="0"/>
          <w:iCs w:val="0"/>
          <w:color w:val="000000"/>
          <w:bdr w:val="none" w:sz="0" w:space="0" w:color="auto" w:frame="1"/>
        </w:rPr>
        <w:t xml:space="preserve">rotocols </w:t>
      </w:r>
      <w:r w:rsidR="0050117F">
        <w:rPr>
          <w:rStyle w:val="Emphasis"/>
          <w:i w:val="0"/>
          <w:iCs w:val="0"/>
          <w:color w:val="000000"/>
          <w:bdr w:val="none" w:sz="0" w:space="0" w:color="auto" w:frame="1"/>
        </w:rPr>
        <w:t>A</w:t>
      </w:r>
      <w:r w:rsidRPr="00F65938">
        <w:rPr>
          <w:rStyle w:val="Emphasis"/>
          <w:i w:val="0"/>
          <w:iCs w:val="0"/>
          <w:color w:val="000000"/>
          <w:bdr w:val="none" w:sz="0" w:space="0" w:color="auto" w:frame="1"/>
        </w:rPr>
        <w:t>greement for the Office of the Legislative Assembly and Officers of the Legislative Assembly</w:t>
      </w:r>
      <w:r w:rsidRPr="00F65938">
        <w:rPr>
          <w:rStyle w:val="apple-converted-space"/>
          <w:i/>
          <w:iCs/>
          <w:color w:val="000000"/>
        </w:rPr>
        <w:t> </w:t>
      </w:r>
      <w:r w:rsidRPr="0012695A">
        <w:t>set out detailed arrangements for the development and consideration of budget</w:t>
      </w:r>
      <w:r>
        <w:t xml:space="preserve"> appropriations. The protocols are intended to strengthen the application of the separation of powers doctrine and acknowledge and support the financial initiative of the Executive (the right of the Executive to develop and frame appropriations for consideration by the Legislature). The protocols were first developed in the Eighth Assembly and applied only in relation to the budget appropriations of the Office of the Legislative Assembly. They have since been expanded to include the Auditor-General and the Electoral Commissioner, both of whom are Officers of the Legislative Assembly. The current protocols took effect in 2018. A</w:t>
      </w:r>
      <w:r w:rsidRPr="005914CE">
        <w:t xml:space="preserve"> review </w:t>
      </w:r>
      <w:r>
        <w:t>is to</w:t>
      </w:r>
      <w:r w:rsidRPr="005914CE">
        <w:t xml:space="preserve"> be conducted</w:t>
      </w:r>
      <w:r>
        <w:t xml:space="preserve"> </w:t>
      </w:r>
      <w:r w:rsidRPr="005914CE">
        <w:t>at the end of the 2020</w:t>
      </w:r>
      <w:r>
        <w:t xml:space="preserve"> </w:t>
      </w:r>
      <w:r w:rsidRPr="005914CE">
        <w:t xml:space="preserve">to </w:t>
      </w:r>
      <w:r>
        <w:t>evaluate</w:t>
      </w:r>
      <w:r w:rsidRPr="005914CE">
        <w:t xml:space="preserve"> the </w:t>
      </w:r>
      <w:r>
        <w:t>effectiveness of the a</w:t>
      </w:r>
      <w:r w:rsidRPr="005914CE">
        <w:t>greement</w:t>
      </w:r>
      <w:r>
        <w:t>.</w:t>
      </w:r>
    </w:p>
    <w:p w14:paraId="0DA98615" w14:textId="18DE5166" w:rsidR="0021187C" w:rsidRPr="0097256F" w:rsidRDefault="0021187C" w:rsidP="00DB1BA7">
      <w:pPr>
        <w:spacing w:after="120" w:line="276" w:lineRule="auto"/>
        <w:jc w:val="both"/>
      </w:pPr>
      <w:r w:rsidRPr="00FE5AA2">
        <w:t xml:space="preserve">The </w:t>
      </w:r>
      <w:r w:rsidRPr="00FE5AA2">
        <w:rPr>
          <w:i/>
          <w:iCs/>
        </w:rPr>
        <w:t>Legislative Assembly (Office of the Legislative Assembly) Act</w:t>
      </w:r>
      <w:r>
        <w:rPr>
          <w:i/>
          <w:iCs/>
        </w:rPr>
        <w:t xml:space="preserve"> </w:t>
      </w:r>
      <w:r w:rsidRPr="00FE5AA2">
        <w:rPr>
          <w:i/>
          <w:iCs/>
        </w:rPr>
        <w:t>2012</w:t>
      </w:r>
      <w:r>
        <w:rPr>
          <w:i/>
          <w:iCs/>
        </w:rPr>
        <w:t xml:space="preserve"> </w:t>
      </w:r>
      <w:r w:rsidRPr="00FE5AA2">
        <w:t>(the OLA Act) establishe</w:t>
      </w:r>
      <w:r>
        <w:t>d</w:t>
      </w:r>
      <w:r w:rsidRPr="00FE5AA2">
        <w:t xml:space="preserve"> the Office of the Legislative Assembly</w:t>
      </w:r>
      <w:r w:rsidRPr="00FE5AA2">
        <w:rPr>
          <w:position w:val="10"/>
        </w:rPr>
        <w:t xml:space="preserve"> </w:t>
      </w:r>
      <w:r w:rsidRPr="00FE5AA2">
        <w:t xml:space="preserve">and enshrines its independence. </w:t>
      </w:r>
      <w:r>
        <w:t>T</w:t>
      </w:r>
      <w:r w:rsidRPr="00FE5AA2">
        <w:t>he Act provides that ‘the clerk and the office’s staff are not subject to the direction by the Executive or any Minister in the exercise of their functions’</w:t>
      </w:r>
      <w:r>
        <w:t>.</w:t>
      </w:r>
      <w:r w:rsidR="00EF26CA">
        <w:rPr>
          <w:position w:val="10"/>
          <w:sz w:val="20"/>
          <w:szCs w:val="20"/>
        </w:rPr>
        <w:t xml:space="preserve"> </w:t>
      </w:r>
      <w:r w:rsidRPr="00F0295C">
        <w:t xml:space="preserve">The Office of the Legislative Assembly is responsible for the provision of impartial advice and support to the chamber, its committees and the Members. The Office’s statement of values </w:t>
      </w:r>
      <w:r>
        <w:t>emphasises i</w:t>
      </w:r>
      <w:r w:rsidRPr="00100BAD">
        <w:t>ndependence</w:t>
      </w:r>
      <w:r>
        <w:t xml:space="preserve"> </w:t>
      </w:r>
      <w:r w:rsidRPr="00100BAD">
        <w:t>and separation from the executive</w:t>
      </w:r>
      <w:r w:rsidR="002C071A">
        <w:t>, t</w:t>
      </w:r>
      <w:r w:rsidR="002C071A" w:rsidRPr="00100BAD">
        <w:t>ransparency and accountability</w:t>
      </w:r>
      <w:r>
        <w:t xml:space="preserve">, </w:t>
      </w:r>
      <w:r w:rsidR="00A3044C" w:rsidRPr="00100BAD">
        <w:t>primacy of the legislative arm</w:t>
      </w:r>
      <w:r w:rsidR="00D8656F">
        <w:t>,</w:t>
      </w:r>
      <w:r w:rsidR="00A3044C">
        <w:t xml:space="preserve"> </w:t>
      </w:r>
      <w:r w:rsidRPr="00100BAD">
        <w:t xml:space="preserve">the principles and guidelines </w:t>
      </w:r>
      <w:r>
        <w:t xml:space="preserve">of </w:t>
      </w:r>
      <w:r w:rsidRPr="00100BAD">
        <w:t xml:space="preserve">the Latimer House Principles as a </w:t>
      </w:r>
      <w:r w:rsidR="00EF26CA">
        <w:t>basis for</w:t>
      </w:r>
      <w:r w:rsidRPr="00100BAD">
        <w:t xml:space="preserve"> best practice </w:t>
      </w:r>
      <w:r>
        <w:t>in</w:t>
      </w:r>
      <w:r w:rsidRPr="00100BAD">
        <w:t xml:space="preserve"> relationship</w:t>
      </w:r>
      <w:r>
        <w:t>s</w:t>
      </w:r>
      <w:r w:rsidRPr="00100BAD">
        <w:t xml:space="preserve"> between</w:t>
      </w:r>
      <w:r>
        <w:t xml:space="preserve"> the </w:t>
      </w:r>
      <w:r w:rsidRPr="00100BAD">
        <w:t>branches of government</w:t>
      </w:r>
      <w:r w:rsidR="002C071A">
        <w:t>,</w:t>
      </w:r>
      <w:r>
        <w:t xml:space="preserve"> and</w:t>
      </w:r>
      <w:r w:rsidRPr="00100BAD">
        <w:t xml:space="preserve"> the checks and balances embodied in the ACT’s form of government, established in the </w:t>
      </w:r>
      <w:r w:rsidRPr="002C071A">
        <w:rPr>
          <w:i/>
          <w:iCs/>
          <w:color w:val="000000" w:themeColor="text1"/>
        </w:rPr>
        <w:t xml:space="preserve">Australian Capital Territory (Self-Government) Act </w:t>
      </w:r>
      <w:r w:rsidRPr="002C071A">
        <w:rPr>
          <w:color w:val="000000" w:themeColor="text1"/>
        </w:rPr>
        <w:t>1988</w:t>
      </w:r>
      <w:r>
        <w:t>.</w:t>
      </w:r>
      <w:r w:rsidRPr="00100BAD">
        <w:t xml:space="preserve"> The Office is accountable to the Speaker, the Assembly and its committees for the work it does. </w:t>
      </w:r>
    </w:p>
    <w:p w14:paraId="25840ED2" w14:textId="16DC20A5" w:rsidR="0021187C" w:rsidRDefault="0021187C" w:rsidP="0021187C">
      <w:pPr>
        <w:spacing w:line="276" w:lineRule="auto"/>
        <w:jc w:val="both"/>
      </w:pPr>
      <w:r>
        <w:t>The p</w:t>
      </w:r>
      <w:r w:rsidRPr="009446C6">
        <w:t xml:space="preserve">owers </w:t>
      </w:r>
      <w:r>
        <w:t>o</w:t>
      </w:r>
      <w:r w:rsidRPr="009446C6">
        <w:t xml:space="preserve">f </w:t>
      </w:r>
      <w:r>
        <w:t>t</w:t>
      </w:r>
      <w:r w:rsidRPr="009446C6">
        <w:t xml:space="preserve">he Speaker </w:t>
      </w:r>
      <w:r>
        <w:t>of the Legislative Assembly were augmented by t</w:t>
      </w:r>
      <w:r w:rsidRPr="00FE5AA2">
        <w:t>he</w:t>
      </w:r>
      <w:r>
        <w:t xml:space="preserve"> </w:t>
      </w:r>
      <w:r w:rsidRPr="00FE5AA2">
        <w:rPr>
          <w:i/>
          <w:iCs/>
        </w:rPr>
        <w:t>Legislative</w:t>
      </w:r>
      <w:r>
        <w:rPr>
          <w:i/>
          <w:iCs/>
        </w:rPr>
        <w:t xml:space="preserve"> </w:t>
      </w:r>
      <w:r w:rsidRPr="00FE5AA2">
        <w:rPr>
          <w:i/>
          <w:iCs/>
        </w:rPr>
        <w:t>Assembly</w:t>
      </w:r>
      <w:r>
        <w:rPr>
          <w:i/>
          <w:iCs/>
        </w:rPr>
        <w:t xml:space="preserve"> </w:t>
      </w:r>
      <w:r w:rsidRPr="00FE5AA2">
        <w:rPr>
          <w:i/>
          <w:iCs/>
        </w:rPr>
        <w:t>Legislation</w:t>
      </w:r>
      <w:r>
        <w:rPr>
          <w:i/>
          <w:iCs/>
        </w:rPr>
        <w:t xml:space="preserve"> </w:t>
      </w:r>
      <w:r w:rsidRPr="00FE5AA2">
        <w:rPr>
          <w:i/>
          <w:iCs/>
        </w:rPr>
        <w:t>Amendment</w:t>
      </w:r>
      <w:r>
        <w:rPr>
          <w:i/>
          <w:iCs/>
        </w:rPr>
        <w:t xml:space="preserve"> </w:t>
      </w:r>
      <w:r w:rsidRPr="00FE5AA2">
        <w:rPr>
          <w:i/>
          <w:iCs/>
        </w:rPr>
        <w:t>Act</w:t>
      </w:r>
      <w:r>
        <w:rPr>
          <w:i/>
          <w:iCs/>
        </w:rPr>
        <w:t xml:space="preserve"> </w:t>
      </w:r>
      <w:r w:rsidRPr="00FE5AA2">
        <w:rPr>
          <w:i/>
          <w:iCs/>
        </w:rPr>
        <w:t>2013</w:t>
      </w:r>
      <w:r w:rsidRPr="00FE5AA2">
        <w:t>,</w:t>
      </w:r>
      <w:r>
        <w:t xml:space="preserve"> including the responsibility for appointing Officers of Parliament, such as </w:t>
      </w:r>
      <w:r w:rsidRPr="00FE5AA2">
        <w:t xml:space="preserve">the Auditor-General </w:t>
      </w:r>
      <w:r>
        <w:t xml:space="preserve">and the </w:t>
      </w:r>
      <w:r w:rsidR="00EA0104">
        <w:t>Electoral</w:t>
      </w:r>
      <w:r>
        <w:t xml:space="preserve"> Commissioner</w:t>
      </w:r>
      <w:r w:rsidR="000B7377">
        <w:rPr>
          <w:rStyle w:val="FootnoteReference"/>
        </w:rPr>
        <w:footnoteReference w:id="20"/>
      </w:r>
      <w:r w:rsidR="000B7377">
        <w:t xml:space="preserve"> </w:t>
      </w:r>
      <w:r w:rsidR="0043553D">
        <w:t>(and later the Integrity Commissioner)</w:t>
      </w:r>
      <w:r>
        <w:t xml:space="preserve">. </w:t>
      </w:r>
      <w:r w:rsidRPr="00FE5AA2">
        <w:t>Pr</w:t>
      </w:r>
      <w:r>
        <w:t>eviously,</w:t>
      </w:r>
      <w:r w:rsidRPr="00FE5AA2">
        <w:t xml:space="preserve"> the </w:t>
      </w:r>
      <w:r>
        <w:t>Executive was responsible.</w:t>
      </w:r>
      <w:r w:rsidRPr="00FE5AA2">
        <w:t xml:space="preserve"> The</w:t>
      </w:r>
      <w:r>
        <w:t xml:space="preserve"> </w:t>
      </w:r>
      <w:r w:rsidRPr="00FE5AA2">
        <w:t>rationale</w:t>
      </w:r>
      <w:r>
        <w:t xml:space="preserve"> </w:t>
      </w:r>
      <w:r w:rsidRPr="00FE5AA2">
        <w:t>for</w:t>
      </w:r>
      <w:r>
        <w:t xml:space="preserve"> shift</w:t>
      </w:r>
      <w:r w:rsidRPr="00FE5AA2">
        <w:t>ing</w:t>
      </w:r>
      <w:r>
        <w:t xml:space="preserve"> </w:t>
      </w:r>
      <w:r w:rsidRPr="00FE5AA2">
        <w:t>these</w:t>
      </w:r>
      <w:r>
        <w:t xml:space="preserve"> </w:t>
      </w:r>
      <w:r w:rsidRPr="00FE5AA2">
        <w:t>powers</w:t>
      </w:r>
      <w:r>
        <w:t xml:space="preserve"> </w:t>
      </w:r>
      <w:r w:rsidRPr="00FE5AA2">
        <w:t xml:space="preserve">was </w:t>
      </w:r>
      <w:r w:rsidR="00357CE9">
        <w:t>that</w:t>
      </w:r>
      <w:r>
        <w:t xml:space="preserve"> the</w:t>
      </w:r>
      <w:r w:rsidRPr="00FE5AA2">
        <w:t xml:space="preserve"> Speaker </w:t>
      </w:r>
      <w:r w:rsidR="00523C29">
        <w:t>could</w:t>
      </w:r>
      <w:r w:rsidRPr="00FE5AA2">
        <w:t xml:space="preserve"> best reflect the </w:t>
      </w:r>
      <w:r w:rsidR="00523C29">
        <w:t xml:space="preserve">Legislative </w:t>
      </w:r>
      <w:r w:rsidRPr="00FE5AA2">
        <w:t>Assembly</w:t>
      </w:r>
      <w:r w:rsidR="00523C29">
        <w:t xml:space="preserve">’s </w:t>
      </w:r>
      <w:r w:rsidR="00523C29" w:rsidRPr="00FE5AA2">
        <w:t>will</w:t>
      </w:r>
      <w:r w:rsidRPr="00FE5AA2">
        <w:t xml:space="preserve"> and </w:t>
      </w:r>
      <w:r w:rsidR="00DB708B">
        <w:t xml:space="preserve">uphold its </w:t>
      </w:r>
      <w:r w:rsidRPr="00FE5AA2">
        <w:t>independence from the Executive</w:t>
      </w:r>
      <w:r w:rsidRPr="00C93A0B">
        <w:t xml:space="preserve">. </w:t>
      </w:r>
    </w:p>
    <w:p w14:paraId="685197D9" w14:textId="77777777" w:rsidR="002B1F71" w:rsidRPr="002B1F71" w:rsidRDefault="002B1F71" w:rsidP="002B1F71">
      <w:pPr>
        <w:spacing w:line="276" w:lineRule="auto"/>
        <w:jc w:val="both"/>
      </w:pPr>
    </w:p>
    <w:p w14:paraId="4E9B7439" w14:textId="77777777" w:rsidR="006D5A1C" w:rsidRPr="006D5A1C" w:rsidRDefault="00AF0A36" w:rsidP="004B35E4">
      <w:pPr>
        <w:spacing w:line="360" w:lineRule="auto"/>
        <w:jc w:val="both"/>
        <w:rPr>
          <w:i/>
          <w:iCs/>
        </w:rPr>
      </w:pPr>
      <w:r w:rsidRPr="006D5A1C">
        <w:rPr>
          <w:i/>
          <w:iCs/>
        </w:rPr>
        <w:t>Law making process</w:t>
      </w:r>
    </w:p>
    <w:p w14:paraId="7597AF93" w14:textId="30DE3085" w:rsidR="00B62901" w:rsidRDefault="00B62901" w:rsidP="00DB1BA7">
      <w:pPr>
        <w:spacing w:after="120" w:line="276" w:lineRule="auto"/>
        <w:jc w:val="both"/>
      </w:pPr>
      <w:r>
        <w:lastRenderedPageBreak/>
        <w:t>The condition of the law-making process features in the Latimer House Principles. In several respects</w:t>
      </w:r>
      <w:r w:rsidR="00885517">
        <w:t xml:space="preserve"> the</w:t>
      </w:r>
      <w:r>
        <w:t xml:space="preserve"> ACT Assembly performs strongly. </w:t>
      </w:r>
      <w:r w:rsidR="008517C4" w:rsidRPr="003E7532">
        <w:t xml:space="preserve">The </w:t>
      </w:r>
      <w:r w:rsidR="008517C4" w:rsidRPr="003E7532">
        <w:rPr>
          <w:lang w:eastAsia="en-AU"/>
        </w:rPr>
        <w:t>average number of days taken between the introduction and the passage of bills</w:t>
      </w:r>
      <w:r w:rsidR="003E7532" w:rsidRPr="003E7532">
        <w:rPr>
          <w:lang w:eastAsia="en-AU"/>
        </w:rPr>
        <w:t xml:space="preserve"> </w:t>
      </w:r>
      <w:r w:rsidR="00072F32">
        <w:rPr>
          <w:lang w:eastAsia="en-AU"/>
        </w:rPr>
        <w:t>is 46, the range being</w:t>
      </w:r>
      <w:r w:rsidR="003E7532" w:rsidRPr="003E7532">
        <w:rPr>
          <w:lang w:eastAsia="en-AU"/>
        </w:rPr>
        <w:t xml:space="preserve"> 48 to 67 days for 2012-2018. </w:t>
      </w:r>
      <w:r w:rsidR="003E7532" w:rsidRPr="003E7532">
        <w:rPr>
          <w:color w:val="000000"/>
          <w:lang w:eastAsia="en-AU"/>
        </w:rPr>
        <w:t xml:space="preserve">The average time that each bill is debated for is </w:t>
      </w:r>
      <w:r w:rsidR="00072F32">
        <w:rPr>
          <w:color w:val="000000"/>
          <w:lang w:eastAsia="en-AU"/>
        </w:rPr>
        <w:t xml:space="preserve">43 minutes (the range being </w:t>
      </w:r>
      <w:r w:rsidR="003E7532" w:rsidRPr="003E7532">
        <w:rPr>
          <w:color w:val="000000"/>
          <w:lang w:eastAsia="en-AU"/>
        </w:rPr>
        <w:t xml:space="preserve">40 </w:t>
      </w:r>
      <w:r w:rsidR="00072F32">
        <w:rPr>
          <w:color w:val="000000"/>
          <w:lang w:eastAsia="en-AU"/>
        </w:rPr>
        <w:t>to</w:t>
      </w:r>
      <w:r w:rsidR="003E7532" w:rsidRPr="003E7532">
        <w:rPr>
          <w:color w:val="000000"/>
          <w:lang w:eastAsia="en-AU"/>
        </w:rPr>
        <w:t xml:space="preserve"> 50 minutes </w:t>
      </w:r>
      <w:r w:rsidR="00072F32">
        <w:rPr>
          <w:color w:val="000000"/>
          <w:lang w:eastAsia="en-AU"/>
        </w:rPr>
        <w:t xml:space="preserve">for </w:t>
      </w:r>
      <w:r w:rsidR="003E7532" w:rsidRPr="003E7532">
        <w:rPr>
          <w:color w:val="000000"/>
          <w:lang w:eastAsia="en-AU"/>
        </w:rPr>
        <w:t>2012-2018)</w:t>
      </w:r>
      <w:r w:rsidR="00D1690A">
        <w:rPr>
          <w:color w:val="000000"/>
          <w:lang w:eastAsia="en-AU"/>
        </w:rPr>
        <w:t xml:space="preserve">. </w:t>
      </w:r>
      <w:r w:rsidR="00A30BE6" w:rsidRPr="005B4456">
        <w:t xml:space="preserve">In </w:t>
      </w:r>
      <w:r w:rsidR="00154853" w:rsidRPr="005B4456">
        <w:t>addition,</w:t>
      </w:r>
      <w:r w:rsidR="00A30BE6" w:rsidRPr="005B4456">
        <w:t xml:space="preserve"> closure motions are not </w:t>
      </w:r>
      <w:r w:rsidR="00154853" w:rsidRPr="005B4456">
        <w:t>used,</w:t>
      </w:r>
      <w:r w:rsidR="00A30BE6" w:rsidRPr="005B4456">
        <w:t xml:space="preserve"> and bills are </w:t>
      </w:r>
      <w:r w:rsidR="00910A7A">
        <w:t xml:space="preserve">not </w:t>
      </w:r>
      <w:r w:rsidR="00A30BE6" w:rsidRPr="005B4456">
        <w:t>forced through in one day</w:t>
      </w:r>
      <w:r w:rsidR="00D1690A">
        <w:t xml:space="preserve"> </w:t>
      </w:r>
      <w:r w:rsidR="00D1690A">
        <w:rPr>
          <w:color w:val="000000"/>
          <w:lang w:eastAsia="en-AU"/>
        </w:rPr>
        <w:t>(ACT Legislative Assembly Parliamentary Performance Report Cards 2012-2018)</w:t>
      </w:r>
      <w:r w:rsidR="00EA6712" w:rsidRPr="005B4456">
        <w:t xml:space="preserve">. </w:t>
      </w:r>
    </w:p>
    <w:p w14:paraId="31620903" w14:textId="52454B89" w:rsidR="00B62901" w:rsidRDefault="00B62901" w:rsidP="00967E3B">
      <w:pPr>
        <w:spacing w:line="276" w:lineRule="auto"/>
        <w:jc w:val="both"/>
      </w:pPr>
      <w:r>
        <w:t xml:space="preserve">However, committees play </w:t>
      </w:r>
      <w:r w:rsidR="005E7EF1">
        <w:t>a</w:t>
      </w:r>
      <w:r w:rsidR="00326762">
        <w:t>n insignificant</w:t>
      </w:r>
      <w:r w:rsidR="005E7EF1">
        <w:t xml:space="preserve"> role</w:t>
      </w:r>
      <w:r>
        <w:t xml:space="preserve"> in legislation as indicated above, although where they do, the use of the public inquiry process is significant (</w:t>
      </w:r>
      <w:r w:rsidR="0090141E">
        <w:t>as discussed</w:t>
      </w:r>
      <w:r>
        <w:t xml:space="preserve"> later).</w:t>
      </w:r>
    </w:p>
    <w:p w14:paraId="476FA5C7" w14:textId="77777777" w:rsidR="00967E3B" w:rsidRDefault="00967E3B" w:rsidP="00967E3B">
      <w:pPr>
        <w:spacing w:line="276" w:lineRule="auto"/>
        <w:jc w:val="both"/>
      </w:pPr>
    </w:p>
    <w:p w14:paraId="746FFE2A" w14:textId="6CA25AEA" w:rsidR="00E82628" w:rsidRPr="00E82628" w:rsidRDefault="00E82628" w:rsidP="00C37270">
      <w:pPr>
        <w:pStyle w:val="Normal18J"/>
        <w:rPr>
          <w:i/>
          <w:iCs/>
        </w:rPr>
      </w:pPr>
      <w:r w:rsidRPr="00E82628">
        <w:rPr>
          <w:i/>
          <w:iCs/>
        </w:rPr>
        <w:t>Holding the executive to account</w:t>
      </w:r>
    </w:p>
    <w:p w14:paraId="1E4EA14D" w14:textId="77777777" w:rsidR="000651C4" w:rsidRDefault="00E82628" w:rsidP="00DB1BA7">
      <w:pPr>
        <w:spacing w:after="120" w:line="276" w:lineRule="auto"/>
        <w:jc w:val="both"/>
      </w:pPr>
      <w:r w:rsidRPr="00E82628">
        <w:t xml:space="preserve">As mentioned earlier, the </w:t>
      </w:r>
      <w:r>
        <w:t>Assembly has a number of options for holding the executive to account, including the estimates process and the review of annual reports</w:t>
      </w:r>
      <w:r w:rsidR="00AD0975">
        <w:t>.</w:t>
      </w:r>
      <w:r w:rsidR="00605105">
        <w:t xml:space="preserve"> </w:t>
      </w:r>
      <w:r w:rsidR="000651C4">
        <w:t>Another area of activity is questions directed to ministers either with</w:t>
      </w:r>
      <w:r w:rsidR="000651C4" w:rsidRPr="00A15BB9">
        <w:t xml:space="preserve"> </w:t>
      </w:r>
      <w:r w:rsidR="000651C4">
        <w:t xml:space="preserve">notice or </w:t>
      </w:r>
      <w:r w:rsidR="000651C4" w:rsidRPr="00A15BB9">
        <w:t>without notice</w:t>
      </w:r>
      <w:r w:rsidR="000651C4">
        <w:t xml:space="preserve">. MLAs have generally been active in making use of questions. Questions with notice soared for the 2017-2018 year </w:t>
      </w:r>
      <w:r w:rsidR="000651C4" w:rsidRPr="00A15BB9">
        <w:t>(</w:t>
      </w:r>
      <w:r w:rsidR="000651C4">
        <w:t>1207, up from 377 for the previous year: OLA</w:t>
      </w:r>
      <w:r w:rsidR="000651C4" w:rsidRPr="00A15BB9">
        <w:t xml:space="preserve"> 2018a, Appendix 6)</w:t>
      </w:r>
      <w:r w:rsidR="000651C4">
        <w:t>, while questions without notice and supplementary questions were also noticeable higher.</w:t>
      </w:r>
    </w:p>
    <w:p w14:paraId="1A2D44EA" w14:textId="498ED81F" w:rsidR="004E2AF2" w:rsidRPr="005B4167" w:rsidRDefault="00605105" w:rsidP="005B4167">
      <w:pPr>
        <w:pStyle w:val="Normal18J"/>
        <w:spacing w:line="276" w:lineRule="auto"/>
      </w:pPr>
      <w:r w:rsidRPr="00605105">
        <w:t>Government responses to committee reports</w:t>
      </w:r>
      <w:r>
        <w:t xml:space="preserve"> is a stock concern of parliaments (t</w:t>
      </w:r>
      <w:r w:rsidRPr="003A17D6">
        <w:t xml:space="preserve">he Australian National Audit Office has </w:t>
      </w:r>
      <w:r>
        <w:t xml:space="preserve">recently </w:t>
      </w:r>
      <w:r w:rsidRPr="003A17D6">
        <w:t>examined non-</w:t>
      </w:r>
      <w:r w:rsidR="00AD6628">
        <w:t xml:space="preserve">implementation of recommendations </w:t>
      </w:r>
      <w:r w:rsidRPr="003A17D6">
        <w:t>at the Commonwealth level</w:t>
      </w:r>
      <w:r w:rsidR="006113F3">
        <w:t xml:space="preserve">: </w:t>
      </w:r>
      <w:r>
        <w:t>ANAO 2019)</w:t>
      </w:r>
      <w:r w:rsidRPr="003A17D6">
        <w:t>.</w:t>
      </w:r>
      <w:r w:rsidR="005B4167">
        <w:t xml:space="preserve"> </w:t>
      </w:r>
      <w:r w:rsidR="004E2AF2" w:rsidRPr="003A17D6">
        <w:t xml:space="preserve">Under </w:t>
      </w:r>
      <w:r>
        <w:t xml:space="preserve">ACT </w:t>
      </w:r>
      <w:r w:rsidR="004E2AF2" w:rsidRPr="003A17D6">
        <w:t xml:space="preserve">standing orders, government responses to committee reports must be tabled in the Legislative Assembly within four months of presentation of the report. </w:t>
      </w:r>
      <w:r w:rsidR="004E2AF2">
        <w:t>As Table 10 indicates the response rate has dropped significantly in three of the last four years. It is not entirely clear how to judge the status of reporting. In a few cases there is a blank, others have ‘in progress’</w:t>
      </w:r>
      <w:r>
        <w:t>.</w:t>
      </w:r>
      <w:r w:rsidR="004E2AF2">
        <w:t xml:space="preserve"> </w:t>
      </w:r>
      <w:r w:rsidR="004E2AF2">
        <w:rPr>
          <w:color w:val="201F1E"/>
        </w:rPr>
        <w:t>A s</w:t>
      </w:r>
      <w:r w:rsidR="004E2AF2" w:rsidRPr="003A17D6">
        <w:rPr>
          <w:color w:val="201F1E"/>
        </w:rPr>
        <w:t xml:space="preserve">tanding order specifies that if government does not comply, there is provision for members to request a ministerial explanation or statement; and may move a motion without notice regarding the failure to provide a government response. </w:t>
      </w:r>
    </w:p>
    <w:p w14:paraId="573CAEBF" w14:textId="77777777" w:rsidR="004E2AF2" w:rsidRDefault="004E2AF2" w:rsidP="00B77161">
      <w:pPr>
        <w:pStyle w:val="Normal18J"/>
        <w:spacing w:line="276" w:lineRule="auto"/>
      </w:pPr>
    </w:p>
    <w:p w14:paraId="33241842" w14:textId="6249F369" w:rsidR="00675C3B" w:rsidRDefault="003A17D6" w:rsidP="003A17D6">
      <w:pPr>
        <w:pStyle w:val="Normal18J"/>
      </w:pPr>
      <w:r>
        <w:t xml:space="preserve">Table </w:t>
      </w:r>
      <w:r w:rsidR="004E2AF2">
        <w:t>10</w:t>
      </w:r>
      <w:r>
        <w:tab/>
      </w:r>
      <w:r>
        <w:tab/>
        <w:t xml:space="preserve">   </w:t>
      </w:r>
      <w:r w:rsidR="00675C3B">
        <w:t xml:space="preserve">Percentage of committee reports responded to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363"/>
        <w:gridCol w:w="656"/>
        <w:gridCol w:w="711"/>
        <w:gridCol w:w="656"/>
        <w:gridCol w:w="656"/>
        <w:gridCol w:w="656"/>
        <w:gridCol w:w="656"/>
        <w:gridCol w:w="656"/>
      </w:tblGrid>
      <w:tr w:rsidR="00675C3B" w14:paraId="0FE25A14" w14:textId="77777777" w:rsidTr="00DD69C3">
        <w:tc>
          <w:tcPr>
            <w:tcW w:w="4363" w:type="dxa"/>
            <w:tcBorders>
              <w:bottom w:val="nil"/>
            </w:tcBorders>
          </w:tcPr>
          <w:p w14:paraId="0AC36EDA" w14:textId="77777777" w:rsidR="00675C3B" w:rsidRDefault="00675C3B" w:rsidP="00815590"/>
        </w:tc>
        <w:tc>
          <w:tcPr>
            <w:tcW w:w="656" w:type="dxa"/>
          </w:tcPr>
          <w:p w14:paraId="068050A1" w14:textId="77777777" w:rsidR="00675C3B" w:rsidRPr="00936307" w:rsidRDefault="00675C3B" w:rsidP="00815590">
            <w:pPr>
              <w:rPr>
                <w:sz w:val="22"/>
              </w:rPr>
            </w:pPr>
            <w:r w:rsidRPr="00936307">
              <w:rPr>
                <w:sz w:val="22"/>
              </w:rPr>
              <w:t>2012</w:t>
            </w:r>
          </w:p>
        </w:tc>
        <w:tc>
          <w:tcPr>
            <w:tcW w:w="0" w:type="auto"/>
          </w:tcPr>
          <w:p w14:paraId="03A1E325" w14:textId="77777777" w:rsidR="00675C3B" w:rsidRPr="00936307" w:rsidRDefault="00675C3B" w:rsidP="00815590">
            <w:pPr>
              <w:rPr>
                <w:sz w:val="22"/>
              </w:rPr>
            </w:pPr>
            <w:r w:rsidRPr="00936307">
              <w:rPr>
                <w:sz w:val="22"/>
              </w:rPr>
              <w:t>2013</w:t>
            </w:r>
          </w:p>
        </w:tc>
        <w:tc>
          <w:tcPr>
            <w:tcW w:w="0" w:type="auto"/>
          </w:tcPr>
          <w:p w14:paraId="7493ADD2" w14:textId="77777777" w:rsidR="00675C3B" w:rsidRPr="00936307" w:rsidRDefault="00675C3B" w:rsidP="00815590">
            <w:pPr>
              <w:rPr>
                <w:sz w:val="22"/>
              </w:rPr>
            </w:pPr>
            <w:r w:rsidRPr="00936307">
              <w:rPr>
                <w:sz w:val="22"/>
              </w:rPr>
              <w:t>2014</w:t>
            </w:r>
          </w:p>
        </w:tc>
        <w:tc>
          <w:tcPr>
            <w:tcW w:w="0" w:type="auto"/>
          </w:tcPr>
          <w:p w14:paraId="60805802" w14:textId="77777777" w:rsidR="00675C3B" w:rsidRPr="00936307" w:rsidRDefault="00675C3B" w:rsidP="00815590">
            <w:pPr>
              <w:rPr>
                <w:sz w:val="22"/>
              </w:rPr>
            </w:pPr>
            <w:r w:rsidRPr="00936307">
              <w:rPr>
                <w:sz w:val="22"/>
              </w:rPr>
              <w:t>2015</w:t>
            </w:r>
          </w:p>
        </w:tc>
        <w:tc>
          <w:tcPr>
            <w:tcW w:w="0" w:type="auto"/>
          </w:tcPr>
          <w:p w14:paraId="36BD3558" w14:textId="77777777" w:rsidR="00675C3B" w:rsidRPr="00936307" w:rsidRDefault="00675C3B" w:rsidP="00815590">
            <w:pPr>
              <w:rPr>
                <w:sz w:val="22"/>
              </w:rPr>
            </w:pPr>
            <w:r w:rsidRPr="00936307">
              <w:rPr>
                <w:sz w:val="22"/>
              </w:rPr>
              <w:t>2016</w:t>
            </w:r>
          </w:p>
        </w:tc>
        <w:tc>
          <w:tcPr>
            <w:tcW w:w="0" w:type="auto"/>
          </w:tcPr>
          <w:p w14:paraId="13B44B09" w14:textId="77777777" w:rsidR="00675C3B" w:rsidRPr="00936307" w:rsidRDefault="00675C3B" w:rsidP="00815590">
            <w:pPr>
              <w:rPr>
                <w:sz w:val="22"/>
              </w:rPr>
            </w:pPr>
            <w:r w:rsidRPr="00936307">
              <w:rPr>
                <w:sz w:val="22"/>
              </w:rPr>
              <w:t>2017</w:t>
            </w:r>
          </w:p>
        </w:tc>
        <w:tc>
          <w:tcPr>
            <w:tcW w:w="0" w:type="auto"/>
          </w:tcPr>
          <w:p w14:paraId="06AF587D" w14:textId="77777777" w:rsidR="00675C3B" w:rsidRPr="00936307" w:rsidRDefault="00675C3B" w:rsidP="00815590">
            <w:pPr>
              <w:rPr>
                <w:sz w:val="22"/>
              </w:rPr>
            </w:pPr>
            <w:r w:rsidRPr="00936307">
              <w:rPr>
                <w:sz w:val="22"/>
              </w:rPr>
              <w:t>2018</w:t>
            </w:r>
          </w:p>
        </w:tc>
      </w:tr>
      <w:tr w:rsidR="00675C3B" w14:paraId="48808770" w14:textId="77777777" w:rsidTr="00DD69C3">
        <w:tc>
          <w:tcPr>
            <w:tcW w:w="4363" w:type="dxa"/>
            <w:tcBorders>
              <w:top w:val="nil"/>
            </w:tcBorders>
          </w:tcPr>
          <w:p w14:paraId="79A65A40" w14:textId="5D5D6CFE" w:rsidR="00675C3B" w:rsidRPr="00936307" w:rsidRDefault="00675C3B" w:rsidP="00C34C01">
            <w:pPr>
              <w:spacing w:before="60" w:after="60" w:line="276" w:lineRule="auto"/>
              <w:rPr>
                <w:sz w:val="22"/>
              </w:rPr>
            </w:pPr>
            <w:r w:rsidRPr="00936307">
              <w:rPr>
                <w:sz w:val="22"/>
              </w:rPr>
              <w:t>Government responses to committee reports</w:t>
            </w:r>
            <w:r w:rsidR="00936307">
              <w:rPr>
                <w:sz w:val="22"/>
              </w:rPr>
              <w:t xml:space="preserve"> %</w:t>
            </w:r>
            <w:r w:rsidRPr="00936307">
              <w:rPr>
                <w:sz w:val="22"/>
              </w:rPr>
              <w:t xml:space="preserve"> </w:t>
            </w:r>
          </w:p>
        </w:tc>
        <w:tc>
          <w:tcPr>
            <w:tcW w:w="656" w:type="dxa"/>
          </w:tcPr>
          <w:p w14:paraId="7DE130CC" w14:textId="7FFB54E7" w:rsidR="00675C3B" w:rsidRPr="00936307" w:rsidRDefault="00675C3B" w:rsidP="00C34C01">
            <w:pPr>
              <w:spacing w:before="60" w:after="60" w:line="276" w:lineRule="auto"/>
              <w:jc w:val="center"/>
              <w:rPr>
                <w:sz w:val="22"/>
              </w:rPr>
            </w:pPr>
            <w:r w:rsidRPr="00936307">
              <w:rPr>
                <w:sz w:val="22"/>
              </w:rPr>
              <w:t>95</w:t>
            </w:r>
          </w:p>
        </w:tc>
        <w:tc>
          <w:tcPr>
            <w:tcW w:w="0" w:type="auto"/>
          </w:tcPr>
          <w:p w14:paraId="431A0383" w14:textId="220E337B" w:rsidR="00675C3B" w:rsidRPr="00936307" w:rsidRDefault="00675C3B" w:rsidP="00C34C01">
            <w:pPr>
              <w:spacing w:before="60" w:after="60" w:line="276" w:lineRule="auto"/>
              <w:jc w:val="center"/>
              <w:rPr>
                <w:sz w:val="22"/>
              </w:rPr>
            </w:pPr>
            <w:r w:rsidRPr="00936307">
              <w:rPr>
                <w:sz w:val="22"/>
              </w:rPr>
              <w:t>87.50</w:t>
            </w:r>
          </w:p>
        </w:tc>
        <w:tc>
          <w:tcPr>
            <w:tcW w:w="0" w:type="auto"/>
          </w:tcPr>
          <w:p w14:paraId="580586BD" w14:textId="15D9BCF1" w:rsidR="00675C3B" w:rsidRPr="00936307" w:rsidRDefault="00675C3B" w:rsidP="00C34C01">
            <w:pPr>
              <w:spacing w:before="60" w:after="60" w:line="276" w:lineRule="auto"/>
              <w:jc w:val="center"/>
              <w:rPr>
                <w:sz w:val="22"/>
              </w:rPr>
            </w:pPr>
            <w:r w:rsidRPr="00936307">
              <w:rPr>
                <w:sz w:val="22"/>
              </w:rPr>
              <w:t>100</w:t>
            </w:r>
          </w:p>
        </w:tc>
        <w:tc>
          <w:tcPr>
            <w:tcW w:w="0" w:type="auto"/>
          </w:tcPr>
          <w:p w14:paraId="670EEBCE" w14:textId="5D32396C" w:rsidR="00675C3B" w:rsidRPr="00936307" w:rsidRDefault="00675C3B" w:rsidP="00C34C01">
            <w:pPr>
              <w:spacing w:before="60" w:after="60" w:line="276" w:lineRule="auto"/>
              <w:jc w:val="center"/>
              <w:rPr>
                <w:sz w:val="22"/>
              </w:rPr>
            </w:pPr>
            <w:r w:rsidRPr="00936307">
              <w:rPr>
                <w:sz w:val="22"/>
              </w:rPr>
              <w:t>48</w:t>
            </w:r>
          </w:p>
        </w:tc>
        <w:tc>
          <w:tcPr>
            <w:tcW w:w="0" w:type="auto"/>
          </w:tcPr>
          <w:p w14:paraId="4279344C" w14:textId="6AD1D633" w:rsidR="00675C3B" w:rsidRPr="00936307" w:rsidRDefault="00675C3B" w:rsidP="00C34C01">
            <w:pPr>
              <w:spacing w:before="60" w:after="60" w:line="276" w:lineRule="auto"/>
              <w:jc w:val="center"/>
              <w:rPr>
                <w:sz w:val="22"/>
              </w:rPr>
            </w:pPr>
            <w:r w:rsidRPr="00936307">
              <w:rPr>
                <w:sz w:val="22"/>
              </w:rPr>
              <w:t>92</w:t>
            </w:r>
          </w:p>
        </w:tc>
        <w:tc>
          <w:tcPr>
            <w:tcW w:w="0" w:type="auto"/>
          </w:tcPr>
          <w:p w14:paraId="3ED8281E" w14:textId="0F1346EF" w:rsidR="00675C3B" w:rsidRPr="00936307" w:rsidRDefault="00675C3B" w:rsidP="00C34C01">
            <w:pPr>
              <w:spacing w:before="60" w:after="60" w:line="276" w:lineRule="auto"/>
              <w:jc w:val="center"/>
              <w:rPr>
                <w:sz w:val="22"/>
              </w:rPr>
            </w:pPr>
            <w:r w:rsidRPr="00936307">
              <w:rPr>
                <w:sz w:val="22"/>
              </w:rPr>
              <w:t>56</w:t>
            </w:r>
          </w:p>
        </w:tc>
        <w:tc>
          <w:tcPr>
            <w:tcW w:w="0" w:type="auto"/>
          </w:tcPr>
          <w:p w14:paraId="0587DEF1" w14:textId="71950195" w:rsidR="00675C3B" w:rsidRPr="00936307" w:rsidRDefault="00675C3B" w:rsidP="00C34C01">
            <w:pPr>
              <w:spacing w:before="60" w:after="60" w:line="276" w:lineRule="auto"/>
              <w:jc w:val="center"/>
              <w:rPr>
                <w:sz w:val="22"/>
              </w:rPr>
            </w:pPr>
            <w:r w:rsidRPr="00936307">
              <w:rPr>
                <w:sz w:val="22"/>
              </w:rPr>
              <w:t>61</w:t>
            </w:r>
          </w:p>
        </w:tc>
      </w:tr>
    </w:tbl>
    <w:p w14:paraId="05D89CE5" w14:textId="6B7E2B76" w:rsidR="00675C3B" w:rsidRPr="00A5292B" w:rsidRDefault="00675C3B" w:rsidP="00A5292B">
      <w:pPr>
        <w:spacing w:after="120"/>
        <w:rPr>
          <w:sz w:val="20"/>
          <w:szCs w:val="20"/>
        </w:rPr>
      </w:pPr>
      <w:r w:rsidRPr="00A5292B">
        <w:rPr>
          <w:sz w:val="20"/>
          <w:szCs w:val="20"/>
        </w:rPr>
        <w:t xml:space="preserve">Source: </w:t>
      </w:r>
      <w:r w:rsidR="004A71ED">
        <w:rPr>
          <w:sz w:val="21"/>
          <w:szCs w:val="21"/>
        </w:rPr>
        <w:t xml:space="preserve">Office of the </w:t>
      </w:r>
      <w:r w:rsidRPr="00A5292B">
        <w:rPr>
          <w:sz w:val="20"/>
          <w:szCs w:val="20"/>
        </w:rPr>
        <w:t>Legislative Assembly</w:t>
      </w:r>
      <w:r w:rsidR="004A71ED">
        <w:rPr>
          <w:sz w:val="20"/>
          <w:szCs w:val="20"/>
        </w:rPr>
        <w:t>,</w:t>
      </w:r>
      <w:r w:rsidRPr="00A5292B">
        <w:rPr>
          <w:sz w:val="20"/>
          <w:szCs w:val="20"/>
        </w:rPr>
        <w:t xml:space="preserve"> Parliamentary Performance Report Cards, 2012-2018</w:t>
      </w:r>
    </w:p>
    <w:p w14:paraId="360ED473" w14:textId="1C78C761" w:rsidR="003A17D6" w:rsidRDefault="00881D83" w:rsidP="00DB1BA7">
      <w:pPr>
        <w:spacing w:after="120" w:line="276" w:lineRule="auto"/>
        <w:jc w:val="both"/>
      </w:pPr>
      <w:r w:rsidRPr="003A17D6">
        <w:t xml:space="preserve">This is not </w:t>
      </w:r>
      <w:r w:rsidR="00CC6E48">
        <w:t xml:space="preserve">a </w:t>
      </w:r>
      <w:r w:rsidRPr="003A17D6">
        <w:t xml:space="preserve">matter confined to </w:t>
      </w:r>
      <w:r w:rsidR="00230FF1">
        <w:t xml:space="preserve">the </w:t>
      </w:r>
      <w:r w:rsidRPr="003A17D6">
        <w:t xml:space="preserve">ACT. </w:t>
      </w:r>
      <w:r w:rsidR="00675C3B" w:rsidRPr="003A17D6">
        <w:t>The requirement to respond to committee recommendations exist</w:t>
      </w:r>
      <w:r w:rsidR="00CC6E48">
        <w:t>s</w:t>
      </w:r>
      <w:r w:rsidR="00675C3B" w:rsidRPr="003A17D6">
        <w:t xml:space="preserve"> in other legislatures, such as Queensland, which specifies a </w:t>
      </w:r>
      <w:r w:rsidR="00154853" w:rsidRPr="003A17D6">
        <w:t>three-month</w:t>
      </w:r>
      <w:r w:rsidR="00675C3B" w:rsidRPr="003A17D6">
        <w:t xml:space="preserve"> deadline and requires an interim response from the minister and a final response within six months (50 Section 107 of the </w:t>
      </w:r>
      <w:r w:rsidR="00675C3B" w:rsidRPr="003A17D6">
        <w:rPr>
          <w:i/>
          <w:iCs/>
        </w:rPr>
        <w:t>Parliament of Queensland Act 2001).</w:t>
      </w:r>
      <w:r w:rsidR="00675C3B" w:rsidRPr="003A17D6">
        <w:t xml:space="preserve"> </w:t>
      </w:r>
    </w:p>
    <w:p w14:paraId="41D4D4EC" w14:textId="77777777" w:rsidR="00371FE6" w:rsidRPr="003A17D6" w:rsidRDefault="00371FE6" w:rsidP="00371FE6">
      <w:pPr>
        <w:pStyle w:val="xmsonormal"/>
        <w:spacing w:before="0" w:beforeAutospacing="0" w:after="0" w:afterAutospacing="0" w:line="276" w:lineRule="auto"/>
        <w:jc w:val="both"/>
        <w:rPr>
          <w:color w:val="201F1E"/>
        </w:rPr>
      </w:pPr>
      <w:r>
        <w:rPr>
          <w:color w:val="000000"/>
          <w:bdr w:val="none" w:sz="0" w:space="0" w:color="auto" w:frame="1"/>
        </w:rPr>
        <w:lastRenderedPageBreak/>
        <w:t>There may be several types of explanation. The nature of the recommendation may not always be readily and explicitly responded to. The executive may in some cases be according these responses low priority. The recommendations may not be sufficiently important to MLAs to impel them to use the procedural options available for holding ministers to account.</w:t>
      </w:r>
    </w:p>
    <w:p w14:paraId="1FDB799A" w14:textId="77777777" w:rsidR="00371FE6" w:rsidRDefault="00371FE6" w:rsidP="0025346E">
      <w:pPr>
        <w:pStyle w:val="xmsonormal"/>
        <w:spacing w:before="0" w:beforeAutospacing="0" w:after="0" w:afterAutospacing="0" w:line="276" w:lineRule="auto"/>
        <w:jc w:val="both"/>
        <w:rPr>
          <w:color w:val="000000"/>
          <w:bdr w:val="none" w:sz="0" w:space="0" w:color="auto" w:frame="1"/>
        </w:rPr>
      </w:pPr>
    </w:p>
    <w:p w14:paraId="63CE39A9" w14:textId="316EF665" w:rsidR="006C7DCF" w:rsidRPr="006D14AA" w:rsidRDefault="003945C4" w:rsidP="0025346E">
      <w:pPr>
        <w:pStyle w:val="xmsonormal"/>
        <w:spacing w:before="0" w:beforeAutospacing="0" w:after="0" w:afterAutospacing="0" w:line="276" w:lineRule="auto"/>
        <w:jc w:val="both"/>
        <w:rPr>
          <w:i/>
          <w:iCs/>
          <w:color w:val="000000"/>
          <w:bdr w:val="none" w:sz="0" w:space="0" w:color="auto" w:frame="1"/>
        </w:rPr>
      </w:pPr>
      <w:r w:rsidRPr="007D3975">
        <w:rPr>
          <w:color w:val="000000"/>
          <w:bdr w:val="none" w:sz="0" w:space="0" w:color="auto" w:frame="1"/>
        </w:rPr>
        <w:t>Recommendation</w:t>
      </w:r>
      <w:r w:rsidR="00054DA9" w:rsidRPr="007D3975">
        <w:rPr>
          <w:color w:val="000000"/>
          <w:bdr w:val="none" w:sz="0" w:space="0" w:color="auto" w:frame="1"/>
        </w:rPr>
        <w:t xml:space="preserve"> </w:t>
      </w:r>
      <w:r w:rsidR="007D3975" w:rsidRPr="007D3975">
        <w:rPr>
          <w:color w:val="000000"/>
          <w:bdr w:val="none" w:sz="0" w:space="0" w:color="auto" w:frame="1"/>
        </w:rPr>
        <w:t>6</w:t>
      </w:r>
      <w:r w:rsidRPr="007D3975">
        <w:rPr>
          <w:color w:val="000000"/>
          <w:bdr w:val="none" w:sz="0" w:space="0" w:color="auto" w:frame="1"/>
        </w:rPr>
        <w:t>:</w:t>
      </w:r>
      <w:r w:rsidRPr="006D14AA">
        <w:rPr>
          <w:i/>
          <w:iCs/>
          <w:color w:val="000000"/>
          <w:bdr w:val="none" w:sz="0" w:space="0" w:color="auto" w:frame="1"/>
        </w:rPr>
        <w:t xml:space="preserve"> </w:t>
      </w:r>
      <w:r w:rsidR="00662049" w:rsidRPr="00662049">
        <w:rPr>
          <w:i/>
          <w:iCs/>
          <w:color w:val="000000"/>
          <w:bdr w:val="none" w:sz="0" w:space="0" w:color="auto" w:frame="1"/>
        </w:rPr>
        <w:t>The low recent percentages for Executive responses to committee recommendations indicate that the reasons for the rates of response need to be clarified and this task should be undertaken by the Executive</w:t>
      </w:r>
      <w:r w:rsidR="00662049" w:rsidRPr="00662049">
        <w:rPr>
          <w:color w:val="000000"/>
          <w:bdr w:val="none" w:sz="0" w:space="0" w:color="auto" w:frame="1"/>
        </w:rPr>
        <w:t>.</w:t>
      </w:r>
    </w:p>
    <w:p w14:paraId="6A17043D" w14:textId="100A90DF" w:rsidR="00CE7D14" w:rsidRDefault="00CE7D14" w:rsidP="0025346E">
      <w:pPr>
        <w:spacing w:line="276" w:lineRule="auto"/>
        <w:jc w:val="both"/>
      </w:pPr>
    </w:p>
    <w:p w14:paraId="2B8479D4" w14:textId="77777777" w:rsidR="00CE7D14" w:rsidRPr="00C80DDE" w:rsidRDefault="00CE7D14" w:rsidP="00CE7D14">
      <w:pPr>
        <w:spacing w:line="276" w:lineRule="auto"/>
        <w:jc w:val="both"/>
        <w:rPr>
          <w:b/>
          <w:bCs/>
          <w:color w:val="4472C4" w:themeColor="accent1"/>
          <w:lang w:val="en-US"/>
        </w:rPr>
      </w:pPr>
      <w:r w:rsidRPr="00C80DDE">
        <w:rPr>
          <w:b/>
          <w:bCs/>
          <w:color w:val="4472C4" w:themeColor="accent1"/>
        </w:rPr>
        <w:t xml:space="preserve">Institutional Development and </w:t>
      </w:r>
      <w:r w:rsidRPr="00C80DDE">
        <w:rPr>
          <w:b/>
          <w:bCs/>
          <w:color w:val="4472C4" w:themeColor="accent1"/>
          <w:lang w:val="en-US"/>
        </w:rPr>
        <w:t>Capacity</w:t>
      </w:r>
    </w:p>
    <w:p w14:paraId="57940B1C" w14:textId="291E9117" w:rsidR="00CE7D14" w:rsidRDefault="00CE7D14" w:rsidP="00DB1BA7">
      <w:pPr>
        <w:spacing w:after="120" w:line="276" w:lineRule="auto"/>
        <w:jc w:val="both"/>
      </w:pPr>
      <w:r>
        <w:t>There are a number of ways of reviewing institutional development, such as level of specialisation and continuity of membership. These may enhance capacity, refine procedural support, and reinforce the independence and identity of the legislature. A steady stream of changes over the last decade or so have contributed to the Assembly’s standing including the addition of the Ethics and Integrity Adviser (from 2008), the function of a parliamentary budget officer (from 2009), the Commissioner for Standards (from 2013) and a Register of Lobbyists (2014). There have been regular reviews of the code of conduct (first adopted in 2005)</w:t>
      </w:r>
      <w:r w:rsidR="00A02148">
        <w:t xml:space="preserve"> (Duncan 2017).</w:t>
      </w:r>
      <w:r>
        <w:t xml:space="preserve"> The establishment of Officers of the Legislative Assembly (2013) and the Integrity Commission (2019), discussed later, were major initiatives. These and earlier initiatives indicate a sustained focus on ethical governance, a core Latimer House Principle (Duncan 2018).</w:t>
      </w:r>
    </w:p>
    <w:p w14:paraId="657B13A0" w14:textId="23B74708" w:rsidR="00CE7D14" w:rsidRDefault="00CE7D14" w:rsidP="00DB1BA7">
      <w:pPr>
        <w:spacing w:after="120" w:line="276" w:lineRule="auto"/>
        <w:jc w:val="both"/>
        <w:rPr>
          <w:lang w:val="en-US"/>
        </w:rPr>
      </w:pPr>
      <w:r w:rsidRPr="00911C97">
        <w:t>The renaissance of parliaments has been reflected in their greater activity whether through legislative reviews or policy investigations by committees</w:t>
      </w:r>
      <w:r>
        <w:t xml:space="preserve"> and</w:t>
      </w:r>
      <w:r w:rsidRPr="00911C97">
        <w:t xml:space="preserve"> has been reflected in </w:t>
      </w:r>
      <w:r>
        <w:t xml:space="preserve">new </w:t>
      </w:r>
      <w:r w:rsidRPr="00911C97">
        <w:t xml:space="preserve">agencies responsible to parliament, </w:t>
      </w:r>
      <w:r>
        <w:t xml:space="preserve">such as </w:t>
      </w:r>
      <w:r w:rsidRPr="00911C97">
        <w:t xml:space="preserve">the </w:t>
      </w:r>
      <w:r>
        <w:t>p</w:t>
      </w:r>
      <w:r w:rsidRPr="00162765">
        <w:rPr>
          <w:iCs/>
        </w:rPr>
        <w:t>arliamentary budget office</w:t>
      </w:r>
      <w:r>
        <w:rPr>
          <w:iCs/>
        </w:rPr>
        <w:t xml:space="preserve"> (PBO)</w:t>
      </w:r>
      <w:r>
        <w:t>.</w:t>
      </w:r>
      <w:r>
        <w:rPr>
          <w:lang w:val="en-US"/>
        </w:rPr>
        <w:t xml:space="preserve"> </w:t>
      </w:r>
      <w:r>
        <w:t>T</w:t>
      </w:r>
      <w:r w:rsidRPr="00911C97">
        <w:t xml:space="preserve">he </w:t>
      </w:r>
      <w:r>
        <w:t>growth</w:t>
      </w:r>
      <w:r w:rsidRPr="00911C97">
        <w:t xml:space="preserve"> of independent fiscal oversight agencies</w:t>
      </w:r>
      <w:r>
        <w:t xml:space="preserve"> </w:t>
      </w:r>
      <w:r w:rsidRPr="00911C97">
        <w:t xml:space="preserve">in OECD countries </w:t>
      </w:r>
      <w:r>
        <w:t>has</w:t>
      </w:r>
      <w:r w:rsidRPr="00911C97">
        <w:t xml:space="preserve"> </w:t>
      </w:r>
      <w:r w:rsidRPr="00545CC0">
        <w:rPr>
          <w:rStyle w:val="Emphasis"/>
          <w:i w:val="0"/>
          <w:iCs w:val="0"/>
        </w:rPr>
        <w:t>added capacity and improved accountability</w:t>
      </w:r>
      <w:r>
        <w:rPr>
          <w:rStyle w:val="Emphasis"/>
          <w:i w:val="0"/>
          <w:iCs w:val="0"/>
        </w:rPr>
        <w:t xml:space="preserve"> in parliaments</w:t>
      </w:r>
      <w:r w:rsidRPr="00545CC0">
        <w:rPr>
          <w:i/>
          <w:iCs/>
        </w:rPr>
        <w:t>.</w:t>
      </w:r>
      <w:r w:rsidRPr="00911C97">
        <w:rPr>
          <w:i/>
        </w:rPr>
        <w:t xml:space="preserve"> </w:t>
      </w:r>
      <w:r w:rsidRPr="00911C97">
        <w:t>Apart from analys</w:t>
      </w:r>
      <w:r>
        <w:t>ing</w:t>
      </w:r>
      <w:r w:rsidRPr="00911C97">
        <w:t xml:space="preserve"> long-term fiscal sustainability, PBOs support parliament</w:t>
      </w:r>
      <w:r>
        <w:t>s</w:t>
      </w:r>
      <w:r w:rsidRPr="00911C97">
        <w:t xml:space="preserve"> with budget analysis and </w:t>
      </w:r>
      <w:r>
        <w:t xml:space="preserve">may </w:t>
      </w:r>
      <w:r w:rsidRPr="00911C97">
        <w:t>have a role in policy costing (</w:t>
      </w:r>
      <w:r>
        <w:t xml:space="preserve">e.g. </w:t>
      </w:r>
      <w:r w:rsidRPr="00911C97">
        <w:t>election platforms)</w:t>
      </w:r>
      <w:r>
        <w:t xml:space="preserve"> (Craft and Halligan 2019)</w:t>
      </w:r>
      <w:r w:rsidRPr="00911C97">
        <w:t>.</w:t>
      </w:r>
      <w:r>
        <w:t xml:space="preserve"> </w:t>
      </w:r>
      <w:r>
        <w:rPr>
          <w:rFonts w:ascii="Times" w:hAnsi="Times" w:cs="Times"/>
          <w:color w:val="000000"/>
          <w:lang w:val="en-US"/>
        </w:rPr>
        <w:t>A decade ago, t</w:t>
      </w:r>
      <w:r w:rsidRPr="00540DA8">
        <w:rPr>
          <w:rFonts w:ascii="Times" w:hAnsi="Times" w:cs="Times"/>
          <w:color w:val="000000"/>
          <w:lang w:val="en-US"/>
        </w:rPr>
        <w:t xml:space="preserve">he Standing </w:t>
      </w:r>
      <w:r w:rsidRPr="00545CC0">
        <w:rPr>
          <w:color w:val="000000"/>
          <w:lang w:val="en-US"/>
        </w:rPr>
        <w:t xml:space="preserve">Committee </w:t>
      </w:r>
      <w:r w:rsidRPr="00545CC0">
        <w:rPr>
          <w:lang w:val="en-US"/>
        </w:rPr>
        <w:t>on Administration and Procedure</w:t>
      </w:r>
      <w:r w:rsidRPr="00540DA8">
        <w:rPr>
          <w:rFonts w:ascii="Times" w:hAnsi="Times" w:cs="Times"/>
          <w:color w:val="000000"/>
          <w:lang w:val="en-US"/>
        </w:rPr>
        <w:t xml:space="preserve"> </w:t>
      </w:r>
      <w:r>
        <w:rPr>
          <w:rFonts w:ascii="Times" w:hAnsi="Times" w:cs="Times"/>
          <w:color w:val="000000"/>
          <w:lang w:val="en-US"/>
        </w:rPr>
        <w:t>concluded</w:t>
      </w:r>
      <w:r w:rsidRPr="00540DA8">
        <w:rPr>
          <w:rFonts w:ascii="Times" w:hAnsi="Times" w:cs="Times"/>
          <w:color w:val="000000"/>
          <w:lang w:val="en-US"/>
        </w:rPr>
        <w:t xml:space="preserve"> that</w:t>
      </w:r>
      <w:r>
        <w:rPr>
          <w:rFonts w:ascii="Times" w:hAnsi="Times" w:cs="Times"/>
          <w:color w:val="000000"/>
          <w:lang w:val="en-US"/>
        </w:rPr>
        <w:t xml:space="preserve"> </w:t>
      </w:r>
      <w:r w:rsidRPr="00056BC5">
        <w:rPr>
          <w:color w:val="000000"/>
          <w:lang w:val="en-US"/>
        </w:rPr>
        <w:t>a fully resourced</w:t>
      </w:r>
      <w:r>
        <w:rPr>
          <w:color w:val="000000"/>
          <w:lang w:val="en-US"/>
        </w:rPr>
        <w:t xml:space="preserve"> and</w:t>
      </w:r>
      <w:r w:rsidRPr="00056BC5">
        <w:rPr>
          <w:color w:val="000000"/>
          <w:lang w:val="en-US"/>
        </w:rPr>
        <w:t xml:space="preserve"> independent</w:t>
      </w:r>
      <w:r>
        <w:rPr>
          <w:color w:val="000000"/>
          <w:lang w:val="en-US"/>
        </w:rPr>
        <w:t xml:space="preserve"> PBO wa</w:t>
      </w:r>
      <w:r w:rsidRPr="00056BC5">
        <w:rPr>
          <w:color w:val="000000"/>
          <w:lang w:val="en-US"/>
        </w:rPr>
        <w:t xml:space="preserve">s </w:t>
      </w:r>
      <w:r>
        <w:rPr>
          <w:color w:val="000000"/>
          <w:lang w:val="en-US"/>
        </w:rPr>
        <w:t xml:space="preserve">inappropriate and </w:t>
      </w:r>
      <w:r w:rsidRPr="00056BC5">
        <w:rPr>
          <w:color w:val="000000"/>
          <w:lang w:val="en-US"/>
        </w:rPr>
        <w:t>th</w:t>
      </w:r>
      <w:r>
        <w:rPr>
          <w:color w:val="000000"/>
          <w:lang w:val="en-US"/>
        </w:rPr>
        <w:t>e</w:t>
      </w:r>
      <w:r w:rsidRPr="00056BC5">
        <w:rPr>
          <w:color w:val="000000"/>
          <w:lang w:val="en-US"/>
        </w:rPr>
        <w:t xml:space="preserve"> temporar</w:t>
      </w:r>
      <w:r>
        <w:rPr>
          <w:color w:val="000000"/>
          <w:lang w:val="en-US"/>
        </w:rPr>
        <w:t>y</w:t>
      </w:r>
      <w:r w:rsidRPr="00056BC5">
        <w:rPr>
          <w:color w:val="000000"/>
          <w:lang w:val="en-US"/>
        </w:rPr>
        <w:t xml:space="preserve"> appoint</w:t>
      </w:r>
      <w:r>
        <w:rPr>
          <w:color w:val="000000"/>
          <w:lang w:val="en-US"/>
        </w:rPr>
        <w:t>ment of</w:t>
      </w:r>
      <w:r w:rsidRPr="00056BC5">
        <w:rPr>
          <w:color w:val="000000"/>
          <w:lang w:val="en-US"/>
        </w:rPr>
        <w:t xml:space="preserve"> an expert consultant for the estimates process </w:t>
      </w:r>
      <w:r>
        <w:rPr>
          <w:color w:val="000000"/>
          <w:lang w:val="en-US"/>
        </w:rPr>
        <w:t>provided</w:t>
      </w:r>
      <w:r w:rsidRPr="00056BC5">
        <w:rPr>
          <w:color w:val="000000"/>
          <w:lang w:val="en-US"/>
        </w:rPr>
        <w:t xml:space="preserve"> flexib</w:t>
      </w:r>
      <w:r>
        <w:rPr>
          <w:color w:val="000000"/>
          <w:lang w:val="en-US"/>
        </w:rPr>
        <w:t>ility</w:t>
      </w:r>
      <w:r w:rsidRPr="00056BC5">
        <w:rPr>
          <w:color w:val="000000"/>
          <w:lang w:val="en-US"/>
        </w:rPr>
        <w:t xml:space="preserve"> and</w:t>
      </w:r>
      <w:r>
        <w:rPr>
          <w:color w:val="000000"/>
          <w:lang w:val="en-US"/>
        </w:rPr>
        <w:t xml:space="preserve"> </w:t>
      </w:r>
      <w:r w:rsidRPr="00056BC5">
        <w:rPr>
          <w:color w:val="000000"/>
          <w:lang w:val="en-US"/>
        </w:rPr>
        <w:t>the most appropriate model.</w:t>
      </w:r>
      <w:r>
        <w:rPr>
          <w:rStyle w:val="FootnoteReference"/>
          <w:color w:val="000000"/>
          <w:lang w:val="en-US"/>
        </w:rPr>
        <w:footnoteReference w:id="21"/>
      </w:r>
      <w:r w:rsidRPr="00056BC5">
        <w:rPr>
          <w:color w:val="000000"/>
          <w:lang w:val="en-US"/>
        </w:rPr>
        <w:t xml:space="preserve"> </w:t>
      </w:r>
      <w:r w:rsidRPr="00540DA8">
        <w:rPr>
          <w:lang w:val="en-US"/>
        </w:rPr>
        <w:t xml:space="preserve">This approach </w:t>
      </w:r>
      <w:r>
        <w:rPr>
          <w:lang w:val="en-US"/>
        </w:rPr>
        <w:t>was</w:t>
      </w:r>
      <w:r w:rsidRPr="00540DA8">
        <w:rPr>
          <w:lang w:val="en-US"/>
        </w:rPr>
        <w:t xml:space="preserve"> support</w:t>
      </w:r>
      <w:r>
        <w:rPr>
          <w:lang w:val="en-US"/>
        </w:rPr>
        <w:t>ed by</w:t>
      </w:r>
      <w:r w:rsidRPr="00540DA8">
        <w:rPr>
          <w:lang w:val="en-US"/>
        </w:rPr>
        <w:t xml:space="preserve"> the Executive. An external expert has been used annually to provide advice with regards to Estimates since 2009.</w:t>
      </w:r>
      <w:r>
        <w:rPr>
          <w:lang w:val="en-US"/>
        </w:rPr>
        <w:t xml:space="preserve"> </w:t>
      </w:r>
      <w:r w:rsidRPr="00911C97">
        <w:t xml:space="preserve">The work of the PBO is essentially prospective and </w:t>
      </w:r>
      <w:r>
        <w:t>represents</w:t>
      </w:r>
      <w:r w:rsidRPr="00911C97">
        <w:t xml:space="preserve"> a</w:t>
      </w:r>
      <w:r>
        <w:t xml:space="preserve">n </w:t>
      </w:r>
      <w:r w:rsidRPr="00911C97">
        <w:t>advisory capacity designed explicitly to serve parliamentarians</w:t>
      </w:r>
      <w:r>
        <w:t xml:space="preserve"> that is </w:t>
      </w:r>
      <w:r w:rsidRPr="00911C97">
        <w:t>independent of t</w:t>
      </w:r>
      <w:r>
        <w:t xml:space="preserve">he executive. </w:t>
      </w:r>
      <w:r>
        <w:rPr>
          <w:lang w:val="en-US"/>
        </w:rPr>
        <w:t>Other PBOs may provide a wider range of services, but the question of whether the Assembly needs advice beyond what is provided now was not raised.</w:t>
      </w:r>
    </w:p>
    <w:p w14:paraId="71556905" w14:textId="645E8754" w:rsidR="00CE7D14" w:rsidRDefault="00CE7D14" w:rsidP="00F2525B">
      <w:pPr>
        <w:spacing w:after="120" w:line="276" w:lineRule="auto"/>
        <w:contextualSpacing/>
        <w:jc w:val="both"/>
      </w:pPr>
      <w:r>
        <w:t xml:space="preserve">In terms of supporting MLAs, adequate resources </w:t>
      </w:r>
      <w:r w:rsidR="00F2525B">
        <w:t xml:space="preserve">need to </w:t>
      </w:r>
      <w:r>
        <w:t xml:space="preserve">be provided to backbenchers to improve parliamentary contributions, including provision for secretarial, office, library and research facilities; drafting assistance for private members’ bills and training </w:t>
      </w:r>
      <w:r>
        <w:lastRenderedPageBreak/>
        <w:t xml:space="preserve">for new members. No </w:t>
      </w:r>
      <w:r w:rsidR="00D5179A">
        <w:t>consensus</w:t>
      </w:r>
      <w:r>
        <w:t xml:space="preserve"> emerged about the level of resources to support MLAs, except </w:t>
      </w:r>
      <w:r>
        <w:rPr>
          <w:lang w:val="en-US"/>
        </w:rPr>
        <w:t>independent expertise to assist committee work and access to greater research expertise, were thought to allow stronger roles</w:t>
      </w:r>
      <w:r w:rsidR="00F2525B">
        <w:rPr>
          <w:lang w:val="en-US"/>
        </w:rPr>
        <w:t xml:space="preserve"> and contributions</w:t>
      </w:r>
      <w:r>
        <w:rPr>
          <w:lang w:val="en-US"/>
        </w:rPr>
        <w:t xml:space="preserve">. </w:t>
      </w:r>
      <w:r w:rsidR="00F2525B">
        <w:t>An example of an aspirational</w:t>
      </w:r>
      <w:r w:rsidRPr="008C4489">
        <w:t xml:space="preserve"> approach</w:t>
      </w:r>
      <w:r w:rsidR="00F2525B">
        <w:t xml:space="preserve">, </w:t>
      </w:r>
      <w:r w:rsidR="00F2525B" w:rsidRPr="00F57762">
        <w:t>as conducted for the New Zealand Parliament</w:t>
      </w:r>
      <w:r w:rsidR="00F2525B">
        <w:t>,</w:t>
      </w:r>
      <w:r w:rsidRPr="008C4489">
        <w:t xml:space="preserve"> is </w:t>
      </w:r>
      <w:r w:rsidR="00F2525B">
        <w:t xml:space="preserve">to use </w:t>
      </w:r>
      <w:r w:rsidRPr="008C4489">
        <w:t>an independent review process</w:t>
      </w:r>
      <w:r w:rsidR="00F2525B">
        <w:t xml:space="preserve"> that </w:t>
      </w:r>
      <w:r w:rsidR="00D5179A">
        <w:t>considers</w:t>
      </w:r>
      <w:r w:rsidR="00F2525B">
        <w:t xml:space="preserve"> the long-term development of the institution and relates different levels of support to parliamentary roles and the associated costings (Moran et al 2018).</w:t>
      </w:r>
    </w:p>
    <w:p w14:paraId="3ACD19D2" w14:textId="77777777" w:rsidR="00F2525B" w:rsidRDefault="00F2525B" w:rsidP="00F2525B">
      <w:pPr>
        <w:spacing w:after="120" w:line="276" w:lineRule="auto"/>
        <w:contextualSpacing/>
        <w:jc w:val="both"/>
      </w:pPr>
    </w:p>
    <w:p w14:paraId="0DCCECDC" w14:textId="0C03366A" w:rsidR="004B4242" w:rsidRPr="008C4489" w:rsidRDefault="00CE7D14" w:rsidP="004B4242">
      <w:pPr>
        <w:spacing w:line="276" w:lineRule="auto"/>
        <w:jc w:val="both"/>
      </w:pPr>
      <w:r w:rsidRPr="007D3975">
        <w:rPr>
          <w:lang w:val="en-US"/>
        </w:rPr>
        <w:t>Recommendation 5:</w:t>
      </w:r>
      <w:r w:rsidRPr="008C42B3">
        <w:rPr>
          <w:i/>
          <w:iCs/>
          <w:lang w:val="en-US"/>
        </w:rPr>
        <w:t xml:space="preserve"> </w:t>
      </w:r>
      <w:r w:rsidR="004B4242" w:rsidRPr="00646A14">
        <w:rPr>
          <w:lang w:val="en-US"/>
        </w:rPr>
        <w:t xml:space="preserve">The capacity needs of the Assembly should be </w:t>
      </w:r>
      <w:r w:rsidR="004B4242">
        <w:rPr>
          <w:lang w:val="en-US"/>
        </w:rPr>
        <w:t>re</w:t>
      </w:r>
      <w:r w:rsidR="004B4242" w:rsidRPr="00646A14">
        <w:rPr>
          <w:lang w:val="en-US"/>
        </w:rPr>
        <w:t xml:space="preserve">viewed holistically </w:t>
      </w:r>
      <w:r w:rsidR="004B4242">
        <w:rPr>
          <w:lang w:val="en-US"/>
        </w:rPr>
        <w:t>to determine</w:t>
      </w:r>
      <w:r w:rsidR="004B4242" w:rsidRPr="00646A14">
        <w:rPr>
          <w:lang w:val="en-US"/>
        </w:rPr>
        <w:t xml:space="preserve"> where weaknesses in support can be best addressed. This ranges from resources for MLAs particularly the opposition members, committee work particularly investigat</w:t>
      </w:r>
      <w:r w:rsidR="004B4242">
        <w:rPr>
          <w:lang w:val="en-US"/>
        </w:rPr>
        <w:t>ive</w:t>
      </w:r>
      <w:r w:rsidR="004B4242" w:rsidRPr="00646A14">
        <w:rPr>
          <w:lang w:val="en-US"/>
        </w:rPr>
        <w:t xml:space="preserve"> activities</w:t>
      </w:r>
      <w:r w:rsidR="004B4242">
        <w:rPr>
          <w:lang w:val="en-US"/>
        </w:rPr>
        <w:t>,</w:t>
      </w:r>
      <w:r w:rsidR="004B4242" w:rsidRPr="00646A14">
        <w:rPr>
          <w:lang w:val="en-US"/>
        </w:rPr>
        <w:t xml:space="preserve"> more in-depth scrutiny of the </w:t>
      </w:r>
      <w:r w:rsidR="004B4242">
        <w:rPr>
          <w:lang w:val="en-US"/>
        </w:rPr>
        <w:t>E</w:t>
      </w:r>
      <w:r w:rsidR="004B4242" w:rsidRPr="00646A14">
        <w:rPr>
          <w:lang w:val="en-US"/>
        </w:rPr>
        <w:t xml:space="preserve">xecutive, </w:t>
      </w:r>
      <w:r w:rsidR="004B4242">
        <w:rPr>
          <w:lang w:val="en-US"/>
        </w:rPr>
        <w:t xml:space="preserve">and the level of </w:t>
      </w:r>
      <w:r w:rsidR="004B4242" w:rsidRPr="00646A14">
        <w:rPr>
          <w:lang w:val="en-US"/>
        </w:rPr>
        <w:t xml:space="preserve">research staff in the </w:t>
      </w:r>
      <w:r w:rsidR="004B4242">
        <w:rPr>
          <w:lang w:val="en-US"/>
        </w:rPr>
        <w:t xml:space="preserve">Office of the Legislative Assembly </w:t>
      </w:r>
      <w:r w:rsidR="004B4242" w:rsidRPr="00646A14">
        <w:rPr>
          <w:lang w:val="en-US"/>
        </w:rPr>
        <w:t xml:space="preserve">that can be drawn on. This should be done in conjunction with the review of how </w:t>
      </w:r>
      <w:r w:rsidR="004B4242">
        <w:rPr>
          <w:lang w:val="en-US"/>
        </w:rPr>
        <w:t xml:space="preserve">standing </w:t>
      </w:r>
      <w:r w:rsidR="004B4242" w:rsidRPr="00646A14">
        <w:rPr>
          <w:lang w:val="en-US"/>
        </w:rPr>
        <w:t>committees are performing</w:t>
      </w:r>
      <w:r w:rsidR="004B4242">
        <w:rPr>
          <w:lang w:val="en-US"/>
        </w:rPr>
        <w:t xml:space="preserve"> as a</w:t>
      </w:r>
      <w:r w:rsidR="004B4242" w:rsidRPr="00646A14">
        <w:t xml:space="preserve"> strengthened committee system is likely to require greater supporting expertise</w:t>
      </w:r>
      <w:r w:rsidR="004B4242" w:rsidRPr="008C4489">
        <w:t xml:space="preserve">. The optimal approach is an independent review process </w:t>
      </w:r>
      <w:r w:rsidR="004B4242">
        <w:t xml:space="preserve">that </w:t>
      </w:r>
      <w:r w:rsidR="00D5179A">
        <w:t>considers</w:t>
      </w:r>
      <w:r w:rsidR="004B4242">
        <w:t xml:space="preserve"> the roles of the Assembly and the resources required.</w:t>
      </w:r>
    </w:p>
    <w:p w14:paraId="0650F992" w14:textId="1EA91AB1" w:rsidR="00AF0A36" w:rsidRPr="005812A1" w:rsidRDefault="005812A1" w:rsidP="00C739D7">
      <w:pPr>
        <w:spacing w:before="240" w:after="240" w:line="276" w:lineRule="auto"/>
        <w:jc w:val="both"/>
        <w:outlineLvl w:val="0"/>
        <w:rPr>
          <w:b/>
          <w:color w:val="4472C4" w:themeColor="accent1"/>
          <w:sz w:val="28"/>
          <w:szCs w:val="28"/>
          <w:lang w:val="en-US"/>
        </w:rPr>
      </w:pPr>
      <w:r w:rsidRPr="005812A1">
        <w:rPr>
          <w:b/>
          <w:color w:val="4472C4" w:themeColor="accent1"/>
          <w:sz w:val="28"/>
          <w:szCs w:val="28"/>
          <w:lang w:val="en-US"/>
        </w:rPr>
        <w:t>Judicial Branch</w:t>
      </w:r>
    </w:p>
    <w:p w14:paraId="796EB36F" w14:textId="69DE0ACB" w:rsidR="00AF0A36" w:rsidRPr="00DF3215" w:rsidRDefault="00AF0A36" w:rsidP="006D14AA">
      <w:pPr>
        <w:pStyle w:val="Normal18J"/>
        <w:rPr>
          <w:i/>
          <w:iCs/>
          <w:lang w:val="en-GB"/>
        </w:rPr>
      </w:pPr>
      <w:r w:rsidRPr="00DF3215">
        <w:rPr>
          <w:i/>
          <w:iCs/>
          <w:lang w:val="en-GB"/>
        </w:rPr>
        <w:t>Judiciary and Latimer</w:t>
      </w:r>
    </w:p>
    <w:p w14:paraId="26E69260" w14:textId="0D710C55" w:rsidR="00AF0A36" w:rsidRDefault="00AF0A36" w:rsidP="0025346E">
      <w:pPr>
        <w:spacing w:line="276" w:lineRule="auto"/>
        <w:jc w:val="both"/>
        <w:rPr>
          <w:lang w:val="en-GB"/>
        </w:rPr>
      </w:pPr>
      <w:r>
        <w:rPr>
          <w:lang w:val="en-GB"/>
        </w:rPr>
        <w:t xml:space="preserve">Latimer address two dimensions: the independence of the branch and relationships between branches, both of which have been important in the ACT. Other specific matters are also raised: judicial accountability, resourcing and the appointments process. </w:t>
      </w:r>
    </w:p>
    <w:p w14:paraId="44F2CF5A" w14:textId="77777777" w:rsidR="00AF0A36" w:rsidRDefault="00AF0A36" w:rsidP="0025346E">
      <w:pPr>
        <w:spacing w:line="276" w:lineRule="auto"/>
        <w:jc w:val="both"/>
        <w:rPr>
          <w:lang w:val="en-GB"/>
        </w:rPr>
      </w:pPr>
    </w:p>
    <w:p w14:paraId="768A39D3" w14:textId="77777777" w:rsidR="00AF0A36" w:rsidRPr="00DF3215" w:rsidRDefault="00AF0A36" w:rsidP="006D14AA">
      <w:pPr>
        <w:pStyle w:val="Normal18J"/>
        <w:rPr>
          <w:i/>
          <w:iCs/>
          <w:lang w:val="en-GB"/>
        </w:rPr>
      </w:pPr>
      <w:r w:rsidRPr="00DF3215">
        <w:rPr>
          <w:i/>
          <w:iCs/>
          <w:lang w:val="en-GB"/>
        </w:rPr>
        <w:t>Independence of the Judiciary</w:t>
      </w:r>
    </w:p>
    <w:p w14:paraId="7017DB9E" w14:textId="2D1BA760" w:rsidR="007643EC" w:rsidRDefault="00AF0A36" w:rsidP="00DB1BA7">
      <w:pPr>
        <w:spacing w:after="120" w:line="276" w:lineRule="auto"/>
        <w:jc w:val="both"/>
        <w:rPr>
          <w:lang w:val="en-GB"/>
        </w:rPr>
      </w:pPr>
      <w:r>
        <w:rPr>
          <w:lang w:val="en-GB"/>
        </w:rPr>
        <w:t>The Latimer Houser Principles are clear on the position of the Judiciary: ‘An independent, impartial, honest and competent Judiciary is integral to upholding the rule of law, engendering public confidence and dispensing justice’</w:t>
      </w:r>
      <w:r w:rsidR="00156D35">
        <w:rPr>
          <w:lang w:val="en-GB"/>
        </w:rPr>
        <w:t>.</w:t>
      </w:r>
      <w:r>
        <w:rPr>
          <w:lang w:val="en-GB"/>
        </w:rPr>
        <w:t xml:space="preserve"> In order to achieve these </w:t>
      </w:r>
      <w:r w:rsidR="00154853">
        <w:rPr>
          <w:lang w:val="en-GB"/>
        </w:rPr>
        <w:t>objectives,</w:t>
      </w:r>
      <w:r>
        <w:rPr>
          <w:lang w:val="en-GB"/>
        </w:rPr>
        <w:t xml:space="preserve"> there are requirements covering judicial appointments, security of tenure, resourcing of the judicial system and interaction with the executive.</w:t>
      </w:r>
    </w:p>
    <w:p w14:paraId="64C768C0" w14:textId="18F0E685" w:rsidR="00AF0A36" w:rsidRDefault="00AF0A36" w:rsidP="00DB1BA7">
      <w:pPr>
        <w:spacing w:after="120" w:line="276" w:lineRule="auto"/>
        <w:jc w:val="both"/>
        <w:rPr>
          <w:lang w:val="en-GB"/>
        </w:rPr>
      </w:pPr>
      <w:r>
        <w:rPr>
          <w:lang w:val="en-GB"/>
        </w:rPr>
        <w:t xml:space="preserve">The question of the role and standing of the judicial branch is subject to several interpretations. There is complete agreement about the independence of the Judiciary in terms of the judgement it makes in accordance with the law. With regards to the administration of the courts there appear to be at least two basic positions: one holds that judicial independence requires control of the courts to be in the hands of the judicial branch; the other is that effective and efficient court administration requires a direct role for the Executive. Both positions acknowledge a role for the other branch but differ as to what the nature and extent of that role should be. </w:t>
      </w:r>
    </w:p>
    <w:p w14:paraId="53B4720A" w14:textId="510A6D82" w:rsidR="00AF0A36" w:rsidRDefault="00AF0A36" w:rsidP="0025346E">
      <w:pPr>
        <w:spacing w:line="276" w:lineRule="auto"/>
        <w:jc w:val="both"/>
        <w:rPr>
          <w:lang w:val="en-GB"/>
        </w:rPr>
      </w:pPr>
      <w:r>
        <w:rPr>
          <w:lang w:val="en-GB"/>
        </w:rPr>
        <w:t xml:space="preserve">In the ACT both positions are held.  The Executive </w:t>
      </w:r>
      <w:r w:rsidRPr="00401017">
        <w:rPr>
          <w:lang w:val="en-GB"/>
        </w:rPr>
        <w:t>asserts a need to control</w:t>
      </w:r>
      <w:r>
        <w:rPr>
          <w:lang w:val="en-GB"/>
        </w:rPr>
        <w:t xml:space="preserve"> the operations of the courts to ensure that appropriate efficiencies are being found and implemented. The Executive points to the investment in the new courts building as an example of </w:t>
      </w:r>
      <w:r>
        <w:rPr>
          <w:lang w:val="en-GB"/>
        </w:rPr>
        <w:lastRenderedPageBreak/>
        <w:t xml:space="preserve">its effective management and control. The judiciary holds the position that the courts need to be in control of the resources to ensure that the court’s priorities are being met. These priorities may well be at odds with the priorities of the government of the day but are seen as critical to advancing the cause of justice as understood by the courts. </w:t>
      </w:r>
    </w:p>
    <w:p w14:paraId="1817F350" w14:textId="77777777" w:rsidR="00AF0A36" w:rsidRDefault="00AF0A36" w:rsidP="0025346E">
      <w:pPr>
        <w:spacing w:line="276" w:lineRule="auto"/>
        <w:jc w:val="both"/>
        <w:rPr>
          <w:lang w:val="en-GB"/>
        </w:rPr>
      </w:pPr>
    </w:p>
    <w:p w14:paraId="4C87CB6A" w14:textId="77777777" w:rsidR="00AF0A36" w:rsidRPr="00DF3215" w:rsidRDefault="00AF0A36" w:rsidP="006D14AA">
      <w:pPr>
        <w:pStyle w:val="Normal18J"/>
        <w:rPr>
          <w:i/>
          <w:iCs/>
          <w:lang w:val="en-GB"/>
        </w:rPr>
      </w:pPr>
      <w:r w:rsidRPr="00DF3215">
        <w:rPr>
          <w:i/>
          <w:iCs/>
          <w:lang w:val="en-GB"/>
        </w:rPr>
        <w:t xml:space="preserve">Resourcing </w:t>
      </w:r>
    </w:p>
    <w:p w14:paraId="10937CEC" w14:textId="0A328C06" w:rsidR="00AF0A36" w:rsidRDefault="00AF0A36" w:rsidP="00DB1BA7">
      <w:pPr>
        <w:spacing w:after="120" w:line="276" w:lineRule="auto"/>
        <w:jc w:val="both"/>
        <w:rPr>
          <w:lang w:val="en-GB"/>
        </w:rPr>
      </w:pPr>
      <w:r>
        <w:rPr>
          <w:lang w:val="en-GB"/>
        </w:rPr>
        <w:t xml:space="preserve">Resourcing of the courts is considered in most instances appropriate. The judiciary is conscious of costs, not seeking additional funds without regard to the constraints of the small size of the jurisdiction. Further, the judiciary acknowledges the significant improvement in facilities in terms of the new courts building—a contribution of which the Executive is justifiably proud. All of this, however, is not to say that there are no issues with resourcing. </w:t>
      </w:r>
    </w:p>
    <w:p w14:paraId="052C344B" w14:textId="3977069B" w:rsidR="00AF0A36" w:rsidRDefault="00AF0A36" w:rsidP="00DB1BA7">
      <w:pPr>
        <w:spacing w:after="120" w:line="276" w:lineRule="auto"/>
        <w:jc w:val="both"/>
        <w:rPr>
          <w:lang w:val="en-GB"/>
        </w:rPr>
      </w:pPr>
      <w:r>
        <w:rPr>
          <w:lang w:val="en-GB"/>
        </w:rPr>
        <w:t>The number of judicial officers in the Magistrates Court remains a matter of concern.  With 95% of criminal matters coming to that court in the first instance, as well as a heavy case load generally, it is the view that an investment in additional judicial officers is overdue.  By way of contrast, the Executive is of the view that efficiencies like those achieved in the Supreme Court could provide for perceived  shortages, at least to some degree, and further, that the new court building should both demonstrate a commitment to resourcing as well as work to solve some of the problem through such technologies as remote witness testimony options. Finally, the Executive believes that the matter of resourcing should be resolved after an external review of the Magistrates Court, a review which is to take into account the work of the court, and to form the basis of determining the number of appointments.</w:t>
      </w:r>
    </w:p>
    <w:p w14:paraId="0BDECA76" w14:textId="159E8BAD" w:rsidR="00AF0A36" w:rsidRDefault="00AF0A36" w:rsidP="00DB1BA7">
      <w:pPr>
        <w:spacing w:after="120" w:line="276" w:lineRule="auto"/>
        <w:jc w:val="both"/>
        <w:rPr>
          <w:lang w:val="en-GB"/>
        </w:rPr>
      </w:pPr>
      <w:r>
        <w:rPr>
          <w:lang w:val="en-GB"/>
        </w:rPr>
        <w:t xml:space="preserve">In the matter of resourcing generally, similar to the Executive’s preference for the Magistrate’s Court, the view of the judiciary was that it was time that an independent review be conducted. The current system of simply increasing the budget by a set percentage (5% per year) is inappropriate and the </w:t>
      </w:r>
      <w:r w:rsidR="00E97AC9">
        <w:rPr>
          <w:lang w:val="en-GB"/>
        </w:rPr>
        <w:t xml:space="preserve">prevailing </w:t>
      </w:r>
      <w:r>
        <w:rPr>
          <w:lang w:val="en-GB"/>
        </w:rPr>
        <w:t xml:space="preserve">view </w:t>
      </w:r>
      <w:r w:rsidR="00E97AC9">
        <w:rPr>
          <w:lang w:val="en-GB"/>
        </w:rPr>
        <w:t xml:space="preserve">of the Judiciary </w:t>
      </w:r>
      <w:r>
        <w:rPr>
          <w:lang w:val="en-GB"/>
        </w:rPr>
        <w:t xml:space="preserve">is that the increase should be based and set on a review of the actual work of the court. </w:t>
      </w:r>
    </w:p>
    <w:p w14:paraId="7D09C098" w14:textId="2259A955" w:rsidR="00AF0A36" w:rsidRDefault="00AF0A36" w:rsidP="00DB1BA7">
      <w:pPr>
        <w:spacing w:after="120" w:line="276" w:lineRule="auto"/>
        <w:jc w:val="both"/>
        <w:rPr>
          <w:lang w:val="en-GB"/>
        </w:rPr>
      </w:pPr>
      <w:r>
        <w:rPr>
          <w:lang w:val="en-GB"/>
        </w:rPr>
        <w:t>There remains a diversity of views on the preferability of separate budgets for the different courts to reflect their different areas of work and related different needs. Further, there is a consensus that the Registrar is underfunded, preventing among other things, annual reporting by the courts.</w:t>
      </w:r>
    </w:p>
    <w:p w14:paraId="7A2E7C1B" w14:textId="57BD5BBF" w:rsidR="00AF0A36" w:rsidRDefault="00AF0A36" w:rsidP="0025346E">
      <w:pPr>
        <w:spacing w:line="276" w:lineRule="auto"/>
        <w:jc w:val="both"/>
        <w:rPr>
          <w:lang w:val="en-GB"/>
        </w:rPr>
      </w:pPr>
      <w:r>
        <w:rPr>
          <w:lang w:val="en-GB"/>
        </w:rPr>
        <w:t>The Executive is not unaware of the desire by the courts for increased control over their resources.  It is, nevertheless</w:t>
      </w:r>
      <w:r w:rsidR="00DA2016">
        <w:rPr>
          <w:lang w:val="en-GB"/>
        </w:rPr>
        <w:t xml:space="preserve"> of </w:t>
      </w:r>
      <w:r>
        <w:rPr>
          <w:lang w:val="en-GB"/>
        </w:rPr>
        <w:t>the view that in other jurisdictions where the Executive has relinquished control the outcomes have not been uniformly positive. As a result, there is little appetite for shifting control from the Executive to the judiciary.</w:t>
      </w:r>
    </w:p>
    <w:p w14:paraId="74A18F72" w14:textId="77777777" w:rsidR="00D70208" w:rsidRDefault="00D70208" w:rsidP="0025346E">
      <w:pPr>
        <w:spacing w:line="276" w:lineRule="auto"/>
        <w:jc w:val="both"/>
        <w:rPr>
          <w:lang w:val="en-GB"/>
        </w:rPr>
      </w:pPr>
    </w:p>
    <w:p w14:paraId="645BFF6F" w14:textId="68F9079B" w:rsidR="00AF0A36" w:rsidRPr="006D14AA" w:rsidRDefault="00AF0A36" w:rsidP="0025346E">
      <w:pPr>
        <w:spacing w:line="276" w:lineRule="auto"/>
        <w:jc w:val="both"/>
        <w:rPr>
          <w:i/>
          <w:iCs/>
          <w:lang w:val="en-GB"/>
        </w:rPr>
      </w:pPr>
      <w:r w:rsidRPr="007D3975">
        <w:rPr>
          <w:lang w:val="en-GB"/>
        </w:rPr>
        <w:t>Recommendation</w:t>
      </w:r>
      <w:r w:rsidR="00054DA9" w:rsidRPr="007D3975">
        <w:rPr>
          <w:lang w:val="en-GB"/>
        </w:rPr>
        <w:t xml:space="preserve"> </w:t>
      </w:r>
      <w:r w:rsidR="007D3975" w:rsidRPr="007D3975">
        <w:rPr>
          <w:lang w:val="en-GB"/>
        </w:rPr>
        <w:t>7</w:t>
      </w:r>
      <w:r w:rsidRPr="007D3975">
        <w:rPr>
          <w:lang w:val="en-GB"/>
        </w:rPr>
        <w:t>:</w:t>
      </w:r>
      <w:r w:rsidRPr="006D14AA">
        <w:rPr>
          <w:i/>
          <w:iCs/>
          <w:lang w:val="en-GB"/>
        </w:rPr>
        <w:t xml:space="preserve"> A regular </w:t>
      </w:r>
      <w:r w:rsidR="00922A21">
        <w:rPr>
          <w:i/>
          <w:iCs/>
          <w:lang w:val="en-GB"/>
        </w:rPr>
        <w:t xml:space="preserve">expert </w:t>
      </w:r>
      <w:r w:rsidRPr="006D14AA">
        <w:rPr>
          <w:i/>
          <w:iCs/>
          <w:lang w:val="en-GB"/>
        </w:rPr>
        <w:t>review of the work and needs of the courts be instituted in consultation with both the courts and the executive for purposes of determining appropriate resourcing and accountability.</w:t>
      </w:r>
    </w:p>
    <w:p w14:paraId="7554B5E3" w14:textId="77777777" w:rsidR="00D70208" w:rsidRPr="00871A48" w:rsidRDefault="00D70208" w:rsidP="0025346E">
      <w:pPr>
        <w:spacing w:line="276" w:lineRule="auto"/>
        <w:jc w:val="both"/>
        <w:rPr>
          <w:b/>
          <w:bCs/>
          <w:lang w:val="en-GB"/>
        </w:rPr>
      </w:pPr>
    </w:p>
    <w:p w14:paraId="269D6969" w14:textId="7FE19B96" w:rsidR="00D70208" w:rsidRPr="00DF3215" w:rsidRDefault="00AF0A36" w:rsidP="006D14AA">
      <w:pPr>
        <w:pStyle w:val="Normal18J"/>
        <w:rPr>
          <w:i/>
          <w:iCs/>
          <w:lang w:val="en-GB"/>
        </w:rPr>
      </w:pPr>
      <w:r w:rsidRPr="00DF3215">
        <w:rPr>
          <w:i/>
          <w:iCs/>
          <w:lang w:val="en-GB"/>
        </w:rPr>
        <w:lastRenderedPageBreak/>
        <w:t>Appointments</w:t>
      </w:r>
    </w:p>
    <w:p w14:paraId="4EE5D1F6" w14:textId="55E1189F" w:rsidR="00AF0A36" w:rsidRDefault="00AF0A36" w:rsidP="00DB1BA7">
      <w:pPr>
        <w:spacing w:after="120" w:line="276" w:lineRule="auto"/>
        <w:jc w:val="both"/>
        <w:rPr>
          <w:lang w:val="en-GB"/>
        </w:rPr>
      </w:pPr>
      <w:r>
        <w:rPr>
          <w:lang w:val="en-GB"/>
        </w:rPr>
        <w:t>Latimer is explicit that judicial appointments should be ‘on the basis of clearly defined criteria and by a publicly declared process. The process should ensure equality of opportunity for all who are eligible for judicial office; appointment on merit; and that appropriate consideration is given to … gender equity’</w:t>
      </w:r>
      <w:r w:rsidR="00D70208">
        <w:rPr>
          <w:lang w:val="en-GB"/>
        </w:rPr>
        <w:t>.</w:t>
      </w:r>
    </w:p>
    <w:p w14:paraId="61B4B30A" w14:textId="41815527" w:rsidR="00AF0A36" w:rsidRDefault="00AF0A36" w:rsidP="00DB1BA7">
      <w:pPr>
        <w:spacing w:after="120" w:line="276" w:lineRule="auto"/>
        <w:jc w:val="both"/>
        <w:rPr>
          <w:lang w:val="en-GB"/>
        </w:rPr>
      </w:pPr>
      <w:r>
        <w:rPr>
          <w:lang w:val="en-GB"/>
        </w:rPr>
        <w:t>The judicial appointment process in the ACT has been developed and refined over the years.  It is focused on merit and transparency. The process is maturing, increasingly well thought out and involves key stakeholders as well as external judicial officers. The process provides for the Chair of Recruitment to forward a list of proposed appointees to the A</w:t>
      </w:r>
      <w:r w:rsidR="0027691A">
        <w:rPr>
          <w:lang w:val="en-GB"/>
        </w:rPr>
        <w:t>ttorney</w:t>
      </w:r>
      <w:r>
        <w:rPr>
          <w:lang w:val="en-GB"/>
        </w:rPr>
        <w:t>-G</w:t>
      </w:r>
      <w:r w:rsidR="0027691A">
        <w:rPr>
          <w:lang w:val="en-GB"/>
        </w:rPr>
        <w:t>eneral</w:t>
      </w:r>
      <w:r>
        <w:rPr>
          <w:lang w:val="en-GB"/>
        </w:rPr>
        <w:t xml:space="preserve">, who then brings the list to the Minister and Cabinet for a decision.  The Executive continues to hold ultimate control over the appointments in that the </w:t>
      </w:r>
      <w:r w:rsidR="0027691A">
        <w:rPr>
          <w:lang w:val="en-GB"/>
        </w:rPr>
        <w:t xml:space="preserve">Attorney-General </w:t>
      </w:r>
      <w:r>
        <w:rPr>
          <w:lang w:val="en-GB"/>
        </w:rPr>
        <w:t xml:space="preserve">makes the appointment. As a result, the view was expressed that while merit holds considerable sway, inevitably political and personal preferences continue, perhaps inevitably, to have some influence. </w:t>
      </w:r>
    </w:p>
    <w:p w14:paraId="6C457D51" w14:textId="4553AF82" w:rsidR="00AF0A36" w:rsidRDefault="00AF0A36" w:rsidP="00571F7B">
      <w:pPr>
        <w:spacing w:line="276" w:lineRule="auto"/>
        <w:jc w:val="both"/>
        <w:rPr>
          <w:lang w:val="en-GB"/>
        </w:rPr>
      </w:pPr>
      <w:r>
        <w:rPr>
          <w:lang w:val="en-GB"/>
        </w:rPr>
        <w:t xml:space="preserve">On matters of gender, the current benches of both the Supreme Court and the Magistrates’ Court have reached gender parity. In addition, the heads of both the jurisdictions are female. It is the only jurisdiction in Australia to have females occupying the office of Chief judicial officer in both courts. Achieving these gender parity milestones is an important accomplishment for the ACT and for </w:t>
      </w:r>
      <w:r w:rsidR="004D3533">
        <w:rPr>
          <w:lang w:val="en-GB"/>
        </w:rPr>
        <w:t xml:space="preserve">the </w:t>
      </w:r>
      <w:r>
        <w:rPr>
          <w:lang w:val="en-GB"/>
        </w:rPr>
        <w:t>judiciary nationally. The ACT is to be congratulated for this success.</w:t>
      </w:r>
    </w:p>
    <w:p w14:paraId="3680EB5D" w14:textId="77777777" w:rsidR="00571F7B" w:rsidRDefault="00571F7B" w:rsidP="00571F7B">
      <w:pPr>
        <w:spacing w:line="276" w:lineRule="auto"/>
        <w:jc w:val="both"/>
        <w:rPr>
          <w:lang w:val="en-GB"/>
        </w:rPr>
      </w:pPr>
    </w:p>
    <w:p w14:paraId="40E581D7" w14:textId="6A48C3B1" w:rsidR="00AF0A36" w:rsidRPr="00DF3215" w:rsidRDefault="00AF0A36" w:rsidP="006D14AA">
      <w:pPr>
        <w:pStyle w:val="Normal18J"/>
        <w:rPr>
          <w:i/>
          <w:iCs/>
          <w:lang w:val="en-GB"/>
        </w:rPr>
      </w:pPr>
      <w:r w:rsidRPr="00DF3215">
        <w:rPr>
          <w:i/>
          <w:iCs/>
          <w:lang w:val="en-GB"/>
        </w:rPr>
        <w:t xml:space="preserve">Relationships between the branches: </w:t>
      </w:r>
      <w:r w:rsidR="00154853" w:rsidRPr="00DF3215">
        <w:rPr>
          <w:i/>
          <w:iCs/>
          <w:lang w:val="en-GB"/>
        </w:rPr>
        <w:t>The</w:t>
      </w:r>
      <w:r w:rsidRPr="00DF3215">
        <w:rPr>
          <w:i/>
          <w:iCs/>
          <w:lang w:val="en-GB"/>
        </w:rPr>
        <w:t xml:space="preserve"> Judiciary and the Executive</w:t>
      </w:r>
    </w:p>
    <w:p w14:paraId="3FB2E0DC" w14:textId="47E4AB32" w:rsidR="00AF0A36" w:rsidRDefault="00AF0A36" w:rsidP="00DB1BA7">
      <w:pPr>
        <w:spacing w:after="120" w:line="276" w:lineRule="auto"/>
        <w:jc w:val="both"/>
        <w:rPr>
          <w:lang w:val="en-GB"/>
        </w:rPr>
      </w:pPr>
      <w:r>
        <w:rPr>
          <w:lang w:val="en-GB"/>
        </w:rPr>
        <w:t xml:space="preserve">The relationship between these two branches of government is largely cordial and respectful. There is mutual respect and good will. The strength and effectiveness of the relationships is considered </w:t>
      </w:r>
      <w:r w:rsidR="00096BC6">
        <w:rPr>
          <w:lang w:val="en-GB"/>
        </w:rPr>
        <w:t>to be</w:t>
      </w:r>
      <w:r>
        <w:rPr>
          <w:lang w:val="en-GB"/>
        </w:rPr>
        <w:t xml:space="preserve"> based on institutional understanding of the roles rather than personal affinities.  While there are conflicts concerning a range of views, it is understood that the conflicts are neither personal nor necessarily detrimental to the functioning of the Westminster system. Rather, they are understood to be part of its effective operation. </w:t>
      </w:r>
    </w:p>
    <w:p w14:paraId="4C6923E6" w14:textId="16759EA2" w:rsidR="00AF0A36" w:rsidRDefault="00AF0A36" w:rsidP="00DB1BA7">
      <w:pPr>
        <w:spacing w:after="120" w:line="276" w:lineRule="auto"/>
        <w:jc w:val="both"/>
        <w:rPr>
          <w:lang w:val="en-GB"/>
        </w:rPr>
      </w:pPr>
      <w:r>
        <w:rPr>
          <w:lang w:val="en-GB"/>
        </w:rPr>
        <w:t>One critical point of contention was on the role of the court Registrar.  The Registrar’s role as currently construed is positioned between the demands of the Executive and the needs of the courts. It is the view of the courts that the Registrar is significantly under-resourced and as a result unable to carry out the duties necessary for the full, proper functioning of the courts. The details of the issues are to be found in the above noted conflicting priorities of the executive and the courts in the administration of justice. This conflict and related funding allocations underlie to some degree the desire for shifting responsibility for the administration of the courts from the executive to the courts themselves. The noted position of the executive is that it has a role in monitoring and managing the courts’ administration up to and including the careers of judicial officers. The relationship between the Registrar, the courts and JACS has been described as ‘structurally awkward’ and may be an area where reform should be considered.</w:t>
      </w:r>
    </w:p>
    <w:p w14:paraId="78930F6F" w14:textId="4705E8DE" w:rsidR="00AF0A36" w:rsidRDefault="00AF0A36" w:rsidP="00DB1BA7">
      <w:pPr>
        <w:spacing w:after="120" w:line="276" w:lineRule="auto"/>
        <w:jc w:val="both"/>
        <w:rPr>
          <w:lang w:val="en-GB"/>
        </w:rPr>
      </w:pPr>
      <w:r>
        <w:rPr>
          <w:lang w:val="en-GB"/>
        </w:rPr>
        <w:lastRenderedPageBreak/>
        <w:t xml:space="preserve">Perhaps the greatest conflict concerns oversight of the judiciary by the Integrity Commission. The Commission, established by the </w:t>
      </w:r>
      <w:r w:rsidRPr="00B15B04">
        <w:rPr>
          <w:i/>
          <w:iCs/>
          <w:lang w:val="en-GB"/>
        </w:rPr>
        <w:t>Integrity Commission Act 2018</w:t>
      </w:r>
      <w:r>
        <w:rPr>
          <w:lang w:val="en-GB"/>
        </w:rPr>
        <w:t xml:space="preserve"> and taking effect</w:t>
      </w:r>
      <w:r w:rsidR="00BD1526">
        <w:rPr>
          <w:lang w:val="en-GB"/>
        </w:rPr>
        <w:t xml:space="preserve"> in</w:t>
      </w:r>
      <w:r>
        <w:rPr>
          <w:lang w:val="en-GB"/>
        </w:rPr>
        <w:t xml:space="preserve"> 2019, provides for Executive oversight of judicial officers. Members of the public may bring allegations of corruption, termed a </w:t>
      </w:r>
      <w:r w:rsidR="000C06ED">
        <w:rPr>
          <w:lang w:val="en-GB"/>
        </w:rPr>
        <w:t>‘</w:t>
      </w:r>
      <w:r>
        <w:rPr>
          <w:lang w:val="en-GB"/>
        </w:rPr>
        <w:t>corruption report</w:t>
      </w:r>
      <w:r w:rsidR="000C06ED">
        <w:rPr>
          <w:lang w:val="en-GB"/>
        </w:rPr>
        <w:t>’</w:t>
      </w:r>
      <w:r>
        <w:rPr>
          <w:lang w:val="en-GB"/>
        </w:rPr>
        <w:t xml:space="preserve">, against any public officer. The legislation explicitly includes judicial officers who are defined as </w:t>
      </w:r>
      <w:r w:rsidR="000C06ED">
        <w:rPr>
          <w:lang w:val="en-GB"/>
        </w:rPr>
        <w:t>‘</w:t>
      </w:r>
      <w:r>
        <w:rPr>
          <w:lang w:val="en-GB"/>
        </w:rPr>
        <w:t>public officials</w:t>
      </w:r>
      <w:r w:rsidR="000C06ED">
        <w:rPr>
          <w:lang w:val="en-GB"/>
        </w:rPr>
        <w:t>’</w:t>
      </w:r>
      <w:r>
        <w:rPr>
          <w:lang w:val="en-GB"/>
        </w:rPr>
        <w:t xml:space="preserve"> under the Act.</w:t>
      </w:r>
    </w:p>
    <w:p w14:paraId="3CC41035" w14:textId="1C18BC76" w:rsidR="00AF0A36" w:rsidRDefault="00AF0A36" w:rsidP="00DB1BA7">
      <w:pPr>
        <w:spacing w:after="120" w:line="276" w:lineRule="auto"/>
        <w:jc w:val="both"/>
        <w:rPr>
          <w:lang w:val="en-GB"/>
        </w:rPr>
      </w:pPr>
      <w:r>
        <w:rPr>
          <w:lang w:val="en-GB"/>
        </w:rPr>
        <w:t xml:space="preserve">There are a range of views on the matter. The judicial officers of the courts did not express a single voice </w:t>
      </w:r>
      <w:r w:rsidR="00DB2DCA">
        <w:rPr>
          <w:lang w:val="en-GB"/>
        </w:rPr>
        <w:t>about</w:t>
      </w:r>
      <w:r>
        <w:rPr>
          <w:lang w:val="en-GB"/>
        </w:rPr>
        <w:t xml:space="preserve"> such oversight: there was both strong opposition and an acceptance of it as understandable. The foundation for the opposition is twofold: first, there was the view that in taking this oversight role, the Executive is trammelling judicial independence in fundamental breach of the separation of powers doctrine which underpins the Westminster system. Second, the opposition follows on from the existing legal arrangements.  In the latter view, the ACT Judicial Council already provides sufficient oversight, providing an active body for all types of judicial complaints including corruption. Like the judiciary, the </w:t>
      </w:r>
      <w:r w:rsidR="009A6098">
        <w:rPr>
          <w:lang w:val="en-GB"/>
        </w:rPr>
        <w:t>E</w:t>
      </w:r>
      <w:r>
        <w:rPr>
          <w:lang w:val="en-GB"/>
        </w:rPr>
        <w:t xml:space="preserve">xecutive is somewhat divided on the matter. Some of the </w:t>
      </w:r>
      <w:r w:rsidR="009A6098">
        <w:rPr>
          <w:lang w:val="en-GB"/>
        </w:rPr>
        <w:t>E</w:t>
      </w:r>
      <w:r>
        <w:rPr>
          <w:lang w:val="en-GB"/>
        </w:rPr>
        <w:t xml:space="preserve">xecutive accepts the views of the judicial officers and notes that placing them under commission oversight was a necessary political compromise and hopes that subsequent reform may remove the oversight. Other parts of the </w:t>
      </w:r>
      <w:r w:rsidR="007051B0">
        <w:rPr>
          <w:lang w:val="en-GB"/>
        </w:rPr>
        <w:t>E</w:t>
      </w:r>
      <w:r>
        <w:rPr>
          <w:lang w:val="en-GB"/>
        </w:rPr>
        <w:t xml:space="preserve">xecutive hold the view that as the Commission is </w:t>
      </w:r>
      <w:r w:rsidR="000C06ED">
        <w:rPr>
          <w:lang w:val="en-GB"/>
        </w:rPr>
        <w:t>‘</w:t>
      </w:r>
      <w:r>
        <w:rPr>
          <w:lang w:val="en-GB"/>
        </w:rPr>
        <w:t>doing what Parliament should but cannot do in terms of capacity</w:t>
      </w:r>
      <w:r w:rsidR="000C06ED">
        <w:rPr>
          <w:lang w:val="en-GB"/>
        </w:rPr>
        <w:t>’</w:t>
      </w:r>
      <w:r>
        <w:rPr>
          <w:lang w:val="en-GB"/>
        </w:rPr>
        <w:t xml:space="preserve">, the provision should stay in place. In this view, problems of corruption are systemic and accordingly, systemic solutions are required. </w:t>
      </w:r>
    </w:p>
    <w:p w14:paraId="48AE96E6" w14:textId="740DFB0A" w:rsidR="00AF0A36" w:rsidRDefault="00AF0A36" w:rsidP="00DB1BA7">
      <w:pPr>
        <w:spacing w:after="120" w:line="276" w:lineRule="auto"/>
        <w:jc w:val="both"/>
        <w:rPr>
          <w:lang w:val="en-GB"/>
        </w:rPr>
      </w:pPr>
      <w:r>
        <w:rPr>
          <w:lang w:val="en-GB"/>
        </w:rPr>
        <w:t>A third concern in the relationship between the Executive and the Judiciary comes from the time frames allotted for consultation on proposed legislation.  All judicial officers interviewed, the ACT Law Society and ACT Bar Association complained that the time frames were too short. The ACT Law Society, given its necessary committee structure, considers three weeks insufficient time to examine and comment on proposed legislation. The ACT Bar Association, for its part, noted that barristers were donating time in providing review and so required more time. The executive seemed to pay little attention and in certain instances the Executive had provided as little as 24 hours for consultation. The inadequate time frames can have significant implications.</w:t>
      </w:r>
    </w:p>
    <w:p w14:paraId="6CDFC0A1" w14:textId="029A2481" w:rsidR="00AF0A36" w:rsidRDefault="00AF0A36" w:rsidP="00DB1BA7">
      <w:pPr>
        <w:spacing w:after="120" w:line="276" w:lineRule="auto"/>
        <w:jc w:val="both"/>
        <w:rPr>
          <w:lang w:val="en-GB"/>
        </w:rPr>
      </w:pPr>
      <w:r>
        <w:rPr>
          <w:lang w:val="en-GB"/>
        </w:rPr>
        <w:t>One example of an implication resulting from inadequate time frames for consultation is an unintended consequence of the reform of Family Violence Orders. The prior procedure authorised police officers to issue temporary orders pending opportunity for those officers to appear before a court. The reform removed that authority and the matter must to be brought to a magistrate in the first instance. Given the nature of many family violence events, magistrates are now required to take turns being on call at night to ensure magistrate services are available 24 hours a day seven days a week. This single reform has had a significant impact on magistrates’ work. Magistrates on evening and night duties are unable to function properly during normal working hours and so require different rostering.  This reform has had the unintended consequence of effectively remov</w:t>
      </w:r>
      <w:r w:rsidR="00F20E0F">
        <w:rPr>
          <w:lang w:val="en-GB"/>
        </w:rPr>
        <w:t>ing</w:t>
      </w:r>
      <w:r>
        <w:rPr>
          <w:lang w:val="en-GB"/>
        </w:rPr>
        <w:t xml:space="preserve"> a magistrate from normal day time hearings and related duties. </w:t>
      </w:r>
    </w:p>
    <w:p w14:paraId="5EEDE0D7" w14:textId="07BD510E" w:rsidR="00AF0A36" w:rsidRDefault="00AF0A36" w:rsidP="00DB1BA7">
      <w:pPr>
        <w:spacing w:after="120" w:line="276" w:lineRule="auto"/>
        <w:jc w:val="both"/>
        <w:rPr>
          <w:lang w:val="en-GB"/>
        </w:rPr>
      </w:pPr>
      <w:r>
        <w:rPr>
          <w:lang w:val="en-GB"/>
        </w:rPr>
        <w:lastRenderedPageBreak/>
        <w:t xml:space="preserve">Finally, the courts are of the view that the Executive does not wholly appreciate the nature and meaning of independence. For example, the Executive still issues press releases on behalf of the courts. Or, as another example, the Executive seeks to involve itself in judicial complaints as noted above in the discussion of the Integrity Commission. </w:t>
      </w:r>
    </w:p>
    <w:p w14:paraId="66D777C9" w14:textId="2385143B" w:rsidR="00AF0A36" w:rsidRDefault="00AF0A36" w:rsidP="0025346E">
      <w:pPr>
        <w:spacing w:line="276" w:lineRule="auto"/>
        <w:jc w:val="both"/>
        <w:rPr>
          <w:lang w:val="en-GB"/>
        </w:rPr>
      </w:pPr>
      <w:r>
        <w:rPr>
          <w:lang w:val="en-GB"/>
        </w:rPr>
        <w:t xml:space="preserve">All in all, however, the parties view the relationship as a good, stable and respectful one.  While the relationship is maturing, it is still in need of further maturation which is likely to come as the ACT grows in population further removing the more personal relationships aspects and developing further experience over time. </w:t>
      </w:r>
    </w:p>
    <w:p w14:paraId="4365CF6F" w14:textId="77777777" w:rsidR="002F3E7B" w:rsidRDefault="002F3E7B" w:rsidP="0025346E">
      <w:pPr>
        <w:spacing w:line="276" w:lineRule="auto"/>
        <w:jc w:val="both"/>
        <w:rPr>
          <w:lang w:val="en-GB"/>
        </w:rPr>
      </w:pPr>
    </w:p>
    <w:p w14:paraId="731B587F" w14:textId="039D3685" w:rsidR="00AF0A36" w:rsidRPr="006D14AA" w:rsidRDefault="00AF0A36" w:rsidP="0025346E">
      <w:pPr>
        <w:spacing w:line="276" w:lineRule="auto"/>
        <w:jc w:val="both"/>
        <w:rPr>
          <w:i/>
          <w:iCs/>
          <w:lang w:val="en-GB"/>
        </w:rPr>
      </w:pPr>
      <w:r w:rsidRPr="007D3975">
        <w:rPr>
          <w:lang w:val="en-GB"/>
        </w:rPr>
        <w:t>Recommendation</w:t>
      </w:r>
      <w:r w:rsidR="00054DA9" w:rsidRPr="007D3975">
        <w:rPr>
          <w:lang w:val="en-GB"/>
        </w:rPr>
        <w:t xml:space="preserve"> </w:t>
      </w:r>
      <w:r w:rsidR="007D3975" w:rsidRPr="007D3975">
        <w:rPr>
          <w:lang w:val="en-GB"/>
        </w:rPr>
        <w:t>8</w:t>
      </w:r>
      <w:r w:rsidRPr="007D3975">
        <w:rPr>
          <w:lang w:val="en-GB"/>
        </w:rPr>
        <w:t>:</w:t>
      </w:r>
      <w:r w:rsidRPr="006D14AA">
        <w:rPr>
          <w:i/>
          <w:iCs/>
          <w:lang w:val="en-GB"/>
        </w:rPr>
        <w:t xml:space="preserve"> The relationship between the Registrar, the courts and JACS has been described as ‘structurally awkward’</w:t>
      </w:r>
      <w:r w:rsidR="00922A21">
        <w:rPr>
          <w:i/>
          <w:iCs/>
          <w:lang w:val="en-GB"/>
        </w:rPr>
        <w:t xml:space="preserve">. </w:t>
      </w:r>
      <w:r w:rsidR="00922A21" w:rsidRPr="00922A21">
        <w:rPr>
          <w:i/>
          <w:iCs/>
          <w:lang w:val="en-GB"/>
        </w:rPr>
        <w:t>Further expert investigation is required to determine the precise nature of the issue and, in consultation with the parties, potential solutions that could be crafted.</w:t>
      </w:r>
    </w:p>
    <w:p w14:paraId="6B022813" w14:textId="77777777" w:rsidR="00A03C6A" w:rsidRPr="00842B41" w:rsidRDefault="00A03C6A" w:rsidP="0025346E">
      <w:pPr>
        <w:spacing w:line="276" w:lineRule="auto"/>
        <w:jc w:val="both"/>
        <w:rPr>
          <w:lang w:val="en-GB"/>
        </w:rPr>
      </w:pPr>
    </w:p>
    <w:p w14:paraId="5648DE86" w14:textId="6A4F371F" w:rsidR="00922A21" w:rsidRPr="009E126D" w:rsidRDefault="00AF0A36" w:rsidP="00922A21">
      <w:pPr>
        <w:jc w:val="both"/>
        <w:rPr>
          <w:i/>
          <w:iCs/>
          <w:lang w:val="en-GB"/>
        </w:rPr>
      </w:pPr>
      <w:r w:rsidRPr="007D3975">
        <w:rPr>
          <w:lang w:val="en-GB"/>
        </w:rPr>
        <w:t>Recommendation</w:t>
      </w:r>
      <w:r w:rsidR="00054DA9" w:rsidRPr="007D3975">
        <w:rPr>
          <w:lang w:val="en-GB"/>
        </w:rPr>
        <w:t xml:space="preserve"> </w:t>
      </w:r>
      <w:r w:rsidR="007D3975" w:rsidRPr="007D3975">
        <w:rPr>
          <w:lang w:val="en-GB"/>
        </w:rPr>
        <w:t>9</w:t>
      </w:r>
      <w:r w:rsidRPr="006D14AA">
        <w:rPr>
          <w:i/>
          <w:iCs/>
          <w:lang w:val="en-GB"/>
        </w:rPr>
        <w:t xml:space="preserve">: </w:t>
      </w:r>
      <w:r w:rsidR="00922A21" w:rsidRPr="009E126D">
        <w:rPr>
          <w:i/>
          <w:iCs/>
          <w:lang w:val="en-GB"/>
        </w:rPr>
        <w:t xml:space="preserve">While the Integrity Commission Act provides for a review in 2022, the ACT Executive and Judiciary need to be open to the potential need for </w:t>
      </w:r>
      <w:r w:rsidR="00856BD7">
        <w:rPr>
          <w:i/>
          <w:iCs/>
          <w:lang w:val="en-GB"/>
        </w:rPr>
        <w:t xml:space="preserve">an </w:t>
      </w:r>
      <w:r w:rsidR="00922A21" w:rsidRPr="009E126D">
        <w:rPr>
          <w:i/>
          <w:iCs/>
          <w:lang w:val="en-GB"/>
        </w:rPr>
        <w:t xml:space="preserve">earlier review if it becomes clear that there are issues beyond the basic concerns of unnecessary and costly redundancy with respect to providing oversight to judicial officers. </w:t>
      </w:r>
    </w:p>
    <w:p w14:paraId="3BCF76C0" w14:textId="3CB06614" w:rsidR="00A03C6A" w:rsidRPr="00842B41" w:rsidRDefault="00A03C6A" w:rsidP="0025346E">
      <w:pPr>
        <w:spacing w:line="276" w:lineRule="auto"/>
        <w:jc w:val="both"/>
        <w:rPr>
          <w:lang w:val="en-GB"/>
        </w:rPr>
      </w:pPr>
    </w:p>
    <w:p w14:paraId="6D1DF537" w14:textId="02FEA4B6" w:rsidR="00AF0A36" w:rsidRPr="006D14AA" w:rsidRDefault="00AF0A36" w:rsidP="0025346E">
      <w:pPr>
        <w:spacing w:line="276" w:lineRule="auto"/>
        <w:jc w:val="both"/>
        <w:rPr>
          <w:i/>
          <w:iCs/>
          <w:lang w:val="en-GB"/>
        </w:rPr>
      </w:pPr>
      <w:r w:rsidRPr="007D3975">
        <w:rPr>
          <w:lang w:val="en-GB"/>
        </w:rPr>
        <w:t>Recommendation</w:t>
      </w:r>
      <w:r w:rsidR="00054DA9" w:rsidRPr="007D3975">
        <w:rPr>
          <w:lang w:val="en-GB"/>
        </w:rPr>
        <w:t xml:space="preserve"> </w:t>
      </w:r>
      <w:r w:rsidR="007D3975" w:rsidRPr="007D3975">
        <w:rPr>
          <w:lang w:val="en-GB"/>
        </w:rPr>
        <w:t>10</w:t>
      </w:r>
      <w:r w:rsidRPr="007D3975">
        <w:rPr>
          <w:lang w:val="en-GB"/>
        </w:rPr>
        <w:t>:</w:t>
      </w:r>
      <w:r w:rsidRPr="006D14AA">
        <w:rPr>
          <w:i/>
          <w:iCs/>
          <w:lang w:val="en-GB"/>
        </w:rPr>
        <w:t xml:space="preserve"> </w:t>
      </w:r>
      <w:r w:rsidR="00856BD7">
        <w:rPr>
          <w:i/>
          <w:iCs/>
          <w:lang w:val="en-GB"/>
        </w:rPr>
        <w:t>T</w:t>
      </w:r>
      <w:r w:rsidRPr="006D14AA">
        <w:rPr>
          <w:i/>
          <w:iCs/>
          <w:lang w:val="en-GB"/>
        </w:rPr>
        <w:t xml:space="preserve">he </w:t>
      </w:r>
      <w:r w:rsidR="00856BD7">
        <w:rPr>
          <w:i/>
          <w:iCs/>
          <w:lang w:val="en-GB"/>
        </w:rPr>
        <w:t>E</w:t>
      </w:r>
      <w:r w:rsidRPr="006D14AA">
        <w:rPr>
          <w:i/>
          <w:iCs/>
          <w:lang w:val="en-GB"/>
        </w:rPr>
        <w:t xml:space="preserve">xecutive establish what appropriate time frames are for consultation with the different parts of the judiciary separately, namely, judicial officers, ACT Law Society and ACT Bar Association, and provide proposed legislation within those time frames. </w:t>
      </w:r>
    </w:p>
    <w:p w14:paraId="48856EAF" w14:textId="43222EFE" w:rsidR="007C105A" w:rsidRPr="005812A1" w:rsidRDefault="005812A1" w:rsidP="00C739D7">
      <w:pPr>
        <w:spacing w:before="240" w:after="240" w:line="276" w:lineRule="auto"/>
        <w:jc w:val="both"/>
        <w:outlineLvl w:val="0"/>
        <w:rPr>
          <w:b/>
          <w:i/>
          <w:color w:val="4472C4" w:themeColor="accent1"/>
          <w:sz w:val="28"/>
          <w:szCs w:val="28"/>
        </w:rPr>
      </w:pPr>
      <w:r w:rsidRPr="005812A1">
        <w:rPr>
          <w:b/>
          <w:color w:val="4472C4" w:themeColor="accent1"/>
          <w:sz w:val="28"/>
          <w:szCs w:val="28"/>
          <w:lang w:val="en-US"/>
        </w:rPr>
        <w:t xml:space="preserve">Public Office Holders, Oversight </w:t>
      </w:r>
      <w:r>
        <w:rPr>
          <w:b/>
          <w:color w:val="4472C4" w:themeColor="accent1"/>
          <w:sz w:val="28"/>
          <w:szCs w:val="28"/>
          <w:lang w:val="en-US"/>
        </w:rPr>
        <w:t>a</w:t>
      </w:r>
      <w:r w:rsidRPr="005812A1">
        <w:rPr>
          <w:b/>
          <w:color w:val="4472C4" w:themeColor="accent1"/>
          <w:sz w:val="28"/>
          <w:szCs w:val="28"/>
          <w:lang w:val="en-US"/>
        </w:rPr>
        <w:t>nd Integrity</w:t>
      </w:r>
      <w:r w:rsidRPr="005812A1">
        <w:rPr>
          <w:b/>
          <w:i/>
          <w:color w:val="4472C4" w:themeColor="accent1"/>
          <w:sz w:val="28"/>
          <w:szCs w:val="28"/>
        </w:rPr>
        <w:t xml:space="preserve"> </w:t>
      </w:r>
    </w:p>
    <w:p w14:paraId="72DFCE46" w14:textId="27849CCC" w:rsidR="00EF43CF" w:rsidRPr="00EF43CF" w:rsidRDefault="00EF43CF" w:rsidP="0025346E">
      <w:pPr>
        <w:spacing w:after="240" w:line="276" w:lineRule="auto"/>
        <w:jc w:val="both"/>
        <w:outlineLvl w:val="0"/>
        <w:rPr>
          <w:bCs/>
          <w:iCs/>
        </w:rPr>
      </w:pPr>
      <w:r w:rsidRPr="00EF43CF">
        <w:rPr>
          <w:bCs/>
          <w:iCs/>
        </w:rPr>
        <w:t>The</w:t>
      </w:r>
      <w:r>
        <w:rPr>
          <w:bCs/>
          <w:iCs/>
        </w:rPr>
        <w:t xml:space="preserve"> 2010s have been </w:t>
      </w:r>
      <w:r w:rsidR="006C784A">
        <w:rPr>
          <w:bCs/>
          <w:iCs/>
        </w:rPr>
        <w:t xml:space="preserve">a </w:t>
      </w:r>
      <w:r w:rsidR="00E26CA8">
        <w:rPr>
          <w:bCs/>
          <w:iCs/>
        </w:rPr>
        <w:t xml:space="preserve">period </w:t>
      </w:r>
      <w:r w:rsidR="006C784A">
        <w:rPr>
          <w:bCs/>
          <w:iCs/>
        </w:rPr>
        <w:t>of modernisation and strengthening of the role and position of statutory office holders</w:t>
      </w:r>
      <w:r w:rsidR="00962911">
        <w:rPr>
          <w:bCs/>
          <w:iCs/>
        </w:rPr>
        <w:t xml:space="preserve"> and of oversight </w:t>
      </w:r>
      <w:r w:rsidR="00032817">
        <w:rPr>
          <w:bCs/>
          <w:iCs/>
        </w:rPr>
        <w:t xml:space="preserve">of government </w:t>
      </w:r>
      <w:r w:rsidR="00962911">
        <w:rPr>
          <w:bCs/>
          <w:iCs/>
        </w:rPr>
        <w:t>and integrity</w:t>
      </w:r>
      <w:r w:rsidR="006C784A">
        <w:rPr>
          <w:bCs/>
          <w:iCs/>
        </w:rPr>
        <w:t xml:space="preserve">. </w:t>
      </w:r>
      <w:r w:rsidR="00EA7C34">
        <w:rPr>
          <w:bCs/>
          <w:iCs/>
        </w:rPr>
        <w:t>A</w:t>
      </w:r>
      <w:r w:rsidR="006C784A">
        <w:rPr>
          <w:bCs/>
          <w:iCs/>
        </w:rPr>
        <w:t xml:space="preserve"> significant development ha</w:t>
      </w:r>
      <w:r w:rsidR="00947906">
        <w:rPr>
          <w:bCs/>
          <w:iCs/>
        </w:rPr>
        <w:t>s</w:t>
      </w:r>
      <w:r w:rsidR="006C784A">
        <w:rPr>
          <w:bCs/>
          <w:iCs/>
        </w:rPr>
        <w:t xml:space="preserve"> been the creation of </w:t>
      </w:r>
      <w:r w:rsidR="00E26CA8">
        <w:rPr>
          <w:bCs/>
          <w:iCs/>
        </w:rPr>
        <w:t>O</w:t>
      </w:r>
      <w:r w:rsidR="006C784A">
        <w:rPr>
          <w:bCs/>
          <w:iCs/>
        </w:rPr>
        <w:t>fficers of the Legislative Assembly</w:t>
      </w:r>
      <w:r w:rsidR="003B0122">
        <w:rPr>
          <w:bCs/>
          <w:iCs/>
        </w:rPr>
        <w:t>,</w:t>
      </w:r>
      <w:r w:rsidR="006C784A">
        <w:rPr>
          <w:bCs/>
          <w:iCs/>
        </w:rPr>
        <w:t xml:space="preserve"> and at the end of the decade</w:t>
      </w:r>
      <w:r w:rsidR="003B0122">
        <w:rPr>
          <w:bCs/>
          <w:iCs/>
        </w:rPr>
        <w:t>,</w:t>
      </w:r>
      <w:r w:rsidR="006C784A">
        <w:rPr>
          <w:bCs/>
          <w:iCs/>
        </w:rPr>
        <w:t xml:space="preserve"> the inauguration of an integrity commission also presided over by an officer</w:t>
      </w:r>
      <w:r w:rsidR="00861857">
        <w:rPr>
          <w:bCs/>
          <w:iCs/>
        </w:rPr>
        <w:t>.</w:t>
      </w:r>
    </w:p>
    <w:p w14:paraId="1A3F32AB" w14:textId="31A7ACF2" w:rsidR="00B047C9" w:rsidRPr="00DF3215" w:rsidRDefault="00B047C9" w:rsidP="006D14AA">
      <w:pPr>
        <w:pStyle w:val="Normal18J"/>
        <w:rPr>
          <w:i/>
          <w:iCs/>
        </w:rPr>
      </w:pPr>
      <w:r w:rsidRPr="00DF3215">
        <w:rPr>
          <w:i/>
          <w:iCs/>
        </w:rPr>
        <w:t>Officers of the Legislative Assembly</w:t>
      </w:r>
    </w:p>
    <w:p w14:paraId="3A5A4EB6" w14:textId="7C5E67B7" w:rsidR="00B047C9" w:rsidRDefault="00B047C9" w:rsidP="00E956D0">
      <w:pPr>
        <w:spacing w:line="276" w:lineRule="auto"/>
        <w:jc w:val="both"/>
      </w:pPr>
      <w:r>
        <w:t xml:space="preserve">The standard practice in national </w:t>
      </w:r>
      <w:r w:rsidR="00E956D0">
        <w:t xml:space="preserve">and sub-national </w:t>
      </w:r>
      <w:r>
        <w:t>jurisdictions is to appoint a set of officers of parliament.</w:t>
      </w:r>
      <w:r w:rsidR="00E956D0">
        <w:t xml:space="preserve"> </w:t>
      </w:r>
      <w:r>
        <w:t xml:space="preserve">This is a relatively new practice dating from the </w:t>
      </w:r>
      <w:r w:rsidR="00154853">
        <w:t>2000s and</w:t>
      </w:r>
      <w:r>
        <w:t xml:space="preserve"> is designed to make statutory appointments accountable </w:t>
      </w:r>
      <w:r w:rsidR="00F20667">
        <w:t xml:space="preserve">directly </w:t>
      </w:r>
      <w:r>
        <w:t>to the parliament rather than the executive. In this respect it conforms with Latimer principles.</w:t>
      </w:r>
      <w:r w:rsidR="00E96F82">
        <w:t xml:space="preserve"> </w:t>
      </w:r>
      <w:r w:rsidR="00E96F82" w:rsidRPr="008A3AC3">
        <w:t>A former Speaker observes that ‘officers became more fully independent. The legislation created a much clearer separation between these officers and the executive by ensuring that: appointments are made by the Speaker of the Legislative Assembly; reporting will be done through the Speaker; and appropriations are separate from the general government appropriations</w:t>
      </w:r>
      <w:r w:rsidR="00E96F82">
        <w:t xml:space="preserve">’ </w:t>
      </w:r>
      <w:r w:rsidR="00E96F82" w:rsidRPr="008A3AC3">
        <w:t>(Dunne 2015).</w:t>
      </w:r>
    </w:p>
    <w:p w14:paraId="358A7CE3" w14:textId="30955DB4" w:rsidR="00B047C9" w:rsidRDefault="00B047C9" w:rsidP="0025346E">
      <w:pPr>
        <w:spacing w:line="276" w:lineRule="auto"/>
        <w:jc w:val="both"/>
      </w:pPr>
    </w:p>
    <w:p w14:paraId="2CEB9658" w14:textId="351E57A0" w:rsidR="00E96F82" w:rsidRDefault="00EA7C34" w:rsidP="00E96F82">
      <w:pPr>
        <w:spacing w:line="276" w:lineRule="auto"/>
        <w:jc w:val="both"/>
      </w:pPr>
      <w:r>
        <w:t>O</w:t>
      </w:r>
      <w:r w:rsidR="00E96F82">
        <w:t xml:space="preserve">fficers of the Assembly were </w:t>
      </w:r>
      <w:r>
        <w:t>creat</w:t>
      </w:r>
      <w:r w:rsidR="00E96F82">
        <w:t xml:space="preserve">ed by legislation in 2013 </w:t>
      </w:r>
      <w:r>
        <w:t xml:space="preserve">that </w:t>
      </w:r>
      <w:r w:rsidR="00E96F82">
        <w:t>cover</w:t>
      </w:r>
      <w:r>
        <w:t>ed</w:t>
      </w:r>
      <w:r w:rsidR="00E96F82">
        <w:t xml:space="preserve"> the Auditor-General, Electoral Commissioner and the Ombudsman. The Integrity Commissioner was added in 2018. The ACT government’s approach has been considered, proceeding on the basis of committee </w:t>
      </w:r>
      <w:r w:rsidR="00531586">
        <w:t xml:space="preserve">processes and </w:t>
      </w:r>
      <w:r w:rsidR="00E96F82">
        <w:t>report</w:t>
      </w:r>
      <w:r w:rsidR="00531586">
        <w:t>ing</w:t>
      </w:r>
      <w:r w:rsidR="00E96F82">
        <w:t xml:space="preserve"> and comparisons </w:t>
      </w:r>
      <w:r w:rsidR="00531586">
        <w:t xml:space="preserve">of </w:t>
      </w:r>
      <w:r w:rsidR="00E96F82">
        <w:t>practices in other jurisdictions.</w:t>
      </w:r>
    </w:p>
    <w:p w14:paraId="6D3888F8" w14:textId="77777777" w:rsidR="00E96F82" w:rsidRDefault="00E96F82" w:rsidP="0025346E">
      <w:pPr>
        <w:spacing w:line="276" w:lineRule="auto"/>
        <w:jc w:val="both"/>
      </w:pPr>
    </w:p>
    <w:p w14:paraId="2805BF24" w14:textId="26AC70D0" w:rsidR="00577894" w:rsidRPr="008D746B" w:rsidRDefault="00B047C9" w:rsidP="00577894">
      <w:pPr>
        <w:spacing w:line="276" w:lineRule="auto"/>
        <w:jc w:val="both"/>
      </w:pPr>
      <w:r>
        <w:t>There have been two approaches</w:t>
      </w:r>
      <w:r w:rsidR="00861857">
        <w:t xml:space="preserve"> internationally</w:t>
      </w:r>
      <w:r>
        <w:t>, one make</w:t>
      </w:r>
      <w:r w:rsidR="00947906">
        <w:t>s</w:t>
      </w:r>
      <w:r>
        <w:t xml:space="preserve"> limited use of officers, focus</w:t>
      </w:r>
      <w:r w:rsidR="00947906">
        <w:t>ing</w:t>
      </w:r>
      <w:r>
        <w:t xml:space="preserve"> on a core like the </w:t>
      </w:r>
      <w:r w:rsidR="00EF43CF">
        <w:t>A</w:t>
      </w:r>
      <w:r>
        <w:t>uditor</w:t>
      </w:r>
      <w:r w:rsidR="00EF43CF">
        <w:t>-</w:t>
      </w:r>
      <w:r>
        <w:t xml:space="preserve">General and the Ombudsman. The other is to make extensive </w:t>
      </w:r>
      <w:r w:rsidR="00F20E0F">
        <w:t xml:space="preserve">use </w:t>
      </w:r>
      <w:r>
        <w:t>of such appointments, the expansion possibly being prompted by concern</w:t>
      </w:r>
      <w:r w:rsidR="00947906">
        <w:t>s about</w:t>
      </w:r>
      <w:r>
        <w:t xml:space="preserve"> ethical </w:t>
      </w:r>
      <w:r w:rsidR="00577894">
        <w:t xml:space="preserve">issues. </w:t>
      </w:r>
      <w:r w:rsidR="00147355">
        <w:t xml:space="preserve">The first approach is exemplified by </w:t>
      </w:r>
      <w:r w:rsidR="00F20E0F">
        <w:t xml:space="preserve">the </w:t>
      </w:r>
      <w:r w:rsidR="00147355">
        <w:t>national governments of Australia, New Zealand and the United Kingdom</w:t>
      </w:r>
      <w:r w:rsidR="008F4338">
        <w:t xml:space="preserve">; the latter approach by </w:t>
      </w:r>
      <w:r w:rsidR="00E96F82">
        <w:t xml:space="preserve">the </w:t>
      </w:r>
      <w:r w:rsidR="008F4338">
        <w:t>Canad</w:t>
      </w:r>
      <w:r w:rsidR="00E96F82">
        <w:t>ian national parliament</w:t>
      </w:r>
      <w:r w:rsidR="008F4338">
        <w:t xml:space="preserve"> and provincial legislative assemblies</w:t>
      </w:r>
      <w:r w:rsidR="00E96F82">
        <w:t>, which</w:t>
      </w:r>
      <w:r w:rsidR="008F4338">
        <w:t xml:space="preserve"> have as many as eight officers</w:t>
      </w:r>
      <w:r w:rsidR="00577894">
        <w:t xml:space="preserve"> (diffusion within a federal country is relevant</w:t>
      </w:r>
      <w:r w:rsidR="00577894">
        <w:rPr>
          <w:b/>
          <w:bCs/>
        </w:rPr>
        <w:t xml:space="preserve"> </w:t>
      </w:r>
      <w:r w:rsidR="00577894" w:rsidRPr="00577894">
        <w:t>here</w:t>
      </w:r>
      <w:r w:rsidR="00577894">
        <w:t>).</w:t>
      </w:r>
      <w:r w:rsidR="0045282C">
        <w:t xml:space="preserve"> </w:t>
      </w:r>
      <w:r w:rsidR="009E06AA">
        <w:t>A number of</w:t>
      </w:r>
      <w:r w:rsidR="00577894">
        <w:t xml:space="preserve"> assemblies and parliaments give </w:t>
      </w:r>
      <w:r w:rsidR="006D3D57">
        <w:t xml:space="preserve">explicit </w:t>
      </w:r>
      <w:r w:rsidR="0045282C">
        <w:t xml:space="preserve">public </w:t>
      </w:r>
      <w:r w:rsidR="00577894">
        <w:t>recognition of their officers. One example is New Zealand’s Offices of Parliament website, which has links to its three officers.</w:t>
      </w:r>
      <w:r w:rsidR="00577894">
        <w:rPr>
          <w:rStyle w:val="FootnoteReference"/>
        </w:rPr>
        <w:footnoteReference w:id="22"/>
      </w:r>
    </w:p>
    <w:p w14:paraId="3F32058D" w14:textId="250766F6" w:rsidR="00577894" w:rsidRDefault="00577894" w:rsidP="0025346E">
      <w:pPr>
        <w:spacing w:line="276" w:lineRule="auto"/>
        <w:jc w:val="both"/>
      </w:pPr>
    </w:p>
    <w:p w14:paraId="4490A431" w14:textId="3CC68435" w:rsidR="006D3D57" w:rsidRDefault="00303238" w:rsidP="002C727C">
      <w:pPr>
        <w:spacing w:after="120" w:line="276" w:lineRule="auto"/>
        <w:jc w:val="both"/>
      </w:pPr>
      <w:r w:rsidRPr="006D14AA">
        <w:rPr>
          <w:i/>
          <w:iCs/>
        </w:rPr>
        <w:t>Recommendation</w:t>
      </w:r>
      <w:r w:rsidR="00054DA9">
        <w:rPr>
          <w:i/>
          <w:iCs/>
        </w:rPr>
        <w:t xml:space="preserve"> 1</w:t>
      </w:r>
      <w:r w:rsidR="007D3975">
        <w:rPr>
          <w:i/>
          <w:iCs/>
        </w:rPr>
        <w:t>1</w:t>
      </w:r>
      <w:r w:rsidRPr="006D14AA">
        <w:rPr>
          <w:i/>
          <w:iCs/>
        </w:rPr>
        <w:t>:</w:t>
      </w:r>
      <w:r>
        <w:t xml:space="preserve"> </w:t>
      </w:r>
      <w:r w:rsidR="008D746B" w:rsidRPr="00B11ADA">
        <w:rPr>
          <w:i/>
          <w:iCs/>
        </w:rPr>
        <w:t>The Officers of the Legislative Assembly should be profiled on its website</w:t>
      </w:r>
      <w:r w:rsidR="008D746B">
        <w:t xml:space="preserve">. </w:t>
      </w:r>
    </w:p>
    <w:p w14:paraId="098AC5C3" w14:textId="7B2B3B58" w:rsidR="004A583C" w:rsidRPr="00E55EA2" w:rsidRDefault="007C08FB" w:rsidP="00DB1BA7">
      <w:pPr>
        <w:spacing w:after="120" w:line="276" w:lineRule="auto"/>
        <w:jc w:val="both"/>
      </w:pPr>
      <w:r>
        <w:t>An</w:t>
      </w:r>
      <w:r w:rsidR="002634D3">
        <w:t>other</w:t>
      </w:r>
      <w:r>
        <w:t xml:space="preserve"> area recognised by the Latimer principles</w:t>
      </w:r>
      <w:r w:rsidR="002634D3">
        <w:t xml:space="preserve"> is</w:t>
      </w:r>
      <w:r>
        <w:t xml:space="preserve"> </w:t>
      </w:r>
      <w:r w:rsidR="002634D3">
        <w:t>h</w:t>
      </w:r>
      <w:r>
        <w:t xml:space="preserve">uman </w:t>
      </w:r>
      <w:r w:rsidR="002634D3">
        <w:t>r</w:t>
      </w:r>
      <w:r>
        <w:t>ights</w:t>
      </w:r>
      <w:r w:rsidR="002634D3">
        <w:t>.</w:t>
      </w:r>
      <w:r w:rsidR="00E55EA2">
        <w:t xml:space="preserve"> </w:t>
      </w:r>
      <w:r w:rsidR="00E55EA2">
        <w:rPr>
          <w:color w:val="000000" w:themeColor="text1"/>
        </w:rPr>
        <w:t>T</w:t>
      </w:r>
      <w:r w:rsidR="004A583C" w:rsidRPr="004A583C">
        <w:rPr>
          <w:color w:val="000000" w:themeColor="text1"/>
        </w:rPr>
        <w:t xml:space="preserve">he ACT Human Rights Commission </w:t>
      </w:r>
      <w:r w:rsidR="00E55EA2">
        <w:rPr>
          <w:color w:val="000000" w:themeColor="text1"/>
        </w:rPr>
        <w:t xml:space="preserve">was </w:t>
      </w:r>
      <w:r w:rsidR="004A583C" w:rsidRPr="004A583C">
        <w:rPr>
          <w:color w:val="000000" w:themeColor="text1"/>
        </w:rPr>
        <w:t xml:space="preserve">expanded </w:t>
      </w:r>
      <w:r w:rsidR="00E55EA2">
        <w:rPr>
          <w:color w:val="000000" w:themeColor="text1"/>
        </w:rPr>
        <w:t xml:space="preserve">in 2016 </w:t>
      </w:r>
      <w:r w:rsidR="004A583C" w:rsidRPr="004A583C">
        <w:rPr>
          <w:color w:val="000000" w:themeColor="text1"/>
        </w:rPr>
        <w:t>to include the functions of the</w:t>
      </w:r>
      <w:r w:rsidR="00E55EA2">
        <w:rPr>
          <w:color w:val="000000" w:themeColor="text1"/>
        </w:rPr>
        <w:t xml:space="preserve"> Victims of Crime Commissioner</w:t>
      </w:r>
      <w:r w:rsidR="00E55EA2" w:rsidRPr="004A583C">
        <w:rPr>
          <w:color w:val="000000" w:themeColor="text1"/>
        </w:rPr>
        <w:t xml:space="preserve"> </w:t>
      </w:r>
      <w:r w:rsidR="004A583C" w:rsidRPr="004A583C">
        <w:rPr>
          <w:color w:val="000000" w:themeColor="text1"/>
        </w:rPr>
        <w:t xml:space="preserve">and </w:t>
      </w:r>
      <w:r w:rsidR="00E55EA2">
        <w:rPr>
          <w:color w:val="000000" w:themeColor="text1"/>
        </w:rPr>
        <w:t xml:space="preserve">the </w:t>
      </w:r>
      <w:r w:rsidR="004A583C" w:rsidRPr="004A583C">
        <w:rPr>
          <w:color w:val="000000" w:themeColor="text1"/>
        </w:rPr>
        <w:t>advocacy functions of the</w:t>
      </w:r>
      <w:r w:rsidR="00E55EA2">
        <w:rPr>
          <w:color w:val="000000" w:themeColor="text1"/>
        </w:rPr>
        <w:t xml:space="preserve"> Public Advocate, and statutory</w:t>
      </w:r>
      <w:r w:rsidR="004A583C" w:rsidRPr="004A583C">
        <w:rPr>
          <w:color w:val="000000" w:themeColor="text1"/>
        </w:rPr>
        <w:t xml:space="preserve"> office holders appointed</w:t>
      </w:r>
      <w:r w:rsidR="00E55EA2">
        <w:rPr>
          <w:color w:val="000000" w:themeColor="text1"/>
        </w:rPr>
        <w:t>.</w:t>
      </w:r>
    </w:p>
    <w:p w14:paraId="04AA72A1" w14:textId="4F3301B8" w:rsidR="002634D3" w:rsidRDefault="002634D3" w:rsidP="002634D3">
      <w:pPr>
        <w:pStyle w:val="NormalWeb"/>
        <w:spacing w:before="0" w:beforeAutospacing="0" w:after="0" w:afterAutospacing="0" w:line="276" w:lineRule="auto"/>
        <w:jc w:val="both"/>
      </w:pPr>
      <w:r>
        <w:t xml:space="preserve">Finally, the high calibre of the appointments to the position of Officer of the Legislative Assembly is </w:t>
      </w:r>
      <w:r w:rsidR="00154853">
        <w:t>apparent, a</w:t>
      </w:r>
      <w:r>
        <w:t xml:space="preserve"> judgement that also applies to the Executive’s </w:t>
      </w:r>
      <w:r w:rsidR="00E55EA2">
        <w:t xml:space="preserve">statutory appointments such as </w:t>
      </w:r>
      <w:r w:rsidRPr="00A60162">
        <w:t>Public Sector Standards Commissioner</w:t>
      </w:r>
      <w:r>
        <w:t>.</w:t>
      </w:r>
    </w:p>
    <w:p w14:paraId="51F93ED4" w14:textId="77777777" w:rsidR="0069792B" w:rsidRPr="008A3AC3" w:rsidRDefault="0069792B" w:rsidP="002634D3">
      <w:pPr>
        <w:pStyle w:val="NormalWeb"/>
        <w:spacing w:before="0" w:beforeAutospacing="0" w:after="0" w:afterAutospacing="0" w:line="276" w:lineRule="auto"/>
        <w:jc w:val="both"/>
      </w:pPr>
    </w:p>
    <w:p w14:paraId="5D98B953" w14:textId="27C6A53E" w:rsidR="009900D6" w:rsidRPr="00A272EE" w:rsidRDefault="009900D6" w:rsidP="006D14AA">
      <w:pPr>
        <w:pStyle w:val="Normal18J"/>
        <w:rPr>
          <w:i/>
          <w:iCs/>
        </w:rPr>
      </w:pPr>
      <w:r w:rsidRPr="00A272EE">
        <w:rPr>
          <w:i/>
          <w:iCs/>
        </w:rPr>
        <w:t>Integrity Commission</w:t>
      </w:r>
    </w:p>
    <w:p w14:paraId="184FA28D" w14:textId="7580D283" w:rsidR="00303238" w:rsidRDefault="00B27A39" w:rsidP="00DB1BA7">
      <w:pPr>
        <w:spacing w:after="120" w:line="276" w:lineRule="auto"/>
        <w:jc w:val="both"/>
      </w:pPr>
      <w:r>
        <w:t>A</w:t>
      </w:r>
      <w:r w:rsidR="00562BF9">
        <w:t>n Integrity Commission was established in 2018</w:t>
      </w:r>
      <w:r>
        <w:t xml:space="preserve"> following extended debate and review, </w:t>
      </w:r>
      <w:r w:rsidR="00562BF9">
        <w:t>and became operational, at least administratively in the middle of 2019.</w:t>
      </w:r>
      <w:r>
        <w:rPr>
          <w:rStyle w:val="FootnoteReference"/>
        </w:rPr>
        <w:footnoteReference w:id="23"/>
      </w:r>
      <w:r w:rsidR="00F05C09">
        <w:t xml:space="preserve"> As</w:t>
      </w:r>
      <w:r w:rsidR="00F05C09" w:rsidRPr="000C5E8F">
        <w:t xml:space="preserve"> an independent body </w:t>
      </w:r>
      <w:r w:rsidR="00F05C09">
        <w:t>it</w:t>
      </w:r>
      <w:r w:rsidR="00F05C09" w:rsidRPr="000C5E8F">
        <w:t xml:space="preserve"> ha</w:t>
      </w:r>
      <w:r w:rsidR="00F05C09">
        <w:t>s</w:t>
      </w:r>
      <w:r w:rsidR="00F05C09" w:rsidRPr="000C5E8F">
        <w:t xml:space="preserve"> the power to investigate corruption in public administration and </w:t>
      </w:r>
      <w:r w:rsidR="006B176E">
        <w:t xml:space="preserve">is meant to </w:t>
      </w:r>
      <w:r w:rsidR="00F05C09" w:rsidRPr="000C5E8F">
        <w:t>strengthen public confidence in government</w:t>
      </w:r>
      <w:r w:rsidR="00F05C09" w:rsidRPr="009900D6">
        <w:rPr>
          <w:spacing w:val="-22"/>
        </w:rPr>
        <w:t xml:space="preserve"> </w:t>
      </w:r>
      <w:r w:rsidR="00F05C09" w:rsidRPr="000C5E8F">
        <w:t>integrity.</w:t>
      </w:r>
      <w:r w:rsidR="008D6CFC">
        <w:t xml:space="preserve"> </w:t>
      </w:r>
      <w:r w:rsidR="00C752FC" w:rsidRPr="000C5E8F">
        <w:t xml:space="preserve">The Integrity Commission </w:t>
      </w:r>
      <w:r w:rsidR="00916DCF">
        <w:t>is to</w:t>
      </w:r>
      <w:r w:rsidR="00C752FC" w:rsidRPr="000C5E8F">
        <w:t xml:space="preserve"> investigate conduct that is alleged to be corrupt in relation to ACT public sector </w:t>
      </w:r>
      <w:r w:rsidR="00C752FC">
        <w:t xml:space="preserve">agencies, </w:t>
      </w:r>
      <w:r w:rsidR="00C752FC" w:rsidRPr="000C5E8F">
        <w:t>employees and contract staff in government directorates and members of the Legislative Assembly and their staff.</w:t>
      </w:r>
      <w:r w:rsidR="000B4515">
        <w:t xml:space="preserve"> </w:t>
      </w:r>
      <w:r w:rsidR="001E6EBE" w:rsidRPr="000C5E8F">
        <w:t>The I</w:t>
      </w:r>
      <w:r w:rsidR="001E6EBE">
        <w:t>ntegrity Commission</w:t>
      </w:r>
      <w:r w:rsidR="001E6EBE" w:rsidRPr="000C5E8F">
        <w:t xml:space="preserve"> Act </w:t>
      </w:r>
      <w:r w:rsidR="00916DCF">
        <w:t xml:space="preserve">also requires </w:t>
      </w:r>
      <w:r w:rsidR="001E6EBE">
        <w:t>them to</w:t>
      </w:r>
      <w:r w:rsidR="001E6EBE" w:rsidRPr="000C5E8F">
        <w:t xml:space="preserve"> notify the </w:t>
      </w:r>
      <w:r w:rsidR="006B176E">
        <w:t>C</w:t>
      </w:r>
      <w:r w:rsidR="001E6EBE" w:rsidRPr="000C5E8F">
        <w:t>ommission about a matter th</w:t>
      </w:r>
      <w:r w:rsidR="001E6EBE">
        <w:t xml:space="preserve">at </w:t>
      </w:r>
      <w:r w:rsidR="001E6EBE">
        <w:lastRenderedPageBreak/>
        <w:t>might</w:t>
      </w:r>
      <w:r w:rsidR="001E6EBE" w:rsidRPr="000C5E8F">
        <w:t xml:space="preserve"> on reasonable grounds involve serious corrupt </w:t>
      </w:r>
      <w:r w:rsidR="001E6EBE">
        <w:t xml:space="preserve">misconduct </w:t>
      </w:r>
      <w:r w:rsidR="001E6EBE" w:rsidRPr="000C5E8F">
        <w:t>or systemic corrupt conduct.</w:t>
      </w:r>
      <w:r w:rsidR="001E6EBE">
        <w:rPr>
          <w:rStyle w:val="FootnoteReference"/>
        </w:rPr>
        <w:footnoteReference w:id="24"/>
      </w:r>
      <w:r w:rsidR="001E6EBE">
        <w:t xml:space="preserve"> </w:t>
      </w:r>
      <w:r w:rsidR="008D6CFC" w:rsidRPr="000C5E8F">
        <w:t>Th</w:t>
      </w:r>
      <w:r w:rsidR="00735AA9">
        <w:t>e</w:t>
      </w:r>
      <w:r w:rsidR="008D6CFC" w:rsidRPr="000C5E8F">
        <w:t xml:space="preserve"> new </w:t>
      </w:r>
      <w:r w:rsidR="00735AA9">
        <w:t>Commission is</w:t>
      </w:r>
      <w:r w:rsidR="008D6CFC" w:rsidRPr="000C5E8F">
        <w:t xml:space="preserve"> </w:t>
      </w:r>
      <w:r w:rsidR="000B4515">
        <w:t>i</w:t>
      </w:r>
      <w:r w:rsidR="00735AA9">
        <w:t>ntend</w:t>
      </w:r>
      <w:r w:rsidR="000B4515">
        <w:t>ed to</w:t>
      </w:r>
      <w:r w:rsidR="008D6CFC" w:rsidRPr="000C5E8F">
        <w:t xml:space="preserve"> play an important role in ensuring </w:t>
      </w:r>
      <w:r w:rsidR="003F36EA">
        <w:t xml:space="preserve">the </w:t>
      </w:r>
      <w:r w:rsidR="008D6CFC" w:rsidRPr="000C5E8F">
        <w:t>transparency</w:t>
      </w:r>
      <w:r w:rsidR="008D6CFC" w:rsidRPr="009900D6">
        <w:rPr>
          <w:spacing w:val="-31"/>
        </w:rPr>
        <w:t xml:space="preserve"> </w:t>
      </w:r>
      <w:r w:rsidR="008D6CFC" w:rsidRPr="000C5E8F">
        <w:t>and accountability of the ACT</w:t>
      </w:r>
      <w:r w:rsidR="0048147E">
        <w:t>’s</w:t>
      </w:r>
      <w:r w:rsidR="008D6CFC" w:rsidRPr="000C5E8F">
        <w:t xml:space="preserve"> public sector and </w:t>
      </w:r>
      <w:r w:rsidR="0048147E">
        <w:t>legis</w:t>
      </w:r>
      <w:r w:rsidR="0019372D">
        <w:t>la</w:t>
      </w:r>
      <w:r w:rsidR="0048147E">
        <w:t>ture</w:t>
      </w:r>
      <w:r w:rsidR="008D6CFC" w:rsidRPr="000C5E8F">
        <w:t>.</w:t>
      </w:r>
    </w:p>
    <w:p w14:paraId="4D362B00" w14:textId="0352E7ED" w:rsidR="00B047C9" w:rsidRPr="000C5E8F" w:rsidRDefault="00B047C9" w:rsidP="00973DB4">
      <w:pPr>
        <w:widowControl w:val="0"/>
        <w:autoSpaceDE w:val="0"/>
        <w:autoSpaceDN w:val="0"/>
        <w:spacing w:line="276" w:lineRule="auto"/>
        <w:jc w:val="both"/>
      </w:pPr>
      <w:r w:rsidRPr="000C5E8F">
        <w:t xml:space="preserve">The </w:t>
      </w:r>
      <w:r w:rsidR="009A6098" w:rsidRPr="000C5E8F">
        <w:t xml:space="preserve">Act </w:t>
      </w:r>
      <w:r w:rsidR="009A6098">
        <w:t xml:space="preserve">covers </w:t>
      </w:r>
      <w:r w:rsidRPr="000C5E8F">
        <w:t>judiciary and judicial officer</w:t>
      </w:r>
      <w:r w:rsidR="009A6098">
        <w:t>s and</w:t>
      </w:r>
      <w:r w:rsidRPr="000C5E8F">
        <w:t xml:space="preserve"> provides for mandatory referral to the Judicial Co</w:t>
      </w:r>
      <w:r w:rsidR="009A6098">
        <w:t>uncil</w:t>
      </w:r>
      <w:r w:rsidRPr="000C5E8F">
        <w:t xml:space="preserve"> </w:t>
      </w:r>
      <w:r w:rsidR="00750F3E">
        <w:t xml:space="preserve">or Commission </w:t>
      </w:r>
      <w:r w:rsidRPr="000C5E8F">
        <w:t>in situations where complain</w:t>
      </w:r>
      <w:r w:rsidR="009A6098">
        <w:t>ts arise</w:t>
      </w:r>
      <w:r w:rsidRPr="000C5E8F">
        <w:t xml:space="preserve"> about</w:t>
      </w:r>
      <w:r w:rsidR="009A6098">
        <w:t xml:space="preserve"> </w:t>
      </w:r>
      <w:r w:rsidR="009A6098" w:rsidRPr="000C5E8F">
        <w:t>a judicial officer</w:t>
      </w:r>
      <w:r w:rsidR="009A6098">
        <w:t>’s behaviour</w:t>
      </w:r>
      <w:r w:rsidRPr="000C5E8F">
        <w:t xml:space="preserve">. This approach </w:t>
      </w:r>
      <w:r w:rsidR="00ED4013">
        <w:t xml:space="preserve">is meant to </w:t>
      </w:r>
      <w:r w:rsidRPr="000C5E8F">
        <w:t xml:space="preserve">ensure that the Judicial Council continues to be responsible for dealing with low-level complaints about judicial officers, but the Integrity Commission is not prevented from fully investigating corrupt conduct. </w:t>
      </w:r>
      <w:r w:rsidR="00916DCF">
        <w:t>As discussed earlier, there is some sensitivity</w:t>
      </w:r>
      <w:r w:rsidR="00916DCF" w:rsidRPr="000C5E8F">
        <w:t xml:space="preserve"> </w:t>
      </w:r>
      <w:r w:rsidR="00916DCF">
        <w:t>about</w:t>
      </w:r>
      <w:r w:rsidRPr="000C5E8F">
        <w:t xml:space="preserve"> ensur</w:t>
      </w:r>
      <w:r w:rsidR="00916DCF">
        <w:t>ing</w:t>
      </w:r>
      <w:r w:rsidRPr="000C5E8F">
        <w:t xml:space="preserve"> the separation of powers, </w:t>
      </w:r>
      <w:r w:rsidR="00897E28">
        <w:t xml:space="preserve">and </w:t>
      </w:r>
      <w:r w:rsidRPr="000C5E8F">
        <w:t xml:space="preserve">the </w:t>
      </w:r>
      <w:r w:rsidR="00D314B0">
        <w:t xml:space="preserve">Integrity </w:t>
      </w:r>
      <w:r w:rsidRPr="000C5E8F">
        <w:t xml:space="preserve">Commission </w:t>
      </w:r>
      <w:r w:rsidR="008F0433">
        <w:t>cannot</w:t>
      </w:r>
      <w:r w:rsidRPr="000C5E8F">
        <w:t xml:space="preserve"> investigate complaints made about judicial officers that directly relate to a judicial decision or</w:t>
      </w:r>
      <w:r w:rsidRPr="009900D6">
        <w:rPr>
          <w:spacing w:val="-9"/>
        </w:rPr>
        <w:t xml:space="preserve"> </w:t>
      </w:r>
      <w:r w:rsidRPr="000C5E8F">
        <w:t>process.</w:t>
      </w:r>
      <w:r w:rsidR="00973DB4">
        <w:t xml:space="preserve"> </w:t>
      </w:r>
      <w:r w:rsidRPr="000C5E8F">
        <w:t xml:space="preserve">The power to impose a sanction against a judicial officer remains with the </w:t>
      </w:r>
      <w:r w:rsidR="00997030">
        <w:t>J</w:t>
      </w:r>
      <w:r w:rsidRPr="000C5E8F">
        <w:t xml:space="preserve">udicial </w:t>
      </w:r>
      <w:r w:rsidR="00997030">
        <w:t>C</w:t>
      </w:r>
      <w:r w:rsidRPr="000C5E8F">
        <w:t>ouncil or the Legislative Assembly</w:t>
      </w:r>
      <w:r w:rsidR="00750F3E">
        <w:t>, an</w:t>
      </w:r>
      <w:r w:rsidRPr="000C5E8F">
        <w:t xml:space="preserve"> approach </w:t>
      </w:r>
      <w:r w:rsidR="00750F3E">
        <w:t xml:space="preserve">that </w:t>
      </w:r>
      <w:r w:rsidR="005556AC">
        <w:t xml:space="preserve">is regarded as </w:t>
      </w:r>
      <w:r w:rsidRPr="000C5E8F">
        <w:t>retain</w:t>
      </w:r>
      <w:r w:rsidR="005556AC">
        <w:t>ing</w:t>
      </w:r>
      <w:r w:rsidRPr="000C5E8F">
        <w:t xml:space="preserve"> the independence of the </w:t>
      </w:r>
      <w:r w:rsidR="00154853">
        <w:t>J</w:t>
      </w:r>
      <w:r w:rsidR="00154853" w:rsidRPr="000C5E8F">
        <w:t>udiciary and</w:t>
      </w:r>
      <w:r w:rsidRPr="000C5E8F">
        <w:t xml:space="preserve"> encourag</w:t>
      </w:r>
      <w:r w:rsidR="00A34872">
        <w:t>ing</w:t>
      </w:r>
      <w:r w:rsidRPr="000C5E8F">
        <w:t xml:space="preserve"> a collaborative approach between the Integrity Commission and the Judicial</w:t>
      </w:r>
      <w:r w:rsidRPr="009900D6">
        <w:rPr>
          <w:spacing w:val="4"/>
        </w:rPr>
        <w:t xml:space="preserve"> </w:t>
      </w:r>
      <w:r w:rsidRPr="000C5E8F">
        <w:t>Council</w:t>
      </w:r>
      <w:r w:rsidR="00997DDC">
        <w:t xml:space="preserve"> (see the </w:t>
      </w:r>
      <w:r w:rsidR="0044461A">
        <w:t xml:space="preserve">earlier </w:t>
      </w:r>
      <w:r w:rsidR="00997DDC">
        <w:t>recommendation for reviewing the operation of the Act to learn whether this is the case)</w:t>
      </w:r>
      <w:r w:rsidRPr="000C5E8F">
        <w:t>.</w:t>
      </w:r>
    </w:p>
    <w:p w14:paraId="3DFE99D4" w14:textId="019110E1" w:rsidR="007B1427" w:rsidRPr="006D3D57" w:rsidRDefault="004F3B11" w:rsidP="00C739D7">
      <w:pPr>
        <w:spacing w:before="240" w:after="240" w:line="276" w:lineRule="auto"/>
        <w:jc w:val="both"/>
        <w:outlineLvl w:val="0"/>
        <w:rPr>
          <w:b/>
          <w:iCs/>
          <w:color w:val="4472C4" w:themeColor="accent1"/>
          <w:sz w:val="28"/>
          <w:szCs w:val="28"/>
        </w:rPr>
      </w:pPr>
      <w:r w:rsidRPr="004F3B11">
        <w:rPr>
          <w:b/>
          <w:color w:val="4472C4" w:themeColor="accent1"/>
          <w:sz w:val="28"/>
          <w:szCs w:val="28"/>
          <w:lang w:val="en-US"/>
        </w:rPr>
        <w:t xml:space="preserve">Civil Society </w:t>
      </w:r>
      <w:r>
        <w:rPr>
          <w:b/>
          <w:color w:val="4472C4" w:themeColor="accent1"/>
          <w:sz w:val="28"/>
          <w:szCs w:val="28"/>
          <w:lang w:val="en-US"/>
        </w:rPr>
        <w:t>a</w:t>
      </w:r>
      <w:r w:rsidRPr="004F3B11">
        <w:rPr>
          <w:b/>
          <w:color w:val="4472C4" w:themeColor="accent1"/>
          <w:sz w:val="28"/>
          <w:szCs w:val="28"/>
          <w:lang w:val="en-US"/>
        </w:rPr>
        <w:t xml:space="preserve">nd Governance </w:t>
      </w:r>
      <w:r>
        <w:rPr>
          <w:b/>
          <w:color w:val="4472C4" w:themeColor="accent1"/>
          <w:sz w:val="28"/>
          <w:szCs w:val="28"/>
          <w:lang w:val="en-US"/>
        </w:rPr>
        <w:t>i</w:t>
      </w:r>
      <w:r w:rsidRPr="004F3B11">
        <w:rPr>
          <w:b/>
          <w:color w:val="4472C4" w:themeColor="accent1"/>
          <w:sz w:val="28"/>
          <w:szCs w:val="28"/>
          <w:lang w:val="en-US"/>
        </w:rPr>
        <w:t xml:space="preserve">n </w:t>
      </w:r>
      <w:r>
        <w:rPr>
          <w:b/>
          <w:color w:val="4472C4" w:themeColor="accent1"/>
          <w:sz w:val="28"/>
          <w:szCs w:val="28"/>
          <w:lang w:val="en-US"/>
        </w:rPr>
        <w:t>t</w:t>
      </w:r>
      <w:r w:rsidRPr="004F3B11">
        <w:rPr>
          <w:b/>
          <w:color w:val="4472C4" w:themeColor="accent1"/>
          <w:sz w:val="28"/>
          <w:szCs w:val="28"/>
          <w:lang w:val="en-US"/>
        </w:rPr>
        <w:t>he A</w:t>
      </w:r>
      <w:r w:rsidR="000E7A84">
        <w:rPr>
          <w:b/>
          <w:color w:val="4472C4" w:themeColor="accent1"/>
          <w:sz w:val="28"/>
          <w:szCs w:val="28"/>
          <w:lang w:val="en-US"/>
        </w:rPr>
        <w:t>CT</w:t>
      </w:r>
      <w:r w:rsidRPr="004F3B11">
        <w:rPr>
          <w:b/>
          <w:i/>
          <w:color w:val="4472C4" w:themeColor="accent1"/>
          <w:sz w:val="28"/>
          <w:szCs w:val="28"/>
        </w:rPr>
        <w:t xml:space="preserve"> </w:t>
      </w:r>
    </w:p>
    <w:p w14:paraId="42C821E5" w14:textId="55409DD7" w:rsidR="00F27D9F" w:rsidRPr="00F27D9F" w:rsidRDefault="00F27D9F" w:rsidP="00C739D7">
      <w:pPr>
        <w:spacing w:before="240" w:after="240" w:line="276" w:lineRule="auto"/>
        <w:jc w:val="both"/>
        <w:outlineLvl w:val="0"/>
        <w:rPr>
          <w:bCs/>
          <w:iCs/>
          <w:color w:val="000000" w:themeColor="text1"/>
        </w:rPr>
      </w:pPr>
      <w:r w:rsidRPr="00F27D9F">
        <w:rPr>
          <w:bCs/>
          <w:iCs/>
          <w:color w:val="000000" w:themeColor="text1"/>
        </w:rPr>
        <w:t>Three aspects of governance are addressed: women’s role, and the Assembly and Executive’s engagement.</w:t>
      </w:r>
    </w:p>
    <w:p w14:paraId="5D649251" w14:textId="1F7E6B22" w:rsidR="000F1526" w:rsidRPr="00CB6725" w:rsidRDefault="000F1526" w:rsidP="00CB6725">
      <w:pPr>
        <w:pStyle w:val="Normal18J"/>
        <w:rPr>
          <w:i/>
          <w:iCs/>
        </w:rPr>
      </w:pPr>
      <w:r w:rsidRPr="00CB6725">
        <w:rPr>
          <w:i/>
          <w:iCs/>
        </w:rPr>
        <w:t>Representation</w:t>
      </w:r>
      <w:r w:rsidR="0005647C">
        <w:rPr>
          <w:i/>
          <w:iCs/>
        </w:rPr>
        <w:t xml:space="preserve"> of women</w:t>
      </w:r>
    </w:p>
    <w:p w14:paraId="108568DD" w14:textId="05BACB6D" w:rsidR="000F1526" w:rsidRDefault="00312921" w:rsidP="00DB1BA7">
      <w:pPr>
        <w:spacing w:after="120" w:line="276" w:lineRule="auto"/>
        <w:jc w:val="both"/>
      </w:pPr>
      <w:r>
        <w:rPr>
          <w:bCs/>
          <w:iCs/>
        </w:rPr>
        <w:t xml:space="preserve">The </w:t>
      </w:r>
      <w:r w:rsidR="000F1526" w:rsidRPr="00CB6725">
        <w:rPr>
          <w:bCs/>
          <w:iCs/>
        </w:rPr>
        <w:t>Latimer</w:t>
      </w:r>
      <w:r>
        <w:rPr>
          <w:bCs/>
          <w:iCs/>
        </w:rPr>
        <w:t xml:space="preserve"> Principles are emphatic that t</w:t>
      </w:r>
      <w:r w:rsidR="009E7375">
        <w:t>he three branches of government should treat wom</w:t>
      </w:r>
      <w:r w:rsidR="00C557EF">
        <w:t>e</w:t>
      </w:r>
      <w:r w:rsidR="009E7375">
        <w:t>n and public positions on an equal footing with me</w:t>
      </w:r>
      <w:r w:rsidR="00C750F2">
        <w:t>n</w:t>
      </w:r>
      <w:r w:rsidR="009E7375">
        <w:t xml:space="preserve"> in all circumstances</w:t>
      </w:r>
      <w:r w:rsidR="004D3533">
        <w:t xml:space="preserve"> t</w:t>
      </w:r>
      <w:r w:rsidR="000F1526">
        <w:t>o improve the numbers of wom</w:t>
      </w:r>
      <w:r w:rsidR="00C557EF">
        <w:t>e</w:t>
      </w:r>
      <w:r w:rsidR="000F1526">
        <w:t>n members in Commonwealth parliaments</w:t>
      </w:r>
      <w:r w:rsidR="009E7375">
        <w:t>.</w:t>
      </w:r>
      <w:r w:rsidR="00234BB3">
        <w:t xml:space="preserve"> </w:t>
      </w:r>
      <w:r w:rsidR="000F1526">
        <w:t>Latimer focuses more on improving representation rather than their roles in parliament</w:t>
      </w:r>
      <w:r w:rsidR="009E7375">
        <w:t xml:space="preserve">. </w:t>
      </w:r>
      <w:r w:rsidR="000F1526">
        <w:t>Mainstreaming gender as an institutional and cultural process will facilitate the elimination of</w:t>
      </w:r>
      <w:r>
        <w:t xml:space="preserve"> gender bi</w:t>
      </w:r>
      <w:r w:rsidR="00234BB3">
        <w:t>a</w:t>
      </w:r>
      <w:r>
        <w:t>ses</w:t>
      </w:r>
      <w:r w:rsidR="000F1526">
        <w:t>.</w:t>
      </w:r>
    </w:p>
    <w:p w14:paraId="5071A726" w14:textId="4A4ACECE" w:rsidR="00213ADD" w:rsidRDefault="001B373D" w:rsidP="00DB1BA7">
      <w:pPr>
        <w:spacing w:after="120" w:line="276" w:lineRule="auto"/>
        <w:jc w:val="both"/>
      </w:pPr>
      <w:r>
        <w:t xml:space="preserve">The ACT </w:t>
      </w:r>
      <w:r w:rsidR="00E82056">
        <w:t xml:space="preserve">has a consistently high record across the three branches of government. </w:t>
      </w:r>
      <w:r w:rsidR="009E7375">
        <w:t>The h</w:t>
      </w:r>
      <w:r w:rsidR="000F1526">
        <w:t>istoric</w:t>
      </w:r>
      <w:r w:rsidR="009E7375">
        <w:t xml:space="preserve"> </w:t>
      </w:r>
      <w:r w:rsidR="00BD0542">
        <w:t xml:space="preserve">record </w:t>
      </w:r>
      <w:r w:rsidR="009E7375">
        <w:t>for the Assembly’s short existence is very good</w:t>
      </w:r>
      <w:r w:rsidR="00AE6D88">
        <w:t xml:space="preserve"> compared to other Australian parliaments</w:t>
      </w:r>
      <w:r w:rsidR="009E7375">
        <w:t>.</w:t>
      </w:r>
      <w:r w:rsidR="00BD0542">
        <w:t xml:space="preserve"> Four Chief Ministers of ACT government have been women. The</w:t>
      </w:r>
      <w:r w:rsidR="00C2593F">
        <w:t>ir</w:t>
      </w:r>
      <w:r w:rsidR="00BD0542">
        <w:t xml:space="preserve"> represent</w:t>
      </w:r>
      <w:r w:rsidR="00C2593F">
        <w:t>ation</w:t>
      </w:r>
      <w:r w:rsidR="00BD0542">
        <w:t xml:space="preserve"> in the current cabinet </w:t>
      </w:r>
      <w:r w:rsidR="00C2593F">
        <w:t>is</w:t>
      </w:r>
      <w:r w:rsidR="00BD0542">
        <w:t xml:space="preserve"> </w:t>
      </w:r>
      <w:r w:rsidR="007910F0">
        <w:t>t</w:t>
      </w:r>
      <w:r w:rsidR="00C2593F">
        <w:t xml:space="preserve">hree </w:t>
      </w:r>
      <w:r w:rsidR="00BD0542">
        <w:t>out of seven.</w:t>
      </w:r>
      <w:r w:rsidR="0082218A">
        <w:t xml:space="preserve"> </w:t>
      </w:r>
      <w:r w:rsidR="008C512F">
        <w:t xml:space="preserve">MLA representation </w:t>
      </w:r>
      <w:r w:rsidR="00BD0542">
        <w:t xml:space="preserve">of women </w:t>
      </w:r>
      <w:r w:rsidR="008C512F">
        <w:t>increased with larger assembly</w:t>
      </w:r>
      <w:r w:rsidR="006A738E">
        <w:t>, peaking at 56 % (currently 52%)</w:t>
      </w:r>
      <w:r w:rsidR="009E7375">
        <w:t xml:space="preserve">. </w:t>
      </w:r>
      <w:r w:rsidR="00C34B02" w:rsidRPr="0067321B">
        <w:rPr>
          <w:color w:val="000000"/>
          <w:shd w:val="clear" w:color="auto" w:fill="FFFFFF"/>
        </w:rPr>
        <w:t xml:space="preserve">The Hare-Clark system of proportional representation gives voters greater choice </w:t>
      </w:r>
      <w:r w:rsidR="00C34B02">
        <w:rPr>
          <w:color w:val="000000"/>
          <w:shd w:val="clear" w:color="auto" w:fill="FFFFFF"/>
        </w:rPr>
        <w:t>in elections,</w:t>
      </w:r>
      <w:r w:rsidR="00C34B02" w:rsidRPr="0067321B">
        <w:rPr>
          <w:color w:val="000000"/>
          <w:shd w:val="clear" w:color="auto" w:fill="FFFFFF"/>
        </w:rPr>
        <w:t xml:space="preserve"> </w:t>
      </w:r>
      <w:r w:rsidR="00C34B02">
        <w:rPr>
          <w:color w:val="000000"/>
          <w:shd w:val="clear" w:color="auto" w:fill="FFFFFF"/>
        </w:rPr>
        <w:t>which</w:t>
      </w:r>
      <w:r w:rsidR="00C34B02" w:rsidRPr="0067321B">
        <w:rPr>
          <w:color w:val="000000"/>
          <w:shd w:val="clear" w:color="auto" w:fill="FFFFFF"/>
        </w:rPr>
        <w:t xml:space="preserve"> can </w:t>
      </w:r>
      <w:r w:rsidR="00C34B02">
        <w:rPr>
          <w:color w:val="000000"/>
          <w:shd w:val="clear" w:color="auto" w:fill="FFFFFF"/>
        </w:rPr>
        <w:t>result in</w:t>
      </w:r>
      <w:r w:rsidR="00C34B02" w:rsidRPr="0067321B">
        <w:rPr>
          <w:color w:val="000000"/>
          <w:shd w:val="clear" w:color="auto" w:fill="FFFFFF"/>
        </w:rPr>
        <w:t xml:space="preserve"> the Assembly</w:t>
      </w:r>
      <w:r w:rsidR="00C34B02">
        <w:rPr>
          <w:color w:val="000000"/>
          <w:shd w:val="clear" w:color="auto" w:fill="FFFFFF"/>
        </w:rPr>
        <w:t xml:space="preserve">’s membership </w:t>
      </w:r>
      <w:r w:rsidR="00C34B02" w:rsidRPr="0067321B">
        <w:rPr>
          <w:color w:val="000000"/>
          <w:shd w:val="clear" w:color="auto" w:fill="FFFFFF"/>
        </w:rPr>
        <w:t xml:space="preserve">more </w:t>
      </w:r>
      <w:r w:rsidR="00C34B02">
        <w:rPr>
          <w:color w:val="000000"/>
          <w:shd w:val="clear" w:color="auto" w:fill="FFFFFF"/>
        </w:rPr>
        <w:t xml:space="preserve">closely </w:t>
      </w:r>
      <w:r w:rsidR="00C34B02" w:rsidRPr="0067321B">
        <w:rPr>
          <w:color w:val="000000"/>
          <w:shd w:val="clear" w:color="auto" w:fill="FFFFFF"/>
        </w:rPr>
        <w:t>reflecti</w:t>
      </w:r>
      <w:r w:rsidR="00C34B02">
        <w:rPr>
          <w:color w:val="000000"/>
          <w:shd w:val="clear" w:color="auto" w:fill="FFFFFF"/>
        </w:rPr>
        <w:t>ng</w:t>
      </w:r>
      <w:r w:rsidR="00C34B02" w:rsidRPr="0067321B">
        <w:rPr>
          <w:color w:val="000000"/>
          <w:shd w:val="clear" w:color="auto" w:fill="FFFFFF"/>
        </w:rPr>
        <w:t xml:space="preserve"> the community</w:t>
      </w:r>
      <w:r w:rsidR="00C34B02">
        <w:rPr>
          <w:color w:val="000000"/>
          <w:shd w:val="clear" w:color="auto" w:fill="FFFFFF"/>
        </w:rPr>
        <w:t>.</w:t>
      </w:r>
      <w:r w:rsidR="00C34B02" w:rsidRPr="0067321B">
        <w:rPr>
          <w:color w:val="000000"/>
          <w:shd w:val="clear" w:color="auto" w:fill="FFFFFF"/>
        </w:rPr>
        <w:t xml:space="preserve">  Multi-member electorates can better </w:t>
      </w:r>
      <w:r w:rsidR="00C34B02">
        <w:rPr>
          <w:color w:val="000000"/>
          <w:shd w:val="clear" w:color="auto" w:fill="FFFFFF"/>
        </w:rPr>
        <w:t>mirror</w:t>
      </w:r>
      <w:r w:rsidR="00C34B02" w:rsidRPr="0067321B">
        <w:rPr>
          <w:color w:val="000000"/>
          <w:shd w:val="clear" w:color="auto" w:fill="FFFFFF"/>
        </w:rPr>
        <w:t xml:space="preserve"> diversity</w:t>
      </w:r>
      <w:r w:rsidR="00571F7B" w:rsidRPr="00571F7B">
        <w:rPr>
          <w:color w:val="000000"/>
          <w:shd w:val="clear" w:color="auto" w:fill="FFFFFF"/>
        </w:rPr>
        <w:t xml:space="preserve"> (</w:t>
      </w:r>
      <w:r w:rsidR="00571F7B" w:rsidRPr="00571F7B">
        <w:rPr>
          <w:shd w:val="clear" w:color="auto" w:fill="FFFFFF"/>
        </w:rPr>
        <w:t>Burch 2018).</w:t>
      </w:r>
    </w:p>
    <w:p w14:paraId="68E8C7DB" w14:textId="278F7F71" w:rsidR="00E0776E" w:rsidRDefault="006741D0" w:rsidP="00DB1BA7">
      <w:pPr>
        <w:spacing w:after="120" w:line="276" w:lineRule="auto"/>
        <w:jc w:val="both"/>
      </w:pPr>
      <w:r>
        <w:t>T</w:t>
      </w:r>
      <w:r w:rsidR="00E0776E">
        <w:t>hree women</w:t>
      </w:r>
      <w:r>
        <w:t xml:space="preserve"> have held</w:t>
      </w:r>
      <w:r w:rsidR="00E0776E">
        <w:t xml:space="preserve"> the position of Speaker. Of leadership positions in the</w:t>
      </w:r>
      <w:r w:rsidR="00D766D2">
        <w:t xml:space="preserve"> current</w:t>
      </w:r>
      <w:r w:rsidR="00E0776E">
        <w:t xml:space="preserve"> Assembly</w:t>
      </w:r>
      <w:r w:rsidR="00D07DDE">
        <w:t>,</w:t>
      </w:r>
      <w:r w:rsidR="00E0776E">
        <w:t xml:space="preserve"> the current Speaker</w:t>
      </w:r>
      <w:r w:rsidR="00AE6D88">
        <w:t>, Deputy Speaker, Assistant Speaker and Government Whip are</w:t>
      </w:r>
      <w:r w:rsidR="00E0776E">
        <w:t xml:space="preserve"> women. </w:t>
      </w:r>
    </w:p>
    <w:p w14:paraId="1EC0FBDB" w14:textId="75ACE003" w:rsidR="00E0776E" w:rsidRDefault="00AE6D88" w:rsidP="00E0776E">
      <w:pPr>
        <w:spacing w:line="276" w:lineRule="auto"/>
        <w:jc w:val="both"/>
      </w:pPr>
      <w:r>
        <w:lastRenderedPageBreak/>
        <w:t xml:space="preserve">A </w:t>
      </w:r>
      <w:r w:rsidR="00213ADD">
        <w:t>majority of the</w:t>
      </w:r>
      <w:r w:rsidR="00547248">
        <w:t xml:space="preserve"> director-general</w:t>
      </w:r>
      <w:r w:rsidR="00213ADD">
        <w:t xml:space="preserve"> positions of the seven directorates of the ACT public service</w:t>
      </w:r>
      <w:r>
        <w:t xml:space="preserve"> are held by women</w:t>
      </w:r>
      <w:r w:rsidR="00213ADD">
        <w:t>.</w:t>
      </w:r>
      <w:r w:rsidR="00E0776E">
        <w:t xml:space="preserve"> As mentioned earlier, the memberships of the Magistrates’ and Supreme Court</w:t>
      </w:r>
      <w:r w:rsidR="00BD1526">
        <w:t>s</w:t>
      </w:r>
      <w:r w:rsidR="00E0776E">
        <w:t xml:space="preserve"> have gender parity, and the </w:t>
      </w:r>
      <w:r w:rsidR="000C611D">
        <w:t xml:space="preserve">two </w:t>
      </w:r>
      <w:r w:rsidR="00E0776E">
        <w:t xml:space="preserve">most senior positions are held by women. </w:t>
      </w:r>
    </w:p>
    <w:p w14:paraId="6B2732A0" w14:textId="77777777" w:rsidR="004F5777" w:rsidRDefault="004F5777" w:rsidP="0025346E">
      <w:pPr>
        <w:spacing w:line="276" w:lineRule="auto"/>
        <w:jc w:val="both"/>
      </w:pPr>
    </w:p>
    <w:p w14:paraId="34E3E2B1" w14:textId="77777777" w:rsidR="0005647C" w:rsidRPr="0005647C" w:rsidRDefault="0005647C" w:rsidP="00032817">
      <w:pPr>
        <w:pStyle w:val="Normal18J"/>
        <w:rPr>
          <w:i/>
          <w:iCs/>
        </w:rPr>
      </w:pPr>
      <w:r w:rsidRPr="0005647C">
        <w:rPr>
          <w:i/>
          <w:iCs/>
        </w:rPr>
        <w:t>Assembly engagement</w:t>
      </w:r>
    </w:p>
    <w:p w14:paraId="5B54554D" w14:textId="0DE761DC" w:rsidR="00AD6609" w:rsidRPr="00AD6609" w:rsidRDefault="001C4FD0" w:rsidP="00DB1BA7">
      <w:pPr>
        <w:spacing w:after="120" w:line="276" w:lineRule="auto"/>
        <w:jc w:val="both"/>
        <w:rPr>
          <w:color w:val="313131"/>
        </w:rPr>
      </w:pPr>
      <w:r>
        <w:rPr>
          <w:color w:val="313131"/>
        </w:rPr>
        <w:t>The Assembly provi</w:t>
      </w:r>
      <w:r w:rsidR="00AD6609">
        <w:rPr>
          <w:color w:val="313131"/>
        </w:rPr>
        <w:t>des</w:t>
      </w:r>
      <w:r>
        <w:rPr>
          <w:color w:val="313131"/>
        </w:rPr>
        <w:t xml:space="preserve"> a</w:t>
      </w:r>
      <w:r w:rsidR="00AD6609">
        <w:rPr>
          <w:color w:val="313131"/>
        </w:rPr>
        <w:t>n extensive</w:t>
      </w:r>
      <w:r>
        <w:rPr>
          <w:color w:val="313131"/>
        </w:rPr>
        <w:t xml:space="preserve"> range of information and documents about its members and operations</w:t>
      </w:r>
      <w:r w:rsidR="00AD6609">
        <w:rPr>
          <w:color w:val="313131"/>
        </w:rPr>
        <w:t xml:space="preserve">, </w:t>
      </w:r>
      <w:r>
        <w:rPr>
          <w:color w:val="313131"/>
        </w:rPr>
        <w:t>includ</w:t>
      </w:r>
      <w:r w:rsidR="00AD6609">
        <w:rPr>
          <w:color w:val="313131"/>
        </w:rPr>
        <w:t>ing</w:t>
      </w:r>
      <w:r>
        <w:rPr>
          <w:color w:val="313131"/>
        </w:rPr>
        <w:t xml:space="preserve"> </w:t>
      </w:r>
      <w:r w:rsidR="00AD6609">
        <w:rPr>
          <w:color w:val="313131"/>
        </w:rPr>
        <w:t xml:space="preserve">performance </w:t>
      </w:r>
      <w:r>
        <w:rPr>
          <w:color w:val="313131"/>
        </w:rPr>
        <w:t>indicators.</w:t>
      </w:r>
      <w:r w:rsidR="00AD6609">
        <w:rPr>
          <w:color w:val="313131"/>
        </w:rPr>
        <w:t xml:space="preserve"> </w:t>
      </w:r>
      <w:r w:rsidR="00AD6609">
        <w:rPr>
          <w:spacing w:val="-5"/>
        </w:rPr>
        <w:t>The several a</w:t>
      </w:r>
      <w:r w:rsidR="00AD6609" w:rsidRPr="00AF40F0">
        <w:rPr>
          <w:spacing w:val="-5"/>
        </w:rPr>
        <w:t>venues</w:t>
      </w:r>
      <w:r w:rsidR="00AD6609" w:rsidRPr="00AF40F0">
        <w:rPr>
          <w:spacing w:val="-12"/>
        </w:rPr>
        <w:t xml:space="preserve"> </w:t>
      </w:r>
      <w:r w:rsidR="00AD6609" w:rsidRPr="00AF40F0">
        <w:t>for</w:t>
      </w:r>
      <w:r w:rsidR="00AD6609" w:rsidRPr="00AF40F0">
        <w:rPr>
          <w:spacing w:val="-7"/>
        </w:rPr>
        <w:t xml:space="preserve"> </w:t>
      </w:r>
      <w:r w:rsidR="00AD6609" w:rsidRPr="00AF40F0">
        <w:t>public</w:t>
      </w:r>
      <w:r w:rsidR="00AD6609" w:rsidRPr="00AF40F0">
        <w:rPr>
          <w:spacing w:val="-7"/>
        </w:rPr>
        <w:t xml:space="preserve"> </w:t>
      </w:r>
      <w:r w:rsidR="00AD6609" w:rsidRPr="00AF40F0">
        <w:t>participation</w:t>
      </w:r>
      <w:r w:rsidR="00AD6609" w:rsidRPr="00AF40F0">
        <w:rPr>
          <w:spacing w:val="-6"/>
        </w:rPr>
        <w:t xml:space="preserve"> </w:t>
      </w:r>
      <w:r w:rsidR="00AD6609" w:rsidRPr="00AF40F0">
        <w:t>include</w:t>
      </w:r>
      <w:r w:rsidR="00AD6609" w:rsidRPr="00AF40F0">
        <w:rPr>
          <w:spacing w:val="-7"/>
        </w:rPr>
        <w:t xml:space="preserve"> </w:t>
      </w:r>
      <w:r w:rsidR="00AD6609" w:rsidRPr="00AF40F0">
        <w:t>submissions</w:t>
      </w:r>
      <w:r w:rsidR="00AD6609" w:rsidRPr="00AF40F0">
        <w:rPr>
          <w:spacing w:val="-6"/>
        </w:rPr>
        <w:t xml:space="preserve"> </w:t>
      </w:r>
      <w:r w:rsidR="00AD6609" w:rsidRPr="00AF40F0">
        <w:t>to</w:t>
      </w:r>
      <w:r w:rsidR="00AD6609" w:rsidRPr="00AF40F0">
        <w:rPr>
          <w:spacing w:val="-7"/>
        </w:rPr>
        <w:t xml:space="preserve"> </w:t>
      </w:r>
      <w:r w:rsidR="00AD6609" w:rsidRPr="00AF40F0">
        <w:t>committee</w:t>
      </w:r>
      <w:r w:rsidR="00AD6609" w:rsidRPr="00AF40F0">
        <w:rPr>
          <w:spacing w:val="-7"/>
        </w:rPr>
        <w:t xml:space="preserve"> </w:t>
      </w:r>
      <w:r w:rsidR="00AD6609" w:rsidRPr="00AF40F0">
        <w:t>inquiries,</w:t>
      </w:r>
      <w:r w:rsidR="00AD6609" w:rsidRPr="00AF40F0">
        <w:rPr>
          <w:spacing w:val="-6"/>
        </w:rPr>
        <w:t xml:space="preserve"> </w:t>
      </w:r>
      <w:r w:rsidR="00AD6609" w:rsidRPr="00AF40F0">
        <w:t>access</w:t>
      </w:r>
      <w:r w:rsidR="00AD6609" w:rsidRPr="00AF40F0">
        <w:rPr>
          <w:spacing w:val="-6"/>
        </w:rPr>
        <w:t xml:space="preserve"> </w:t>
      </w:r>
      <w:r w:rsidR="00AD6609" w:rsidRPr="00AF40F0">
        <w:t>to</w:t>
      </w:r>
      <w:r w:rsidR="00AD6609" w:rsidRPr="00AF40F0">
        <w:rPr>
          <w:spacing w:val="-7"/>
        </w:rPr>
        <w:t xml:space="preserve"> </w:t>
      </w:r>
      <w:r w:rsidR="00AD6609" w:rsidRPr="00AF40F0">
        <w:t>public</w:t>
      </w:r>
      <w:r w:rsidR="00AD6609" w:rsidRPr="00AF40F0">
        <w:rPr>
          <w:spacing w:val="-7"/>
        </w:rPr>
        <w:t xml:space="preserve"> </w:t>
      </w:r>
      <w:r w:rsidR="00AD6609" w:rsidRPr="00AF40F0">
        <w:t>hearings</w:t>
      </w:r>
      <w:r w:rsidR="00AD6609" w:rsidRPr="00AF40F0">
        <w:rPr>
          <w:spacing w:val="-6"/>
        </w:rPr>
        <w:t xml:space="preserve"> </w:t>
      </w:r>
      <w:r w:rsidR="00AD6609" w:rsidRPr="00AF40F0">
        <w:t>of committee</w:t>
      </w:r>
      <w:r w:rsidR="00AD6609" w:rsidRPr="00AF40F0">
        <w:rPr>
          <w:spacing w:val="-17"/>
        </w:rPr>
        <w:t xml:space="preserve"> </w:t>
      </w:r>
      <w:r w:rsidR="00AD6609" w:rsidRPr="00AF40F0">
        <w:t>inquiries</w:t>
      </w:r>
      <w:r w:rsidR="00AD6609" w:rsidRPr="00AF40F0">
        <w:rPr>
          <w:spacing w:val="-17"/>
        </w:rPr>
        <w:t xml:space="preserve"> </w:t>
      </w:r>
      <w:r w:rsidR="00AD6609" w:rsidRPr="00AF40F0">
        <w:t>and</w:t>
      </w:r>
      <w:r w:rsidR="00AD6609" w:rsidRPr="00AF40F0">
        <w:rPr>
          <w:spacing w:val="-17"/>
        </w:rPr>
        <w:t xml:space="preserve"> </w:t>
      </w:r>
      <w:r w:rsidR="00AD6609" w:rsidRPr="00AF40F0">
        <w:t>Assembly</w:t>
      </w:r>
      <w:r w:rsidR="00AD6609" w:rsidRPr="00AF40F0">
        <w:rPr>
          <w:spacing w:val="-17"/>
        </w:rPr>
        <w:t xml:space="preserve"> </w:t>
      </w:r>
      <w:r w:rsidR="00AD6609" w:rsidRPr="00AF40F0">
        <w:t>meetings,</w:t>
      </w:r>
      <w:r w:rsidR="00AD6609" w:rsidRPr="00AF40F0">
        <w:rPr>
          <w:spacing w:val="-17"/>
        </w:rPr>
        <w:t xml:space="preserve"> </w:t>
      </w:r>
      <w:r w:rsidR="00AD6609" w:rsidRPr="00AF40F0">
        <w:rPr>
          <w:spacing w:val="-6"/>
        </w:rPr>
        <w:t>citizen’s</w:t>
      </w:r>
      <w:r w:rsidR="00AD6609" w:rsidRPr="00AF40F0">
        <w:rPr>
          <w:spacing w:val="-20"/>
        </w:rPr>
        <w:t xml:space="preserve"> </w:t>
      </w:r>
      <w:r w:rsidR="00AD6609" w:rsidRPr="00AF40F0">
        <w:t>right</w:t>
      </w:r>
      <w:r w:rsidR="00AD6609" w:rsidRPr="00AF40F0">
        <w:rPr>
          <w:spacing w:val="-17"/>
        </w:rPr>
        <w:t xml:space="preserve"> </w:t>
      </w:r>
      <w:r w:rsidR="00AD6609" w:rsidRPr="00AF40F0">
        <w:t>of</w:t>
      </w:r>
      <w:r w:rsidR="00AD6609" w:rsidRPr="00AF40F0">
        <w:rPr>
          <w:spacing w:val="-17"/>
        </w:rPr>
        <w:t xml:space="preserve"> </w:t>
      </w:r>
      <w:r w:rsidR="00AD6609" w:rsidRPr="00AF40F0">
        <w:rPr>
          <w:spacing w:val="-6"/>
        </w:rPr>
        <w:t>reply,</w:t>
      </w:r>
      <w:r w:rsidR="00AD6609" w:rsidRPr="00AF40F0">
        <w:rPr>
          <w:spacing w:val="-20"/>
        </w:rPr>
        <w:t xml:space="preserve"> </w:t>
      </w:r>
      <w:r w:rsidR="00AD6609" w:rsidRPr="00AF40F0">
        <w:t>petitions,</w:t>
      </w:r>
      <w:r w:rsidR="00AD6609" w:rsidRPr="00AF40F0">
        <w:rPr>
          <w:spacing w:val="-17"/>
        </w:rPr>
        <w:t xml:space="preserve"> </w:t>
      </w:r>
      <w:r w:rsidR="00AD6609" w:rsidRPr="00AF40F0">
        <w:t>and</w:t>
      </w:r>
      <w:r w:rsidR="00AD6609" w:rsidRPr="00AF40F0">
        <w:rPr>
          <w:spacing w:val="-17"/>
        </w:rPr>
        <w:t xml:space="preserve"> </w:t>
      </w:r>
      <w:r w:rsidR="00AD6609" w:rsidRPr="00AF40F0">
        <w:t>access</w:t>
      </w:r>
      <w:r w:rsidR="00AD6609" w:rsidRPr="00AF40F0">
        <w:rPr>
          <w:spacing w:val="-17"/>
        </w:rPr>
        <w:t xml:space="preserve"> </w:t>
      </w:r>
      <w:r w:rsidR="00AD6609" w:rsidRPr="00AF40F0">
        <w:t>to</w:t>
      </w:r>
      <w:r w:rsidR="00AD6609" w:rsidRPr="00AF40F0">
        <w:rPr>
          <w:spacing w:val="-17"/>
        </w:rPr>
        <w:t xml:space="preserve"> </w:t>
      </w:r>
      <w:r w:rsidR="00AD6609" w:rsidRPr="00AF40F0">
        <w:t>administrative records</w:t>
      </w:r>
      <w:r w:rsidR="00AD6609" w:rsidRPr="00AF40F0">
        <w:rPr>
          <w:spacing w:val="-14"/>
        </w:rPr>
        <w:t xml:space="preserve"> </w:t>
      </w:r>
      <w:r w:rsidR="00AD6609" w:rsidRPr="00AF40F0">
        <w:t>and</w:t>
      </w:r>
      <w:r w:rsidR="00AD6609" w:rsidRPr="00AF40F0">
        <w:rPr>
          <w:spacing w:val="-14"/>
        </w:rPr>
        <w:t xml:space="preserve"> </w:t>
      </w:r>
      <w:r w:rsidR="00AD6609" w:rsidRPr="00AF40F0">
        <w:t>general</w:t>
      </w:r>
      <w:r w:rsidR="00AD6609" w:rsidRPr="00AF40F0">
        <w:rPr>
          <w:spacing w:val="-14"/>
        </w:rPr>
        <w:t xml:space="preserve"> </w:t>
      </w:r>
      <w:r w:rsidR="00AD6609" w:rsidRPr="00AF40F0">
        <w:t>files</w:t>
      </w:r>
      <w:r w:rsidR="00AD6609" w:rsidRPr="00AF40F0">
        <w:rPr>
          <w:spacing w:val="-14"/>
        </w:rPr>
        <w:t xml:space="preserve"> </w:t>
      </w:r>
      <w:r w:rsidR="00AD6609" w:rsidRPr="00AF40F0">
        <w:t>through</w:t>
      </w:r>
      <w:r w:rsidR="00AD6609" w:rsidRPr="00AF40F0">
        <w:rPr>
          <w:spacing w:val="-14"/>
        </w:rPr>
        <w:t xml:space="preserve"> </w:t>
      </w:r>
      <w:r w:rsidR="000C611D">
        <w:t>FOI</w:t>
      </w:r>
      <w:r w:rsidR="00AD6609" w:rsidRPr="00AF40F0">
        <w:rPr>
          <w:spacing w:val="-14"/>
        </w:rPr>
        <w:t xml:space="preserve"> </w:t>
      </w:r>
      <w:r w:rsidR="00AD6609" w:rsidRPr="00AF40F0">
        <w:t>requests.</w:t>
      </w:r>
      <w:r w:rsidR="00AD6609">
        <w:rPr>
          <w:rStyle w:val="FootnoteReference"/>
        </w:rPr>
        <w:footnoteReference w:id="25"/>
      </w:r>
      <w:r w:rsidR="00543B39">
        <w:t xml:space="preserve"> Two dimensions, MLAs and constituents and public inquiries are considered here.</w:t>
      </w:r>
    </w:p>
    <w:p w14:paraId="5DA5D831" w14:textId="7B673591" w:rsidR="00F94784" w:rsidRDefault="00F32845" w:rsidP="00F94784">
      <w:pPr>
        <w:spacing w:line="276" w:lineRule="auto"/>
        <w:jc w:val="both"/>
      </w:pPr>
      <w:r>
        <w:t xml:space="preserve">Information is available about </w:t>
      </w:r>
      <w:r w:rsidR="00F94784">
        <w:t>MLA’s handling of constituent matters</w:t>
      </w:r>
      <w:r>
        <w:t>,</w:t>
      </w:r>
      <w:r w:rsidR="00F94784">
        <w:t xml:space="preserve"> defined as matters referred by Members to the executive for action. </w:t>
      </w:r>
      <w:r w:rsidR="00F607D5">
        <w:t>T</w:t>
      </w:r>
      <w:r w:rsidR="00F94784">
        <w:t>he performance report card</w:t>
      </w:r>
      <w:r w:rsidR="00F607D5">
        <w:t xml:space="preserve"> uses</w:t>
      </w:r>
      <w:r w:rsidR="00F94784">
        <w:t xml:space="preserve"> a six-point spectrum from Very unhealthy (completely dominated by executive government) to Very healthy (Highly democratic and balanced), figures of 98, 84, 52 and 76 are deemed to be ‘unhealthy’ (i.e. a rating of 1 out of 5). The figures </w:t>
      </w:r>
      <w:r w:rsidR="00C1109F">
        <w:t>for the last five years</w:t>
      </w:r>
      <w:r w:rsidR="00F94784">
        <w:t xml:space="preserve"> suggest a downward trend</w:t>
      </w:r>
      <w:r w:rsidR="00F607D5">
        <w:t xml:space="preserve"> (Table 11)</w:t>
      </w:r>
      <w:r w:rsidR="00F94784">
        <w:t>.</w:t>
      </w:r>
      <w:r w:rsidR="00D40582">
        <w:t xml:space="preserve"> This </w:t>
      </w:r>
      <w:r w:rsidR="00DA5A1C">
        <w:t>presumab</w:t>
      </w:r>
      <w:r w:rsidR="00D40582">
        <w:t xml:space="preserve">ly understates the work of MLAs who receive communications from interpersonal contact and social media </w:t>
      </w:r>
      <w:r w:rsidR="00D15DAC">
        <w:t>etc and</w:t>
      </w:r>
      <w:r w:rsidR="00F30737">
        <w:t xml:space="preserve"> have other means for a</w:t>
      </w:r>
      <w:r w:rsidR="002C6FB9">
        <w:t>ttending to</w:t>
      </w:r>
      <w:r w:rsidR="00F30737">
        <w:t xml:space="preserve"> cons</w:t>
      </w:r>
      <w:r w:rsidR="00FC3E48">
        <w:t>t</w:t>
      </w:r>
      <w:r w:rsidR="00F30737">
        <w:t>ituent</w:t>
      </w:r>
      <w:r w:rsidR="002C6FB9">
        <w:t xml:space="preserve"> needs</w:t>
      </w:r>
      <w:r w:rsidR="00F30737">
        <w:t>.</w:t>
      </w:r>
    </w:p>
    <w:p w14:paraId="3E63A67E" w14:textId="3635FEB2" w:rsidR="00F94784" w:rsidRDefault="00F94784" w:rsidP="00F94784">
      <w:pPr>
        <w:spacing w:line="276" w:lineRule="auto"/>
        <w:jc w:val="both"/>
      </w:pPr>
    </w:p>
    <w:p w14:paraId="1421733C" w14:textId="2310CB56" w:rsidR="00F94784" w:rsidRDefault="00F94784" w:rsidP="00E70E00">
      <w:pPr>
        <w:spacing w:line="360" w:lineRule="auto"/>
        <w:jc w:val="both"/>
      </w:pPr>
      <w:r>
        <w:t>Table</w:t>
      </w:r>
      <w:r w:rsidR="00E70E00">
        <w:t xml:space="preserve"> 11</w:t>
      </w:r>
      <w:r>
        <w:t xml:space="preserve"> </w:t>
      </w:r>
      <w:r>
        <w:tab/>
      </w:r>
      <w:r>
        <w:tab/>
        <w:t>MLA’s constituency work involving referrals to ministers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428"/>
        <w:gridCol w:w="656"/>
        <w:gridCol w:w="656"/>
        <w:gridCol w:w="656"/>
        <w:gridCol w:w="656"/>
        <w:gridCol w:w="656"/>
        <w:gridCol w:w="656"/>
        <w:gridCol w:w="656"/>
      </w:tblGrid>
      <w:tr w:rsidR="00F94784" w:rsidRPr="00471C8F" w14:paraId="2CD3D69F" w14:textId="77777777" w:rsidTr="007B0275">
        <w:tc>
          <w:tcPr>
            <w:tcW w:w="0" w:type="auto"/>
            <w:tcBorders>
              <w:bottom w:val="nil"/>
            </w:tcBorders>
          </w:tcPr>
          <w:p w14:paraId="624E8349" w14:textId="77777777" w:rsidR="00F94784" w:rsidRPr="00471C8F" w:rsidRDefault="00F94784" w:rsidP="002C68D0">
            <w:pPr>
              <w:rPr>
                <w:sz w:val="22"/>
                <w:szCs w:val="22"/>
              </w:rPr>
            </w:pPr>
          </w:p>
        </w:tc>
        <w:tc>
          <w:tcPr>
            <w:tcW w:w="0" w:type="auto"/>
            <w:vAlign w:val="center"/>
          </w:tcPr>
          <w:p w14:paraId="790F7416" w14:textId="77777777" w:rsidR="00F94784" w:rsidRPr="00471C8F" w:rsidRDefault="00F94784" w:rsidP="002C68D0">
            <w:pPr>
              <w:rPr>
                <w:bCs/>
                <w:sz w:val="22"/>
                <w:szCs w:val="22"/>
              </w:rPr>
            </w:pPr>
            <w:r w:rsidRPr="00471C8F">
              <w:rPr>
                <w:bCs/>
                <w:sz w:val="22"/>
                <w:szCs w:val="22"/>
                <w:lang w:eastAsia="en-AU"/>
              </w:rPr>
              <w:t>2012</w:t>
            </w:r>
          </w:p>
        </w:tc>
        <w:tc>
          <w:tcPr>
            <w:tcW w:w="0" w:type="auto"/>
            <w:vAlign w:val="center"/>
          </w:tcPr>
          <w:p w14:paraId="60E577C3" w14:textId="77777777" w:rsidR="00F94784" w:rsidRPr="00471C8F" w:rsidRDefault="00F94784" w:rsidP="002C68D0">
            <w:pPr>
              <w:rPr>
                <w:bCs/>
                <w:sz w:val="22"/>
                <w:szCs w:val="22"/>
              </w:rPr>
            </w:pPr>
            <w:r w:rsidRPr="00471C8F">
              <w:rPr>
                <w:bCs/>
                <w:sz w:val="22"/>
                <w:szCs w:val="22"/>
                <w:lang w:eastAsia="en-AU"/>
              </w:rPr>
              <w:t>2013</w:t>
            </w:r>
          </w:p>
        </w:tc>
        <w:tc>
          <w:tcPr>
            <w:tcW w:w="0" w:type="auto"/>
            <w:vAlign w:val="center"/>
          </w:tcPr>
          <w:p w14:paraId="5E3052C6" w14:textId="77777777" w:rsidR="00F94784" w:rsidRPr="00471C8F" w:rsidRDefault="00F94784" w:rsidP="002C68D0">
            <w:pPr>
              <w:rPr>
                <w:bCs/>
                <w:sz w:val="22"/>
                <w:szCs w:val="22"/>
              </w:rPr>
            </w:pPr>
            <w:r w:rsidRPr="00471C8F">
              <w:rPr>
                <w:bCs/>
                <w:sz w:val="22"/>
                <w:szCs w:val="22"/>
                <w:lang w:eastAsia="en-AU"/>
              </w:rPr>
              <w:t>2014</w:t>
            </w:r>
          </w:p>
        </w:tc>
        <w:tc>
          <w:tcPr>
            <w:tcW w:w="0" w:type="auto"/>
            <w:vAlign w:val="center"/>
          </w:tcPr>
          <w:p w14:paraId="7EE45516" w14:textId="77777777" w:rsidR="00F94784" w:rsidRPr="00471C8F" w:rsidRDefault="00F94784" w:rsidP="002C68D0">
            <w:pPr>
              <w:rPr>
                <w:bCs/>
                <w:sz w:val="22"/>
                <w:szCs w:val="22"/>
              </w:rPr>
            </w:pPr>
            <w:r w:rsidRPr="00471C8F">
              <w:rPr>
                <w:bCs/>
                <w:sz w:val="22"/>
                <w:szCs w:val="22"/>
                <w:lang w:eastAsia="en-AU"/>
              </w:rPr>
              <w:t>2015</w:t>
            </w:r>
          </w:p>
        </w:tc>
        <w:tc>
          <w:tcPr>
            <w:tcW w:w="0" w:type="auto"/>
            <w:vAlign w:val="center"/>
          </w:tcPr>
          <w:p w14:paraId="18A1210F" w14:textId="77777777" w:rsidR="00F94784" w:rsidRPr="00471C8F" w:rsidRDefault="00F94784" w:rsidP="002C68D0">
            <w:pPr>
              <w:rPr>
                <w:bCs/>
                <w:sz w:val="22"/>
                <w:szCs w:val="22"/>
              </w:rPr>
            </w:pPr>
            <w:r w:rsidRPr="00471C8F">
              <w:rPr>
                <w:bCs/>
                <w:sz w:val="22"/>
                <w:szCs w:val="22"/>
                <w:lang w:eastAsia="en-AU"/>
              </w:rPr>
              <w:t>2016</w:t>
            </w:r>
          </w:p>
        </w:tc>
        <w:tc>
          <w:tcPr>
            <w:tcW w:w="0" w:type="auto"/>
            <w:vAlign w:val="center"/>
          </w:tcPr>
          <w:p w14:paraId="787DFDDC" w14:textId="77777777" w:rsidR="00F94784" w:rsidRPr="00471C8F" w:rsidRDefault="00F94784" w:rsidP="002C68D0">
            <w:pPr>
              <w:rPr>
                <w:bCs/>
                <w:sz w:val="22"/>
                <w:szCs w:val="22"/>
              </w:rPr>
            </w:pPr>
            <w:r w:rsidRPr="00471C8F">
              <w:rPr>
                <w:bCs/>
                <w:sz w:val="22"/>
                <w:szCs w:val="22"/>
                <w:lang w:eastAsia="en-AU"/>
              </w:rPr>
              <w:t>2017</w:t>
            </w:r>
          </w:p>
        </w:tc>
        <w:tc>
          <w:tcPr>
            <w:tcW w:w="0" w:type="auto"/>
            <w:vAlign w:val="center"/>
          </w:tcPr>
          <w:p w14:paraId="1480D0B8" w14:textId="77777777" w:rsidR="00F94784" w:rsidRPr="00471C8F" w:rsidRDefault="00F94784" w:rsidP="002C68D0">
            <w:pPr>
              <w:rPr>
                <w:bCs/>
                <w:sz w:val="22"/>
                <w:szCs w:val="22"/>
              </w:rPr>
            </w:pPr>
            <w:r w:rsidRPr="00471C8F">
              <w:rPr>
                <w:bCs/>
                <w:sz w:val="22"/>
                <w:szCs w:val="22"/>
                <w:lang w:eastAsia="en-AU"/>
              </w:rPr>
              <w:t>2018</w:t>
            </w:r>
          </w:p>
        </w:tc>
      </w:tr>
      <w:tr w:rsidR="00F94784" w:rsidRPr="00471C8F" w14:paraId="1D43DC9E" w14:textId="77777777" w:rsidTr="007B0275">
        <w:tc>
          <w:tcPr>
            <w:tcW w:w="0" w:type="auto"/>
            <w:tcBorders>
              <w:top w:val="nil"/>
            </w:tcBorders>
          </w:tcPr>
          <w:p w14:paraId="55DD58F1" w14:textId="77777777" w:rsidR="00F94784" w:rsidRPr="00471C8F" w:rsidRDefault="00F94784" w:rsidP="002C68D0">
            <w:pPr>
              <w:rPr>
                <w:sz w:val="22"/>
                <w:szCs w:val="22"/>
              </w:rPr>
            </w:pPr>
            <w:r w:rsidRPr="00471C8F">
              <w:rPr>
                <w:color w:val="000000"/>
                <w:sz w:val="22"/>
                <w:szCs w:val="22"/>
                <w:lang w:eastAsia="en-AU"/>
              </w:rPr>
              <w:t>Average number of constituent matters dealt with by each Member in a year</w:t>
            </w:r>
          </w:p>
        </w:tc>
        <w:tc>
          <w:tcPr>
            <w:tcW w:w="0" w:type="auto"/>
            <w:vAlign w:val="center"/>
          </w:tcPr>
          <w:p w14:paraId="27AA04D2" w14:textId="77777777" w:rsidR="00F94784" w:rsidRPr="00471C8F" w:rsidRDefault="00F94784" w:rsidP="002C68D0">
            <w:pPr>
              <w:jc w:val="center"/>
              <w:rPr>
                <w:bCs/>
                <w:sz w:val="22"/>
                <w:szCs w:val="22"/>
              </w:rPr>
            </w:pPr>
            <w:r w:rsidRPr="00471C8F">
              <w:rPr>
                <w:rFonts w:ascii="Calibri" w:hAnsi="Calibri"/>
                <w:bCs/>
                <w:color w:val="000000"/>
                <w:sz w:val="22"/>
                <w:szCs w:val="22"/>
                <w:lang w:eastAsia="en-AU"/>
              </w:rPr>
              <w:t>161</w:t>
            </w:r>
          </w:p>
        </w:tc>
        <w:tc>
          <w:tcPr>
            <w:tcW w:w="0" w:type="auto"/>
            <w:vAlign w:val="center"/>
          </w:tcPr>
          <w:p w14:paraId="4087BC03" w14:textId="77777777" w:rsidR="00F94784" w:rsidRPr="00471C8F" w:rsidRDefault="00F94784" w:rsidP="002C68D0">
            <w:pPr>
              <w:jc w:val="center"/>
              <w:rPr>
                <w:bCs/>
                <w:sz w:val="22"/>
                <w:szCs w:val="22"/>
              </w:rPr>
            </w:pPr>
            <w:r w:rsidRPr="00471C8F">
              <w:rPr>
                <w:rFonts w:ascii="Calibri" w:hAnsi="Calibri"/>
                <w:bCs/>
                <w:color w:val="000000"/>
                <w:sz w:val="22"/>
                <w:szCs w:val="22"/>
                <w:lang w:eastAsia="en-AU"/>
              </w:rPr>
              <w:t>67</w:t>
            </w:r>
          </w:p>
        </w:tc>
        <w:tc>
          <w:tcPr>
            <w:tcW w:w="0" w:type="auto"/>
            <w:vAlign w:val="center"/>
          </w:tcPr>
          <w:p w14:paraId="3244A31F" w14:textId="77777777" w:rsidR="00F94784" w:rsidRPr="00471C8F" w:rsidRDefault="00F94784" w:rsidP="002C68D0">
            <w:pPr>
              <w:jc w:val="center"/>
              <w:rPr>
                <w:bCs/>
                <w:sz w:val="22"/>
                <w:szCs w:val="22"/>
              </w:rPr>
            </w:pPr>
            <w:r w:rsidRPr="00471C8F">
              <w:rPr>
                <w:rFonts w:ascii="Calibri" w:hAnsi="Calibri"/>
                <w:bCs/>
                <w:color w:val="000000"/>
                <w:sz w:val="22"/>
                <w:szCs w:val="22"/>
                <w:lang w:eastAsia="en-AU"/>
              </w:rPr>
              <w:t>108</w:t>
            </w:r>
          </w:p>
        </w:tc>
        <w:tc>
          <w:tcPr>
            <w:tcW w:w="0" w:type="auto"/>
            <w:vAlign w:val="center"/>
          </w:tcPr>
          <w:p w14:paraId="0E32A28C" w14:textId="77777777" w:rsidR="00F94784" w:rsidRPr="00471C8F" w:rsidRDefault="00F94784" w:rsidP="002C68D0">
            <w:pPr>
              <w:jc w:val="center"/>
              <w:rPr>
                <w:bCs/>
                <w:sz w:val="22"/>
                <w:szCs w:val="22"/>
              </w:rPr>
            </w:pPr>
            <w:r w:rsidRPr="00471C8F">
              <w:rPr>
                <w:rFonts w:ascii="Calibri" w:hAnsi="Calibri"/>
                <w:bCs/>
                <w:color w:val="000000"/>
                <w:sz w:val="22"/>
                <w:szCs w:val="22"/>
                <w:lang w:eastAsia="en-AU"/>
              </w:rPr>
              <w:t>98</w:t>
            </w:r>
          </w:p>
        </w:tc>
        <w:tc>
          <w:tcPr>
            <w:tcW w:w="0" w:type="auto"/>
            <w:vAlign w:val="center"/>
          </w:tcPr>
          <w:p w14:paraId="479296DF" w14:textId="77777777" w:rsidR="00F94784" w:rsidRPr="00471C8F" w:rsidRDefault="00F94784" w:rsidP="002C68D0">
            <w:pPr>
              <w:jc w:val="center"/>
              <w:rPr>
                <w:bCs/>
                <w:sz w:val="22"/>
                <w:szCs w:val="22"/>
              </w:rPr>
            </w:pPr>
            <w:r w:rsidRPr="00471C8F">
              <w:rPr>
                <w:rFonts w:ascii="Calibri" w:hAnsi="Calibri"/>
                <w:bCs/>
                <w:color w:val="000000"/>
                <w:sz w:val="22"/>
                <w:szCs w:val="22"/>
                <w:lang w:eastAsia="en-AU"/>
              </w:rPr>
              <w:t>84</w:t>
            </w:r>
          </w:p>
        </w:tc>
        <w:tc>
          <w:tcPr>
            <w:tcW w:w="0" w:type="auto"/>
            <w:vAlign w:val="center"/>
          </w:tcPr>
          <w:p w14:paraId="5DB2C3D3" w14:textId="77777777" w:rsidR="00F94784" w:rsidRPr="00471C8F" w:rsidRDefault="00F94784" w:rsidP="002C68D0">
            <w:pPr>
              <w:jc w:val="center"/>
              <w:rPr>
                <w:bCs/>
                <w:sz w:val="22"/>
                <w:szCs w:val="22"/>
              </w:rPr>
            </w:pPr>
            <w:r w:rsidRPr="00471C8F">
              <w:rPr>
                <w:rFonts w:ascii="Calibri" w:hAnsi="Calibri"/>
                <w:bCs/>
                <w:color w:val="000000"/>
                <w:sz w:val="22"/>
                <w:szCs w:val="22"/>
                <w:lang w:eastAsia="en-AU"/>
              </w:rPr>
              <w:t>52</w:t>
            </w:r>
          </w:p>
        </w:tc>
        <w:tc>
          <w:tcPr>
            <w:tcW w:w="0" w:type="auto"/>
            <w:vAlign w:val="center"/>
          </w:tcPr>
          <w:p w14:paraId="2E0F5530" w14:textId="77777777" w:rsidR="00F94784" w:rsidRPr="00471C8F" w:rsidRDefault="00F94784" w:rsidP="002C68D0">
            <w:pPr>
              <w:jc w:val="center"/>
              <w:rPr>
                <w:bCs/>
                <w:sz w:val="22"/>
                <w:szCs w:val="22"/>
              </w:rPr>
            </w:pPr>
            <w:r w:rsidRPr="00471C8F">
              <w:rPr>
                <w:rFonts w:ascii="Calibri" w:hAnsi="Calibri"/>
                <w:bCs/>
                <w:color w:val="000000"/>
                <w:sz w:val="22"/>
                <w:szCs w:val="22"/>
                <w:lang w:eastAsia="en-AU"/>
              </w:rPr>
              <w:t>76</w:t>
            </w:r>
          </w:p>
        </w:tc>
      </w:tr>
    </w:tbl>
    <w:p w14:paraId="4F736C7E" w14:textId="79001344" w:rsidR="00F94784" w:rsidRPr="000A15D3" w:rsidRDefault="00F94784" w:rsidP="00084ED5">
      <w:pPr>
        <w:jc w:val="both"/>
        <w:rPr>
          <w:sz w:val="21"/>
          <w:szCs w:val="21"/>
        </w:rPr>
      </w:pPr>
      <w:r w:rsidRPr="000A15D3">
        <w:rPr>
          <w:sz w:val="21"/>
          <w:szCs w:val="21"/>
        </w:rPr>
        <w:t xml:space="preserve">Source: </w:t>
      </w:r>
      <w:r w:rsidR="004A71ED">
        <w:rPr>
          <w:sz w:val="21"/>
          <w:szCs w:val="21"/>
        </w:rPr>
        <w:t xml:space="preserve">Office of the </w:t>
      </w:r>
      <w:r w:rsidR="004A71ED" w:rsidRPr="00A5292B">
        <w:rPr>
          <w:sz w:val="20"/>
          <w:szCs w:val="20"/>
        </w:rPr>
        <w:t>Legislative Assembly</w:t>
      </w:r>
      <w:r w:rsidR="004A71ED">
        <w:rPr>
          <w:sz w:val="20"/>
          <w:szCs w:val="20"/>
        </w:rPr>
        <w:t>,</w:t>
      </w:r>
      <w:r w:rsidR="004A71ED" w:rsidRPr="00A5292B">
        <w:rPr>
          <w:sz w:val="20"/>
          <w:szCs w:val="20"/>
        </w:rPr>
        <w:t xml:space="preserve"> </w:t>
      </w:r>
      <w:r w:rsidRPr="000A15D3">
        <w:rPr>
          <w:sz w:val="21"/>
          <w:szCs w:val="21"/>
        </w:rPr>
        <w:t>Parliamentary Performance Report Cards for 2012-2018</w:t>
      </w:r>
    </w:p>
    <w:p w14:paraId="1A160879" w14:textId="2C9C9554" w:rsidR="00F94784" w:rsidRDefault="00C03E5F" w:rsidP="00084ED5">
      <w:pPr>
        <w:jc w:val="both"/>
        <w:rPr>
          <w:sz w:val="21"/>
          <w:szCs w:val="21"/>
        </w:rPr>
      </w:pPr>
      <w:hyperlink r:id="rId9" w:history="1">
        <w:r w:rsidR="0069792B" w:rsidRPr="00785C5D">
          <w:rPr>
            <w:rStyle w:val="Hyperlink"/>
            <w:sz w:val="21"/>
            <w:szCs w:val="21"/>
          </w:rPr>
          <w:t>https://www.parliament.act.gov.au/Publications/Publications</w:t>
        </w:r>
      </w:hyperlink>
    </w:p>
    <w:p w14:paraId="2181EB7E" w14:textId="60B6C458" w:rsidR="00AF40F0" w:rsidRDefault="00AF40F0" w:rsidP="0025346E">
      <w:pPr>
        <w:spacing w:line="276" w:lineRule="auto"/>
        <w:jc w:val="both"/>
      </w:pPr>
    </w:p>
    <w:p w14:paraId="5DDD9991" w14:textId="644A00FF" w:rsidR="009E4253" w:rsidRDefault="00654E8A" w:rsidP="008C6455">
      <w:pPr>
        <w:spacing w:line="276" w:lineRule="auto"/>
        <w:jc w:val="both"/>
      </w:pPr>
      <w:r>
        <w:t xml:space="preserve">The Latimer </w:t>
      </w:r>
      <w:r w:rsidR="0068648C">
        <w:t xml:space="preserve">House </w:t>
      </w:r>
      <w:r>
        <w:t>Principles refer to opportunit</w:t>
      </w:r>
      <w:r w:rsidR="00E27BF1">
        <w:t>ies</w:t>
      </w:r>
      <w:r>
        <w:t xml:space="preserve"> being ‘given for public input into the legislative process’. A common way of handling this is to refer legislation to parliamentary committees, which can then conduct public inquiries. Given that few items of legislation were referred to committees, </w:t>
      </w:r>
      <w:r w:rsidR="0090642D">
        <w:t>and relatively few investigations were conducted by standing and select committees</w:t>
      </w:r>
      <w:r w:rsidR="002437D5">
        <w:t xml:space="preserve"> (Table 8)</w:t>
      </w:r>
      <w:r w:rsidR="0090642D">
        <w:t xml:space="preserve">, </w:t>
      </w:r>
      <w:r>
        <w:t xml:space="preserve">this type of opportunity was not accorded </w:t>
      </w:r>
      <w:r w:rsidR="0090642D">
        <w:t>particular</w:t>
      </w:r>
      <w:r>
        <w:t xml:space="preserve"> significance in the ACT Legislative Assembly</w:t>
      </w:r>
      <w:r w:rsidR="00E01BEF">
        <w:t xml:space="preserve">, although </w:t>
      </w:r>
      <w:r w:rsidR="009E4253">
        <w:t xml:space="preserve">contributions are also made through reporting processes. For 2018, </w:t>
      </w:r>
      <w:r w:rsidR="007910F0">
        <w:t>t</w:t>
      </w:r>
      <w:r w:rsidR="00E74293">
        <w:t>he total n</w:t>
      </w:r>
      <w:r w:rsidRPr="00F476CE">
        <w:t>umber of witnesses</w:t>
      </w:r>
      <w:r w:rsidR="00E74293">
        <w:t xml:space="preserve"> was</w:t>
      </w:r>
      <w:r w:rsidRPr="00F476CE">
        <w:t xml:space="preserve"> 817</w:t>
      </w:r>
      <w:r>
        <w:t xml:space="preserve">; </w:t>
      </w:r>
      <w:r w:rsidR="00E74293">
        <w:t>and the n</w:t>
      </w:r>
      <w:r w:rsidRPr="00F476CE">
        <w:t xml:space="preserve">umber of submissions </w:t>
      </w:r>
      <w:r w:rsidR="00E74293">
        <w:t xml:space="preserve">was </w:t>
      </w:r>
      <w:r w:rsidRPr="00F476CE">
        <w:t>898</w:t>
      </w:r>
      <w:r w:rsidR="00E74293">
        <w:t>. However, public and government submissions and witnesses are not differentiated</w:t>
      </w:r>
      <w:r w:rsidR="009E4253">
        <w:t>, and the Table 12 figures are combined.</w:t>
      </w:r>
      <w:r w:rsidR="00CF7A47">
        <w:t xml:space="preserve"> </w:t>
      </w:r>
      <w:r w:rsidR="00D60610">
        <w:t xml:space="preserve">In annual report cards they </w:t>
      </w:r>
      <w:r w:rsidR="00CF7A47">
        <w:t>were deemed to be variously ‘unhealthy’ (</w:t>
      </w:r>
      <w:r w:rsidR="00212B27">
        <w:t xml:space="preserve">2014, </w:t>
      </w:r>
      <w:r w:rsidR="00CF7A47">
        <w:t>2016), ‘s</w:t>
      </w:r>
      <w:r w:rsidR="009E4253">
        <w:t>omewhat unhealthy</w:t>
      </w:r>
      <w:r w:rsidR="00CF7A47">
        <w:t>’</w:t>
      </w:r>
      <w:r w:rsidR="009E4253">
        <w:t xml:space="preserve"> (</w:t>
      </w:r>
      <w:r w:rsidR="00212B27">
        <w:t xml:space="preserve">2015, </w:t>
      </w:r>
      <w:r w:rsidR="009E4253">
        <w:t>2017)</w:t>
      </w:r>
      <w:r w:rsidR="00CF7A47">
        <w:t>.</w:t>
      </w:r>
    </w:p>
    <w:p w14:paraId="6BE87C7E" w14:textId="73EEA94F" w:rsidR="00654E8A" w:rsidRDefault="00654E8A" w:rsidP="00654E8A">
      <w:pPr>
        <w:spacing w:line="276" w:lineRule="auto"/>
        <w:jc w:val="both"/>
      </w:pPr>
    </w:p>
    <w:p w14:paraId="0BFC7A73" w14:textId="5EF79510" w:rsidR="000A15D3" w:rsidRDefault="000A15D3" w:rsidP="0069792B">
      <w:pPr>
        <w:spacing w:line="360" w:lineRule="auto"/>
        <w:jc w:val="both"/>
      </w:pPr>
      <w:r>
        <w:lastRenderedPageBreak/>
        <w:t>Table 12</w:t>
      </w:r>
      <w:r w:rsidR="00E74293">
        <w:tab/>
      </w:r>
      <w:r w:rsidR="00E74293">
        <w:tab/>
        <w:t xml:space="preserve">Submissions received </w:t>
      </w:r>
      <w:r w:rsidR="002444FF">
        <w:t>and witnesses at Assembly inquiries</w:t>
      </w:r>
      <w:r w:rsidR="00E74293">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118"/>
        <w:gridCol w:w="718"/>
        <w:gridCol w:w="718"/>
        <w:gridCol w:w="656"/>
        <w:gridCol w:w="718"/>
        <w:gridCol w:w="656"/>
        <w:gridCol w:w="718"/>
        <w:gridCol w:w="718"/>
      </w:tblGrid>
      <w:tr w:rsidR="00654E8A" w:rsidRPr="00FA5571" w14:paraId="739B818D" w14:textId="77777777" w:rsidTr="000A15D3">
        <w:tc>
          <w:tcPr>
            <w:tcW w:w="0" w:type="auto"/>
          </w:tcPr>
          <w:p w14:paraId="50FCE236" w14:textId="77777777" w:rsidR="00654E8A" w:rsidRPr="00FA5571" w:rsidRDefault="00654E8A" w:rsidP="002C68D0">
            <w:pPr>
              <w:spacing w:line="276" w:lineRule="auto"/>
              <w:jc w:val="both"/>
              <w:rPr>
                <w:sz w:val="22"/>
                <w:szCs w:val="22"/>
              </w:rPr>
            </w:pPr>
          </w:p>
        </w:tc>
        <w:tc>
          <w:tcPr>
            <w:tcW w:w="0" w:type="auto"/>
            <w:vAlign w:val="center"/>
          </w:tcPr>
          <w:p w14:paraId="107F15F3"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2012</w:t>
            </w:r>
          </w:p>
        </w:tc>
        <w:tc>
          <w:tcPr>
            <w:tcW w:w="0" w:type="auto"/>
            <w:vAlign w:val="center"/>
          </w:tcPr>
          <w:p w14:paraId="7679C711"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2013</w:t>
            </w:r>
          </w:p>
        </w:tc>
        <w:tc>
          <w:tcPr>
            <w:tcW w:w="0" w:type="auto"/>
            <w:vAlign w:val="center"/>
          </w:tcPr>
          <w:p w14:paraId="38D6D56E"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2014</w:t>
            </w:r>
          </w:p>
        </w:tc>
        <w:tc>
          <w:tcPr>
            <w:tcW w:w="0" w:type="auto"/>
            <w:vAlign w:val="center"/>
          </w:tcPr>
          <w:p w14:paraId="24C6B959"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2015</w:t>
            </w:r>
          </w:p>
        </w:tc>
        <w:tc>
          <w:tcPr>
            <w:tcW w:w="0" w:type="auto"/>
            <w:vAlign w:val="center"/>
          </w:tcPr>
          <w:p w14:paraId="76C163BF"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2016</w:t>
            </w:r>
          </w:p>
        </w:tc>
        <w:tc>
          <w:tcPr>
            <w:tcW w:w="0" w:type="auto"/>
            <w:vAlign w:val="center"/>
          </w:tcPr>
          <w:p w14:paraId="741C7D1C"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2017</w:t>
            </w:r>
          </w:p>
        </w:tc>
        <w:tc>
          <w:tcPr>
            <w:tcW w:w="0" w:type="auto"/>
            <w:vAlign w:val="center"/>
          </w:tcPr>
          <w:p w14:paraId="03F89C94"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2018</w:t>
            </w:r>
          </w:p>
        </w:tc>
      </w:tr>
      <w:tr w:rsidR="00654E8A" w:rsidRPr="00FA5571" w14:paraId="75FDFC45" w14:textId="77777777" w:rsidTr="000A15D3">
        <w:tc>
          <w:tcPr>
            <w:tcW w:w="0" w:type="auto"/>
          </w:tcPr>
          <w:p w14:paraId="2FC5E95F" w14:textId="77777777" w:rsidR="00654E8A" w:rsidRPr="00FA5571" w:rsidRDefault="00654E8A" w:rsidP="002C68D0">
            <w:pPr>
              <w:spacing w:line="276" w:lineRule="auto"/>
              <w:rPr>
                <w:sz w:val="22"/>
                <w:szCs w:val="22"/>
              </w:rPr>
            </w:pPr>
            <w:r w:rsidRPr="00FA5571">
              <w:rPr>
                <w:color w:val="000000"/>
                <w:sz w:val="22"/>
                <w:szCs w:val="22"/>
                <w:lang w:eastAsia="en-AU"/>
              </w:rPr>
              <w:t>Submissions/witnesses per Committee inquiry (number)</w:t>
            </w:r>
          </w:p>
        </w:tc>
        <w:tc>
          <w:tcPr>
            <w:tcW w:w="0" w:type="auto"/>
            <w:vAlign w:val="center"/>
          </w:tcPr>
          <w:p w14:paraId="5696B1C2"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21/35</w:t>
            </w:r>
          </w:p>
        </w:tc>
        <w:tc>
          <w:tcPr>
            <w:tcW w:w="0" w:type="auto"/>
            <w:vAlign w:val="center"/>
          </w:tcPr>
          <w:p w14:paraId="6E2E4DEB"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12/73</w:t>
            </w:r>
          </w:p>
        </w:tc>
        <w:tc>
          <w:tcPr>
            <w:tcW w:w="0" w:type="auto"/>
            <w:vAlign w:val="center"/>
          </w:tcPr>
          <w:p w14:paraId="0170268A"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5/16</w:t>
            </w:r>
          </w:p>
        </w:tc>
        <w:tc>
          <w:tcPr>
            <w:tcW w:w="0" w:type="auto"/>
            <w:vAlign w:val="center"/>
          </w:tcPr>
          <w:p w14:paraId="46831A7B"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11/25</w:t>
            </w:r>
          </w:p>
        </w:tc>
        <w:tc>
          <w:tcPr>
            <w:tcW w:w="0" w:type="auto"/>
            <w:vAlign w:val="center"/>
          </w:tcPr>
          <w:p w14:paraId="2E9BA9D1"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3/23</w:t>
            </w:r>
          </w:p>
        </w:tc>
        <w:tc>
          <w:tcPr>
            <w:tcW w:w="0" w:type="auto"/>
            <w:vAlign w:val="center"/>
          </w:tcPr>
          <w:p w14:paraId="24CE80A8"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10/22</w:t>
            </w:r>
          </w:p>
        </w:tc>
        <w:tc>
          <w:tcPr>
            <w:tcW w:w="0" w:type="auto"/>
            <w:vAlign w:val="center"/>
          </w:tcPr>
          <w:p w14:paraId="212A7CAF" w14:textId="77777777" w:rsidR="00654E8A" w:rsidRPr="00FA5571" w:rsidRDefault="00654E8A" w:rsidP="002C68D0">
            <w:pPr>
              <w:spacing w:line="276" w:lineRule="auto"/>
              <w:jc w:val="both"/>
              <w:rPr>
                <w:bCs/>
                <w:sz w:val="22"/>
                <w:szCs w:val="22"/>
              </w:rPr>
            </w:pPr>
            <w:r w:rsidRPr="00FA5571">
              <w:rPr>
                <w:bCs/>
                <w:color w:val="000000"/>
                <w:sz w:val="22"/>
                <w:szCs w:val="22"/>
                <w:lang w:eastAsia="en-AU"/>
              </w:rPr>
              <w:t>27/21</w:t>
            </w:r>
          </w:p>
        </w:tc>
      </w:tr>
    </w:tbl>
    <w:p w14:paraId="2BC3D3D6" w14:textId="1F490EE5" w:rsidR="00654E8A" w:rsidRDefault="0069792B" w:rsidP="000C611D">
      <w:pPr>
        <w:spacing w:after="120" w:line="276" w:lineRule="auto"/>
      </w:pPr>
      <w:r>
        <w:rPr>
          <w:sz w:val="21"/>
          <w:szCs w:val="21"/>
        </w:rPr>
        <w:t xml:space="preserve">Source: </w:t>
      </w:r>
      <w:r w:rsidR="004A71ED">
        <w:rPr>
          <w:sz w:val="21"/>
          <w:szCs w:val="21"/>
        </w:rPr>
        <w:t xml:space="preserve">Office of the </w:t>
      </w:r>
      <w:r w:rsidR="004A71ED" w:rsidRPr="00A5292B">
        <w:rPr>
          <w:sz w:val="20"/>
          <w:szCs w:val="20"/>
        </w:rPr>
        <w:t>Legislative Assembly</w:t>
      </w:r>
      <w:r w:rsidRPr="00F965D9">
        <w:rPr>
          <w:sz w:val="21"/>
          <w:szCs w:val="21"/>
        </w:rPr>
        <w:t>, Parliamentary Performance Report Cards 2012-2018</w:t>
      </w:r>
    </w:p>
    <w:p w14:paraId="7D4CE2BD" w14:textId="3CDFD786" w:rsidR="00B17D72" w:rsidRPr="00603967" w:rsidRDefault="00B17D72" w:rsidP="00DB1BA7">
      <w:pPr>
        <w:spacing w:after="120" w:line="276" w:lineRule="auto"/>
        <w:jc w:val="both"/>
        <w:rPr>
          <w:rFonts w:eastAsia="Calibri"/>
          <w:lang w:eastAsia="en-AU" w:bidi="en-AU"/>
        </w:rPr>
      </w:pPr>
      <w:r>
        <w:t xml:space="preserve">Committees </w:t>
      </w:r>
      <w:r w:rsidR="00EB6CC6">
        <w:t xml:space="preserve">have </w:t>
      </w:r>
      <w:r>
        <w:t xml:space="preserve">held some high-profile inquiries during the </w:t>
      </w:r>
      <w:r w:rsidR="00EB6CC6">
        <w:t>9</w:t>
      </w:r>
      <w:r w:rsidR="00EB6CC6" w:rsidRPr="00EB6CC6">
        <w:rPr>
          <w:vertAlign w:val="superscript"/>
        </w:rPr>
        <w:t>th</w:t>
      </w:r>
      <w:r w:rsidR="00EB6CC6">
        <w:t xml:space="preserve"> Assembly</w:t>
      </w:r>
      <w:r>
        <w:t xml:space="preserve"> that attracted significant engagement from the ACT public. The Select Committee on End of Life Choices received 48</w:t>
      </w:r>
      <w:r w:rsidR="00DF4FB1">
        <w:t>8</w:t>
      </w:r>
      <w:r>
        <w:t xml:space="preserve"> submissions, an Assembly record. </w:t>
      </w:r>
      <w:r w:rsidR="00EB6CC6">
        <w:t>Inquiry into drone delivery systems in the ACT in 2019 received 151</w:t>
      </w:r>
      <w:r w:rsidR="00EB6CC6">
        <w:rPr>
          <w:rStyle w:val="BodyTextChar"/>
          <w:rFonts w:ascii="Times New Roman" w:hAnsi="Times New Roman" w:cs="Times New Roman"/>
        </w:rPr>
        <w:t>.</w:t>
      </w:r>
      <w:r w:rsidR="00EB6CC6">
        <w:rPr>
          <w:rStyle w:val="FootnoteReference"/>
          <w:rFonts w:eastAsia="Calibri"/>
          <w:lang w:eastAsia="en-AU" w:bidi="en-AU"/>
        </w:rPr>
        <w:footnoteReference w:id="26"/>
      </w:r>
      <w:r w:rsidR="00603967">
        <w:rPr>
          <w:rStyle w:val="BodyTextChar"/>
          <w:rFonts w:ascii="Times New Roman" w:hAnsi="Times New Roman" w:cs="Times New Roman"/>
        </w:rPr>
        <w:t xml:space="preserve"> </w:t>
      </w:r>
      <w:r>
        <w:t>The inquiry by the Standing Committee on Health, Ageing and Community Services into the implementation, performance and governance of the National Disability Insurance Scheme in the ACT received 70 submissions. The Standing Committee on Justice and Community Safety co</w:t>
      </w:r>
      <w:r w:rsidR="00C528C4">
        <w:t>mpleted</w:t>
      </w:r>
      <w:r>
        <w:t xml:space="preserve"> its </w:t>
      </w:r>
      <w:r w:rsidR="00D15DAC">
        <w:t>long-standing</w:t>
      </w:r>
      <w:r w:rsidR="00C528C4">
        <w:t xml:space="preserve"> </w:t>
      </w:r>
      <w:r>
        <w:t>inquiry into domestic and family violence—policy approaches and responses</w:t>
      </w:r>
      <w:r w:rsidR="00C528C4">
        <w:t>, involving 32 written submissions and 40 witnesses</w:t>
      </w:r>
      <w:r>
        <w:t>.</w:t>
      </w:r>
      <w:r w:rsidR="00CA3161">
        <w:t xml:space="preserve"> </w:t>
      </w:r>
      <w:r w:rsidR="00603967">
        <w:t>All t</w:t>
      </w:r>
      <w:r>
        <w:t xml:space="preserve">hese inquiries have </w:t>
      </w:r>
      <w:r w:rsidR="00603967">
        <w:t>involved</w:t>
      </w:r>
      <w:r>
        <w:t xml:space="preserve"> public hearings that have attracted public and media attention</w:t>
      </w:r>
      <w:r w:rsidR="00603967">
        <w:t>.</w:t>
      </w:r>
    </w:p>
    <w:p w14:paraId="09A35F9B" w14:textId="49A60143" w:rsidR="00B17D72" w:rsidRDefault="00B17D72" w:rsidP="00642F09">
      <w:pPr>
        <w:spacing w:line="276" w:lineRule="auto"/>
        <w:jc w:val="both"/>
      </w:pPr>
      <w:r>
        <w:t xml:space="preserve">The Standing Committee on the Environment and Transport and City Services used </w:t>
      </w:r>
      <w:r w:rsidR="00D5179A">
        <w:t>several</w:t>
      </w:r>
      <w:r>
        <w:t xml:space="preserve"> approaches to encourage engagement with its inquiry into a proposal for a mammal emblem for the ACT.</w:t>
      </w:r>
      <w:r w:rsidR="00844185">
        <w:rPr>
          <w:rStyle w:val="FootnoteReference"/>
        </w:rPr>
        <w:footnoteReference w:id="27"/>
      </w:r>
      <w:r w:rsidR="00E103F0">
        <w:t xml:space="preserve"> </w:t>
      </w:r>
      <w:r w:rsidR="00A62B99">
        <w:t>The Office</w:t>
      </w:r>
      <w:r>
        <w:t xml:space="preserve"> </w:t>
      </w:r>
      <w:r w:rsidR="00487F99">
        <w:t>has been</w:t>
      </w:r>
      <w:r>
        <w:t xml:space="preserve"> assessing </w:t>
      </w:r>
      <w:r w:rsidR="00487F99">
        <w:t xml:space="preserve">the </w:t>
      </w:r>
      <w:r>
        <w:t xml:space="preserve">lessons </w:t>
      </w:r>
      <w:r w:rsidR="00487F99">
        <w:t xml:space="preserve">to </w:t>
      </w:r>
      <w:r>
        <w:t xml:space="preserve">be learned from </w:t>
      </w:r>
      <w:r w:rsidR="00487F99">
        <w:t>such</w:t>
      </w:r>
      <w:r>
        <w:t xml:space="preserve"> innovations</w:t>
      </w:r>
      <w:r w:rsidR="00487F99">
        <w:t>.</w:t>
      </w:r>
    </w:p>
    <w:p w14:paraId="0F1AB2B3" w14:textId="7F987CE3" w:rsidR="00A80CC5" w:rsidRDefault="00905FE7" w:rsidP="00905FE7">
      <w:pPr>
        <w:spacing w:line="276" w:lineRule="auto"/>
        <w:jc w:val="both"/>
      </w:pPr>
      <w:r>
        <w:t xml:space="preserve">There is </w:t>
      </w:r>
      <w:r w:rsidR="00E56E86">
        <w:t xml:space="preserve">also </w:t>
      </w:r>
      <w:r>
        <w:t>a growing body of Australian and international experience on new forms of parliamentary engagement (</w:t>
      </w:r>
      <w:r w:rsidRPr="00905FE7">
        <w:t>Hendriks 2019)</w:t>
      </w:r>
      <w:r>
        <w:t>.</w:t>
      </w:r>
      <w:r w:rsidR="00E103F0">
        <w:t xml:space="preserve"> </w:t>
      </w:r>
      <w:r w:rsidR="00A80CC5">
        <w:t xml:space="preserve">The Assembly’s library </w:t>
      </w:r>
      <w:r w:rsidR="00573731">
        <w:t>has</w:t>
      </w:r>
      <w:r w:rsidR="00A80CC5">
        <w:t xml:space="preserve"> recently </w:t>
      </w:r>
      <w:r>
        <w:t>sponsored</w:t>
      </w:r>
      <w:r w:rsidR="00A80CC5">
        <w:t xml:space="preserve"> a fellow</w:t>
      </w:r>
      <w:r>
        <w:t>’s</w:t>
      </w:r>
      <w:r w:rsidR="00A80CC5">
        <w:t xml:space="preserve"> </w:t>
      </w:r>
      <w:r w:rsidR="000C1F2B">
        <w:t xml:space="preserve">paper </w:t>
      </w:r>
      <w:r w:rsidR="00A80CC5">
        <w:t xml:space="preserve">on co-design and deliberative </w:t>
      </w:r>
      <w:r w:rsidR="000C1F2B">
        <w:t>engagement</w:t>
      </w:r>
      <w:r w:rsidR="00E3174E">
        <w:t xml:space="preserve"> (Moore 2019)</w:t>
      </w:r>
      <w:r w:rsidR="00A80CC5">
        <w:t>.</w:t>
      </w:r>
    </w:p>
    <w:p w14:paraId="7880841E" w14:textId="77777777" w:rsidR="00A80CC5" w:rsidRPr="00A80CC5" w:rsidRDefault="00A80CC5" w:rsidP="00A80CC5"/>
    <w:p w14:paraId="17F15FB1" w14:textId="41780675" w:rsidR="0005647C" w:rsidRPr="0005647C" w:rsidRDefault="0005647C" w:rsidP="00032817">
      <w:pPr>
        <w:spacing w:line="360" w:lineRule="auto"/>
        <w:jc w:val="both"/>
        <w:rPr>
          <w:rStyle w:val="BodyTextChar"/>
          <w:rFonts w:ascii="Times New Roman" w:hAnsi="Times New Roman" w:cs="Times New Roman"/>
          <w:i/>
          <w:iCs/>
        </w:rPr>
      </w:pPr>
      <w:bookmarkStart w:id="1" w:name="_Hlk15041337"/>
      <w:r w:rsidRPr="0005647C">
        <w:rPr>
          <w:rStyle w:val="BodyTextChar"/>
          <w:rFonts w:ascii="Times New Roman" w:hAnsi="Times New Roman" w:cs="Times New Roman"/>
          <w:i/>
          <w:iCs/>
        </w:rPr>
        <w:t>Executive engagement</w:t>
      </w:r>
    </w:p>
    <w:p w14:paraId="3CB8ACDE" w14:textId="1935B58F" w:rsidR="005F00D4" w:rsidRPr="001C6A43" w:rsidRDefault="0005647C" w:rsidP="00DB1BA7">
      <w:pPr>
        <w:spacing w:after="120" w:line="276" w:lineRule="auto"/>
        <w:jc w:val="both"/>
      </w:pPr>
      <w:r w:rsidRPr="00123234">
        <w:t xml:space="preserve">The ACT </w:t>
      </w:r>
      <w:r w:rsidR="00A02C33">
        <w:t>G</w:t>
      </w:r>
      <w:r w:rsidRPr="00123234">
        <w:t>overnment commit</w:t>
      </w:r>
      <w:r w:rsidR="000B6C05">
        <w:t>ment</w:t>
      </w:r>
      <w:r w:rsidRPr="00123234">
        <w:t xml:space="preserve"> to</w:t>
      </w:r>
      <w:r>
        <w:t xml:space="preserve"> </w:t>
      </w:r>
      <w:r w:rsidR="004C6C32">
        <w:t xml:space="preserve">open government encompasses </w:t>
      </w:r>
      <w:r w:rsidRPr="00123234">
        <w:rPr>
          <w:color w:val="313131"/>
        </w:rPr>
        <w:t>transparency</w:t>
      </w:r>
      <w:r>
        <w:t xml:space="preserve"> </w:t>
      </w:r>
      <w:r w:rsidRPr="00123234">
        <w:rPr>
          <w:color w:val="313131"/>
        </w:rPr>
        <w:t>in process and information</w:t>
      </w:r>
      <w:r w:rsidR="008A6CF0">
        <w:rPr>
          <w:color w:val="313131"/>
        </w:rPr>
        <w:t>,</w:t>
      </w:r>
      <w:r w:rsidR="004C6C32">
        <w:rPr>
          <w:color w:val="313131"/>
        </w:rPr>
        <w:t xml:space="preserve"> </w:t>
      </w:r>
      <w:r w:rsidR="000B6C05" w:rsidRPr="00123234">
        <w:rPr>
          <w:color w:val="313131"/>
        </w:rPr>
        <w:t>citizen</w:t>
      </w:r>
      <w:r w:rsidR="000B6C05">
        <w:rPr>
          <w:color w:val="313131"/>
        </w:rPr>
        <w:t xml:space="preserve"> </w:t>
      </w:r>
      <w:r w:rsidR="008A6CF0">
        <w:rPr>
          <w:color w:val="313131"/>
        </w:rPr>
        <w:t>p</w:t>
      </w:r>
      <w:r w:rsidRPr="00123234">
        <w:rPr>
          <w:color w:val="313131"/>
        </w:rPr>
        <w:t>articipation in governing</w:t>
      </w:r>
      <w:r>
        <w:rPr>
          <w:color w:val="313131"/>
        </w:rPr>
        <w:t xml:space="preserve">, </w:t>
      </w:r>
      <w:r w:rsidRPr="00123234">
        <w:rPr>
          <w:color w:val="313131"/>
        </w:rPr>
        <w:t>public collaboration </w:t>
      </w:r>
      <w:r w:rsidR="00917B66">
        <w:rPr>
          <w:color w:val="313131"/>
        </w:rPr>
        <w:t xml:space="preserve">and </w:t>
      </w:r>
      <w:r w:rsidR="00917B66" w:rsidRPr="00123234">
        <w:rPr>
          <w:color w:val="313131"/>
        </w:rPr>
        <w:t xml:space="preserve">participation </w:t>
      </w:r>
      <w:r w:rsidRPr="00123234">
        <w:rPr>
          <w:color w:val="313131"/>
        </w:rPr>
        <w:t xml:space="preserve">in </w:t>
      </w:r>
      <w:r w:rsidR="000B6C05" w:rsidRPr="00123234">
        <w:rPr>
          <w:color w:val="313131"/>
        </w:rPr>
        <w:t>problem</w:t>
      </w:r>
      <w:r w:rsidR="000B6C05">
        <w:rPr>
          <w:color w:val="313131"/>
        </w:rPr>
        <w:t xml:space="preserve"> </w:t>
      </w:r>
      <w:r w:rsidR="00A02C33">
        <w:rPr>
          <w:color w:val="313131"/>
        </w:rPr>
        <w:t>solv</w:t>
      </w:r>
      <w:r w:rsidRPr="00123234">
        <w:rPr>
          <w:color w:val="313131"/>
        </w:rPr>
        <w:t>ing and</w:t>
      </w:r>
      <w:r w:rsidR="00917B66">
        <w:rPr>
          <w:color w:val="313131"/>
        </w:rPr>
        <w:t xml:space="preserve"> </w:t>
      </w:r>
      <w:r w:rsidRPr="00123234">
        <w:rPr>
          <w:color w:val="313131"/>
        </w:rPr>
        <w:t>improv</w:t>
      </w:r>
      <w:r w:rsidR="00731CA8">
        <w:rPr>
          <w:color w:val="313131"/>
        </w:rPr>
        <w:t xml:space="preserve">ing </w:t>
      </w:r>
      <w:r w:rsidR="00885462" w:rsidRPr="00123234">
        <w:rPr>
          <w:color w:val="313131"/>
        </w:rPr>
        <w:t xml:space="preserve">community </w:t>
      </w:r>
      <w:r w:rsidRPr="00123234">
        <w:rPr>
          <w:color w:val="313131"/>
        </w:rPr>
        <w:t>well-being.</w:t>
      </w:r>
      <w:r w:rsidR="00AB0A61">
        <w:t xml:space="preserve"> </w:t>
      </w:r>
      <w:r w:rsidR="00693393">
        <w:rPr>
          <w:color w:val="313131"/>
        </w:rPr>
        <w:t>Open government</w:t>
      </w:r>
      <w:r w:rsidR="004C6C32">
        <w:rPr>
          <w:color w:val="313131"/>
        </w:rPr>
        <w:t xml:space="preserve"> covers a range of </w:t>
      </w:r>
      <w:r w:rsidRPr="00DE30E6">
        <w:rPr>
          <w:color w:val="313131"/>
        </w:rPr>
        <w:t>initiatives, includ</w:t>
      </w:r>
      <w:r w:rsidR="00425669">
        <w:rPr>
          <w:color w:val="313131"/>
        </w:rPr>
        <w:t>ing</w:t>
      </w:r>
      <w:r>
        <w:rPr>
          <w:color w:val="313131"/>
        </w:rPr>
        <w:t xml:space="preserve"> a</w:t>
      </w:r>
      <w:r w:rsidRPr="00DE30E6">
        <w:rPr>
          <w:color w:val="313131"/>
        </w:rPr>
        <w:t xml:space="preserve"> website, </w:t>
      </w:r>
      <w:r w:rsidR="00693393">
        <w:rPr>
          <w:color w:val="313131"/>
        </w:rPr>
        <w:t>aspires to ‘</w:t>
      </w:r>
      <w:r w:rsidRPr="00DE30E6">
        <w:rPr>
          <w:color w:val="313131"/>
        </w:rPr>
        <w:t>enhanc</w:t>
      </w:r>
      <w:r w:rsidR="00693393">
        <w:rPr>
          <w:color w:val="313131"/>
        </w:rPr>
        <w:t>e</w:t>
      </w:r>
      <w:r w:rsidRPr="00DE30E6">
        <w:rPr>
          <w:color w:val="313131"/>
        </w:rPr>
        <w:t xml:space="preserve"> democracy and plac</w:t>
      </w:r>
      <w:r w:rsidR="00693393">
        <w:rPr>
          <w:color w:val="313131"/>
        </w:rPr>
        <w:t>e</w:t>
      </w:r>
      <w:r w:rsidRPr="00DE30E6">
        <w:rPr>
          <w:color w:val="313131"/>
        </w:rPr>
        <w:t xml:space="preserve"> the community at the centre of the governance process</w:t>
      </w:r>
      <w:r w:rsidR="00693393">
        <w:rPr>
          <w:color w:val="313131"/>
        </w:rPr>
        <w:t>’</w:t>
      </w:r>
      <w:r w:rsidRPr="00DE30E6">
        <w:rPr>
          <w:color w:val="313131"/>
        </w:rPr>
        <w:t>.</w:t>
      </w:r>
      <w:r>
        <w:rPr>
          <w:rStyle w:val="FootnoteReference"/>
          <w:color w:val="313131"/>
        </w:rPr>
        <w:footnoteReference w:id="28"/>
      </w:r>
      <w:bookmarkEnd w:id="1"/>
      <w:r w:rsidR="005F00D4">
        <w:rPr>
          <w:color w:val="313131"/>
        </w:rPr>
        <w:t xml:space="preserve"> </w:t>
      </w:r>
      <w:r w:rsidR="005F00D4">
        <w:t xml:space="preserve">The Chief Minister has </w:t>
      </w:r>
      <w:r w:rsidR="000149FE">
        <w:t>t</w:t>
      </w:r>
      <w:r w:rsidR="005F00D4">
        <w:t xml:space="preserve">alk back sessions </w:t>
      </w:r>
      <w:r w:rsidR="000149FE">
        <w:t>on radio fortnight</w:t>
      </w:r>
      <w:r w:rsidR="005F00D4">
        <w:t xml:space="preserve">ly during which comments and requests are made to him, many of which are municipal in character. Open government includes, </w:t>
      </w:r>
      <w:r w:rsidR="005F00D4" w:rsidRPr="009F57A9">
        <w:t>Fix My Street and Access Canberra</w:t>
      </w:r>
      <w:r w:rsidR="005F00D4">
        <w:t xml:space="preserve">. </w:t>
      </w:r>
      <w:r w:rsidR="005F00D4">
        <w:rPr>
          <w:color w:val="313131"/>
        </w:rPr>
        <w:t>An ambitious step is the ‘</w:t>
      </w:r>
      <w:r w:rsidR="005F00D4" w:rsidRPr="001C6A43">
        <w:rPr>
          <w:color w:val="313131"/>
        </w:rPr>
        <w:t>online research platform YourSay Community Panel’</w:t>
      </w:r>
      <w:r w:rsidR="005F00D4">
        <w:rPr>
          <w:color w:val="313131"/>
        </w:rPr>
        <w:t>,</w:t>
      </w:r>
      <w:r w:rsidR="005F00D4" w:rsidRPr="001C6A43">
        <w:rPr>
          <w:color w:val="313131"/>
        </w:rPr>
        <w:t xml:space="preserve"> </w:t>
      </w:r>
      <w:r w:rsidR="005F00D4">
        <w:rPr>
          <w:color w:val="313131"/>
        </w:rPr>
        <w:t>which provides</w:t>
      </w:r>
      <w:r w:rsidR="005F00D4" w:rsidRPr="001C6A43">
        <w:rPr>
          <w:color w:val="313131"/>
        </w:rPr>
        <w:t xml:space="preserve"> opportunit</w:t>
      </w:r>
      <w:r w:rsidR="005F00D4">
        <w:rPr>
          <w:color w:val="313131"/>
        </w:rPr>
        <w:t>ies</w:t>
      </w:r>
      <w:r w:rsidR="005F00D4" w:rsidRPr="001C6A43">
        <w:rPr>
          <w:color w:val="313131"/>
        </w:rPr>
        <w:t xml:space="preserve"> </w:t>
      </w:r>
      <w:r w:rsidR="005F00D4">
        <w:rPr>
          <w:color w:val="313131"/>
        </w:rPr>
        <w:t>for the expression of</w:t>
      </w:r>
      <w:r w:rsidR="005F00D4" w:rsidRPr="001C6A43">
        <w:rPr>
          <w:color w:val="313131"/>
        </w:rPr>
        <w:t xml:space="preserve"> views </w:t>
      </w:r>
      <w:r w:rsidR="005F00D4">
        <w:rPr>
          <w:color w:val="313131"/>
        </w:rPr>
        <w:t xml:space="preserve">on a </w:t>
      </w:r>
      <w:r w:rsidR="005F00D4" w:rsidRPr="001C6A43">
        <w:rPr>
          <w:color w:val="313131"/>
        </w:rPr>
        <w:t>range of topics</w:t>
      </w:r>
      <w:r w:rsidR="005F00D4">
        <w:rPr>
          <w:color w:val="313131"/>
        </w:rPr>
        <w:t xml:space="preserve">, and is designed ‘to </w:t>
      </w:r>
      <w:r w:rsidR="005F00D4" w:rsidRPr="001C6A43">
        <w:rPr>
          <w:color w:val="313131"/>
        </w:rPr>
        <w:t>inform decision making, but also help evaluate the effectiveness of government programs and services</w:t>
      </w:r>
      <w:r w:rsidR="005F00D4">
        <w:rPr>
          <w:color w:val="313131"/>
        </w:rPr>
        <w:t>’</w:t>
      </w:r>
      <w:r w:rsidR="005F00D4" w:rsidRPr="001C6A43">
        <w:rPr>
          <w:color w:val="313131"/>
        </w:rPr>
        <w:t>.</w:t>
      </w:r>
      <w:r w:rsidR="009915FA">
        <w:rPr>
          <w:color w:val="313131"/>
        </w:rPr>
        <w:t xml:space="preserve"> </w:t>
      </w:r>
      <w:r w:rsidR="009915FA">
        <w:rPr>
          <w:color w:val="313131"/>
        </w:rPr>
        <w:lastRenderedPageBreak/>
        <w:t xml:space="preserve">About 2,200 </w:t>
      </w:r>
      <w:r w:rsidR="00A1762B">
        <w:rPr>
          <w:color w:val="313131"/>
        </w:rPr>
        <w:t xml:space="preserve">have joined the panel. </w:t>
      </w:r>
      <w:r w:rsidR="00A1762B">
        <w:t>The inputs, ‘will help shape policies, programs and services for the future and allow the government to engage with a statistically significant and representative group of Canberrans’.</w:t>
      </w:r>
      <w:r w:rsidR="005F00D4">
        <w:rPr>
          <w:rStyle w:val="FootnoteReference"/>
          <w:color w:val="313131"/>
        </w:rPr>
        <w:footnoteReference w:id="29"/>
      </w:r>
    </w:p>
    <w:p w14:paraId="24B03639" w14:textId="25F70C90" w:rsidR="005F00D4" w:rsidRPr="001C6A43" w:rsidRDefault="002C3E0F" w:rsidP="00DB1BA7">
      <w:pPr>
        <w:spacing w:after="120" w:line="276" w:lineRule="auto"/>
        <w:jc w:val="both"/>
      </w:pPr>
      <w:r>
        <w:t xml:space="preserve">A </w:t>
      </w:r>
      <w:r w:rsidR="005F00D4" w:rsidRPr="00C91CFF">
        <w:t>Whole of Government Communications and Engagement Strategy</w:t>
      </w:r>
      <w:r w:rsidR="005F00D4">
        <w:t xml:space="preserve"> was launched in 2018, and a 2019 Plan is now operational.</w:t>
      </w:r>
      <w:r w:rsidR="005F00D4">
        <w:rPr>
          <w:rStyle w:val="FootnoteReference"/>
        </w:rPr>
        <w:footnoteReference w:id="30"/>
      </w:r>
      <w:r w:rsidR="005F00D4">
        <w:t xml:space="preserve"> The whole of government approach works at the strategic level with directorates working on an integrated basis in their focus on government priorities.</w:t>
      </w:r>
    </w:p>
    <w:p w14:paraId="40471E85" w14:textId="34284FC5" w:rsidR="00AD0574" w:rsidRPr="005244E5" w:rsidRDefault="00721A34" w:rsidP="00DB1BA7">
      <w:pPr>
        <w:spacing w:after="120" w:line="276" w:lineRule="auto"/>
        <w:jc w:val="both"/>
        <w:rPr>
          <w:color w:val="313131"/>
        </w:rPr>
      </w:pPr>
      <w:r>
        <w:rPr>
          <w:w w:val="105"/>
        </w:rPr>
        <w:t>The Parliamentary Agreement for the 9</w:t>
      </w:r>
      <w:r w:rsidRPr="00AD0574">
        <w:rPr>
          <w:w w:val="105"/>
          <w:vertAlign w:val="superscript"/>
        </w:rPr>
        <w:t>th</w:t>
      </w:r>
      <w:r>
        <w:rPr>
          <w:w w:val="105"/>
        </w:rPr>
        <w:t xml:space="preserve"> Assembly specifies: ‘s</w:t>
      </w:r>
      <w:r w:rsidRPr="003C20FF">
        <w:rPr>
          <w:w w:val="105"/>
        </w:rPr>
        <w:t xml:space="preserve">trengthen community consultation processes, including </w:t>
      </w:r>
      <w:r w:rsidR="00D5179A" w:rsidRPr="003C20FF">
        <w:rPr>
          <w:w w:val="105"/>
        </w:rPr>
        <w:t>using</w:t>
      </w:r>
      <w:r w:rsidRPr="003C20FF">
        <w:rPr>
          <w:w w:val="105"/>
        </w:rPr>
        <w:t xml:space="preserve"> deliberative democracy strategies, so that diverse views are </w:t>
      </w:r>
      <w:r w:rsidR="00D5179A" w:rsidRPr="003C20FF">
        <w:rPr>
          <w:w w:val="105"/>
        </w:rPr>
        <w:t>considered</w:t>
      </w:r>
      <w:r w:rsidRPr="003C20FF">
        <w:rPr>
          <w:w w:val="105"/>
        </w:rPr>
        <w:t xml:space="preserve"> in major project</w:t>
      </w:r>
      <w:r w:rsidRPr="003C20FF">
        <w:rPr>
          <w:spacing w:val="7"/>
          <w:w w:val="105"/>
        </w:rPr>
        <w:t xml:space="preserve"> </w:t>
      </w:r>
      <w:r w:rsidRPr="003C20FF">
        <w:rPr>
          <w:w w:val="105"/>
        </w:rPr>
        <w:t>proposals</w:t>
      </w:r>
      <w:r>
        <w:rPr>
          <w:w w:val="105"/>
        </w:rPr>
        <w:t>.’</w:t>
      </w:r>
      <w:r>
        <w:rPr>
          <w:color w:val="313131"/>
        </w:rPr>
        <w:t xml:space="preserve"> </w:t>
      </w:r>
      <w:r w:rsidR="005A3F65">
        <w:t>T</w:t>
      </w:r>
      <w:r w:rsidR="002146DD" w:rsidRPr="00C91CFF">
        <w:t xml:space="preserve">he </w:t>
      </w:r>
      <w:r>
        <w:t>Chief Minister has</w:t>
      </w:r>
      <w:r w:rsidR="002146DD" w:rsidRPr="00C91CFF">
        <w:t xml:space="preserve"> </w:t>
      </w:r>
      <w:r w:rsidR="005A3F65">
        <w:t>committed to</w:t>
      </w:r>
      <w:r w:rsidR="002146DD" w:rsidRPr="00C91CFF">
        <w:t xml:space="preserve"> </w:t>
      </w:r>
      <w:r w:rsidR="00714BD8">
        <w:t xml:space="preserve">what </w:t>
      </w:r>
      <w:r w:rsidR="00F14CA8">
        <w:t>i</w:t>
      </w:r>
      <w:r w:rsidR="00714BD8">
        <w:t>s termed more</w:t>
      </w:r>
      <w:r w:rsidR="002146DD" w:rsidRPr="00C91CFF">
        <w:t xml:space="preserve"> </w:t>
      </w:r>
      <w:r w:rsidR="00714BD8">
        <w:t>‘</w:t>
      </w:r>
      <w:r w:rsidR="002146DD" w:rsidRPr="00C91CFF">
        <w:t>representative engagement</w:t>
      </w:r>
      <w:r w:rsidR="00714BD8">
        <w:t>’</w:t>
      </w:r>
      <w:r w:rsidR="002146DD" w:rsidRPr="00C91CFF">
        <w:t xml:space="preserve"> with Canberra</w:t>
      </w:r>
      <w:r w:rsidR="005A3F65">
        <w:t>’s</w:t>
      </w:r>
      <w:r w:rsidR="002146DD" w:rsidRPr="00C91CFF">
        <w:t xml:space="preserve"> community</w:t>
      </w:r>
      <w:r w:rsidR="00AB63DF">
        <w:t xml:space="preserve">, enumerating </w:t>
      </w:r>
      <w:r w:rsidR="002146DD" w:rsidRPr="00C91CFF">
        <w:t xml:space="preserve">four deliberative engagement processes </w:t>
      </w:r>
      <w:r w:rsidR="0098531D">
        <w:t>involving</w:t>
      </w:r>
      <w:r w:rsidR="002146DD" w:rsidRPr="00C91CFF">
        <w:t xml:space="preserve"> randomly selected Canberrans </w:t>
      </w:r>
      <w:r w:rsidR="0098531D">
        <w:t>contributing to</w:t>
      </w:r>
      <w:r w:rsidR="002146DD" w:rsidRPr="00C91CFF">
        <w:t xml:space="preserve"> government policy</w:t>
      </w:r>
      <w:r w:rsidR="0098531D">
        <w:t xml:space="preserve"> (</w:t>
      </w:r>
      <w:r w:rsidR="002146DD" w:rsidRPr="00C91CFF">
        <w:t>ACT Carers’ Strategy, the Better Suburbs Statement, improv</w:t>
      </w:r>
      <w:r w:rsidR="0098531D">
        <w:t>ing</w:t>
      </w:r>
      <w:r w:rsidR="002146DD" w:rsidRPr="00C91CFF">
        <w:t xml:space="preserve"> housing choices and improvements to the Compulsory Third Party motor vehicle insurance scheme</w:t>
      </w:r>
      <w:r w:rsidR="0098531D">
        <w:t>)</w:t>
      </w:r>
      <w:r w:rsidR="002146DD" w:rsidRPr="00C91CFF">
        <w:t>.</w:t>
      </w:r>
      <w:r w:rsidR="002146DD">
        <w:t xml:space="preserve"> </w:t>
      </w:r>
      <w:r w:rsidR="001A7736">
        <w:t xml:space="preserve">The lessons acquired from </w:t>
      </w:r>
      <w:r w:rsidR="002146DD" w:rsidRPr="00C91CFF">
        <w:t xml:space="preserve">these processes are </w:t>
      </w:r>
      <w:r w:rsidR="001A7736">
        <w:t>being examined</w:t>
      </w:r>
      <w:r w:rsidR="002146DD" w:rsidRPr="00C91CFF">
        <w:t xml:space="preserve"> </w:t>
      </w:r>
      <w:r w:rsidR="001A7736">
        <w:t xml:space="preserve">to determine how </w:t>
      </w:r>
      <w:r w:rsidR="001A7736" w:rsidRPr="00C91CFF">
        <w:t xml:space="preserve">deliberative engagement </w:t>
      </w:r>
      <w:r w:rsidR="001A7736">
        <w:t xml:space="preserve">principles </w:t>
      </w:r>
      <w:r w:rsidR="00161F1D">
        <w:t xml:space="preserve">can </w:t>
      </w:r>
      <w:r w:rsidR="001A7736">
        <w:t>be applied to</w:t>
      </w:r>
      <w:r w:rsidR="002146DD" w:rsidRPr="00C91CFF">
        <w:t xml:space="preserve"> </w:t>
      </w:r>
      <w:r w:rsidR="00DD095C">
        <w:t>‘</w:t>
      </w:r>
      <w:r w:rsidR="002146DD" w:rsidRPr="00C91CFF">
        <w:t>everyday engagement between government and the community</w:t>
      </w:r>
      <w:r w:rsidR="00DD095C">
        <w:t>’</w:t>
      </w:r>
      <w:r w:rsidR="002146DD" w:rsidRPr="00C91CFF">
        <w:t>.</w:t>
      </w:r>
      <w:r w:rsidR="00AD0574">
        <w:rPr>
          <w:rStyle w:val="FootnoteReference"/>
        </w:rPr>
        <w:footnoteReference w:id="31"/>
      </w:r>
      <w:r w:rsidR="00AD0574">
        <w:rPr>
          <w:kern w:val="36"/>
        </w:rPr>
        <w:t xml:space="preserve"> </w:t>
      </w:r>
    </w:p>
    <w:p w14:paraId="07A59989" w14:textId="44057126" w:rsidR="00781DCC" w:rsidRDefault="00781DCC" w:rsidP="006E3A1E">
      <w:pPr>
        <w:spacing w:line="276" w:lineRule="auto"/>
        <w:jc w:val="both"/>
      </w:pPr>
      <w:r>
        <w:t>Community councils are also active in many areas of Canberra with a focus on planning matters of local relevance. They are not deemed by the Executive to be formal local government.</w:t>
      </w:r>
    </w:p>
    <w:p w14:paraId="60F560E0" w14:textId="0CA6E35B" w:rsidR="00AE69C1" w:rsidRPr="00004FA3" w:rsidRDefault="00004FA3" w:rsidP="003D6EED">
      <w:pPr>
        <w:spacing w:before="240" w:after="240" w:line="276" w:lineRule="auto"/>
        <w:jc w:val="both"/>
        <w:rPr>
          <w:b/>
          <w:bCs/>
          <w:color w:val="4472C4" w:themeColor="accent1"/>
          <w:sz w:val="28"/>
          <w:szCs w:val="28"/>
        </w:rPr>
      </w:pPr>
      <w:r w:rsidRPr="00004FA3">
        <w:rPr>
          <w:b/>
          <w:bCs/>
          <w:color w:val="4472C4" w:themeColor="accent1"/>
          <w:sz w:val="28"/>
          <w:szCs w:val="28"/>
        </w:rPr>
        <w:t>A</w:t>
      </w:r>
      <w:r>
        <w:rPr>
          <w:b/>
          <w:bCs/>
          <w:color w:val="4472C4" w:themeColor="accent1"/>
          <w:sz w:val="28"/>
          <w:szCs w:val="28"/>
        </w:rPr>
        <w:t>CT</w:t>
      </w:r>
      <w:r w:rsidRPr="00004FA3">
        <w:rPr>
          <w:b/>
          <w:bCs/>
          <w:color w:val="4472C4" w:themeColor="accent1"/>
          <w:sz w:val="28"/>
          <w:szCs w:val="28"/>
        </w:rPr>
        <w:t xml:space="preserve"> Futures</w:t>
      </w:r>
    </w:p>
    <w:p w14:paraId="1B31868F" w14:textId="6715243F" w:rsidR="000E695A" w:rsidRDefault="00706835" w:rsidP="00DB1BA7">
      <w:pPr>
        <w:spacing w:after="120" w:line="276" w:lineRule="auto"/>
        <w:jc w:val="both"/>
      </w:pPr>
      <w:r>
        <w:t xml:space="preserve">The ACT has been experiencing substantial </w:t>
      </w:r>
      <w:r w:rsidR="008C367D">
        <w:t xml:space="preserve">change and population </w:t>
      </w:r>
      <w:r>
        <w:t>growth.</w:t>
      </w:r>
      <w:r w:rsidR="008C367D">
        <w:t xml:space="preserve"> There are </w:t>
      </w:r>
      <w:r w:rsidR="000E695A">
        <w:t xml:space="preserve">predictions of </w:t>
      </w:r>
      <w:r w:rsidR="008C367D">
        <w:t xml:space="preserve">a population of </w:t>
      </w:r>
      <w:r w:rsidR="000E695A">
        <w:t>500</w:t>
      </w:r>
      <w:r w:rsidR="008C367D">
        <w:t>,000</w:t>
      </w:r>
      <w:r w:rsidR="000E695A">
        <w:t xml:space="preserve"> by 2030</w:t>
      </w:r>
      <w:r w:rsidR="008C367D">
        <w:t>, assuming</w:t>
      </w:r>
      <w:r w:rsidR="000E695A">
        <w:t xml:space="preserve"> the addition of 7000 people per year</w:t>
      </w:r>
      <w:r w:rsidR="008C367D">
        <w:t xml:space="preserve"> is sustained</w:t>
      </w:r>
      <w:r w:rsidR="000E695A">
        <w:t>.</w:t>
      </w:r>
      <w:r w:rsidR="008C367D">
        <w:t xml:space="preserve"> </w:t>
      </w:r>
      <w:r w:rsidR="003F2F33">
        <w:t>T</w:t>
      </w:r>
      <w:r w:rsidR="008C367D">
        <w:t xml:space="preserve">he ACT </w:t>
      </w:r>
      <w:r w:rsidR="007F0245">
        <w:t>Government</w:t>
      </w:r>
      <w:r w:rsidR="008C367D">
        <w:t xml:space="preserve"> has </w:t>
      </w:r>
      <w:r w:rsidR="003F2F33">
        <w:t xml:space="preserve">already </w:t>
      </w:r>
      <w:r w:rsidR="002758EF">
        <w:t>initiated</w:t>
      </w:r>
      <w:r w:rsidR="008C367D">
        <w:t xml:space="preserve"> </w:t>
      </w:r>
      <w:r w:rsidR="000E695A" w:rsidRPr="00821FC7">
        <w:t>Towards #CBR500k</w:t>
      </w:r>
      <w:r w:rsidR="008C367D">
        <w:t>.</w:t>
      </w:r>
      <w:r w:rsidR="00DF2384">
        <w:rPr>
          <w:rStyle w:val="FootnoteReference"/>
        </w:rPr>
        <w:footnoteReference w:id="32"/>
      </w:r>
    </w:p>
    <w:p w14:paraId="71C06E2C" w14:textId="5A04015F" w:rsidR="00CC26DE" w:rsidRDefault="008C6052" w:rsidP="00DB1BA7">
      <w:pPr>
        <w:spacing w:after="120" w:line="276" w:lineRule="auto"/>
        <w:jc w:val="both"/>
      </w:pPr>
      <w:r>
        <w:t>The d</w:t>
      </w:r>
      <w:r w:rsidR="000C6CDB">
        <w:t>evelopmental pathway</w:t>
      </w:r>
      <w:r>
        <w:t xml:space="preserve"> for the future involves </w:t>
      </w:r>
      <w:r w:rsidR="00781BB5">
        <w:t>u</w:t>
      </w:r>
      <w:r w:rsidR="00247DE9">
        <w:t>nfinished business</w:t>
      </w:r>
      <w:r w:rsidR="00781BB5">
        <w:t xml:space="preserve"> with the size of the</w:t>
      </w:r>
      <w:r w:rsidR="00247DE9">
        <w:t xml:space="preserve"> </w:t>
      </w:r>
      <w:r w:rsidR="00781BB5">
        <w:t>A</w:t>
      </w:r>
      <w:r w:rsidR="00247DE9">
        <w:t xml:space="preserve">ssembly and </w:t>
      </w:r>
      <w:r w:rsidR="00781BB5">
        <w:t>the M</w:t>
      </w:r>
      <w:r w:rsidR="00247DE9">
        <w:t xml:space="preserve">inistry, </w:t>
      </w:r>
      <w:r w:rsidR="00781BB5">
        <w:t xml:space="preserve">the </w:t>
      </w:r>
      <w:r w:rsidR="00247DE9">
        <w:t>constitutional</w:t>
      </w:r>
      <w:r w:rsidR="00781BB5">
        <w:t xml:space="preserve"> </w:t>
      </w:r>
      <w:r>
        <w:t xml:space="preserve">standing </w:t>
      </w:r>
      <w:r w:rsidR="00781BB5">
        <w:t>of the Capital Territory</w:t>
      </w:r>
      <w:r>
        <w:t>, making the most of n</w:t>
      </w:r>
      <w:r w:rsidR="00247DE9">
        <w:t>ew creative thinking</w:t>
      </w:r>
      <w:r w:rsidR="002F6EB1">
        <w:t>,</w:t>
      </w:r>
      <w:r>
        <w:t xml:space="preserve"> and b</w:t>
      </w:r>
      <w:r w:rsidR="00247DE9">
        <w:t>uilding on what has been initiated</w:t>
      </w:r>
      <w:r>
        <w:t xml:space="preserve"> to envisage more clearly the </w:t>
      </w:r>
      <w:r w:rsidR="00497643">
        <w:t xml:space="preserve">effective </w:t>
      </w:r>
      <w:r>
        <w:t>g</w:t>
      </w:r>
      <w:r w:rsidR="000E695A">
        <w:t>ov</w:t>
      </w:r>
      <w:r w:rsidR="001D0923">
        <w:t>ernance</w:t>
      </w:r>
      <w:r w:rsidR="000E695A">
        <w:t xml:space="preserve"> for the future</w:t>
      </w:r>
      <w:r>
        <w:t xml:space="preserve"> that </w:t>
      </w:r>
      <w:r w:rsidR="0088759B">
        <w:t>incorporates engagement with the Canberra community</w:t>
      </w:r>
      <w:r w:rsidR="00B31D60">
        <w:t>.</w:t>
      </w:r>
      <w:r w:rsidR="0088759B">
        <w:t xml:space="preserve"> </w:t>
      </w:r>
      <w:r w:rsidR="007A328D">
        <w:t xml:space="preserve">Three </w:t>
      </w:r>
      <w:r w:rsidR="001F2424">
        <w:t>significant</w:t>
      </w:r>
      <w:r w:rsidR="00CC26DE">
        <w:t xml:space="preserve"> issues</w:t>
      </w:r>
      <w:r w:rsidR="00162A03">
        <w:t xml:space="preserve"> in the Latimer </w:t>
      </w:r>
      <w:r w:rsidR="0075152F">
        <w:t xml:space="preserve">House </w:t>
      </w:r>
      <w:r w:rsidR="00162A03">
        <w:t>tradition</w:t>
      </w:r>
      <w:r w:rsidR="007A328D">
        <w:t xml:space="preserve"> are raised here</w:t>
      </w:r>
      <w:r w:rsidR="00713268">
        <w:t xml:space="preserve"> as matters for the medium to long term that need to be anticipated in the 2020</w:t>
      </w:r>
      <w:r w:rsidR="00BF1F20">
        <w:t>s</w:t>
      </w:r>
      <w:r w:rsidR="007A328D">
        <w:t>.</w:t>
      </w:r>
    </w:p>
    <w:p w14:paraId="2EE72C31" w14:textId="5A68D0EE" w:rsidR="00B97EFD" w:rsidRPr="00DB1BA7" w:rsidRDefault="007A328D" w:rsidP="00DB1BA7">
      <w:pPr>
        <w:spacing w:after="120" w:line="276" w:lineRule="auto"/>
        <w:jc w:val="both"/>
      </w:pPr>
      <w:r>
        <w:t xml:space="preserve">First </w:t>
      </w:r>
      <w:r w:rsidR="00B95AE8">
        <w:t>are</w:t>
      </w:r>
      <w:r>
        <w:t xml:space="preserve"> </w:t>
      </w:r>
      <w:r w:rsidR="001A6115">
        <w:t>a set of questions that encompass representation, engagement and governing capacity.</w:t>
      </w:r>
      <w:r w:rsidR="00DB1BA7">
        <w:t xml:space="preserve"> </w:t>
      </w:r>
      <w:r w:rsidR="001A6115">
        <w:t>T</w:t>
      </w:r>
      <w:r>
        <w:t>he</w:t>
      </w:r>
      <w:r w:rsidR="001A6115">
        <w:t>re are the</w:t>
      </w:r>
      <w:r w:rsidR="00CC26DE">
        <w:t xml:space="preserve"> </w:t>
      </w:r>
      <w:r w:rsidR="00A971CD">
        <w:t>burgeoning</w:t>
      </w:r>
      <w:r w:rsidR="00CC26DE">
        <w:t xml:space="preserve"> engagement</w:t>
      </w:r>
      <w:r w:rsidR="00CA0B10">
        <w:t xml:space="preserve"> endeavours</w:t>
      </w:r>
      <w:r w:rsidR="00CC26DE">
        <w:t xml:space="preserve">, and what </w:t>
      </w:r>
      <w:r w:rsidR="00CA0B10">
        <w:t>they</w:t>
      </w:r>
      <w:r w:rsidR="00CC26DE">
        <w:t xml:space="preserve"> </w:t>
      </w:r>
      <w:r w:rsidR="00965B80">
        <w:t>mean for the branches of government</w:t>
      </w:r>
      <w:r w:rsidR="006E6EC6">
        <w:t xml:space="preserve">. </w:t>
      </w:r>
      <w:r w:rsidR="006E6EC6">
        <w:rPr>
          <w:lang w:val="en-US"/>
        </w:rPr>
        <w:t>The</w:t>
      </w:r>
      <w:r w:rsidR="009D41AC" w:rsidRPr="00994406">
        <w:rPr>
          <w:lang w:val="en-US"/>
        </w:rPr>
        <w:t xml:space="preserve"> </w:t>
      </w:r>
      <w:r w:rsidR="006E6EC6">
        <w:rPr>
          <w:lang w:val="en-US"/>
        </w:rPr>
        <w:t xml:space="preserve">ACT’s conundrum is how to match </w:t>
      </w:r>
      <w:r w:rsidR="009D41AC" w:rsidRPr="00994406">
        <w:rPr>
          <w:lang w:val="en-US"/>
        </w:rPr>
        <w:t xml:space="preserve">scale and resourcing </w:t>
      </w:r>
      <w:r w:rsidR="009D41AC" w:rsidRPr="00994406">
        <w:rPr>
          <w:lang w:val="en-US"/>
        </w:rPr>
        <w:lastRenderedPageBreak/>
        <w:t xml:space="preserve">relative to </w:t>
      </w:r>
      <w:r w:rsidR="006E6EC6">
        <w:rPr>
          <w:lang w:val="en-US"/>
        </w:rPr>
        <w:t>r</w:t>
      </w:r>
      <w:r w:rsidR="009D41AC" w:rsidRPr="00994406">
        <w:rPr>
          <w:lang w:val="en-US"/>
        </w:rPr>
        <w:t>esponsibilities as a state and municipal entity</w:t>
      </w:r>
      <w:r w:rsidR="00B17FD8">
        <w:rPr>
          <w:lang w:val="en-US"/>
        </w:rPr>
        <w:t xml:space="preserve">. </w:t>
      </w:r>
      <w:r w:rsidR="00EF030C">
        <w:rPr>
          <w:lang w:val="en-US"/>
        </w:rPr>
        <w:t xml:space="preserve">It was observed in discussions for this report that the Assembly is </w:t>
      </w:r>
      <w:r w:rsidR="008156DA">
        <w:rPr>
          <w:lang w:val="en-US"/>
        </w:rPr>
        <w:t xml:space="preserve">still </w:t>
      </w:r>
      <w:r w:rsidR="00EF030C">
        <w:rPr>
          <w:lang w:val="en-US"/>
        </w:rPr>
        <w:t xml:space="preserve">too small for the range of local and state functions. </w:t>
      </w:r>
      <w:r w:rsidR="00B17FD8">
        <w:rPr>
          <w:lang w:val="en-US" w:eastAsia="ja-JP"/>
        </w:rPr>
        <w:t>The pressures on MLAs and Ministers have continued</w:t>
      </w:r>
      <w:r w:rsidR="00CE6E2A">
        <w:rPr>
          <w:lang w:val="en-US" w:eastAsia="ja-JP"/>
        </w:rPr>
        <w:t xml:space="preserve"> because of the</w:t>
      </w:r>
      <w:r w:rsidR="00B17FD8">
        <w:rPr>
          <w:lang w:val="en-US" w:eastAsia="ja-JP"/>
        </w:rPr>
        <w:t xml:space="preserve"> complex range of responsibilities of the city-state, and the absence of an upper house and a lower tier of government</w:t>
      </w:r>
      <w:r w:rsidR="009B498A">
        <w:rPr>
          <w:lang w:val="en-US" w:eastAsia="ja-JP"/>
        </w:rPr>
        <w:t xml:space="preserve"> matter</w:t>
      </w:r>
      <w:r w:rsidR="00FF54DA">
        <w:rPr>
          <w:lang w:val="en-US" w:eastAsia="ja-JP"/>
        </w:rPr>
        <w:t>s</w:t>
      </w:r>
      <w:r w:rsidR="00B17FD8">
        <w:rPr>
          <w:lang w:val="en-US" w:eastAsia="ja-JP"/>
        </w:rPr>
        <w:t>.</w:t>
      </w:r>
    </w:p>
    <w:p w14:paraId="0D22B119" w14:textId="06F0D24B" w:rsidR="0066640D" w:rsidRPr="007A328D" w:rsidRDefault="0066640D" w:rsidP="00DB1BA7">
      <w:pPr>
        <w:spacing w:after="120" w:line="276" w:lineRule="auto"/>
        <w:jc w:val="both"/>
      </w:pPr>
      <w:r>
        <w:rPr>
          <w:lang w:val="en-US"/>
        </w:rPr>
        <w:t>There is also the question of whether ‘the difficulty of popular access to government’ continues to be relevant. ACT was said to be prone to under-representation (the ratio of electors to MLAs) and ‘under-presence’ at the time of the 1998 working party on ACT governance, which meant that the majority of the constituency work of Senators was essentially sub-national because they had electoral offices (</w:t>
      </w:r>
      <w:r>
        <w:t>Pettit 2000, 85).</w:t>
      </w:r>
    </w:p>
    <w:p w14:paraId="5463AC8C" w14:textId="41F54140" w:rsidR="000809E6" w:rsidRPr="000809E6" w:rsidRDefault="009324C5" w:rsidP="00DB1BA7">
      <w:pPr>
        <w:spacing w:after="120" w:line="276" w:lineRule="auto"/>
        <w:jc w:val="both"/>
      </w:pPr>
      <w:r>
        <w:rPr>
          <w:lang w:val="en-US" w:eastAsia="ja-JP"/>
        </w:rPr>
        <w:t>Despite the increase in the size of the Assembly</w:t>
      </w:r>
      <w:r>
        <w:t xml:space="preserve">, </w:t>
      </w:r>
      <w:r w:rsidR="00E46BEC" w:rsidRPr="000809E6">
        <w:t xml:space="preserve">25 </w:t>
      </w:r>
      <w:r w:rsidR="00137733">
        <w:t xml:space="preserve">Members </w:t>
      </w:r>
      <w:r w:rsidR="0075152F">
        <w:t>h</w:t>
      </w:r>
      <w:r w:rsidR="000809E6" w:rsidRPr="000809E6">
        <w:t>a</w:t>
      </w:r>
      <w:r w:rsidR="00E46BEC" w:rsidRPr="000809E6">
        <w:t xml:space="preserve">s </w:t>
      </w:r>
      <w:r w:rsidR="0075152F">
        <w:t xml:space="preserve">been </w:t>
      </w:r>
      <w:r w:rsidR="00E46BEC" w:rsidRPr="000809E6">
        <w:t xml:space="preserve">insufficient for a governing party in terms </w:t>
      </w:r>
      <w:r w:rsidR="00E835A3" w:rsidRPr="000809E6">
        <w:t xml:space="preserve">of providing a pool of backbenchers. </w:t>
      </w:r>
      <w:r w:rsidR="009B498A" w:rsidRPr="000809E6">
        <w:t>The Expert Reference Group (2013) supported an increase to 25 or 27 members for the 2016</w:t>
      </w:r>
      <w:r w:rsidR="009B498A">
        <w:t xml:space="preserve"> </w:t>
      </w:r>
      <w:r w:rsidR="009B498A" w:rsidRPr="000809E6">
        <w:t xml:space="preserve">election, and an increase to 35 members </w:t>
      </w:r>
      <w:r w:rsidR="009B498A">
        <w:t>for the</w:t>
      </w:r>
      <w:r w:rsidR="009B498A" w:rsidRPr="000809E6">
        <w:t xml:space="preserve"> 2020 or the 2024 elections.</w:t>
      </w:r>
      <w:r w:rsidR="009B498A">
        <w:t xml:space="preserve"> </w:t>
      </w:r>
      <w:r w:rsidR="00E835A3" w:rsidRPr="000809E6">
        <w:t>The Ministry needs to be larger to accommodate the range and diversity</w:t>
      </w:r>
      <w:r w:rsidR="000809E6">
        <w:t xml:space="preserve"> and complexity </w:t>
      </w:r>
      <w:r w:rsidR="00E835A3" w:rsidRPr="000809E6">
        <w:t xml:space="preserve">of </w:t>
      </w:r>
      <w:r w:rsidR="000809E6">
        <w:t xml:space="preserve">the </w:t>
      </w:r>
      <w:r w:rsidR="00E835A3" w:rsidRPr="000809E6">
        <w:t>functions</w:t>
      </w:r>
      <w:r w:rsidR="000809E6">
        <w:t xml:space="preserve"> in the city-state</w:t>
      </w:r>
      <w:r w:rsidR="00E835A3" w:rsidRPr="000809E6">
        <w:t>.</w:t>
      </w:r>
      <w:r w:rsidR="000809E6" w:rsidRPr="000809E6">
        <w:t xml:space="preserve"> </w:t>
      </w:r>
    </w:p>
    <w:p w14:paraId="25849945" w14:textId="7135B12D" w:rsidR="00E52FDE" w:rsidRPr="00A8036E" w:rsidRDefault="00900693" w:rsidP="00DB1BA7">
      <w:pPr>
        <w:spacing w:after="120" w:line="276" w:lineRule="auto"/>
        <w:jc w:val="both"/>
      </w:pPr>
      <w:r>
        <w:t>There are of course alternative</w:t>
      </w:r>
      <w:r w:rsidR="00FC040C">
        <w:t>s</w:t>
      </w:r>
      <w:r>
        <w:t xml:space="preserve">, </w:t>
      </w:r>
      <w:r w:rsidR="0075152F">
        <w:t>which can only be noted here as the</w:t>
      </w:r>
      <w:r w:rsidR="008F29D0">
        <w:t>y</w:t>
      </w:r>
      <w:r w:rsidR="0075152F">
        <w:t xml:space="preserve"> des</w:t>
      </w:r>
      <w:r w:rsidR="00BD77AF">
        <w:t>erv</w:t>
      </w:r>
      <w:r w:rsidR="0075152F">
        <w:t>e further investigation. T</w:t>
      </w:r>
      <w:r>
        <w:t xml:space="preserve">he </w:t>
      </w:r>
      <w:r w:rsidR="009701B1">
        <w:t xml:space="preserve">first is provided by the </w:t>
      </w:r>
      <w:r>
        <w:t>German city-states</w:t>
      </w:r>
      <w:r w:rsidR="009701B1">
        <w:t>, which use a</w:t>
      </w:r>
      <w:r w:rsidR="000D33F8">
        <w:t xml:space="preserve"> durable</w:t>
      </w:r>
      <w:r w:rsidR="002863A9">
        <w:t xml:space="preserve"> </w:t>
      </w:r>
      <w:r w:rsidR="005E4581">
        <w:t xml:space="preserve">model </w:t>
      </w:r>
      <w:r w:rsidR="000D33F8">
        <w:t>that entails</w:t>
      </w:r>
      <w:r w:rsidR="005E4581">
        <w:t xml:space="preserve"> sub-legislature boroughs undertaking local responsibilities but without the status </w:t>
      </w:r>
      <w:r w:rsidR="00B15AC2">
        <w:t xml:space="preserve">of </w:t>
      </w:r>
      <w:r w:rsidR="005E4581">
        <w:t>independent local governments.</w:t>
      </w:r>
      <w:r w:rsidR="00B15AC2">
        <w:t xml:space="preserve"> This allows municipal roles to </w:t>
      </w:r>
      <w:r w:rsidR="005C3023">
        <w:t>be assigned to that level, while state functions can be handled on an at</w:t>
      </w:r>
      <w:r w:rsidR="0075152F">
        <w:t>-</w:t>
      </w:r>
      <w:r w:rsidR="005C3023">
        <w:t>large basis.</w:t>
      </w:r>
      <w:r w:rsidR="00A8036E">
        <w:t xml:space="preserve"> </w:t>
      </w:r>
      <w:r w:rsidR="00A8036E">
        <w:rPr>
          <w:lang w:val="en-US" w:eastAsia="ja-JP"/>
        </w:rPr>
        <w:t xml:space="preserve">A second option is whether citizen engagement councils can be envisaged as a supplement. </w:t>
      </w:r>
      <w:r w:rsidR="00C05571">
        <w:rPr>
          <w:lang w:val="en-US" w:eastAsia="ja-JP"/>
        </w:rPr>
        <w:t>The provision of a citizens</w:t>
      </w:r>
      <w:r w:rsidR="00C0067F">
        <w:rPr>
          <w:lang w:val="en-US" w:eastAsia="ja-JP"/>
        </w:rPr>
        <w:t>’</w:t>
      </w:r>
      <w:r w:rsidR="00A64B49">
        <w:rPr>
          <w:lang w:val="en-US" w:eastAsia="ja-JP"/>
        </w:rPr>
        <w:t xml:space="preserve"> </w:t>
      </w:r>
      <w:r w:rsidR="00A72D82">
        <w:rPr>
          <w:lang w:val="en-US" w:eastAsia="ja-JP"/>
        </w:rPr>
        <w:t xml:space="preserve">council </w:t>
      </w:r>
      <w:r w:rsidR="00A64B49">
        <w:rPr>
          <w:lang w:val="en-US" w:eastAsia="ja-JP"/>
        </w:rPr>
        <w:t xml:space="preserve">that is being tested in Belgium is an intriguing option but </w:t>
      </w:r>
      <w:r w:rsidR="00A454CC">
        <w:rPr>
          <w:lang w:val="en-US" w:eastAsia="ja-JP"/>
        </w:rPr>
        <w:t xml:space="preserve">apparently </w:t>
      </w:r>
      <w:r w:rsidR="00A64B49">
        <w:rPr>
          <w:lang w:val="en-US" w:eastAsia="ja-JP"/>
        </w:rPr>
        <w:t xml:space="preserve">without precedent at the level </w:t>
      </w:r>
      <w:r w:rsidR="00046CD9">
        <w:rPr>
          <w:lang w:val="en-US" w:eastAsia="ja-JP"/>
        </w:rPr>
        <w:t xml:space="preserve">of </w:t>
      </w:r>
      <w:r w:rsidR="00643709">
        <w:rPr>
          <w:lang w:val="en-US" w:eastAsia="ja-JP"/>
        </w:rPr>
        <w:t xml:space="preserve">a jurisdiction like </w:t>
      </w:r>
      <w:r w:rsidR="00046CD9">
        <w:rPr>
          <w:lang w:val="en-US" w:eastAsia="ja-JP"/>
        </w:rPr>
        <w:t>the ACT.</w:t>
      </w:r>
      <w:r w:rsidR="00C0067F">
        <w:rPr>
          <w:lang w:val="en-US" w:eastAsia="ja-JP"/>
        </w:rPr>
        <w:t xml:space="preserve"> There are many potential variations that need further exploration as a</w:t>
      </w:r>
      <w:r w:rsidR="00024C06">
        <w:rPr>
          <w:lang w:val="en-US" w:eastAsia="ja-JP"/>
        </w:rPr>
        <w:t xml:space="preserve"> </w:t>
      </w:r>
      <w:r w:rsidR="00C0067F">
        <w:rPr>
          <w:lang w:val="en-US" w:eastAsia="ja-JP"/>
        </w:rPr>
        <w:t xml:space="preserve">means of both increasing engagement and providing </w:t>
      </w:r>
      <w:r w:rsidR="00024C06">
        <w:rPr>
          <w:lang w:val="en-US" w:eastAsia="ja-JP"/>
        </w:rPr>
        <w:t>support for overloaded institutions.</w:t>
      </w:r>
    </w:p>
    <w:p w14:paraId="5934FD3C" w14:textId="77777777" w:rsidR="00B21F0C" w:rsidRDefault="00B21F0C" w:rsidP="0025346E">
      <w:pPr>
        <w:spacing w:line="276" w:lineRule="auto"/>
        <w:jc w:val="both"/>
        <w:rPr>
          <w:lang w:val="en-US" w:eastAsia="ja-JP"/>
        </w:rPr>
      </w:pPr>
    </w:p>
    <w:p w14:paraId="042FC143" w14:textId="77777777" w:rsidR="004B4242" w:rsidRDefault="005D18AA" w:rsidP="004B4242">
      <w:pPr>
        <w:pStyle w:val="Normal18J"/>
        <w:spacing w:line="276" w:lineRule="auto"/>
        <w:rPr>
          <w:lang w:val="en-US" w:eastAsia="ja-JP"/>
        </w:rPr>
      </w:pPr>
      <w:r w:rsidRPr="00135712">
        <w:rPr>
          <w:lang w:val="en-US" w:eastAsia="ja-JP"/>
        </w:rPr>
        <w:t>Recommendation</w:t>
      </w:r>
      <w:r w:rsidR="00054DA9" w:rsidRPr="00135712">
        <w:rPr>
          <w:lang w:val="en-US" w:eastAsia="ja-JP"/>
        </w:rPr>
        <w:t xml:space="preserve"> 1</w:t>
      </w:r>
      <w:r w:rsidR="007D3975" w:rsidRPr="00135712">
        <w:rPr>
          <w:lang w:val="en-US" w:eastAsia="ja-JP"/>
        </w:rPr>
        <w:t>2</w:t>
      </w:r>
      <w:r w:rsidRPr="00135712">
        <w:rPr>
          <w:lang w:val="en-US" w:eastAsia="ja-JP"/>
        </w:rPr>
        <w:t>:</w:t>
      </w:r>
      <w:r w:rsidRPr="00032817">
        <w:rPr>
          <w:i/>
          <w:iCs/>
          <w:lang w:val="en-US" w:eastAsia="ja-JP"/>
        </w:rPr>
        <w:t xml:space="preserve"> </w:t>
      </w:r>
      <w:r w:rsidR="004B4242" w:rsidRPr="004B4242">
        <w:rPr>
          <w:i/>
          <w:iCs/>
          <w:lang w:val="en-US" w:eastAsia="ja-JP"/>
        </w:rPr>
        <w:t>A priority issue for the Executive is to address the continuing shortfall in representative capacity. The two main alternatives are either to increase the number of MLAs and Ministers (as recommended by previous reviews) which can be accomplished within the existing legislation; or to reassign functions and responsibilities within a new structure, which would involve reviewing the legislation and the appointment of an expert reference group to undertake the task.</w:t>
      </w:r>
    </w:p>
    <w:p w14:paraId="6D505188" w14:textId="77777777" w:rsidR="000A115E" w:rsidRPr="00BA08FF" w:rsidRDefault="000A115E" w:rsidP="0025346E">
      <w:pPr>
        <w:spacing w:line="276" w:lineRule="auto"/>
        <w:jc w:val="both"/>
        <w:rPr>
          <w:iCs/>
          <w:lang w:val="en-US" w:eastAsia="ja-JP"/>
        </w:rPr>
      </w:pPr>
    </w:p>
    <w:p w14:paraId="3AD87545" w14:textId="61AB3E1B" w:rsidR="00A72D82" w:rsidRPr="00032817" w:rsidRDefault="00A72D82" w:rsidP="0025346E">
      <w:pPr>
        <w:spacing w:line="276" w:lineRule="auto"/>
        <w:jc w:val="both"/>
        <w:rPr>
          <w:i/>
          <w:iCs/>
        </w:rPr>
      </w:pPr>
      <w:r w:rsidRPr="00135712">
        <w:t>Recommendation</w:t>
      </w:r>
      <w:r w:rsidR="00054DA9" w:rsidRPr="00135712">
        <w:t xml:space="preserve"> 1</w:t>
      </w:r>
      <w:r w:rsidR="007D3975" w:rsidRPr="00135712">
        <w:t>3</w:t>
      </w:r>
      <w:r w:rsidRPr="00135712">
        <w:t>:</w:t>
      </w:r>
      <w:r w:rsidRPr="00032817">
        <w:rPr>
          <w:i/>
          <w:iCs/>
        </w:rPr>
        <w:t xml:space="preserve"> </w:t>
      </w:r>
      <w:r w:rsidR="00D73E02" w:rsidRPr="00032817">
        <w:rPr>
          <w:i/>
          <w:iCs/>
        </w:rPr>
        <w:t>In view of the Executive’s interest in deliberative engagement, t</w:t>
      </w:r>
      <w:r w:rsidRPr="00032817">
        <w:rPr>
          <w:i/>
          <w:iCs/>
        </w:rPr>
        <w:t>he potential for a citizens</w:t>
      </w:r>
      <w:r w:rsidR="000D27D0" w:rsidRPr="00032817">
        <w:rPr>
          <w:i/>
          <w:iCs/>
        </w:rPr>
        <w:t>’</w:t>
      </w:r>
      <w:r w:rsidRPr="00032817">
        <w:rPr>
          <w:i/>
          <w:iCs/>
        </w:rPr>
        <w:t xml:space="preserve"> council</w:t>
      </w:r>
      <w:r w:rsidR="000670AA" w:rsidRPr="00032817">
        <w:rPr>
          <w:i/>
          <w:iCs/>
        </w:rPr>
        <w:t xml:space="preserve"> should be explored as a parallel and complementary structure to the Legislative Assembly</w:t>
      </w:r>
      <w:r w:rsidR="00B06244" w:rsidRPr="00032817">
        <w:rPr>
          <w:i/>
          <w:iCs/>
        </w:rPr>
        <w:t>. explored as a structure that complements and supplements the Legislative Assembly (variations being either electorate-based mechanisms for providing a</w:t>
      </w:r>
      <w:r w:rsidR="0011671F">
        <w:rPr>
          <w:i/>
          <w:iCs/>
        </w:rPr>
        <w:t xml:space="preserve"> </w:t>
      </w:r>
      <w:r w:rsidR="00B06244" w:rsidRPr="00032817">
        <w:rPr>
          <w:i/>
          <w:iCs/>
        </w:rPr>
        <w:t>real recognition or a local government focus)</w:t>
      </w:r>
      <w:r w:rsidR="000670AA" w:rsidRPr="00032817">
        <w:rPr>
          <w:i/>
          <w:iCs/>
        </w:rPr>
        <w:t xml:space="preserve">. </w:t>
      </w:r>
    </w:p>
    <w:p w14:paraId="02E7EA81" w14:textId="34D0F8B1" w:rsidR="000670AA" w:rsidRPr="00BC4B73" w:rsidRDefault="000670AA" w:rsidP="0025346E">
      <w:pPr>
        <w:spacing w:line="276" w:lineRule="auto"/>
        <w:jc w:val="both"/>
      </w:pPr>
    </w:p>
    <w:p w14:paraId="67E490B7" w14:textId="555688DB" w:rsidR="00B97EFD" w:rsidRPr="00245229" w:rsidRDefault="00FB74DD" w:rsidP="00DB1BA7">
      <w:pPr>
        <w:spacing w:after="120" w:line="276" w:lineRule="auto"/>
        <w:jc w:val="both"/>
      </w:pPr>
      <w:r>
        <w:lastRenderedPageBreak/>
        <w:t>Secondly, there is the i</w:t>
      </w:r>
      <w:r w:rsidR="00CC26DE">
        <w:t>ntergovernmental context</w:t>
      </w:r>
      <w:r w:rsidR="00245229">
        <w:t>:</w:t>
      </w:r>
      <w:r>
        <w:t xml:space="preserve"> </w:t>
      </w:r>
      <w:r w:rsidR="00245229">
        <w:t>t</w:t>
      </w:r>
      <w:r w:rsidR="00CC26DE">
        <w:t>he place and standing of the Australian Capital Territory</w:t>
      </w:r>
      <w:r w:rsidR="00245229">
        <w:t xml:space="preserve">. </w:t>
      </w:r>
      <w:r w:rsidR="00B97EFD" w:rsidRPr="00994406">
        <w:rPr>
          <w:lang w:val="en-US"/>
        </w:rPr>
        <w:t>The ACT remains a</w:t>
      </w:r>
      <w:r w:rsidR="00B97EFD">
        <w:rPr>
          <w:lang w:val="en-US"/>
        </w:rPr>
        <w:t>n unfulfilled</w:t>
      </w:r>
      <w:r w:rsidR="00B97EFD" w:rsidRPr="00994406">
        <w:rPr>
          <w:lang w:val="en-US"/>
        </w:rPr>
        <w:t xml:space="preserve"> system of governance </w:t>
      </w:r>
      <w:r w:rsidR="009D41AC">
        <w:rPr>
          <w:lang w:val="en-US"/>
        </w:rPr>
        <w:t xml:space="preserve">in </w:t>
      </w:r>
      <w:r w:rsidR="00B97EFD" w:rsidRPr="00994406">
        <w:rPr>
          <w:lang w:val="en-US"/>
        </w:rPr>
        <w:t xml:space="preserve">that </w:t>
      </w:r>
      <w:r w:rsidR="009D41AC">
        <w:rPr>
          <w:lang w:val="en-US"/>
        </w:rPr>
        <w:t xml:space="preserve">it </w:t>
      </w:r>
      <w:r w:rsidR="00245229">
        <w:rPr>
          <w:lang w:val="en-US"/>
        </w:rPr>
        <w:t xml:space="preserve">continues to operate under </w:t>
      </w:r>
      <w:r w:rsidR="0012474B">
        <w:rPr>
          <w:lang w:val="en-US"/>
        </w:rPr>
        <w:t>rule</w:t>
      </w:r>
      <w:r w:rsidR="00245229">
        <w:rPr>
          <w:lang w:val="en-US"/>
        </w:rPr>
        <w:t>s</w:t>
      </w:r>
      <w:r w:rsidR="00B97EFD" w:rsidRPr="00994406">
        <w:rPr>
          <w:lang w:val="en-US"/>
        </w:rPr>
        <w:t xml:space="preserve"> </w:t>
      </w:r>
      <w:r w:rsidR="00245229">
        <w:rPr>
          <w:lang w:val="en-US"/>
        </w:rPr>
        <w:t xml:space="preserve">set </w:t>
      </w:r>
      <w:r w:rsidR="00B97EFD" w:rsidRPr="00994406">
        <w:rPr>
          <w:lang w:val="en-US"/>
        </w:rPr>
        <w:t xml:space="preserve">by another level of government </w:t>
      </w:r>
      <w:r w:rsidR="0009048D">
        <w:rPr>
          <w:lang w:val="en-US"/>
        </w:rPr>
        <w:t>with</w:t>
      </w:r>
      <w:r w:rsidR="00B97EFD" w:rsidRPr="00994406">
        <w:rPr>
          <w:lang w:val="en-US"/>
        </w:rPr>
        <w:t xml:space="preserve"> lack of agreement on s</w:t>
      </w:r>
      <w:r w:rsidR="002E30AC">
        <w:rPr>
          <w:lang w:val="en-US"/>
        </w:rPr>
        <w:t>ome</w:t>
      </w:r>
      <w:r w:rsidR="00B97EFD" w:rsidRPr="00994406">
        <w:rPr>
          <w:lang w:val="en-US"/>
        </w:rPr>
        <w:t xml:space="preserve"> </w:t>
      </w:r>
      <w:r w:rsidR="009D41AC">
        <w:rPr>
          <w:lang w:val="en-US"/>
        </w:rPr>
        <w:t>questions</w:t>
      </w:r>
      <w:r w:rsidR="00B97EFD" w:rsidRPr="00994406">
        <w:rPr>
          <w:lang w:val="en-US"/>
        </w:rPr>
        <w:t xml:space="preserve">. The single most significant constraint on good governance in the ACT, </w:t>
      </w:r>
      <w:r w:rsidR="009D41AC">
        <w:rPr>
          <w:lang w:val="en-US"/>
        </w:rPr>
        <w:t xml:space="preserve">apart from those mentioned previously </w:t>
      </w:r>
      <w:r w:rsidR="00B97EFD" w:rsidRPr="00994406">
        <w:rPr>
          <w:lang w:val="en-US"/>
        </w:rPr>
        <w:t xml:space="preserve">has been the </w:t>
      </w:r>
      <w:r w:rsidR="00B97EFD" w:rsidRPr="00994406">
        <w:rPr>
          <w:iCs/>
          <w:lang w:val="en-US"/>
        </w:rPr>
        <w:t xml:space="preserve">Australian Capital Territory (Self-Government) Act 1988, which </w:t>
      </w:r>
      <w:r w:rsidR="00B97EFD">
        <w:rPr>
          <w:lang w:val="en-US"/>
        </w:rPr>
        <w:t>continue</w:t>
      </w:r>
      <w:r w:rsidR="0012474B">
        <w:rPr>
          <w:lang w:val="en-US"/>
        </w:rPr>
        <w:t>s</w:t>
      </w:r>
      <w:r w:rsidR="00B97EFD">
        <w:rPr>
          <w:lang w:val="en-US"/>
        </w:rPr>
        <w:t xml:space="preserve"> to </w:t>
      </w:r>
      <w:r w:rsidR="00B97EFD" w:rsidRPr="00994406">
        <w:rPr>
          <w:lang w:val="en-US"/>
        </w:rPr>
        <w:t xml:space="preserve">impose </w:t>
      </w:r>
      <w:r w:rsidR="00245229">
        <w:rPr>
          <w:lang w:val="en-US"/>
        </w:rPr>
        <w:t>limit</w:t>
      </w:r>
      <w:r w:rsidR="00B97EFD" w:rsidRPr="00994406">
        <w:rPr>
          <w:lang w:val="en-US"/>
        </w:rPr>
        <w:t xml:space="preserve">s on </w:t>
      </w:r>
      <w:r w:rsidR="009D41AC">
        <w:rPr>
          <w:lang w:val="en-US"/>
        </w:rPr>
        <w:t>its</w:t>
      </w:r>
      <w:r w:rsidR="00B97EFD" w:rsidRPr="00994406">
        <w:rPr>
          <w:lang w:val="en-US"/>
        </w:rPr>
        <w:t xml:space="preserve"> autonomy and power. </w:t>
      </w:r>
      <w:r w:rsidR="00677ED4">
        <w:rPr>
          <w:lang w:val="en-US"/>
        </w:rPr>
        <w:t>A recent jurisdictional issue arose because the</w:t>
      </w:r>
      <w:r w:rsidR="00AE4034">
        <w:rPr>
          <w:lang w:val="en-US"/>
        </w:rPr>
        <w:t xml:space="preserve"> </w:t>
      </w:r>
      <w:r w:rsidR="00AE4034" w:rsidRPr="000C5E8F">
        <w:t>Integrity Commission</w:t>
      </w:r>
      <w:r w:rsidR="00AE4034">
        <w:t xml:space="preserve"> does not cover ACT Policing,</w:t>
      </w:r>
      <w:r w:rsidR="00AE4034" w:rsidRPr="000C5E8F">
        <w:t xml:space="preserve"> </w:t>
      </w:r>
      <w:r w:rsidR="00677ED4">
        <w:t xml:space="preserve">but </w:t>
      </w:r>
      <w:r w:rsidR="00AE4034">
        <w:t>t</w:t>
      </w:r>
      <w:r w:rsidR="00AE4034" w:rsidRPr="000C5E8F">
        <w:t xml:space="preserve">he Commonwealth Government </w:t>
      </w:r>
      <w:r w:rsidR="00AE4034">
        <w:t xml:space="preserve">rejected a proposal for it </w:t>
      </w:r>
      <w:r w:rsidR="00AE4034" w:rsidRPr="000C5E8F">
        <w:t>to have jurisdiction over members of the Australian Federal Police.</w:t>
      </w:r>
    </w:p>
    <w:p w14:paraId="3C9E7BE0" w14:textId="4F708FE3" w:rsidR="009A395F" w:rsidRDefault="00B97EFD" w:rsidP="00DB1BA7">
      <w:pPr>
        <w:spacing w:after="120" w:line="276" w:lineRule="auto"/>
        <w:jc w:val="both"/>
        <w:rPr>
          <w:lang w:val="en-US"/>
        </w:rPr>
      </w:pPr>
      <w:r w:rsidRPr="00601395">
        <w:rPr>
          <w:lang w:val="en-US"/>
        </w:rPr>
        <w:t xml:space="preserve">There are at least four components to this relationship: </w:t>
      </w:r>
      <w:r w:rsidR="002A2AB5" w:rsidRPr="00601395">
        <w:rPr>
          <w:lang w:val="en-US"/>
        </w:rPr>
        <w:t xml:space="preserve">the </w:t>
      </w:r>
      <w:r w:rsidRPr="00601395">
        <w:rPr>
          <w:lang w:val="en-US"/>
        </w:rPr>
        <w:t xml:space="preserve">powers of the Commonwealth to act through legislation, the operation of a </w:t>
      </w:r>
      <w:r w:rsidR="002A2AB5" w:rsidRPr="00601395">
        <w:t>Joint Standing Committee on the National Capital and External Territories</w:t>
      </w:r>
      <w:r w:rsidRPr="00601395">
        <w:rPr>
          <w:lang w:val="en-US"/>
        </w:rPr>
        <w:t xml:space="preserve">, </w:t>
      </w:r>
      <w:r w:rsidR="0090169C" w:rsidRPr="00601395">
        <w:rPr>
          <w:lang w:val="en-US"/>
        </w:rPr>
        <w:t xml:space="preserve">the role of the </w:t>
      </w:r>
      <w:r w:rsidRPr="00601395">
        <w:rPr>
          <w:lang w:val="en-US"/>
        </w:rPr>
        <w:t>National Capital Authority</w:t>
      </w:r>
      <w:r w:rsidR="00BC3776" w:rsidRPr="00601395">
        <w:rPr>
          <w:lang w:val="en-US"/>
        </w:rPr>
        <w:t xml:space="preserve"> (NCA)</w:t>
      </w:r>
      <w:r w:rsidRPr="00601395">
        <w:rPr>
          <w:lang w:val="en-US"/>
        </w:rPr>
        <w:t xml:space="preserve">, and the lack of an </w:t>
      </w:r>
      <w:r w:rsidR="00C602B6" w:rsidRPr="00601395">
        <w:rPr>
          <w:lang w:val="en-US"/>
        </w:rPr>
        <w:t>A</w:t>
      </w:r>
      <w:r w:rsidRPr="00601395">
        <w:rPr>
          <w:lang w:val="en-US"/>
        </w:rPr>
        <w:t>dministrator.</w:t>
      </w:r>
      <w:r w:rsidR="00F84C38" w:rsidRPr="00601395">
        <w:rPr>
          <w:lang w:val="en-US"/>
        </w:rPr>
        <w:t xml:space="preserve"> </w:t>
      </w:r>
      <w:r w:rsidR="004C5C48" w:rsidRPr="00601395">
        <w:rPr>
          <w:color w:val="222222"/>
        </w:rPr>
        <w:t>T</w:t>
      </w:r>
      <w:r w:rsidR="00F40173" w:rsidRPr="00601395">
        <w:rPr>
          <w:color w:val="222222"/>
        </w:rPr>
        <w:t xml:space="preserve">he </w:t>
      </w:r>
      <w:r w:rsidR="00B80E85" w:rsidRPr="00601395">
        <w:rPr>
          <w:color w:val="222222"/>
        </w:rPr>
        <w:t>most contentious</w:t>
      </w:r>
      <w:r w:rsidR="00E809F9" w:rsidRPr="00601395">
        <w:rPr>
          <w:color w:val="222222"/>
        </w:rPr>
        <w:t xml:space="preserve"> question</w:t>
      </w:r>
      <w:r w:rsidR="00B80E85" w:rsidRPr="00601395">
        <w:rPr>
          <w:color w:val="222222"/>
        </w:rPr>
        <w:t xml:space="preserve"> </w:t>
      </w:r>
      <w:r w:rsidR="00E809F9" w:rsidRPr="00601395">
        <w:rPr>
          <w:color w:val="222222"/>
        </w:rPr>
        <w:t>w</w:t>
      </w:r>
      <w:r w:rsidR="00B80E85" w:rsidRPr="00601395">
        <w:rPr>
          <w:color w:val="222222"/>
        </w:rPr>
        <w:t xml:space="preserve">as </w:t>
      </w:r>
      <w:r w:rsidR="00E809F9" w:rsidRPr="00601395">
        <w:rPr>
          <w:color w:val="222222"/>
        </w:rPr>
        <w:t>part</w:t>
      </w:r>
      <w:r w:rsidR="0009048D">
        <w:rPr>
          <w:color w:val="222222"/>
        </w:rPr>
        <w:t>l</w:t>
      </w:r>
      <w:r w:rsidR="00E809F9" w:rsidRPr="00601395">
        <w:rPr>
          <w:color w:val="222222"/>
        </w:rPr>
        <w:t>y addressed</w:t>
      </w:r>
      <w:r w:rsidR="009A395F" w:rsidRPr="00601395">
        <w:rPr>
          <w:color w:val="222222"/>
        </w:rPr>
        <w:t xml:space="preserve"> by </w:t>
      </w:r>
      <w:r w:rsidR="00972BDC" w:rsidRPr="00601395">
        <w:rPr>
          <w:color w:val="222222"/>
        </w:rPr>
        <w:t xml:space="preserve">a </w:t>
      </w:r>
      <w:r w:rsidR="009A395F" w:rsidRPr="00601395">
        <w:rPr>
          <w:iCs/>
          <w:lang w:val="en-US"/>
        </w:rPr>
        <w:t xml:space="preserve">2011 </w:t>
      </w:r>
      <w:r w:rsidR="009A395F" w:rsidRPr="00601395">
        <w:rPr>
          <w:lang w:val="en-US"/>
        </w:rPr>
        <w:t>amend</w:t>
      </w:r>
      <w:r w:rsidR="00972BDC" w:rsidRPr="00601395">
        <w:rPr>
          <w:lang w:val="en-US"/>
        </w:rPr>
        <w:t>ment to</w:t>
      </w:r>
      <w:r w:rsidR="009A395F" w:rsidRPr="00601395">
        <w:rPr>
          <w:lang w:val="en-US"/>
        </w:rPr>
        <w:t xml:space="preserve"> the </w:t>
      </w:r>
      <w:r w:rsidR="009A395F" w:rsidRPr="00601395">
        <w:rPr>
          <w:i/>
          <w:lang w:val="en-US"/>
        </w:rPr>
        <w:t>Australian Capital Territory (Self-Government) Act 1988</w:t>
      </w:r>
      <w:r w:rsidR="009A395F" w:rsidRPr="00601395">
        <w:rPr>
          <w:lang w:val="en-US"/>
        </w:rPr>
        <w:t xml:space="preserve"> t</w:t>
      </w:r>
      <w:r w:rsidR="00E809F9" w:rsidRPr="00601395">
        <w:rPr>
          <w:lang w:val="en-US"/>
        </w:rPr>
        <w:t>hat</w:t>
      </w:r>
      <w:r w:rsidR="009A395F" w:rsidRPr="00601395">
        <w:rPr>
          <w:lang w:val="en-US"/>
        </w:rPr>
        <w:t xml:space="preserve"> remove</w:t>
      </w:r>
      <w:r w:rsidR="00E809F9" w:rsidRPr="00601395">
        <w:rPr>
          <w:lang w:val="en-US"/>
        </w:rPr>
        <w:t>d</w:t>
      </w:r>
      <w:r w:rsidR="009A395F" w:rsidRPr="00601395">
        <w:rPr>
          <w:lang w:val="en-US"/>
        </w:rPr>
        <w:t xml:space="preserve"> the power to</w:t>
      </w:r>
      <w:r w:rsidR="00601395" w:rsidRPr="00601395">
        <w:rPr>
          <w:lang w:val="en-US"/>
        </w:rPr>
        <w:t xml:space="preserve"> </w:t>
      </w:r>
      <w:r w:rsidR="009A395F" w:rsidRPr="00601395">
        <w:rPr>
          <w:lang w:val="en-US"/>
        </w:rPr>
        <w:t>disallow or recommend amendment</w:t>
      </w:r>
      <w:r w:rsidR="00972BDC" w:rsidRPr="00601395">
        <w:rPr>
          <w:lang w:val="en-US"/>
        </w:rPr>
        <w:t>s</w:t>
      </w:r>
      <w:r w:rsidR="009A395F" w:rsidRPr="00601395">
        <w:rPr>
          <w:lang w:val="en-US"/>
        </w:rPr>
        <w:t xml:space="preserve"> to laws made by the </w:t>
      </w:r>
      <w:r w:rsidR="00E809F9" w:rsidRPr="00601395">
        <w:rPr>
          <w:lang w:val="en-US"/>
        </w:rPr>
        <w:t xml:space="preserve">ACT </w:t>
      </w:r>
      <w:r w:rsidR="009A395F" w:rsidRPr="00601395">
        <w:rPr>
          <w:lang w:val="en-US"/>
        </w:rPr>
        <w:t>Legislative Assembly</w:t>
      </w:r>
      <w:r w:rsidR="00E809F9" w:rsidRPr="00601395">
        <w:rPr>
          <w:lang w:val="en-US"/>
        </w:rPr>
        <w:t xml:space="preserve">, which </w:t>
      </w:r>
      <w:r w:rsidR="009A395F" w:rsidRPr="00601395">
        <w:rPr>
          <w:lang w:val="en-US"/>
        </w:rPr>
        <w:t>meant that a Commonwealth minister could no longer reject ACT legislation</w:t>
      </w:r>
      <w:r w:rsidR="003D4F27" w:rsidRPr="00601395">
        <w:rPr>
          <w:lang w:val="en-US"/>
        </w:rPr>
        <w:t>. However,</w:t>
      </w:r>
      <w:r w:rsidR="009A395F" w:rsidRPr="00601395">
        <w:rPr>
          <w:lang w:val="en-US"/>
        </w:rPr>
        <w:t xml:space="preserve"> th</w:t>
      </w:r>
      <w:r w:rsidR="00972BDC" w:rsidRPr="00601395">
        <w:rPr>
          <w:lang w:val="en-US"/>
        </w:rPr>
        <w:t>is does not preclude</w:t>
      </w:r>
      <w:r w:rsidR="009A395F" w:rsidRPr="00601395">
        <w:rPr>
          <w:lang w:val="en-US"/>
        </w:rPr>
        <w:t xml:space="preserve"> Commonwealth legislation that will have this effect</w:t>
      </w:r>
      <w:r w:rsidR="00601395" w:rsidRPr="00601395">
        <w:rPr>
          <w:lang w:val="en-US"/>
        </w:rPr>
        <w:t>, such as th</w:t>
      </w:r>
      <w:r w:rsidR="009A4F12">
        <w:rPr>
          <w:lang w:val="en-US"/>
        </w:rPr>
        <w:t>at for</w:t>
      </w:r>
      <w:r w:rsidR="00601395" w:rsidRPr="00601395">
        <w:rPr>
          <w:lang w:val="en-US"/>
        </w:rPr>
        <w:t xml:space="preserve"> </w:t>
      </w:r>
      <w:r w:rsidR="00601395" w:rsidRPr="00601395">
        <w:t xml:space="preserve">voluntary assisted dying </w:t>
      </w:r>
      <w:r w:rsidR="00601395">
        <w:rPr>
          <w:lang w:val="en-US"/>
        </w:rPr>
        <w:t xml:space="preserve">(and there are </w:t>
      </w:r>
      <w:r w:rsidR="002473C0">
        <w:rPr>
          <w:lang w:val="en-US"/>
        </w:rPr>
        <w:t xml:space="preserve">other </w:t>
      </w:r>
      <w:r w:rsidR="002C3EE2">
        <w:rPr>
          <w:lang w:val="en-US"/>
        </w:rPr>
        <w:t>issue</w:t>
      </w:r>
      <w:r w:rsidR="00601395">
        <w:rPr>
          <w:lang w:val="en-US"/>
        </w:rPr>
        <w:t xml:space="preserve">s where a majority of </w:t>
      </w:r>
      <w:r w:rsidR="00601395">
        <w:t>Canberrans support position</w:t>
      </w:r>
      <w:r w:rsidR="002473C0">
        <w:t>s</w:t>
      </w:r>
      <w:r w:rsidR="00601395">
        <w:t xml:space="preserve"> that may not accord with a government at the Commonwealth level</w:t>
      </w:r>
      <w:r w:rsidR="00601395">
        <w:rPr>
          <w:rStyle w:val="FootnoteReference"/>
        </w:rPr>
        <w:footnoteReference w:id="33"/>
      </w:r>
      <w:r w:rsidR="00601395">
        <w:t>)</w:t>
      </w:r>
      <w:r w:rsidR="009A4F12">
        <w:t>.</w:t>
      </w:r>
    </w:p>
    <w:p w14:paraId="1F4B3F9F" w14:textId="4B1FE98A" w:rsidR="00165116" w:rsidRPr="00522568" w:rsidRDefault="00E71E8E" w:rsidP="00DB1BA7">
      <w:pPr>
        <w:spacing w:after="120" w:line="276" w:lineRule="auto"/>
        <w:jc w:val="both"/>
      </w:pPr>
      <w:r>
        <w:rPr>
          <w:lang w:val="en-US" w:eastAsia="ja-JP"/>
        </w:rPr>
        <w:t>A</w:t>
      </w:r>
      <w:r w:rsidR="00BC3776">
        <w:rPr>
          <w:lang w:val="en-US" w:eastAsia="ja-JP"/>
        </w:rPr>
        <w:t>gendas for the 2010s</w:t>
      </w:r>
      <w:r w:rsidR="0009048D">
        <w:rPr>
          <w:lang w:val="en-US" w:eastAsia="ja-JP"/>
        </w:rPr>
        <w:t xml:space="preserve"> </w:t>
      </w:r>
      <w:r w:rsidR="00BC3776">
        <w:rPr>
          <w:lang w:val="en-US" w:eastAsia="ja-JP"/>
        </w:rPr>
        <w:t xml:space="preserve">as consciousness increases of the </w:t>
      </w:r>
      <w:r w:rsidR="00BC3776">
        <w:rPr>
          <w:color w:val="222222"/>
        </w:rPr>
        <w:t>ACT’s growing status as a capital city and city-state</w:t>
      </w:r>
      <w:r w:rsidR="00BC3776">
        <w:rPr>
          <w:lang w:val="en-US" w:eastAsia="ja-JP"/>
        </w:rPr>
        <w:t>, review and reflect on a number of questions</w:t>
      </w:r>
      <w:r w:rsidR="0009048D">
        <w:rPr>
          <w:lang w:val="en-US" w:eastAsia="ja-JP"/>
        </w:rPr>
        <w:t xml:space="preserve"> including</w:t>
      </w:r>
      <w:r w:rsidR="00BC3776">
        <w:rPr>
          <w:lang w:val="en-US" w:eastAsia="ja-JP"/>
        </w:rPr>
        <w:t xml:space="preserve"> </w:t>
      </w:r>
      <w:r w:rsidR="00863BA5" w:rsidRPr="00AF3918">
        <w:rPr>
          <w:lang w:val="en-US" w:eastAsia="ja-JP"/>
        </w:rPr>
        <w:t>the Commonwealth’s capacity to intervene in ways that exceed comparable jurisdictions</w:t>
      </w:r>
      <w:r w:rsidR="00BC3776">
        <w:rPr>
          <w:lang w:val="en-US" w:eastAsia="ja-JP"/>
        </w:rPr>
        <w:t>,</w:t>
      </w:r>
      <w:r w:rsidR="00863BA5" w:rsidRPr="00AF3918">
        <w:rPr>
          <w:lang w:val="en-US" w:eastAsia="ja-JP"/>
        </w:rPr>
        <w:t xml:space="preserve"> </w:t>
      </w:r>
      <w:r w:rsidR="00BC3776">
        <w:rPr>
          <w:lang w:val="en-US" w:eastAsia="ja-JP"/>
        </w:rPr>
        <w:t>and the boundaries between the ACT and the NCA, and more generally whether a reassessment of the relationship of the Commonwealth and the Australian Capital Territory</w:t>
      </w:r>
      <w:r w:rsidR="0009048D">
        <w:rPr>
          <w:lang w:val="en-US" w:eastAsia="ja-JP"/>
        </w:rPr>
        <w:t xml:space="preserve"> is due</w:t>
      </w:r>
      <w:r w:rsidR="00BC3776">
        <w:rPr>
          <w:lang w:val="en-US" w:eastAsia="ja-JP"/>
        </w:rPr>
        <w:t xml:space="preserve">. </w:t>
      </w:r>
      <w:r w:rsidR="00DA354F">
        <w:rPr>
          <w:lang w:val="en-US" w:eastAsia="ja-JP"/>
        </w:rPr>
        <w:t xml:space="preserve">One </w:t>
      </w:r>
      <w:r w:rsidR="00B62E88">
        <w:rPr>
          <w:lang w:val="en-US" w:eastAsia="ja-JP"/>
        </w:rPr>
        <w:t>other</w:t>
      </w:r>
      <w:r w:rsidR="00EF6343">
        <w:rPr>
          <w:lang w:val="en-US" w:eastAsia="ja-JP"/>
        </w:rPr>
        <w:t xml:space="preserve"> option is</w:t>
      </w:r>
      <w:r w:rsidR="00233C7C">
        <w:rPr>
          <w:lang w:val="en-US" w:eastAsia="ja-JP"/>
        </w:rPr>
        <w:t xml:space="preserve"> whether there is a case for the </w:t>
      </w:r>
      <w:r w:rsidR="00863BA5" w:rsidRPr="00AF3918">
        <w:rPr>
          <w:lang w:val="en-US" w:eastAsia="ja-JP"/>
        </w:rPr>
        <w:t>provision of an Administrator</w:t>
      </w:r>
      <w:r w:rsidR="00165116">
        <w:rPr>
          <w:color w:val="222222"/>
        </w:rPr>
        <w:t xml:space="preserve">. This </w:t>
      </w:r>
      <w:r w:rsidR="00263750">
        <w:rPr>
          <w:color w:val="222222"/>
        </w:rPr>
        <w:t>would presumably</w:t>
      </w:r>
      <w:r w:rsidR="00165116">
        <w:rPr>
          <w:color w:val="222222"/>
        </w:rPr>
        <w:t xml:space="preserve"> draw on the Northern Territory’s experience where the </w:t>
      </w:r>
      <w:r w:rsidR="00165116" w:rsidRPr="004C5C48">
        <w:rPr>
          <w:color w:val="222222"/>
        </w:rPr>
        <w:t>Administrator is appointed by the Governor-General</w:t>
      </w:r>
      <w:r w:rsidR="00165116">
        <w:rPr>
          <w:color w:val="222222"/>
        </w:rPr>
        <w:t>, but i</w:t>
      </w:r>
      <w:r w:rsidR="00165116" w:rsidRPr="004C5C48">
        <w:rPr>
          <w:color w:val="222222"/>
        </w:rPr>
        <w:t>n practice,</w:t>
      </w:r>
      <w:r w:rsidR="00165116">
        <w:rPr>
          <w:color w:val="222222"/>
        </w:rPr>
        <w:t xml:space="preserve"> </w:t>
      </w:r>
      <w:r w:rsidR="00165116" w:rsidRPr="004C5C48">
        <w:rPr>
          <w:color w:val="222222"/>
        </w:rPr>
        <w:t>performs a similar constitutional role to state governor</w:t>
      </w:r>
      <w:r w:rsidR="00165116">
        <w:rPr>
          <w:color w:val="222222"/>
        </w:rPr>
        <w:t xml:space="preserve">s, and has </w:t>
      </w:r>
      <w:r w:rsidR="00165116" w:rsidRPr="004C5C48">
        <w:rPr>
          <w:color w:val="1A2D68"/>
        </w:rPr>
        <w:t xml:space="preserve">other statutory powers </w:t>
      </w:r>
      <w:r w:rsidR="00165116">
        <w:rPr>
          <w:color w:val="1A2D68"/>
        </w:rPr>
        <w:t xml:space="preserve">as well as non-partisan </w:t>
      </w:r>
      <w:r w:rsidR="00165116" w:rsidRPr="004C5C48">
        <w:t>ceremonial and civic duties</w:t>
      </w:r>
      <w:r w:rsidR="00165116">
        <w:t>.</w:t>
      </w:r>
    </w:p>
    <w:p w14:paraId="4B3336FB" w14:textId="12CD32C8" w:rsidR="002B7EBF" w:rsidRDefault="00A17A03" w:rsidP="00972BDC">
      <w:pPr>
        <w:spacing w:line="276" w:lineRule="auto"/>
        <w:jc w:val="both"/>
      </w:pPr>
      <w:r>
        <w:t>Thirdly, there is a case for future</w:t>
      </w:r>
      <w:r w:rsidR="00540CB9">
        <w:t>-</w:t>
      </w:r>
      <w:r>
        <w:t xml:space="preserve">oriented work about both how the ACT system of government operates and </w:t>
      </w:r>
      <w:r w:rsidR="00A90C3D">
        <w:t xml:space="preserve">the </w:t>
      </w:r>
      <w:r>
        <w:t>means for engaging the branches of government and the community.</w:t>
      </w:r>
      <w:r w:rsidR="007A328D">
        <w:t xml:space="preserve"> There are </w:t>
      </w:r>
      <w:r w:rsidR="004B7F80">
        <w:t xml:space="preserve">a </w:t>
      </w:r>
      <w:r w:rsidR="007A328D">
        <w:t xml:space="preserve">range of options that </w:t>
      </w:r>
      <w:r w:rsidR="00B2771D">
        <w:t xml:space="preserve">could </w:t>
      </w:r>
      <w:r w:rsidR="00BB0363">
        <w:t>suggest</w:t>
      </w:r>
      <w:r w:rsidR="007A328D">
        <w:t xml:space="preserve"> scenarios for the system of government. </w:t>
      </w:r>
      <w:r w:rsidR="008D7431">
        <w:t>There are likely to be impacts o</w:t>
      </w:r>
      <w:r w:rsidR="00016B7B">
        <w:t>n</w:t>
      </w:r>
      <w:r w:rsidR="008D7431">
        <w:t xml:space="preserve"> how the Assembly function</w:t>
      </w:r>
      <w:r w:rsidR="00016B7B">
        <w:t>s</w:t>
      </w:r>
      <w:r w:rsidR="008D7431">
        <w:t xml:space="preserve"> and the structure of the public service.</w:t>
      </w:r>
      <w:r w:rsidR="00016B7B">
        <w:t xml:space="preserve"> </w:t>
      </w:r>
      <w:r w:rsidR="002B7EBF">
        <w:t>If the Assembly wishes to be part of this debate it will need to constitute a</w:t>
      </w:r>
      <w:r w:rsidR="006A7161">
        <w:t>n expert reference group</w:t>
      </w:r>
      <w:r w:rsidR="002B7EBF">
        <w:t xml:space="preserve"> </w:t>
      </w:r>
      <w:r w:rsidR="00953A16">
        <w:t xml:space="preserve">supported by </w:t>
      </w:r>
      <w:r w:rsidR="006A7161">
        <w:t xml:space="preserve">appropriate </w:t>
      </w:r>
      <w:r w:rsidR="00953A16">
        <w:t>expert</w:t>
      </w:r>
      <w:r w:rsidR="006A7161">
        <w:t>ise</w:t>
      </w:r>
      <w:r w:rsidR="00953A16">
        <w:t xml:space="preserve">, to </w:t>
      </w:r>
      <w:r w:rsidR="002B7EBF">
        <w:t>address future options for the ACT.</w:t>
      </w:r>
    </w:p>
    <w:p w14:paraId="5A2748E9" w14:textId="5B885AD6" w:rsidR="00AE69C1" w:rsidRPr="00C55C2E" w:rsidRDefault="00C55C2E" w:rsidP="00C739D7">
      <w:pPr>
        <w:spacing w:before="240" w:after="240" w:line="276" w:lineRule="auto"/>
        <w:jc w:val="both"/>
        <w:rPr>
          <w:b/>
          <w:color w:val="4472C4" w:themeColor="accent1"/>
          <w:sz w:val="28"/>
          <w:szCs w:val="28"/>
          <w:lang w:val="en-US"/>
        </w:rPr>
      </w:pPr>
      <w:r w:rsidRPr="00C55C2E">
        <w:rPr>
          <w:b/>
          <w:color w:val="4472C4" w:themeColor="accent1"/>
          <w:sz w:val="28"/>
          <w:szCs w:val="28"/>
          <w:lang w:val="en-US"/>
        </w:rPr>
        <w:t>Conclusion</w:t>
      </w:r>
    </w:p>
    <w:p w14:paraId="4F839B31" w14:textId="45C361D2" w:rsidR="007C64F5" w:rsidRDefault="00457D4E" w:rsidP="00DB1BA7">
      <w:pPr>
        <w:spacing w:after="120" w:line="276" w:lineRule="auto"/>
        <w:jc w:val="both"/>
      </w:pPr>
      <w:r>
        <w:lastRenderedPageBreak/>
        <w:t xml:space="preserve">The Australian Capital Territory’s record in implementing Latimer House Principles is </w:t>
      </w:r>
      <w:r w:rsidR="00435EF7">
        <w:t xml:space="preserve">highly </w:t>
      </w:r>
      <w:r>
        <w:t xml:space="preserve">credible and </w:t>
      </w:r>
      <w:r w:rsidR="007C64F5">
        <w:t>notable. There ha</w:t>
      </w:r>
      <w:r w:rsidR="008E76A3">
        <w:t>s</w:t>
      </w:r>
      <w:r w:rsidR="007C64F5">
        <w:t xml:space="preserve"> been sustained attention to addressing accountability, performance, institutional and relational issues.</w:t>
      </w:r>
      <w:r w:rsidR="00C46F78">
        <w:t xml:space="preserve"> It has </w:t>
      </w:r>
      <w:r w:rsidR="001A7AB0">
        <w:t xml:space="preserve">also </w:t>
      </w:r>
      <w:r w:rsidR="00C46F78">
        <w:t>demonstrated adaptability to new expectation</w:t>
      </w:r>
      <w:r w:rsidR="008E76A3">
        <w:t>s</w:t>
      </w:r>
      <w:r w:rsidR="00C46F78">
        <w:t xml:space="preserve"> for modern systems of government.</w:t>
      </w:r>
    </w:p>
    <w:p w14:paraId="4153AD8A" w14:textId="545B8508" w:rsidR="00EE1AEE" w:rsidRDefault="00EE1AEE" w:rsidP="00DB1BA7">
      <w:pPr>
        <w:spacing w:after="120" w:line="276" w:lineRule="auto"/>
        <w:jc w:val="both"/>
      </w:pPr>
      <w:r>
        <w:t>Tensions will continue to exist between the branches of government simply because they are driven by different imperatives. The Judiciary is most concerned about the integrity of its independence. The Legislature wishes to elaborate its capacity to perform in a world where Executives are dominant in many respects</w:t>
      </w:r>
      <w:r w:rsidR="003D12C0">
        <w:t xml:space="preserve">. </w:t>
      </w:r>
      <w:r>
        <w:t xml:space="preserve">The Executive has to reflect both the aspirations of </w:t>
      </w:r>
      <w:r w:rsidR="001B5F2C">
        <w:t xml:space="preserve">the </w:t>
      </w:r>
      <w:r>
        <w:t>government of the day but with regard to the institutional basis of governance</w:t>
      </w:r>
      <w:r w:rsidR="002C1A74">
        <w:t>.</w:t>
      </w:r>
    </w:p>
    <w:p w14:paraId="13D567A0" w14:textId="7BDFAC13" w:rsidR="00DE555B" w:rsidRDefault="002C1A74" w:rsidP="00351F89">
      <w:pPr>
        <w:pStyle w:val="NormalWeb"/>
        <w:spacing w:before="0" w:beforeAutospacing="0" w:after="0" w:afterAutospacing="0" w:line="276" w:lineRule="auto"/>
        <w:jc w:val="both"/>
      </w:pPr>
      <w:r w:rsidRPr="00DE555B">
        <w:t xml:space="preserve">Latimer House Principles continue to provide a </w:t>
      </w:r>
      <w:r w:rsidR="004641FD">
        <w:t>relevant</w:t>
      </w:r>
      <w:r w:rsidR="00BA2348">
        <w:t xml:space="preserve"> </w:t>
      </w:r>
      <w:r w:rsidRPr="00DE555B">
        <w:t xml:space="preserve">focus for examining the performance </w:t>
      </w:r>
      <w:r w:rsidR="00C602CC" w:rsidRPr="00DE555B">
        <w:t xml:space="preserve">and inter-relationships </w:t>
      </w:r>
      <w:r w:rsidRPr="00DE555B">
        <w:t>of the three branches of</w:t>
      </w:r>
      <w:r w:rsidR="00C602CC" w:rsidRPr="00DE555B">
        <w:t xml:space="preserve"> government</w:t>
      </w:r>
      <w:r w:rsidR="00DE555B" w:rsidRPr="00DE555B">
        <w:t xml:space="preserve"> and</w:t>
      </w:r>
      <w:r w:rsidRPr="00DE555B">
        <w:t xml:space="preserve"> </w:t>
      </w:r>
      <w:r w:rsidR="00DE555B" w:rsidRPr="00DE555B">
        <w:t>the checks and balances embodied in the ACT’s system of government.</w:t>
      </w:r>
    </w:p>
    <w:p w14:paraId="5D2E19AC" w14:textId="548E58CB" w:rsidR="00AE69C1" w:rsidRPr="00AF5358" w:rsidRDefault="00AE69C1" w:rsidP="00615C2C">
      <w:pPr>
        <w:spacing w:before="240" w:after="240" w:line="276" w:lineRule="auto"/>
        <w:rPr>
          <w:b/>
          <w:bCs/>
          <w:color w:val="4472C4" w:themeColor="accent1"/>
          <w:sz w:val="28"/>
          <w:szCs w:val="28"/>
        </w:rPr>
      </w:pPr>
      <w:r w:rsidRPr="00AF5358">
        <w:rPr>
          <w:b/>
          <w:bCs/>
          <w:color w:val="4472C4" w:themeColor="accent1"/>
          <w:sz w:val="28"/>
          <w:szCs w:val="28"/>
        </w:rPr>
        <w:t>References</w:t>
      </w:r>
    </w:p>
    <w:p w14:paraId="6AB2EA66" w14:textId="3707489E" w:rsidR="0060337A" w:rsidRPr="00A80CC5" w:rsidRDefault="0060337A" w:rsidP="004751E3">
      <w:pPr>
        <w:pStyle w:val="References"/>
      </w:pPr>
      <w:r w:rsidRPr="00A80CC5">
        <w:t xml:space="preserve">ACT Government (2013) </w:t>
      </w:r>
      <w:r w:rsidRPr="00EE24BC">
        <w:rPr>
          <w:i/>
          <w:iCs/>
        </w:rPr>
        <w:t>Review into the Size of the ACT Legislative Assembly</w:t>
      </w:r>
      <w:r w:rsidR="00EE24BC">
        <w:t>,</w:t>
      </w:r>
      <w:r w:rsidRPr="00A80CC5">
        <w:t xml:space="preserve"> Report by the Expert Reference Group, Canberra.</w:t>
      </w:r>
    </w:p>
    <w:p w14:paraId="64C1FD25" w14:textId="159AB232" w:rsidR="00953DC7" w:rsidRPr="00A80CC5" w:rsidRDefault="00C30770" w:rsidP="004751E3">
      <w:pPr>
        <w:pStyle w:val="References"/>
      </w:pPr>
      <w:r w:rsidRPr="00A80CC5">
        <w:t xml:space="preserve">ACT Government (2019) </w:t>
      </w:r>
      <w:r w:rsidRPr="00A80CC5">
        <w:rPr>
          <w:i/>
          <w:iCs/>
        </w:rPr>
        <w:t>ACT Population Projections 2018 to 2058</w:t>
      </w:r>
      <w:r w:rsidR="00953DC7" w:rsidRPr="00A80CC5">
        <w:t>, Australian Capital Territory, Canberra.</w:t>
      </w:r>
    </w:p>
    <w:p w14:paraId="3A2A1CA1" w14:textId="1EE379BD" w:rsidR="00403CCF" w:rsidRDefault="00403CCF" w:rsidP="004751E3">
      <w:pPr>
        <w:pStyle w:val="References"/>
      </w:pPr>
      <w:r>
        <w:t xml:space="preserve">ACTLA (ACT Legislative Assembly) </w:t>
      </w:r>
      <w:r w:rsidRPr="00403CCF">
        <w:t>Parliamentary Performance Report Cards</w:t>
      </w:r>
      <w:r w:rsidRPr="00C3064F">
        <w:t xml:space="preserve"> 2012-2018</w:t>
      </w:r>
      <w:r>
        <w:t>.</w:t>
      </w:r>
    </w:p>
    <w:p w14:paraId="133F979F" w14:textId="70885B79" w:rsidR="00650D71" w:rsidRPr="00A80CC5" w:rsidRDefault="00650D71" w:rsidP="004751E3">
      <w:pPr>
        <w:pStyle w:val="References"/>
      </w:pPr>
      <w:r w:rsidRPr="00A80CC5">
        <w:t xml:space="preserve">ACTPS Review (2011) </w:t>
      </w:r>
      <w:r w:rsidRPr="008A7AE8">
        <w:rPr>
          <w:i/>
          <w:iCs/>
        </w:rPr>
        <w:t>Governing the City State: One ACT Government – One ACT</w:t>
      </w:r>
      <w:r w:rsidR="0043511F" w:rsidRPr="008A7AE8">
        <w:rPr>
          <w:i/>
          <w:iCs/>
        </w:rPr>
        <w:t xml:space="preserve"> </w:t>
      </w:r>
      <w:r w:rsidRPr="008A7AE8">
        <w:rPr>
          <w:i/>
          <w:iCs/>
        </w:rPr>
        <w:t>Public Service</w:t>
      </w:r>
      <w:r w:rsidRPr="00A80CC5">
        <w:t>, Canberra.</w:t>
      </w:r>
    </w:p>
    <w:p w14:paraId="3B39666D" w14:textId="0C3628BC" w:rsidR="0057424B" w:rsidRPr="0057424B" w:rsidRDefault="0057424B" w:rsidP="004751E3">
      <w:pPr>
        <w:pStyle w:val="References"/>
      </w:pPr>
      <w:r w:rsidRPr="0057424B">
        <w:t xml:space="preserve">Alexander, E. and D. Thodey (2018), </w:t>
      </w:r>
      <w:r w:rsidRPr="00EE24BC">
        <w:rPr>
          <w:i/>
          <w:iCs/>
        </w:rPr>
        <w:t>Independent Review into the operation of the Public Governance, Performance and Accountability Act 2013 and Rule</w:t>
      </w:r>
      <w:r w:rsidRPr="0057424B">
        <w:t>, Commonwealth of Australia, Canberra.</w:t>
      </w:r>
    </w:p>
    <w:p w14:paraId="11E07CE8" w14:textId="1D78F887" w:rsidR="004751E3" w:rsidRPr="004751E3" w:rsidRDefault="004751E3" w:rsidP="004751E3">
      <w:pPr>
        <w:pStyle w:val="References"/>
      </w:pPr>
      <w:r w:rsidRPr="004751E3">
        <w:t xml:space="preserve">ANAO/Australian National Audit Office (2019) </w:t>
      </w:r>
      <w:r w:rsidRPr="004751E3">
        <w:rPr>
          <w:i/>
          <w:iCs/>
        </w:rPr>
        <w:t>Implementation of ANAO and Parliamentary Committee Recommendations</w:t>
      </w:r>
      <w:r w:rsidRPr="004751E3">
        <w:t xml:space="preserve">, Auditor-General Report No.6 2019–20, Commonwealth of Australia. </w:t>
      </w:r>
    </w:p>
    <w:p w14:paraId="130D347F" w14:textId="3AC0CF61" w:rsidR="00A66104" w:rsidRPr="00A80CC5" w:rsidRDefault="00A66104" w:rsidP="004751E3">
      <w:pPr>
        <w:pStyle w:val="References"/>
      </w:pPr>
      <w:r w:rsidRPr="00A80CC5">
        <w:t xml:space="preserve">Appropriations Review Committee (2015) </w:t>
      </w:r>
      <w:r w:rsidRPr="00EE24BC">
        <w:rPr>
          <w:i/>
          <w:iCs/>
        </w:rPr>
        <w:t>Report of the Sixth Triennial Appropriations Review Committee</w:t>
      </w:r>
      <w:r w:rsidRPr="00A80CC5">
        <w:t xml:space="preserve"> (ARC), Wellington.</w:t>
      </w:r>
    </w:p>
    <w:p w14:paraId="241DD667" w14:textId="5D81C30E" w:rsidR="00301F22" w:rsidRPr="00A80CC5" w:rsidRDefault="00301F22" w:rsidP="004751E3">
      <w:pPr>
        <w:pStyle w:val="References"/>
      </w:pPr>
      <w:r w:rsidRPr="00A80CC5">
        <w:t xml:space="preserve">Appropriations Review Committee (2018) </w:t>
      </w:r>
      <w:r w:rsidRPr="00A80CC5">
        <w:rPr>
          <w:i/>
          <w:iCs/>
        </w:rPr>
        <w:t>Towards a World-leading Democracy</w:t>
      </w:r>
      <w:r w:rsidR="00847CBE" w:rsidRPr="00A80CC5">
        <w:t xml:space="preserve">, </w:t>
      </w:r>
      <w:r w:rsidRPr="00A80CC5">
        <w:t xml:space="preserve">Report of the Seventh Triennial Appropriations Review Committee, </w:t>
      </w:r>
      <w:r w:rsidR="00847CBE" w:rsidRPr="00A80CC5">
        <w:t>House of Representative</w:t>
      </w:r>
      <w:r w:rsidR="00FC0816">
        <w:t>s</w:t>
      </w:r>
      <w:r w:rsidR="00847CBE" w:rsidRPr="00A80CC5">
        <w:t xml:space="preserve">, Wellington, </w:t>
      </w:r>
      <w:r w:rsidRPr="00A80CC5">
        <w:t xml:space="preserve">17 August. </w:t>
      </w:r>
    </w:p>
    <w:p w14:paraId="7F1652A8" w14:textId="6CB28EDE" w:rsidR="006D3FA8" w:rsidRPr="00A80CC5" w:rsidRDefault="006D3FA8" w:rsidP="004751E3">
      <w:pPr>
        <w:pStyle w:val="References"/>
      </w:pPr>
      <w:r w:rsidRPr="00A80CC5">
        <w:t xml:space="preserve">Boston, J., D. Bagnall and A. Barry (2019) </w:t>
      </w:r>
      <w:r w:rsidRPr="00EE24BC">
        <w:rPr>
          <w:i/>
          <w:iCs/>
        </w:rPr>
        <w:t>Foresight, insight and oversight: Enhancing long-term government through better parliamentary scrutiny</w:t>
      </w:r>
      <w:r w:rsidRPr="00A80CC5">
        <w:t xml:space="preserve">, Institute for Governance and Policy Studies, </w:t>
      </w:r>
      <w:r w:rsidR="005D10E0" w:rsidRPr="00A80CC5">
        <w:t>Wellington.</w:t>
      </w:r>
    </w:p>
    <w:p w14:paraId="26762EBB" w14:textId="0684916F" w:rsidR="00C40FDD" w:rsidRPr="00A80CC5" w:rsidRDefault="00C40FDD" w:rsidP="004751E3">
      <w:pPr>
        <w:pStyle w:val="References"/>
        <w:rPr>
          <w:shd w:val="clear" w:color="auto" w:fill="FFFFFF"/>
        </w:rPr>
      </w:pPr>
      <w:r w:rsidRPr="00A80CC5">
        <w:rPr>
          <w:shd w:val="clear" w:color="auto" w:fill="FFFFFF"/>
        </w:rPr>
        <w:t xml:space="preserve">Burch, J. (2018) </w:t>
      </w:r>
      <w:r w:rsidRPr="00A80CC5">
        <w:t xml:space="preserve">You can’t be what you can’t see—Women in the Legislative Assembly for the Australian Capital Territory, </w:t>
      </w:r>
      <w:r w:rsidR="00C858C4" w:rsidRPr="00A80CC5">
        <w:t xml:space="preserve">paper presented to the </w:t>
      </w:r>
      <w:r w:rsidRPr="00A80CC5">
        <w:rPr>
          <w:shd w:val="clear" w:color="auto" w:fill="FFFFFF"/>
        </w:rPr>
        <w:t>49th Presiding Officers and Clerks Conference</w:t>
      </w:r>
      <w:r w:rsidRPr="00A80CC5">
        <w:t xml:space="preserve">, </w:t>
      </w:r>
      <w:r w:rsidRPr="00A80CC5">
        <w:rPr>
          <w:shd w:val="clear" w:color="auto" w:fill="FFFFFF"/>
        </w:rPr>
        <w:t>Wellington, New Zealand</w:t>
      </w:r>
      <w:r w:rsidR="00C858C4" w:rsidRPr="00A80CC5">
        <w:rPr>
          <w:shd w:val="clear" w:color="auto" w:fill="FFFFFF"/>
        </w:rPr>
        <w:t>.</w:t>
      </w:r>
    </w:p>
    <w:p w14:paraId="26CC0400" w14:textId="1E7DF7FE" w:rsidR="008034FE" w:rsidRPr="00A80CC5" w:rsidRDefault="008034FE" w:rsidP="004751E3">
      <w:pPr>
        <w:pStyle w:val="References"/>
      </w:pPr>
      <w:r w:rsidRPr="00A80CC5">
        <w:rPr>
          <w:shd w:val="clear" w:color="auto" w:fill="FFFFFF"/>
        </w:rPr>
        <w:t>Burch,</w:t>
      </w:r>
      <w:r w:rsidR="00AF5358" w:rsidRPr="00A80CC5">
        <w:rPr>
          <w:shd w:val="clear" w:color="auto" w:fill="FFFFFF"/>
        </w:rPr>
        <w:t xml:space="preserve"> </w:t>
      </w:r>
      <w:r w:rsidRPr="00A80CC5">
        <w:rPr>
          <w:shd w:val="clear" w:color="auto" w:fill="FFFFFF"/>
        </w:rPr>
        <w:t>J. (2019) Keeping the Legislature Modern</w:t>
      </w:r>
      <w:r w:rsidR="00BC5C7F" w:rsidRPr="00A80CC5">
        <w:rPr>
          <w:shd w:val="clear" w:color="auto" w:fill="FFFFFF"/>
        </w:rPr>
        <w:t>/</w:t>
      </w:r>
      <w:r w:rsidRPr="00A80CC5">
        <w:rPr>
          <w:shd w:val="clear" w:color="auto" w:fill="FFFFFF"/>
        </w:rPr>
        <w:t>The Addition of the Integrity Commissioner as an Office</w:t>
      </w:r>
      <w:r w:rsidR="007B36A9">
        <w:rPr>
          <w:shd w:val="clear" w:color="auto" w:fill="FFFFFF"/>
        </w:rPr>
        <w:t>r</w:t>
      </w:r>
      <w:r w:rsidRPr="00A80CC5">
        <w:rPr>
          <w:shd w:val="clear" w:color="auto" w:fill="FFFFFF"/>
        </w:rPr>
        <w:t xml:space="preserve"> of the Assembly, </w:t>
      </w:r>
      <w:r w:rsidR="00BC5C7F" w:rsidRPr="00A80CC5">
        <w:t>paper presented to 50</w:t>
      </w:r>
      <w:r w:rsidR="00BC5C7F" w:rsidRPr="00A80CC5">
        <w:rPr>
          <w:vertAlign w:val="superscript"/>
        </w:rPr>
        <w:t>th</w:t>
      </w:r>
      <w:r w:rsidR="00BC5C7F" w:rsidRPr="00A80CC5">
        <w:t xml:space="preserve"> Presiding Officers and Clerks Conference, Brisbane, 8-11 July.</w:t>
      </w:r>
    </w:p>
    <w:p w14:paraId="225AB547" w14:textId="77777777" w:rsidR="007B209B" w:rsidRPr="00A80CC5" w:rsidRDefault="007B209B" w:rsidP="004751E3">
      <w:pPr>
        <w:pStyle w:val="References"/>
      </w:pPr>
      <w:r w:rsidRPr="00A80CC5">
        <w:t xml:space="preserve">Chief Minister, Treasury and Economic Development Directorate (2019) </w:t>
      </w:r>
      <w:r w:rsidRPr="00A80CC5">
        <w:rPr>
          <w:i/>
          <w:iCs/>
        </w:rPr>
        <w:t>Strengthening Performance and Accountability: A Framework for the ACT Government</w:t>
      </w:r>
      <w:r w:rsidRPr="00A80CC5">
        <w:t>, ACT Government, Canberra.</w:t>
      </w:r>
    </w:p>
    <w:p w14:paraId="29198897" w14:textId="1590E909" w:rsidR="007738B1" w:rsidRPr="00A80CC5" w:rsidRDefault="007738B1" w:rsidP="004751E3">
      <w:pPr>
        <w:pStyle w:val="References"/>
      </w:pPr>
      <w:r w:rsidRPr="00A80CC5">
        <w:t xml:space="preserve">Chief Minister’s Department (2010) </w:t>
      </w:r>
      <w:r w:rsidRPr="00A80CC5">
        <w:rPr>
          <w:i/>
          <w:iCs/>
        </w:rPr>
        <w:t>ACT Government: Evaluation Policy and Guidelines</w:t>
      </w:r>
      <w:r w:rsidRPr="00A80CC5">
        <w:t>, Australian Capital Territory, Canberra.</w:t>
      </w:r>
    </w:p>
    <w:p w14:paraId="1DD5231F" w14:textId="14B11356" w:rsidR="00731402" w:rsidRPr="00A80CC5" w:rsidRDefault="00F91432" w:rsidP="004751E3">
      <w:pPr>
        <w:pStyle w:val="References"/>
      </w:pPr>
      <w:r w:rsidRPr="00A80CC5">
        <w:t xml:space="preserve">Commonwealth Parliamentary Association (2018) </w:t>
      </w:r>
      <w:r w:rsidR="0086745F" w:rsidRPr="00010E7C">
        <w:rPr>
          <w:i/>
          <w:iCs/>
        </w:rPr>
        <w:t>Recommended Benchmarks for Democratic Legislatures</w:t>
      </w:r>
      <w:r w:rsidR="0086745F" w:rsidRPr="00A80CC5">
        <w:t xml:space="preserve">, </w:t>
      </w:r>
      <w:r w:rsidR="00731402" w:rsidRPr="00A80CC5">
        <w:t>CPA, London.</w:t>
      </w:r>
    </w:p>
    <w:p w14:paraId="31E5F15D" w14:textId="683F911F" w:rsidR="00F91432" w:rsidRPr="00A80CC5" w:rsidRDefault="00731402" w:rsidP="004751E3">
      <w:pPr>
        <w:pStyle w:val="References"/>
      </w:pPr>
      <w:r w:rsidRPr="00A80CC5">
        <w:tab/>
      </w:r>
      <w:r w:rsidR="0086745F" w:rsidRPr="00A80CC5">
        <w:t>http://www.cpahq.org/cpahq/Main/Programmes/Benchmarks_for_democratic_Legislatures.aspx</w:t>
      </w:r>
    </w:p>
    <w:p w14:paraId="7B17BCB7" w14:textId="6C17DC59" w:rsidR="00BD56A9" w:rsidRPr="00A80CC5" w:rsidRDefault="00BD56A9" w:rsidP="004751E3">
      <w:pPr>
        <w:pStyle w:val="References"/>
      </w:pPr>
      <w:r w:rsidRPr="00A80CC5">
        <w:t xml:space="preserve">Commonwealth Secretariat (2017) </w:t>
      </w:r>
      <w:r w:rsidRPr="00A80CC5">
        <w:rPr>
          <w:i/>
          <w:iCs/>
        </w:rPr>
        <w:t>The Commonwealth Latimer House Principles: Practitioner’s Handbook</w:t>
      </w:r>
      <w:r w:rsidRPr="00A80CC5">
        <w:t>, Commonwealth Secretariat, London</w:t>
      </w:r>
    </w:p>
    <w:p w14:paraId="553D2A99" w14:textId="73602219" w:rsidR="00C80DDE" w:rsidRPr="000317BC" w:rsidRDefault="00D668F7" w:rsidP="00C80DDE">
      <w:pPr>
        <w:pStyle w:val="References"/>
      </w:pPr>
      <w:r w:rsidRPr="00A80CC5">
        <w:t>Craft and Halligan (2019)</w:t>
      </w:r>
      <w:r w:rsidR="00C80DDE" w:rsidRPr="000317BC">
        <w:t xml:space="preserve"> </w:t>
      </w:r>
      <w:r w:rsidR="00C80DDE" w:rsidRPr="000317BC">
        <w:rPr>
          <w:i/>
          <w:iCs/>
        </w:rPr>
        <w:t>Policy Advice and the Westminster Tradition: Policy Advisory Systems in Australia, Britain, Canada and New Zealand</w:t>
      </w:r>
      <w:r w:rsidR="00C80DDE" w:rsidRPr="000317BC">
        <w:t>, Cambridge University Press, Cambridge</w:t>
      </w:r>
      <w:r w:rsidR="005E7EF1">
        <w:t xml:space="preserve">, </w:t>
      </w:r>
      <w:r w:rsidR="00C80DDE" w:rsidRPr="000317BC">
        <w:t>forthcoming.</w:t>
      </w:r>
    </w:p>
    <w:p w14:paraId="554E7923" w14:textId="27ED80B9" w:rsidR="00992234" w:rsidRPr="00A80CC5" w:rsidRDefault="00992234" w:rsidP="004751E3">
      <w:pPr>
        <w:pStyle w:val="References"/>
      </w:pPr>
      <w:r w:rsidRPr="00A80CC5">
        <w:lastRenderedPageBreak/>
        <w:t>Duncan, T. (201</w:t>
      </w:r>
      <w:r w:rsidR="00625962" w:rsidRPr="00A80CC5">
        <w:t>3</w:t>
      </w:r>
      <w:r w:rsidRPr="00A80CC5">
        <w:t xml:space="preserve">) </w:t>
      </w:r>
      <w:r w:rsidR="00625962" w:rsidRPr="00A80CC5">
        <w:t>Ten measures of a healthy parliament, paper presented to 44</w:t>
      </w:r>
      <w:r w:rsidR="00625962" w:rsidRPr="00A80CC5">
        <w:rPr>
          <w:vertAlign w:val="superscript"/>
        </w:rPr>
        <w:t>th</w:t>
      </w:r>
      <w:r w:rsidR="00625962" w:rsidRPr="00A80CC5">
        <w:t xml:space="preserve"> Presiding Officers and Clerks Conference, Canberra, 30 June-5 July.</w:t>
      </w:r>
    </w:p>
    <w:p w14:paraId="0E34F0B3" w14:textId="77777777" w:rsidR="00036F67" w:rsidRDefault="00992234" w:rsidP="00036F67">
      <w:pPr>
        <w:pStyle w:val="References"/>
      </w:pPr>
      <w:r w:rsidRPr="00A80CC5">
        <w:t>Duncan, T. (201</w:t>
      </w:r>
      <w:r w:rsidR="00B53600" w:rsidRPr="00A80CC5">
        <w:t>5</w:t>
      </w:r>
      <w:r w:rsidRPr="00A80CC5">
        <w:t xml:space="preserve">) </w:t>
      </w:r>
      <w:r w:rsidR="00B53600" w:rsidRPr="00A80CC5">
        <w:t>Parliament and the Numbers, paper presented to the 46</w:t>
      </w:r>
      <w:r w:rsidR="00B53600" w:rsidRPr="00A80CC5">
        <w:rPr>
          <w:vertAlign w:val="superscript"/>
        </w:rPr>
        <w:t>th</w:t>
      </w:r>
      <w:r w:rsidR="00B53600" w:rsidRPr="00A80CC5">
        <w:t xml:space="preserve"> Presiding Officers and Clerks Conference, Hobart, 5-10 July.</w:t>
      </w:r>
    </w:p>
    <w:p w14:paraId="4636DF2C" w14:textId="27C36636" w:rsidR="00036F67" w:rsidRPr="00036F67" w:rsidRDefault="00036F67" w:rsidP="00036F67">
      <w:pPr>
        <w:pStyle w:val="References"/>
      </w:pPr>
      <w:r w:rsidRPr="00036F67">
        <w:t>Duncan, T. (2016) Ethical Governance: Accountability, transparency and responsibility in parliaments, paper presented to the 35</w:t>
      </w:r>
      <w:r w:rsidRPr="00036F67">
        <w:rPr>
          <w:vertAlign w:val="superscript"/>
        </w:rPr>
        <w:t>th</w:t>
      </w:r>
      <w:r w:rsidRPr="00036F67">
        <w:t xml:space="preserve"> CPA Australia and Pacific Regional Conference, Cook Islands, 27 November-1 December.</w:t>
      </w:r>
    </w:p>
    <w:p w14:paraId="3C993F6F" w14:textId="31FCD863" w:rsidR="007C08FB" w:rsidRPr="00A80CC5" w:rsidRDefault="007C08FB" w:rsidP="004751E3">
      <w:pPr>
        <w:pStyle w:val="References"/>
      </w:pPr>
      <w:r w:rsidRPr="00A80CC5">
        <w:t>Duncan, T. (2017) Decoding the code: applying the CPA code of conduct benchmarks to the Legislative Assembly for the ACT, paper presented to the 48</w:t>
      </w:r>
      <w:r w:rsidRPr="00A80CC5">
        <w:rPr>
          <w:vertAlign w:val="superscript"/>
        </w:rPr>
        <w:t>th</w:t>
      </w:r>
      <w:r w:rsidRPr="00A80CC5">
        <w:t xml:space="preserve"> Presiding Officers and Clerks Conference, Sydney, 2-7 July.</w:t>
      </w:r>
    </w:p>
    <w:p w14:paraId="2F572EE9" w14:textId="23D4FA76" w:rsidR="00062F88" w:rsidRPr="00A80CC5" w:rsidRDefault="00062F88" w:rsidP="004751E3">
      <w:pPr>
        <w:pStyle w:val="References"/>
      </w:pPr>
      <w:r w:rsidRPr="00A80CC5">
        <w:t>Duncan, T. (2019) Making the Grade</w:t>
      </w:r>
      <w:r w:rsidR="00674D84" w:rsidRPr="00A80CC5">
        <w:t>: Legislative Assembly for the ACT–assessment against the updated CPA Benchmarks for Democratic Legislatures, paper presented to 50</w:t>
      </w:r>
      <w:r w:rsidR="00674D84" w:rsidRPr="00A80CC5">
        <w:rPr>
          <w:vertAlign w:val="superscript"/>
        </w:rPr>
        <w:t>th</w:t>
      </w:r>
      <w:r w:rsidR="00674D84" w:rsidRPr="00A80CC5">
        <w:t xml:space="preserve"> Presiding Officers and Clerks Conference, Brisbane, </w:t>
      </w:r>
      <w:r w:rsidR="00BC5C7F" w:rsidRPr="00A80CC5">
        <w:t xml:space="preserve">8-11 </w:t>
      </w:r>
      <w:r w:rsidR="00674D84" w:rsidRPr="00A80CC5">
        <w:t>July.</w:t>
      </w:r>
    </w:p>
    <w:p w14:paraId="392DC850" w14:textId="1C2B7AC9" w:rsidR="00E57A89" w:rsidRPr="00A80CC5" w:rsidRDefault="00E57A89" w:rsidP="004751E3">
      <w:pPr>
        <w:pStyle w:val="References"/>
      </w:pPr>
      <w:r w:rsidRPr="00A80CC5">
        <w:t>Dunne, V. (2015) Officers of the Legislative Assembly, paper presented to the 46</w:t>
      </w:r>
      <w:r w:rsidRPr="00A80CC5">
        <w:rPr>
          <w:vertAlign w:val="superscript"/>
        </w:rPr>
        <w:t>th</w:t>
      </w:r>
      <w:r w:rsidRPr="00A80CC5">
        <w:t xml:space="preserve"> Presiding Officers and Clerks Conference, Hobart, 5-10 July.</w:t>
      </w:r>
    </w:p>
    <w:p w14:paraId="17C1D658" w14:textId="77777777" w:rsidR="0027435A" w:rsidRPr="00A80CC5" w:rsidRDefault="0027435A" w:rsidP="004751E3">
      <w:pPr>
        <w:pStyle w:val="References"/>
      </w:pPr>
      <w:r w:rsidRPr="00A80CC5">
        <w:t xml:space="preserve">Expert Reference Group (2013) </w:t>
      </w:r>
      <w:r w:rsidRPr="00A80CC5">
        <w:rPr>
          <w:i/>
          <w:iCs/>
        </w:rPr>
        <w:t>Review into the Size of the ACT Legislative Assembly</w:t>
      </w:r>
      <w:r w:rsidRPr="00A80CC5">
        <w:t>, ACT Government, Canberra.</w:t>
      </w:r>
    </w:p>
    <w:p w14:paraId="3E02E436" w14:textId="0421E74E" w:rsidR="00AE69C1" w:rsidRPr="00A80CC5" w:rsidRDefault="00AE69C1" w:rsidP="004751E3">
      <w:pPr>
        <w:pStyle w:val="References"/>
      </w:pPr>
      <w:r w:rsidRPr="00A80CC5">
        <w:t xml:space="preserve">Halligan, J. (2011) </w:t>
      </w:r>
      <w:r w:rsidRPr="00A80CC5">
        <w:rPr>
          <w:i/>
        </w:rPr>
        <w:t>An Assessment of the Performance of the Three Branches of Government in ACT Against Latimer House Principles</w:t>
      </w:r>
      <w:r w:rsidRPr="00A80CC5">
        <w:t xml:space="preserve">, </w:t>
      </w:r>
      <w:r w:rsidR="00A05CC4">
        <w:t>R</w:t>
      </w:r>
      <w:r w:rsidRPr="00A80CC5">
        <w:t>eport to the Standing Committee on Administration and Procedure of the ACT Legislative Assembly, Canberra.</w:t>
      </w:r>
    </w:p>
    <w:p w14:paraId="60277A3D" w14:textId="3094731E" w:rsidR="00BC6307" w:rsidRPr="00585EB0" w:rsidRDefault="00BC6307" w:rsidP="004751E3">
      <w:pPr>
        <w:pStyle w:val="References"/>
      </w:pPr>
      <w:r w:rsidRPr="00585EB0">
        <w:t>Halligan, J.</w:t>
      </w:r>
      <w:r w:rsidR="009E638D">
        <w:t xml:space="preserve"> </w:t>
      </w:r>
      <w:r w:rsidRPr="00585EB0">
        <w:t xml:space="preserve">(2019) </w:t>
      </w:r>
      <w:r w:rsidRPr="00D5479D">
        <w:rPr>
          <w:i/>
          <w:iCs/>
        </w:rPr>
        <w:t>Reforming Public Management and Governance: Impact and Lessons from Anglophone Countries</w:t>
      </w:r>
      <w:r w:rsidRPr="00585EB0">
        <w:t xml:space="preserve">, Edward Elgar, </w:t>
      </w:r>
      <w:r w:rsidR="004872E3" w:rsidRPr="00585EB0">
        <w:t>Cheltenham</w:t>
      </w:r>
      <w:r w:rsidR="005E7EF1">
        <w:t xml:space="preserve">, </w:t>
      </w:r>
      <w:r w:rsidRPr="00585EB0">
        <w:t>forthcoming.</w:t>
      </w:r>
    </w:p>
    <w:p w14:paraId="3BE2D615" w14:textId="291B7E97" w:rsidR="00167B1E" w:rsidRDefault="00B82FA8" w:rsidP="004751E3">
      <w:pPr>
        <w:pStyle w:val="References"/>
      </w:pPr>
      <w:r w:rsidRPr="00FD6CCE">
        <w:t>Hargreaves, J. (2012) Reviewing the Latimer House Principles: The ACT Experience, paper presented to the 43</w:t>
      </w:r>
      <w:r w:rsidRPr="00FD6CCE">
        <w:rPr>
          <w:vertAlign w:val="superscript"/>
        </w:rPr>
        <w:t>rd</w:t>
      </w:r>
      <w:r w:rsidRPr="00FD6CCE">
        <w:t xml:space="preserve"> Presiding Officers and Clerks </w:t>
      </w:r>
      <w:r w:rsidR="00935345" w:rsidRPr="00FD6CCE">
        <w:t>C</w:t>
      </w:r>
      <w:r w:rsidRPr="00FD6CCE">
        <w:t>onference, Solomon Islands, July.</w:t>
      </w:r>
    </w:p>
    <w:p w14:paraId="78E393DA" w14:textId="01E82A64" w:rsidR="00B9578E" w:rsidRDefault="00FD6CCE" w:rsidP="004751E3">
      <w:pPr>
        <w:pStyle w:val="References"/>
        <w:rPr>
          <w:color w:val="2A2A2A"/>
          <w:shd w:val="clear" w:color="auto" w:fill="FFFFFF"/>
        </w:rPr>
      </w:pPr>
      <w:r w:rsidRPr="00FD6CCE">
        <w:t>Hendriks, C.M., S. Regan and Kay, A. (201</w:t>
      </w:r>
      <w:r w:rsidR="00167B1E">
        <w:t>9</w:t>
      </w:r>
      <w:r w:rsidRPr="00FD6CCE">
        <w:t xml:space="preserve">) Participatory Adaptation in Contemporary Parliamentary Committees in Australia, </w:t>
      </w:r>
      <w:r w:rsidRPr="00FD6CCE">
        <w:rPr>
          <w:i/>
          <w:iCs/>
        </w:rPr>
        <w:t>Parliamentary Affairs</w:t>
      </w:r>
      <w:r w:rsidRPr="00FD6CCE">
        <w:t xml:space="preserve">, </w:t>
      </w:r>
      <w:r w:rsidRPr="00FD6CCE">
        <w:rPr>
          <w:color w:val="2A2A2A"/>
          <w:shd w:val="clear" w:color="auto" w:fill="FFFFFF"/>
        </w:rPr>
        <w:t>72</w:t>
      </w:r>
      <w:r w:rsidR="00167B1E">
        <w:rPr>
          <w:color w:val="2A2A2A"/>
          <w:shd w:val="clear" w:color="auto" w:fill="FFFFFF"/>
        </w:rPr>
        <w:t>(</w:t>
      </w:r>
      <w:r w:rsidRPr="00FD6CCE">
        <w:rPr>
          <w:color w:val="2A2A2A"/>
          <w:shd w:val="clear" w:color="auto" w:fill="FFFFFF"/>
        </w:rPr>
        <w:t>2</w:t>
      </w:r>
      <w:r w:rsidR="00167B1E">
        <w:rPr>
          <w:color w:val="2A2A2A"/>
          <w:shd w:val="clear" w:color="auto" w:fill="FFFFFF"/>
        </w:rPr>
        <w:t>)</w:t>
      </w:r>
      <w:r w:rsidRPr="00FD6CCE">
        <w:rPr>
          <w:color w:val="2A2A2A"/>
          <w:shd w:val="clear" w:color="auto" w:fill="FFFFFF"/>
        </w:rPr>
        <w:t>, 267–289.</w:t>
      </w:r>
    </w:p>
    <w:p w14:paraId="252398F8" w14:textId="3A375C7A" w:rsidR="003C7322" w:rsidRPr="00B9578E" w:rsidRDefault="003716AA" w:rsidP="004751E3">
      <w:pPr>
        <w:pStyle w:val="References"/>
      </w:pPr>
      <w:r w:rsidRPr="00A80CC5">
        <w:t xml:space="preserve">McRae, M. (nd) Companion to the Standing Orders of the Legislative Assembly </w:t>
      </w:r>
      <w:r w:rsidR="006570FE" w:rsidRPr="00A80CC5">
        <w:t>f</w:t>
      </w:r>
      <w:r w:rsidRPr="00A80CC5">
        <w:t xml:space="preserve">or the Australian Capital Territory, </w:t>
      </w:r>
      <w:r w:rsidR="006570FE" w:rsidRPr="00A80CC5">
        <w:t>ACT Legislative Assembly, Canberra.</w:t>
      </w:r>
    </w:p>
    <w:p w14:paraId="27E69756" w14:textId="1FD778B4" w:rsidR="003C7322" w:rsidRPr="00A80CC5" w:rsidRDefault="003C7322" w:rsidP="004751E3">
      <w:pPr>
        <w:pStyle w:val="References"/>
      </w:pPr>
      <w:r w:rsidRPr="00A80CC5">
        <w:t>Moore, N.</w:t>
      </w:r>
      <w:r w:rsidR="00C714C9">
        <w:t xml:space="preserve"> (</w:t>
      </w:r>
      <w:r w:rsidR="00C714C9" w:rsidRPr="00A80CC5">
        <w:t>2019</w:t>
      </w:r>
      <w:r w:rsidR="00C714C9">
        <w:t xml:space="preserve">) </w:t>
      </w:r>
      <w:r w:rsidRPr="00A80CC5">
        <w:t>Engaging Citizens through Co-design and Deliberative Engagements, 2019 Fellowship Paper, ACT Legislative Assembly Library.</w:t>
      </w:r>
    </w:p>
    <w:p w14:paraId="47ADD880" w14:textId="1FCF0EDD" w:rsidR="007107CA" w:rsidRPr="00A80CC5" w:rsidRDefault="007107CA" w:rsidP="004751E3">
      <w:pPr>
        <w:pStyle w:val="References"/>
      </w:pPr>
      <w:r w:rsidRPr="00A80CC5">
        <w:t xml:space="preserve">Moran, B., King, A and Roy, E. </w:t>
      </w:r>
      <w:r w:rsidR="00B30A38">
        <w:t>(</w:t>
      </w:r>
      <w:r w:rsidR="00B30A38" w:rsidRPr="00A80CC5">
        <w:t>2018</w:t>
      </w:r>
      <w:r w:rsidR="00B30A38">
        <w:t xml:space="preserve">) </w:t>
      </w:r>
      <w:r w:rsidRPr="00D5479D">
        <w:rPr>
          <w:i/>
          <w:iCs/>
        </w:rPr>
        <w:t>Towards a World-Leading Democracy</w:t>
      </w:r>
      <w:r w:rsidRPr="00B30A38">
        <w:t>, Report of the Seventh Triennial Appropriations Review Committee</w:t>
      </w:r>
      <w:r w:rsidRPr="00A80CC5">
        <w:t>, House of Representatives, Wellington, 17 August</w:t>
      </w:r>
      <w:r w:rsidR="00B30A38">
        <w:t>.</w:t>
      </w:r>
    </w:p>
    <w:p w14:paraId="4D4C240C" w14:textId="449EF28D" w:rsidR="00C26E06" w:rsidRPr="00A80CC5" w:rsidRDefault="00B61C61" w:rsidP="004751E3">
      <w:pPr>
        <w:pStyle w:val="References"/>
      </w:pPr>
      <w:r>
        <w:t>OLA/</w:t>
      </w:r>
      <w:r w:rsidR="00520083" w:rsidRPr="00A80CC5">
        <w:t>Office of the Legislative Assembly (2018</w:t>
      </w:r>
      <w:r w:rsidR="00CA3161" w:rsidRPr="00A80CC5">
        <w:t>a</w:t>
      </w:r>
      <w:r w:rsidR="00520083" w:rsidRPr="00A80CC5">
        <w:t xml:space="preserve">) </w:t>
      </w:r>
      <w:r w:rsidR="00520083" w:rsidRPr="00A80CC5">
        <w:rPr>
          <w:i/>
          <w:iCs/>
        </w:rPr>
        <w:t>Annual Report 2017-2018</w:t>
      </w:r>
      <w:r w:rsidR="00520083" w:rsidRPr="00A80CC5">
        <w:t>, Legislative Assembly</w:t>
      </w:r>
      <w:r w:rsidR="00540324" w:rsidRPr="00A80CC5">
        <w:t xml:space="preserve"> for the Australia Capital </w:t>
      </w:r>
      <w:r w:rsidR="00215D1D" w:rsidRPr="00A80CC5">
        <w:t>T</w:t>
      </w:r>
      <w:r w:rsidR="00540324" w:rsidRPr="00A80CC5">
        <w:t>erritory</w:t>
      </w:r>
      <w:r w:rsidR="00520083" w:rsidRPr="00A80CC5">
        <w:t>, Canberra.</w:t>
      </w:r>
    </w:p>
    <w:p w14:paraId="1D873BF8" w14:textId="2DE8D036" w:rsidR="004C7DE8" w:rsidRPr="00A80CC5" w:rsidRDefault="004C7DE8" w:rsidP="004751E3">
      <w:pPr>
        <w:pStyle w:val="References"/>
      </w:pPr>
      <w:r w:rsidRPr="00A80CC5">
        <w:t>Office of the Legislative Assembly (2018</w:t>
      </w:r>
      <w:r w:rsidR="00CA3161" w:rsidRPr="00A80CC5">
        <w:t>b</w:t>
      </w:r>
      <w:r w:rsidRPr="00A80CC5">
        <w:t xml:space="preserve">) </w:t>
      </w:r>
      <w:r w:rsidRPr="00A80CC5">
        <w:rPr>
          <w:i/>
          <w:iCs/>
        </w:rPr>
        <w:t>Business of the Assembly 2018</w:t>
      </w:r>
      <w:r w:rsidRPr="00A80CC5">
        <w:t>, Office f</w:t>
      </w:r>
      <w:r w:rsidR="008516A2" w:rsidRPr="00A80CC5">
        <w:t>or</w:t>
      </w:r>
      <w:r w:rsidRPr="00A80CC5">
        <w:t xml:space="preserve"> the Legislative Assembly, Canberra.</w:t>
      </w:r>
    </w:p>
    <w:p w14:paraId="2D50F11F" w14:textId="415742A4" w:rsidR="006925D0" w:rsidRPr="006925D0" w:rsidRDefault="006925D0" w:rsidP="004751E3">
      <w:pPr>
        <w:pStyle w:val="References"/>
      </w:pPr>
      <w:r w:rsidRPr="006925D0">
        <w:t>Office of the Legislative Assembly</w:t>
      </w:r>
      <w:r>
        <w:t xml:space="preserve"> (2019)</w:t>
      </w:r>
      <w:r w:rsidRPr="006925D0">
        <w:t xml:space="preserve"> Parliamentary Performance Report Cards 2012-2018</w:t>
      </w:r>
    </w:p>
    <w:p w14:paraId="75A9EF5D" w14:textId="4600AE80" w:rsidR="00D5479D" w:rsidRDefault="00026998" w:rsidP="004751E3">
      <w:pPr>
        <w:pStyle w:val="References"/>
      </w:pPr>
      <w:r>
        <w:t>Pettit, P</w:t>
      </w:r>
      <w:r w:rsidR="00D5479D">
        <w:t>.</w:t>
      </w:r>
      <w:r>
        <w:t xml:space="preserve"> (2000) Three</w:t>
      </w:r>
      <w:r w:rsidR="00D5479D">
        <w:t xml:space="preserve"> </w:t>
      </w:r>
      <w:r>
        <w:t>Problems with ACT Governance, in J. Halligan and R. Wettenhall (eds.)</w:t>
      </w:r>
      <w:r w:rsidR="00D5479D">
        <w:t xml:space="preserve"> </w:t>
      </w:r>
      <w:r w:rsidRPr="00D5479D">
        <w:rPr>
          <w:i/>
          <w:iCs/>
        </w:rPr>
        <w:t>A Decade of Self-Government in the Australian Capital Territory</w:t>
      </w:r>
      <w:r>
        <w:t>, Centre for Research in Public Sector Management, University of Canberra.</w:t>
      </w:r>
    </w:p>
    <w:p w14:paraId="63BFF915" w14:textId="2393BC42" w:rsidR="00AE69C1" w:rsidRPr="00A80CC5" w:rsidRDefault="0091256E" w:rsidP="004751E3">
      <w:pPr>
        <w:pStyle w:val="References"/>
      </w:pPr>
      <w:r w:rsidRPr="00A80CC5">
        <w:t>Smith, G. (2019)</w:t>
      </w:r>
      <w:r w:rsidR="00C26E06" w:rsidRPr="00A80CC5">
        <w:t xml:space="preserve"> </w:t>
      </w:r>
      <w:r w:rsidR="00C26E06" w:rsidRPr="00A80CC5">
        <w:rPr>
          <w:i/>
          <w:iCs/>
        </w:rPr>
        <w:t>Factors influencing changes to performance measures of Australian Government agencies,</w:t>
      </w:r>
      <w:r w:rsidR="00C26E06" w:rsidRPr="00A80CC5">
        <w:t xml:space="preserve"> Institute for Governance and Policy Analysis, University of Canberra.</w:t>
      </w:r>
    </w:p>
    <w:p w14:paraId="531055B5" w14:textId="0F863F05" w:rsidR="00CB3D46" w:rsidRPr="00A80CC5" w:rsidRDefault="00CB3D46" w:rsidP="004751E3">
      <w:pPr>
        <w:pStyle w:val="References"/>
      </w:pPr>
      <w:r w:rsidRPr="00A80CC5">
        <w:t>Standing Committee on Administration and Procedure</w:t>
      </w:r>
      <w:r w:rsidR="00B30A38">
        <w:t xml:space="preserve"> (</w:t>
      </w:r>
      <w:r w:rsidR="00B30A38" w:rsidRPr="00A80CC5">
        <w:t>2016</w:t>
      </w:r>
      <w:r w:rsidR="00B30A38">
        <w:t>)</w:t>
      </w:r>
      <w:r w:rsidRPr="00A80CC5">
        <w:t xml:space="preserve"> </w:t>
      </w:r>
      <w:r w:rsidRPr="00D5479D">
        <w:rPr>
          <w:i/>
          <w:iCs/>
        </w:rPr>
        <w:t>Inquiry into Provisions of the Legislative Assembly (Office of The Legislative Assembly) Act 2012</w:t>
      </w:r>
      <w:r w:rsidRPr="00A80CC5">
        <w:t>, Report No 10, August</w:t>
      </w:r>
      <w:r w:rsidR="00B30A38">
        <w:t>.</w:t>
      </w:r>
    </w:p>
    <w:p w14:paraId="7F8A4BB6" w14:textId="5FD4FEF0" w:rsidR="00B53600" w:rsidRPr="00A80CC5" w:rsidRDefault="00B53600" w:rsidP="004751E3">
      <w:pPr>
        <w:pStyle w:val="References"/>
      </w:pPr>
      <w:r w:rsidRPr="00A80CC5">
        <w:t>Standing Committee on Administration and Procedure</w:t>
      </w:r>
      <w:r w:rsidR="00F43D07">
        <w:t xml:space="preserve"> (</w:t>
      </w:r>
      <w:r w:rsidR="00F43D07" w:rsidRPr="00A80CC5">
        <w:t>2015</w:t>
      </w:r>
      <w:r w:rsidR="00F43D07">
        <w:t xml:space="preserve">) </w:t>
      </w:r>
      <w:r w:rsidRPr="00D5479D">
        <w:rPr>
          <w:i/>
          <w:iCs/>
        </w:rPr>
        <w:t>Inquiry into the Review of the Implementation of the Latimer House Principles in the Australian Capital Ter</w:t>
      </w:r>
      <w:r w:rsidR="00CB3D46" w:rsidRPr="00D5479D">
        <w:rPr>
          <w:i/>
          <w:iCs/>
        </w:rPr>
        <w:t>r</w:t>
      </w:r>
      <w:r w:rsidRPr="00D5479D">
        <w:rPr>
          <w:i/>
          <w:iCs/>
        </w:rPr>
        <w:t>itory for the 8</w:t>
      </w:r>
      <w:r w:rsidRPr="00D5479D">
        <w:rPr>
          <w:i/>
          <w:iCs/>
          <w:vertAlign w:val="superscript"/>
        </w:rPr>
        <w:t>th</w:t>
      </w:r>
      <w:r w:rsidRPr="00D5479D">
        <w:rPr>
          <w:i/>
          <w:iCs/>
        </w:rPr>
        <w:t xml:space="preserve"> Assembly</w:t>
      </w:r>
      <w:r w:rsidRPr="00A80CC5">
        <w:t>, Report No. 7, October.</w:t>
      </w:r>
    </w:p>
    <w:p w14:paraId="78840F2F" w14:textId="6DE89652" w:rsidR="00D13048" w:rsidRPr="003F5F0E" w:rsidRDefault="0068315D" w:rsidP="003F5F0E">
      <w:pPr>
        <w:pStyle w:val="References"/>
      </w:pPr>
      <w:r w:rsidRPr="00A80CC5">
        <w:t xml:space="preserve">White, A. and P. Dunleavy (2010) </w:t>
      </w:r>
      <w:r w:rsidRPr="00A80CC5">
        <w:rPr>
          <w:i/>
        </w:rPr>
        <w:t>Making and Breaking Whitehall Departments: A Guide to Machinery of Government Changes</w:t>
      </w:r>
      <w:r w:rsidRPr="00A80CC5">
        <w:t>, Institute for Government/LSE Public Policy Group</w:t>
      </w:r>
      <w:r w:rsidR="00BC59B3" w:rsidRPr="00A80CC5">
        <w:t>, London</w:t>
      </w:r>
      <w:r w:rsidRPr="00A80CC5">
        <w:t>.</w:t>
      </w:r>
      <w:r w:rsidR="00D13048">
        <w:rPr>
          <w:color w:val="000000"/>
        </w:rPr>
        <w:br w:type="page"/>
      </w:r>
    </w:p>
    <w:p w14:paraId="7550320C" w14:textId="2AD0D1A5" w:rsidR="00D13048" w:rsidRPr="000837FF" w:rsidRDefault="00D13048" w:rsidP="007A27B1">
      <w:pPr>
        <w:pStyle w:val="NormalWeb"/>
        <w:spacing w:before="120" w:beforeAutospacing="0" w:after="120" w:afterAutospacing="0"/>
        <w:rPr>
          <w:color w:val="4472C4" w:themeColor="accent1"/>
          <w:sz w:val="28"/>
          <w:szCs w:val="28"/>
        </w:rPr>
      </w:pPr>
      <w:r w:rsidRPr="000837FF">
        <w:rPr>
          <w:b/>
          <w:bCs/>
          <w:color w:val="4472C4" w:themeColor="accent1"/>
          <w:sz w:val="28"/>
          <w:szCs w:val="28"/>
        </w:rPr>
        <w:lastRenderedPageBreak/>
        <w:t>A</w:t>
      </w:r>
      <w:r w:rsidR="00B837A4">
        <w:rPr>
          <w:b/>
          <w:bCs/>
          <w:color w:val="4472C4" w:themeColor="accent1"/>
          <w:sz w:val="28"/>
          <w:szCs w:val="28"/>
        </w:rPr>
        <w:t>ppendix</w:t>
      </w:r>
      <w:r w:rsidRPr="000837FF">
        <w:rPr>
          <w:b/>
          <w:bCs/>
          <w:color w:val="4472C4" w:themeColor="accent1"/>
          <w:sz w:val="28"/>
          <w:szCs w:val="28"/>
        </w:rPr>
        <w:t xml:space="preserve"> A </w:t>
      </w:r>
    </w:p>
    <w:p w14:paraId="4A80C577" w14:textId="717CD0DC" w:rsidR="00CC1CF0" w:rsidRPr="00CC1CF0" w:rsidRDefault="00CC1CF0" w:rsidP="00CC1CF0">
      <w:pPr>
        <w:pStyle w:val="NormalWeb"/>
        <w:spacing w:before="240" w:beforeAutospacing="0" w:after="0" w:afterAutospacing="0"/>
        <w:jc w:val="center"/>
        <w:rPr>
          <w:b/>
          <w:bCs/>
        </w:rPr>
      </w:pPr>
      <w:r w:rsidRPr="00CC1CF0">
        <w:rPr>
          <w:b/>
          <w:bCs/>
        </w:rPr>
        <w:t>COMMONWEALTH (LATIMER HOUSE) PRINCIPLES ON                                                    THE THREE BRANCHES OF GOVERNMENT</w:t>
      </w:r>
    </w:p>
    <w:p w14:paraId="49243A86" w14:textId="77777777" w:rsidR="00CC1CF0" w:rsidRPr="00E61329" w:rsidRDefault="00CC1CF0" w:rsidP="00CC1CF0">
      <w:pPr>
        <w:pStyle w:val="NormalWeb"/>
        <w:jc w:val="both"/>
        <w:rPr>
          <w:sz w:val="22"/>
          <w:szCs w:val="22"/>
        </w:rPr>
      </w:pPr>
      <w:r w:rsidRPr="00E61329">
        <w:rPr>
          <w:b/>
          <w:bCs/>
          <w:sz w:val="22"/>
          <w:szCs w:val="22"/>
        </w:rPr>
        <w:t xml:space="preserve">OBJECTIVE </w:t>
      </w:r>
    </w:p>
    <w:p w14:paraId="0DE60DC9" w14:textId="77777777" w:rsidR="00CC1CF0" w:rsidRPr="00E61329" w:rsidRDefault="00CC1CF0" w:rsidP="00CC1CF0">
      <w:pPr>
        <w:pStyle w:val="NormalWeb"/>
        <w:jc w:val="both"/>
        <w:rPr>
          <w:sz w:val="22"/>
          <w:szCs w:val="22"/>
        </w:rPr>
      </w:pPr>
      <w:r w:rsidRPr="00E61329">
        <w:rPr>
          <w:sz w:val="22"/>
          <w:szCs w:val="22"/>
        </w:rPr>
        <w:t xml:space="preserve">The objective of these Principles is to provide, in accordance with the laws and customs of each Commonwealth country, an effective framework for the implementation by governments, parliaments and judiciaries of the Commonwealth’s fundamental values. </w:t>
      </w:r>
    </w:p>
    <w:p w14:paraId="4DAB8919" w14:textId="77777777" w:rsidR="00CC1CF0" w:rsidRPr="00E61329" w:rsidRDefault="00CC1CF0" w:rsidP="00CC1CF0">
      <w:pPr>
        <w:pStyle w:val="NormalWeb"/>
        <w:spacing w:before="0" w:beforeAutospacing="0" w:after="120" w:afterAutospacing="0"/>
        <w:jc w:val="both"/>
        <w:rPr>
          <w:b/>
          <w:bCs/>
          <w:sz w:val="22"/>
          <w:szCs w:val="22"/>
        </w:rPr>
      </w:pPr>
      <w:r w:rsidRPr="00E61329">
        <w:rPr>
          <w:b/>
          <w:bCs/>
          <w:sz w:val="22"/>
          <w:szCs w:val="22"/>
        </w:rPr>
        <w:t xml:space="preserve">I) The Three Branches of Government </w:t>
      </w:r>
    </w:p>
    <w:p w14:paraId="48B75CF2" w14:textId="77777777" w:rsidR="00CC1CF0" w:rsidRPr="00E61329" w:rsidRDefault="00CC1CF0" w:rsidP="00CC1CF0">
      <w:pPr>
        <w:pStyle w:val="NormalWeb"/>
        <w:spacing w:before="0" w:beforeAutospacing="0" w:after="0" w:afterAutospacing="0"/>
        <w:jc w:val="both"/>
        <w:rPr>
          <w:sz w:val="22"/>
          <w:szCs w:val="22"/>
        </w:rPr>
      </w:pPr>
      <w:r w:rsidRPr="00E61329">
        <w:rPr>
          <w:sz w:val="22"/>
          <w:szCs w:val="22"/>
        </w:rPr>
        <w:t xml:space="preserve">Each Commonwealth country’s Parliaments, Executives and Judiciaries are the guarantors in their respective spheres of the rule of law, the promotion and protection of fundamental human rights and the entrenchment of good governance based on the highest standards of honesty, probity and accountability. </w:t>
      </w:r>
    </w:p>
    <w:p w14:paraId="3D759A17" w14:textId="77777777" w:rsidR="00CC1CF0" w:rsidRPr="00E61329" w:rsidRDefault="00CC1CF0" w:rsidP="00CC1CF0">
      <w:pPr>
        <w:pStyle w:val="NormalWeb"/>
        <w:spacing w:before="240" w:beforeAutospacing="0" w:after="120" w:afterAutospacing="0"/>
        <w:jc w:val="both"/>
        <w:rPr>
          <w:sz w:val="22"/>
          <w:szCs w:val="22"/>
        </w:rPr>
      </w:pPr>
      <w:r w:rsidRPr="00E61329">
        <w:rPr>
          <w:b/>
          <w:bCs/>
          <w:sz w:val="22"/>
          <w:szCs w:val="22"/>
        </w:rPr>
        <w:t xml:space="preserve">II) Parliament and the Judiciary </w:t>
      </w:r>
    </w:p>
    <w:p w14:paraId="63A52697" w14:textId="77777777" w:rsidR="00CC1CF0" w:rsidRPr="00E61329" w:rsidRDefault="00CC1CF0" w:rsidP="00CC1CF0">
      <w:pPr>
        <w:pStyle w:val="NormalWeb"/>
        <w:spacing w:before="0" w:beforeAutospacing="0" w:after="0" w:afterAutospacing="0"/>
        <w:jc w:val="both"/>
        <w:rPr>
          <w:sz w:val="22"/>
          <w:szCs w:val="22"/>
        </w:rPr>
      </w:pPr>
      <w:r w:rsidRPr="00E61329">
        <w:rPr>
          <w:sz w:val="22"/>
          <w:szCs w:val="22"/>
        </w:rPr>
        <w:t xml:space="preserve">(a) Relations between parliament and the judiciary should be governed by respect for parliament’s primary responsibility for law making on the one hand and for the judiciary’s responsibility for the interpretation and application of the law on the other hand. </w:t>
      </w:r>
    </w:p>
    <w:p w14:paraId="51C65E93" w14:textId="77777777" w:rsidR="00CC1CF0" w:rsidRPr="00E61329" w:rsidRDefault="00CC1CF0" w:rsidP="00CC1CF0">
      <w:pPr>
        <w:pStyle w:val="NormalWeb"/>
        <w:spacing w:before="120" w:beforeAutospacing="0" w:after="0" w:afterAutospacing="0"/>
        <w:jc w:val="both"/>
        <w:rPr>
          <w:sz w:val="22"/>
          <w:szCs w:val="22"/>
        </w:rPr>
      </w:pPr>
      <w:r w:rsidRPr="00E61329">
        <w:rPr>
          <w:sz w:val="22"/>
          <w:szCs w:val="22"/>
        </w:rPr>
        <w:t xml:space="preserve">(b) Judiciaries and parliaments should fulfil their respective but critical roles in the promotion of the rule of law in a complementary and constructive manner. </w:t>
      </w:r>
    </w:p>
    <w:p w14:paraId="42270093" w14:textId="77777777" w:rsidR="00CC1CF0" w:rsidRPr="00E61329" w:rsidRDefault="00CC1CF0" w:rsidP="00CC1CF0">
      <w:pPr>
        <w:pStyle w:val="NormalWeb"/>
        <w:spacing w:before="240" w:beforeAutospacing="0" w:after="120" w:afterAutospacing="0"/>
        <w:jc w:val="both"/>
        <w:rPr>
          <w:sz w:val="22"/>
          <w:szCs w:val="22"/>
        </w:rPr>
      </w:pPr>
      <w:r w:rsidRPr="00E61329">
        <w:rPr>
          <w:b/>
          <w:bCs/>
          <w:sz w:val="22"/>
          <w:szCs w:val="22"/>
        </w:rPr>
        <w:t xml:space="preserve">III) Independence of Parliamentarians </w:t>
      </w:r>
    </w:p>
    <w:p w14:paraId="6D4DD2B4" w14:textId="77777777" w:rsidR="00CC1CF0" w:rsidRPr="00E61329" w:rsidRDefault="00CC1CF0" w:rsidP="00CC1CF0">
      <w:pPr>
        <w:pStyle w:val="NormalWeb"/>
        <w:spacing w:before="0" w:beforeAutospacing="0" w:after="120" w:afterAutospacing="0"/>
        <w:jc w:val="both"/>
        <w:rPr>
          <w:sz w:val="22"/>
          <w:szCs w:val="22"/>
        </w:rPr>
      </w:pPr>
      <w:r w:rsidRPr="00E61329">
        <w:rPr>
          <w:sz w:val="22"/>
          <w:szCs w:val="22"/>
        </w:rPr>
        <w:t xml:space="preserve">(a) Parliamentarians must be able to carry out their legislative and constitutional functions in accordance with the Constitution, free from unlawful interference. </w:t>
      </w:r>
    </w:p>
    <w:p w14:paraId="5D993248" w14:textId="77777777" w:rsidR="00CC1CF0" w:rsidRPr="00E61329" w:rsidRDefault="00CC1CF0" w:rsidP="00CC1CF0">
      <w:pPr>
        <w:pStyle w:val="NormalWeb"/>
        <w:spacing w:before="0" w:beforeAutospacing="0" w:after="0" w:afterAutospacing="0"/>
        <w:jc w:val="both"/>
        <w:rPr>
          <w:sz w:val="22"/>
          <w:szCs w:val="22"/>
        </w:rPr>
      </w:pPr>
      <w:r w:rsidRPr="00E61329">
        <w:rPr>
          <w:sz w:val="22"/>
          <w:szCs w:val="22"/>
        </w:rPr>
        <w:t xml:space="preserve">(b) Criminal and defamation laws should not be used to restrict legitimate criticism of Parliament; the offence of contempt of parliament should be narrowly drawn and reporting of the proceedings of parliament should not be unduly restricted by narrow application of the defence of qualified privilege. </w:t>
      </w:r>
    </w:p>
    <w:p w14:paraId="592AEDC3" w14:textId="77777777" w:rsidR="00CC1CF0" w:rsidRPr="00E61329" w:rsidRDefault="00CC1CF0" w:rsidP="00CC1CF0">
      <w:pPr>
        <w:pStyle w:val="NormalWeb"/>
        <w:spacing w:before="240" w:beforeAutospacing="0" w:after="120" w:afterAutospacing="0"/>
        <w:jc w:val="both"/>
        <w:rPr>
          <w:sz w:val="22"/>
          <w:szCs w:val="22"/>
        </w:rPr>
      </w:pPr>
      <w:r w:rsidRPr="00E61329">
        <w:rPr>
          <w:b/>
          <w:bCs/>
          <w:sz w:val="22"/>
          <w:szCs w:val="22"/>
        </w:rPr>
        <w:t xml:space="preserve">IV) Independence of the Judiciary </w:t>
      </w:r>
    </w:p>
    <w:p w14:paraId="5EF04A79" w14:textId="77777777" w:rsidR="00CC1CF0" w:rsidRPr="00E61329" w:rsidRDefault="00CC1CF0" w:rsidP="00CC1CF0">
      <w:pPr>
        <w:pStyle w:val="NormalWeb"/>
        <w:spacing w:before="120" w:beforeAutospacing="0" w:after="0" w:afterAutospacing="0"/>
        <w:jc w:val="both"/>
        <w:rPr>
          <w:sz w:val="22"/>
          <w:szCs w:val="22"/>
        </w:rPr>
      </w:pPr>
      <w:r w:rsidRPr="00E61329">
        <w:rPr>
          <w:sz w:val="22"/>
          <w:szCs w:val="22"/>
        </w:rPr>
        <w:t xml:space="preserve">An independent, impartial, honest and competent judiciary is integral to upholding the rule of law, engendering public confidence and dispensing justice. The function of the judiciary is to interpret and apply national constitutions and legislation, consistent with international human rights conventions and international law, to the extent permitted by the domestic law of each Commonwealth country. </w:t>
      </w:r>
    </w:p>
    <w:p w14:paraId="4365EEBB" w14:textId="77777777" w:rsidR="00CC1CF0" w:rsidRPr="00E61329" w:rsidRDefault="00CC1CF0" w:rsidP="00CC1CF0">
      <w:pPr>
        <w:pStyle w:val="NormalWeb"/>
        <w:spacing w:before="120" w:beforeAutospacing="0" w:after="120" w:afterAutospacing="0"/>
        <w:jc w:val="both"/>
        <w:rPr>
          <w:sz w:val="22"/>
          <w:szCs w:val="22"/>
        </w:rPr>
      </w:pPr>
      <w:r w:rsidRPr="00E61329">
        <w:rPr>
          <w:sz w:val="22"/>
          <w:szCs w:val="22"/>
        </w:rPr>
        <w:t xml:space="preserve">To secure these aims: </w:t>
      </w:r>
    </w:p>
    <w:p w14:paraId="38844F8E" w14:textId="77777777" w:rsidR="00CC1CF0" w:rsidRPr="00E61329" w:rsidRDefault="00CC1CF0" w:rsidP="00CC1CF0">
      <w:pPr>
        <w:pStyle w:val="NormalWeb"/>
        <w:spacing w:after="120" w:afterAutospacing="0"/>
        <w:jc w:val="both"/>
        <w:rPr>
          <w:sz w:val="22"/>
          <w:szCs w:val="22"/>
        </w:rPr>
      </w:pPr>
      <w:r w:rsidRPr="00E61329">
        <w:rPr>
          <w:sz w:val="22"/>
          <w:szCs w:val="22"/>
        </w:rPr>
        <w:t xml:space="preserve">(a) Judicial appointments should be made on the basis of clearly defined criteria and by a publicly declared process. The process should ensure: </w:t>
      </w:r>
    </w:p>
    <w:p w14:paraId="46ECC956" w14:textId="77777777" w:rsidR="00CC1CF0" w:rsidRPr="00E61329" w:rsidRDefault="00CC1CF0" w:rsidP="00CC1CF0">
      <w:pPr>
        <w:pStyle w:val="NormalWeb"/>
        <w:spacing w:before="0" w:beforeAutospacing="0" w:after="120" w:afterAutospacing="0"/>
        <w:jc w:val="both"/>
        <w:rPr>
          <w:sz w:val="22"/>
          <w:szCs w:val="22"/>
        </w:rPr>
      </w:pPr>
      <w:r w:rsidRPr="00E61329">
        <w:rPr>
          <w:sz w:val="22"/>
          <w:szCs w:val="22"/>
        </w:rPr>
        <w:t xml:space="preserve">equality of opportunity for all who are eligible for judicial office; appointment on merit; and that appropriate consideration is given to the need for the progressive attainment of gender equity and the removal of other historic factors of discrimination; </w:t>
      </w:r>
    </w:p>
    <w:p w14:paraId="04F4BE6A" w14:textId="77777777" w:rsidR="00CC1CF0" w:rsidRPr="00E61329" w:rsidRDefault="00CC1CF0" w:rsidP="00CC1CF0">
      <w:pPr>
        <w:pStyle w:val="NormalWeb"/>
        <w:jc w:val="both"/>
        <w:rPr>
          <w:sz w:val="22"/>
          <w:szCs w:val="22"/>
        </w:rPr>
      </w:pPr>
      <w:r w:rsidRPr="00E61329">
        <w:rPr>
          <w:sz w:val="22"/>
          <w:szCs w:val="22"/>
        </w:rPr>
        <w:lastRenderedPageBreak/>
        <w:t xml:space="preserve">(b) Arrangements for appropriate security of tenure and protection of levels of remuneration must be in place; </w:t>
      </w:r>
    </w:p>
    <w:p w14:paraId="3C3997A3" w14:textId="77777777" w:rsidR="00CC1CF0" w:rsidRPr="00E61329" w:rsidRDefault="00CC1CF0" w:rsidP="00CC1CF0">
      <w:pPr>
        <w:pStyle w:val="NormalWeb"/>
        <w:jc w:val="both"/>
        <w:rPr>
          <w:sz w:val="22"/>
          <w:szCs w:val="22"/>
        </w:rPr>
      </w:pPr>
      <w:r w:rsidRPr="00E61329">
        <w:rPr>
          <w:sz w:val="22"/>
          <w:szCs w:val="22"/>
        </w:rPr>
        <w:t xml:space="preserve">(c) Adequate resources should be provided for the judicial system to operate effectively without any undue constraints which may hamper the independence sought; </w:t>
      </w:r>
    </w:p>
    <w:p w14:paraId="087B2BB9" w14:textId="77777777" w:rsidR="00CC1CF0" w:rsidRPr="00E61329" w:rsidRDefault="00CC1CF0" w:rsidP="00CC1CF0">
      <w:pPr>
        <w:pStyle w:val="NormalWeb"/>
        <w:jc w:val="both"/>
        <w:rPr>
          <w:sz w:val="22"/>
          <w:szCs w:val="22"/>
        </w:rPr>
      </w:pPr>
      <w:r w:rsidRPr="00E61329">
        <w:rPr>
          <w:sz w:val="22"/>
          <w:szCs w:val="22"/>
        </w:rPr>
        <w:t xml:space="preserve">(d) Interaction, if any, between the executive and the judiciary should not compromise judicial independence. </w:t>
      </w:r>
    </w:p>
    <w:p w14:paraId="78491412" w14:textId="77777777" w:rsidR="00CC1CF0" w:rsidRPr="00E61329" w:rsidRDefault="00CC1CF0" w:rsidP="00CC1CF0">
      <w:pPr>
        <w:pStyle w:val="NormalWeb"/>
        <w:jc w:val="both"/>
        <w:rPr>
          <w:sz w:val="22"/>
          <w:szCs w:val="22"/>
        </w:rPr>
      </w:pPr>
      <w:r w:rsidRPr="00E61329">
        <w:rPr>
          <w:sz w:val="22"/>
          <w:szCs w:val="22"/>
        </w:rPr>
        <w:t>Judges should be subject to suspension or removal only for reasons of incapacity or misbehaviour that clearly renders them unfit to discharge their duties.</w:t>
      </w:r>
    </w:p>
    <w:p w14:paraId="2693FBC3" w14:textId="77777777" w:rsidR="00CC1CF0" w:rsidRPr="00E61329" w:rsidRDefault="00CC1CF0" w:rsidP="00CC1CF0">
      <w:pPr>
        <w:pStyle w:val="NormalWeb"/>
        <w:jc w:val="both"/>
        <w:rPr>
          <w:sz w:val="22"/>
          <w:szCs w:val="22"/>
        </w:rPr>
      </w:pPr>
      <w:r w:rsidRPr="00E61329">
        <w:rPr>
          <w:sz w:val="22"/>
          <w:szCs w:val="22"/>
        </w:rPr>
        <w:t xml:space="preserve">Court proceedings should, unless the law or overriding public interest otherwise dictates, be open to the public. Superior Court decisions should be published and accessible to the public and be given in a timely manner. </w:t>
      </w:r>
    </w:p>
    <w:p w14:paraId="162E402F" w14:textId="77777777" w:rsidR="00CC1CF0" w:rsidRPr="00E61329" w:rsidRDefault="00CC1CF0" w:rsidP="00CC1CF0">
      <w:pPr>
        <w:pStyle w:val="NormalWeb"/>
        <w:jc w:val="both"/>
        <w:rPr>
          <w:sz w:val="22"/>
          <w:szCs w:val="22"/>
        </w:rPr>
      </w:pPr>
      <w:r w:rsidRPr="00E61329">
        <w:rPr>
          <w:sz w:val="22"/>
          <w:szCs w:val="22"/>
        </w:rPr>
        <w:t xml:space="preserve">An independent, effective and competent legal profession is fundamental to the upholding of the rule of law and the independence of the judiciary. </w:t>
      </w:r>
    </w:p>
    <w:p w14:paraId="07610479" w14:textId="77777777" w:rsidR="00CC1CF0" w:rsidRPr="00E61329" w:rsidRDefault="00CC1CF0" w:rsidP="00CC1CF0">
      <w:pPr>
        <w:pStyle w:val="NormalWeb"/>
        <w:jc w:val="both"/>
        <w:rPr>
          <w:sz w:val="22"/>
          <w:szCs w:val="22"/>
        </w:rPr>
      </w:pPr>
      <w:r w:rsidRPr="00E61329">
        <w:rPr>
          <w:b/>
          <w:bCs/>
          <w:sz w:val="22"/>
          <w:szCs w:val="22"/>
        </w:rPr>
        <w:t xml:space="preserve">V) Public Office Holders </w:t>
      </w:r>
    </w:p>
    <w:p w14:paraId="2FF54EAE" w14:textId="77777777" w:rsidR="00CC1CF0" w:rsidRPr="00E61329" w:rsidRDefault="00CC1CF0" w:rsidP="00CC1CF0">
      <w:pPr>
        <w:pStyle w:val="NormalWeb"/>
        <w:jc w:val="both"/>
        <w:rPr>
          <w:sz w:val="22"/>
          <w:szCs w:val="22"/>
        </w:rPr>
      </w:pPr>
      <w:r w:rsidRPr="00E61329">
        <w:rPr>
          <w:sz w:val="22"/>
          <w:szCs w:val="22"/>
        </w:rPr>
        <w:t xml:space="preserve">(a) Merit and proven integrity, should be the criteria of eligibility for appointment to public office; </w:t>
      </w:r>
    </w:p>
    <w:p w14:paraId="70D82FF1" w14:textId="77777777" w:rsidR="00CC1CF0" w:rsidRPr="00E61329" w:rsidRDefault="00CC1CF0" w:rsidP="00CC1CF0">
      <w:pPr>
        <w:pStyle w:val="NormalWeb"/>
        <w:jc w:val="both"/>
        <w:rPr>
          <w:sz w:val="22"/>
          <w:szCs w:val="22"/>
        </w:rPr>
      </w:pPr>
      <w:r w:rsidRPr="00E61329">
        <w:rPr>
          <w:sz w:val="22"/>
          <w:szCs w:val="22"/>
        </w:rPr>
        <w:t xml:space="preserve">(b) Subject to (a), measures may be taken, where possible and appropriate, to ensure that the holders of all public offices generally reflect the composition of the com- munity in terms of gender, ethnicity, social and religious groups and regional balance. </w:t>
      </w:r>
    </w:p>
    <w:p w14:paraId="30B41C60" w14:textId="77777777" w:rsidR="00CC1CF0" w:rsidRPr="00E61329" w:rsidRDefault="00CC1CF0" w:rsidP="00CC1CF0">
      <w:pPr>
        <w:pStyle w:val="NormalWeb"/>
        <w:jc w:val="both"/>
        <w:rPr>
          <w:sz w:val="22"/>
          <w:szCs w:val="22"/>
        </w:rPr>
      </w:pPr>
      <w:r w:rsidRPr="00E61329">
        <w:rPr>
          <w:b/>
          <w:bCs/>
          <w:sz w:val="22"/>
          <w:szCs w:val="22"/>
        </w:rPr>
        <w:t xml:space="preserve">VI) Ethical Governance </w:t>
      </w:r>
    </w:p>
    <w:p w14:paraId="08B1510A" w14:textId="77777777" w:rsidR="00CC1CF0" w:rsidRPr="00E61329" w:rsidRDefault="00CC1CF0" w:rsidP="00CC1CF0">
      <w:pPr>
        <w:pStyle w:val="NormalWeb"/>
        <w:jc w:val="both"/>
        <w:rPr>
          <w:sz w:val="22"/>
          <w:szCs w:val="22"/>
        </w:rPr>
      </w:pPr>
      <w:r w:rsidRPr="00E61329">
        <w:rPr>
          <w:sz w:val="22"/>
          <w:szCs w:val="22"/>
        </w:rPr>
        <w:t xml:space="preserve">Ministers, Members of Parliament, judicial officers and public office holders in each jurisdiction should respectively develop, adopt and periodically review appropriate guidelines for ethical conduct. These should address the issue of conflict of interest, whether actual or perceived, with a view to enhancing transparency, accountability and public confidence. </w:t>
      </w:r>
    </w:p>
    <w:p w14:paraId="157EAF06" w14:textId="77777777" w:rsidR="00CC1CF0" w:rsidRPr="00E61329" w:rsidRDefault="00CC1CF0" w:rsidP="00CC1CF0">
      <w:pPr>
        <w:pStyle w:val="NormalWeb"/>
        <w:jc w:val="both"/>
        <w:rPr>
          <w:sz w:val="22"/>
          <w:szCs w:val="22"/>
        </w:rPr>
      </w:pPr>
      <w:r w:rsidRPr="00E61329">
        <w:rPr>
          <w:b/>
          <w:bCs/>
          <w:sz w:val="22"/>
          <w:szCs w:val="22"/>
        </w:rPr>
        <w:t xml:space="preserve">VII) Accountability Mechanisms </w:t>
      </w:r>
    </w:p>
    <w:p w14:paraId="380D2A1C" w14:textId="77777777" w:rsidR="00CC1CF0" w:rsidRPr="00E61329" w:rsidRDefault="00CC1CF0" w:rsidP="00CC1CF0">
      <w:pPr>
        <w:pStyle w:val="NormalWeb"/>
        <w:jc w:val="both"/>
        <w:rPr>
          <w:sz w:val="22"/>
          <w:szCs w:val="22"/>
        </w:rPr>
      </w:pPr>
      <w:r w:rsidRPr="00E61329">
        <w:rPr>
          <w:sz w:val="22"/>
          <w:szCs w:val="22"/>
        </w:rPr>
        <w:t xml:space="preserve">(a) Executive Accountability to Parliament </w:t>
      </w:r>
    </w:p>
    <w:p w14:paraId="6C153F19" w14:textId="77777777" w:rsidR="00CC1CF0" w:rsidRPr="00E61329" w:rsidRDefault="00CC1CF0" w:rsidP="00CC1CF0">
      <w:pPr>
        <w:pStyle w:val="NormalWeb"/>
        <w:jc w:val="both"/>
        <w:rPr>
          <w:sz w:val="22"/>
          <w:szCs w:val="22"/>
        </w:rPr>
      </w:pPr>
      <w:r w:rsidRPr="00E61329">
        <w:rPr>
          <w:sz w:val="22"/>
          <w:szCs w:val="22"/>
        </w:rPr>
        <w:t xml:space="preserve">Parliaments and governments should maintain high standards of accountability, transparency and responsibility in the conduct of all public business. </w:t>
      </w:r>
    </w:p>
    <w:p w14:paraId="06229480" w14:textId="77777777" w:rsidR="00CC1CF0" w:rsidRPr="00E61329" w:rsidRDefault="00CC1CF0" w:rsidP="00CC1CF0">
      <w:pPr>
        <w:pStyle w:val="NormalWeb"/>
        <w:jc w:val="both"/>
        <w:rPr>
          <w:sz w:val="22"/>
          <w:szCs w:val="22"/>
        </w:rPr>
      </w:pPr>
      <w:r w:rsidRPr="00E61329">
        <w:rPr>
          <w:sz w:val="22"/>
          <w:szCs w:val="22"/>
        </w:rPr>
        <w:t xml:space="preserve">Parliamentary procedures should provide adequate mechanisms to enforce the accountability of the executive to Parliament. </w:t>
      </w:r>
    </w:p>
    <w:p w14:paraId="77A7B40F" w14:textId="77777777" w:rsidR="00CC1CF0" w:rsidRPr="00E61329" w:rsidRDefault="00CC1CF0" w:rsidP="00CC1CF0">
      <w:pPr>
        <w:pStyle w:val="NormalWeb"/>
        <w:jc w:val="both"/>
        <w:rPr>
          <w:sz w:val="22"/>
          <w:szCs w:val="22"/>
        </w:rPr>
      </w:pPr>
      <w:r w:rsidRPr="00E61329">
        <w:rPr>
          <w:sz w:val="22"/>
          <w:szCs w:val="22"/>
        </w:rPr>
        <w:t xml:space="preserve">(b) Judicial Accountability </w:t>
      </w:r>
    </w:p>
    <w:p w14:paraId="77B3A12D" w14:textId="77777777" w:rsidR="00CC1CF0" w:rsidRPr="00E61329" w:rsidRDefault="00CC1CF0" w:rsidP="00CC1CF0">
      <w:pPr>
        <w:pStyle w:val="NormalWeb"/>
        <w:jc w:val="both"/>
        <w:rPr>
          <w:sz w:val="22"/>
          <w:szCs w:val="22"/>
        </w:rPr>
      </w:pPr>
      <w:r w:rsidRPr="00E61329">
        <w:rPr>
          <w:sz w:val="22"/>
          <w:szCs w:val="22"/>
        </w:rPr>
        <w:lastRenderedPageBreak/>
        <w:t xml:space="preserve">Judges are accountable to the Constitution and to the law which they must apply honestly, independently and with integrity. The principles of judicial accountability and independence underpin public confidence in the judicial system and the importance of the judiciary as one of the three pillars upon which a responsible government relies. </w:t>
      </w:r>
    </w:p>
    <w:p w14:paraId="413B33C2" w14:textId="77777777" w:rsidR="00CC1CF0" w:rsidRPr="00E61329" w:rsidRDefault="00CC1CF0" w:rsidP="00CC1CF0">
      <w:pPr>
        <w:pStyle w:val="NormalWeb"/>
        <w:jc w:val="both"/>
        <w:rPr>
          <w:sz w:val="22"/>
          <w:szCs w:val="22"/>
          <w:lang w:eastAsia="en-GB"/>
        </w:rPr>
      </w:pPr>
      <w:r w:rsidRPr="00E61329">
        <w:rPr>
          <w:sz w:val="22"/>
          <w:szCs w:val="22"/>
        </w:rPr>
        <w:t xml:space="preserve">In addition to providing proper procedures for the removal of judges on grounds of incapacity or misbehaviour that are required to support the principle of independence of the judiciary, any disciplinary procedures should be fairly and objectively administered. Disciplinary proceedings which might lead to the </w:t>
      </w:r>
      <w:r w:rsidRPr="00E61329">
        <w:rPr>
          <w:sz w:val="22"/>
          <w:szCs w:val="22"/>
          <w:lang w:eastAsia="en-GB"/>
        </w:rPr>
        <w:t xml:space="preserve">removal of a judicial officer should include appropriate safeguards to ensure fairness. </w:t>
      </w:r>
    </w:p>
    <w:p w14:paraId="173D6F6C" w14:textId="77777777" w:rsidR="00CC1CF0" w:rsidRPr="00E61329" w:rsidRDefault="00CC1CF0" w:rsidP="00CC1CF0">
      <w:pPr>
        <w:spacing w:before="100" w:beforeAutospacing="1" w:after="100" w:afterAutospacing="1"/>
        <w:jc w:val="both"/>
        <w:rPr>
          <w:sz w:val="22"/>
          <w:szCs w:val="22"/>
        </w:rPr>
      </w:pPr>
      <w:r w:rsidRPr="00E61329">
        <w:rPr>
          <w:sz w:val="22"/>
          <w:szCs w:val="22"/>
        </w:rPr>
        <w:t xml:space="preserve">The criminal law and contempt proceedings should not be used to restrict legitimate criticism of the performance of judicial functions. </w:t>
      </w:r>
    </w:p>
    <w:p w14:paraId="2AE842D3" w14:textId="77777777" w:rsidR="00CC1CF0" w:rsidRPr="00E61329" w:rsidRDefault="00CC1CF0" w:rsidP="00CC1CF0">
      <w:pPr>
        <w:spacing w:before="100" w:beforeAutospacing="1" w:after="100" w:afterAutospacing="1"/>
        <w:jc w:val="both"/>
        <w:rPr>
          <w:sz w:val="22"/>
          <w:szCs w:val="22"/>
        </w:rPr>
      </w:pPr>
      <w:r w:rsidRPr="00E61329">
        <w:rPr>
          <w:sz w:val="22"/>
          <w:szCs w:val="22"/>
        </w:rPr>
        <w:t xml:space="preserve">(c) Judicial review </w:t>
      </w:r>
    </w:p>
    <w:p w14:paraId="2B586229" w14:textId="77777777" w:rsidR="00CC1CF0" w:rsidRPr="00E61329" w:rsidRDefault="00CC1CF0" w:rsidP="00CC1CF0">
      <w:pPr>
        <w:spacing w:before="100" w:beforeAutospacing="1" w:after="100" w:afterAutospacing="1"/>
        <w:jc w:val="both"/>
        <w:rPr>
          <w:sz w:val="22"/>
          <w:szCs w:val="22"/>
        </w:rPr>
      </w:pPr>
      <w:r w:rsidRPr="00E61329">
        <w:rPr>
          <w:sz w:val="22"/>
          <w:szCs w:val="22"/>
        </w:rPr>
        <w:t xml:space="preserve">Best democratic principles require that the actions of governments are open to scrutiny by the courts, to ensure that decisions taken comply with the Constitution, with relevant statutes and other law, including the law relating to the principles of natural justice. </w:t>
      </w:r>
    </w:p>
    <w:p w14:paraId="78BA79A3" w14:textId="77777777" w:rsidR="00CC1CF0" w:rsidRPr="00E61329" w:rsidRDefault="00CC1CF0" w:rsidP="00CC1CF0">
      <w:pPr>
        <w:spacing w:before="100" w:beforeAutospacing="1" w:after="100" w:afterAutospacing="1"/>
        <w:jc w:val="both"/>
        <w:rPr>
          <w:sz w:val="22"/>
          <w:szCs w:val="22"/>
        </w:rPr>
      </w:pPr>
      <w:r w:rsidRPr="00E61329">
        <w:rPr>
          <w:b/>
          <w:bCs/>
          <w:sz w:val="22"/>
          <w:szCs w:val="22"/>
        </w:rPr>
        <w:t xml:space="preserve">VIII) The law-making process </w:t>
      </w:r>
    </w:p>
    <w:p w14:paraId="24D94BA4" w14:textId="77777777" w:rsidR="00CC1CF0" w:rsidRPr="00E61329" w:rsidRDefault="00CC1CF0" w:rsidP="00CC1CF0">
      <w:pPr>
        <w:spacing w:before="100" w:beforeAutospacing="1"/>
        <w:jc w:val="both"/>
        <w:rPr>
          <w:sz w:val="22"/>
          <w:szCs w:val="22"/>
        </w:rPr>
      </w:pPr>
      <w:r w:rsidRPr="00E61329">
        <w:rPr>
          <w:sz w:val="22"/>
          <w:szCs w:val="22"/>
        </w:rPr>
        <w:t xml:space="preserve">In order to enhance the effectiveness of law making as an essential element of the good governance agenda: </w:t>
      </w:r>
    </w:p>
    <w:p w14:paraId="3F379BEF" w14:textId="77777777" w:rsidR="00CC1CF0" w:rsidRPr="00E61329" w:rsidRDefault="00CC1CF0" w:rsidP="00CC1CF0">
      <w:pPr>
        <w:spacing w:before="120"/>
        <w:jc w:val="both"/>
        <w:rPr>
          <w:sz w:val="22"/>
          <w:szCs w:val="22"/>
        </w:rPr>
      </w:pPr>
      <w:r w:rsidRPr="00E61329">
        <w:rPr>
          <w:sz w:val="22"/>
          <w:szCs w:val="22"/>
        </w:rPr>
        <w:t xml:space="preserve">There should be adequate parliamentary examination of proposed legislation; </w:t>
      </w:r>
    </w:p>
    <w:p w14:paraId="5365F2FE" w14:textId="77777777" w:rsidR="00CC1CF0" w:rsidRPr="00E61329" w:rsidRDefault="00CC1CF0" w:rsidP="00CC1CF0">
      <w:pPr>
        <w:spacing w:before="120"/>
        <w:jc w:val="both"/>
        <w:rPr>
          <w:sz w:val="22"/>
          <w:szCs w:val="22"/>
        </w:rPr>
      </w:pPr>
      <w:r w:rsidRPr="00E61329">
        <w:rPr>
          <w:sz w:val="22"/>
          <w:szCs w:val="22"/>
        </w:rPr>
        <w:t xml:space="preserve">Where appropriate, opportunity should be given for public input into the legislative process; </w:t>
      </w:r>
    </w:p>
    <w:p w14:paraId="0927EBF1" w14:textId="77777777" w:rsidR="00CC1CF0" w:rsidRPr="00E61329" w:rsidRDefault="00CC1CF0" w:rsidP="00CC1CF0">
      <w:pPr>
        <w:spacing w:before="120" w:after="100" w:afterAutospacing="1"/>
        <w:jc w:val="both"/>
        <w:rPr>
          <w:sz w:val="22"/>
          <w:szCs w:val="22"/>
        </w:rPr>
      </w:pPr>
      <w:r w:rsidRPr="00E61329">
        <w:rPr>
          <w:sz w:val="22"/>
          <w:szCs w:val="22"/>
        </w:rPr>
        <w:t xml:space="preserve">Parliaments should, where relevant, be given the opportunity to consider international instruments or regional conventions agreed to by governments. </w:t>
      </w:r>
    </w:p>
    <w:p w14:paraId="5B934514" w14:textId="77777777" w:rsidR="00CC1CF0" w:rsidRPr="00E61329" w:rsidRDefault="00CC1CF0" w:rsidP="00CC1CF0">
      <w:pPr>
        <w:spacing w:before="100" w:beforeAutospacing="1" w:after="100" w:afterAutospacing="1"/>
        <w:jc w:val="both"/>
        <w:rPr>
          <w:sz w:val="22"/>
          <w:szCs w:val="22"/>
        </w:rPr>
      </w:pPr>
      <w:r w:rsidRPr="00E61329">
        <w:rPr>
          <w:b/>
          <w:bCs/>
          <w:sz w:val="22"/>
          <w:szCs w:val="22"/>
        </w:rPr>
        <w:t xml:space="preserve">IX) Oversight of Government </w:t>
      </w:r>
    </w:p>
    <w:p w14:paraId="3BCE09E0" w14:textId="77777777" w:rsidR="00CC1CF0" w:rsidRPr="00E61329" w:rsidRDefault="00CC1CF0" w:rsidP="00CC1CF0">
      <w:pPr>
        <w:spacing w:before="100" w:beforeAutospacing="1" w:after="100" w:afterAutospacing="1"/>
        <w:jc w:val="both"/>
        <w:rPr>
          <w:sz w:val="22"/>
          <w:szCs w:val="22"/>
        </w:rPr>
      </w:pPr>
      <w:r w:rsidRPr="00E61329">
        <w:rPr>
          <w:sz w:val="22"/>
          <w:szCs w:val="22"/>
        </w:rPr>
        <w:t xml:space="preserve">The promotion of zero-tolerance for corruption is vital to good governance. A transparent and accountable government, together with freedom of expression, encourages the full participation of its citizens in the democratic process. </w:t>
      </w:r>
    </w:p>
    <w:p w14:paraId="6A5DA8A5" w14:textId="77777777" w:rsidR="00CC1CF0" w:rsidRPr="00E61329" w:rsidRDefault="00CC1CF0" w:rsidP="00CC1CF0">
      <w:pPr>
        <w:spacing w:before="100" w:beforeAutospacing="1" w:after="100" w:afterAutospacing="1"/>
        <w:jc w:val="both"/>
        <w:rPr>
          <w:sz w:val="22"/>
          <w:szCs w:val="22"/>
        </w:rPr>
      </w:pPr>
      <w:r w:rsidRPr="00E61329">
        <w:rPr>
          <w:sz w:val="22"/>
          <w:szCs w:val="22"/>
        </w:rPr>
        <w:t xml:space="preserve">Steps which may be taken to encourage public sector accountability include: </w:t>
      </w:r>
    </w:p>
    <w:p w14:paraId="261BACB7" w14:textId="77777777" w:rsidR="00CC1CF0" w:rsidRPr="00E61329" w:rsidRDefault="00CC1CF0" w:rsidP="00CC1CF0">
      <w:pPr>
        <w:pStyle w:val="NormalWeb"/>
        <w:spacing w:before="0" w:beforeAutospacing="0" w:after="120" w:afterAutospacing="0"/>
        <w:jc w:val="both"/>
        <w:rPr>
          <w:sz w:val="22"/>
          <w:szCs w:val="22"/>
        </w:rPr>
      </w:pPr>
      <w:r w:rsidRPr="00E61329">
        <w:rPr>
          <w:sz w:val="22"/>
          <w:szCs w:val="22"/>
        </w:rPr>
        <w:t xml:space="preserve">(a) The establishment of scrutiny bodies and mechanisms to oversee Government, enhances public confidence in the integrity and acceptability of government’s activities. Independent bodies such as Public Accounts Committees, Ombudsmen, Human Rights Commissions, Auditors-General, Anti-corruption commissions, Information Commissioners and similar oversight institutions can play a key role in enhancing public awareness of good governance and rule of law issues. Governments are encouraged to establish or enhance appropriate oversight bodies in accordance with national circumstances, </w:t>
      </w:r>
    </w:p>
    <w:p w14:paraId="0EBDBC1B" w14:textId="77777777" w:rsidR="00CC1CF0" w:rsidRPr="00E61329" w:rsidRDefault="00CC1CF0" w:rsidP="00CC1CF0">
      <w:pPr>
        <w:pStyle w:val="NormalWeb"/>
        <w:spacing w:before="0" w:beforeAutospacing="0" w:after="0" w:afterAutospacing="0"/>
        <w:jc w:val="both"/>
        <w:rPr>
          <w:sz w:val="22"/>
          <w:szCs w:val="22"/>
        </w:rPr>
      </w:pPr>
      <w:r w:rsidRPr="00E61329">
        <w:rPr>
          <w:sz w:val="22"/>
          <w:szCs w:val="22"/>
        </w:rPr>
        <w:t xml:space="preserve">(b) Government’s transparency and accountability is promoted by an independent and vibrant media which is responsible, objective and impartial and which is protected by law in its freedom to report and comment upon public affairs. </w:t>
      </w:r>
    </w:p>
    <w:p w14:paraId="1FE60032" w14:textId="77777777" w:rsidR="00CC1CF0" w:rsidRPr="00E61329" w:rsidRDefault="00CC1CF0" w:rsidP="00CC1CF0">
      <w:pPr>
        <w:pStyle w:val="NormalWeb"/>
        <w:spacing w:before="240" w:beforeAutospacing="0" w:after="120" w:afterAutospacing="0"/>
        <w:jc w:val="both"/>
        <w:rPr>
          <w:sz w:val="22"/>
          <w:szCs w:val="22"/>
        </w:rPr>
      </w:pPr>
      <w:r w:rsidRPr="00E61329">
        <w:rPr>
          <w:b/>
          <w:bCs/>
          <w:sz w:val="22"/>
          <w:szCs w:val="22"/>
        </w:rPr>
        <w:t xml:space="preserve">X) Civil Society </w:t>
      </w:r>
    </w:p>
    <w:p w14:paraId="333B74CB" w14:textId="4A9EB175" w:rsidR="00FC6E50" w:rsidRPr="00E61329" w:rsidRDefault="00CC1CF0" w:rsidP="00E61329">
      <w:pPr>
        <w:pStyle w:val="NormalWeb"/>
        <w:spacing w:before="0" w:beforeAutospacing="0"/>
        <w:jc w:val="both"/>
        <w:rPr>
          <w:sz w:val="22"/>
          <w:szCs w:val="22"/>
        </w:rPr>
      </w:pPr>
      <w:r w:rsidRPr="00E61329">
        <w:rPr>
          <w:sz w:val="22"/>
          <w:szCs w:val="22"/>
        </w:rPr>
        <w:lastRenderedPageBreak/>
        <w:t xml:space="preserve">Parliaments and governments should recognise the role that civil society plays in the implementation of the Commonwealth’s fundamental values and should strive for a constructive relationship with civil society to ensure that there is broader opportunity for lawful participation in the democratic process. </w:t>
      </w:r>
    </w:p>
    <w:p w14:paraId="37948AFC" w14:textId="77777777" w:rsidR="00B837A4" w:rsidRDefault="00B837A4" w:rsidP="00B837A4">
      <w:pPr>
        <w:pStyle w:val="NormalWeb"/>
        <w:spacing w:before="120" w:beforeAutospacing="0"/>
        <w:jc w:val="center"/>
      </w:pPr>
      <w:r>
        <w:rPr>
          <w:rFonts w:ascii="TimesNewRomanPS" w:hAnsi="TimesNewRomanPS"/>
          <w:b/>
          <w:bCs/>
          <w:sz w:val="22"/>
          <w:szCs w:val="22"/>
        </w:rPr>
        <w:t>Resolution agreed by the Assembly 11 December 2008 (amended 23 February 2012)</w:t>
      </w:r>
    </w:p>
    <w:p w14:paraId="64031DCA" w14:textId="77777777" w:rsidR="00B837A4" w:rsidRPr="00E61329" w:rsidRDefault="00B837A4" w:rsidP="00B837A4">
      <w:pPr>
        <w:pStyle w:val="NormalWeb"/>
        <w:spacing w:before="120" w:beforeAutospacing="0" w:after="120" w:afterAutospacing="0"/>
        <w:rPr>
          <w:sz w:val="22"/>
          <w:szCs w:val="22"/>
        </w:rPr>
      </w:pPr>
      <w:r w:rsidRPr="00E61329">
        <w:rPr>
          <w:sz w:val="22"/>
          <w:szCs w:val="22"/>
        </w:rPr>
        <w:t xml:space="preserve">(2A) In the second year after a general election, following consultation with the Standing Committee on Administration and Procedure, the Speaker shall appoint a suitably qualified person to conduct an assessment of the implementation of the Latimer House Principles in the governance of the ACT with the resultant report: </w:t>
      </w:r>
    </w:p>
    <w:p w14:paraId="669ACB10" w14:textId="77777777" w:rsidR="00B837A4" w:rsidRPr="00E61329" w:rsidRDefault="00B837A4" w:rsidP="00E61329">
      <w:pPr>
        <w:pStyle w:val="NormalWeb"/>
        <w:spacing w:before="120" w:beforeAutospacing="0" w:after="120" w:afterAutospacing="0"/>
        <w:rPr>
          <w:sz w:val="22"/>
          <w:szCs w:val="22"/>
        </w:rPr>
      </w:pPr>
      <w:r w:rsidRPr="00E61329">
        <w:rPr>
          <w:sz w:val="22"/>
          <w:szCs w:val="22"/>
        </w:rPr>
        <w:t xml:space="preserve">(a) to be tabled in the Legislative Assembly by the Speaker; and </w:t>
      </w:r>
    </w:p>
    <w:p w14:paraId="5B6D083E" w14:textId="69DE5D7C" w:rsidR="00B837A4" w:rsidRPr="00E61329" w:rsidRDefault="00B837A4" w:rsidP="00E61329">
      <w:pPr>
        <w:pStyle w:val="NormalWeb"/>
        <w:spacing w:before="120" w:beforeAutospacing="0" w:after="120" w:afterAutospacing="0"/>
        <w:rPr>
          <w:sz w:val="22"/>
          <w:szCs w:val="22"/>
        </w:rPr>
      </w:pPr>
      <w:r w:rsidRPr="00E61329">
        <w:rPr>
          <w:sz w:val="22"/>
          <w:szCs w:val="22"/>
        </w:rPr>
        <w:t xml:space="preserve">(b) to be referred to the Standing Committee on Administration and Procedure for inquiry and report. </w:t>
      </w:r>
    </w:p>
    <w:p w14:paraId="375E4BF3" w14:textId="4715D8FD" w:rsidR="00B837A4" w:rsidRPr="00E61329" w:rsidRDefault="00B837A4" w:rsidP="00E61329">
      <w:pPr>
        <w:pStyle w:val="NormalWeb"/>
        <w:spacing w:before="120" w:beforeAutospacing="0" w:after="120" w:afterAutospacing="0"/>
        <w:rPr>
          <w:sz w:val="22"/>
          <w:szCs w:val="22"/>
        </w:rPr>
      </w:pPr>
      <w:r w:rsidRPr="00E61329">
        <w:rPr>
          <w:sz w:val="22"/>
          <w:szCs w:val="22"/>
        </w:rPr>
        <w:t xml:space="preserve">This resolution has effect from the commencement of the Seventh Assembly and continues in force unless and until amended or repealed by this or subsequent Assembly. </w:t>
      </w:r>
    </w:p>
    <w:sectPr w:rsidR="00B837A4" w:rsidRPr="00E61329" w:rsidSect="007535E5">
      <w:headerReference w:type="even" r:id="rId10"/>
      <w:headerReference w:type="default" r:id="rId11"/>
      <w:footerReference w:type="even" r:id="rId12"/>
      <w:footerReference w:type="default" r:id="rId13"/>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472CE" w14:textId="77777777" w:rsidR="008E039E" w:rsidRDefault="008E039E" w:rsidP="007535E5">
      <w:r>
        <w:separator/>
      </w:r>
    </w:p>
  </w:endnote>
  <w:endnote w:type="continuationSeparator" w:id="0">
    <w:p w14:paraId="2BEAC05A" w14:textId="77777777" w:rsidR="008E039E" w:rsidRDefault="008E039E" w:rsidP="0075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illSans">
    <w:altName w:val="Cambria"/>
    <w:charset w:val="B1"/>
    <w:family w:val="swiss"/>
    <w:pitch w:val="variable"/>
    <w:sig w:usb0="80000A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0998146"/>
      <w:docPartObj>
        <w:docPartGallery w:val="Page Numbers (Bottom of Page)"/>
        <w:docPartUnique/>
      </w:docPartObj>
    </w:sdtPr>
    <w:sdtEndPr>
      <w:rPr>
        <w:rStyle w:val="PageNumber"/>
      </w:rPr>
    </w:sdtEndPr>
    <w:sdtContent>
      <w:p w14:paraId="66CAB48B" w14:textId="1FCA8CAE" w:rsidR="008E039E" w:rsidRDefault="008E039E" w:rsidP="00562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8FBA5" w14:textId="77777777" w:rsidR="008E039E" w:rsidRDefault="008E039E" w:rsidP="007535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58FB" w14:textId="26672D41" w:rsidR="008E039E" w:rsidRDefault="008E039E" w:rsidP="005622FF">
    <w:pPr>
      <w:pStyle w:val="Footer"/>
      <w:framePr w:wrap="none" w:vAnchor="text" w:hAnchor="margin" w:xAlign="right" w:y="1"/>
      <w:rPr>
        <w:rStyle w:val="PageNumber"/>
      </w:rPr>
    </w:pPr>
  </w:p>
  <w:p w14:paraId="358CCB0C" w14:textId="77777777" w:rsidR="008E039E" w:rsidRDefault="008E039E" w:rsidP="007535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6282A" w14:textId="77777777" w:rsidR="008E039E" w:rsidRDefault="008E039E" w:rsidP="007535E5">
      <w:r>
        <w:separator/>
      </w:r>
    </w:p>
  </w:footnote>
  <w:footnote w:type="continuationSeparator" w:id="0">
    <w:p w14:paraId="51A789D3" w14:textId="77777777" w:rsidR="008E039E" w:rsidRDefault="008E039E" w:rsidP="007535E5">
      <w:r>
        <w:continuationSeparator/>
      </w:r>
    </w:p>
  </w:footnote>
  <w:footnote w:id="1">
    <w:p w14:paraId="267792AD" w14:textId="38607A87" w:rsidR="008E039E" w:rsidRDefault="008E039E">
      <w:pPr>
        <w:pStyle w:val="FootnoteText"/>
      </w:pPr>
      <w:r>
        <w:rPr>
          <w:rStyle w:val="FootnoteReference"/>
        </w:rPr>
        <w:footnoteRef/>
      </w:r>
      <w:r>
        <w:t xml:space="preserve"> </w:t>
      </w:r>
      <w:hyperlink r:id="rId1" w:history="1">
        <w:r w:rsidRPr="00152D65">
          <w:rPr>
            <w:rStyle w:val="Hyperlink"/>
          </w:rPr>
          <w:t>http://www.cpahq.org/cpahq/cpadocs/Commonwealth%20Latimer%20Principles%20web%20version.pdf</w:t>
        </w:r>
      </w:hyperlink>
    </w:p>
    <w:p w14:paraId="579619D9" w14:textId="09ABFF8E" w:rsidR="008E039E" w:rsidRDefault="008E039E">
      <w:pPr>
        <w:pStyle w:val="FootnoteText"/>
      </w:pPr>
      <w:r>
        <w:rPr>
          <w:sz w:val="21"/>
          <w:szCs w:val="21"/>
        </w:rPr>
        <w:t xml:space="preserve">There is also a handbook: </w:t>
      </w:r>
      <w:r w:rsidRPr="00DA3050">
        <w:rPr>
          <w:sz w:val="21"/>
          <w:szCs w:val="21"/>
        </w:rPr>
        <w:t>Commonwealth Secretariat 2017.</w:t>
      </w:r>
    </w:p>
  </w:footnote>
  <w:footnote w:id="2">
    <w:p w14:paraId="57A43A89" w14:textId="7B7869A3" w:rsidR="008E039E" w:rsidRDefault="008E039E" w:rsidP="004751E3">
      <w:pPr>
        <w:pStyle w:val="References"/>
      </w:pPr>
      <w:r w:rsidRPr="00A8455A">
        <w:rPr>
          <w:rStyle w:val="FootnoteReference"/>
        </w:rPr>
        <w:footnoteRef/>
      </w:r>
      <w:r w:rsidRPr="00A8455A">
        <w:t xml:space="preserve"> </w:t>
      </w:r>
      <w:hyperlink r:id="rId2" w:history="1">
        <w:r w:rsidRPr="00152D65">
          <w:rPr>
            <w:rStyle w:val="Hyperlink"/>
          </w:rPr>
          <w:t>http://www.cpahq.org/cpahq/Main/Programmes/Benchmarks_for_democratic_Legislatures.aspx</w:t>
        </w:r>
      </w:hyperlink>
      <w:r>
        <w:t xml:space="preserve"> </w:t>
      </w:r>
    </w:p>
    <w:p w14:paraId="2A767FEB" w14:textId="58F641DE" w:rsidR="008E039E" w:rsidRPr="00731402" w:rsidRDefault="008E039E" w:rsidP="004751E3">
      <w:pPr>
        <w:pStyle w:val="References"/>
      </w:pPr>
      <w:r w:rsidRPr="00731402">
        <w:t xml:space="preserve">For the </w:t>
      </w:r>
      <w:r>
        <w:t xml:space="preserve">application </w:t>
      </w:r>
      <w:r w:rsidRPr="00731402">
        <w:t xml:space="preserve">of these benchmarks </w:t>
      </w:r>
      <w:r>
        <w:t>to</w:t>
      </w:r>
      <w:r w:rsidRPr="00731402">
        <w:t xml:space="preserve"> the ACT Legislative Assembly, see Duncan 2019.</w:t>
      </w:r>
    </w:p>
  </w:footnote>
  <w:footnote w:id="3">
    <w:p w14:paraId="347D4F6D" w14:textId="1616C19D" w:rsidR="008E039E" w:rsidRPr="003A2DA3" w:rsidRDefault="008E039E" w:rsidP="00521D21">
      <w:r w:rsidRPr="00F72F04">
        <w:rPr>
          <w:rStyle w:val="FootnoteReference"/>
          <w:sz w:val="21"/>
          <w:szCs w:val="21"/>
        </w:rPr>
        <w:footnoteRef/>
      </w:r>
      <w:r w:rsidRPr="00F72F04">
        <w:rPr>
          <w:sz w:val="21"/>
          <w:szCs w:val="21"/>
        </w:rPr>
        <w:t xml:space="preserve">Moran et al., </w:t>
      </w:r>
      <w:r>
        <w:rPr>
          <w:sz w:val="21"/>
          <w:szCs w:val="21"/>
        </w:rPr>
        <w:t xml:space="preserve">(2018) </w:t>
      </w:r>
      <w:r w:rsidRPr="00FC32D4">
        <w:rPr>
          <w:i/>
          <w:iCs/>
          <w:sz w:val="21"/>
          <w:szCs w:val="21"/>
        </w:rPr>
        <w:t>Towards a World-Leading Democracy</w:t>
      </w:r>
      <w:r w:rsidRPr="00F72F04">
        <w:rPr>
          <w:sz w:val="21"/>
          <w:szCs w:val="21"/>
        </w:rPr>
        <w:t>, Report of the Seventh Triennial Appropriations</w:t>
      </w:r>
      <w:r w:rsidRPr="00521D21">
        <w:rPr>
          <w:sz w:val="21"/>
          <w:szCs w:val="21"/>
        </w:rPr>
        <w:t xml:space="preserve"> Review Committee, House of Representatives, Wellington, 17 August 2018</w:t>
      </w:r>
      <w:r>
        <w:rPr>
          <w:sz w:val="21"/>
          <w:szCs w:val="21"/>
        </w:rPr>
        <w:t>.</w:t>
      </w:r>
    </w:p>
  </w:footnote>
  <w:footnote w:id="4">
    <w:p w14:paraId="63299BC0" w14:textId="66ADE808" w:rsidR="008E039E" w:rsidRPr="00A8455A" w:rsidRDefault="008E039E">
      <w:pPr>
        <w:pStyle w:val="FootnoteText"/>
        <w:rPr>
          <w:sz w:val="21"/>
          <w:szCs w:val="21"/>
        </w:rPr>
      </w:pPr>
      <w:r w:rsidRPr="00A8455A">
        <w:rPr>
          <w:rStyle w:val="FootnoteReference"/>
          <w:sz w:val="21"/>
          <w:szCs w:val="21"/>
        </w:rPr>
        <w:footnoteRef/>
      </w:r>
      <w:r w:rsidRPr="00A8455A">
        <w:rPr>
          <w:sz w:val="21"/>
          <w:szCs w:val="21"/>
        </w:rPr>
        <w:t xml:space="preserve"> Boston et al</w:t>
      </w:r>
      <w:r>
        <w:rPr>
          <w:sz w:val="21"/>
          <w:szCs w:val="21"/>
        </w:rPr>
        <w:t>., (2019)</w:t>
      </w:r>
      <w:r w:rsidRPr="00A8455A">
        <w:rPr>
          <w:sz w:val="21"/>
          <w:szCs w:val="21"/>
        </w:rPr>
        <w:t xml:space="preserve"> </w:t>
      </w:r>
      <w:r w:rsidRPr="00A8455A">
        <w:rPr>
          <w:i/>
          <w:iCs/>
          <w:sz w:val="21"/>
          <w:szCs w:val="21"/>
        </w:rPr>
        <w:t xml:space="preserve">Foresight, insight and oversight: Enhancing long-term governance through better parliamentary scrutiny, </w:t>
      </w:r>
      <w:r w:rsidRPr="00A8455A">
        <w:rPr>
          <w:sz w:val="21"/>
          <w:szCs w:val="21"/>
        </w:rPr>
        <w:t>2019</w:t>
      </w:r>
      <w:r>
        <w:rPr>
          <w:sz w:val="21"/>
          <w:szCs w:val="21"/>
        </w:rPr>
        <w:t xml:space="preserve">. </w:t>
      </w:r>
      <w:r>
        <w:t>This is a collaboration between academics and the Office of the Clerk of the New Zealand House of Representatives.</w:t>
      </w:r>
    </w:p>
  </w:footnote>
  <w:footnote w:id="5">
    <w:p w14:paraId="13E98B0C" w14:textId="77777777" w:rsidR="008E039E" w:rsidRDefault="008E039E" w:rsidP="00C82867">
      <w:pPr>
        <w:pStyle w:val="FootnoteText"/>
      </w:pPr>
      <w:r>
        <w:rPr>
          <w:rStyle w:val="FootnoteReference"/>
        </w:rPr>
        <w:footnoteRef/>
      </w:r>
      <w:r>
        <w:t xml:space="preserve"> The table was completed while there were seven Ministers.</w:t>
      </w:r>
    </w:p>
  </w:footnote>
  <w:footnote w:id="6">
    <w:p w14:paraId="4ED466E6" w14:textId="77777777" w:rsidR="00183365" w:rsidRDefault="00183365" w:rsidP="00183365">
      <w:pPr>
        <w:pStyle w:val="FootnoteText"/>
      </w:pPr>
      <w:r>
        <w:rPr>
          <w:rStyle w:val="FootnoteReference"/>
        </w:rPr>
        <w:footnoteRef/>
      </w:r>
      <w:r>
        <w:t xml:space="preserve"> </w:t>
      </w:r>
      <w:r w:rsidRPr="0083205E">
        <w:t>Professor George Williams</w:t>
      </w:r>
      <w:r>
        <w:t xml:space="preserve"> quoted in Expert Reference Group 2013, p.17.</w:t>
      </w:r>
    </w:p>
  </w:footnote>
  <w:footnote w:id="7">
    <w:p w14:paraId="0B2465BC" w14:textId="4321E763" w:rsidR="008E039E" w:rsidRPr="00C1441C" w:rsidRDefault="008E039E" w:rsidP="00732214">
      <w:pPr>
        <w:jc w:val="both"/>
        <w:rPr>
          <w:sz w:val="21"/>
          <w:szCs w:val="21"/>
        </w:rPr>
      </w:pPr>
      <w:r w:rsidRPr="00C1441C">
        <w:rPr>
          <w:rStyle w:val="FootnoteReference"/>
          <w:sz w:val="21"/>
          <w:szCs w:val="21"/>
        </w:rPr>
        <w:footnoteRef/>
      </w:r>
      <w:r w:rsidRPr="00C1441C">
        <w:rPr>
          <w:sz w:val="21"/>
          <w:szCs w:val="21"/>
        </w:rPr>
        <w:t xml:space="preserve"> Select Committee on Estimates 2019-2020, Appropriation Bill 2019-2020 and Appropriation (Office of the Legislative Assembly) Bill 2019-2020</w:t>
      </w:r>
      <w:r>
        <w:rPr>
          <w:sz w:val="21"/>
          <w:szCs w:val="21"/>
        </w:rPr>
        <w:t xml:space="preserve">, </w:t>
      </w:r>
      <w:r w:rsidRPr="00B62DA6">
        <w:rPr>
          <w:i/>
          <w:iCs/>
          <w:sz w:val="21"/>
          <w:szCs w:val="21"/>
        </w:rPr>
        <w:t>Report</w:t>
      </w:r>
      <w:r>
        <w:rPr>
          <w:sz w:val="21"/>
          <w:szCs w:val="21"/>
        </w:rPr>
        <w:t>, ACT Legislative Assembly, July 2019.</w:t>
      </w:r>
    </w:p>
  </w:footnote>
  <w:footnote w:id="8">
    <w:p w14:paraId="717E3E6E" w14:textId="6F9D8638" w:rsidR="008E039E" w:rsidRDefault="008E039E" w:rsidP="00732214">
      <w:pPr>
        <w:pStyle w:val="FootnoteText"/>
        <w:jc w:val="both"/>
      </w:pPr>
      <w:r>
        <w:rPr>
          <w:rStyle w:val="FootnoteReference"/>
        </w:rPr>
        <w:footnoteRef/>
      </w:r>
      <w:r>
        <w:t xml:space="preserve"> The scale </w:t>
      </w:r>
      <w:r w:rsidRPr="002946C5">
        <w:t xml:space="preserve">for assessing </w:t>
      </w:r>
      <w:r>
        <w:t xml:space="preserve">the </w:t>
      </w:r>
      <w:r w:rsidRPr="002946C5">
        <w:t xml:space="preserve">quality of performance measures </w:t>
      </w:r>
      <w:r>
        <w:t>ranges from 0 to 3 (for more details see Smith 2019, Appendix A).</w:t>
      </w:r>
    </w:p>
  </w:footnote>
  <w:footnote w:id="9">
    <w:p w14:paraId="0942A64F" w14:textId="72E0296B" w:rsidR="008E039E" w:rsidRDefault="008E039E" w:rsidP="00732214">
      <w:pPr>
        <w:pStyle w:val="FootnoteText"/>
        <w:jc w:val="both"/>
      </w:pPr>
      <w:r w:rsidRPr="00860E9A">
        <w:rPr>
          <w:rStyle w:val="FootnoteReference"/>
          <w:sz w:val="21"/>
          <w:szCs w:val="21"/>
        </w:rPr>
        <w:footnoteRef/>
      </w:r>
      <w:r w:rsidRPr="00860E9A">
        <w:rPr>
          <w:sz w:val="21"/>
          <w:szCs w:val="21"/>
        </w:rPr>
        <w:t xml:space="preserve"> Chief Minister, Treasury and Economic Development Directorate (2019) </w:t>
      </w:r>
      <w:r w:rsidRPr="00860E9A">
        <w:rPr>
          <w:i/>
          <w:iCs/>
          <w:sz w:val="21"/>
          <w:szCs w:val="21"/>
        </w:rPr>
        <w:t>Strengthening Performance and</w:t>
      </w:r>
      <w:r w:rsidRPr="00C62959">
        <w:rPr>
          <w:i/>
          <w:iCs/>
          <w:sz w:val="21"/>
          <w:szCs w:val="21"/>
        </w:rPr>
        <w:t xml:space="preserve"> Accountability: A Framework for the ACT Government</w:t>
      </w:r>
      <w:r w:rsidRPr="00C62959">
        <w:rPr>
          <w:sz w:val="21"/>
          <w:szCs w:val="21"/>
        </w:rPr>
        <w:t>, ACT Government, Canberra</w:t>
      </w:r>
    </w:p>
  </w:footnote>
  <w:footnote w:id="10">
    <w:p w14:paraId="0C5F3E5B" w14:textId="1E9A1349" w:rsidR="008E039E" w:rsidRPr="00112D2F" w:rsidRDefault="008E039E" w:rsidP="00D8743D">
      <w:pPr>
        <w:rPr>
          <w:color w:val="000000" w:themeColor="text1"/>
          <w:sz w:val="20"/>
          <w:szCs w:val="20"/>
        </w:rPr>
      </w:pPr>
      <w:r w:rsidRPr="00112D2F">
        <w:rPr>
          <w:rStyle w:val="FootnoteReference"/>
          <w:color w:val="000000" w:themeColor="text1"/>
          <w:sz w:val="20"/>
          <w:szCs w:val="20"/>
        </w:rPr>
        <w:footnoteRef/>
      </w:r>
      <w:r w:rsidRPr="00112D2F">
        <w:rPr>
          <w:color w:val="000000" w:themeColor="text1"/>
          <w:sz w:val="20"/>
          <w:szCs w:val="20"/>
        </w:rPr>
        <w:t xml:space="preserve"> https://www.legislation.act.gov.au/a/2018-33/</w:t>
      </w:r>
    </w:p>
  </w:footnote>
  <w:footnote w:id="11">
    <w:p w14:paraId="3B0C4349" w14:textId="61CA553C" w:rsidR="008E039E" w:rsidRPr="008A4CD0" w:rsidRDefault="008E039E">
      <w:pPr>
        <w:pStyle w:val="FootnoteText"/>
        <w:rPr>
          <w:sz w:val="21"/>
          <w:szCs w:val="21"/>
        </w:rPr>
      </w:pPr>
      <w:r w:rsidRPr="008A4CD0">
        <w:rPr>
          <w:rStyle w:val="FootnoteReference"/>
          <w:sz w:val="21"/>
          <w:szCs w:val="21"/>
        </w:rPr>
        <w:footnoteRef/>
      </w:r>
      <w:r w:rsidRPr="008A4CD0">
        <w:rPr>
          <w:sz w:val="21"/>
          <w:szCs w:val="21"/>
        </w:rPr>
        <w:t xml:space="preserve"> https://www.cmtedd.act.gov.au/industrial-relations-and-public-sector-management/commissioner</w:t>
      </w:r>
    </w:p>
  </w:footnote>
  <w:footnote w:id="12">
    <w:p w14:paraId="799E93E4" w14:textId="16054495" w:rsidR="008E039E" w:rsidRPr="00D30B4D" w:rsidRDefault="008E039E" w:rsidP="00745773">
      <w:pPr>
        <w:pStyle w:val="FootnoteText"/>
        <w:rPr>
          <w:rFonts w:eastAsia="Times New Roman" w:cs="Times New Roman"/>
          <w:color w:val="313131"/>
          <w:sz w:val="21"/>
          <w:szCs w:val="21"/>
        </w:rPr>
      </w:pPr>
      <w:r>
        <w:rPr>
          <w:rStyle w:val="FootnoteReference"/>
        </w:rPr>
        <w:footnoteRef/>
      </w:r>
      <w:r>
        <w:rPr>
          <w:rFonts w:eastAsia="Times New Roman" w:cs="Times New Roman"/>
          <w:color w:val="313131"/>
          <w:sz w:val="21"/>
          <w:szCs w:val="21"/>
        </w:rPr>
        <w:t xml:space="preserve"> </w:t>
      </w:r>
      <w:r w:rsidRPr="00D30B4D">
        <w:t>https://www.cmtedd.act.gov.au/open_government</w:t>
      </w:r>
    </w:p>
  </w:footnote>
  <w:footnote w:id="13">
    <w:p w14:paraId="02809635" w14:textId="5BBD5E02" w:rsidR="008E039E" w:rsidRDefault="008E039E">
      <w:pPr>
        <w:pStyle w:val="FootnoteText"/>
      </w:pPr>
      <w:r>
        <w:rPr>
          <w:rStyle w:val="FootnoteReference"/>
        </w:rPr>
        <w:footnoteRef/>
      </w:r>
      <w:r>
        <w:t xml:space="preserve"> </w:t>
      </w:r>
      <w:r w:rsidRPr="008A3EAC">
        <w:t>https://www.act.gov.au/open-access/about</w:t>
      </w:r>
    </w:p>
  </w:footnote>
  <w:footnote w:id="14">
    <w:p w14:paraId="774120CB" w14:textId="77777777" w:rsidR="008E039E" w:rsidRDefault="008E039E" w:rsidP="00746674">
      <w:pPr>
        <w:pStyle w:val="FootnoteText"/>
      </w:pPr>
      <w:r>
        <w:rPr>
          <w:rStyle w:val="FootnoteReference"/>
        </w:rPr>
        <w:footnoteRef/>
      </w:r>
      <w:r>
        <w:t xml:space="preserve"> </w:t>
      </w:r>
      <w:hyperlink r:id="rId3">
        <w:r w:rsidRPr="00AF0A36">
          <w:rPr>
            <w:color w:val="003399"/>
          </w:rPr>
          <w:t>http://www.cmd.act.gov.au/open_government/inform/cabinet</w:t>
        </w:r>
      </w:hyperlink>
      <w:r w:rsidRPr="00930D16">
        <w:t>.</w:t>
      </w:r>
    </w:p>
  </w:footnote>
  <w:footnote w:id="15">
    <w:p w14:paraId="3ABB9EF1" w14:textId="7840000E" w:rsidR="008E039E" w:rsidRDefault="008E039E">
      <w:pPr>
        <w:pStyle w:val="FootnoteText"/>
      </w:pPr>
      <w:r>
        <w:rPr>
          <w:rStyle w:val="FootnoteReference"/>
        </w:rPr>
        <w:footnoteRef/>
      </w:r>
      <w:r>
        <w:t xml:space="preserve"> </w:t>
      </w:r>
      <w:hyperlink r:id="rId4" w:history="1">
        <w:r w:rsidRPr="00E5383E">
          <w:rPr>
            <w:rStyle w:val="Hyperlink"/>
            <w:sz w:val="22"/>
            <w:lang w:eastAsia="en-GB"/>
          </w:rPr>
          <w:t>https://www.parliament.vic.gov.au/assembly/publications-a-research/fact-sheets/2489-fact-sheet-g2</w:t>
        </w:r>
      </w:hyperlink>
    </w:p>
  </w:footnote>
  <w:footnote w:id="16">
    <w:p w14:paraId="63F2B232" w14:textId="3C7820B7" w:rsidR="008E039E" w:rsidRPr="003D730A" w:rsidRDefault="008E039E">
      <w:pPr>
        <w:pStyle w:val="FootnoteText"/>
      </w:pPr>
      <w:r>
        <w:rPr>
          <w:rStyle w:val="FootnoteReference"/>
        </w:rPr>
        <w:footnoteRef/>
      </w:r>
      <w:r>
        <w:t xml:space="preserve"> </w:t>
      </w:r>
      <w:hyperlink r:id="rId5" w:history="1">
        <w:r w:rsidRPr="00FD0E7E">
          <w:rPr>
            <w:rStyle w:val="Hyperlink"/>
            <w:rFonts w:eastAsia="Times New Roman" w:cs="Times New Roman"/>
            <w:lang w:eastAsia="en-GB"/>
          </w:rPr>
          <w:t>https://www.parliament.qld.gov.au/documents/assembly/procedures/ParliamentaryProceduresHandbook.pdf</w:t>
        </w:r>
      </w:hyperlink>
      <w:r>
        <w:rPr>
          <w:rFonts w:eastAsia="Times New Roman" w:cs="Times New Roman"/>
          <w:lang w:eastAsia="en-GB"/>
        </w:rPr>
        <w:t>, p.48</w:t>
      </w:r>
    </w:p>
  </w:footnote>
  <w:footnote w:id="17">
    <w:p w14:paraId="278CB51D" w14:textId="60975F72" w:rsidR="008E039E" w:rsidRPr="00656D3A" w:rsidRDefault="008E039E" w:rsidP="00CD221B">
      <w:pPr>
        <w:rPr>
          <w:sz w:val="21"/>
          <w:szCs w:val="21"/>
          <w:lang w:val="en-US"/>
        </w:rPr>
      </w:pPr>
      <w:r w:rsidRPr="00732030">
        <w:rPr>
          <w:rStyle w:val="FootnoteReference"/>
          <w:sz w:val="21"/>
          <w:szCs w:val="21"/>
        </w:rPr>
        <w:footnoteRef/>
      </w:r>
      <w:r>
        <w:t xml:space="preserve"> </w:t>
      </w:r>
      <w:r w:rsidRPr="00352795">
        <w:rPr>
          <w:sz w:val="21"/>
          <w:szCs w:val="21"/>
          <w:lang w:val="en-US"/>
        </w:rPr>
        <w:t xml:space="preserve">Commonwealth (Latimer House) Principles on the Three Branches of Government, 2009, </w:t>
      </w:r>
      <w:r>
        <w:t xml:space="preserve">Edinburgh </w:t>
      </w:r>
      <w:r w:rsidRPr="00B2469A">
        <w:rPr>
          <w:sz w:val="21"/>
          <w:szCs w:val="21"/>
        </w:rPr>
        <w:t xml:space="preserve">Plan of Action, July 2008, </w:t>
      </w:r>
      <w:r w:rsidRPr="00B2469A">
        <w:rPr>
          <w:sz w:val="21"/>
          <w:szCs w:val="21"/>
          <w:lang w:val="en-US"/>
        </w:rPr>
        <w:t>p.42</w:t>
      </w:r>
      <w:r>
        <w:rPr>
          <w:sz w:val="21"/>
          <w:szCs w:val="21"/>
          <w:lang w:val="en-US"/>
        </w:rPr>
        <w:t>; Annex, Latimer House Guidelines for the Commonwealth, p.22.</w:t>
      </w:r>
    </w:p>
  </w:footnote>
  <w:footnote w:id="18">
    <w:p w14:paraId="5F090B86" w14:textId="77777777" w:rsidR="008E039E" w:rsidRDefault="008E039E" w:rsidP="00732030">
      <w:pPr>
        <w:pStyle w:val="FootnoteText"/>
      </w:pPr>
      <w:r>
        <w:rPr>
          <w:rStyle w:val="FootnoteReference"/>
        </w:rPr>
        <w:footnoteRef/>
      </w:r>
      <w:r>
        <w:t xml:space="preserve">  </w:t>
      </w:r>
      <w:r w:rsidRPr="00926553">
        <w:rPr>
          <w:sz w:val="21"/>
          <w:szCs w:val="21"/>
          <w:lang w:val="en-US"/>
        </w:rPr>
        <w:t>Commonwealth Parliamentary Association, Recommended Benchmarks for Democratic Legislatures, A Study Group Report, Commonwealth Parliamentary Association Secretariat, London, 2006.</w:t>
      </w:r>
    </w:p>
  </w:footnote>
  <w:footnote w:id="19">
    <w:p w14:paraId="2635BB12" w14:textId="77777777" w:rsidR="008E039E" w:rsidRPr="00FC5EAC" w:rsidRDefault="008E039E" w:rsidP="00C54C22">
      <w:pPr>
        <w:jc w:val="both"/>
        <w:rPr>
          <w:sz w:val="21"/>
          <w:szCs w:val="21"/>
        </w:rPr>
      </w:pPr>
      <w:r w:rsidRPr="00FC5EAC">
        <w:rPr>
          <w:rStyle w:val="FootnoteReference"/>
          <w:sz w:val="21"/>
          <w:szCs w:val="21"/>
        </w:rPr>
        <w:footnoteRef/>
      </w:r>
      <w:r>
        <w:rPr>
          <w:sz w:val="21"/>
          <w:szCs w:val="21"/>
        </w:rPr>
        <w:t xml:space="preserve"> </w:t>
      </w:r>
      <w:r w:rsidRPr="00FC5EAC">
        <w:rPr>
          <w:sz w:val="21"/>
          <w:szCs w:val="21"/>
        </w:rPr>
        <w:t>Budget Protocols Agreement for the Office of the Legislative Assembly and</w:t>
      </w:r>
      <w:r w:rsidRPr="00FC5EAC">
        <w:rPr>
          <w:sz w:val="21"/>
          <w:szCs w:val="21"/>
        </w:rPr>
        <w:br/>
        <w:t>Officers of the Legislative Assembly, 2018. https://www.parliament.act.gov.au/Publications/budget-protocols</w:t>
      </w:r>
      <w:r>
        <w:rPr>
          <w:sz w:val="21"/>
          <w:szCs w:val="21"/>
        </w:rPr>
        <w:t>.</w:t>
      </w:r>
    </w:p>
  </w:footnote>
  <w:footnote w:id="20">
    <w:p w14:paraId="431DA448" w14:textId="2F77E788" w:rsidR="008E039E" w:rsidRPr="00642BB7" w:rsidRDefault="008E039E" w:rsidP="00642BB7">
      <w:pPr>
        <w:rPr>
          <w:color w:val="000000" w:themeColor="text1"/>
          <w:sz w:val="21"/>
          <w:szCs w:val="21"/>
        </w:rPr>
      </w:pPr>
      <w:r w:rsidRPr="00642BB7">
        <w:rPr>
          <w:rStyle w:val="FootnoteReference"/>
          <w:color w:val="000000" w:themeColor="text1"/>
          <w:sz w:val="21"/>
          <w:szCs w:val="21"/>
        </w:rPr>
        <w:footnoteRef/>
      </w:r>
      <w:r w:rsidRPr="00642BB7">
        <w:rPr>
          <w:color w:val="000000" w:themeColor="text1"/>
          <w:sz w:val="21"/>
          <w:szCs w:val="21"/>
        </w:rPr>
        <w:t xml:space="preserve"> </w:t>
      </w:r>
      <w:r w:rsidRPr="00642BB7">
        <w:rPr>
          <w:color w:val="000000" w:themeColor="text1"/>
          <w:sz w:val="21"/>
          <w:szCs w:val="21"/>
          <w:shd w:val="clear" w:color="auto" w:fill="FFFFFF"/>
        </w:rPr>
        <w:t xml:space="preserve">The Electoral Commission in fact comprises three officers of the ACT Legislative Assembly: a full-time Electoral Commissioner and a part-time </w:t>
      </w:r>
      <w:r>
        <w:rPr>
          <w:color w:val="000000" w:themeColor="text1"/>
          <w:sz w:val="21"/>
          <w:szCs w:val="21"/>
          <w:shd w:val="clear" w:color="auto" w:fill="FFFFFF"/>
        </w:rPr>
        <w:t>C</w:t>
      </w:r>
      <w:r w:rsidRPr="00642BB7">
        <w:rPr>
          <w:color w:val="000000" w:themeColor="text1"/>
          <w:sz w:val="21"/>
          <w:szCs w:val="21"/>
          <w:shd w:val="clear" w:color="auto" w:fill="FFFFFF"/>
        </w:rPr>
        <w:t>hairperson and part-time member.</w:t>
      </w:r>
    </w:p>
  </w:footnote>
  <w:footnote w:id="21">
    <w:p w14:paraId="347D7423" w14:textId="77777777" w:rsidR="008E039E" w:rsidRPr="00A5292B" w:rsidRDefault="008E039E" w:rsidP="00CE7D14">
      <w:pPr>
        <w:pStyle w:val="FootnoteText"/>
        <w:rPr>
          <w:sz w:val="21"/>
          <w:szCs w:val="21"/>
        </w:rPr>
      </w:pPr>
      <w:r w:rsidRPr="00A5292B">
        <w:rPr>
          <w:rStyle w:val="FootnoteReference"/>
          <w:sz w:val="21"/>
          <w:szCs w:val="21"/>
        </w:rPr>
        <w:footnoteRef/>
      </w:r>
      <w:r w:rsidRPr="00A5292B">
        <w:rPr>
          <w:sz w:val="21"/>
          <w:szCs w:val="21"/>
        </w:rPr>
        <w:t xml:space="preserve"> </w:t>
      </w:r>
      <w:r w:rsidRPr="00A5292B">
        <w:rPr>
          <w:sz w:val="21"/>
          <w:szCs w:val="21"/>
          <w:lang w:val="en-US"/>
        </w:rPr>
        <w:t xml:space="preserve">Standing Committee on Administration and Procedure </w:t>
      </w:r>
      <w:r w:rsidRPr="00A5292B">
        <w:rPr>
          <w:i/>
          <w:sz w:val="21"/>
          <w:szCs w:val="21"/>
          <w:lang w:val="en-US"/>
        </w:rPr>
        <w:t>The Merit of Appointing a Parliamentary Budget Officer</w:t>
      </w:r>
      <w:r w:rsidRPr="00A5292B">
        <w:rPr>
          <w:sz w:val="21"/>
          <w:szCs w:val="21"/>
          <w:lang w:val="en-US"/>
        </w:rPr>
        <w:t>, Canberra, August 2009.</w:t>
      </w:r>
    </w:p>
  </w:footnote>
  <w:footnote w:id="22">
    <w:p w14:paraId="7F827E66" w14:textId="77777777" w:rsidR="008E039E" w:rsidRPr="0011569A" w:rsidRDefault="008E039E" w:rsidP="00577894">
      <w:pPr>
        <w:jc w:val="both"/>
        <w:rPr>
          <w:sz w:val="21"/>
          <w:szCs w:val="21"/>
        </w:rPr>
      </w:pPr>
      <w:r w:rsidRPr="0011569A">
        <w:rPr>
          <w:rStyle w:val="FootnoteReference"/>
          <w:sz w:val="21"/>
          <w:szCs w:val="21"/>
        </w:rPr>
        <w:footnoteRef/>
      </w:r>
      <w:r w:rsidRPr="0011569A">
        <w:rPr>
          <w:sz w:val="21"/>
          <w:szCs w:val="21"/>
        </w:rPr>
        <w:t xml:space="preserve"> https://www.parliament.nz/en/footer/about-us/offices-of-parliament/</w:t>
      </w:r>
    </w:p>
  </w:footnote>
  <w:footnote w:id="23">
    <w:p w14:paraId="008C3EDB" w14:textId="48C373F9" w:rsidR="008E039E" w:rsidRPr="00E917BE" w:rsidRDefault="008E039E" w:rsidP="00E917BE">
      <w:pPr>
        <w:jc w:val="both"/>
        <w:rPr>
          <w:sz w:val="21"/>
          <w:szCs w:val="21"/>
        </w:rPr>
      </w:pPr>
      <w:r w:rsidRPr="00E917BE">
        <w:rPr>
          <w:rStyle w:val="FootnoteReference"/>
          <w:sz w:val="21"/>
          <w:szCs w:val="21"/>
        </w:rPr>
        <w:footnoteRef/>
      </w:r>
      <w:r w:rsidRPr="00E917BE">
        <w:rPr>
          <w:sz w:val="21"/>
          <w:szCs w:val="21"/>
        </w:rPr>
        <w:t xml:space="preserve"> Burch, J. Keeping the Legislature Modern/The Addition of the Integrity Commissioner as an Office of the Assembly, paper presented to 50th Presiding Officers and Clerks Conference, Brisbane, 8-11 July 2019.</w:t>
      </w:r>
    </w:p>
  </w:footnote>
  <w:footnote w:id="24">
    <w:p w14:paraId="7AC82C6B" w14:textId="77777777" w:rsidR="008E039E" w:rsidRPr="00E917BE" w:rsidRDefault="008E039E" w:rsidP="001E6EBE">
      <w:pPr>
        <w:pStyle w:val="FootnoteText"/>
        <w:rPr>
          <w:sz w:val="21"/>
          <w:szCs w:val="21"/>
        </w:rPr>
      </w:pPr>
      <w:r w:rsidRPr="00E917BE">
        <w:rPr>
          <w:rStyle w:val="FootnoteReference"/>
          <w:sz w:val="21"/>
          <w:szCs w:val="21"/>
        </w:rPr>
        <w:footnoteRef/>
      </w:r>
      <w:r w:rsidRPr="00E917BE">
        <w:rPr>
          <w:sz w:val="21"/>
          <w:szCs w:val="21"/>
        </w:rPr>
        <w:t xml:space="preserve"> </w:t>
      </w:r>
      <w:hyperlink r:id="rId6">
        <w:r w:rsidRPr="00E917BE">
          <w:rPr>
            <w:color w:val="0000FF"/>
            <w:sz w:val="21"/>
            <w:szCs w:val="21"/>
            <w:u w:val="single" w:color="0000FF"/>
          </w:rPr>
          <w:t>https://www.legislation.act.gov.au/a/2018-52/</w:t>
        </w:r>
      </w:hyperlink>
    </w:p>
  </w:footnote>
  <w:footnote w:id="25">
    <w:p w14:paraId="4D594BDB" w14:textId="77777777" w:rsidR="008E039E" w:rsidRPr="00D76C28" w:rsidRDefault="008E039E" w:rsidP="00D76C28">
      <w:pPr>
        <w:spacing w:line="276" w:lineRule="auto"/>
        <w:jc w:val="both"/>
        <w:rPr>
          <w:sz w:val="21"/>
          <w:szCs w:val="21"/>
        </w:rPr>
      </w:pPr>
      <w:r w:rsidRPr="00D76C28">
        <w:rPr>
          <w:rStyle w:val="FootnoteReference"/>
          <w:sz w:val="21"/>
          <w:szCs w:val="21"/>
        </w:rPr>
        <w:footnoteRef/>
      </w:r>
      <w:r w:rsidRPr="00D76C28">
        <w:rPr>
          <w:sz w:val="21"/>
          <w:szCs w:val="21"/>
        </w:rPr>
        <w:t xml:space="preserve"> Office of the ACT Assembly 2017-18 Annual Report, p.40.</w:t>
      </w:r>
    </w:p>
  </w:footnote>
  <w:footnote w:id="26">
    <w:p w14:paraId="77050D70" w14:textId="1399E0A4" w:rsidR="008E039E" w:rsidRPr="00487F99" w:rsidRDefault="008E039E" w:rsidP="00425669">
      <w:pPr>
        <w:pStyle w:val="FootnoteText"/>
        <w:rPr>
          <w:sz w:val="21"/>
          <w:szCs w:val="21"/>
        </w:rPr>
      </w:pPr>
      <w:r w:rsidRPr="00487F99">
        <w:rPr>
          <w:rStyle w:val="FootnoteReference"/>
          <w:sz w:val="21"/>
          <w:szCs w:val="21"/>
        </w:rPr>
        <w:footnoteRef/>
      </w:r>
      <w:r w:rsidRPr="00487F99">
        <w:rPr>
          <w:sz w:val="21"/>
          <w:szCs w:val="21"/>
        </w:rPr>
        <w:t xml:space="preserve"> Standing Committee on Economic Development and Tourism, Inquiry into drone delivery systems in the ACT, July 2019, Report </w:t>
      </w:r>
      <w:r w:rsidRPr="00487F99">
        <w:rPr>
          <w:rFonts w:cs="Times New Roman"/>
          <w:smallCaps/>
          <w:sz w:val="21"/>
          <w:szCs w:val="21"/>
        </w:rPr>
        <w:t>6</w:t>
      </w:r>
      <w:r w:rsidRPr="00487F99">
        <w:rPr>
          <w:rFonts w:ascii="Arial Narrow" w:hAnsi="Arial Narrow"/>
          <w:smallCaps/>
          <w:sz w:val="21"/>
          <w:szCs w:val="21"/>
        </w:rPr>
        <w:t>.</w:t>
      </w:r>
    </w:p>
  </w:footnote>
  <w:footnote w:id="27">
    <w:p w14:paraId="4D359351" w14:textId="69E8C9C8" w:rsidR="008E039E" w:rsidRPr="00844185" w:rsidRDefault="008E039E" w:rsidP="00425669">
      <w:pPr>
        <w:pStyle w:val="FootnoteText"/>
        <w:rPr>
          <w:sz w:val="21"/>
          <w:szCs w:val="21"/>
        </w:rPr>
      </w:pPr>
      <w:r w:rsidRPr="00844185">
        <w:rPr>
          <w:rStyle w:val="FootnoteReference"/>
          <w:sz w:val="21"/>
          <w:szCs w:val="21"/>
        </w:rPr>
        <w:footnoteRef/>
      </w:r>
      <w:r w:rsidRPr="00844185">
        <w:rPr>
          <w:sz w:val="21"/>
          <w:szCs w:val="21"/>
        </w:rPr>
        <w:t xml:space="preserve"> For example, information packs were sent to schools to encourage student engagement. The committee’s site visits (e.g. Tidbinbilla Nature Reserve) were filmed for the Assembly’s website.</w:t>
      </w:r>
    </w:p>
  </w:footnote>
  <w:footnote w:id="28">
    <w:p w14:paraId="61301783" w14:textId="544BAA82" w:rsidR="008E039E" w:rsidRPr="00AB0A61" w:rsidRDefault="008E039E" w:rsidP="00425669">
      <w:pPr>
        <w:jc w:val="both"/>
        <w:rPr>
          <w:sz w:val="21"/>
          <w:szCs w:val="21"/>
        </w:rPr>
      </w:pPr>
      <w:r w:rsidRPr="0005647C">
        <w:rPr>
          <w:rStyle w:val="FootnoteReference"/>
          <w:sz w:val="21"/>
          <w:szCs w:val="21"/>
        </w:rPr>
        <w:footnoteRef/>
      </w:r>
      <w:r w:rsidRPr="0005647C">
        <w:rPr>
          <w:sz w:val="21"/>
          <w:szCs w:val="21"/>
        </w:rPr>
        <w:t xml:space="preserve"> </w:t>
      </w:r>
      <w:r w:rsidRPr="0005647C">
        <w:rPr>
          <w:color w:val="313131"/>
          <w:sz w:val="21"/>
          <w:szCs w:val="21"/>
        </w:rPr>
        <w:t>https://www.cmtedd.act.gov.au/open_government/what_is_open_government</w:t>
      </w:r>
    </w:p>
  </w:footnote>
  <w:footnote w:id="29">
    <w:p w14:paraId="13CC88F5" w14:textId="6DCDC714" w:rsidR="008E039E" w:rsidRPr="003B2A1D" w:rsidRDefault="008E039E" w:rsidP="005F00D4">
      <w:pPr>
        <w:pStyle w:val="FootnoteText"/>
        <w:rPr>
          <w:sz w:val="21"/>
          <w:szCs w:val="21"/>
        </w:rPr>
      </w:pPr>
      <w:r w:rsidRPr="003B2A1D">
        <w:rPr>
          <w:rStyle w:val="FootnoteReference"/>
          <w:sz w:val="21"/>
          <w:szCs w:val="21"/>
        </w:rPr>
        <w:footnoteRef/>
      </w:r>
      <w:r w:rsidRPr="003B2A1D">
        <w:rPr>
          <w:sz w:val="21"/>
          <w:szCs w:val="21"/>
        </w:rPr>
        <w:t xml:space="preserve"> </w:t>
      </w:r>
      <w:hyperlink r:id="rId7" w:history="1">
        <w:r w:rsidRPr="001C61D9">
          <w:rPr>
            <w:rStyle w:val="Hyperlink"/>
            <w:sz w:val="21"/>
            <w:szCs w:val="21"/>
          </w:rPr>
          <w:t>https://www.act.gov.au/yoursay/our-conversations/we-are-cbr</w:t>
        </w:r>
      </w:hyperlink>
      <w:r>
        <w:rPr>
          <w:sz w:val="21"/>
          <w:szCs w:val="21"/>
        </w:rPr>
        <w:t xml:space="preserve">; Chief Minister, </w:t>
      </w:r>
      <w:r w:rsidRPr="00C120CF">
        <w:rPr>
          <w:i/>
          <w:iCs/>
          <w:sz w:val="21"/>
          <w:szCs w:val="21"/>
        </w:rPr>
        <w:t xml:space="preserve">ACT Legislative Assembly </w:t>
      </w:r>
      <w:r w:rsidRPr="00A1762B">
        <w:rPr>
          <w:i/>
          <w:iCs/>
          <w:sz w:val="21"/>
          <w:szCs w:val="21"/>
        </w:rPr>
        <w:t>Hansard</w:t>
      </w:r>
      <w:r>
        <w:rPr>
          <w:sz w:val="21"/>
          <w:szCs w:val="21"/>
        </w:rPr>
        <w:t xml:space="preserve"> 20 August, p.3157.</w:t>
      </w:r>
    </w:p>
  </w:footnote>
  <w:footnote w:id="30">
    <w:p w14:paraId="171CE507" w14:textId="77777777" w:rsidR="008E039E" w:rsidRPr="00AF255A" w:rsidRDefault="008E039E" w:rsidP="005F00D4">
      <w:pPr>
        <w:rPr>
          <w:sz w:val="21"/>
          <w:szCs w:val="21"/>
        </w:rPr>
      </w:pPr>
      <w:r w:rsidRPr="00AF255A">
        <w:rPr>
          <w:rStyle w:val="FootnoteReference"/>
          <w:sz w:val="21"/>
          <w:szCs w:val="21"/>
        </w:rPr>
        <w:footnoteRef/>
      </w:r>
      <w:r>
        <w:rPr>
          <w:sz w:val="21"/>
          <w:szCs w:val="21"/>
        </w:rPr>
        <w:t xml:space="preserve"> </w:t>
      </w:r>
      <w:r w:rsidRPr="00D66797">
        <w:rPr>
          <w:sz w:val="21"/>
          <w:szCs w:val="21"/>
        </w:rPr>
        <w:t>https://www.act.gov.au/__data/assets/pdf_file/0020/1324640/2019-WhoG-Communications-and-Engagement-Plan.pdf</w:t>
      </w:r>
    </w:p>
  </w:footnote>
  <w:footnote w:id="31">
    <w:p w14:paraId="129C6DBC" w14:textId="16BC4952" w:rsidR="008E039E" w:rsidRPr="00AE2B36" w:rsidRDefault="008E039E" w:rsidP="00425669">
      <w:pPr>
        <w:pStyle w:val="FootnoteText"/>
        <w:rPr>
          <w:sz w:val="21"/>
          <w:szCs w:val="21"/>
        </w:rPr>
      </w:pPr>
      <w:r w:rsidRPr="009B498A">
        <w:rPr>
          <w:rStyle w:val="FootnoteReference"/>
          <w:color w:val="000000" w:themeColor="text1"/>
          <w:sz w:val="21"/>
          <w:szCs w:val="21"/>
        </w:rPr>
        <w:footnoteRef/>
      </w:r>
      <w:r w:rsidRPr="009B498A">
        <w:rPr>
          <w:color w:val="000000" w:themeColor="text1"/>
          <w:sz w:val="21"/>
          <w:szCs w:val="21"/>
        </w:rPr>
        <w:t xml:space="preserve">  </w:t>
      </w:r>
      <w:hyperlink r:id="rId8" w:history="1">
        <w:r w:rsidRPr="009B498A">
          <w:rPr>
            <w:rStyle w:val="Hyperlink"/>
            <w:color w:val="000000" w:themeColor="text1"/>
            <w:kern w:val="36"/>
            <w:sz w:val="21"/>
            <w:szCs w:val="21"/>
            <w:u w:val="none"/>
          </w:rPr>
          <w:t>https://www.act.gov.au/yoursay/our-conversations/we-are-cbr</w:t>
        </w:r>
      </w:hyperlink>
      <w:r w:rsidRPr="009B498A">
        <w:rPr>
          <w:rStyle w:val="Hyperlink"/>
          <w:color w:val="000000" w:themeColor="text1"/>
          <w:kern w:val="36"/>
          <w:sz w:val="21"/>
          <w:szCs w:val="21"/>
          <w:u w:val="none"/>
        </w:rPr>
        <w:t>;</w:t>
      </w:r>
      <w:r w:rsidRPr="009B498A">
        <w:rPr>
          <w:rStyle w:val="Hyperlink"/>
          <w:color w:val="000000" w:themeColor="text1"/>
          <w:kern w:val="36"/>
          <w:sz w:val="21"/>
          <w:szCs w:val="21"/>
        </w:rPr>
        <w:t xml:space="preserve"> </w:t>
      </w:r>
      <w:r w:rsidRPr="00AE2B36">
        <w:rPr>
          <w:sz w:val="21"/>
          <w:szCs w:val="21"/>
        </w:rPr>
        <w:t>Moore 2019.</w:t>
      </w:r>
    </w:p>
  </w:footnote>
  <w:footnote w:id="32">
    <w:p w14:paraId="1C1193FD" w14:textId="35751443" w:rsidR="008E039E" w:rsidRPr="00AF255A" w:rsidRDefault="008E039E">
      <w:pPr>
        <w:pStyle w:val="FootnoteText"/>
        <w:rPr>
          <w:sz w:val="21"/>
          <w:szCs w:val="21"/>
        </w:rPr>
      </w:pPr>
      <w:r w:rsidRPr="00AF255A">
        <w:rPr>
          <w:rStyle w:val="FootnoteReference"/>
          <w:sz w:val="21"/>
          <w:szCs w:val="21"/>
        </w:rPr>
        <w:footnoteRef/>
      </w:r>
      <w:r w:rsidRPr="00AF255A">
        <w:rPr>
          <w:sz w:val="21"/>
          <w:szCs w:val="21"/>
        </w:rPr>
        <w:t xml:space="preserve"> https://www.act.gov.au/yoursay/our-conversations/we-are-cbr</w:t>
      </w:r>
    </w:p>
  </w:footnote>
  <w:footnote w:id="33">
    <w:p w14:paraId="10133FA4" w14:textId="2C4B9EE7" w:rsidR="008E039E" w:rsidRDefault="008E039E">
      <w:pPr>
        <w:pStyle w:val="FootnoteText"/>
      </w:pPr>
      <w:r>
        <w:rPr>
          <w:rStyle w:val="FootnoteReference"/>
        </w:rPr>
        <w:footnoteRef/>
      </w:r>
      <w:r>
        <w:t xml:space="preserve"> Chief Minister, </w:t>
      </w:r>
      <w:r w:rsidRPr="00C120CF">
        <w:rPr>
          <w:i/>
          <w:iCs/>
          <w:sz w:val="21"/>
          <w:szCs w:val="21"/>
        </w:rPr>
        <w:t xml:space="preserve">ACT Legislative Assembly </w:t>
      </w:r>
      <w:r w:rsidRPr="00DE53FA">
        <w:rPr>
          <w:i/>
          <w:iCs/>
        </w:rPr>
        <w:t>Hansard</w:t>
      </w:r>
      <w:r>
        <w:t>, 20 August 2019, p.1358.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953106"/>
      <w:docPartObj>
        <w:docPartGallery w:val="Page Numbers (Top of Page)"/>
        <w:docPartUnique/>
      </w:docPartObj>
    </w:sdtPr>
    <w:sdtEndPr>
      <w:rPr>
        <w:rStyle w:val="PageNumber"/>
      </w:rPr>
    </w:sdtEndPr>
    <w:sdtContent>
      <w:p w14:paraId="50831C88" w14:textId="4B3CF0EC" w:rsidR="008E039E" w:rsidRDefault="008E039E" w:rsidP="002E2F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ABDE1" w14:textId="77777777" w:rsidR="008E039E" w:rsidRDefault="008E039E" w:rsidP="007535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4591794"/>
      <w:docPartObj>
        <w:docPartGallery w:val="Page Numbers (Top of Page)"/>
        <w:docPartUnique/>
      </w:docPartObj>
    </w:sdtPr>
    <w:sdtEndPr>
      <w:rPr>
        <w:rStyle w:val="PageNumber"/>
      </w:rPr>
    </w:sdtEndPr>
    <w:sdtContent>
      <w:p w14:paraId="57A958A6" w14:textId="11446CD2" w:rsidR="008E039E" w:rsidRDefault="008E039E" w:rsidP="005622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3E5F">
          <w:rPr>
            <w:rStyle w:val="PageNumber"/>
            <w:noProof/>
          </w:rPr>
          <w:t>2</w:t>
        </w:r>
        <w:r>
          <w:rPr>
            <w:rStyle w:val="PageNumber"/>
          </w:rPr>
          <w:fldChar w:fldCharType="end"/>
        </w:r>
      </w:p>
    </w:sdtContent>
  </w:sdt>
  <w:p w14:paraId="3BA4C281" w14:textId="77777777" w:rsidR="008E039E" w:rsidRDefault="008E039E" w:rsidP="007535E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719"/>
    <w:multiLevelType w:val="hybridMultilevel"/>
    <w:tmpl w:val="581C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2700E"/>
    <w:multiLevelType w:val="hybridMultilevel"/>
    <w:tmpl w:val="20C470A4"/>
    <w:lvl w:ilvl="0" w:tplc="13DAE030">
      <w:numFmt w:val="bullet"/>
      <w:lvlText w:val="•"/>
      <w:lvlJc w:val="left"/>
      <w:pPr>
        <w:ind w:left="478" w:hanging="360"/>
      </w:pPr>
      <w:rPr>
        <w:rFonts w:hint="default"/>
        <w:w w:val="100"/>
        <w:sz w:val="24"/>
        <w:szCs w:val="24"/>
        <w:lang w:val="en-AU" w:eastAsia="en-AU" w:bidi="en-AU"/>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31E245B"/>
    <w:multiLevelType w:val="hybridMultilevel"/>
    <w:tmpl w:val="EB0AA50C"/>
    <w:lvl w:ilvl="0" w:tplc="17F44FBA">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539F4"/>
    <w:multiLevelType w:val="hybridMultilevel"/>
    <w:tmpl w:val="9D76521A"/>
    <w:lvl w:ilvl="0" w:tplc="A33E2B8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65EF8"/>
    <w:multiLevelType w:val="multilevel"/>
    <w:tmpl w:val="2A76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B2407"/>
    <w:multiLevelType w:val="multilevel"/>
    <w:tmpl w:val="A3407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92F94"/>
    <w:multiLevelType w:val="multilevel"/>
    <w:tmpl w:val="1B4EBF9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9490B"/>
    <w:multiLevelType w:val="hybridMultilevel"/>
    <w:tmpl w:val="02EA1F44"/>
    <w:lvl w:ilvl="0" w:tplc="C83C1C10">
      <w:start w:val="5"/>
      <w:numFmt w:val="decimal"/>
      <w:lvlText w:val="%1."/>
      <w:lvlJc w:val="left"/>
      <w:pPr>
        <w:ind w:left="590" w:hanging="341"/>
      </w:pPr>
      <w:rPr>
        <w:rFonts w:ascii="Arial" w:eastAsia="Arial" w:hAnsi="Arial" w:cs="Arial" w:hint="default"/>
        <w:b/>
        <w:bCs/>
        <w:spacing w:val="-1"/>
        <w:w w:val="108"/>
        <w:sz w:val="20"/>
        <w:szCs w:val="20"/>
      </w:rPr>
    </w:lvl>
    <w:lvl w:ilvl="1" w:tplc="E1CE57B0">
      <w:start w:val="1"/>
      <w:numFmt w:val="decimal"/>
      <w:lvlText w:val="%2."/>
      <w:lvlJc w:val="left"/>
      <w:pPr>
        <w:ind w:left="900" w:hanging="353"/>
        <w:jc w:val="right"/>
      </w:pPr>
      <w:rPr>
        <w:rFonts w:hint="default"/>
        <w:spacing w:val="-1"/>
        <w:w w:val="109"/>
      </w:rPr>
    </w:lvl>
    <w:lvl w:ilvl="2" w:tplc="6CECF45C">
      <w:start w:val="1"/>
      <w:numFmt w:val="lowerLetter"/>
      <w:lvlText w:val="%3."/>
      <w:lvlJc w:val="left"/>
      <w:pPr>
        <w:ind w:left="1617" w:hanging="353"/>
      </w:pPr>
      <w:rPr>
        <w:rFonts w:ascii="Arial" w:eastAsia="Arial" w:hAnsi="Arial" w:cs="Arial" w:hint="default"/>
        <w:spacing w:val="-1"/>
        <w:w w:val="99"/>
        <w:sz w:val="20"/>
        <w:szCs w:val="20"/>
      </w:rPr>
    </w:lvl>
    <w:lvl w:ilvl="3" w:tplc="2C9E22AE">
      <w:numFmt w:val="bullet"/>
      <w:lvlText w:val="•"/>
      <w:lvlJc w:val="left"/>
      <w:pPr>
        <w:ind w:left="940" w:hanging="353"/>
      </w:pPr>
      <w:rPr>
        <w:rFonts w:hint="default"/>
      </w:rPr>
    </w:lvl>
    <w:lvl w:ilvl="4" w:tplc="E372290A">
      <w:numFmt w:val="bullet"/>
      <w:lvlText w:val="•"/>
      <w:lvlJc w:val="left"/>
      <w:pPr>
        <w:ind w:left="1620" w:hanging="353"/>
      </w:pPr>
      <w:rPr>
        <w:rFonts w:hint="default"/>
      </w:rPr>
    </w:lvl>
    <w:lvl w:ilvl="5" w:tplc="ACD6FB06">
      <w:numFmt w:val="bullet"/>
      <w:lvlText w:val="•"/>
      <w:lvlJc w:val="left"/>
      <w:pPr>
        <w:ind w:left="2850" w:hanging="353"/>
      </w:pPr>
      <w:rPr>
        <w:rFonts w:hint="default"/>
      </w:rPr>
    </w:lvl>
    <w:lvl w:ilvl="6" w:tplc="BD9C9CAC">
      <w:numFmt w:val="bullet"/>
      <w:lvlText w:val="•"/>
      <w:lvlJc w:val="left"/>
      <w:pPr>
        <w:ind w:left="4081" w:hanging="353"/>
      </w:pPr>
      <w:rPr>
        <w:rFonts w:hint="default"/>
      </w:rPr>
    </w:lvl>
    <w:lvl w:ilvl="7" w:tplc="0CEAF350">
      <w:numFmt w:val="bullet"/>
      <w:lvlText w:val="•"/>
      <w:lvlJc w:val="left"/>
      <w:pPr>
        <w:ind w:left="5312" w:hanging="353"/>
      </w:pPr>
      <w:rPr>
        <w:rFonts w:hint="default"/>
      </w:rPr>
    </w:lvl>
    <w:lvl w:ilvl="8" w:tplc="FCB44A0E">
      <w:numFmt w:val="bullet"/>
      <w:lvlText w:val="•"/>
      <w:lvlJc w:val="left"/>
      <w:pPr>
        <w:ind w:left="6542" w:hanging="353"/>
      </w:pPr>
      <w:rPr>
        <w:rFonts w:hint="default"/>
      </w:rPr>
    </w:lvl>
  </w:abstractNum>
  <w:abstractNum w:abstractNumId="8" w15:restartNumberingAfterBreak="0">
    <w:nsid w:val="25EE436C"/>
    <w:multiLevelType w:val="hybridMultilevel"/>
    <w:tmpl w:val="A56EEDCE"/>
    <w:lvl w:ilvl="0" w:tplc="13DAE030">
      <w:numFmt w:val="bullet"/>
      <w:lvlText w:val="•"/>
      <w:lvlJc w:val="left"/>
      <w:pPr>
        <w:ind w:left="360" w:hanging="360"/>
      </w:pPr>
      <w:rPr>
        <w:rFonts w:hint="default"/>
        <w:lang w:val="en-AU" w:eastAsia="en-AU" w:bidi="en-A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80883"/>
    <w:multiLevelType w:val="multilevel"/>
    <w:tmpl w:val="7452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438E4"/>
    <w:multiLevelType w:val="multilevel"/>
    <w:tmpl w:val="869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F6D08"/>
    <w:multiLevelType w:val="hybridMultilevel"/>
    <w:tmpl w:val="5BC63252"/>
    <w:lvl w:ilvl="0" w:tplc="B87C0840">
      <w:start w:val="1"/>
      <w:numFmt w:val="bullet"/>
      <w:lvlText w:val=""/>
      <w:lvlJc w:val="left"/>
      <w:pPr>
        <w:ind w:left="834" w:hanging="360"/>
      </w:pPr>
      <w:rPr>
        <w:rFonts w:ascii="Symbol" w:hAnsi="Symbol" w:hint="default"/>
        <w:color w:val="auto"/>
        <w:w w:val="100"/>
        <w:lang w:val="en-AU" w:eastAsia="en-AU" w:bidi="en-AU"/>
      </w:rPr>
    </w:lvl>
    <w:lvl w:ilvl="1" w:tplc="868E9F30">
      <w:numFmt w:val="bullet"/>
      <w:lvlText w:val=""/>
      <w:lvlJc w:val="left"/>
      <w:pPr>
        <w:ind w:left="1198" w:hanging="360"/>
      </w:pPr>
      <w:rPr>
        <w:rFonts w:ascii="Symbol" w:eastAsia="Symbol" w:hAnsi="Symbol" w:cs="Symbol" w:hint="default"/>
        <w:w w:val="100"/>
        <w:sz w:val="24"/>
        <w:szCs w:val="24"/>
        <w:lang w:val="en-AU" w:eastAsia="en-AU" w:bidi="en-AU"/>
      </w:rPr>
    </w:lvl>
    <w:lvl w:ilvl="2" w:tplc="6AACC5F4">
      <w:numFmt w:val="bullet"/>
      <w:lvlText w:val="•"/>
      <w:lvlJc w:val="left"/>
      <w:pPr>
        <w:ind w:left="2073" w:hanging="360"/>
      </w:pPr>
      <w:rPr>
        <w:rFonts w:hint="default"/>
        <w:lang w:val="en-AU" w:eastAsia="en-AU" w:bidi="en-AU"/>
      </w:rPr>
    </w:lvl>
    <w:lvl w:ilvl="3" w:tplc="BC603236">
      <w:numFmt w:val="bullet"/>
      <w:lvlText w:val="•"/>
      <w:lvlJc w:val="left"/>
      <w:pPr>
        <w:ind w:left="2946" w:hanging="360"/>
      </w:pPr>
      <w:rPr>
        <w:rFonts w:hint="default"/>
        <w:lang w:val="en-AU" w:eastAsia="en-AU" w:bidi="en-AU"/>
      </w:rPr>
    </w:lvl>
    <w:lvl w:ilvl="4" w:tplc="CA8CDAAC">
      <w:numFmt w:val="bullet"/>
      <w:lvlText w:val="•"/>
      <w:lvlJc w:val="left"/>
      <w:pPr>
        <w:ind w:left="3819" w:hanging="360"/>
      </w:pPr>
      <w:rPr>
        <w:rFonts w:hint="default"/>
        <w:lang w:val="en-AU" w:eastAsia="en-AU" w:bidi="en-AU"/>
      </w:rPr>
    </w:lvl>
    <w:lvl w:ilvl="5" w:tplc="A17227DE">
      <w:numFmt w:val="bullet"/>
      <w:lvlText w:val="•"/>
      <w:lvlJc w:val="left"/>
      <w:pPr>
        <w:ind w:left="4692" w:hanging="360"/>
      </w:pPr>
      <w:rPr>
        <w:rFonts w:hint="default"/>
        <w:lang w:val="en-AU" w:eastAsia="en-AU" w:bidi="en-AU"/>
      </w:rPr>
    </w:lvl>
    <w:lvl w:ilvl="6" w:tplc="FCD06AD2">
      <w:numFmt w:val="bullet"/>
      <w:lvlText w:val="•"/>
      <w:lvlJc w:val="left"/>
      <w:pPr>
        <w:ind w:left="5566" w:hanging="360"/>
      </w:pPr>
      <w:rPr>
        <w:rFonts w:hint="default"/>
        <w:lang w:val="en-AU" w:eastAsia="en-AU" w:bidi="en-AU"/>
      </w:rPr>
    </w:lvl>
    <w:lvl w:ilvl="7" w:tplc="649AC3EA">
      <w:numFmt w:val="bullet"/>
      <w:lvlText w:val="•"/>
      <w:lvlJc w:val="left"/>
      <w:pPr>
        <w:ind w:left="6439" w:hanging="360"/>
      </w:pPr>
      <w:rPr>
        <w:rFonts w:hint="default"/>
        <w:lang w:val="en-AU" w:eastAsia="en-AU" w:bidi="en-AU"/>
      </w:rPr>
    </w:lvl>
    <w:lvl w:ilvl="8" w:tplc="65C81778">
      <w:numFmt w:val="bullet"/>
      <w:lvlText w:val="•"/>
      <w:lvlJc w:val="left"/>
      <w:pPr>
        <w:ind w:left="7312" w:hanging="360"/>
      </w:pPr>
      <w:rPr>
        <w:rFonts w:hint="default"/>
        <w:lang w:val="en-AU" w:eastAsia="en-AU" w:bidi="en-AU"/>
      </w:rPr>
    </w:lvl>
  </w:abstractNum>
  <w:abstractNum w:abstractNumId="12" w15:restartNumberingAfterBreak="0">
    <w:nsid w:val="2CE33DB3"/>
    <w:multiLevelType w:val="hybridMultilevel"/>
    <w:tmpl w:val="F552CA9A"/>
    <w:lvl w:ilvl="0" w:tplc="ED0EEF2C">
      <w:start w:val="1"/>
      <w:numFmt w:val="decimal"/>
      <w:lvlText w:val="%1."/>
      <w:lvlJc w:val="left"/>
      <w:pPr>
        <w:ind w:left="360" w:hanging="360"/>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E111C9"/>
    <w:multiLevelType w:val="multilevel"/>
    <w:tmpl w:val="D94CB7BE"/>
    <w:lvl w:ilvl="0">
      <w:start w:val="1"/>
      <w:numFmt w:val="bullet"/>
      <w:lvlText w:val=""/>
      <w:lvlJc w:val="left"/>
      <w:pPr>
        <w:tabs>
          <w:tab w:val="num" w:pos="9"/>
        </w:tabs>
        <w:ind w:left="9" w:hanging="360"/>
      </w:pPr>
      <w:rPr>
        <w:rFonts w:ascii="Symbol" w:hAnsi="Symbol" w:hint="default"/>
        <w:sz w:val="20"/>
      </w:rPr>
    </w:lvl>
    <w:lvl w:ilvl="1" w:tentative="1">
      <w:start w:val="1"/>
      <w:numFmt w:val="bullet"/>
      <w:lvlText w:val="o"/>
      <w:lvlJc w:val="left"/>
      <w:pPr>
        <w:tabs>
          <w:tab w:val="num" w:pos="729"/>
        </w:tabs>
        <w:ind w:left="729" w:hanging="360"/>
      </w:pPr>
      <w:rPr>
        <w:rFonts w:ascii="Courier New" w:hAnsi="Courier New" w:hint="default"/>
        <w:sz w:val="20"/>
      </w:rPr>
    </w:lvl>
    <w:lvl w:ilvl="2" w:tentative="1">
      <w:start w:val="1"/>
      <w:numFmt w:val="bullet"/>
      <w:lvlText w:val=""/>
      <w:lvlJc w:val="left"/>
      <w:pPr>
        <w:tabs>
          <w:tab w:val="num" w:pos="1449"/>
        </w:tabs>
        <w:ind w:left="1449" w:hanging="360"/>
      </w:pPr>
      <w:rPr>
        <w:rFonts w:ascii="Wingdings" w:hAnsi="Wingdings" w:hint="default"/>
        <w:sz w:val="20"/>
      </w:rPr>
    </w:lvl>
    <w:lvl w:ilvl="3" w:tentative="1">
      <w:start w:val="1"/>
      <w:numFmt w:val="bullet"/>
      <w:lvlText w:val=""/>
      <w:lvlJc w:val="left"/>
      <w:pPr>
        <w:tabs>
          <w:tab w:val="num" w:pos="2169"/>
        </w:tabs>
        <w:ind w:left="2169" w:hanging="360"/>
      </w:pPr>
      <w:rPr>
        <w:rFonts w:ascii="Wingdings" w:hAnsi="Wingdings" w:hint="default"/>
        <w:sz w:val="20"/>
      </w:rPr>
    </w:lvl>
    <w:lvl w:ilvl="4" w:tentative="1">
      <w:start w:val="1"/>
      <w:numFmt w:val="bullet"/>
      <w:lvlText w:val=""/>
      <w:lvlJc w:val="left"/>
      <w:pPr>
        <w:tabs>
          <w:tab w:val="num" w:pos="2889"/>
        </w:tabs>
        <w:ind w:left="2889" w:hanging="360"/>
      </w:pPr>
      <w:rPr>
        <w:rFonts w:ascii="Wingdings" w:hAnsi="Wingdings" w:hint="default"/>
        <w:sz w:val="20"/>
      </w:rPr>
    </w:lvl>
    <w:lvl w:ilvl="5" w:tentative="1">
      <w:start w:val="1"/>
      <w:numFmt w:val="bullet"/>
      <w:lvlText w:val=""/>
      <w:lvlJc w:val="left"/>
      <w:pPr>
        <w:tabs>
          <w:tab w:val="num" w:pos="3609"/>
        </w:tabs>
        <w:ind w:left="3609" w:hanging="360"/>
      </w:pPr>
      <w:rPr>
        <w:rFonts w:ascii="Wingdings" w:hAnsi="Wingdings" w:hint="default"/>
        <w:sz w:val="20"/>
      </w:rPr>
    </w:lvl>
    <w:lvl w:ilvl="6" w:tentative="1">
      <w:start w:val="1"/>
      <w:numFmt w:val="bullet"/>
      <w:lvlText w:val=""/>
      <w:lvlJc w:val="left"/>
      <w:pPr>
        <w:tabs>
          <w:tab w:val="num" w:pos="4329"/>
        </w:tabs>
        <w:ind w:left="4329" w:hanging="360"/>
      </w:pPr>
      <w:rPr>
        <w:rFonts w:ascii="Wingdings" w:hAnsi="Wingdings" w:hint="default"/>
        <w:sz w:val="20"/>
      </w:rPr>
    </w:lvl>
    <w:lvl w:ilvl="7" w:tentative="1">
      <w:start w:val="1"/>
      <w:numFmt w:val="bullet"/>
      <w:lvlText w:val=""/>
      <w:lvlJc w:val="left"/>
      <w:pPr>
        <w:tabs>
          <w:tab w:val="num" w:pos="5049"/>
        </w:tabs>
        <w:ind w:left="5049" w:hanging="360"/>
      </w:pPr>
      <w:rPr>
        <w:rFonts w:ascii="Wingdings" w:hAnsi="Wingdings" w:hint="default"/>
        <w:sz w:val="20"/>
      </w:rPr>
    </w:lvl>
    <w:lvl w:ilvl="8" w:tentative="1">
      <w:start w:val="1"/>
      <w:numFmt w:val="bullet"/>
      <w:lvlText w:val=""/>
      <w:lvlJc w:val="left"/>
      <w:pPr>
        <w:tabs>
          <w:tab w:val="num" w:pos="5769"/>
        </w:tabs>
        <w:ind w:left="5769" w:hanging="360"/>
      </w:pPr>
      <w:rPr>
        <w:rFonts w:ascii="Wingdings" w:hAnsi="Wingdings" w:hint="default"/>
        <w:sz w:val="20"/>
      </w:rPr>
    </w:lvl>
  </w:abstractNum>
  <w:abstractNum w:abstractNumId="14" w15:restartNumberingAfterBreak="0">
    <w:nsid w:val="42020E7C"/>
    <w:multiLevelType w:val="multilevel"/>
    <w:tmpl w:val="BCC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2A6C8E"/>
    <w:multiLevelType w:val="hybridMultilevel"/>
    <w:tmpl w:val="D714AEDA"/>
    <w:lvl w:ilvl="0" w:tplc="9C5ADA40">
      <w:start w:val="1"/>
      <w:numFmt w:val="decimal"/>
      <w:lvlText w:val="%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E1411"/>
    <w:multiLevelType w:val="multilevel"/>
    <w:tmpl w:val="E5BC21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CB7B34"/>
    <w:multiLevelType w:val="hybridMultilevel"/>
    <w:tmpl w:val="D5E42C52"/>
    <w:lvl w:ilvl="0" w:tplc="F25C3D22">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5531AA"/>
    <w:multiLevelType w:val="multilevel"/>
    <w:tmpl w:val="0D6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40CF4"/>
    <w:multiLevelType w:val="hybridMultilevel"/>
    <w:tmpl w:val="1D2C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335E5E"/>
    <w:multiLevelType w:val="multilevel"/>
    <w:tmpl w:val="FB964F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D369BC"/>
    <w:multiLevelType w:val="multilevel"/>
    <w:tmpl w:val="5E5086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76372"/>
    <w:multiLevelType w:val="multilevel"/>
    <w:tmpl w:val="B2A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5343E6"/>
    <w:multiLevelType w:val="multilevel"/>
    <w:tmpl w:val="2522E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CD6C3D"/>
    <w:multiLevelType w:val="hybridMultilevel"/>
    <w:tmpl w:val="4B72B182"/>
    <w:lvl w:ilvl="0" w:tplc="BFAA67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73653"/>
    <w:multiLevelType w:val="multilevel"/>
    <w:tmpl w:val="772EAFBE"/>
    <w:lvl w:ilvl="0">
      <w:start w:val="4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7A72118"/>
    <w:multiLevelType w:val="hybridMultilevel"/>
    <w:tmpl w:val="A0263870"/>
    <w:lvl w:ilvl="0" w:tplc="7F1CB344">
      <w:start w:val="1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3715B4"/>
    <w:multiLevelType w:val="hybridMultilevel"/>
    <w:tmpl w:val="784691F0"/>
    <w:lvl w:ilvl="0" w:tplc="4774A564">
      <w:numFmt w:val="bullet"/>
      <w:lvlText w:val=""/>
      <w:lvlJc w:val="left"/>
      <w:pPr>
        <w:ind w:left="379" w:hanging="356"/>
      </w:pPr>
      <w:rPr>
        <w:rFonts w:hint="default"/>
        <w:w w:val="100"/>
        <w:lang w:val="en-AU" w:eastAsia="en-AU" w:bidi="en-AU"/>
      </w:rPr>
    </w:lvl>
    <w:lvl w:ilvl="1" w:tplc="868E9F30">
      <w:numFmt w:val="bullet"/>
      <w:lvlText w:val=""/>
      <w:lvlJc w:val="left"/>
      <w:pPr>
        <w:ind w:left="747" w:hanging="360"/>
      </w:pPr>
      <w:rPr>
        <w:rFonts w:ascii="Symbol" w:eastAsia="Symbol" w:hAnsi="Symbol" w:cs="Symbol" w:hint="default"/>
        <w:w w:val="100"/>
        <w:sz w:val="24"/>
        <w:szCs w:val="24"/>
        <w:lang w:val="en-AU" w:eastAsia="en-AU" w:bidi="en-AU"/>
      </w:rPr>
    </w:lvl>
    <w:lvl w:ilvl="2" w:tplc="6AACC5F4">
      <w:numFmt w:val="bullet"/>
      <w:lvlText w:val="•"/>
      <w:lvlJc w:val="left"/>
      <w:pPr>
        <w:ind w:left="1622" w:hanging="360"/>
      </w:pPr>
      <w:rPr>
        <w:rFonts w:hint="default"/>
        <w:lang w:val="en-AU" w:eastAsia="en-AU" w:bidi="en-AU"/>
      </w:rPr>
    </w:lvl>
    <w:lvl w:ilvl="3" w:tplc="BC603236">
      <w:numFmt w:val="bullet"/>
      <w:lvlText w:val="•"/>
      <w:lvlJc w:val="left"/>
      <w:pPr>
        <w:ind w:left="2495" w:hanging="360"/>
      </w:pPr>
      <w:rPr>
        <w:rFonts w:hint="default"/>
        <w:lang w:val="en-AU" w:eastAsia="en-AU" w:bidi="en-AU"/>
      </w:rPr>
    </w:lvl>
    <w:lvl w:ilvl="4" w:tplc="CA8CDAAC">
      <w:numFmt w:val="bullet"/>
      <w:lvlText w:val="•"/>
      <w:lvlJc w:val="left"/>
      <w:pPr>
        <w:ind w:left="3368" w:hanging="360"/>
      </w:pPr>
      <w:rPr>
        <w:rFonts w:hint="default"/>
        <w:lang w:val="en-AU" w:eastAsia="en-AU" w:bidi="en-AU"/>
      </w:rPr>
    </w:lvl>
    <w:lvl w:ilvl="5" w:tplc="A17227DE">
      <w:numFmt w:val="bullet"/>
      <w:lvlText w:val="•"/>
      <w:lvlJc w:val="left"/>
      <w:pPr>
        <w:ind w:left="4241" w:hanging="360"/>
      </w:pPr>
      <w:rPr>
        <w:rFonts w:hint="default"/>
        <w:lang w:val="en-AU" w:eastAsia="en-AU" w:bidi="en-AU"/>
      </w:rPr>
    </w:lvl>
    <w:lvl w:ilvl="6" w:tplc="FCD06AD2">
      <w:numFmt w:val="bullet"/>
      <w:lvlText w:val="•"/>
      <w:lvlJc w:val="left"/>
      <w:pPr>
        <w:ind w:left="5115" w:hanging="360"/>
      </w:pPr>
      <w:rPr>
        <w:rFonts w:hint="default"/>
        <w:lang w:val="en-AU" w:eastAsia="en-AU" w:bidi="en-AU"/>
      </w:rPr>
    </w:lvl>
    <w:lvl w:ilvl="7" w:tplc="649AC3EA">
      <w:numFmt w:val="bullet"/>
      <w:lvlText w:val="•"/>
      <w:lvlJc w:val="left"/>
      <w:pPr>
        <w:ind w:left="5988" w:hanging="360"/>
      </w:pPr>
      <w:rPr>
        <w:rFonts w:hint="default"/>
        <w:lang w:val="en-AU" w:eastAsia="en-AU" w:bidi="en-AU"/>
      </w:rPr>
    </w:lvl>
    <w:lvl w:ilvl="8" w:tplc="65C81778">
      <w:numFmt w:val="bullet"/>
      <w:lvlText w:val="•"/>
      <w:lvlJc w:val="left"/>
      <w:pPr>
        <w:ind w:left="6861" w:hanging="360"/>
      </w:pPr>
      <w:rPr>
        <w:rFonts w:hint="default"/>
        <w:lang w:val="en-AU" w:eastAsia="en-AU" w:bidi="en-AU"/>
      </w:rPr>
    </w:lvl>
  </w:abstractNum>
  <w:abstractNum w:abstractNumId="28" w15:restartNumberingAfterBreak="0">
    <w:nsid w:val="7AFA123D"/>
    <w:multiLevelType w:val="multilevel"/>
    <w:tmpl w:val="DAE4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C4251"/>
    <w:multiLevelType w:val="multilevel"/>
    <w:tmpl w:val="E304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ED0C00"/>
    <w:multiLevelType w:val="hybridMultilevel"/>
    <w:tmpl w:val="E7CAE30A"/>
    <w:lvl w:ilvl="0" w:tplc="7F1CB344">
      <w:start w:val="1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AE7FCD"/>
    <w:multiLevelType w:val="hybridMultilevel"/>
    <w:tmpl w:val="1632F820"/>
    <w:lvl w:ilvl="0" w:tplc="36C48970">
      <w:start w:val="1"/>
      <w:numFmt w:val="decimal"/>
      <w:lvlText w:val="(%1)"/>
      <w:lvlJc w:val="left"/>
      <w:pPr>
        <w:ind w:left="360" w:hanging="360"/>
      </w:pPr>
      <w:rPr>
        <w:rFonts w:ascii="TimesNewRomanPSMT" w:hAnsi="TimesNewRomanPS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D13FF4"/>
    <w:multiLevelType w:val="multilevel"/>
    <w:tmpl w:val="6ACA6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6A76F9"/>
    <w:multiLevelType w:val="hybridMultilevel"/>
    <w:tmpl w:val="96EC5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BC4D9A"/>
    <w:multiLevelType w:val="multilevel"/>
    <w:tmpl w:val="914EC3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5"/>
  </w:num>
  <w:num w:numId="2">
    <w:abstractNumId w:val="30"/>
  </w:num>
  <w:num w:numId="3">
    <w:abstractNumId w:val="27"/>
  </w:num>
  <w:num w:numId="4">
    <w:abstractNumId w:val="11"/>
  </w:num>
  <w:num w:numId="5">
    <w:abstractNumId w:val="1"/>
  </w:num>
  <w:num w:numId="6">
    <w:abstractNumId w:val="8"/>
  </w:num>
  <w:num w:numId="7">
    <w:abstractNumId w:val="26"/>
  </w:num>
  <w:num w:numId="8">
    <w:abstractNumId w:val="5"/>
  </w:num>
  <w:num w:numId="9">
    <w:abstractNumId w:val="0"/>
  </w:num>
  <w:num w:numId="10">
    <w:abstractNumId w:val="24"/>
  </w:num>
  <w:num w:numId="11">
    <w:abstractNumId w:val="32"/>
  </w:num>
  <w:num w:numId="12">
    <w:abstractNumId w:val="34"/>
  </w:num>
  <w:num w:numId="13">
    <w:abstractNumId w:val="33"/>
  </w:num>
  <w:num w:numId="14">
    <w:abstractNumId w:val="10"/>
  </w:num>
  <w:num w:numId="15">
    <w:abstractNumId w:val="12"/>
  </w:num>
  <w:num w:numId="16">
    <w:abstractNumId w:val="6"/>
  </w:num>
  <w:num w:numId="17">
    <w:abstractNumId w:val="14"/>
  </w:num>
  <w:num w:numId="18">
    <w:abstractNumId w:val="21"/>
  </w:num>
  <w:num w:numId="19">
    <w:abstractNumId w:val="25"/>
  </w:num>
  <w:num w:numId="20">
    <w:abstractNumId w:val="23"/>
  </w:num>
  <w:num w:numId="21">
    <w:abstractNumId w:val="13"/>
  </w:num>
  <w:num w:numId="22">
    <w:abstractNumId w:val="9"/>
  </w:num>
  <w:num w:numId="23">
    <w:abstractNumId w:val="19"/>
  </w:num>
  <w:num w:numId="24">
    <w:abstractNumId w:val="20"/>
  </w:num>
  <w:num w:numId="25">
    <w:abstractNumId w:val="3"/>
  </w:num>
  <w:num w:numId="26">
    <w:abstractNumId w:val="2"/>
  </w:num>
  <w:num w:numId="27">
    <w:abstractNumId w:val="31"/>
  </w:num>
  <w:num w:numId="28">
    <w:abstractNumId w:val="7"/>
  </w:num>
  <w:num w:numId="29">
    <w:abstractNumId w:val="29"/>
  </w:num>
  <w:num w:numId="30">
    <w:abstractNumId w:val="28"/>
  </w:num>
  <w:num w:numId="31">
    <w:abstractNumId w:val="4"/>
  </w:num>
  <w:num w:numId="32">
    <w:abstractNumId w:val="16"/>
  </w:num>
  <w:num w:numId="33">
    <w:abstractNumId w:val="22"/>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50"/>
    <w:rsid w:val="000013E4"/>
    <w:rsid w:val="00001751"/>
    <w:rsid w:val="00002B0C"/>
    <w:rsid w:val="000030CF"/>
    <w:rsid w:val="00003B6A"/>
    <w:rsid w:val="00004FA3"/>
    <w:rsid w:val="00005B08"/>
    <w:rsid w:val="000074CE"/>
    <w:rsid w:val="0001067A"/>
    <w:rsid w:val="00010C75"/>
    <w:rsid w:val="00010E7C"/>
    <w:rsid w:val="000149FE"/>
    <w:rsid w:val="00016B7B"/>
    <w:rsid w:val="00021A59"/>
    <w:rsid w:val="000234C5"/>
    <w:rsid w:val="00024C06"/>
    <w:rsid w:val="00025D85"/>
    <w:rsid w:val="00026913"/>
    <w:rsid w:val="00026998"/>
    <w:rsid w:val="00032817"/>
    <w:rsid w:val="00032E86"/>
    <w:rsid w:val="0003517D"/>
    <w:rsid w:val="00036F67"/>
    <w:rsid w:val="000401C1"/>
    <w:rsid w:val="00041F4A"/>
    <w:rsid w:val="00044AC8"/>
    <w:rsid w:val="00045145"/>
    <w:rsid w:val="00046CD9"/>
    <w:rsid w:val="000479FD"/>
    <w:rsid w:val="00050268"/>
    <w:rsid w:val="00050A9E"/>
    <w:rsid w:val="00051178"/>
    <w:rsid w:val="000512EC"/>
    <w:rsid w:val="0005331A"/>
    <w:rsid w:val="000537B0"/>
    <w:rsid w:val="00053888"/>
    <w:rsid w:val="00053C7C"/>
    <w:rsid w:val="00054DA9"/>
    <w:rsid w:val="0005647C"/>
    <w:rsid w:val="00056F18"/>
    <w:rsid w:val="00057133"/>
    <w:rsid w:val="00060D0D"/>
    <w:rsid w:val="00060EC9"/>
    <w:rsid w:val="0006142F"/>
    <w:rsid w:val="0006209A"/>
    <w:rsid w:val="00062659"/>
    <w:rsid w:val="00062F88"/>
    <w:rsid w:val="00063610"/>
    <w:rsid w:val="000651C4"/>
    <w:rsid w:val="00065EAC"/>
    <w:rsid w:val="00066AE9"/>
    <w:rsid w:val="000670AA"/>
    <w:rsid w:val="000675CA"/>
    <w:rsid w:val="00071121"/>
    <w:rsid w:val="0007136B"/>
    <w:rsid w:val="0007201F"/>
    <w:rsid w:val="00072B73"/>
    <w:rsid w:val="00072F32"/>
    <w:rsid w:val="000732B6"/>
    <w:rsid w:val="00073773"/>
    <w:rsid w:val="00074EEC"/>
    <w:rsid w:val="000750E7"/>
    <w:rsid w:val="000756B4"/>
    <w:rsid w:val="000768ED"/>
    <w:rsid w:val="000809E6"/>
    <w:rsid w:val="00080F82"/>
    <w:rsid w:val="000820AB"/>
    <w:rsid w:val="000837FF"/>
    <w:rsid w:val="00084ED5"/>
    <w:rsid w:val="00085B12"/>
    <w:rsid w:val="0009048D"/>
    <w:rsid w:val="00091893"/>
    <w:rsid w:val="00094DA4"/>
    <w:rsid w:val="000957BB"/>
    <w:rsid w:val="000964F0"/>
    <w:rsid w:val="00096718"/>
    <w:rsid w:val="00096BC6"/>
    <w:rsid w:val="00097EA3"/>
    <w:rsid w:val="000A06D0"/>
    <w:rsid w:val="000A0B2D"/>
    <w:rsid w:val="000A115E"/>
    <w:rsid w:val="000A15D3"/>
    <w:rsid w:val="000A18A4"/>
    <w:rsid w:val="000A24DD"/>
    <w:rsid w:val="000A334E"/>
    <w:rsid w:val="000A3EF2"/>
    <w:rsid w:val="000A4EBD"/>
    <w:rsid w:val="000A5274"/>
    <w:rsid w:val="000B364A"/>
    <w:rsid w:val="000B39EA"/>
    <w:rsid w:val="000B4515"/>
    <w:rsid w:val="000B49BD"/>
    <w:rsid w:val="000B4F82"/>
    <w:rsid w:val="000B55A8"/>
    <w:rsid w:val="000B6C05"/>
    <w:rsid w:val="000B6C92"/>
    <w:rsid w:val="000B7377"/>
    <w:rsid w:val="000B762C"/>
    <w:rsid w:val="000C06ED"/>
    <w:rsid w:val="000C0D0E"/>
    <w:rsid w:val="000C10A0"/>
    <w:rsid w:val="000C1F2B"/>
    <w:rsid w:val="000C2486"/>
    <w:rsid w:val="000C3415"/>
    <w:rsid w:val="000C3515"/>
    <w:rsid w:val="000C38DF"/>
    <w:rsid w:val="000C4B39"/>
    <w:rsid w:val="000C4E17"/>
    <w:rsid w:val="000C611D"/>
    <w:rsid w:val="000C6CDB"/>
    <w:rsid w:val="000C7A43"/>
    <w:rsid w:val="000D0F62"/>
    <w:rsid w:val="000D14CB"/>
    <w:rsid w:val="000D277E"/>
    <w:rsid w:val="000D27D0"/>
    <w:rsid w:val="000D33F8"/>
    <w:rsid w:val="000D3875"/>
    <w:rsid w:val="000D49ED"/>
    <w:rsid w:val="000D6275"/>
    <w:rsid w:val="000D7605"/>
    <w:rsid w:val="000D7BF3"/>
    <w:rsid w:val="000E029C"/>
    <w:rsid w:val="000E364B"/>
    <w:rsid w:val="000E4F8C"/>
    <w:rsid w:val="000E5A85"/>
    <w:rsid w:val="000E695A"/>
    <w:rsid w:val="000E7A84"/>
    <w:rsid w:val="000F0CB0"/>
    <w:rsid w:val="000F1526"/>
    <w:rsid w:val="000F25A6"/>
    <w:rsid w:val="000F2E32"/>
    <w:rsid w:val="000F2F04"/>
    <w:rsid w:val="000F4050"/>
    <w:rsid w:val="000F69FD"/>
    <w:rsid w:val="000F71AD"/>
    <w:rsid w:val="0010041D"/>
    <w:rsid w:val="00100BAD"/>
    <w:rsid w:val="00101809"/>
    <w:rsid w:val="00103CD2"/>
    <w:rsid w:val="001044B5"/>
    <w:rsid w:val="00104C62"/>
    <w:rsid w:val="00105016"/>
    <w:rsid w:val="001053FB"/>
    <w:rsid w:val="001063B7"/>
    <w:rsid w:val="001070EC"/>
    <w:rsid w:val="00110CA3"/>
    <w:rsid w:val="00110FFB"/>
    <w:rsid w:val="00112023"/>
    <w:rsid w:val="00112A1E"/>
    <w:rsid w:val="00112B56"/>
    <w:rsid w:val="00112D2F"/>
    <w:rsid w:val="00113312"/>
    <w:rsid w:val="00113E1F"/>
    <w:rsid w:val="001151B1"/>
    <w:rsid w:val="0011569A"/>
    <w:rsid w:val="00115712"/>
    <w:rsid w:val="0011671F"/>
    <w:rsid w:val="001203AB"/>
    <w:rsid w:val="0012286B"/>
    <w:rsid w:val="00123234"/>
    <w:rsid w:val="0012474B"/>
    <w:rsid w:val="00124C58"/>
    <w:rsid w:val="00124DA1"/>
    <w:rsid w:val="00125C09"/>
    <w:rsid w:val="0012695A"/>
    <w:rsid w:val="00127578"/>
    <w:rsid w:val="00130613"/>
    <w:rsid w:val="0013280A"/>
    <w:rsid w:val="00135712"/>
    <w:rsid w:val="00135979"/>
    <w:rsid w:val="00135AF9"/>
    <w:rsid w:val="0013625A"/>
    <w:rsid w:val="0013632F"/>
    <w:rsid w:val="0013768C"/>
    <w:rsid w:val="00137733"/>
    <w:rsid w:val="00140A7A"/>
    <w:rsid w:val="001417BE"/>
    <w:rsid w:val="001425F0"/>
    <w:rsid w:val="00144650"/>
    <w:rsid w:val="001448AE"/>
    <w:rsid w:val="00145124"/>
    <w:rsid w:val="001463D1"/>
    <w:rsid w:val="00147355"/>
    <w:rsid w:val="00150493"/>
    <w:rsid w:val="00154853"/>
    <w:rsid w:val="001560A8"/>
    <w:rsid w:val="001569B4"/>
    <w:rsid w:val="00156D35"/>
    <w:rsid w:val="001577E0"/>
    <w:rsid w:val="00161F1D"/>
    <w:rsid w:val="0016272F"/>
    <w:rsid w:val="00162A03"/>
    <w:rsid w:val="00164E46"/>
    <w:rsid w:val="00165116"/>
    <w:rsid w:val="0016560C"/>
    <w:rsid w:val="001658DA"/>
    <w:rsid w:val="00166A86"/>
    <w:rsid w:val="001672FB"/>
    <w:rsid w:val="00167B15"/>
    <w:rsid w:val="00167B1E"/>
    <w:rsid w:val="001724B4"/>
    <w:rsid w:val="00172ABB"/>
    <w:rsid w:val="001750CB"/>
    <w:rsid w:val="00175C0D"/>
    <w:rsid w:val="00175E67"/>
    <w:rsid w:val="00181FCD"/>
    <w:rsid w:val="001829D6"/>
    <w:rsid w:val="00182DC9"/>
    <w:rsid w:val="00183365"/>
    <w:rsid w:val="001865C3"/>
    <w:rsid w:val="00186A44"/>
    <w:rsid w:val="00186F59"/>
    <w:rsid w:val="001872FC"/>
    <w:rsid w:val="001874F6"/>
    <w:rsid w:val="00192133"/>
    <w:rsid w:val="00192367"/>
    <w:rsid w:val="0019318A"/>
    <w:rsid w:val="0019324D"/>
    <w:rsid w:val="0019372D"/>
    <w:rsid w:val="00193FB5"/>
    <w:rsid w:val="001948F6"/>
    <w:rsid w:val="00195A6B"/>
    <w:rsid w:val="001A0BA5"/>
    <w:rsid w:val="001A0EF5"/>
    <w:rsid w:val="001A37C9"/>
    <w:rsid w:val="001A6115"/>
    <w:rsid w:val="001A7736"/>
    <w:rsid w:val="001A7AB0"/>
    <w:rsid w:val="001B2166"/>
    <w:rsid w:val="001B2B2B"/>
    <w:rsid w:val="001B3523"/>
    <w:rsid w:val="001B373D"/>
    <w:rsid w:val="001B3B52"/>
    <w:rsid w:val="001B3FF5"/>
    <w:rsid w:val="001B48D5"/>
    <w:rsid w:val="001B4C2A"/>
    <w:rsid w:val="001B4CF4"/>
    <w:rsid w:val="001B5F2C"/>
    <w:rsid w:val="001C03B0"/>
    <w:rsid w:val="001C0FDD"/>
    <w:rsid w:val="001C2C5D"/>
    <w:rsid w:val="001C354E"/>
    <w:rsid w:val="001C3609"/>
    <w:rsid w:val="001C4FD0"/>
    <w:rsid w:val="001C5340"/>
    <w:rsid w:val="001C62CF"/>
    <w:rsid w:val="001C6718"/>
    <w:rsid w:val="001C6A43"/>
    <w:rsid w:val="001C6D39"/>
    <w:rsid w:val="001D0828"/>
    <w:rsid w:val="001D0923"/>
    <w:rsid w:val="001D0D9D"/>
    <w:rsid w:val="001D0F48"/>
    <w:rsid w:val="001D152A"/>
    <w:rsid w:val="001D1A9A"/>
    <w:rsid w:val="001D373F"/>
    <w:rsid w:val="001E1319"/>
    <w:rsid w:val="001E2030"/>
    <w:rsid w:val="001E2506"/>
    <w:rsid w:val="001E2F93"/>
    <w:rsid w:val="001E4E29"/>
    <w:rsid w:val="001E696C"/>
    <w:rsid w:val="001E6D85"/>
    <w:rsid w:val="001E6EBE"/>
    <w:rsid w:val="001E7F74"/>
    <w:rsid w:val="001F2424"/>
    <w:rsid w:val="001F2D2E"/>
    <w:rsid w:val="001F5C0D"/>
    <w:rsid w:val="001F5D20"/>
    <w:rsid w:val="001F744D"/>
    <w:rsid w:val="002005F0"/>
    <w:rsid w:val="00200C74"/>
    <w:rsid w:val="002015E0"/>
    <w:rsid w:val="002020CC"/>
    <w:rsid w:val="00202618"/>
    <w:rsid w:val="00202D8D"/>
    <w:rsid w:val="00203090"/>
    <w:rsid w:val="00205119"/>
    <w:rsid w:val="0020547C"/>
    <w:rsid w:val="00205790"/>
    <w:rsid w:val="00207BF5"/>
    <w:rsid w:val="00210517"/>
    <w:rsid w:val="0021079F"/>
    <w:rsid w:val="00210CBB"/>
    <w:rsid w:val="00210E47"/>
    <w:rsid w:val="00211476"/>
    <w:rsid w:val="0021187C"/>
    <w:rsid w:val="00212B27"/>
    <w:rsid w:val="00213ADD"/>
    <w:rsid w:val="002146DD"/>
    <w:rsid w:val="002148D5"/>
    <w:rsid w:val="00214A34"/>
    <w:rsid w:val="00215649"/>
    <w:rsid w:val="00215D1D"/>
    <w:rsid w:val="00216E67"/>
    <w:rsid w:val="00220FC5"/>
    <w:rsid w:val="00222751"/>
    <w:rsid w:val="00223832"/>
    <w:rsid w:val="002243F0"/>
    <w:rsid w:val="00225927"/>
    <w:rsid w:val="00225E1D"/>
    <w:rsid w:val="00230FF1"/>
    <w:rsid w:val="00231842"/>
    <w:rsid w:val="002318EC"/>
    <w:rsid w:val="00233C7C"/>
    <w:rsid w:val="00234474"/>
    <w:rsid w:val="00234BB3"/>
    <w:rsid w:val="002356B4"/>
    <w:rsid w:val="0023598C"/>
    <w:rsid w:val="002362AF"/>
    <w:rsid w:val="002378DC"/>
    <w:rsid w:val="002406F1"/>
    <w:rsid w:val="002407A5"/>
    <w:rsid w:val="00240F02"/>
    <w:rsid w:val="002413FB"/>
    <w:rsid w:val="00241B00"/>
    <w:rsid w:val="00242FD7"/>
    <w:rsid w:val="002437D5"/>
    <w:rsid w:val="00244401"/>
    <w:rsid w:val="002444FF"/>
    <w:rsid w:val="002447B0"/>
    <w:rsid w:val="00244B01"/>
    <w:rsid w:val="00245229"/>
    <w:rsid w:val="0024522F"/>
    <w:rsid w:val="0024623E"/>
    <w:rsid w:val="00246E5C"/>
    <w:rsid w:val="002473C0"/>
    <w:rsid w:val="00247DE9"/>
    <w:rsid w:val="00250BFC"/>
    <w:rsid w:val="0025293E"/>
    <w:rsid w:val="0025346E"/>
    <w:rsid w:val="00253F0A"/>
    <w:rsid w:val="002541EA"/>
    <w:rsid w:val="00255D6C"/>
    <w:rsid w:val="00262559"/>
    <w:rsid w:val="0026273F"/>
    <w:rsid w:val="00262808"/>
    <w:rsid w:val="00262AE6"/>
    <w:rsid w:val="002634D3"/>
    <w:rsid w:val="00263750"/>
    <w:rsid w:val="00265167"/>
    <w:rsid w:val="0026567D"/>
    <w:rsid w:val="0026619A"/>
    <w:rsid w:val="00266A48"/>
    <w:rsid w:val="00270B48"/>
    <w:rsid w:val="0027435A"/>
    <w:rsid w:val="002758EF"/>
    <w:rsid w:val="00276765"/>
    <w:rsid w:val="0027691A"/>
    <w:rsid w:val="00276ED5"/>
    <w:rsid w:val="00277359"/>
    <w:rsid w:val="00281245"/>
    <w:rsid w:val="00281265"/>
    <w:rsid w:val="00281B33"/>
    <w:rsid w:val="00282C7F"/>
    <w:rsid w:val="002849FF"/>
    <w:rsid w:val="00285BF3"/>
    <w:rsid w:val="002863A9"/>
    <w:rsid w:val="00287058"/>
    <w:rsid w:val="0028766E"/>
    <w:rsid w:val="002876C3"/>
    <w:rsid w:val="00287E84"/>
    <w:rsid w:val="00290315"/>
    <w:rsid w:val="00291C0E"/>
    <w:rsid w:val="0029265C"/>
    <w:rsid w:val="002950CF"/>
    <w:rsid w:val="00295408"/>
    <w:rsid w:val="0029611D"/>
    <w:rsid w:val="00296312"/>
    <w:rsid w:val="0029631F"/>
    <w:rsid w:val="00296470"/>
    <w:rsid w:val="002965E5"/>
    <w:rsid w:val="002973C0"/>
    <w:rsid w:val="002A079E"/>
    <w:rsid w:val="002A1785"/>
    <w:rsid w:val="002A1DEE"/>
    <w:rsid w:val="002A2057"/>
    <w:rsid w:val="002A2AB5"/>
    <w:rsid w:val="002A2F9C"/>
    <w:rsid w:val="002A5002"/>
    <w:rsid w:val="002A5C1A"/>
    <w:rsid w:val="002A5DD7"/>
    <w:rsid w:val="002A7EB9"/>
    <w:rsid w:val="002B005F"/>
    <w:rsid w:val="002B063D"/>
    <w:rsid w:val="002B1F71"/>
    <w:rsid w:val="002B4126"/>
    <w:rsid w:val="002B46E0"/>
    <w:rsid w:val="002B5087"/>
    <w:rsid w:val="002B60F9"/>
    <w:rsid w:val="002B628D"/>
    <w:rsid w:val="002B7820"/>
    <w:rsid w:val="002B7EBF"/>
    <w:rsid w:val="002C0193"/>
    <w:rsid w:val="002C071A"/>
    <w:rsid w:val="002C1A74"/>
    <w:rsid w:val="002C2533"/>
    <w:rsid w:val="002C3E0F"/>
    <w:rsid w:val="002C3EE2"/>
    <w:rsid w:val="002C4300"/>
    <w:rsid w:val="002C5998"/>
    <w:rsid w:val="002C62EF"/>
    <w:rsid w:val="002C68D0"/>
    <w:rsid w:val="002C6FB9"/>
    <w:rsid w:val="002C727C"/>
    <w:rsid w:val="002D2D42"/>
    <w:rsid w:val="002D4342"/>
    <w:rsid w:val="002D472B"/>
    <w:rsid w:val="002D49F9"/>
    <w:rsid w:val="002E154A"/>
    <w:rsid w:val="002E2CF4"/>
    <w:rsid w:val="002E2FAD"/>
    <w:rsid w:val="002E30AC"/>
    <w:rsid w:val="002E3C80"/>
    <w:rsid w:val="002E4344"/>
    <w:rsid w:val="002E5A9A"/>
    <w:rsid w:val="002E5C1F"/>
    <w:rsid w:val="002E6259"/>
    <w:rsid w:val="002E642C"/>
    <w:rsid w:val="002E6B29"/>
    <w:rsid w:val="002E732A"/>
    <w:rsid w:val="002F0BDB"/>
    <w:rsid w:val="002F2035"/>
    <w:rsid w:val="002F319C"/>
    <w:rsid w:val="002F377D"/>
    <w:rsid w:val="002F3E7B"/>
    <w:rsid w:val="002F4926"/>
    <w:rsid w:val="002F4FB6"/>
    <w:rsid w:val="002F6C57"/>
    <w:rsid w:val="002F6EB1"/>
    <w:rsid w:val="002F70F5"/>
    <w:rsid w:val="00300213"/>
    <w:rsid w:val="00301F22"/>
    <w:rsid w:val="00303238"/>
    <w:rsid w:val="00304FA2"/>
    <w:rsid w:val="00305127"/>
    <w:rsid w:val="00307066"/>
    <w:rsid w:val="003076F5"/>
    <w:rsid w:val="0030798F"/>
    <w:rsid w:val="003107C5"/>
    <w:rsid w:val="0031140C"/>
    <w:rsid w:val="00311C17"/>
    <w:rsid w:val="003126C7"/>
    <w:rsid w:val="00312921"/>
    <w:rsid w:val="00312BFD"/>
    <w:rsid w:val="00313E07"/>
    <w:rsid w:val="0031434A"/>
    <w:rsid w:val="00314672"/>
    <w:rsid w:val="003201E6"/>
    <w:rsid w:val="00320ADD"/>
    <w:rsid w:val="00320C71"/>
    <w:rsid w:val="003222E8"/>
    <w:rsid w:val="00322FF6"/>
    <w:rsid w:val="00326762"/>
    <w:rsid w:val="003313C0"/>
    <w:rsid w:val="00331D11"/>
    <w:rsid w:val="00332978"/>
    <w:rsid w:val="00333372"/>
    <w:rsid w:val="0033459F"/>
    <w:rsid w:val="003357BA"/>
    <w:rsid w:val="0033664E"/>
    <w:rsid w:val="003368ED"/>
    <w:rsid w:val="00337CC4"/>
    <w:rsid w:val="0034030E"/>
    <w:rsid w:val="0034179A"/>
    <w:rsid w:val="0034235B"/>
    <w:rsid w:val="00344EDE"/>
    <w:rsid w:val="003457F2"/>
    <w:rsid w:val="00346DA6"/>
    <w:rsid w:val="00346E09"/>
    <w:rsid w:val="00350598"/>
    <w:rsid w:val="003508A2"/>
    <w:rsid w:val="0035106A"/>
    <w:rsid w:val="003511AD"/>
    <w:rsid w:val="0035144C"/>
    <w:rsid w:val="00351E14"/>
    <w:rsid w:val="00351EF4"/>
    <w:rsid w:val="00351F89"/>
    <w:rsid w:val="00352795"/>
    <w:rsid w:val="003539B3"/>
    <w:rsid w:val="00353A71"/>
    <w:rsid w:val="003540F6"/>
    <w:rsid w:val="00357CE9"/>
    <w:rsid w:val="0036047C"/>
    <w:rsid w:val="00360C23"/>
    <w:rsid w:val="003620A5"/>
    <w:rsid w:val="00362AEE"/>
    <w:rsid w:val="00363F4F"/>
    <w:rsid w:val="00366562"/>
    <w:rsid w:val="00366B3A"/>
    <w:rsid w:val="00366EDE"/>
    <w:rsid w:val="0036765E"/>
    <w:rsid w:val="00367C68"/>
    <w:rsid w:val="003716AA"/>
    <w:rsid w:val="00371B41"/>
    <w:rsid w:val="00371FE6"/>
    <w:rsid w:val="00374C01"/>
    <w:rsid w:val="003751B9"/>
    <w:rsid w:val="00375B29"/>
    <w:rsid w:val="00376757"/>
    <w:rsid w:val="00376994"/>
    <w:rsid w:val="00376ACC"/>
    <w:rsid w:val="00376E08"/>
    <w:rsid w:val="00381254"/>
    <w:rsid w:val="003815BE"/>
    <w:rsid w:val="00386251"/>
    <w:rsid w:val="003862E5"/>
    <w:rsid w:val="00387F42"/>
    <w:rsid w:val="003904ED"/>
    <w:rsid w:val="0039430A"/>
    <w:rsid w:val="003945C4"/>
    <w:rsid w:val="00394BF7"/>
    <w:rsid w:val="00394E74"/>
    <w:rsid w:val="00395B15"/>
    <w:rsid w:val="00395C4E"/>
    <w:rsid w:val="00395D1E"/>
    <w:rsid w:val="003976A9"/>
    <w:rsid w:val="003979EC"/>
    <w:rsid w:val="003A02F8"/>
    <w:rsid w:val="003A148F"/>
    <w:rsid w:val="003A17D6"/>
    <w:rsid w:val="003A1B80"/>
    <w:rsid w:val="003A2DA3"/>
    <w:rsid w:val="003A6601"/>
    <w:rsid w:val="003B0122"/>
    <w:rsid w:val="003B0A4D"/>
    <w:rsid w:val="003B0CCD"/>
    <w:rsid w:val="003B1CE9"/>
    <w:rsid w:val="003B2A1D"/>
    <w:rsid w:val="003B2E82"/>
    <w:rsid w:val="003B34E3"/>
    <w:rsid w:val="003B41D3"/>
    <w:rsid w:val="003B5D32"/>
    <w:rsid w:val="003B5E35"/>
    <w:rsid w:val="003B6000"/>
    <w:rsid w:val="003C1C48"/>
    <w:rsid w:val="003C20FF"/>
    <w:rsid w:val="003C56F1"/>
    <w:rsid w:val="003C61F5"/>
    <w:rsid w:val="003C69E3"/>
    <w:rsid w:val="003C7322"/>
    <w:rsid w:val="003D12C0"/>
    <w:rsid w:val="003D1B98"/>
    <w:rsid w:val="003D28BE"/>
    <w:rsid w:val="003D3437"/>
    <w:rsid w:val="003D3AF9"/>
    <w:rsid w:val="003D4F27"/>
    <w:rsid w:val="003D610C"/>
    <w:rsid w:val="003D6370"/>
    <w:rsid w:val="003D6748"/>
    <w:rsid w:val="003D6EED"/>
    <w:rsid w:val="003D730A"/>
    <w:rsid w:val="003D7957"/>
    <w:rsid w:val="003D7D62"/>
    <w:rsid w:val="003E069B"/>
    <w:rsid w:val="003E1B75"/>
    <w:rsid w:val="003E2F73"/>
    <w:rsid w:val="003E348F"/>
    <w:rsid w:val="003E3B08"/>
    <w:rsid w:val="003E5631"/>
    <w:rsid w:val="003E68A3"/>
    <w:rsid w:val="003E7532"/>
    <w:rsid w:val="003F2F33"/>
    <w:rsid w:val="003F360E"/>
    <w:rsid w:val="003F36EA"/>
    <w:rsid w:val="003F3F8D"/>
    <w:rsid w:val="003F4046"/>
    <w:rsid w:val="003F404A"/>
    <w:rsid w:val="003F4529"/>
    <w:rsid w:val="003F4B62"/>
    <w:rsid w:val="003F5437"/>
    <w:rsid w:val="003F5F0E"/>
    <w:rsid w:val="003F690C"/>
    <w:rsid w:val="00400642"/>
    <w:rsid w:val="00403CCF"/>
    <w:rsid w:val="00403CF8"/>
    <w:rsid w:val="00403CFA"/>
    <w:rsid w:val="00404B9C"/>
    <w:rsid w:val="00404D01"/>
    <w:rsid w:val="00404DDF"/>
    <w:rsid w:val="0040529B"/>
    <w:rsid w:val="0040531E"/>
    <w:rsid w:val="00407FA4"/>
    <w:rsid w:val="00410613"/>
    <w:rsid w:val="00410651"/>
    <w:rsid w:val="00410E38"/>
    <w:rsid w:val="00410E45"/>
    <w:rsid w:val="00412567"/>
    <w:rsid w:val="004129AE"/>
    <w:rsid w:val="004142F6"/>
    <w:rsid w:val="004144AA"/>
    <w:rsid w:val="00417B7A"/>
    <w:rsid w:val="00417F02"/>
    <w:rsid w:val="004204A1"/>
    <w:rsid w:val="004207A5"/>
    <w:rsid w:val="004228B4"/>
    <w:rsid w:val="00423CCB"/>
    <w:rsid w:val="00423E71"/>
    <w:rsid w:val="004255C1"/>
    <w:rsid w:val="00425669"/>
    <w:rsid w:val="004311FB"/>
    <w:rsid w:val="00431932"/>
    <w:rsid w:val="0043220B"/>
    <w:rsid w:val="00432A74"/>
    <w:rsid w:val="00432F9D"/>
    <w:rsid w:val="004335E8"/>
    <w:rsid w:val="004342AB"/>
    <w:rsid w:val="0043511F"/>
    <w:rsid w:val="0043553D"/>
    <w:rsid w:val="00435EF7"/>
    <w:rsid w:val="00443CFE"/>
    <w:rsid w:val="004444BA"/>
    <w:rsid w:val="0044461A"/>
    <w:rsid w:val="004446D8"/>
    <w:rsid w:val="00444C84"/>
    <w:rsid w:val="00444DF6"/>
    <w:rsid w:val="00447FC7"/>
    <w:rsid w:val="00450225"/>
    <w:rsid w:val="0045092B"/>
    <w:rsid w:val="00451589"/>
    <w:rsid w:val="00451CBD"/>
    <w:rsid w:val="0045282C"/>
    <w:rsid w:val="00453339"/>
    <w:rsid w:val="0045382B"/>
    <w:rsid w:val="004540EA"/>
    <w:rsid w:val="00455367"/>
    <w:rsid w:val="004571A1"/>
    <w:rsid w:val="00457810"/>
    <w:rsid w:val="00457D4E"/>
    <w:rsid w:val="0046006D"/>
    <w:rsid w:val="0046089B"/>
    <w:rsid w:val="004618E3"/>
    <w:rsid w:val="00462416"/>
    <w:rsid w:val="004626A8"/>
    <w:rsid w:val="004632EE"/>
    <w:rsid w:val="004635BB"/>
    <w:rsid w:val="004641FD"/>
    <w:rsid w:val="00464B09"/>
    <w:rsid w:val="00465A11"/>
    <w:rsid w:val="00466703"/>
    <w:rsid w:val="004716BF"/>
    <w:rsid w:val="00471C8F"/>
    <w:rsid w:val="00474953"/>
    <w:rsid w:val="004751E3"/>
    <w:rsid w:val="004763A2"/>
    <w:rsid w:val="0047656B"/>
    <w:rsid w:val="004769AC"/>
    <w:rsid w:val="00480AE7"/>
    <w:rsid w:val="0048147E"/>
    <w:rsid w:val="00481B7B"/>
    <w:rsid w:val="00481D99"/>
    <w:rsid w:val="004820F1"/>
    <w:rsid w:val="00482811"/>
    <w:rsid w:val="00483987"/>
    <w:rsid w:val="0048470B"/>
    <w:rsid w:val="004852B7"/>
    <w:rsid w:val="00485732"/>
    <w:rsid w:val="004872E3"/>
    <w:rsid w:val="00487F99"/>
    <w:rsid w:val="00492EA7"/>
    <w:rsid w:val="00493E5A"/>
    <w:rsid w:val="00493EC4"/>
    <w:rsid w:val="0049636B"/>
    <w:rsid w:val="00496CAA"/>
    <w:rsid w:val="00497015"/>
    <w:rsid w:val="00497643"/>
    <w:rsid w:val="004A07FA"/>
    <w:rsid w:val="004A0A23"/>
    <w:rsid w:val="004A1BDC"/>
    <w:rsid w:val="004A2040"/>
    <w:rsid w:val="004A583C"/>
    <w:rsid w:val="004A652C"/>
    <w:rsid w:val="004A71ED"/>
    <w:rsid w:val="004B058C"/>
    <w:rsid w:val="004B0BE8"/>
    <w:rsid w:val="004B35E4"/>
    <w:rsid w:val="004B4242"/>
    <w:rsid w:val="004B450B"/>
    <w:rsid w:val="004B5602"/>
    <w:rsid w:val="004B61C0"/>
    <w:rsid w:val="004B7F80"/>
    <w:rsid w:val="004C2EB2"/>
    <w:rsid w:val="004C432B"/>
    <w:rsid w:val="004C4B8C"/>
    <w:rsid w:val="004C535E"/>
    <w:rsid w:val="004C5B3B"/>
    <w:rsid w:val="004C5C48"/>
    <w:rsid w:val="004C6230"/>
    <w:rsid w:val="004C6C32"/>
    <w:rsid w:val="004C7DE8"/>
    <w:rsid w:val="004D1A5A"/>
    <w:rsid w:val="004D271A"/>
    <w:rsid w:val="004D3533"/>
    <w:rsid w:val="004D3CBF"/>
    <w:rsid w:val="004D3E1D"/>
    <w:rsid w:val="004D58BC"/>
    <w:rsid w:val="004E0D78"/>
    <w:rsid w:val="004E2AF2"/>
    <w:rsid w:val="004E2DB9"/>
    <w:rsid w:val="004E42A9"/>
    <w:rsid w:val="004E42F4"/>
    <w:rsid w:val="004E4758"/>
    <w:rsid w:val="004E571F"/>
    <w:rsid w:val="004E5986"/>
    <w:rsid w:val="004E6B24"/>
    <w:rsid w:val="004F31FE"/>
    <w:rsid w:val="004F3B11"/>
    <w:rsid w:val="004F4BA9"/>
    <w:rsid w:val="004F4EDE"/>
    <w:rsid w:val="004F5777"/>
    <w:rsid w:val="004F5EB4"/>
    <w:rsid w:val="004F7889"/>
    <w:rsid w:val="0050117F"/>
    <w:rsid w:val="0050168F"/>
    <w:rsid w:val="005035FF"/>
    <w:rsid w:val="00504FD4"/>
    <w:rsid w:val="005058CD"/>
    <w:rsid w:val="00510551"/>
    <w:rsid w:val="00520083"/>
    <w:rsid w:val="0052068C"/>
    <w:rsid w:val="00520C71"/>
    <w:rsid w:val="00521451"/>
    <w:rsid w:val="00521D21"/>
    <w:rsid w:val="00522568"/>
    <w:rsid w:val="00522E78"/>
    <w:rsid w:val="00523636"/>
    <w:rsid w:val="00523C29"/>
    <w:rsid w:val="005243FC"/>
    <w:rsid w:val="005244E5"/>
    <w:rsid w:val="0052526E"/>
    <w:rsid w:val="00526375"/>
    <w:rsid w:val="00531111"/>
    <w:rsid w:val="005313DA"/>
    <w:rsid w:val="00531586"/>
    <w:rsid w:val="005330CD"/>
    <w:rsid w:val="00534C0F"/>
    <w:rsid w:val="00535012"/>
    <w:rsid w:val="00535155"/>
    <w:rsid w:val="00540324"/>
    <w:rsid w:val="00540CB9"/>
    <w:rsid w:val="0054393B"/>
    <w:rsid w:val="005439F7"/>
    <w:rsid w:val="00543B39"/>
    <w:rsid w:val="0054414D"/>
    <w:rsid w:val="0054424D"/>
    <w:rsid w:val="00544286"/>
    <w:rsid w:val="005443D2"/>
    <w:rsid w:val="005449D1"/>
    <w:rsid w:val="00545221"/>
    <w:rsid w:val="005455D0"/>
    <w:rsid w:val="00545CC0"/>
    <w:rsid w:val="00546D05"/>
    <w:rsid w:val="00547248"/>
    <w:rsid w:val="00547323"/>
    <w:rsid w:val="0055032E"/>
    <w:rsid w:val="00550A06"/>
    <w:rsid w:val="00550F58"/>
    <w:rsid w:val="005525B5"/>
    <w:rsid w:val="005536B4"/>
    <w:rsid w:val="00553E5A"/>
    <w:rsid w:val="005556AC"/>
    <w:rsid w:val="00555B69"/>
    <w:rsid w:val="00557684"/>
    <w:rsid w:val="00561701"/>
    <w:rsid w:val="00561739"/>
    <w:rsid w:val="00561A86"/>
    <w:rsid w:val="005622FF"/>
    <w:rsid w:val="005623C3"/>
    <w:rsid w:val="005629B2"/>
    <w:rsid w:val="00562BF9"/>
    <w:rsid w:val="005631C7"/>
    <w:rsid w:val="005660CE"/>
    <w:rsid w:val="0056674A"/>
    <w:rsid w:val="00567A23"/>
    <w:rsid w:val="00571F7B"/>
    <w:rsid w:val="00572B41"/>
    <w:rsid w:val="00573731"/>
    <w:rsid w:val="0057424B"/>
    <w:rsid w:val="0057482D"/>
    <w:rsid w:val="0057530F"/>
    <w:rsid w:val="005777FD"/>
    <w:rsid w:val="00577894"/>
    <w:rsid w:val="005812A1"/>
    <w:rsid w:val="00581A17"/>
    <w:rsid w:val="005822E7"/>
    <w:rsid w:val="00583AD3"/>
    <w:rsid w:val="00584EC4"/>
    <w:rsid w:val="0058564F"/>
    <w:rsid w:val="00585E0B"/>
    <w:rsid w:val="005875F1"/>
    <w:rsid w:val="00590190"/>
    <w:rsid w:val="00591FCF"/>
    <w:rsid w:val="0059241F"/>
    <w:rsid w:val="00593B57"/>
    <w:rsid w:val="0059428D"/>
    <w:rsid w:val="00594D45"/>
    <w:rsid w:val="0059508E"/>
    <w:rsid w:val="00596C97"/>
    <w:rsid w:val="00597432"/>
    <w:rsid w:val="005A0980"/>
    <w:rsid w:val="005A0C49"/>
    <w:rsid w:val="005A2787"/>
    <w:rsid w:val="005A3A4C"/>
    <w:rsid w:val="005A3F65"/>
    <w:rsid w:val="005A4045"/>
    <w:rsid w:val="005A4A3E"/>
    <w:rsid w:val="005A4D65"/>
    <w:rsid w:val="005A6209"/>
    <w:rsid w:val="005B1112"/>
    <w:rsid w:val="005B16D5"/>
    <w:rsid w:val="005B17E8"/>
    <w:rsid w:val="005B1A00"/>
    <w:rsid w:val="005B1C29"/>
    <w:rsid w:val="005B2FE8"/>
    <w:rsid w:val="005B4167"/>
    <w:rsid w:val="005B4456"/>
    <w:rsid w:val="005B5477"/>
    <w:rsid w:val="005B5765"/>
    <w:rsid w:val="005B699C"/>
    <w:rsid w:val="005B69E2"/>
    <w:rsid w:val="005B7E61"/>
    <w:rsid w:val="005C01CA"/>
    <w:rsid w:val="005C0B5B"/>
    <w:rsid w:val="005C1199"/>
    <w:rsid w:val="005C26E0"/>
    <w:rsid w:val="005C3023"/>
    <w:rsid w:val="005C48B7"/>
    <w:rsid w:val="005C692A"/>
    <w:rsid w:val="005C6D85"/>
    <w:rsid w:val="005C7339"/>
    <w:rsid w:val="005C7423"/>
    <w:rsid w:val="005C79F0"/>
    <w:rsid w:val="005D10E0"/>
    <w:rsid w:val="005D18AA"/>
    <w:rsid w:val="005D2807"/>
    <w:rsid w:val="005E3D61"/>
    <w:rsid w:val="005E448C"/>
    <w:rsid w:val="005E4581"/>
    <w:rsid w:val="005E50A7"/>
    <w:rsid w:val="005E5292"/>
    <w:rsid w:val="005E6076"/>
    <w:rsid w:val="005E7EF1"/>
    <w:rsid w:val="005F00D4"/>
    <w:rsid w:val="005F3D2F"/>
    <w:rsid w:val="005F5088"/>
    <w:rsid w:val="005F6B16"/>
    <w:rsid w:val="005F7617"/>
    <w:rsid w:val="00600484"/>
    <w:rsid w:val="006006AE"/>
    <w:rsid w:val="00601395"/>
    <w:rsid w:val="00601C1C"/>
    <w:rsid w:val="00602362"/>
    <w:rsid w:val="0060337A"/>
    <w:rsid w:val="00603967"/>
    <w:rsid w:val="00603B88"/>
    <w:rsid w:val="00604C57"/>
    <w:rsid w:val="00605105"/>
    <w:rsid w:val="00606068"/>
    <w:rsid w:val="00607A07"/>
    <w:rsid w:val="0061031B"/>
    <w:rsid w:val="006113F3"/>
    <w:rsid w:val="006119F7"/>
    <w:rsid w:val="00612780"/>
    <w:rsid w:val="00615C2C"/>
    <w:rsid w:val="00616366"/>
    <w:rsid w:val="00617E15"/>
    <w:rsid w:val="00620E36"/>
    <w:rsid w:val="006217BF"/>
    <w:rsid w:val="006218A4"/>
    <w:rsid w:val="006244E2"/>
    <w:rsid w:val="00624B62"/>
    <w:rsid w:val="006252E4"/>
    <w:rsid w:val="00625962"/>
    <w:rsid w:val="00625A56"/>
    <w:rsid w:val="00625A8B"/>
    <w:rsid w:val="006267EB"/>
    <w:rsid w:val="0062682C"/>
    <w:rsid w:val="00627312"/>
    <w:rsid w:val="00630389"/>
    <w:rsid w:val="006308A5"/>
    <w:rsid w:val="00632357"/>
    <w:rsid w:val="00632A7E"/>
    <w:rsid w:val="006333A6"/>
    <w:rsid w:val="00633EBC"/>
    <w:rsid w:val="006348A1"/>
    <w:rsid w:val="006369F5"/>
    <w:rsid w:val="00636DC5"/>
    <w:rsid w:val="00637865"/>
    <w:rsid w:val="00640C27"/>
    <w:rsid w:val="0064115B"/>
    <w:rsid w:val="00641A2A"/>
    <w:rsid w:val="00642333"/>
    <w:rsid w:val="00642BB7"/>
    <w:rsid w:val="00642F09"/>
    <w:rsid w:val="00642F0A"/>
    <w:rsid w:val="0064359F"/>
    <w:rsid w:val="00643709"/>
    <w:rsid w:val="00643C21"/>
    <w:rsid w:val="00644BB0"/>
    <w:rsid w:val="006454A1"/>
    <w:rsid w:val="00645F16"/>
    <w:rsid w:val="00646A14"/>
    <w:rsid w:val="006477A8"/>
    <w:rsid w:val="00650D71"/>
    <w:rsid w:val="006518FE"/>
    <w:rsid w:val="0065371A"/>
    <w:rsid w:val="00654339"/>
    <w:rsid w:val="006543BC"/>
    <w:rsid w:val="00654E8A"/>
    <w:rsid w:val="00656D3A"/>
    <w:rsid w:val="006570FE"/>
    <w:rsid w:val="00662049"/>
    <w:rsid w:val="00663F54"/>
    <w:rsid w:val="00665E4F"/>
    <w:rsid w:val="0066619F"/>
    <w:rsid w:val="0066640D"/>
    <w:rsid w:val="00667FA2"/>
    <w:rsid w:val="00667FBD"/>
    <w:rsid w:val="0067055D"/>
    <w:rsid w:val="0067091F"/>
    <w:rsid w:val="00670F3B"/>
    <w:rsid w:val="00671116"/>
    <w:rsid w:val="006728A8"/>
    <w:rsid w:val="0067321B"/>
    <w:rsid w:val="006733F0"/>
    <w:rsid w:val="00673C11"/>
    <w:rsid w:val="006741D0"/>
    <w:rsid w:val="00674D84"/>
    <w:rsid w:val="00675C3B"/>
    <w:rsid w:val="00677ED4"/>
    <w:rsid w:val="00680438"/>
    <w:rsid w:val="00680AD3"/>
    <w:rsid w:val="0068315D"/>
    <w:rsid w:val="00683850"/>
    <w:rsid w:val="00683866"/>
    <w:rsid w:val="0068648C"/>
    <w:rsid w:val="0068719E"/>
    <w:rsid w:val="00691658"/>
    <w:rsid w:val="00691ABA"/>
    <w:rsid w:val="00691F53"/>
    <w:rsid w:val="006925D0"/>
    <w:rsid w:val="00693393"/>
    <w:rsid w:val="00695840"/>
    <w:rsid w:val="00695D1D"/>
    <w:rsid w:val="00695EC5"/>
    <w:rsid w:val="006967DA"/>
    <w:rsid w:val="0069792B"/>
    <w:rsid w:val="006A0566"/>
    <w:rsid w:val="006A13E2"/>
    <w:rsid w:val="006A161A"/>
    <w:rsid w:val="006A28D3"/>
    <w:rsid w:val="006A4D06"/>
    <w:rsid w:val="006A5346"/>
    <w:rsid w:val="006A621D"/>
    <w:rsid w:val="006A672B"/>
    <w:rsid w:val="006A7161"/>
    <w:rsid w:val="006A738E"/>
    <w:rsid w:val="006B0ABD"/>
    <w:rsid w:val="006B0B8A"/>
    <w:rsid w:val="006B176E"/>
    <w:rsid w:val="006B199C"/>
    <w:rsid w:val="006B1C92"/>
    <w:rsid w:val="006B27A7"/>
    <w:rsid w:val="006B3147"/>
    <w:rsid w:val="006B5519"/>
    <w:rsid w:val="006B5700"/>
    <w:rsid w:val="006B611E"/>
    <w:rsid w:val="006B6328"/>
    <w:rsid w:val="006B6BCB"/>
    <w:rsid w:val="006B7107"/>
    <w:rsid w:val="006C0B54"/>
    <w:rsid w:val="006C13DE"/>
    <w:rsid w:val="006C359D"/>
    <w:rsid w:val="006C383E"/>
    <w:rsid w:val="006C3987"/>
    <w:rsid w:val="006C3F5B"/>
    <w:rsid w:val="006C4C86"/>
    <w:rsid w:val="006C784A"/>
    <w:rsid w:val="006C7C9F"/>
    <w:rsid w:val="006C7DCF"/>
    <w:rsid w:val="006D0145"/>
    <w:rsid w:val="006D082D"/>
    <w:rsid w:val="006D14AA"/>
    <w:rsid w:val="006D16B5"/>
    <w:rsid w:val="006D2E9A"/>
    <w:rsid w:val="006D3D57"/>
    <w:rsid w:val="006D3FA8"/>
    <w:rsid w:val="006D5A1C"/>
    <w:rsid w:val="006D5CE7"/>
    <w:rsid w:val="006D6C6E"/>
    <w:rsid w:val="006D6F4E"/>
    <w:rsid w:val="006D714F"/>
    <w:rsid w:val="006D7A53"/>
    <w:rsid w:val="006E1237"/>
    <w:rsid w:val="006E1E25"/>
    <w:rsid w:val="006E2000"/>
    <w:rsid w:val="006E2A37"/>
    <w:rsid w:val="006E2DAB"/>
    <w:rsid w:val="006E3A1E"/>
    <w:rsid w:val="006E5973"/>
    <w:rsid w:val="006E61DF"/>
    <w:rsid w:val="006E6EC6"/>
    <w:rsid w:val="006E72F9"/>
    <w:rsid w:val="006F00E1"/>
    <w:rsid w:val="006F21A2"/>
    <w:rsid w:val="006F280A"/>
    <w:rsid w:val="006F2BA0"/>
    <w:rsid w:val="006F2CEF"/>
    <w:rsid w:val="006F5816"/>
    <w:rsid w:val="006F73D2"/>
    <w:rsid w:val="007009C4"/>
    <w:rsid w:val="00700D3C"/>
    <w:rsid w:val="00700D79"/>
    <w:rsid w:val="00704DFB"/>
    <w:rsid w:val="007051B0"/>
    <w:rsid w:val="00705200"/>
    <w:rsid w:val="00705293"/>
    <w:rsid w:val="00706835"/>
    <w:rsid w:val="00706ED6"/>
    <w:rsid w:val="007107CA"/>
    <w:rsid w:val="00710C32"/>
    <w:rsid w:val="00711BAA"/>
    <w:rsid w:val="00713268"/>
    <w:rsid w:val="0071396D"/>
    <w:rsid w:val="00714BD8"/>
    <w:rsid w:val="00717711"/>
    <w:rsid w:val="007202E9"/>
    <w:rsid w:val="00720F12"/>
    <w:rsid w:val="00721A34"/>
    <w:rsid w:val="00721E87"/>
    <w:rsid w:val="0072280D"/>
    <w:rsid w:val="007229BB"/>
    <w:rsid w:val="00723556"/>
    <w:rsid w:val="0072433D"/>
    <w:rsid w:val="0072515E"/>
    <w:rsid w:val="0072530F"/>
    <w:rsid w:val="00726C7D"/>
    <w:rsid w:val="00730B31"/>
    <w:rsid w:val="00731402"/>
    <w:rsid w:val="00731716"/>
    <w:rsid w:val="00731CA8"/>
    <w:rsid w:val="00732030"/>
    <w:rsid w:val="0073204B"/>
    <w:rsid w:val="00732214"/>
    <w:rsid w:val="0073484A"/>
    <w:rsid w:val="007353EE"/>
    <w:rsid w:val="00735AA9"/>
    <w:rsid w:val="007365C3"/>
    <w:rsid w:val="00736C59"/>
    <w:rsid w:val="00736D0B"/>
    <w:rsid w:val="0073709C"/>
    <w:rsid w:val="00742AB1"/>
    <w:rsid w:val="007445AD"/>
    <w:rsid w:val="00745773"/>
    <w:rsid w:val="00745C9F"/>
    <w:rsid w:val="00746674"/>
    <w:rsid w:val="00747819"/>
    <w:rsid w:val="00750F3E"/>
    <w:rsid w:val="007510C5"/>
    <w:rsid w:val="0075152F"/>
    <w:rsid w:val="00752426"/>
    <w:rsid w:val="007535E5"/>
    <w:rsid w:val="00753E22"/>
    <w:rsid w:val="00755176"/>
    <w:rsid w:val="0075731F"/>
    <w:rsid w:val="0076185C"/>
    <w:rsid w:val="007641AA"/>
    <w:rsid w:val="007643EC"/>
    <w:rsid w:val="0076634A"/>
    <w:rsid w:val="00767387"/>
    <w:rsid w:val="0077023B"/>
    <w:rsid w:val="00770635"/>
    <w:rsid w:val="00770E19"/>
    <w:rsid w:val="00771893"/>
    <w:rsid w:val="00771E7F"/>
    <w:rsid w:val="0077272B"/>
    <w:rsid w:val="007738B1"/>
    <w:rsid w:val="007758DB"/>
    <w:rsid w:val="00775E80"/>
    <w:rsid w:val="00776A29"/>
    <w:rsid w:val="007770CF"/>
    <w:rsid w:val="0077722F"/>
    <w:rsid w:val="00781BB5"/>
    <w:rsid w:val="00781DCC"/>
    <w:rsid w:val="00781EB6"/>
    <w:rsid w:val="007822F9"/>
    <w:rsid w:val="00782D58"/>
    <w:rsid w:val="00782EB7"/>
    <w:rsid w:val="00783377"/>
    <w:rsid w:val="007850F3"/>
    <w:rsid w:val="00785539"/>
    <w:rsid w:val="0078671F"/>
    <w:rsid w:val="007877E4"/>
    <w:rsid w:val="00790489"/>
    <w:rsid w:val="00790590"/>
    <w:rsid w:val="00790B66"/>
    <w:rsid w:val="007910F0"/>
    <w:rsid w:val="007913C1"/>
    <w:rsid w:val="0079166E"/>
    <w:rsid w:val="0079303B"/>
    <w:rsid w:val="007930FA"/>
    <w:rsid w:val="0079467B"/>
    <w:rsid w:val="00794C27"/>
    <w:rsid w:val="00795B09"/>
    <w:rsid w:val="007960AB"/>
    <w:rsid w:val="00796A47"/>
    <w:rsid w:val="00797F74"/>
    <w:rsid w:val="007A0889"/>
    <w:rsid w:val="007A0BA2"/>
    <w:rsid w:val="007A0C2D"/>
    <w:rsid w:val="007A27B1"/>
    <w:rsid w:val="007A328D"/>
    <w:rsid w:val="007A414A"/>
    <w:rsid w:val="007A606B"/>
    <w:rsid w:val="007A7EEA"/>
    <w:rsid w:val="007B0275"/>
    <w:rsid w:val="007B1427"/>
    <w:rsid w:val="007B209B"/>
    <w:rsid w:val="007B3248"/>
    <w:rsid w:val="007B36A9"/>
    <w:rsid w:val="007B470A"/>
    <w:rsid w:val="007B682B"/>
    <w:rsid w:val="007B6923"/>
    <w:rsid w:val="007B6ABF"/>
    <w:rsid w:val="007C08FB"/>
    <w:rsid w:val="007C105A"/>
    <w:rsid w:val="007C16B4"/>
    <w:rsid w:val="007C6346"/>
    <w:rsid w:val="007C64F5"/>
    <w:rsid w:val="007C6D8B"/>
    <w:rsid w:val="007D0200"/>
    <w:rsid w:val="007D3975"/>
    <w:rsid w:val="007D4819"/>
    <w:rsid w:val="007D5D8A"/>
    <w:rsid w:val="007D6159"/>
    <w:rsid w:val="007D6B0B"/>
    <w:rsid w:val="007D78FE"/>
    <w:rsid w:val="007E0681"/>
    <w:rsid w:val="007E203A"/>
    <w:rsid w:val="007E395D"/>
    <w:rsid w:val="007E4B01"/>
    <w:rsid w:val="007F0245"/>
    <w:rsid w:val="007F0CF5"/>
    <w:rsid w:val="007F1CD0"/>
    <w:rsid w:val="007F2853"/>
    <w:rsid w:val="007F5DAA"/>
    <w:rsid w:val="007F5E36"/>
    <w:rsid w:val="007F7143"/>
    <w:rsid w:val="00800600"/>
    <w:rsid w:val="008007ED"/>
    <w:rsid w:val="008034FE"/>
    <w:rsid w:val="00807391"/>
    <w:rsid w:val="00807E13"/>
    <w:rsid w:val="008107E9"/>
    <w:rsid w:val="008122E9"/>
    <w:rsid w:val="0081255E"/>
    <w:rsid w:val="0081285E"/>
    <w:rsid w:val="00812D57"/>
    <w:rsid w:val="0081332C"/>
    <w:rsid w:val="008134E1"/>
    <w:rsid w:val="00813F0B"/>
    <w:rsid w:val="00814705"/>
    <w:rsid w:val="00815590"/>
    <w:rsid w:val="008156DA"/>
    <w:rsid w:val="00815934"/>
    <w:rsid w:val="008160CD"/>
    <w:rsid w:val="008167E1"/>
    <w:rsid w:val="008171CD"/>
    <w:rsid w:val="00821FC7"/>
    <w:rsid w:val="0082218A"/>
    <w:rsid w:val="00824164"/>
    <w:rsid w:val="00825C42"/>
    <w:rsid w:val="0082624F"/>
    <w:rsid w:val="00826C6A"/>
    <w:rsid w:val="00827FAE"/>
    <w:rsid w:val="0083024E"/>
    <w:rsid w:val="00831FFF"/>
    <w:rsid w:val="0083205E"/>
    <w:rsid w:val="00832062"/>
    <w:rsid w:val="0083308B"/>
    <w:rsid w:val="00834E1B"/>
    <w:rsid w:val="008356ED"/>
    <w:rsid w:val="00835B60"/>
    <w:rsid w:val="00835EDE"/>
    <w:rsid w:val="00837D00"/>
    <w:rsid w:val="00837D35"/>
    <w:rsid w:val="00841652"/>
    <w:rsid w:val="00842234"/>
    <w:rsid w:val="008425A3"/>
    <w:rsid w:val="00842B41"/>
    <w:rsid w:val="0084335C"/>
    <w:rsid w:val="008436BA"/>
    <w:rsid w:val="008436C1"/>
    <w:rsid w:val="008439B0"/>
    <w:rsid w:val="00844185"/>
    <w:rsid w:val="00844196"/>
    <w:rsid w:val="00847CBE"/>
    <w:rsid w:val="008516A2"/>
    <w:rsid w:val="008517C4"/>
    <w:rsid w:val="00852FAC"/>
    <w:rsid w:val="00853700"/>
    <w:rsid w:val="00853D8E"/>
    <w:rsid w:val="008548F3"/>
    <w:rsid w:val="00856390"/>
    <w:rsid w:val="00856BD7"/>
    <w:rsid w:val="00860E9A"/>
    <w:rsid w:val="008615C0"/>
    <w:rsid w:val="00861857"/>
    <w:rsid w:val="00862EEC"/>
    <w:rsid w:val="00863BA5"/>
    <w:rsid w:val="0086422D"/>
    <w:rsid w:val="00864259"/>
    <w:rsid w:val="00864AE5"/>
    <w:rsid w:val="00864E6F"/>
    <w:rsid w:val="00865A7F"/>
    <w:rsid w:val="0086604E"/>
    <w:rsid w:val="00866834"/>
    <w:rsid w:val="0086745F"/>
    <w:rsid w:val="00871202"/>
    <w:rsid w:val="00871A2A"/>
    <w:rsid w:val="00873150"/>
    <w:rsid w:val="00873360"/>
    <w:rsid w:val="0087526E"/>
    <w:rsid w:val="0087605B"/>
    <w:rsid w:val="00877491"/>
    <w:rsid w:val="008807BB"/>
    <w:rsid w:val="00880994"/>
    <w:rsid w:val="008809A8"/>
    <w:rsid w:val="00880B62"/>
    <w:rsid w:val="00881D83"/>
    <w:rsid w:val="00882E52"/>
    <w:rsid w:val="008831B9"/>
    <w:rsid w:val="008836B9"/>
    <w:rsid w:val="00885462"/>
    <w:rsid w:val="00885517"/>
    <w:rsid w:val="00885735"/>
    <w:rsid w:val="0088759B"/>
    <w:rsid w:val="00887ED9"/>
    <w:rsid w:val="00890AFE"/>
    <w:rsid w:val="00890EF7"/>
    <w:rsid w:val="00891667"/>
    <w:rsid w:val="008918E6"/>
    <w:rsid w:val="00891C2F"/>
    <w:rsid w:val="00892B6C"/>
    <w:rsid w:val="00893439"/>
    <w:rsid w:val="00893EC8"/>
    <w:rsid w:val="008945F1"/>
    <w:rsid w:val="00894992"/>
    <w:rsid w:val="00896D45"/>
    <w:rsid w:val="0089752C"/>
    <w:rsid w:val="0089776C"/>
    <w:rsid w:val="00897CA9"/>
    <w:rsid w:val="00897E28"/>
    <w:rsid w:val="008A0A97"/>
    <w:rsid w:val="008A23F9"/>
    <w:rsid w:val="008A3AC3"/>
    <w:rsid w:val="008A3EAC"/>
    <w:rsid w:val="008A4CD0"/>
    <w:rsid w:val="008A4D7B"/>
    <w:rsid w:val="008A5C13"/>
    <w:rsid w:val="008A6219"/>
    <w:rsid w:val="008A6CF0"/>
    <w:rsid w:val="008A6D53"/>
    <w:rsid w:val="008A7AE8"/>
    <w:rsid w:val="008B1012"/>
    <w:rsid w:val="008B1AD5"/>
    <w:rsid w:val="008B32AE"/>
    <w:rsid w:val="008B507C"/>
    <w:rsid w:val="008B7385"/>
    <w:rsid w:val="008B7E3E"/>
    <w:rsid w:val="008C2155"/>
    <w:rsid w:val="008C367D"/>
    <w:rsid w:val="008C37C3"/>
    <w:rsid w:val="008C42B3"/>
    <w:rsid w:val="008C4489"/>
    <w:rsid w:val="008C512F"/>
    <w:rsid w:val="008C5730"/>
    <w:rsid w:val="008C6052"/>
    <w:rsid w:val="008C644E"/>
    <w:rsid w:val="008C6455"/>
    <w:rsid w:val="008D0286"/>
    <w:rsid w:val="008D1133"/>
    <w:rsid w:val="008D14BF"/>
    <w:rsid w:val="008D1ACA"/>
    <w:rsid w:val="008D23AA"/>
    <w:rsid w:val="008D29A1"/>
    <w:rsid w:val="008D35A2"/>
    <w:rsid w:val="008D4B9F"/>
    <w:rsid w:val="008D6483"/>
    <w:rsid w:val="008D6CFC"/>
    <w:rsid w:val="008D7026"/>
    <w:rsid w:val="008D7221"/>
    <w:rsid w:val="008D7431"/>
    <w:rsid w:val="008D746B"/>
    <w:rsid w:val="008D79B4"/>
    <w:rsid w:val="008D7C8A"/>
    <w:rsid w:val="008E039E"/>
    <w:rsid w:val="008E40E0"/>
    <w:rsid w:val="008E4FB9"/>
    <w:rsid w:val="008E5E0A"/>
    <w:rsid w:val="008E76A3"/>
    <w:rsid w:val="008E7949"/>
    <w:rsid w:val="008F0433"/>
    <w:rsid w:val="008F29D0"/>
    <w:rsid w:val="008F4338"/>
    <w:rsid w:val="008F4353"/>
    <w:rsid w:val="00900693"/>
    <w:rsid w:val="00900FED"/>
    <w:rsid w:val="0090141E"/>
    <w:rsid w:val="0090169C"/>
    <w:rsid w:val="00902F63"/>
    <w:rsid w:val="00903098"/>
    <w:rsid w:val="00903F3B"/>
    <w:rsid w:val="0090419A"/>
    <w:rsid w:val="00904732"/>
    <w:rsid w:val="00904B6F"/>
    <w:rsid w:val="00905126"/>
    <w:rsid w:val="00905FE7"/>
    <w:rsid w:val="0090642D"/>
    <w:rsid w:val="009071C0"/>
    <w:rsid w:val="00910A7A"/>
    <w:rsid w:val="009119C5"/>
    <w:rsid w:val="009123DF"/>
    <w:rsid w:val="0091256E"/>
    <w:rsid w:val="009132CA"/>
    <w:rsid w:val="009134AB"/>
    <w:rsid w:val="00916DCF"/>
    <w:rsid w:val="00917573"/>
    <w:rsid w:val="00917B66"/>
    <w:rsid w:val="00922A21"/>
    <w:rsid w:val="00926553"/>
    <w:rsid w:val="00927618"/>
    <w:rsid w:val="00931A49"/>
    <w:rsid w:val="00931BD0"/>
    <w:rsid w:val="00932214"/>
    <w:rsid w:val="009324C5"/>
    <w:rsid w:val="00932A89"/>
    <w:rsid w:val="0093349B"/>
    <w:rsid w:val="0093370A"/>
    <w:rsid w:val="00935345"/>
    <w:rsid w:val="00936307"/>
    <w:rsid w:val="009410EE"/>
    <w:rsid w:val="009415E5"/>
    <w:rsid w:val="009418EC"/>
    <w:rsid w:val="00942E1D"/>
    <w:rsid w:val="0094300D"/>
    <w:rsid w:val="00944230"/>
    <w:rsid w:val="0094447D"/>
    <w:rsid w:val="009446A3"/>
    <w:rsid w:val="009446C6"/>
    <w:rsid w:val="009450C1"/>
    <w:rsid w:val="00945AB1"/>
    <w:rsid w:val="00947906"/>
    <w:rsid w:val="009516D3"/>
    <w:rsid w:val="00952D2E"/>
    <w:rsid w:val="00953293"/>
    <w:rsid w:val="00953A16"/>
    <w:rsid w:val="00953DC7"/>
    <w:rsid w:val="009543D1"/>
    <w:rsid w:val="00955583"/>
    <w:rsid w:val="00957522"/>
    <w:rsid w:val="00957B4C"/>
    <w:rsid w:val="009620AF"/>
    <w:rsid w:val="009628BA"/>
    <w:rsid w:val="00962911"/>
    <w:rsid w:val="009659C5"/>
    <w:rsid w:val="00965B80"/>
    <w:rsid w:val="00966CAF"/>
    <w:rsid w:val="00967D44"/>
    <w:rsid w:val="00967E3B"/>
    <w:rsid w:val="009701B1"/>
    <w:rsid w:val="009715CB"/>
    <w:rsid w:val="0097256F"/>
    <w:rsid w:val="00972907"/>
    <w:rsid w:val="00972BC9"/>
    <w:rsid w:val="00972BDC"/>
    <w:rsid w:val="00973DB4"/>
    <w:rsid w:val="0097485A"/>
    <w:rsid w:val="00974BA3"/>
    <w:rsid w:val="009765DE"/>
    <w:rsid w:val="00980306"/>
    <w:rsid w:val="00981088"/>
    <w:rsid w:val="00982250"/>
    <w:rsid w:val="00984659"/>
    <w:rsid w:val="0098531D"/>
    <w:rsid w:val="00985B81"/>
    <w:rsid w:val="0098641A"/>
    <w:rsid w:val="00986967"/>
    <w:rsid w:val="00987249"/>
    <w:rsid w:val="009900D6"/>
    <w:rsid w:val="009915FA"/>
    <w:rsid w:val="00991BE5"/>
    <w:rsid w:val="00992234"/>
    <w:rsid w:val="00994406"/>
    <w:rsid w:val="00995C1C"/>
    <w:rsid w:val="00996C96"/>
    <w:rsid w:val="00996D54"/>
    <w:rsid w:val="00997030"/>
    <w:rsid w:val="00997DDC"/>
    <w:rsid w:val="009A0811"/>
    <w:rsid w:val="009A0D8C"/>
    <w:rsid w:val="009A1486"/>
    <w:rsid w:val="009A1BC9"/>
    <w:rsid w:val="009A2D1C"/>
    <w:rsid w:val="009A395F"/>
    <w:rsid w:val="009A3D46"/>
    <w:rsid w:val="009A4F12"/>
    <w:rsid w:val="009A6098"/>
    <w:rsid w:val="009A6E08"/>
    <w:rsid w:val="009B0112"/>
    <w:rsid w:val="009B3039"/>
    <w:rsid w:val="009B337A"/>
    <w:rsid w:val="009B3BF7"/>
    <w:rsid w:val="009B498A"/>
    <w:rsid w:val="009B4A35"/>
    <w:rsid w:val="009B4E21"/>
    <w:rsid w:val="009B5349"/>
    <w:rsid w:val="009B5456"/>
    <w:rsid w:val="009B5A98"/>
    <w:rsid w:val="009B5CAB"/>
    <w:rsid w:val="009B5FA5"/>
    <w:rsid w:val="009B689B"/>
    <w:rsid w:val="009C21F0"/>
    <w:rsid w:val="009C2C7B"/>
    <w:rsid w:val="009C399F"/>
    <w:rsid w:val="009C4255"/>
    <w:rsid w:val="009C5D43"/>
    <w:rsid w:val="009C6000"/>
    <w:rsid w:val="009C61E8"/>
    <w:rsid w:val="009C6964"/>
    <w:rsid w:val="009C69D0"/>
    <w:rsid w:val="009C75C4"/>
    <w:rsid w:val="009C7F86"/>
    <w:rsid w:val="009D0F31"/>
    <w:rsid w:val="009D1166"/>
    <w:rsid w:val="009D1CA8"/>
    <w:rsid w:val="009D28B7"/>
    <w:rsid w:val="009D2AE7"/>
    <w:rsid w:val="009D3896"/>
    <w:rsid w:val="009D3F1E"/>
    <w:rsid w:val="009D41AC"/>
    <w:rsid w:val="009D4532"/>
    <w:rsid w:val="009D6B66"/>
    <w:rsid w:val="009D71B2"/>
    <w:rsid w:val="009E06AA"/>
    <w:rsid w:val="009E0768"/>
    <w:rsid w:val="009E096F"/>
    <w:rsid w:val="009E126D"/>
    <w:rsid w:val="009E4253"/>
    <w:rsid w:val="009E4840"/>
    <w:rsid w:val="009E4BE7"/>
    <w:rsid w:val="009E5969"/>
    <w:rsid w:val="009E638D"/>
    <w:rsid w:val="009E66BC"/>
    <w:rsid w:val="009E70D2"/>
    <w:rsid w:val="009E7375"/>
    <w:rsid w:val="009E7895"/>
    <w:rsid w:val="009E7F4F"/>
    <w:rsid w:val="009F0225"/>
    <w:rsid w:val="009F0755"/>
    <w:rsid w:val="009F0BDD"/>
    <w:rsid w:val="009F0D6F"/>
    <w:rsid w:val="009F153B"/>
    <w:rsid w:val="009F1847"/>
    <w:rsid w:val="009F364F"/>
    <w:rsid w:val="009F3857"/>
    <w:rsid w:val="009F3BDB"/>
    <w:rsid w:val="009F4945"/>
    <w:rsid w:val="009F57A9"/>
    <w:rsid w:val="009F756D"/>
    <w:rsid w:val="00A00004"/>
    <w:rsid w:val="00A00E2A"/>
    <w:rsid w:val="00A01676"/>
    <w:rsid w:val="00A02148"/>
    <w:rsid w:val="00A02C33"/>
    <w:rsid w:val="00A03C6A"/>
    <w:rsid w:val="00A03F4F"/>
    <w:rsid w:val="00A04DB9"/>
    <w:rsid w:val="00A05BBB"/>
    <w:rsid w:val="00A05CC4"/>
    <w:rsid w:val="00A124C6"/>
    <w:rsid w:val="00A12D32"/>
    <w:rsid w:val="00A13AE4"/>
    <w:rsid w:val="00A14C90"/>
    <w:rsid w:val="00A15406"/>
    <w:rsid w:val="00A15754"/>
    <w:rsid w:val="00A15BB9"/>
    <w:rsid w:val="00A162FA"/>
    <w:rsid w:val="00A1762B"/>
    <w:rsid w:val="00A17930"/>
    <w:rsid w:val="00A17A03"/>
    <w:rsid w:val="00A17BD8"/>
    <w:rsid w:val="00A20805"/>
    <w:rsid w:val="00A217A9"/>
    <w:rsid w:val="00A21A04"/>
    <w:rsid w:val="00A22893"/>
    <w:rsid w:val="00A23FB5"/>
    <w:rsid w:val="00A25B77"/>
    <w:rsid w:val="00A26506"/>
    <w:rsid w:val="00A27267"/>
    <w:rsid w:val="00A272EE"/>
    <w:rsid w:val="00A2735D"/>
    <w:rsid w:val="00A273EC"/>
    <w:rsid w:val="00A27E1F"/>
    <w:rsid w:val="00A30192"/>
    <w:rsid w:val="00A3044C"/>
    <w:rsid w:val="00A30BE6"/>
    <w:rsid w:val="00A31A7F"/>
    <w:rsid w:val="00A32B8F"/>
    <w:rsid w:val="00A34872"/>
    <w:rsid w:val="00A36FAE"/>
    <w:rsid w:val="00A4030A"/>
    <w:rsid w:val="00A40FD6"/>
    <w:rsid w:val="00A4226C"/>
    <w:rsid w:val="00A4450D"/>
    <w:rsid w:val="00A454CC"/>
    <w:rsid w:val="00A503F0"/>
    <w:rsid w:val="00A51444"/>
    <w:rsid w:val="00A52248"/>
    <w:rsid w:val="00A5233F"/>
    <w:rsid w:val="00A5292B"/>
    <w:rsid w:val="00A52DEC"/>
    <w:rsid w:val="00A532BF"/>
    <w:rsid w:val="00A54D67"/>
    <w:rsid w:val="00A55206"/>
    <w:rsid w:val="00A55A5C"/>
    <w:rsid w:val="00A55C03"/>
    <w:rsid w:val="00A56466"/>
    <w:rsid w:val="00A56DB7"/>
    <w:rsid w:val="00A60162"/>
    <w:rsid w:val="00A6210B"/>
    <w:rsid w:val="00A62B99"/>
    <w:rsid w:val="00A63949"/>
    <w:rsid w:val="00A64B49"/>
    <w:rsid w:val="00A6508B"/>
    <w:rsid w:val="00A65B09"/>
    <w:rsid w:val="00A66104"/>
    <w:rsid w:val="00A664A1"/>
    <w:rsid w:val="00A70747"/>
    <w:rsid w:val="00A711F4"/>
    <w:rsid w:val="00A72BFC"/>
    <w:rsid w:val="00A72D82"/>
    <w:rsid w:val="00A73AC5"/>
    <w:rsid w:val="00A759FE"/>
    <w:rsid w:val="00A75C86"/>
    <w:rsid w:val="00A7685F"/>
    <w:rsid w:val="00A801D9"/>
    <w:rsid w:val="00A8036E"/>
    <w:rsid w:val="00A80CC5"/>
    <w:rsid w:val="00A81B9E"/>
    <w:rsid w:val="00A81FAF"/>
    <w:rsid w:val="00A822B5"/>
    <w:rsid w:val="00A82771"/>
    <w:rsid w:val="00A82ADD"/>
    <w:rsid w:val="00A83C96"/>
    <w:rsid w:val="00A83F10"/>
    <w:rsid w:val="00A8455A"/>
    <w:rsid w:val="00A85365"/>
    <w:rsid w:val="00A873A1"/>
    <w:rsid w:val="00A873E9"/>
    <w:rsid w:val="00A87BCE"/>
    <w:rsid w:val="00A90299"/>
    <w:rsid w:val="00A90C3D"/>
    <w:rsid w:val="00A914CB"/>
    <w:rsid w:val="00A930C5"/>
    <w:rsid w:val="00A971CD"/>
    <w:rsid w:val="00AA0882"/>
    <w:rsid w:val="00AA58FA"/>
    <w:rsid w:val="00AA6E02"/>
    <w:rsid w:val="00AB0A61"/>
    <w:rsid w:val="00AB177A"/>
    <w:rsid w:val="00AB18C4"/>
    <w:rsid w:val="00AB2554"/>
    <w:rsid w:val="00AB4BEA"/>
    <w:rsid w:val="00AB63DF"/>
    <w:rsid w:val="00AB6FD8"/>
    <w:rsid w:val="00AB7403"/>
    <w:rsid w:val="00AB7E2D"/>
    <w:rsid w:val="00AC1E00"/>
    <w:rsid w:val="00AC20B3"/>
    <w:rsid w:val="00AC361F"/>
    <w:rsid w:val="00AC4760"/>
    <w:rsid w:val="00AC4AAA"/>
    <w:rsid w:val="00AC5739"/>
    <w:rsid w:val="00AC5BB4"/>
    <w:rsid w:val="00AC6302"/>
    <w:rsid w:val="00AC70C5"/>
    <w:rsid w:val="00AC7276"/>
    <w:rsid w:val="00AD0574"/>
    <w:rsid w:val="00AD066C"/>
    <w:rsid w:val="00AD06C7"/>
    <w:rsid w:val="00AD0975"/>
    <w:rsid w:val="00AD097F"/>
    <w:rsid w:val="00AD2B19"/>
    <w:rsid w:val="00AD34FB"/>
    <w:rsid w:val="00AD366D"/>
    <w:rsid w:val="00AD3C11"/>
    <w:rsid w:val="00AD6609"/>
    <w:rsid w:val="00AD6628"/>
    <w:rsid w:val="00AD6799"/>
    <w:rsid w:val="00AE1555"/>
    <w:rsid w:val="00AE1673"/>
    <w:rsid w:val="00AE2B36"/>
    <w:rsid w:val="00AE3A94"/>
    <w:rsid w:val="00AE4034"/>
    <w:rsid w:val="00AE4699"/>
    <w:rsid w:val="00AE69C1"/>
    <w:rsid w:val="00AE6D88"/>
    <w:rsid w:val="00AE76B8"/>
    <w:rsid w:val="00AF0A36"/>
    <w:rsid w:val="00AF0A55"/>
    <w:rsid w:val="00AF1501"/>
    <w:rsid w:val="00AF1DF6"/>
    <w:rsid w:val="00AF1F0E"/>
    <w:rsid w:val="00AF255A"/>
    <w:rsid w:val="00AF3585"/>
    <w:rsid w:val="00AF37CB"/>
    <w:rsid w:val="00AF3918"/>
    <w:rsid w:val="00AF40F0"/>
    <w:rsid w:val="00AF42DE"/>
    <w:rsid w:val="00AF5358"/>
    <w:rsid w:val="00AF554B"/>
    <w:rsid w:val="00AF5C80"/>
    <w:rsid w:val="00AF62CF"/>
    <w:rsid w:val="00AF7F1F"/>
    <w:rsid w:val="00B019FB"/>
    <w:rsid w:val="00B02545"/>
    <w:rsid w:val="00B02BF6"/>
    <w:rsid w:val="00B047C9"/>
    <w:rsid w:val="00B061DD"/>
    <w:rsid w:val="00B06244"/>
    <w:rsid w:val="00B07D12"/>
    <w:rsid w:val="00B113A8"/>
    <w:rsid w:val="00B11ADA"/>
    <w:rsid w:val="00B13348"/>
    <w:rsid w:val="00B13C46"/>
    <w:rsid w:val="00B13E45"/>
    <w:rsid w:val="00B13E4A"/>
    <w:rsid w:val="00B14019"/>
    <w:rsid w:val="00B15701"/>
    <w:rsid w:val="00B15AC2"/>
    <w:rsid w:val="00B167E0"/>
    <w:rsid w:val="00B17D72"/>
    <w:rsid w:val="00B17FD8"/>
    <w:rsid w:val="00B21F0C"/>
    <w:rsid w:val="00B239C8"/>
    <w:rsid w:val="00B2469A"/>
    <w:rsid w:val="00B26322"/>
    <w:rsid w:val="00B26461"/>
    <w:rsid w:val="00B27296"/>
    <w:rsid w:val="00B2771D"/>
    <w:rsid w:val="00B27A39"/>
    <w:rsid w:val="00B30A38"/>
    <w:rsid w:val="00B31D60"/>
    <w:rsid w:val="00B3254B"/>
    <w:rsid w:val="00B32824"/>
    <w:rsid w:val="00B32E03"/>
    <w:rsid w:val="00B32F08"/>
    <w:rsid w:val="00B34DF4"/>
    <w:rsid w:val="00B37308"/>
    <w:rsid w:val="00B37CEC"/>
    <w:rsid w:val="00B4051D"/>
    <w:rsid w:val="00B40A8C"/>
    <w:rsid w:val="00B40C8F"/>
    <w:rsid w:val="00B4249D"/>
    <w:rsid w:val="00B424F7"/>
    <w:rsid w:val="00B42C6F"/>
    <w:rsid w:val="00B4382B"/>
    <w:rsid w:val="00B439E6"/>
    <w:rsid w:val="00B43E5E"/>
    <w:rsid w:val="00B45E9C"/>
    <w:rsid w:val="00B46EA3"/>
    <w:rsid w:val="00B50C89"/>
    <w:rsid w:val="00B51149"/>
    <w:rsid w:val="00B52B1E"/>
    <w:rsid w:val="00B52DD6"/>
    <w:rsid w:val="00B53600"/>
    <w:rsid w:val="00B54B12"/>
    <w:rsid w:val="00B55587"/>
    <w:rsid w:val="00B5677F"/>
    <w:rsid w:val="00B569A9"/>
    <w:rsid w:val="00B6084F"/>
    <w:rsid w:val="00B61490"/>
    <w:rsid w:val="00B61C11"/>
    <w:rsid w:val="00B61C61"/>
    <w:rsid w:val="00B62901"/>
    <w:rsid w:val="00B629C6"/>
    <w:rsid w:val="00B62DA6"/>
    <w:rsid w:val="00B62E88"/>
    <w:rsid w:val="00B63047"/>
    <w:rsid w:val="00B70E6B"/>
    <w:rsid w:val="00B715A0"/>
    <w:rsid w:val="00B71F76"/>
    <w:rsid w:val="00B728DB"/>
    <w:rsid w:val="00B7307F"/>
    <w:rsid w:val="00B73638"/>
    <w:rsid w:val="00B75CC4"/>
    <w:rsid w:val="00B76230"/>
    <w:rsid w:val="00B77161"/>
    <w:rsid w:val="00B77FB7"/>
    <w:rsid w:val="00B8049F"/>
    <w:rsid w:val="00B80E85"/>
    <w:rsid w:val="00B813A5"/>
    <w:rsid w:val="00B82673"/>
    <w:rsid w:val="00B82FA8"/>
    <w:rsid w:val="00B837A4"/>
    <w:rsid w:val="00B83CA7"/>
    <w:rsid w:val="00B847E7"/>
    <w:rsid w:val="00B8649B"/>
    <w:rsid w:val="00B8655C"/>
    <w:rsid w:val="00B86C2D"/>
    <w:rsid w:val="00B872D9"/>
    <w:rsid w:val="00B90D9C"/>
    <w:rsid w:val="00B93361"/>
    <w:rsid w:val="00B93656"/>
    <w:rsid w:val="00B9518F"/>
    <w:rsid w:val="00B9578E"/>
    <w:rsid w:val="00B95AE8"/>
    <w:rsid w:val="00B9722C"/>
    <w:rsid w:val="00B97EFD"/>
    <w:rsid w:val="00BA04AD"/>
    <w:rsid w:val="00BA08FF"/>
    <w:rsid w:val="00BA2348"/>
    <w:rsid w:val="00BA3E22"/>
    <w:rsid w:val="00BA5627"/>
    <w:rsid w:val="00BA6005"/>
    <w:rsid w:val="00BA67F5"/>
    <w:rsid w:val="00BA7A44"/>
    <w:rsid w:val="00BB0363"/>
    <w:rsid w:val="00BB12D3"/>
    <w:rsid w:val="00BB18B7"/>
    <w:rsid w:val="00BB2A41"/>
    <w:rsid w:val="00BB412B"/>
    <w:rsid w:val="00BB43EF"/>
    <w:rsid w:val="00BB7608"/>
    <w:rsid w:val="00BB7CB8"/>
    <w:rsid w:val="00BB7FC0"/>
    <w:rsid w:val="00BC1012"/>
    <w:rsid w:val="00BC11C0"/>
    <w:rsid w:val="00BC335C"/>
    <w:rsid w:val="00BC3425"/>
    <w:rsid w:val="00BC3776"/>
    <w:rsid w:val="00BC4B73"/>
    <w:rsid w:val="00BC59B3"/>
    <w:rsid w:val="00BC5C7F"/>
    <w:rsid w:val="00BC6307"/>
    <w:rsid w:val="00BC6822"/>
    <w:rsid w:val="00BC69A0"/>
    <w:rsid w:val="00BC775D"/>
    <w:rsid w:val="00BC7D0A"/>
    <w:rsid w:val="00BD0542"/>
    <w:rsid w:val="00BD1526"/>
    <w:rsid w:val="00BD1DFB"/>
    <w:rsid w:val="00BD56A9"/>
    <w:rsid w:val="00BD77AF"/>
    <w:rsid w:val="00BD7B61"/>
    <w:rsid w:val="00BD7DEF"/>
    <w:rsid w:val="00BE28F1"/>
    <w:rsid w:val="00BE2900"/>
    <w:rsid w:val="00BE3184"/>
    <w:rsid w:val="00BE73E8"/>
    <w:rsid w:val="00BE7D15"/>
    <w:rsid w:val="00BF0E0E"/>
    <w:rsid w:val="00BF15F9"/>
    <w:rsid w:val="00BF1F20"/>
    <w:rsid w:val="00BF330F"/>
    <w:rsid w:val="00BF358B"/>
    <w:rsid w:val="00BF47B3"/>
    <w:rsid w:val="00BF6A0C"/>
    <w:rsid w:val="00C0038B"/>
    <w:rsid w:val="00C0067F"/>
    <w:rsid w:val="00C00D93"/>
    <w:rsid w:val="00C00DD4"/>
    <w:rsid w:val="00C0281B"/>
    <w:rsid w:val="00C03E5F"/>
    <w:rsid w:val="00C04C18"/>
    <w:rsid w:val="00C05571"/>
    <w:rsid w:val="00C0564A"/>
    <w:rsid w:val="00C05AB6"/>
    <w:rsid w:val="00C06787"/>
    <w:rsid w:val="00C06AE5"/>
    <w:rsid w:val="00C1013F"/>
    <w:rsid w:val="00C1109F"/>
    <w:rsid w:val="00C11AFF"/>
    <w:rsid w:val="00C120CF"/>
    <w:rsid w:val="00C13915"/>
    <w:rsid w:val="00C13F57"/>
    <w:rsid w:val="00C1441C"/>
    <w:rsid w:val="00C157C8"/>
    <w:rsid w:val="00C16E35"/>
    <w:rsid w:val="00C2189D"/>
    <w:rsid w:val="00C21FD6"/>
    <w:rsid w:val="00C23757"/>
    <w:rsid w:val="00C2593F"/>
    <w:rsid w:val="00C26E06"/>
    <w:rsid w:val="00C27DF2"/>
    <w:rsid w:val="00C30770"/>
    <w:rsid w:val="00C311EE"/>
    <w:rsid w:val="00C314B6"/>
    <w:rsid w:val="00C31811"/>
    <w:rsid w:val="00C32E7A"/>
    <w:rsid w:val="00C34B02"/>
    <w:rsid w:val="00C34C01"/>
    <w:rsid w:val="00C36FC9"/>
    <w:rsid w:val="00C37270"/>
    <w:rsid w:val="00C373CC"/>
    <w:rsid w:val="00C37546"/>
    <w:rsid w:val="00C37A33"/>
    <w:rsid w:val="00C40FDD"/>
    <w:rsid w:val="00C41474"/>
    <w:rsid w:val="00C41568"/>
    <w:rsid w:val="00C43DE6"/>
    <w:rsid w:val="00C444BC"/>
    <w:rsid w:val="00C45497"/>
    <w:rsid w:val="00C46F78"/>
    <w:rsid w:val="00C5036E"/>
    <w:rsid w:val="00C51B95"/>
    <w:rsid w:val="00C525B2"/>
    <w:rsid w:val="00C528C4"/>
    <w:rsid w:val="00C530AC"/>
    <w:rsid w:val="00C54B4D"/>
    <w:rsid w:val="00C54C22"/>
    <w:rsid w:val="00C557EF"/>
    <w:rsid w:val="00C55C2E"/>
    <w:rsid w:val="00C55D50"/>
    <w:rsid w:val="00C56834"/>
    <w:rsid w:val="00C56988"/>
    <w:rsid w:val="00C57067"/>
    <w:rsid w:val="00C578AB"/>
    <w:rsid w:val="00C602B6"/>
    <w:rsid w:val="00C602CC"/>
    <w:rsid w:val="00C622FB"/>
    <w:rsid w:val="00C62959"/>
    <w:rsid w:val="00C633EB"/>
    <w:rsid w:val="00C65C13"/>
    <w:rsid w:val="00C70029"/>
    <w:rsid w:val="00C714C9"/>
    <w:rsid w:val="00C715EC"/>
    <w:rsid w:val="00C722C1"/>
    <w:rsid w:val="00C739D7"/>
    <w:rsid w:val="00C74317"/>
    <w:rsid w:val="00C750F2"/>
    <w:rsid w:val="00C751B5"/>
    <w:rsid w:val="00C752FC"/>
    <w:rsid w:val="00C75389"/>
    <w:rsid w:val="00C75D57"/>
    <w:rsid w:val="00C80814"/>
    <w:rsid w:val="00C80DDE"/>
    <w:rsid w:val="00C8197A"/>
    <w:rsid w:val="00C8225E"/>
    <w:rsid w:val="00C82867"/>
    <w:rsid w:val="00C82C3A"/>
    <w:rsid w:val="00C83CE7"/>
    <w:rsid w:val="00C84A6D"/>
    <w:rsid w:val="00C84BDD"/>
    <w:rsid w:val="00C84F6D"/>
    <w:rsid w:val="00C858C4"/>
    <w:rsid w:val="00C8697B"/>
    <w:rsid w:val="00C90162"/>
    <w:rsid w:val="00C930D5"/>
    <w:rsid w:val="00C93747"/>
    <w:rsid w:val="00C93A0B"/>
    <w:rsid w:val="00C95556"/>
    <w:rsid w:val="00CA0B10"/>
    <w:rsid w:val="00CA0E6E"/>
    <w:rsid w:val="00CA1C0C"/>
    <w:rsid w:val="00CA1D2A"/>
    <w:rsid w:val="00CA3161"/>
    <w:rsid w:val="00CA33CA"/>
    <w:rsid w:val="00CA70F0"/>
    <w:rsid w:val="00CB1DEB"/>
    <w:rsid w:val="00CB2258"/>
    <w:rsid w:val="00CB3724"/>
    <w:rsid w:val="00CB3D46"/>
    <w:rsid w:val="00CB62BE"/>
    <w:rsid w:val="00CB6725"/>
    <w:rsid w:val="00CC08CD"/>
    <w:rsid w:val="00CC0F4F"/>
    <w:rsid w:val="00CC1CF0"/>
    <w:rsid w:val="00CC26A3"/>
    <w:rsid w:val="00CC26DE"/>
    <w:rsid w:val="00CC2B7B"/>
    <w:rsid w:val="00CC3A6A"/>
    <w:rsid w:val="00CC41B4"/>
    <w:rsid w:val="00CC44A1"/>
    <w:rsid w:val="00CC456B"/>
    <w:rsid w:val="00CC4F1B"/>
    <w:rsid w:val="00CC6E48"/>
    <w:rsid w:val="00CD221B"/>
    <w:rsid w:val="00CD2DB4"/>
    <w:rsid w:val="00CD3130"/>
    <w:rsid w:val="00CD33C7"/>
    <w:rsid w:val="00CD6BAE"/>
    <w:rsid w:val="00CD6DC1"/>
    <w:rsid w:val="00CD79F9"/>
    <w:rsid w:val="00CE1475"/>
    <w:rsid w:val="00CE25B9"/>
    <w:rsid w:val="00CE26E1"/>
    <w:rsid w:val="00CE2A4C"/>
    <w:rsid w:val="00CE33CB"/>
    <w:rsid w:val="00CE3A2D"/>
    <w:rsid w:val="00CE3FA2"/>
    <w:rsid w:val="00CE412B"/>
    <w:rsid w:val="00CE4C5E"/>
    <w:rsid w:val="00CE6A58"/>
    <w:rsid w:val="00CE6E2A"/>
    <w:rsid w:val="00CE7D14"/>
    <w:rsid w:val="00CF3BC9"/>
    <w:rsid w:val="00CF6BD3"/>
    <w:rsid w:val="00CF7411"/>
    <w:rsid w:val="00CF7A1D"/>
    <w:rsid w:val="00CF7A47"/>
    <w:rsid w:val="00CF7F72"/>
    <w:rsid w:val="00D001AB"/>
    <w:rsid w:val="00D01EAA"/>
    <w:rsid w:val="00D0351E"/>
    <w:rsid w:val="00D03870"/>
    <w:rsid w:val="00D03896"/>
    <w:rsid w:val="00D04E53"/>
    <w:rsid w:val="00D0546F"/>
    <w:rsid w:val="00D05A1F"/>
    <w:rsid w:val="00D05ACA"/>
    <w:rsid w:val="00D06382"/>
    <w:rsid w:val="00D07036"/>
    <w:rsid w:val="00D07DDE"/>
    <w:rsid w:val="00D11027"/>
    <w:rsid w:val="00D11440"/>
    <w:rsid w:val="00D11EAC"/>
    <w:rsid w:val="00D12C5D"/>
    <w:rsid w:val="00D13048"/>
    <w:rsid w:val="00D132AF"/>
    <w:rsid w:val="00D1466D"/>
    <w:rsid w:val="00D153FE"/>
    <w:rsid w:val="00D15DAC"/>
    <w:rsid w:val="00D1690A"/>
    <w:rsid w:val="00D16FFF"/>
    <w:rsid w:val="00D205FD"/>
    <w:rsid w:val="00D21651"/>
    <w:rsid w:val="00D24FE8"/>
    <w:rsid w:val="00D2536C"/>
    <w:rsid w:val="00D25FEC"/>
    <w:rsid w:val="00D30B4D"/>
    <w:rsid w:val="00D30D4C"/>
    <w:rsid w:val="00D314B0"/>
    <w:rsid w:val="00D3447A"/>
    <w:rsid w:val="00D34B0F"/>
    <w:rsid w:val="00D356CC"/>
    <w:rsid w:val="00D37425"/>
    <w:rsid w:val="00D40582"/>
    <w:rsid w:val="00D41B52"/>
    <w:rsid w:val="00D42AC0"/>
    <w:rsid w:val="00D45F6D"/>
    <w:rsid w:val="00D50809"/>
    <w:rsid w:val="00D5179A"/>
    <w:rsid w:val="00D5479D"/>
    <w:rsid w:val="00D56034"/>
    <w:rsid w:val="00D56F81"/>
    <w:rsid w:val="00D57261"/>
    <w:rsid w:val="00D57592"/>
    <w:rsid w:val="00D57875"/>
    <w:rsid w:val="00D57972"/>
    <w:rsid w:val="00D60610"/>
    <w:rsid w:val="00D60E7E"/>
    <w:rsid w:val="00D61B5D"/>
    <w:rsid w:val="00D62610"/>
    <w:rsid w:val="00D63408"/>
    <w:rsid w:val="00D63774"/>
    <w:rsid w:val="00D655C8"/>
    <w:rsid w:val="00D6596D"/>
    <w:rsid w:val="00D65C16"/>
    <w:rsid w:val="00D662AA"/>
    <w:rsid w:val="00D66797"/>
    <w:rsid w:val="00D668F7"/>
    <w:rsid w:val="00D66FEA"/>
    <w:rsid w:val="00D6724A"/>
    <w:rsid w:val="00D6790C"/>
    <w:rsid w:val="00D70208"/>
    <w:rsid w:val="00D70BE5"/>
    <w:rsid w:val="00D730E8"/>
    <w:rsid w:val="00D7326F"/>
    <w:rsid w:val="00D73E02"/>
    <w:rsid w:val="00D740E9"/>
    <w:rsid w:val="00D753F3"/>
    <w:rsid w:val="00D754E9"/>
    <w:rsid w:val="00D766D2"/>
    <w:rsid w:val="00D76888"/>
    <w:rsid w:val="00D76C28"/>
    <w:rsid w:val="00D772CF"/>
    <w:rsid w:val="00D800E2"/>
    <w:rsid w:val="00D81C66"/>
    <w:rsid w:val="00D82149"/>
    <w:rsid w:val="00D8233C"/>
    <w:rsid w:val="00D83BFB"/>
    <w:rsid w:val="00D83C70"/>
    <w:rsid w:val="00D85BEE"/>
    <w:rsid w:val="00D8656F"/>
    <w:rsid w:val="00D8743D"/>
    <w:rsid w:val="00D91512"/>
    <w:rsid w:val="00D95FB3"/>
    <w:rsid w:val="00D97C5C"/>
    <w:rsid w:val="00DA0CDB"/>
    <w:rsid w:val="00DA1E9D"/>
    <w:rsid w:val="00DA2016"/>
    <w:rsid w:val="00DA3050"/>
    <w:rsid w:val="00DA334F"/>
    <w:rsid w:val="00DA3473"/>
    <w:rsid w:val="00DA354F"/>
    <w:rsid w:val="00DA4425"/>
    <w:rsid w:val="00DA5A1C"/>
    <w:rsid w:val="00DA5E9E"/>
    <w:rsid w:val="00DA5FF7"/>
    <w:rsid w:val="00DA65EA"/>
    <w:rsid w:val="00DA6E92"/>
    <w:rsid w:val="00DB1522"/>
    <w:rsid w:val="00DB1BA7"/>
    <w:rsid w:val="00DB2AEB"/>
    <w:rsid w:val="00DB2DCA"/>
    <w:rsid w:val="00DB482C"/>
    <w:rsid w:val="00DB5518"/>
    <w:rsid w:val="00DB60B9"/>
    <w:rsid w:val="00DB708B"/>
    <w:rsid w:val="00DB70FA"/>
    <w:rsid w:val="00DC0345"/>
    <w:rsid w:val="00DC14A9"/>
    <w:rsid w:val="00DC2338"/>
    <w:rsid w:val="00DC3720"/>
    <w:rsid w:val="00DC3981"/>
    <w:rsid w:val="00DC53E5"/>
    <w:rsid w:val="00DC6448"/>
    <w:rsid w:val="00DC7ED9"/>
    <w:rsid w:val="00DD095C"/>
    <w:rsid w:val="00DD38F0"/>
    <w:rsid w:val="00DD66AD"/>
    <w:rsid w:val="00DD69C3"/>
    <w:rsid w:val="00DD72C0"/>
    <w:rsid w:val="00DE009A"/>
    <w:rsid w:val="00DE1A3D"/>
    <w:rsid w:val="00DE1B80"/>
    <w:rsid w:val="00DE2A55"/>
    <w:rsid w:val="00DE2EB5"/>
    <w:rsid w:val="00DE30E6"/>
    <w:rsid w:val="00DE31F3"/>
    <w:rsid w:val="00DE373B"/>
    <w:rsid w:val="00DE53FA"/>
    <w:rsid w:val="00DE555B"/>
    <w:rsid w:val="00DE7102"/>
    <w:rsid w:val="00DE7705"/>
    <w:rsid w:val="00DF0F30"/>
    <w:rsid w:val="00DF1152"/>
    <w:rsid w:val="00DF2384"/>
    <w:rsid w:val="00DF3215"/>
    <w:rsid w:val="00DF4189"/>
    <w:rsid w:val="00DF4897"/>
    <w:rsid w:val="00DF4FB1"/>
    <w:rsid w:val="00DF67C3"/>
    <w:rsid w:val="00DF7A7F"/>
    <w:rsid w:val="00E01172"/>
    <w:rsid w:val="00E01777"/>
    <w:rsid w:val="00E01BEF"/>
    <w:rsid w:val="00E0502F"/>
    <w:rsid w:val="00E0571D"/>
    <w:rsid w:val="00E05D54"/>
    <w:rsid w:val="00E064CD"/>
    <w:rsid w:val="00E06646"/>
    <w:rsid w:val="00E07303"/>
    <w:rsid w:val="00E0776E"/>
    <w:rsid w:val="00E100C1"/>
    <w:rsid w:val="00E101FA"/>
    <w:rsid w:val="00E103F0"/>
    <w:rsid w:val="00E20C58"/>
    <w:rsid w:val="00E21D6B"/>
    <w:rsid w:val="00E25190"/>
    <w:rsid w:val="00E26CA8"/>
    <w:rsid w:val="00E27BF1"/>
    <w:rsid w:val="00E3033B"/>
    <w:rsid w:val="00E30741"/>
    <w:rsid w:val="00E316D1"/>
    <w:rsid w:val="00E3174E"/>
    <w:rsid w:val="00E32AFD"/>
    <w:rsid w:val="00E354A4"/>
    <w:rsid w:val="00E36EF3"/>
    <w:rsid w:val="00E37F6B"/>
    <w:rsid w:val="00E4055D"/>
    <w:rsid w:val="00E426D2"/>
    <w:rsid w:val="00E4534A"/>
    <w:rsid w:val="00E4662F"/>
    <w:rsid w:val="00E46AD8"/>
    <w:rsid w:val="00E46BEC"/>
    <w:rsid w:val="00E47501"/>
    <w:rsid w:val="00E50502"/>
    <w:rsid w:val="00E50D66"/>
    <w:rsid w:val="00E516CC"/>
    <w:rsid w:val="00E52FDE"/>
    <w:rsid w:val="00E5381C"/>
    <w:rsid w:val="00E5383E"/>
    <w:rsid w:val="00E5408E"/>
    <w:rsid w:val="00E54342"/>
    <w:rsid w:val="00E55EA2"/>
    <w:rsid w:val="00E56E86"/>
    <w:rsid w:val="00E57A89"/>
    <w:rsid w:val="00E57AA2"/>
    <w:rsid w:val="00E57E78"/>
    <w:rsid w:val="00E60113"/>
    <w:rsid w:val="00E61329"/>
    <w:rsid w:val="00E622F5"/>
    <w:rsid w:val="00E62732"/>
    <w:rsid w:val="00E6279C"/>
    <w:rsid w:val="00E6344C"/>
    <w:rsid w:val="00E7064E"/>
    <w:rsid w:val="00E70E00"/>
    <w:rsid w:val="00E71E8E"/>
    <w:rsid w:val="00E721D6"/>
    <w:rsid w:val="00E7231E"/>
    <w:rsid w:val="00E725A5"/>
    <w:rsid w:val="00E72CD9"/>
    <w:rsid w:val="00E72DEB"/>
    <w:rsid w:val="00E733C1"/>
    <w:rsid w:val="00E74293"/>
    <w:rsid w:val="00E74DA4"/>
    <w:rsid w:val="00E74DBB"/>
    <w:rsid w:val="00E74EB4"/>
    <w:rsid w:val="00E768BA"/>
    <w:rsid w:val="00E7764B"/>
    <w:rsid w:val="00E77CEB"/>
    <w:rsid w:val="00E77FD4"/>
    <w:rsid w:val="00E809F9"/>
    <w:rsid w:val="00E81133"/>
    <w:rsid w:val="00E815E9"/>
    <w:rsid w:val="00E82056"/>
    <w:rsid w:val="00E82340"/>
    <w:rsid w:val="00E82628"/>
    <w:rsid w:val="00E8318F"/>
    <w:rsid w:val="00E835A3"/>
    <w:rsid w:val="00E83FED"/>
    <w:rsid w:val="00E851A4"/>
    <w:rsid w:val="00E871C7"/>
    <w:rsid w:val="00E9054D"/>
    <w:rsid w:val="00E917BE"/>
    <w:rsid w:val="00E95493"/>
    <w:rsid w:val="00E956D0"/>
    <w:rsid w:val="00E95E8F"/>
    <w:rsid w:val="00E96F2C"/>
    <w:rsid w:val="00E96F82"/>
    <w:rsid w:val="00E97AC9"/>
    <w:rsid w:val="00EA0104"/>
    <w:rsid w:val="00EA0C7D"/>
    <w:rsid w:val="00EA461A"/>
    <w:rsid w:val="00EA4F95"/>
    <w:rsid w:val="00EA551B"/>
    <w:rsid w:val="00EA6712"/>
    <w:rsid w:val="00EA7732"/>
    <w:rsid w:val="00EA7C34"/>
    <w:rsid w:val="00EB03F2"/>
    <w:rsid w:val="00EB6CC6"/>
    <w:rsid w:val="00EB780A"/>
    <w:rsid w:val="00EB7F2C"/>
    <w:rsid w:val="00EC02A9"/>
    <w:rsid w:val="00EC10AD"/>
    <w:rsid w:val="00EC124F"/>
    <w:rsid w:val="00EC153A"/>
    <w:rsid w:val="00EC1D54"/>
    <w:rsid w:val="00EC36E2"/>
    <w:rsid w:val="00EC41DF"/>
    <w:rsid w:val="00EC770E"/>
    <w:rsid w:val="00ED05AB"/>
    <w:rsid w:val="00ED181C"/>
    <w:rsid w:val="00ED37E9"/>
    <w:rsid w:val="00ED4013"/>
    <w:rsid w:val="00ED5196"/>
    <w:rsid w:val="00ED566E"/>
    <w:rsid w:val="00ED582E"/>
    <w:rsid w:val="00ED5ACC"/>
    <w:rsid w:val="00ED70AF"/>
    <w:rsid w:val="00EE1AEE"/>
    <w:rsid w:val="00EE24BC"/>
    <w:rsid w:val="00EE2DE1"/>
    <w:rsid w:val="00EE3AE6"/>
    <w:rsid w:val="00EE4050"/>
    <w:rsid w:val="00EE47FE"/>
    <w:rsid w:val="00EE4ACA"/>
    <w:rsid w:val="00EE59AD"/>
    <w:rsid w:val="00EE73D6"/>
    <w:rsid w:val="00EE7C00"/>
    <w:rsid w:val="00EF030C"/>
    <w:rsid w:val="00EF05C8"/>
    <w:rsid w:val="00EF084A"/>
    <w:rsid w:val="00EF26CA"/>
    <w:rsid w:val="00EF37B1"/>
    <w:rsid w:val="00EF3E37"/>
    <w:rsid w:val="00EF43CF"/>
    <w:rsid w:val="00EF538F"/>
    <w:rsid w:val="00EF540B"/>
    <w:rsid w:val="00EF6343"/>
    <w:rsid w:val="00EF7E0F"/>
    <w:rsid w:val="00F0231A"/>
    <w:rsid w:val="00F02840"/>
    <w:rsid w:val="00F0295C"/>
    <w:rsid w:val="00F02C8A"/>
    <w:rsid w:val="00F049B4"/>
    <w:rsid w:val="00F0522F"/>
    <w:rsid w:val="00F0525F"/>
    <w:rsid w:val="00F05C09"/>
    <w:rsid w:val="00F10858"/>
    <w:rsid w:val="00F1101F"/>
    <w:rsid w:val="00F13686"/>
    <w:rsid w:val="00F1467E"/>
    <w:rsid w:val="00F14CA8"/>
    <w:rsid w:val="00F15892"/>
    <w:rsid w:val="00F169D4"/>
    <w:rsid w:val="00F17EBB"/>
    <w:rsid w:val="00F20531"/>
    <w:rsid w:val="00F20667"/>
    <w:rsid w:val="00F20E0F"/>
    <w:rsid w:val="00F2141E"/>
    <w:rsid w:val="00F22E45"/>
    <w:rsid w:val="00F23632"/>
    <w:rsid w:val="00F23A94"/>
    <w:rsid w:val="00F2508C"/>
    <w:rsid w:val="00F2525B"/>
    <w:rsid w:val="00F2597A"/>
    <w:rsid w:val="00F25F45"/>
    <w:rsid w:val="00F26023"/>
    <w:rsid w:val="00F27D9F"/>
    <w:rsid w:val="00F30737"/>
    <w:rsid w:val="00F3257C"/>
    <w:rsid w:val="00F32845"/>
    <w:rsid w:val="00F332D5"/>
    <w:rsid w:val="00F33997"/>
    <w:rsid w:val="00F34781"/>
    <w:rsid w:val="00F3700C"/>
    <w:rsid w:val="00F40173"/>
    <w:rsid w:val="00F417BB"/>
    <w:rsid w:val="00F41A22"/>
    <w:rsid w:val="00F41A44"/>
    <w:rsid w:val="00F42A72"/>
    <w:rsid w:val="00F43D07"/>
    <w:rsid w:val="00F43FC7"/>
    <w:rsid w:val="00F450D8"/>
    <w:rsid w:val="00F476CE"/>
    <w:rsid w:val="00F52747"/>
    <w:rsid w:val="00F54572"/>
    <w:rsid w:val="00F55487"/>
    <w:rsid w:val="00F56706"/>
    <w:rsid w:val="00F56BF7"/>
    <w:rsid w:val="00F57762"/>
    <w:rsid w:val="00F607D5"/>
    <w:rsid w:val="00F61C5B"/>
    <w:rsid w:val="00F62F84"/>
    <w:rsid w:val="00F63922"/>
    <w:rsid w:val="00F6587A"/>
    <w:rsid w:val="00F65938"/>
    <w:rsid w:val="00F65C84"/>
    <w:rsid w:val="00F6627E"/>
    <w:rsid w:val="00F708DB"/>
    <w:rsid w:val="00F7186F"/>
    <w:rsid w:val="00F72F04"/>
    <w:rsid w:val="00F72F30"/>
    <w:rsid w:val="00F75202"/>
    <w:rsid w:val="00F759CF"/>
    <w:rsid w:val="00F77631"/>
    <w:rsid w:val="00F80F2D"/>
    <w:rsid w:val="00F817D6"/>
    <w:rsid w:val="00F82FC3"/>
    <w:rsid w:val="00F8331F"/>
    <w:rsid w:val="00F84C38"/>
    <w:rsid w:val="00F868D0"/>
    <w:rsid w:val="00F91432"/>
    <w:rsid w:val="00F93EE3"/>
    <w:rsid w:val="00F94784"/>
    <w:rsid w:val="00F959CF"/>
    <w:rsid w:val="00F95B4B"/>
    <w:rsid w:val="00F965D9"/>
    <w:rsid w:val="00F9699D"/>
    <w:rsid w:val="00FA005C"/>
    <w:rsid w:val="00FA0BA8"/>
    <w:rsid w:val="00FA28DA"/>
    <w:rsid w:val="00FA423F"/>
    <w:rsid w:val="00FA43DE"/>
    <w:rsid w:val="00FA5571"/>
    <w:rsid w:val="00FA6263"/>
    <w:rsid w:val="00FA78C2"/>
    <w:rsid w:val="00FA7A93"/>
    <w:rsid w:val="00FB030B"/>
    <w:rsid w:val="00FB061E"/>
    <w:rsid w:val="00FB0D28"/>
    <w:rsid w:val="00FB12E8"/>
    <w:rsid w:val="00FB3A82"/>
    <w:rsid w:val="00FB54B3"/>
    <w:rsid w:val="00FB74DD"/>
    <w:rsid w:val="00FC040C"/>
    <w:rsid w:val="00FC05D5"/>
    <w:rsid w:val="00FC0816"/>
    <w:rsid w:val="00FC23EC"/>
    <w:rsid w:val="00FC2DD0"/>
    <w:rsid w:val="00FC3185"/>
    <w:rsid w:val="00FC32D4"/>
    <w:rsid w:val="00FC3810"/>
    <w:rsid w:val="00FC3E48"/>
    <w:rsid w:val="00FC3E54"/>
    <w:rsid w:val="00FC5EAC"/>
    <w:rsid w:val="00FC6032"/>
    <w:rsid w:val="00FC634D"/>
    <w:rsid w:val="00FC6E50"/>
    <w:rsid w:val="00FC7516"/>
    <w:rsid w:val="00FD19E5"/>
    <w:rsid w:val="00FD41FB"/>
    <w:rsid w:val="00FD5C27"/>
    <w:rsid w:val="00FD6CCE"/>
    <w:rsid w:val="00FE2F67"/>
    <w:rsid w:val="00FE3CB8"/>
    <w:rsid w:val="00FE51CB"/>
    <w:rsid w:val="00FE5AA2"/>
    <w:rsid w:val="00FF1A24"/>
    <w:rsid w:val="00FF1A7C"/>
    <w:rsid w:val="00FF1CAA"/>
    <w:rsid w:val="00FF1D5A"/>
    <w:rsid w:val="00FF29BA"/>
    <w:rsid w:val="00FF3F52"/>
    <w:rsid w:val="00FF421C"/>
    <w:rsid w:val="00FF54DA"/>
    <w:rsid w:val="00FF629E"/>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EED08"/>
  <w14:defaultImageDpi w14:val="32767"/>
  <w15:chartTrackingRefBased/>
  <w15:docId w15:val="{E8DBBF52-6EF9-A941-A393-FC9E7CB9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C5"/>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D2536C"/>
    <w:pPr>
      <w:keepNext/>
      <w:keepLines/>
      <w:spacing w:before="240" w:line="360" w:lineRule="auto"/>
      <w:outlineLvl w:val="0"/>
    </w:pPr>
    <w:rPr>
      <w:rFonts w:eastAsiaTheme="majorEastAsia" w:cstheme="majorBidi"/>
      <w:i/>
      <w:color w:val="2F5496" w:themeColor="accent1" w:themeShade="BF"/>
      <w:szCs w:val="32"/>
      <w:lang w:eastAsia="en-US"/>
    </w:rPr>
  </w:style>
  <w:style w:type="paragraph" w:styleId="Heading2">
    <w:name w:val="heading 2"/>
    <w:basedOn w:val="Normal"/>
    <w:next w:val="Normal"/>
    <w:link w:val="Heading2Char"/>
    <w:uiPriority w:val="9"/>
    <w:unhideWhenUsed/>
    <w:qFormat/>
    <w:rsid w:val="00210CB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autoRedefine/>
    <w:qFormat/>
    <w:rsid w:val="004751E3"/>
    <w:pPr>
      <w:tabs>
        <w:tab w:val="left" w:pos="993"/>
      </w:tabs>
      <w:ind w:left="397" w:hanging="397"/>
      <w:jc w:val="both"/>
    </w:pPr>
    <w:rPr>
      <w:rFonts w:eastAsia="Cambria"/>
      <w:color w:val="000000" w:themeColor="text1"/>
      <w:sz w:val="22"/>
      <w:szCs w:val="22"/>
      <w:lang w:val="en-US"/>
    </w:rPr>
  </w:style>
  <w:style w:type="paragraph" w:customStyle="1" w:styleId="Normal18Jin">
    <w:name w:val="Normal18Jin"/>
    <w:basedOn w:val="Normal"/>
    <w:autoRedefine/>
    <w:qFormat/>
    <w:rsid w:val="007758DB"/>
    <w:pPr>
      <w:spacing w:line="360" w:lineRule="auto"/>
      <w:ind w:firstLine="397"/>
    </w:pPr>
    <w:rPr>
      <w:rFonts w:eastAsia="Times"/>
      <w:szCs w:val="21"/>
      <w:lang w:eastAsia="en-US"/>
    </w:rPr>
  </w:style>
  <w:style w:type="paragraph" w:customStyle="1" w:styleId="Normal18J">
    <w:name w:val="Normal 18J"/>
    <w:basedOn w:val="Normal"/>
    <w:link w:val="Normal18JChar"/>
    <w:qFormat/>
    <w:rsid w:val="006348A1"/>
    <w:pPr>
      <w:spacing w:line="360" w:lineRule="auto"/>
      <w:jc w:val="both"/>
    </w:pPr>
    <w:rPr>
      <w:rFonts w:eastAsiaTheme="minorHAnsi" w:cstheme="minorBidi"/>
      <w:szCs w:val="22"/>
      <w:lang w:eastAsia="en-US"/>
    </w:rPr>
  </w:style>
  <w:style w:type="character" w:customStyle="1" w:styleId="Normal18JChar">
    <w:name w:val="Normal 18J Char"/>
    <w:link w:val="Normal18J"/>
    <w:locked/>
    <w:rsid w:val="006348A1"/>
    <w:rPr>
      <w:rFonts w:ascii="Times New Roman" w:eastAsiaTheme="minorEastAsia" w:hAnsi="Times New Roman"/>
      <w:lang w:val="en-AU"/>
    </w:rPr>
  </w:style>
  <w:style w:type="character" w:customStyle="1" w:styleId="Heading1Char">
    <w:name w:val="Heading 1 Char"/>
    <w:basedOn w:val="DefaultParagraphFont"/>
    <w:link w:val="Heading1"/>
    <w:uiPriority w:val="9"/>
    <w:rsid w:val="00D2536C"/>
    <w:rPr>
      <w:rFonts w:ascii="Times New Roman" w:eastAsiaTheme="majorEastAsia" w:hAnsi="Times New Roman" w:cstheme="majorBidi"/>
      <w:i/>
      <w:color w:val="2F5496" w:themeColor="accent1" w:themeShade="BF"/>
      <w:szCs w:val="32"/>
      <w:lang w:val="en-AU"/>
    </w:rPr>
  </w:style>
  <w:style w:type="paragraph" w:customStyle="1" w:styleId="Heading">
    <w:name w:val="Heading"/>
    <w:basedOn w:val="Normal18J"/>
    <w:link w:val="HeadingChar"/>
    <w:qFormat/>
    <w:rsid w:val="00D2536C"/>
    <w:rPr>
      <w:b/>
    </w:rPr>
  </w:style>
  <w:style w:type="character" w:customStyle="1" w:styleId="HeadingChar">
    <w:name w:val="Heading Char"/>
    <w:basedOn w:val="Normal18JChar"/>
    <w:link w:val="Heading"/>
    <w:rsid w:val="00D2536C"/>
    <w:rPr>
      <w:rFonts w:ascii="Times New Roman" w:eastAsiaTheme="minorEastAsia" w:hAnsi="Times New Roman"/>
      <w:b/>
      <w:lang w:val="en-AU"/>
    </w:rPr>
  </w:style>
  <w:style w:type="paragraph" w:customStyle="1" w:styleId="Heading10">
    <w:name w:val="Heading1"/>
    <w:basedOn w:val="Heading"/>
    <w:link w:val="Heading1Char0"/>
    <w:qFormat/>
    <w:rsid w:val="00D2536C"/>
    <w:rPr>
      <w:b w:val="0"/>
      <w:i/>
    </w:rPr>
  </w:style>
  <w:style w:type="character" w:customStyle="1" w:styleId="Heading1Char0">
    <w:name w:val="Heading1 Char"/>
    <w:basedOn w:val="HeadingChar"/>
    <w:link w:val="Heading10"/>
    <w:rsid w:val="00D2536C"/>
    <w:rPr>
      <w:rFonts w:ascii="Times New Roman" w:eastAsiaTheme="minorEastAsia" w:hAnsi="Times New Roman"/>
      <w:b w:val="0"/>
      <w:i/>
      <w:lang w:val="en-AU"/>
    </w:rPr>
  </w:style>
  <w:style w:type="paragraph" w:styleId="Header">
    <w:name w:val="header"/>
    <w:basedOn w:val="Normal"/>
    <w:link w:val="HeaderChar"/>
    <w:uiPriority w:val="99"/>
    <w:unhideWhenUsed/>
    <w:qFormat/>
    <w:rsid w:val="00D753F3"/>
    <w:pPr>
      <w:tabs>
        <w:tab w:val="center" w:pos="4680"/>
        <w:tab w:val="right" w:pos="9360"/>
      </w:tabs>
      <w:spacing w:line="360" w:lineRule="auto"/>
    </w:pPr>
    <w:rPr>
      <w:rFonts w:eastAsiaTheme="minorHAnsi" w:cstheme="minorBidi"/>
      <w:b/>
      <w:szCs w:val="22"/>
      <w:lang w:eastAsia="en-US"/>
    </w:rPr>
  </w:style>
  <w:style w:type="character" w:customStyle="1" w:styleId="HeaderChar">
    <w:name w:val="Header Char"/>
    <w:basedOn w:val="DefaultParagraphFont"/>
    <w:link w:val="Header"/>
    <w:uiPriority w:val="99"/>
    <w:rsid w:val="00D753F3"/>
    <w:rPr>
      <w:rFonts w:ascii="Times New Roman" w:eastAsiaTheme="minorEastAsia" w:hAnsi="Times New Roman"/>
      <w:b/>
      <w:lang w:val="en-AU"/>
    </w:rPr>
  </w:style>
  <w:style w:type="paragraph" w:customStyle="1" w:styleId="Normal18Jin0">
    <w:name w:val="Normal 18Jin"/>
    <w:basedOn w:val="Normal"/>
    <w:link w:val="Normal18JinChar"/>
    <w:qFormat/>
    <w:rsid w:val="006348A1"/>
    <w:pPr>
      <w:spacing w:line="360" w:lineRule="auto"/>
      <w:ind w:firstLine="397"/>
      <w:jc w:val="both"/>
    </w:pPr>
    <w:rPr>
      <w:rFonts w:eastAsiaTheme="minorHAnsi" w:cstheme="minorBidi"/>
      <w:szCs w:val="22"/>
      <w:lang w:eastAsia="en-US"/>
    </w:rPr>
  </w:style>
  <w:style w:type="paragraph" w:styleId="Footer">
    <w:name w:val="footer"/>
    <w:basedOn w:val="Normal"/>
    <w:link w:val="FooterChar"/>
    <w:uiPriority w:val="99"/>
    <w:unhideWhenUsed/>
    <w:rsid w:val="007535E5"/>
    <w:pPr>
      <w:tabs>
        <w:tab w:val="center" w:pos="4680"/>
        <w:tab w:val="right" w:pos="9360"/>
      </w:tabs>
    </w:pPr>
    <w:rPr>
      <w:rFonts w:eastAsiaTheme="minorHAnsi" w:cstheme="minorBidi"/>
      <w:szCs w:val="22"/>
      <w:lang w:eastAsia="en-US"/>
    </w:rPr>
  </w:style>
  <w:style w:type="character" w:customStyle="1" w:styleId="FooterChar">
    <w:name w:val="Footer Char"/>
    <w:basedOn w:val="DefaultParagraphFont"/>
    <w:link w:val="Footer"/>
    <w:uiPriority w:val="99"/>
    <w:rsid w:val="007535E5"/>
    <w:rPr>
      <w:rFonts w:ascii="Times New Roman" w:hAnsi="Times New Roman"/>
      <w:szCs w:val="22"/>
      <w:lang w:val="en-AU"/>
    </w:rPr>
  </w:style>
  <w:style w:type="character" w:styleId="PageNumber">
    <w:name w:val="page number"/>
    <w:basedOn w:val="DefaultParagraphFont"/>
    <w:uiPriority w:val="99"/>
    <w:semiHidden/>
    <w:unhideWhenUsed/>
    <w:rsid w:val="007535E5"/>
  </w:style>
  <w:style w:type="paragraph" w:styleId="ListParagraph">
    <w:name w:val="List Paragraph"/>
    <w:basedOn w:val="Normal"/>
    <w:uiPriority w:val="1"/>
    <w:qFormat/>
    <w:rsid w:val="006369F5"/>
    <w:pPr>
      <w:ind w:left="720"/>
      <w:contextualSpacing/>
    </w:pPr>
    <w:rPr>
      <w:rFonts w:eastAsiaTheme="minorEastAsia"/>
      <w:lang w:eastAsia="ja-JP"/>
    </w:rPr>
  </w:style>
  <w:style w:type="table" w:styleId="TableGrid">
    <w:name w:val="Table Grid"/>
    <w:basedOn w:val="TableNormal"/>
    <w:uiPriority w:val="39"/>
    <w:rsid w:val="00AF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F0A36"/>
    <w:pPr>
      <w:spacing w:before="100" w:beforeAutospacing="1" w:after="100" w:afterAutospacing="1"/>
    </w:pPr>
    <w:rPr>
      <w:lang w:eastAsia="en-US"/>
    </w:rPr>
  </w:style>
  <w:style w:type="paragraph" w:styleId="BodyText">
    <w:name w:val="Body Text"/>
    <w:basedOn w:val="Normal"/>
    <w:link w:val="BodyTextChar"/>
    <w:uiPriority w:val="1"/>
    <w:qFormat/>
    <w:rsid w:val="00AF0A36"/>
    <w:pPr>
      <w:widowControl w:val="0"/>
      <w:autoSpaceDE w:val="0"/>
      <w:autoSpaceDN w:val="0"/>
      <w:ind w:left="838" w:hanging="360"/>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AF0A36"/>
    <w:rPr>
      <w:rFonts w:ascii="Calibri" w:eastAsia="Calibri" w:hAnsi="Calibri" w:cs="Calibri"/>
      <w:lang w:val="en-AU" w:eastAsia="en-AU" w:bidi="en-AU"/>
    </w:rPr>
  </w:style>
  <w:style w:type="paragraph" w:styleId="NormalWeb">
    <w:name w:val="Normal (Web)"/>
    <w:basedOn w:val="Normal"/>
    <w:uiPriority w:val="99"/>
    <w:unhideWhenUsed/>
    <w:rsid w:val="00AF0A36"/>
    <w:pPr>
      <w:spacing w:before="100" w:beforeAutospacing="1" w:after="100" w:afterAutospacing="1"/>
    </w:pPr>
    <w:rPr>
      <w:lang w:eastAsia="en-US"/>
    </w:rPr>
  </w:style>
  <w:style w:type="character" w:customStyle="1" w:styleId="Normal18JinChar">
    <w:name w:val="Normal 18Jin Char"/>
    <w:basedOn w:val="DefaultParagraphFont"/>
    <w:link w:val="Normal18Jin0"/>
    <w:rsid w:val="00AF0A36"/>
    <w:rPr>
      <w:rFonts w:ascii="Times New Roman" w:hAnsi="Times New Roman"/>
      <w:szCs w:val="22"/>
      <w:lang w:val="en-AU"/>
    </w:rPr>
  </w:style>
  <w:style w:type="character" w:styleId="EndnoteReference">
    <w:name w:val="endnote reference"/>
    <w:basedOn w:val="DefaultParagraphFont"/>
    <w:uiPriority w:val="99"/>
    <w:unhideWhenUsed/>
    <w:rsid w:val="00AF0A36"/>
    <w:rPr>
      <w:vertAlign w:val="superscript"/>
    </w:rPr>
  </w:style>
  <w:style w:type="character" w:styleId="Emphasis">
    <w:name w:val="Emphasis"/>
    <w:basedOn w:val="DefaultParagraphFont"/>
    <w:uiPriority w:val="20"/>
    <w:qFormat/>
    <w:rsid w:val="00AF0A36"/>
    <w:rPr>
      <w:i/>
      <w:iCs/>
    </w:rPr>
  </w:style>
  <w:style w:type="character" w:customStyle="1" w:styleId="apple-converted-space">
    <w:name w:val="apple-converted-space"/>
    <w:basedOn w:val="DefaultParagraphFont"/>
    <w:rsid w:val="00AF0A36"/>
  </w:style>
  <w:style w:type="character" w:styleId="Hyperlink">
    <w:name w:val="Hyperlink"/>
    <w:basedOn w:val="DefaultParagraphFont"/>
    <w:uiPriority w:val="99"/>
    <w:unhideWhenUsed/>
    <w:rsid w:val="00AF0A36"/>
    <w:rPr>
      <w:color w:val="0563C1" w:themeColor="hyperlink"/>
      <w:u w:val="single"/>
    </w:rPr>
  </w:style>
  <w:style w:type="paragraph" w:styleId="EndnoteText">
    <w:name w:val="endnote text"/>
    <w:basedOn w:val="Normal"/>
    <w:link w:val="EndnoteTextChar"/>
    <w:uiPriority w:val="99"/>
    <w:semiHidden/>
    <w:unhideWhenUsed/>
    <w:rsid w:val="00281265"/>
    <w:rPr>
      <w:sz w:val="20"/>
      <w:szCs w:val="20"/>
    </w:rPr>
  </w:style>
  <w:style w:type="character" w:customStyle="1" w:styleId="EndnoteTextChar">
    <w:name w:val="Endnote Text Char"/>
    <w:basedOn w:val="DefaultParagraphFont"/>
    <w:link w:val="EndnoteText"/>
    <w:uiPriority w:val="99"/>
    <w:semiHidden/>
    <w:rsid w:val="00281265"/>
    <w:rPr>
      <w:rFonts w:ascii="Times New Roman" w:hAnsi="Times New Roman"/>
      <w:sz w:val="20"/>
      <w:szCs w:val="20"/>
      <w:lang w:val="en-AU"/>
    </w:rPr>
  </w:style>
  <w:style w:type="character" w:customStyle="1" w:styleId="Heading2Char">
    <w:name w:val="Heading 2 Char"/>
    <w:basedOn w:val="DefaultParagraphFont"/>
    <w:link w:val="Heading2"/>
    <w:uiPriority w:val="9"/>
    <w:rsid w:val="00210CBB"/>
    <w:rPr>
      <w:rFonts w:asciiTheme="majorHAnsi" w:eastAsiaTheme="majorEastAsia" w:hAnsiTheme="majorHAnsi" w:cstheme="majorBidi"/>
      <w:color w:val="2F5496" w:themeColor="accent1" w:themeShade="BF"/>
      <w:sz w:val="26"/>
      <w:szCs w:val="26"/>
      <w:lang w:val="en-AU"/>
    </w:rPr>
  </w:style>
  <w:style w:type="character" w:customStyle="1" w:styleId="UnresolvedMention">
    <w:name w:val="Unresolved Mention"/>
    <w:basedOn w:val="DefaultParagraphFont"/>
    <w:uiPriority w:val="99"/>
    <w:rsid w:val="00210CBB"/>
    <w:rPr>
      <w:color w:val="605E5C"/>
      <w:shd w:val="clear" w:color="auto" w:fill="E1DFDD"/>
    </w:rPr>
  </w:style>
  <w:style w:type="paragraph" w:customStyle="1" w:styleId="TableParagraph">
    <w:name w:val="Table Paragraph"/>
    <w:basedOn w:val="Normal"/>
    <w:uiPriority w:val="1"/>
    <w:qFormat/>
    <w:rsid w:val="005A2787"/>
    <w:pPr>
      <w:widowControl w:val="0"/>
      <w:autoSpaceDE w:val="0"/>
      <w:autoSpaceDN w:val="0"/>
      <w:jc w:val="right"/>
    </w:pPr>
    <w:rPr>
      <w:rFonts w:ascii="Calibri" w:eastAsia="Calibri" w:hAnsi="Calibri" w:cs="Calibri"/>
      <w:sz w:val="22"/>
      <w:szCs w:val="22"/>
      <w:lang w:val="en-US" w:eastAsia="en-US" w:bidi="en-US"/>
    </w:rPr>
  </w:style>
  <w:style w:type="paragraph" w:styleId="FootnoteText">
    <w:name w:val="footnote text"/>
    <w:basedOn w:val="Normal"/>
    <w:link w:val="FootnoteTextChar"/>
    <w:uiPriority w:val="99"/>
    <w:semiHidden/>
    <w:unhideWhenUsed/>
    <w:rsid w:val="00B3730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37308"/>
    <w:rPr>
      <w:rFonts w:ascii="Times New Roman" w:hAnsi="Times New Roman"/>
      <w:sz w:val="20"/>
      <w:szCs w:val="20"/>
      <w:lang w:val="en-AU"/>
    </w:rPr>
  </w:style>
  <w:style w:type="character" w:styleId="FootnoteReference">
    <w:name w:val="footnote reference"/>
    <w:basedOn w:val="DefaultParagraphFont"/>
    <w:uiPriority w:val="99"/>
    <w:semiHidden/>
    <w:unhideWhenUsed/>
    <w:rsid w:val="00B37308"/>
    <w:rPr>
      <w:vertAlign w:val="superscript"/>
    </w:rPr>
  </w:style>
  <w:style w:type="character" w:styleId="FollowedHyperlink">
    <w:name w:val="FollowedHyperlink"/>
    <w:basedOn w:val="DefaultParagraphFont"/>
    <w:uiPriority w:val="99"/>
    <w:semiHidden/>
    <w:unhideWhenUsed/>
    <w:rsid w:val="00112D2F"/>
    <w:rPr>
      <w:color w:val="954F72" w:themeColor="followedHyperlink"/>
      <w:u w:val="single"/>
    </w:rPr>
  </w:style>
  <w:style w:type="character" w:styleId="Strong">
    <w:name w:val="Strong"/>
    <w:basedOn w:val="DefaultParagraphFont"/>
    <w:uiPriority w:val="22"/>
    <w:qFormat/>
    <w:rsid w:val="00C715EC"/>
    <w:rPr>
      <w:b/>
      <w:bCs/>
    </w:rPr>
  </w:style>
  <w:style w:type="paragraph" w:styleId="BalloonText">
    <w:name w:val="Balloon Text"/>
    <w:basedOn w:val="Normal"/>
    <w:link w:val="BalloonTextChar"/>
    <w:uiPriority w:val="99"/>
    <w:semiHidden/>
    <w:unhideWhenUsed/>
    <w:rsid w:val="00FD6CCE"/>
    <w:rPr>
      <w:sz w:val="18"/>
      <w:szCs w:val="18"/>
    </w:rPr>
  </w:style>
  <w:style w:type="character" w:customStyle="1" w:styleId="BalloonTextChar">
    <w:name w:val="Balloon Text Char"/>
    <w:basedOn w:val="DefaultParagraphFont"/>
    <w:link w:val="BalloonText"/>
    <w:uiPriority w:val="99"/>
    <w:semiHidden/>
    <w:rsid w:val="00FD6CCE"/>
    <w:rPr>
      <w:rFonts w:ascii="Times New Roman" w:eastAsia="Times New Roman" w:hAnsi="Times New Roman" w:cs="Times New Roman"/>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817">
      <w:bodyDiv w:val="1"/>
      <w:marLeft w:val="0"/>
      <w:marRight w:val="0"/>
      <w:marTop w:val="0"/>
      <w:marBottom w:val="0"/>
      <w:divBdr>
        <w:top w:val="none" w:sz="0" w:space="0" w:color="auto"/>
        <w:left w:val="none" w:sz="0" w:space="0" w:color="auto"/>
        <w:bottom w:val="none" w:sz="0" w:space="0" w:color="auto"/>
        <w:right w:val="none" w:sz="0" w:space="0" w:color="auto"/>
      </w:divBdr>
      <w:divsChild>
        <w:div w:id="175190063">
          <w:marLeft w:val="0"/>
          <w:marRight w:val="0"/>
          <w:marTop w:val="0"/>
          <w:marBottom w:val="0"/>
          <w:divBdr>
            <w:top w:val="none" w:sz="0" w:space="0" w:color="auto"/>
            <w:left w:val="none" w:sz="0" w:space="0" w:color="auto"/>
            <w:bottom w:val="none" w:sz="0" w:space="0" w:color="auto"/>
            <w:right w:val="none" w:sz="0" w:space="0" w:color="auto"/>
          </w:divBdr>
          <w:divsChild>
            <w:div w:id="1352876147">
              <w:marLeft w:val="0"/>
              <w:marRight w:val="0"/>
              <w:marTop w:val="0"/>
              <w:marBottom w:val="0"/>
              <w:divBdr>
                <w:top w:val="none" w:sz="0" w:space="0" w:color="auto"/>
                <w:left w:val="none" w:sz="0" w:space="0" w:color="auto"/>
                <w:bottom w:val="none" w:sz="0" w:space="0" w:color="auto"/>
                <w:right w:val="none" w:sz="0" w:space="0" w:color="auto"/>
              </w:divBdr>
              <w:divsChild>
                <w:div w:id="1379745782">
                  <w:marLeft w:val="0"/>
                  <w:marRight w:val="0"/>
                  <w:marTop w:val="0"/>
                  <w:marBottom w:val="0"/>
                  <w:divBdr>
                    <w:top w:val="none" w:sz="0" w:space="0" w:color="auto"/>
                    <w:left w:val="none" w:sz="0" w:space="0" w:color="auto"/>
                    <w:bottom w:val="none" w:sz="0" w:space="0" w:color="auto"/>
                    <w:right w:val="none" w:sz="0" w:space="0" w:color="auto"/>
                  </w:divBdr>
                  <w:divsChild>
                    <w:div w:id="13400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661">
      <w:bodyDiv w:val="1"/>
      <w:marLeft w:val="0"/>
      <w:marRight w:val="0"/>
      <w:marTop w:val="0"/>
      <w:marBottom w:val="0"/>
      <w:divBdr>
        <w:top w:val="none" w:sz="0" w:space="0" w:color="auto"/>
        <w:left w:val="none" w:sz="0" w:space="0" w:color="auto"/>
        <w:bottom w:val="none" w:sz="0" w:space="0" w:color="auto"/>
        <w:right w:val="none" w:sz="0" w:space="0" w:color="auto"/>
      </w:divBdr>
      <w:divsChild>
        <w:div w:id="254482395">
          <w:marLeft w:val="0"/>
          <w:marRight w:val="0"/>
          <w:marTop w:val="0"/>
          <w:marBottom w:val="0"/>
          <w:divBdr>
            <w:top w:val="none" w:sz="0" w:space="0" w:color="auto"/>
            <w:left w:val="none" w:sz="0" w:space="0" w:color="auto"/>
            <w:bottom w:val="none" w:sz="0" w:space="0" w:color="auto"/>
            <w:right w:val="none" w:sz="0" w:space="0" w:color="auto"/>
          </w:divBdr>
        </w:div>
        <w:div w:id="1103108037">
          <w:marLeft w:val="0"/>
          <w:marRight w:val="0"/>
          <w:marTop w:val="0"/>
          <w:marBottom w:val="0"/>
          <w:divBdr>
            <w:top w:val="none" w:sz="0" w:space="0" w:color="auto"/>
            <w:left w:val="none" w:sz="0" w:space="0" w:color="auto"/>
            <w:bottom w:val="none" w:sz="0" w:space="0" w:color="auto"/>
            <w:right w:val="none" w:sz="0" w:space="0" w:color="auto"/>
          </w:divBdr>
        </w:div>
        <w:div w:id="1913003436">
          <w:marLeft w:val="0"/>
          <w:marRight w:val="0"/>
          <w:marTop w:val="0"/>
          <w:marBottom w:val="0"/>
          <w:divBdr>
            <w:top w:val="none" w:sz="0" w:space="0" w:color="auto"/>
            <w:left w:val="none" w:sz="0" w:space="0" w:color="auto"/>
            <w:bottom w:val="none" w:sz="0" w:space="0" w:color="auto"/>
            <w:right w:val="none" w:sz="0" w:space="0" w:color="auto"/>
          </w:divBdr>
        </w:div>
        <w:div w:id="1473905863">
          <w:marLeft w:val="0"/>
          <w:marRight w:val="0"/>
          <w:marTop w:val="0"/>
          <w:marBottom w:val="0"/>
          <w:divBdr>
            <w:top w:val="none" w:sz="0" w:space="0" w:color="auto"/>
            <w:left w:val="none" w:sz="0" w:space="0" w:color="auto"/>
            <w:bottom w:val="none" w:sz="0" w:space="0" w:color="auto"/>
            <w:right w:val="none" w:sz="0" w:space="0" w:color="auto"/>
          </w:divBdr>
        </w:div>
        <w:div w:id="1118254888">
          <w:marLeft w:val="0"/>
          <w:marRight w:val="0"/>
          <w:marTop w:val="0"/>
          <w:marBottom w:val="0"/>
          <w:divBdr>
            <w:top w:val="none" w:sz="0" w:space="0" w:color="auto"/>
            <w:left w:val="none" w:sz="0" w:space="0" w:color="auto"/>
            <w:bottom w:val="none" w:sz="0" w:space="0" w:color="auto"/>
            <w:right w:val="none" w:sz="0" w:space="0" w:color="auto"/>
          </w:divBdr>
        </w:div>
        <w:div w:id="360514355">
          <w:marLeft w:val="0"/>
          <w:marRight w:val="0"/>
          <w:marTop w:val="0"/>
          <w:marBottom w:val="0"/>
          <w:divBdr>
            <w:top w:val="none" w:sz="0" w:space="0" w:color="auto"/>
            <w:left w:val="none" w:sz="0" w:space="0" w:color="auto"/>
            <w:bottom w:val="none" w:sz="0" w:space="0" w:color="auto"/>
            <w:right w:val="none" w:sz="0" w:space="0" w:color="auto"/>
          </w:divBdr>
        </w:div>
        <w:div w:id="1390612821">
          <w:marLeft w:val="0"/>
          <w:marRight w:val="0"/>
          <w:marTop w:val="0"/>
          <w:marBottom w:val="0"/>
          <w:divBdr>
            <w:top w:val="none" w:sz="0" w:space="0" w:color="auto"/>
            <w:left w:val="none" w:sz="0" w:space="0" w:color="auto"/>
            <w:bottom w:val="none" w:sz="0" w:space="0" w:color="auto"/>
            <w:right w:val="none" w:sz="0" w:space="0" w:color="auto"/>
          </w:divBdr>
        </w:div>
      </w:divsChild>
    </w:div>
    <w:div w:id="11303759">
      <w:bodyDiv w:val="1"/>
      <w:marLeft w:val="0"/>
      <w:marRight w:val="0"/>
      <w:marTop w:val="0"/>
      <w:marBottom w:val="0"/>
      <w:divBdr>
        <w:top w:val="none" w:sz="0" w:space="0" w:color="auto"/>
        <w:left w:val="none" w:sz="0" w:space="0" w:color="auto"/>
        <w:bottom w:val="none" w:sz="0" w:space="0" w:color="auto"/>
        <w:right w:val="none" w:sz="0" w:space="0" w:color="auto"/>
      </w:divBdr>
      <w:divsChild>
        <w:div w:id="1023244470">
          <w:marLeft w:val="0"/>
          <w:marRight w:val="0"/>
          <w:marTop w:val="0"/>
          <w:marBottom w:val="0"/>
          <w:divBdr>
            <w:top w:val="none" w:sz="0" w:space="0" w:color="auto"/>
            <w:left w:val="none" w:sz="0" w:space="0" w:color="auto"/>
            <w:bottom w:val="none" w:sz="0" w:space="0" w:color="auto"/>
            <w:right w:val="none" w:sz="0" w:space="0" w:color="auto"/>
          </w:divBdr>
          <w:divsChild>
            <w:div w:id="853685513">
              <w:marLeft w:val="0"/>
              <w:marRight w:val="0"/>
              <w:marTop w:val="0"/>
              <w:marBottom w:val="0"/>
              <w:divBdr>
                <w:top w:val="none" w:sz="0" w:space="0" w:color="auto"/>
                <w:left w:val="none" w:sz="0" w:space="0" w:color="auto"/>
                <w:bottom w:val="none" w:sz="0" w:space="0" w:color="auto"/>
                <w:right w:val="none" w:sz="0" w:space="0" w:color="auto"/>
              </w:divBdr>
              <w:divsChild>
                <w:div w:id="1221405477">
                  <w:marLeft w:val="0"/>
                  <w:marRight w:val="0"/>
                  <w:marTop w:val="0"/>
                  <w:marBottom w:val="0"/>
                  <w:divBdr>
                    <w:top w:val="none" w:sz="0" w:space="0" w:color="auto"/>
                    <w:left w:val="none" w:sz="0" w:space="0" w:color="auto"/>
                    <w:bottom w:val="none" w:sz="0" w:space="0" w:color="auto"/>
                    <w:right w:val="none" w:sz="0" w:space="0" w:color="auto"/>
                  </w:divBdr>
                  <w:divsChild>
                    <w:div w:id="19780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300">
      <w:bodyDiv w:val="1"/>
      <w:marLeft w:val="0"/>
      <w:marRight w:val="0"/>
      <w:marTop w:val="0"/>
      <w:marBottom w:val="0"/>
      <w:divBdr>
        <w:top w:val="none" w:sz="0" w:space="0" w:color="auto"/>
        <w:left w:val="none" w:sz="0" w:space="0" w:color="auto"/>
        <w:bottom w:val="none" w:sz="0" w:space="0" w:color="auto"/>
        <w:right w:val="none" w:sz="0" w:space="0" w:color="auto"/>
      </w:divBdr>
    </w:div>
    <w:div w:id="133643777">
      <w:bodyDiv w:val="1"/>
      <w:marLeft w:val="0"/>
      <w:marRight w:val="0"/>
      <w:marTop w:val="0"/>
      <w:marBottom w:val="0"/>
      <w:divBdr>
        <w:top w:val="none" w:sz="0" w:space="0" w:color="auto"/>
        <w:left w:val="none" w:sz="0" w:space="0" w:color="auto"/>
        <w:bottom w:val="none" w:sz="0" w:space="0" w:color="auto"/>
        <w:right w:val="none" w:sz="0" w:space="0" w:color="auto"/>
      </w:divBdr>
      <w:divsChild>
        <w:div w:id="1965309923">
          <w:marLeft w:val="0"/>
          <w:marRight w:val="0"/>
          <w:marTop w:val="0"/>
          <w:marBottom w:val="0"/>
          <w:divBdr>
            <w:top w:val="none" w:sz="0" w:space="0" w:color="auto"/>
            <w:left w:val="none" w:sz="0" w:space="0" w:color="auto"/>
            <w:bottom w:val="none" w:sz="0" w:space="0" w:color="auto"/>
            <w:right w:val="none" w:sz="0" w:space="0" w:color="auto"/>
          </w:divBdr>
          <w:divsChild>
            <w:div w:id="1977712060">
              <w:marLeft w:val="0"/>
              <w:marRight w:val="0"/>
              <w:marTop w:val="0"/>
              <w:marBottom w:val="0"/>
              <w:divBdr>
                <w:top w:val="none" w:sz="0" w:space="0" w:color="auto"/>
                <w:left w:val="none" w:sz="0" w:space="0" w:color="auto"/>
                <w:bottom w:val="none" w:sz="0" w:space="0" w:color="auto"/>
                <w:right w:val="none" w:sz="0" w:space="0" w:color="auto"/>
              </w:divBdr>
              <w:divsChild>
                <w:div w:id="2075008692">
                  <w:marLeft w:val="0"/>
                  <w:marRight w:val="0"/>
                  <w:marTop w:val="0"/>
                  <w:marBottom w:val="0"/>
                  <w:divBdr>
                    <w:top w:val="none" w:sz="0" w:space="0" w:color="auto"/>
                    <w:left w:val="none" w:sz="0" w:space="0" w:color="auto"/>
                    <w:bottom w:val="none" w:sz="0" w:space="0" w:color="auto"/>
                    <w:right w:val="none" w:sz="0" w:space="0" w:color="auto"/>
                  </w:divBdr>
                </w:div>
              </w:divsChild>
            </w:div>
            <w:div w:id="1138112813">
              <w:marLeft w:val="0"/>
              <w:marRight w:val="0"/>
              <w:marTop w:val="0"/>
              <w:marBottom w:val="0"/>
              <w:divBdr>
                <w:top w:val="none" w:sz="0" w:space="0" w:color="auto"/>
                <w:left w:val="none" w:sz="0" w:space="0" w:color="auto"/>
                <w:bottom w:val="none" w:sz="0" w:space="0" w:color="auto"/>
                <w:right w:val="none" w:sz="0" w:space="0" w:color="auto"/>
              </w:divBdr>
              <w:divsChild>
                <w:div w:id="12539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6378">
      <w:bodyDiv w:val="1"/>
      <w:marLeft w:val="0"/>
      <w:marRight w:val="0"/>
      <w:marTop w:val="0"/>
      <w:marBottom w:val="0"/>
      <w:divBdr>
        <w:top w:val="none" w:sz="0" w:space="0" w:color="auto"/>
        <w:left w:val="none" w:sz="0" w:space="0" w:color="auto"/>
        <w:bottom w:val="none" w:sz="0" w:space="0" w:color="auto"/>
        <w:right w:val="none" w:sz="0" w:space="0" w:color="auto"/>
      </w:divBdr>
    </w:div>
    <w:div w:id="166866998">
      <w:bodyDiv w:val="1"/>
      <w:marLeft w:val="0"/>
      <w:marRight w:val="0"/>
      <w:marTop w:val="0"/>
      <w:marBottom w:val="0"/>
      <w:divBdr>
        <w:top w:val="none" w:sz="0" w:space="0" w:color="auto"/>
        <w:left w:val="none" w:sz="0" w:space="0" w:color="auto"/>
        <w:bottom w:val="none" w:sz="0" w:space="0" w:color="auto"/>
        <w:right w:val="none" w:sz="0" w:space="0" w:color="auto"/>
      </w:divBdr>
      <w:divsChild>
        <w:div w:id="765732807">
          <w:marLeft w:val="0"/>
          <w:marRight w:val="0"/>
          <w:marTop w:val="0"/>
          <w:marBottom w:val="0"/>
          <w:divBdr>
            <w:top w:val="none" w:sz="0" w:space="0" w:color="auto"/>
            <w:left w:val="none" w:sz="0" w:space="0" w:color="auto"/>
            <w:bottom w:val="none" w:sz="0" w:space="0" w:color="auto"/>
            <w:right w:val="none" w:sz="0" w:space="0" w:color="auto"/>
          </w:divBdr>
          <w:divsChild>
            <w:div w:id="1294284988">
              <w:marLeft w:val="0"/>
              <w:marRight w:val="0"/>
              <w:marTop w:val="0"/>
              <w:marBottom w:val="0"/>
              <w:divBdr>
                <w:top w:val="none" w:sz="0" w:space="0" w:color="auto"/>
                <w:left w:val="none" w:sz="0" w:space="0" w:color="auto"/>
                <w:bottom w:val="none" w:sz="0" w:space="0" w:color="auto"/>
                <w:right w:val="none" w:sz="0" w:space="0" w:color="auto"/>
              </w:divBdr>
              <w:divsChild>
                <w:div w:id="1792505536">
                  <w:marLeft w:val="0"/>
                  <w:marRight w:val="0"/>
                  <w:marTop w:val="0"/>
                  <w:marBottom w:val="0"/>
                  <w:divBdr>
                    <w:top w:val="none" w:sz="0" w:space="0" w:color="auto"/>
                    <w:left w:val="none" w:sz="0" w:space="0" w:color="auto"/>
                    <w:bottom w:val="none" w:sz="0" w:space="0" w:color="auto"/>
                    <w:right w:val="none" w:sz="0" w:space="0" w:color="auto"/>
                  </w:divBdr>
                  <w:divsChild>
                    <w:div w:id="1038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316">
      <w:bodyDiv w:val="1"/>
      <w:marLeft w:val="0"/>
      <w:marRight w:val="0"/>
      <w:marTop w:val="0"/>
      <w:marBottom w:val="0"/>
      <w:divBdr>
        <w:top w:val="none" w:sz="0" w:space="0" w:color="auto"/>
        <w:left w:val="none" w:sz="0" w:space="0" w:color="auto"/>
        <w:bottom w:val="none" w:sz="0" w:space="0" w:color="auto"/>
        <w:right w:val="none" w:sz="0" w:space="0" w:color="auto"/>
      </w:divBdr>
      <w:divsChild>
        <w:div w:id="1967153166">
          <w:marLeft w:val="0"/>
          <w:marRight w:val="0"/>
          <w:marTop w:val="0"/>
          <w:marBottom w:val="0"/>
          <w:divBdr>
            <w:top w:val="none" w:sz="0" w:space="0" w:color="auto"/>
            <w:left w:val="none" w:sz="0" w:space="0" w:color="auto"/>
            <w:bottom w:val="none" w:sz="0" w:space="0" w:color="auto"/>
            <w:right w:val="none" w:sz="0" w:space="0" w:color="auto"/>
          </w:divBdr>
          <w:divsChild>
            <w:div w:id="47805631">
              <w:marLeft w:val="0"/>
              <w:marRight w:val="0"/>
              <w:marTop w:val="0"/>
              <w:marBottom w:val="0"/>
              <w:divBdr>
                <w:top w:val="none" w:sz="0" w:space="0" w:color="auto"/>
                <w:left w:val="none" w:sz="0" w:space="0" w:color="auto"/>
                <w:bottom w:val="none" w:sz="0" w:space="0" w:color="auto"/>
                <w:right w:val="none" w:sz="0" w:space="0" w:color="auto"/>
              </w:divBdr>
              <w:divsChild>
                <w:div w:id="947195898">
                  <w:marLeft w:val="0"/>
                  <w:marRight w:val="0"/>
                  <w:marTop w:val="0"/>
                  <w:marBottom w:val="0"/>
                  <w:divBdr>
                    <w:top w:val="none" w:sz="0" w:space="0" w:color="auto"/>
                    <w:left w:val="none" w:sz="0" w:space="0" w:color="auto"/>
                    <w:bottom w:val="none" w:sz="0" w:space="0" w:color="auto"/>
                    <w:right w:val="none" w:sz="0" w:space="0" w:color="auto"/>
                  </w:divBdr>
                  <w:divsChild>
                    <w:div w:id="3640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2336">
      <w:bodyDiv w:val="1"/>
      <w:marLeft w:val="0"/>
      <w:marRight w:val="0"/>
      <w:marTop w:val="0"/>
      <w:marBottom w:val="0"/>
      <w:divBdr>
        <w:top w:val="none" w:sz="0" w:space="0" w:color="auto"/>
        <w:left w:val="none" w:sz="0" w:space="0" w:color="auto"/>
        <w:bottom w:val="none" w:sz="0" w:space="0" w:color="auto"/>
        <w:right w:val="none" w:sz="0" w:space="0" w:color="auto"/>
      </w:divBdr>
      <w:divsChild>
        <w:div w:id="824666830">
          <w:marLeft w:val="0"/>
          <w:marRight w:val="0"/>
          <w:marTop w:val="0"/>
          <w:marBottom w:val="0"/>
          <w:divBdr>
            <w:top w:val="none" w:sz="0" w:space="0" w:color="auto"/>
            <w:left w:val="none" w:sz="0" w:space="0" w:color="auto"/>
            <w:bottom w:val="none" w:sz="0" w:space="0" w:color="auto"/>
            <w:right w:val="none" w:sz="0" w:space="0" w:color="auto"/>
          </w:divBdr>
          <w:divsChild>
            <w:div w:id="157579717">
              <w:marLeft w:val="0"/>
              <w:marRight w:val="0"/>
              <w:marTop w:val="0"/>
              <w:marBottom w:val="0"/>
              <w:divBdr>
                <w:top w:val="none" w:sz="0" w:space="0" w:color="auto"/>
                <w:left w:val="none" w:sz="0" w:space="0" w:color="auto"/>
                <w:bottom w:val="none" w:sz="0" w:space="0" w:color="auto"/>
                <w:right w:val="none" w:sz="0" w:space="0" w:color="auto"/>
              </w:divBdr>
              <w:divsChild>
                <w:div w:id="2038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6092">
      <w:bodyDiv w:val="1"/>
      <w:marLeft w:val="0"/>
      <w:marRight w:val="0"/>
      <w:marTop w:val="0"/>
      <w:marBottom w:val="0"/>
      <w:divBdr>
        <w:top w:val="none" w:sz="0" w:space="0" w:color="auto"/>
        <w:left w:val="none" w:sz="0" w:space="0" w:color="auto"/>
        <w:bottom w:val="none" w:sz="0" w:space="0" w:color="auto"/>
        <w:right w:val="none" w:sz="0" w:space="0" w:color="auto"/>
      </w:divBdr>
      <w:divsChild>
        <w:div w:id="989552600">
          <w:marLeft w:val="0"/>
          <w:marRight w:val="0"/>
          <w:marTop w:val="0"/>
          <w:marBottom w:val="0"/>
          <w:divBdr>
            <w:top w:val="none" w:sz="0" w:space="0" w:color="auto"/>
            <w:left w:val="none" w:sz="0" w:space="0" w:color="auto"/>
            <w:bottom w:val="none" w:sz="0" w:space="0" w:color="auto"/>
            <w:right w:val="none" w:sz="0" w:space="0" w:color="auto"/>
          </w:divBdr>
          <w:divsChild>
            <w:div w:id="969630084">
              <w:marLeft w:val="0"/>
              <w:marRight w:val="0"/>
              <w:marTop w:val="0"/>
              <w:marBottom w:val="0"/>
              <w:divBdr>
                <w:top w:val="none" w:sz="0" w:space="0" w:color="auto"/>
                <w:left w:val="none" w:sz="0" w:space="0" w:color="auto"/>
                <w:bottom w:val="none" w:sz="0" w:space="0" w:color="auto"/>
                <w:right w:val="none" w:sz="0" w:space="0" w:color="auto"/>
              </w:divBdr>
              <w:divsChild>
                <w:div w:id="10524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9848">
      <w:bodyDiv w:val="1"/>
      <w:marLeft w:val="0"/>
      <w:marRight w:val="0"/>
      <w:marTop w:val="0"/>
      <w:marBottom w:val="0"/>
      <w:divBdr>
        <w:top w:val="none" w:sz="0" w:space="0" w:color="auto"/>
        <w:left w:val="none" w:sz="0" w:space="0" w:color="auto"/>
        <w:bottom w:val="none" w:sz="0" w:space="0" w:color="auto"/>
        <w:right w:val="none" w:sz="0" w:space="0" w:color="auto"/>
      </w:divBdr>
    </w:div>
    <w:div w:id="253634168">
      <w:bodyDiv w:val="1"/>
      <w:marLeft w:val="0"/>
      <w:marRight w:val="0"/>
      <w:marTop w:val="0"/>
      <w:marBottom w:val="0"/>
      <w:divBdr>
        <w:top w:val="none" w:sz="0" w:space="0" w:color="auto"/>
        <w:left w:val="none" w:sz="0" w:space="0" w:color="auto"/>
        <w:bottom w:val="none" w:sz="0" w:space="0" w:color="auto"/>
        <w:right w:val="none" w:sz="0" w:space="0" w:color="auto"/>
      </w:divBdr>
      <w:divsChild>
        <w:div w:id="579099955">
          <w:marLeft w:val="0"/>
          <w:marRight w:val="0"/>
          <w:marTop w:val="0"/>
          <w:marBottom w:val="0"/>
          <w:divBdr>
            <w:top w:val="none" w:sz="0" w:space="0" w:color="auto"/>
            <w:left w:val="none" w:sz="0" w:space="0" w:color="auto"/>
            <w:bottom w:val="none" w:sz="0" w:space="0" w:color="auto"/>
            <w:right w:val="none" w:sz="0" w:space="0" w:color="auto"/>
          </w:divBdr>
          <w:divsChild>
            <w:div w:id="668676514">
              <w:marLeft w:val="0"/>
              <w:marRight w:val="0"/>
              <w:marTop w:val="0"/>
              <w:marBottom w:val="0"/>
              <w:divBdr>
                <w:top w:val="none" w:sz="0" w:space="0" w:color="auto"/>
                <w:left w:val="none" w:sz="0" w:space="0" w:color="auto"/>
                <w:bottom w:val="none" w:sz="0" w:space="0" w:color="auto"/>
                <w:right w:val="none" w:sz="0" w:space="0" w:color="auto"/>
              </w:divBdr>
              <w:divsChild>
                <w:div w:id="1988394434">
                  <w:marLeft w:val="0"/>
                  <w:marRight w:val="0"/>
                  <w:marTop w:val="0"/>
                  <w:marBottom w:val="0"/>
                  <w:divBdr>
                    <w:top w:val="none" w:sz="0" w:space="0" w:color="auto"/>
                    <w:left w:val="none" w:sz="0" w:space="0" w:color="auto"/>
                    <w:bottom w:val="none" w:sz="0" w:space="0" w:color="auto"/>
                    <w:right w:val="none" w:sz="0" w:space="0" w:color="auto"/>
                  </w:divBdr>
                  <w:divsChild>
                    <w:div w:id="7369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8094">
      <w:bodyDiv w:val="1"/>
      <w:marLeft w:val="0"/>
      <w:marRight w:val="0"/>
      <w:marTop w:val="0"/>
      <w:marBottom w:val="0"/>
      <w:divBdr>
        <w:top w:val="none" w:sz="0" w:space="0" w:color="auto"/>
        <w:left w:val="none" w:sz="0" w:space="0" w:color="auto"/>
        <w:bottom w:val="none" w:sz="0" w:space="0" w:color="auto"/>
        <w:right w:val="none" w:sz="0" w:space="0" w:color="auto"/>
      </w:divBdr>
      <w:divsChild>
        <w:div w:id="2143771024">
          <w:marLeft w:val="0"/>
          <w:marRight w:val="0"/>
          <w:marTop w:val="0"/>
          <w:marBottom w:val="0"/>
          <w:divBdr>
            <w:top w:val="none" w:sz="0" w:space="0" w:color="auto"/>
            <w:left w:val="none" w:sz="0" w:space="0" w:color="auto"/>
            <w:bottom w:val="none" w:sz="0" w:space="0" w:color="auto"/>
            <w:right w:val="none" w:sz="0" w:space="0" w:color="auto"/>
          </w:divBdr>
          <w:divsChild>
            <w:div w:id="1752893344">
              <w:marLeft w:val="0"/>
              <w:marRight w:val="0"/>
              <w:marTop w:val="0"/>
              <w:marBottom w:val="0"/>
              <w:divBdr>
                <w:top w:val="none" w:sz="0" w:space="0" w:color="auto"/>
                <w:left w:val="none" w:sz="0" w:space="0" w:color="auto"/>
                <w:bottom w:val="none" w:sz="0" w:space="0" w:color="auto"/>
                <w:right w:val="none" w:sz="0" w:space="0" w:color="auto"/>
              </w:divBdr>
              <w:divsChild>
                <w:div w:id="1781727592">
                  <w:marLeft w:val="0"/>
                  <w:marRight w:val="0"/>
                  <w:marTop w:val="0"/>
                  <w:marBottom w:val="0"/>
                  <w:divBdr>
                    <w:top w:val="none" w:sz="0" w:space="0" w:color="auto"/>
                    <w:left w:val="none" w:sz="0" w:space="0" w:color="auto"/>
                    <w:bottom w:val="none" w:sz="0" w:space="0" w:color="auto"/>
                    <w:right w:val="none" w:sz="0" w:space="0" w:color="auto"/>
                  </w:divBdr>
                  <w:divsChild>
                    <w:div w:id="1448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4834">
      <w:bodyDiv w:val="1"/>
      <w:marLeft w:val="0"/>
      <w:marRight w:val="0"/>
      <w:marTop w:val="0"/>
      <w:marBottom w:val="0"/>
      <w:divBdr>
        <w:top w:val="none" w:sz="0" w:space="0" w:color="auto"/>
        <w:left w:val="none" w:sz="0" w:space="0" w:color="auto"/>
        <w:bottom w:val="none" w:sz="0" w:space="0" w:color="auto"/>
        <w:right w:val="none" w:sz="0" w:space="0" w:color="auto"/>
      </w:divBdr>
    </w:div>
    <w:div w:id="412549496">
      <w:bodyDiv w:val="1"/>
      <w:marLeft w:val="0"/>
      <w:marRight w:val="0"/>
      <w:marTop w:val="0"/>
      <w:marBottom w:val="0"/>
      <w:divBdr>
        <w:top w:val="none" w:sz="0" w:space="0" w:color="auto"/>
        <w:left w:val="none" w:sz="0" w:space="0" w:color="auto"/>
        <w:bottom w:val="none" w:sz="0" w:space="0" w:color="auto"/>
        <w:right w:val="none" w:sz="0" w:space="0" w:color="auto"/>
      </w:divBdr>
      <w:divsChild>
        <w:div w:id="853542463">
          <w:marLeft w:val="0"/>
          <w:marRight w:val="0"/>
          <w:marTop w:val="0"/>
          <w:marBottom w:val="0"/>
          <w:divBdr>
            <w:top w:val="none" w:sz="0" w:space="0" w:color="auto"/>
            <w:left w:val="none" w:sz="0" w:space="0" w:color="auto"/>
            <w:bottom w:val="none" w:sz="0" w:space="0" w:color="auto"/>
            <w:right w:val="none" w:sz="0" w:space="0" w:color="auto"/>
          </w:divBdr>
          <w:divsChild>
            <w:div w:id="1593588942">
              <w:marLeft w:val="0"/>
              <w:marRight w:val="0"/>
              <w:marTop w:val="0"/>
              <w:marBottom w:val="0"/>
              <w:divBdr>
                <w:top w:val="none" w:sz="0" w:space="0" w:color="auto"/>
                <w:left w:val="none" w:sz="0" w:space="0" w:color="auto"/>
                <w:bottom w:val="none" w:sz="0" w:space="0" w:color="auto"/>
                <w:right w:val="none" w:sz="0" w:space="0" w:color="auto"/>
              </w:divBdr>
              <w:divsChild>
                <w:div w:id="8591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4911">
      <w:bodyDiv w:val="1"/>
      <w:marLeft w:val="0"/>
      <w:marRight w:val="0"/>
      <w:marTop w:val="0"/>
      <w:marBottom w:val="0"/>
      <w:divBdr>
        <w:top w:val="none" w:sz="0" w:space="0" w:color="auto"/>
        <w:left w:val="none" w:sz="0" w:space="0" w:color="auto"/>
        <w:bottom w:val="none" w:sz="0" w:space="0" w:color="auto"/>
        <w:right w:val="none" w:sz="0" w:space="0" w:color="auto"/>
      </w:divBdr>
    </w:div>
    <w:div w:id="431819560">
      <w:bodyDiv w:val="1"/>
      <w:marLeft w:val="0"/>
      <w:marRight w:val="0"/>
      <w:marTop w:val="0"/>
      <w:marBottom w:val="0"/>
      <w:divBdr>
        <w:top w:val="none" w:sz="0" w:space="0" w:color="auto"/>
        <w:left w:val="none" w:sz="0" w:space="0" w:color="auto"/>
        <w:bottom w:val="none" w:sz="0" w:space="0" w:color="auto"/>
        <w:right w:val="none" w:sz="0" w:space="0" w:color="auto"/>
      </w:divBdr>
      <w:divsChild>
        <w:div w:id="1305697594">
          <w:marLeft w:val="0"/>
          <w:marRight w:val="0"/>
          <w:marTop w:val="0"/>
          <w:marBottom w:val="0"/>
          <w:divBdr>
            <w:top w:val="none" w:sz="0" w:space="0" w:color="auto"/>
            <w:left w:val="none" w:sz="0" w:space="0" w:color="auto"/>
            <w:bottom w:val="none" w:sz="0" w:space="0" w:color="auto"/>
            <w:right w:val="none" w:sz="0" w:space="0" w:color="auto"/>
          </w:divBdr>
          <w:divsChild>
            <w:div w:id="1227497363">
              <w:marLeft w:val="0"/>
              <w:marRight w:val="0"/>
              <w:marTop w:val="0"/>
              <w:marBottom w:val="0"/>
              <w:divBdr>
                <w:top w:val="none" w:sz="0" w:space="0" w:color="auto"/>
                <w:left w:val="none" w:sz="0" w:space="0" w:color="auto"/>
                <w:bottom w:val="none" w:sz="0" w:space="0" w:color="auto"/>
                <w:right w:val="none" w:sz="0" w:space="0" w:color="auto"/>
              </w:divBdr>
              <w:divsChild>
                <w:div w:id="2015918440">
                  <w:marLeft w:val="0"/>
                  <w:marRight w:val="0"/>
                  <w:marTop w:val="0"/>
                  <w:marBottom w:val="0"/>
                  <w:divBdr>
                    <w:top w:val="none" w:sz="0" w:space="0" w:color="auto"/>
                    <w:left w:val="none" w:sz="0" w:space="0" w:color="auto"/>
                    <w:bottom w:val="none" w:sz="0" w:space="0" w:color="auto"/>
                    <w:right w:val="none" w:sz="0" w:space="0" w:color="auto"/>
                  </w:divBdr>
                  <w:divsChild>
                    <w:div w:id="1525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1856">
      <w:bodyDiv w:val="1"/>
      <w:marLeft w:val="0"/>
      <w:marRight w:val="0"/>
      <w:marTop w:val="0"/>
      <w:marBottom w:val="0"/>
      <w:divBdr>
        <w:top w:val="none" w:sz="0" w:space="0" w:color="auto"/>
        <w:left w:val="none" w:sz="0" w:space="0" w:color="auto"/>
        <w:bottom w:val="none" w:sz="0" w:space="0" w:color="auto"/>
        <w:right w:val="none" w:sz="0" w:space="0" w:color="auto"/>
      </w:divBdr>
    </w:div>
    <w:div w:id="512190249">
      <w:bodyDiv w:val="1"/>
      <w:marLeft w:val="0"/>
      <w:marRight w:val="0"/>
      <w:marTop w:val="0"/>
      <w:marBottom w:val="0"/>
      <w:divBdr>
        <w:top w:val="none" w:sz="0" w:space="0" w:color="auto"/>
        <w:left w:val="none" w:sz="0" w:space="0" w:color="auto"/>
        <w:bottom w:val="none" w:sz="0" w:space="0" w:color="auto"/>
        <w:right w:val="none" w:sz="0" w:space="0" w:color="auto"/>
      </w:divBdr>
    </w:div>
    <w:div w:id="512643633">
      <w:bodyDiv w:val="1"/>
      <w:marLeft w:val="0"/>
      <w:marRight w:val="0"/>
      <w:marTop w:val="0"/>
      <w:marBottom w:val="0"/>
      <w:divBdr>
        <w:top w:val="none" w:sz="0" w:space="0" w:color="auto"/>
        <w:left w:val="none" w:sz="0" w:space="0" w:color="auto"/>
        <w:bottom w:val="none" w:sz="0" w:space="0" w:color="auto"/>
        <w:right w:val="none" w:sz="0" w:space="0" w:color="auto"/>
      </w:divBdr>
    </w:div>
    <w:div w:id="538979948">
      <w:bodyDiv w:val="1"/>
      <w:marLeft w:val="0"/>
      <w:marRight w:val="0"/>
      <w:marTop w:val="0"/>
      <w:marBottom w:val="0"/>
      <w:divBdr>
        <w:top w:val="none" w:sz="0" w:space="0" w:color="auto"/>
        <w:left w:val="none" w:sz="0" w:space="0" w:color="auto"/>
        <w:bottom w:val="none" w:sz="0" w:space="0" w:color="auto"/>
        <w:right w:val="none" w:sz="0" w:space="0" w:color="auto"/>
      </w:divBdr>
      <w:divsChild>
        <w:div w:id="347608296">
          <w:marLeft w:val="0"/>
          <w:marRight w:val="0"/>
          <w:marTop w:val="0"/>
          <w:marBottom w:val="0"/>
          <w:divBdr>
            <w:top w:val="none" w:sz="0" w:space="0" w:color="auto"/>
            <w:left w:val="none" w:sz="0" w:space="0" w:color="auto"/>
            <w:bottom w:val="none" w:sz="0" w:space="0" w:color="auto"/>
            <w:right w:val="none" w:sz="0" w:space="0" w:color="auto"/>
          </w:divBdr>
          <w:divsChild>
            <w:div w:id="1450583087">
              <w:marLeft w:val="0"/>
              <w:marRight w:val="0"/>
              <w:marTop w:val="0"/>
              <w:marBottom w:val="0"/>
              <w:divBdr>
                <w:top w:val="none" w:sz="0" w:space="0" w:color="auto"/>
                <w:left w:val="none" w:sz="0" w:space="0" w:color="auto"/>
                <w:bottom w:val="none" w:sz="0" w:space="0" w:color="auto"/>
                <w:right w:val="none" w:sz="0" w:space="0" w:color="auto"/>
              </w:divBdr>
              <w:divsChild>
                <w:div w:id="1031036366">
                  <w:marLeft w:val="0"/>
                  <w:marRight w:val="0"/>
                  <w:marTop w:val="0"/>
                  <w:marBottom w:val="0"/>
                  <w:divBdr>
                    <w:top w:val="none" w:sz="0" w:space="0" w:color="auto"/>
                    <w:left w:val="none" w:sz="0" w:space="0" w:color="auto"/>
                    <w:bottom w:val="none" w:sz="0" w:space="0" w:color="auto"/>
                    <w:right w:val="none" w:sz="0" w:space="0" w:color="auto"/>
                  </w:divBdr>
                </w:div>
              </w:divsChild>
            </w:div>
            <w:div w:id="1933314798">
              <w:marLeft w:val="0"/>
              <w:marRight w:val="0"/>
              <w:marTop w:val="0"/>
              <w:marBottom w:val="0"/>
              <w:divBdr>
                <w:top w:val="none" w:sz="0" w:space="0" w:color="auto"/>
                <w:left w:val="none" w:sz="0" w:space="0" w:color="auto"/>
                <w:bottom w:val="none" w:sz="0" w:space="0" w:color="auto"/>
                <w:right w:val="none" w:sz="0" w:space="0" w:color="auto"/>
              </w:divBdr>
              <w:divsChild>
                <w:div w:id="9774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799">
      <w:bodyDiv w:val="1"/>
      <w:marLeft w:val="0"/>
      <w:marRight w:val="0"/>
      <w:marTop w:val="0"/>
      <w:marBottom w:val="0"/>
      <w:divBdr>
        <w:top w:val="none" w:sz="0" w:space="0" w:color="auto"/>
        <w:left w:val="none" w:sz="0" w:space="0" w:color="auto"/>
        <w:bottom w:val="none" w:sz="0" w:space="0" w:color="auto"/>
        <w:right w:val="none" w:sz="0" w:space="0" w:color="auto"/>
      </w:divBdr>
      <w:divsChild>
        <w:div w:id="1289967533">
          <w:marLeft w:val="0"/>
          <w:marRight w:val="0"/>
          <w:marTop w:val="0"/>
          <w:marBottom w:val="0"/>
          <w:divBdr>
            <w:top w:val="none" w:sz="0" w:space="0" w:color="auto"/>
            <w:left w:val="none" w:sz="0" w:space="0" w:color="auto"/>
            <w:bottom w:val="none" w:sz="0" w:space="0" w:color="auto"/>
            <w:right w:val="none" w:sz="0" w:space="0" w:color="auto"/>
          </w:divBdr>
          <w:divsChild>
            <w:div w:id="444497424">
              <w:marLeft w:val="0"/>
              <w:marRight w:val="0"/>
              <w:marTop w:val="0"/>
              <w:marBottom w:val="0"/>
              <w:divBdr>
                <w:top w:val="none" w:sz="0" w:space="0" w:color="auto"/>
                <w:left w:val="none" w:sz="0" w:space="0" w:color="auto"/>
                <w:bottom w:val="none" w:sz="0" w:space="0" w:color="auto"/>
                <w:right w:val="none" w:sz="0" w:space="0" w:color="auto"/>
              </w:divBdr>
              <w:divsChild>
                <w:div w:id="5441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4849">
      <w:bodyDiv w:val="1"/>
      <w:marLeft w:val="0"/>
      <w:marRight w:val="0"/>
      <w:marTop w:val="0"/>
      <w:marBottom w:val="0"/>
      <w:divBdr>
        <w:top w:val="none" w:sz="0" w:space="0" w:color="auto"/>
        <w:left w:val="none" w:sz="0" w:space="0" w:color="auto"/>
        <w:bottom w:val="none" w:sz="0" w:space="0" w:color="auto"/>
        <w:right w:val="none" w:sz="0" w:space="0" w:color="auto"/>
      </w:divBdr>
    </w:div>
    <w:div w:id="668144672">
      <w:bodyDiv w:val="1"/>
      <w:marLeft w:val="0"/>
      <w:marRight w:val="0"/>
      <w:marTop w:val="0"/>
      <w:marBottom w:val="0"/>
      <w:divBdr>
        <w:top w:val="none" w:sz="0" w:space="0" w:color="auto"/>
        <w:left w:val="none" w:sz="0" w:space="0" w:color="auto"/>
        <w:bottom w:val="none" w:sz="0" w:space="0" w:color="auto"/>
        <w:right w:val="none" w:sz="0" w:space="0" w:color="auto"/>
      </w:divBdr>
      <w:divsChild>
        <w:div w:id="2008509849">
          <w:marLeft w:val="0"/>
          <w:marRight w:val="0"/>
          <w:marTop w:val="0"/>
          <w:marBottom w:val="0"/>
          <w:divBdr>
            <w:top w:val="none" w:sz="0" w:space="0" w:color="auto"/>
            <w:left w:val="none" w:sz="0" w:space="0" w:color="auto"/>
            <w:bottom w:val="none" w:sz="0" w:space="0" w:color="auto"/>
            <w:right w:val="none" w:sz="0" w:space="0" w:color="auto"/>
          </w:divBdr>
          <w:divsChild>
            <w:div w:id="625936161">
              <w:marLeft w:val="0"/>
              <w:marRight w:val="0"/>
              <w:marTop w:val="0"/>
              <w:marBottom w:val="0"/>
              <w:divBdr>
                <w:top w:val="none" w:sz="0" w:space="0" w:color="auto"/>
                <w:left w:val="none" w:sz="0" w:space="0" w:color="auto"/>
                <w:bottom w:val="none" w:sz="0" w:space="0" w:color="auto"/>
                <w:right w:val="none" w:sz="0" w:space="0" w:color="auto"/>
              </w:divBdr>
              <w:divsChild>
                <w:div w:id="16682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2844">
      <w:bodyDiv w:val="1"/>
      <w:marLeft w:val="0"/>
      <w:marRight w:val="0"/>
      <w:marTop w:val="0"/>
      <w:marBottom w:val="0"/>
      <w:divBdr>
        <w:top w:val="none" w:sz="0" w:space="0" w:color="auto"/>
        <w:left w:val="none" w:sz="0" w:space="0" w:color="auto"/>
        <w:bottom w:val="none" w:sz="0" w:space="0" w:color="auto"/>
        <w:right w:val="none" w:sz="0" w:space="0" w:color="auto"/>
      </w:divBdr>
    </w:div>
    <w:div w:id="718629697">
      <w:bodyDiv w:val="1"/>
      <w:marLeft w:val="0"/>
      <w:marRight w:val="0"/>
      <w:marTop w:val="0"/>
      <w:marBottom w:val="0"/>
      <w:divBdr>
        <w:top w:val="none" w:sz="0" w:space="0" w:color="auto"/>
        <w:left w:val="none" w:sz="0" w:space="0" w:color="auto"/>
        <w:bottom w:val="none" w:sz="0" w:space="0" w:color="auto"/>
        <w:right w:val="none" w:sz="0" w:space="0" w:color="auto"/>
      </w:divBdr>
      <w:divsChild>
        <w:div w:id="969634435">
          <w:marLeft w:val="0"/>
          <w:marRight w:val="0"/>
          <w:marTop w:val="0"/>
          <w:marBottom w:val="0"/>
          <w:divBdr>
            <w:top w:val="none" w:sz="0" w:space="0" w:color="auto"/>
            <w:left w:val="none" w:sz="0" w:space="0" w:color="auto"/>
            <w:bottom w:val="none" w:sz="0" w:space="0" w:color="auto"/>
            <w:right w:val="none" w:sz="0" w:space="0" w:color="auto"/>
          </w:divBdr>
          <w:divsChild>
            <w:div w:id="167866577">
              <w:marLeft w:val="0"/>
              <w:marRight w:val="0"/>
              <w:marTop w:val="0"/>
              <w:marBottom w:val="0"/>
              <w:divBdr>
                <w:top w:val="none" w:sz="0" w:space="0" w:color="auto"/>
                <w:left w:val="none" w:sz="0" w:space="0" w:color="auto"/>
                <w:bottom w:val="none" w:sz="0" w:space="0" w:color="auto"/>
                <w:right w:val="none" w:sz="0" w:space="0" w:color="auto"/>
              </w:divBdr>
              <w:divsChild>
                <w:div w:id="7123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5999">
      <w:bodyDiv w:val="1"/>
      <w:marLeft w:val="0"/>
      <w:marRight w:val="0"/>
      <w:marTop w:val="0"/>
      <w:marBottom w:val="0"/>
      <w:divBdr>
        <w:top w:val="none" w:sz="0" w:space="0" w:color="auto"/>
        <w:left w:val="none" w:sz="0" w:space="0" w:color="auto"/>
        <w:bottom w:val="none" w:sz="0" w:space="0" w:color="auto"/>
        <w:right w:val="none" w:sz="0" w:space="0" w:color="auto"/>
      </w:divBdr>
    </w:div>
    <w:div w:id="826870176">
      <w:bodyDiv w:val="1"/>
      <w:marLeft w:val="0"/>
      <w:marRight w:val="0"/>
      <w:marTop w:val="0"/>
      <w:marBottom w:val="0"/>
      <w:divBdr>
        <w:top w:val="none" w:sz="0" w:space="0" w:color="auto"/>
        <w:left w:val="none" w:sz="0" w:space="0" w:color="auto"/>
        <w:bottom w:val="none" w:sz="0" w:space="0" w:color="auto"/>
        <w:right w:val="none" w:sz="0" w:space="0" w:color="auto"/>
      </w:divBdr>
      <w:divsChild>
        <w:div w:id="2109499050">
          <w:marLeft w:val="0"/>
          <w:marRight w:val="0"/>
          <w:marTop w:val="0"/>
          <w:marBottom w:val="0"/>
          <w:divBdr>
            <w:top w:val="none" w:sz="0" w:space="0" w:color="auto"/>
            <w:left w:val="none" w:sz="0" w:space="0" w:color="auto"/>
            <w:bottom w:val="none" w:sz="0" w:space="0" w:color="auto"/>
            <w:right w:val="none" w:sz="0" w:space="0" w:color="auto"/>
          </w:divBdr>
        </w:div>
        <w:div w:id="836730137">
          <w:marLeft w:val="0"/>
          <w:marRight w:val="0"/>
          <w:marTop w:val="0"/>
          <w:marBottom w:val="0"/>
          <w:divBdr>
            <w:top w:val="none" w:sz="0" w:space="0" w:color="auto"/>
            <w:left w:val="none" w:sz="0" w:space="0" w:color="auto"/>
            <w:bottom w:val="none" w:sz="0" w:space="0" w:color="auto"/>
            <w:right w:val="none" w:sz="0" w:space="0" w:color="auto"/>
          </w:divBdr>
        </w:div>
        <w:div w:id="1308825216">
          <w:marLeft w:val="0"/>
          <w:marRight w:val="0"/>
          <w:marTop w:val="0"/>
          <w:marBottom w:val="0"/>
          <w:divBdr>
            <w:top w:val="none" w:sz="0" w:space="0" w:color="auto"/>
            <w:left w:val="none" w:sz="0" w:space="0" w:color="auto"/>
            <w:bottom w:val="none" w:sz="0" w:space="0" w:color="auto"/>
            <w:right w:val="none" w:sz="0" w:space="0" w:color="auto"/>
          </w:divBdr>
        </w:div>
        <w:div w:id="685907053">
          <w:marLeft w:val="0"/>
          <w:marRight w:val="0"/>
          <w:marTop w:val="0"/>
          <w:marBottom w:val="0"/>
          <w:divBdr>
            <w:top w:val="none" w:sz="0" w:space="0" w:color="auto"/>
            <w:left w:val="none" w:sz="0" w:space="0" w:color="auto"/>
            <w:bottom w:val="none" w:sz="0" w:space="0" w:color="auto"/>
            <w:right w:val="none" w:sz="0" w:space="0" w:color="auto"/>
          </w:divBdr>
        </w:div>
        <w:div w:id="512840650">
          <w:marLeft w:val="0"/>
          <w:marRight w:val="0"/>
          <w:marTop w:val="0"/>
          <w:marBottom w:val="0"/>
          <w:divBdr>
            <w:top w:val="none" w:sz="0" w:space="0" w:color="auto"/>
            <w:left w:val="none" w:sz="0" w:space="0" w:color="auto"/>
            <w:bottom w:val="none" w:sz="0" w:space="0" w:color="auto"/>
            <w:right w:val="none" w:sz="0" w:space="0" w:color="auto"/>
          </w:divBdr>
        </w:div>
        <w:div w:id="2073656141">
          <w:marLeft w:val="0"/>
          <w:marRight w:val="0"/>
          <w:marTop w:val="0"/>
          <w:marBottom w:val="0"/>
          <w:divBdr>
            <w:top w:val="none" w:sz="0" w:space="0" w:color="auto"/>
            <w:left w:val="none" w:sz="0" w:space="0" w:color="auto"/>
            <w:bottom w:val="none" w:sz="0" w:space="0" w:color="auto"/>
            <w:right w:val="none" w:sz="0" w:space="0" w:color="auto"/>
          </w:divBdr>
        </w:div>
        <w:div w:id="1866019134">
          <w:marLeft w:val="0"/>
          <w:marRight w:val="0"/>
          <w:marTop w:val="0"/>
          <w:marBottom w:val="0"/>
          <w:divBdr>
            <w:top w:val="none" w:sz="0" w:space="0" w:color="auto"/>
            <w:left w:val="none" w:sz="0" w:space="0" w:color="auto"/>
            <w:bottom w:val="none" w:sz="0" w:space="0" w:color="auto"/>
            <w:right w:val="none" w:sz="0" w:space="0" w:color="auto"/>
          </w:divBdr>
        </w:div>
      </w:divsChild>
    </w:div>
    <w:div w:id="856652409">
      <w:bodyDiv w:val="1"/>
      <w:marLeft w:val="0"/>
      <w:marRight w:val="0"/>
      <w:marTop w:val="0"/>
      <w:marBottom w:val="0"/>
      <w:divBdr>
        <w:top w:val="none" w:sz="0" w:space="0" w:color="auto"/>
        <w:left w:val="none" w:sz="0" w:space="0" w:color="auto"/>
        <w:bottom w:val="none" w:sz="0" w:space="0" w:color="auto"/>
        <w:right w:val="none" w:sz="0" w:space="0" w:color="auto"/>
      </w:divBdr>
      <w:divsChild>
        <w:div w:id="1603370101">
          <w:marLeft w:val="0"/>
          <w:marRight w:val="0"/>
          <w:marTop w:val="0"/>
          <w:marBottom w:val="0"/>
          <w:divBdr>
            <w:top w:val="none" w:sz="0" w:space="0" w:color="auto"/>
            <w:left w:val="none" w:sz="0" w:space="0" w:color="auto"/>
            <w:bottom w:val="none" w:sz="0" w:space="0" w:color="auto"/>
            <w:right w:val="none" w:sz="0" w:space="0" w:color="auto"/>
          </w:divBdr>
          <w:divsChild>
            <w:div w:id="1602491653">
              <w:marLeft w:val="0"/>
              <w:marRight w:val="0"/>
              <w:marTop w:val="0"/>
              <w:marBottom w:val="0"/>
              <w:divBdr>
                <w:top w:val="none" w:sz="0" w:space="0" w:color="auto"/>
                <w:left w:val="none" w:sz="0" w:space="0" w:color="auto"/>
                <w:bottom w:val="none" w:sz="0" w:space="0" w:color="auto"/>
                <w:right w:val="none" w:sz="0" w:space="0" w:color="auto"/>
              </w:divBdr>
              <w:divsChild>
                <w:div w:id="2106460370">
                  <w:marLeft w:val="0"/>
                  <w:marRight w:val="0"/>
                  <w:marTop w:val="0"/>
                  <w:marBottom w:val="0"/>
                  <w:divBdr>
                    <w:top w:val="none" w:sz="0" w:space="0" w:color="auto"/>
                    <w:left w:val="none" w:sz="0" w:space="0" w:color="auto"/>
                    <w:bottom w:val="none" w:sz="0" w:space="0" w:color="auto"/>
                    <w:right w:val="none" w:sz="0" w:space="0" w:color="auto"/>
                  </w:divBdr>
                  <w:divsChild>
                    <w:div w:id="9759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0994">
      <w:bodyDiv w:val="1"/>
      <w:marLeft w:val="0"/>
      <w:marRight w:val="0"/>
      <w:marTop w:val="0"/>
      <w:marBottom w:val="0"/>
      <w:divBdr>
        <w:top w:val="none" w:sz="0" w:space="0" w:color="auto"/>
        <w:left w:val="none" w:sz="0" w:space="0" w:color="auto"/>
        <w:bottom w:val="none" w:sz="0" w:space="0" w:color="auto"/>
        <w:right w:val="none" w:sz="0" w:space="0" w:color="auto"/>
      </w:divBdr>
    </w:div>
    <w:div w:id="890311820">
      <w:bodyDiv w:val="1"/>
      <w:marLeft w:val="0"/>
      <w:marRight w:val="0"/>
      <w:marTop w:val="0"/>
      <w:marBottom w:val="0"/>
      <w:divBdr>
        <w:top w:val="none" w:sz="0" w:space="0" w:color="auto"/>
        <w:left w:val="none" w:sz="0" w:space="0" w:color="auto"/>
        <w:bottom w:val="none" w:sz="0" w:space="0" w:color="auto"/>
        <w:right w:val="none" w:sz="0" w:space="0" w:color="auto"/>
      </w:divBdr>
    </w:div>
    <w:div w:id="914242920">
      <w:bodyDiv w:val="1"/>
      <w:marLeft w:val="0"/>
      <w:marRight w:val="0"/>
      <w:marTop w:val="0"/>
      <w:marBottom w:val="0"/>
      <w:divBdr>
        <w:top w:val="none" w:sz="0" w:space="0" w:color="auto"/>
        <w:left w:val="none" w:sz="0" w:space="0" w:color="auto"/>
        <w:bottom w:val="none" w:sz="0" w:space="0" w:color="auto"/>
        <w:right w:val="none" w:sz="0" w:space="0" w:color="auto"/>
      </w:divBdr>
      <w:divsChild>
        <w:div w:id="2011713913">
          <w:marLeft w:val="0"/>
          <w:marRight w:val="0"/>
          <w:marTop w:val="0"/>
          <w:marBottom w:val="0"/>
          <w:divBdr>
            <w:top w:val="none" w:sz="0" w:space="0" w:color="auto"/>
            <w:left w:val="none" w:sz="0" w:space="0" w:color="auto"/>
            <w:bottom w:val="none" w:sz="0" w:space="0" w:color="auto"/>
            <w:right w:val="none" w:sz="0" w:space="0" w:color="auto"/>
          </w:divBdr>
          <w:divsChild>
            <w:div w:id="1195725749">
              <w:marLeft w:val="0"/>
              <w:marRight w:val="0"/>
              <w:marTop w:val="0"/>
              <w:marBottom w:val="0"/>
              <w:divBdr>
                <w:top w:val="none" w:sz="0" w:space="0" w:color="auto"/>
                <w:left w:val="none" w:sz="0" w:space="0" w:color="auto"/>
                <w:bottom w:val="none" w:sz="0" w:space="0" w:color="auto"/>
                <w:right w:val="none" w:sz="0" w:space="0" w:color="auto"/>
              </w:divBdr>
              <w:divsChild>
                <w:div w:id="7490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4236">
      <w:bodyDiv w:val="1"/>
      <w:marLeft w:val="0"/>
      <w:marRight w:val="0"/>
      <w:marTop w:val="0"/>
      <w:marBottom w:val="0"/>
      <w:divBdr>
        <w:top w:val="none" w:sz="0" w:space="0" w:color="auto"/>
        <w:left w:val="none" w:sz="0" w:space="0" w:color="auto"/>
        <w:bottom w:val="none" w:sz="0" w:space="0" w:color="auto"/>
        <w:right w:val="none" w:sz="0" w:space="0" w:color="auto"/>
      </w:divBdr>
      <w:divsChild>
        <w:div w:id="1342973169">
          <w:marLeft w:val="0"/>
          <w:marRight w:val="0"/>
          <w:marTop w:val="0"/>
          <w:marBottom w:val="0"/>
          <w:divBdr>
            <w:top w:val="none" w:sz="0" w:space="0" w:color="auto"/>
            <w:left w:val="none" w:sz="0" w:space="0" w:color="auto"/>
            <w:bottom w:val="none" w:sz="0" w:space="0" w:color="auto"/>
            <w:right w:val="none" w:sz="0" w:space="0" w:color="auto"/>
          </w:divBdr>
          <w:divsChild>
            <w:div w:id="880823927">
              <w:marLeft w:val="0"/>
              <w:marRight w:val="0"/>
              <w:marTop w:val="0"/>
              <w:marBottom w:val="0"/>
              <w:divBdr>
                <w:top w:val="none" w:sz="0" w:space="0" w:color="auto"/>
                <w:left w:val="none" w:sz="0" w:space="0" w:color="auto"/>
                <w:bottom w:val="none" w:sz="0" w:space="0" w:color="auto"/>
                <w:right w:val="none" w:sz="0" w:space="0" w:color="auto"/>
              </w:divBdr>
              <w:divsChild>
                <w:div w:id="1907063768">
                  <w:marLeft w:val="0"/>
                  <w:marRight w:val="0"/>
                  <w:marTop w:val="0"/>
                  <w:marBottom w:val="0"/>
                  <w:divBdr>
                    <w:top w:val="none" w:sz="0" w:space="0" w:color="auto"/>
                    <w:left w:val="none" w:sz="0" w:space="0" w:color="auto"/>
                    <w:bottom w:val="none" w:sz="0" w:space="0" w:color="auto"/>
                    <w:right w:val="none" w:sz="0" w:space="0" w:color="auto"/>
                  </w:divBdr>
                  <w:divsChild>
                    <w:div w:id="540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935">
      <w:bodyDiv w:val="1"/>
      <w:marLeft w:val="0"/>
      <w:marRight w:val="0"/>
      <w:marTop w:val="0"/>
      <w:marBottom w:val="0"/>
      <w:divBdr>
        <w:top w:val="none" w:sz="0" w:space="0" w:color="auto"/>
        <w:left w:val="none" w:sz="0" w:space="0" w:color="auto"/>
        <w:bottom w:val="none" w:sz="0" w:space="0" w:color="auto"/>
        <w:right w:val="none" w:sz="0" w:space="0" w:color="auto"/>
      </w:divBdr>
    </w:div>
    <w:div w:id="954675758">
      <w:bodyDiv w:val="1"/>
      <w:marLeft w:val="0"/>
      <w:marRight w:val="0"/>
      <w:marTop w:val="0"/>
      <w:marBottom w:val="0"/>
      <w:divBdr>
        <w:top w:val="none" w:sz="0" w:space="0" w:color="auto"/>
        <w:left w:val="none" w:sz="0" w:space="0" w:color="auto"/>
        <w:bottom w:val="none" w:sz="0" w:space="0" w:color="auto"/>
        <w:right w:val="none" w:sz="0" w:space="0" w:color="auto"/>
      </w:divBdr>
      <w:divsChild>
        <w:div w:id="354581421">
          <w:marLeft w:val="0"/>
          <w:marRight w:val="0"/>
          <w:marTop w:val="0"/>
          <w:marBottom w:val="0"/>
          <w:divBdr>
            <w:top w:val="none" w:sz="0" w:space="0" w:color="auto"/>
            <w:left w:val="none" w:sz="0" w:space="0" w:color="auto"/>
            <w:bottom w:val="none" w:sz="0" w:space="0" w:color="auto"/>
            <w:right w:val="none" w:sz="0" w:space="0" w:color="auto"/>
          </w:divBdr>
          <w:divsChild>
            <w:div w:id="1141581477">
              <w:marLeft w:val="0"/>
              <w:marRight w:val="0"/>
              <w:marTop w:val="0"/>
              <w:marBottom w:val="0"/>
              <w:divBdr>
                <w:top w:val="none" w:sz="0" w:space="0" w:color="auto"/>
                <w:left w:val="none" w:sz="0" w:space="0" w:color="auto"/>
                <w:bottom w:val="none" w:sz="0" w:space="0" w:color="auto"/>
                <w:right w:val="none" w:sz="0" w:space="0" w:color="auto"/>
              </w:divBdr>
              <w:divsChild>
                <w:div w:id="1304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7322">
      <w:bodyDiv w:val="1"/>
      <w:marLeft w:val="0"/>
      <w:marRight w:val="0"/>
      <w:marTop w:val="0"/>
      <w:marBottom w:val="0"/>
      <w:divBdr>
        <w:top w:val="none" w:sz="0" w:space="0" w:color="auto"/>
        <w:left w:val="none" w:sz="0" w:space="0" w:color="auto"/>
        <w:bottom w:val="none" w:sz="0" w:space="0" w:color="auto"/>
        <w:right w:val="none" w:sz="0" w:space="0" w:color="auto"/>
      </w:divBdr>
      <w:divsChild>
        <w:div w:id="1785803311">
          <w:marLeft w:val="0"/>
          <w:marRight w:val="0"/>
          <w:marTop w:val="0"/>
          <w:marBottom w:val="0"/>
          <w:divBdr>
            <w:top w:val="none" w:sz="0" w:space="0" w:color="auto"/>
            <w:left w:val="none" w:sz="0" w:space="0" w:color="auto"/>
            <w:bottom w:val="none" w:sz="0" w:space="0" w:color="auto"/>
            <w:right w:val="none" w:sz="0" w:space="0" w:color="auto"/>
          </w:divBdr>
          <w:divsChild>
            <w:div w:id="385881382">
              <w:marLeft w:val="0"/>
              <w:marRight w:val="0"/>
              <w:marTop w:val="0"/>
              <w:marBottom w:val="0"/>
              <w:divBdr>
                <w:top w:val="none" w:sz="0" w:space="0" w:color="auto"/>
                <w:left w:val="none" w:sz="0" w:space="0" w:color="auto"/>
                <w:bottom w:val="none" w:sz="0" w:space="0" w:color="auto"/>
                <w:right w:val="none" w:sz="0" w:space="0" w:color="auto"/>
              </w:divBdr>
              <w:divsChild>
                <w:div w:id="2135439411">
                  <w:marLeft w:val="0"/>
                  <w:marRight w:val="0"/>
                  <w:marTop w:val="0"/>
                  <w:marBottom w:val="0"/>
                  <w:divBdr>
                    <w:top w:val="none" w:sz="0" w:space="0" w:color="auto"/>
                    <w:left w:val="none" w:sz="0" w:space="0" w:color="auto"/>
                    <w:bottom w:val="none" w:sz="0" w:space="0" w:color="auto"/>
                    <w:right w:val="none" w:sz="0" w:space="0" w:color="auto"/>
                  </w:divBdr>
                  <w:divsChild>
                    <w:div w:id="10603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04545">
      <w:bodyDiv w:val="1"/>
      <w:marLeft w:val="0"/>
      <w:marRight w:val="0"/>
      <w:marTop w:val="0"/>
      <w:marBottom w:val="0"/>
      <w:divBdr>
        <w:top w:val="none" w:sz="0" w:space="0" w:color="auto"/>
        <w:left w:val="none" w:sz="0" w:space="0" w:color="auto"/>
        <w:bottom w:val="none" w:sz="0" w:space="0" w:color="auto"/>
        <w:right w:val="none" w:sz="0" w:space="0" w:color="auto"/>
      </w:divBdr>
      <w:divsChild>
        <w:div w:id="1876118832">
          <w:marLeft w:val="0"/>
          <w:marRight w:val="0"/>
          <w:marTop w:val="0"/>
          <w:marBottom w:val="0"/>
          <w:divBdr>
            <w:top w:val="none" w:sz="0" w:space="0" w:color="auto"/>
            <w:left w:val="none" w:sz="0" w:space="0" w:color="auto"/>
            <w:bottom w:val="none" w:sz="0" w:space="0" w:color="auto"/>
            <w:right w:val="none" w:sz="0" w:space="0" w:color="auto"/>
          </w:divBdr>
          <w:divsChild>
            <w:div w:id="1045250886">
              <w:marLeft w:val="0"/>
              <w:marRight w:val="0"/>
              <w:marTop w:val="0"/>
              <w:marBottom w:val="0"/>
              <w:divBdr>
                <w:top w:val="none" w:sz="0" w:space="0" w:color="auto"/>
                <w:left w:val="none" w:sz="0" w:space="0" w:color="auto"/>
                <w:bottom w:val="none" w:sz="0" w:space="0" w:color="auto"/>
                <w:right w:val="none" w:sz="0" w:space="0" w:color="auto"/>
              </w:divBdr>
              <w:divsChild>
                <w:div w:id="251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5390">
      <w:bodyDiv w:val="1"/>
      <w:marLeft w:val="0"/>
      <w:marRight w:val="0"/>
      <w:marTop w:val="0"/>
      <w:marBottom w:val="0"/>
      <w:divBdr>
        <w:top w:val="none" w:sz="0" w:space="0" w:color="auto"/>
        <w:left w:val="none" w:sz="0" w:space="0" w:color="auto"/>
        <w:bottom w:val="none" w:sz="0" w:space="0" w:color="auto"/>
        <w:right w:val="none" w:sz="0" w:space="0" w:color="auto"/>
      </w:divBdr>
      <w:divsChild>
        <w:div w:id="635643314">
          <w:marLeft w:val="0"/>
          <w:marRight w:val="0"/>
          <w:marTop w:val="0"/>
          <w:marBottom w:val="0"/>
          <w:divBdr>
            <w:top w:val="none" w:sz="0" w:space="0" w:color="auto"/>
            <w:left w:val="none" w:sz="0" w:space="0" w:color="auto"/>
            <w:bottom w:val="none" w:sz="0" w:space="0" w:color="auto"/>
            <w:right w:val="none" w:sz="0" w:space="0" w:color="auto"/>
          </w:divBdr>
          <w:divsChild>
            <w:div w:id="1141653760">
              <w:marLeft w:val="0"/>
              <w:marRight w:val="0"/>
              <w:marTop w:val="0"/>
              <w:marBottom w:val="0"/>
              <w:divBdr>
                <w:top w:val="none" w:sz="0" w:space="0" w:color="auto"/>
                <w:left w:val="none" w:sz="0" w:space="0" w:color="auto"/>
                <w:bottom w:val="none" w:sz="0" w:space="0" w:color="auto"/>
                <w:right w:val="none" w:sz="0" w:space="0" w:color="auto"/>
              </w:divBdr>
              <w:divsChild>
                <w:div w:id="2145195732">
                  <w:marLeft w:val="0"/>
                  <w:marRight w:val="0"/>
                  <w:marTop w:val="0"/>
                  <w:marBottom w:val="0"/>
                  <w:divBdr>
                    <w:top w:val="none" w:sz="0" w:space="0" w:color="auto"/>
                    <w:left w:val="none" w:sz="0" w:space="0" w:color="auto"/>
                    <w:bottom w:val="none" w:sz="0" w:space="0" w:color="auto"/>
                    <w:right w:val="none" w:sz="0" w:space="0" w:color="auto"/>
                  </w:divBdr>
                  <w:divsChild>
                    <w:div w:id="70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3205">
      <w:bodyDiv w:val="1"/>
      <w:marLeft w:val="0"/>
      <w:marRight w:val="0"/>
      <w:marTop w:val="0"/>
      <w:marBottom w:val="0"/>
      <w:divBdr>
        <w:top w:val="none" w:sz="0" w:space="0" w:color="auto"/>
        <w:left w:val="none" w:sz="0" w:space="0" w:color="auto"/>
        <w:bottom w:val="none" w:sz="0" w:space="0" w:color="auto"/>
        <w:right w:val="none" w:sz="0" w:space="0" w:color="auto"/>
      </w:divBdr>
      <w:divsChild>
        <w:div w:id="2074742159">
          <w:marLeft w:val="0"/>
          <w:marRight w:val="0"/>
          <w:marTop w:val="0"/>
          <w:marBottom w:val="0"/>
          <w:divBdr>
            <w:top w:val="none" w:sz="0" w:space="0" w:color="auto"/>
            <w:left w:val="none" w:sz="0" w:space="0" w:color="auto"/>
            <w:bottom w:val="none" w:sz="0" w:space="0" w:color="auto"/>
            <w:right w:val="none" w:sz="0" w:space="0" w:color="auto"/>
          </w:divBdr>
          <w:divsChild>
            <w:div w:id="837429314">
              <w:marLeft w:val="0"/>
              <w:marRight w:val="0"/>
              <w:marTop w:val="0"/>
              <w:marBottom w:val="0"/>
              <w:divBdr>
                <w:top w:val="none" w:sz="0" w:space="0" w:color="auto"/>
                <w:left w:val="none" w:sz="0" w:space="0" w:color="auto"/>
                <w:bottom w:val="none" w:sz="0" w:space="0" w:color="auto"/>
                <w:right w:val="none" w:sz="0" w:space="0" w:color="auto"/>
              </w:divBdr>
              <w:divsChild>
                <w:div w:id="13224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8296">
      <w:bodyDiv w:val="1"/>
      <w:marLeft w:val="0"/>
      <w:marRight w:val="0"/>
      <w:marTop w:val="0"/>
      <w:marBottom w:val="0"/>
      <w:divBdr>
        <w:top w:val="none" w:sz="0" w:space="0" w:color="auto"/>
        <w:left w:val="none" w:sz="0" w:space="0" w:color="auto"/>
        <w:bottom w:val="none" w:sz="0" w:space="0" w:color="auto"/>
        <w:right w:val="none" w:sz="0" w:space="0" w:color="auto"/>
      </w:divBdr>
    </w:div>
    <w:div w:id="1011837560">
      <w:bodyDiv w:val="1"/>
      <w:marLeft w:val="0"/>
      <w:marRight w:val="0"/>
      <w:marTop w:val="0"/>
      <w:marBottom w:val="0"/>
      <w:divBdr>
        <w:top w:val="none" w:sz="0" w:space="0" w:color="auto"/>
        <w:left w:val="none" w:sz="0" w:space="0" w:color="auto"/>
        <w:bottom w:val="none" w:sz="0" w:space="0" w:color="auto"/>
        <w:right w:val="none" w:sz="0" w:space="0" w:color="auto"/>
      </w:divBdr>
      <w:divsChild>
        <w:div w:id="502207404">
          <w:marLeft w:val="0"/>
          <w:marRight w:val="0"/>
          <w:marTop w:val="0"/>
          <w:marBottom w:val="0"/>
          <w:divBdr>
            <w:top w:val="none" w:sz="0" w:space="0" w:color="auto"/>
            <w:left w:val="none" w:sz="0" w:space="0" w:color="auto"/>
            <w:bottom w:val="none" w:sz="0" w:space="0" w:color="auto"/>
            <w:right w:val="none" w:sz="0" w:space="0" w:color="auto"/>
          </w:divBdr>
          <w:divsChild>
            <w:div w:id="1125469073">
              <w:marLeft w:val="0"/>
              <w:marRight w:val="0"/>
              <w:marTop w:val="0"/>
              <w:marBottom w:val="0"/>
              <w:divBdr>
                <w:top w:val="none" w:sz="0" w:space="0" w:color="auto"/>
                <w:left w:val="none" w:sz="0" w:space="0" w:color="auto"/>
                <w:bottom w:val="none" w:sz="0" w:space="0" w:color="auto"/>
                <w:right w:val="none" w:sz="0" w:space="0" w:color="auto"/>
              </w:divBdr>
              <w:divsChild>
                <w:div w:id="374816450">
                  <w:marLeft w:val="0"/>
                  <w:marRight w:val="0"/>
                  <w:marTop w:val="0"/>
                  <w:marBottom w:val="0"/>
                  <w:divBdr>
                    <w:top w:val="none" w:sz="0" w:space="0" w:color="auto"/>
                    <w:left w:val="none" w:sz="0" w:space="0" w:color="auto"/>
                    <w:bottom w:val="none" w:sz="0" w:space="0" w:color="auto"/>
                    <w:right w:val="none" w:sz="0" w:space="0" w:color="auto"/>
                  </w:divBdr>
                  <w:divsChild>
                    <w:div w:id="14429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0468">
      <w:bodyDiv w:val="1"/>
      <w:marLeft w:val="0"/>
      <w:marRight w:val="0"/>
      <w:marTop w:val="0"/>
      <w:marBottom w:val="0"/>
      <w:divBdr>
        <w:top w:val="none" w:sz="0" w:space="0" w:color="auto"/>
        <w:left w:val="none" w:sz="0" w:space="0" w:color="auto"/>
        <w:bottom w:val="none" w:sz="0" w:space="0" w:color="auto"/>
        <w:right w:val="none" w:sz="0" w:space="0" w:color="auto"/>
      </w:divBdr>
    </w:div>
    <w:div w:id="1076366519">
      <w:bodyDiv w:val="1"/>
      <w:marLeft w:val="0"/>
      <w:marRight w:val="0"/>
      <w:marTop w:val="0"/>
      <w:marBottom w:val="0"/>
      <w:divBdr>
        <w:top w:val="none" w:sz="0" w:space="0" w:color="auto"/>
        <w:left w:val="none" w:sz="0" w:space="0" w:color="auto"/>
        <w:bottom w:val="none" w:sz="0" w:space="0" w:color="auto"/>
        <w:right w:val="none" w:sz="0" w:space="0" w:color="auto"/>
      </w:divBdr>
      <w:divsChild>
        <w:div w:id="356857041">
          <w:marLeft w:val="0"/>
          <w:marRight w:val="0"/>
          <w:marTop w:val="0"/>
          <w:marBottom w:val="0"/>
          <w:divBdr>
            <w:top w:val="none" w:sz="0" w:space="0" w:color="auto"/>
            <w:left w:val="none" w:sz="0" w:space="0" w:color="auto"/>
            <w:bottom w:val="none" w:sz="0" w:space="0" w:color="auto"/>
            <w:right w:val="none" w:sz="0" w:space="0" w:color="auto"/>
          </w:divBdr>
          <w:divsChild>
            <w:div w:id="1871796608">
              <w:marLeft w:val="0"/>
              <w:marRight w:val="0"/>
              <w:marTop w:val="0"/>
              <w:marBottom w:val="0"/>
              <w:divBdr>
                <w:top w:val="none" w:sz="0" w:space="0" w:color="auto"/>
                <w:left w:val="none" w:sz="0" w:space="0" w:color="auto"/>
                <w:bottom w:val="none" w:sz="0" w:space="0" w:color="auto"/>
                <w:right w:val="none" w:sz="0" w:space="0" w:color="auto"/>
              </w:divBdr>
              <w:divsChild>
                <w:div w:id="133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7172">
      <w:bodyDiv w:val="1"/>
      <w:marLeft w:val="0"/>
      <w:marRight w:val="0"/>
      <w:marTop w:val="0"/>
      <w:marBottom w:val="0"/>
      <w:divBdr>
        <w:top w:val="none" w:sz="0" w:space="0" w:color="auto"/>
        <w:left w:val="none" w:sz="0" w:space="0" w:color="auto"/>
        <w:bottom w:val="none" w:sz="0" w:space="0" w:color="auto"/>
        <w:right w:val="none" w:sz="0" w:space="0" w:color="auto"/>
      </w:divBdr>
      <w:divsChild>
        <w:div w:id="532692521">
          <w:marLeft w:val="0"/>
          <w:marRight w:val="0"/>
          <w:marTop w:val="0"/>
          <w:marBottom w:val="0"/>
          <w:divBdr>
            <w:top w:val="none" w:sz="0" w:space="0" w:color="auto"/>
            <w:left w:val="none" w:sz="0" w:space="0" w:color="auto"/>
            <w:bottom w:val="none" w:sz="0" w:space="0" w:color="auto"/>
            <w:right w:val="none" w:sz="0" w:space="0" w:color="auto"/>
          </w:divBdr>
          <w:divsChild>
            <w:div w:id="307634776">
              <w:marLeft w:val="0"/>
              <w:marRight w:val="0"/>
              <w:marTop w:val="0"/>
              <w:marBottom w:val="0"/>
              <w:divBdr>
                <w:top w:val="none" w:sz="0" w:space="0" w:color="auto"/>
                <w:left w:val="none" w:sz="0" w:space="0" w:color="auto"/>
                <w:bottom w:val="none" w:sz="0" w:space="0" w:color="auto"/>
                <w:right w:val="none" w:sz="0" w:space="0" w:color="auto"/>
              </w:divBdr>
              <w:divsChild>
                <w:div w:id="11600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7226">
      <w:bodyDiv w:val="1"/>
      <w:marLeft w:val="0"/>
      <w:marRight w:val="0"/>
      <w:marTop w:val="0"/>
      <w:marBottom w:val="0"/>
      <w:divBdr>
        <w:top w:val="none" w:sz="0" w:space="0" w:color="auto"/>
        <w:left w:val="none" w:sz="0" w:space="0" w:color="auto"/>
        <w:bottom w:val="none" w:sz="0" w:space="0" w:color="auto"/>
        <w:right w:val="none" w:sz="0" w:space="0" w:color="auto"/>
      </w:divBdr>
      <w:divsChild>
        <w:div w:id="2061047725">
          <w:marLeft w:val="0"/>
          <w:marRight w:val="0"/>
          <w:marTop w:val="0"/>
          <w:marBottom w:val="0"/>
          <w:divBdr>
            <w:top w:val="none" w:sz="0" w:space="0" w:color="auto"/>
            <w:left w:val="none" w:sz="0" w:space="0" w:color="auto"/>
            <w:bottom w:val="none" w:sz="0" w:space="0" w:color="auto"/>
            <w:right w:val="none" w:sz="0" w:space="0" w:color="auto"/>
          </w:divBdr>
          <w:divsChild>
            <w:div w:id="2043818107">
              <w:marLeft w:val="0"/>
              <w:marRight w:val="0"/>
              <w:marTop w:val="0"/>
              <w:marBottom w:val="0"/>
              <w:divBdr>
                <w:top w:val="none" w:sz="0" w:space="0" w:color="auto"/>
                <w:left w:val="none" w:sz="0" w:space="0" w:color="auto"/>
                <w:bottom w:val="none" w:sz="0" w:space="0" w:color="auto"/>
                <w:right w:val="none" w:sz="0" w:space="0" w:color="auto"/>
              </w:divBdr>
              <w:divsChild>
                <w:div w:id="2123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0531">
      <w:bodyDiv w:val="1"/>
      <w:marLeft w:val="0"/>
      <w:marRight w:val="0"/>
      <w:marTop w:val="0"/>
      <w:marBottom w:val="0"/>
      <w:divBdr>
        <w:top w:val="none" w:sz="0" w:space="0" w:color="auto"/>
        <w:left w:val="none" w:sz="0" w:space="0" w:color="auto"/>
        <w:bottom w:val="none" w:sz="0" w:space="0" w:color="auto"/>
        <w:right w:val="none" w:sz="0" w:space="0" w:color="auto"/>
      </w:divBdr>
      <w:divsChild>
        <w:div w:id="21135007">
          <w:marLeft w:val="0"/>
          <w:marRight w:val="0"/>
          <w:marTop w:val="0"/>
          <w:marBottom w:val="0"/>
          <w:divBdr>
            <w:top w:val="none" w:sz="0" w:space="0" w:color="auto"/>
            <w:left w:val="none" w:sz="0" w:space="0" w:color="auto"/>
            <w:bottom w:val="none" w:sz="0" w:space="0" w:color="auto"/>
            <w:right w:val="none" w:sz="0" w:space="0" w:color="auto"/>
          </w:divBdr>
          <w:divsChild>
            <w:div w:id="699553841">
              <w:marLeft w:val="0"/>
              <w:marRight w:val="0"/>
              <w:marTop w:val="0"/>
              <w:marBottom w:val="0"/>
              <w:divBdr>
                <w:top w:val="none" w:sz="0" w:space="0" w:color="auto"/>
                <w:left w:val="none" w:sz="0" w:space="0" w:color="auto"/>
                <w:bottom w:val="none" w:sz="0" w:space="0" w:color="auto"/>
                <w:right w:val="none" w:sz="0" w:space="0" w:color="auto"/>
              </w:divBdr>
              <w:divsChild>
                <w:div w:id="14342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7720">
      <w:bodyDiv w:val="1"/>
      <w:marLeft w:val="0"/>
      <w:marRight w:val="0"/>
      <w:marTop w:val="0"/>
      <w:marBottom w:val="0"/>
      <w:divBdr>
        <w:top w:val="none" w:sz="0" w:space="0" w:color="auto"/>
        <w:left w:val="none" w:sz="0" w:space="0" w:color="auto"/>
        <w:bottom w:val="none" w:sz="0" w:space="0" w:color="auto"/>
        <w:right w:val="none" w:sz="0" w:space="0" w:color="auto"/>
      </w:divBdr>
    </w:div>
    <w:div w:id="1221289574">
      <w:bodyDiv w:val="1"/>
      <w:marLeft w:val="0"/>
      <w:marRight w:val="0"/>
      <w:marTop w:val="0"/>
      <w:marBottom w:val="0"/>
      <w:divBdr>
        <w:top w:val="none" w:sz="0" w:space="0" w:color="auto"/>
        <w:left w:val="none" w:sz="0" w:space="0" w:color="auto"/>
        <w:bottom w:val="none" w:sz="0" w:space="0" w:color="auto"/>
        <w:right w:val="none" w:sz="0" w:space="0" w:color="auto"/>
      </w:divBdr>
      <w:divsChild>
        <w:div w:id="1817186387">
          <w:marLeft w:val="0"/>
          <w:marRight w:val="0"/>
          <w:marTop w:val="0"/>
          <w:marBottom w:val="0"/>
          <w:divBdr>
            <w:top w:val="none" w:sz="0" w:space="0" w:color="auto"/>
            <w:left w:val="none" w:sz="0" w:space="0" w:color="auto"/>
            <w:bottom w:val="none" w:sz="0" w:space="0" w:color="auto"/>
            <w:right w:val="none" w:sz="0" w:space="0" w:color="auto"/>
          </w:divBdr>
          <w:divsChild>
            <w:div w:id="989941935">
              <w:marLeft w:val="0"/>
              <w:marRight w:val="0"/>
              <w:marTop w:val="0"/>
              <w:marBottom w:val="0"/>
              <w:divBdr>
                <w:top w:val="none" w:sz="0" w:space="0" w:color="auto"/>
                <w:left w:val="none" w:sz="0" w:space="0" w:color="auto"/>
                <w:bottom w:val="none" w:sz="0" w:space="0" w:color="auto"/>
                <w:right w:val="none" w:sz="0" w:space="0" w:color="auto"/>
              </w:divBdr>
              <w:divsChild>
                <w:div w:id="720786516">
                  <w:marLeft w:val="0"/>
                  <w:marRight w:val="0"/>
                  <w:marTop w:val="0"/>
                  <w:marBottom w:val="0"/>
                  <w:divBdr>
                    <w:top w:val="none" w:sz="0" w:space="0" w:color="auto"/>
                    <w:left w:val="none" w:sz="0" w:space="0" w:color="auto"/>
                    <w:bottom w:val="none" w:sz="0" w:space="0" w:color="auto"/>
                    <w:right w:val="none" w:sz="0" w:space="0" w:color="auto"/>
                  </w:divBdr>
                  <w:divsChild>
                    <w:div w:id="1688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78031">
      <w:bodyDiv w:val="1"/>
      <w:marLeft w:val="0"/>
      <w:marRight w:val="0"/>
      <w:marTop w:val="0"/>
      <w:marBottom w:val="0"/>
      <w:divBdr>
        <w:top w:val="none" w:sz="0" w:space="0" w:color="auto"/>
        <w:left w:val="none" w:sz="0" w:space="0" w:color="auto"/>
        <w:bottom w:val="none" w:sz="0" w:space="0" w:color="auto"/>
        <w:right w:val="none" w:sz="0" w:space="0" w:color="auto"/>
      </w:divBdr>
      <w:divsChild>
        <w:div w:id="2127894051">
          <w:marLeft w:val="0"/>
          <w:marRight w:val="0"/>
          <w:marTop w:val="0"/>
          <w:marBottom w:val="0"/>
          <w:divBdr>
            <w:top w:val="none" w:sz="0" w:space="0" w:color="auto"/>
            <w:left w:val="none" w:sz="0" w:space="0" w:color="auto"/>
            <w:bottom w:val="none" w:sz="0" w:space="0" w:color="auto"/>
            <w:right w:val="none" w:sz="0" w:space="0" w:color="auto"/>
          </w:divBdr>
          <w:divsChild>
            <w:div w:id="330259933">
              <w:marLeft w:val="0"/>
              <w:marRight w:val="0"/>
              <w:marTop w:val="0"/>
              <w:marBottom w:val="0"/>
              <w:divBdr>
                <w:top w:val="none" w:sz="0" w:space="0" w:color="auto"/>
                <w:left w:val="none" w:sz="0" w:space="0" w:color="auto"/>
                <w:bottom w:val="none" w:sz="0" w:space="0" w:color="auto"/>
                <w:right w:val="none" w:sz="0" w:space="0" w:color="auto"/>
              </w:divBdr>
              <w:divsChild>
                <w:div w:id="7272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4892">
      <w:bodyDiv w:val="1"/>
      <w:marLeft w:val="0"/>
      <w:marRight w:val="0"/>
      <w:marTop w:val="0"/>
      <w:marBottom w:val="0"/>
      <w:divBdr>
        <w:top w:val="none" w:sz="0" w:space="0" w:color="auto"/>
        <w:left w:val="none" w:sz="0" w:space="0" w:color="auto"/>
        <w:bottom w:val="none" w:sz="0" w:space="0" w:color="auto"/>
        <w:right w:val="none" w:sz="0" w:space="0" w:color="auto"/>
      </w:divBdr>
      <w:divsChild>
        <w:div w:id="176970160">
          <w:marLeft w:val="0"/>
          <w:marRight w:val="0"/>
          <w:marTop w:val="0"/>
          <w:marBottom w:val="0"/>
          <w:divBdr>
            <w:top w:val="none" w:sz="0" w:space="0" w:color="auto"/>
            <w:left w:val="none" w:sz="0" w:space="0" w:color="auto"/>
            <w:bottom w:val="none" w:sz="0" w:space="0" w:color="auto"/>
            <w:right w:val="none" w:sz="0" w:space="0" w:color="auto"/>
          </w:divBdr>
          <w:divsChild>
            <w:div w:id="1454638074">
              <w:marLeft w:val="0"/>
              <w:marRight w:val="0"/>
              <w:marTop w:val="0"/>
              <w:marBottom w:val="0"/>
              <w:divBdr>
                <w:top w:val="none" w:sz="0" w:space="0" w:color="auto"/>
                <w:left w:val="none" w:sz="0" w:space="0" w:color="auto"/>
                <w:bottom w:val="none" w:sz="0" w:space="0" w:color="auto"/>
                <w:right w:val="none" w:sz="0" w:space="0" w:color="auto"/>
              </w:divBdr>
              <w:divsChild>
                <w:div w:id="1194078290">
                  <w:marLeft w:val="0"/>
                  <w:marRight w:val="0"/>
                  <w:marTop w:val="0"/>
                  <w:marBottom w:val="0"/>
                  <w:divBdr>
                    <w:top w:val="none" w:sz="0" w:space="0" w:color="auto"/>
                    <w:left w:val="none" w:sz="0" w:space="0" w:color="auto"/>
                    <w:bottom w:val="none" w:sz="0" w:space="0" w:color="auto"/>
                    <w:right w:val="none" w:sz="0" w:space="0" w:color="auto"/>
                  </w:divBdr>
                  <w:divsChild>
                    <w:div w:id="11487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4298">
      <w:bodyDiv w:val="1"/>
      <w:marLeft w:val="0"/>
      <w:marRight w:val="0"/>
      <w:marTop w:val="0"/>
      <w:marBottom w:val="0"/>
      <w:divBdr>
        <w:top w:val="none" w:sz="0" w:space="0" w:color="auto"/>
        <w:left w:val="none" w:sz="0" w:space="0" w:color="auto"/>
        <w:bottom w:val="none" w:sz="0" w:space="0" w:color="auto"/>
        <w:right w:val="none" w:sz="0" w:space="0" w:color="auto"/>
      </w:divBdr>
      <w:divsChild>
        <w:div w:id="1311639334">
          <w:marLeft w:val="0"/>
          <w:marRight w:val="0"/>
          <w:marTop w:val="0"/>
          <w:marBottom w:val="0"/>
          <w:divBdr>
            <w:top w:val="none" w:sz="0" w:space="0" w:color="auto"/>
            <w:left w:val="none" w:sz="0" w:space="0" w:color="auto"/>
            <w:bottom w:val="none" w:sz="0" w:space="0" w:color="auto"/>
            <w:right w:val="none" w:sz="0" w:space="0" w:color="auto"/>
          </w:divBdr>
          <w:divsChild>
            <w:div w:id="859275068">
              <w:marLeft w:val="0"/>
              <w:marRight w:val="0"/>
              <w:marTop w:val="0"/>
              <w:marBottom w:val="0"/>
              <w:divBdr>
                <w:top w:val="none" w:sz="0" w:space="0" w:color="auto"/>
                <w:left w:val="none" w:sz="0" w:space="0" w:color="auto"/>
                <w:bottom w:val="none" w:sz="0" w:space="0" w:color="auto"/>
                <w:right w:val="none" w:sz="0" w:space="0" w:color="auto"/>
              </w:divBdr>
              <w:divsChild>
                <w:div w:id="3834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4932">
      <w:bodyDiv w:val="1"/>
      <w:marLeft w:val="0"/>
      <w:marRight w:val="0"/>
      <w:marTop w:val="0"/>
      <w:marBottom w:val="0"/>
      <w:divBdr>
        <w:top w:val="none" w:sz="0" w:space="0" w:color="auto"/>
        <w:left w:val="none" w:sz="0" w:space="0" w:color="auto"/>
        <w:bottom w:val="none" w:sz="0" w:space="0" w:color="auto"/>
        <w:right w:val="none" w:sz="0" w:space="0" w:color="auto"/>
      </w:divBdr>
      <w:divsChild>
        <w:div w:id="917061585">
          <w:marLeft w:val="0"/>
          <w:marRight w:val="0"/>
          <w:marTop w:val="0"/>
          <w:marBottom w:val="0"/>
          <w:divBdr>
            <w:top w:val="none" w:sz="0" w:space="0" w:color="auto"/>
            <w:left w:val="none" w:sz="0" w:space="0" w:color="auto"/>
            <w:bottom w:val="none" w:sz="0" w:space="0" w:color="auto"/>
            <w:right w:val="none" w:sz="0" w:space="0" w:color="auto"/>
          </w:divBdr>
          <w:divsChild>
            <w:div w:id="1213229955">
              <w:marLeft w:val="0"/>
              <w:marRight w:val="0"/>
              <w:marTop w:val="0"/>
              <w:marBottom w:val="0"/>
              <w:divBdr>
                <w:top w:val="none" w:sz="0" w:space="0" w:color="auto"/>
                <w:left w:val="none" w:sz="0" w:space="0" w:color="auto"/>
                <w:bottom w:val="none" w:sz="0" w:space="0" w:color="auto"/>
                <w:right w:val="none" w:sz="0" w:space="0" w:color="auto"/>
              </w:divBdr>
              <w:divsChild>
                <w:div w:id="826017601">
                  <w:marLeft w:val="0"/>
                  <w:marRight w:val="0"/>
                  <w:marTop w:val="0"/>
                  <w:marBottom w:val="0"/>
                  <w:divBdr>
                    <w:top w:val="none" w:sz="0" w:space="0" w:color="auto"/>
                    <w:left w:val="none" w:sz="0" w:space="0" w:color="auto"/>
                    <w:bottom w:val="none" w:sz="0" w:space="0" w:color="auto"/>
                    <w:right w:val="none" w:sz="0" w:space="0" w:color="auto"/>
                  </w:divBdr>
                  <w:divsChild>
                    <w:div w:id="2183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27914">
      <w:bodyDiv w:val="1"/>
      <w:marLeft w:val="0"/>
      <w:marRight w:val="0"/>
      <w:marTop w:val="0"/>
      <w:marBottom w:val="0"/>
      <w:divBdr>
        <w:top w:val="none" w:sz="0" w:space="0" w:color="auto"/>
        <w:left w:val="none" w:sz="0" w:space="0" w:color="auto"/>
        <w:bottom w:val="none" w:sz="0" w:space="0" w:color="auto"/>
        <w:right w:val="none" w:sz="0" w:space="0" w:color="auto"/>
      </w:divBdr>
      <w:divsChild>
        <w:div w:id="693579421">
          <w:marLeft w:val="0"/>
          <w:marRight w:val="0"/>
          <w:marTop w:val="0"/>
          <w:marBottom w:val="0"/>
          <w:divBdr>
            <w:top w:val="none" w:sz="0" w:space="0" w:color="auto"/>
            <w:left w:val="none" w:sz="0" w:space="0" w:color="auto"/>
            <w:bottom w:val="none" w:sz="0" w:space="0" w:color="auto"/>
            <w:right w:val="none" w:sz="0" w:space="0" w:color="auto"/>
          </w:divBdr>
          <w:divsChild>
            <w:div w:id="1914509261">
              <w:marLeft w:val="0"/>
              <w:marRight w:val="0"/>
              <w:marTop w:val="0"/>
              <w:marBottom w:val="0"/>
              <w:divBdr>
                <w:top w:val="none" w:sz="0" w:space="0" w:color="auto"/>
                <w:left w:val="none" w:sz="0" w:space="0" w:color="auto"/>
                <w:bottom w:val="none" w:sz="0" w:space="0" w:color="auto"/>
                <w:right w:val="none" w:sz="0" w:space="0" w:color="auto"/>
              </w:divBdr>
              <w:divsChild>
                <w:div w:id="1838572624">
                  <w:marLeft w:val="0"/>
                  <w:marRight w:val="0"/>
                  <w:marTop w:val="0"/>
                  <w:marBottom w:val="0"/>
                  <w:divBdr>
                    <w:top w:val="none" w:sz="0" w:space="0" w:color="auto"/>
                    <w:left w:val="none" w:sz="0" w:space="0" w:color="auto"/>
                    <w:bottom w:val="none" w:sz="0" w:space="0" w:color="auto"/>
                    <w:right w:val="none" w:sz="0" w:space="0" w:color="auto"/>
                  </w:divBdr>
                  <w:divsChild>
                    <w:div w:id="93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3475">
      <w:bodyDiv w:val="1"/>
      <w:marLeft w:val="0"/>
      <w:marRight w:val="0"/>
      <w:marTop w:val="0"/>
      <w:marBottom w:val="0"/>
      <w:divBdr>
        <w:top w:val="none" w:sz="0" w:space="0" w:color="auto"/>
        <w:left w:val="none" w:sz="0" w:space="0" w:color="auto"/>
        <w:bottom w:val="none" w:sz="0" w:space="0" w:color="auto"/>
        <w:right w:val="none" w:sz="0" w:space="0" w:color="auto"/>
      </w:divBdr>
      <w:divsChild>
        <w:div w:id="1716616610">
          <w:marLeft w:val="0"/>
          <w:marRight w:val="0"/>
          <w:marTop w:val="0"/>
          <w:marBottom w:val="0"/>
          <w:divBdr>
            <w:top w:val="none" w:sz="0" w:space="0" w:color="auto"/>
            <w:left w:val="none" w:sz="0" w:space="0" w:color="auto"/>
            <w:bottom w:val="none" w:sz="0" w:space="0" w:color="auto"/>
            <w:right w:val="none" w:sz="0" w:space="0" w:color="auto"/>
          </w:divBdr>
          <w:divsChild>
            <w:div w:id="2081635088">
              <w:marLeft w:val="0"/>
              <w:marRight w:val="0"/>
              <w:marTop w:val="0"/>
              <w:marBottom w:val="0"/>
              <w:divBdr>
                <w:top w:val="none" w:sz="0" w:space="0" w:color="auto"/>
                <w:left w:val="none" w:sz="0" w:space="0" w:color="auto"/>
                <w:bottom w:val="none" w:sz="0" w:space="0" w:color="auto"/>
                <w:right w:val="none" w:sz="0" w:space="0" w:color="auto"/>
              </w:divBdr>
              <w:divsChild>
                <w:div w:id="19724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6415">
      <w:bodyDiv w:val="1"/>
      <w:marLeft w:val="0"/>
      <w:marRight w:val="0"/>
      <w:marTop w:val="0"/>
      <w:marBottom w:val="0"/>
      <w:divBdr>
        <w:top w:val="none" w:sz="0" w:space="0" w:color="auto"/>
        <w:left w:val="none" w:sz="0" w:space="0" w:color="auto"/>
        <w:bottom w:val="none" w:sz="0" w:space="0" w:color="auto"/>
        <w:right w:val="none" w:sz="0" w:space="0" w:color="auto"/>
      </w:divBdr>
      <w:divsChild>
        <w:div w:id="389546193">
          <w:marLeft w:val="0"/>
          <w:marRight w:val="0"/>
          <w:marTop w:val="0"/>
          <w:marBottom w:val="0"/>
          <w:divBdr>
            <w:top w:val="none" w:sz="0" w:space="0" w:color="auto"/>
            <w:left w:val="none" w:sz="0" w:space="0" w:color="auto"/>
            <w:bottom w:val="none" w:sz="0" w:space="0" w:color="auto"/>
            <w:right w:val="none" w:sz="0" w:space="0" w:color="auto"/>
          </w:divBdr>
          <w:divsChild>
            <w:div w:id="395277491">
              <w:marLeft w:val="0"/>
              <w:marRight w:val="0"/>
              <w:marTop w:val="0"/>
              <w:marBottom w:val="0"/>
              <w:divBdr>
                <w:top w:val="none" w:sz="0" w:space="0" w:color="auto"/>
                <w:left w:val="none" w:sz="0" w:space="0" w:color="auto"/>
                <w:bottom w:val="none" w:sz="0" w:space="0" w:color="auto"/>
                <w:right w:val="none" w:sz="0" w:space="0" w:color="auto"/>
              </w:divBdr>
              <w:divsChild>
                <w:div w:id="161748844">
                  <w:marLeft w:val="0"/>
                  <w:marRight w:val="0"/>
                  <w:marTop w:val="0"/>
                  <w:marBottom w:val="0"/>
                  <w:divBdr>
                    <w:top w:val="none" w:sz="0" w:space="0" w:color="auto"/>
                    <w:left w:val="none" w:sz="0" w:space="0" w:color="auto"/>
                    <w:bottom w:val="none" w:sz="0" w:space="0" w:color="auto"/>
                    <w:right w:val="none" w:sz="0" w:space="0" w:color="auto"/>
                  </w:divBdr>
                  <w:divsChild>
                    <w:div w:id="660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54887">
      <w:bodyDiv w:val="1"/>
      <w:marLeft w:val="0"/>
      <w:marRight w:val="0"/>
      <w:marTop w:val="0"/>
      <w:marBottom w:val="0"/>
      <w:divBdr>
        <w:top w:val="none" w:sz="0" w:space="0" w:color="auto"/>
        <w:left w:val="none" w:sz="0" w:space="0" w:color="auto"/>
        <w:bottom w:val="none" w:sz="0" w:space="0" w:color="auto"/>
        <w:right w:val="none" w:sz="0" w:space="0" w:color="auto"/>
      </w:divBdr>
      <w:divsChild>
        <w:div w:id="1048992680">
          <w:marLeft w:val="0"/>
          <w:marRight w:val="0"/>
          <w:marTop w:val="0"/>
          <w:marBottom w:val="0"/>
          <w:divBdr>
            <w:top w:val="none" w:sz="0" w:space="0" w:color="auto"/>
            <w:left w:val="none" w:sz="0" w:space="0" w:color="auto"/>
            <w:bottom w:val="none" w:sz="0" w:space="0" w:color="auto"/>
            <w:right w:val="none" w:sz="0" w:space="0" w:color="auto"/>
          </w:divBdr>
          <w:divsChild>
            <w:div w:id="882521830">
              <w:marLeft w:val="0"/>
              <w:marRight w:val="0"/>
              <w:marTop w:val="0"/>
              <w:marBottom w:val="0"/>
              <w:divBdr>
                <w:top w:val="none" w:sz="0" w:space="0" w:color="auto"/>
                <w:left w:val="none" w:sz="0" w:space="0" w:color="auto"/>
                <w:bottom w:val="none" w:sz="0" w:space="0" w:color="auto"/>
                <w:right w:val="none" w:sz="0" w:space="0" w:color="auto"/>
              </w:divBdr>
              <w:divsChild>
                <w:div w:id="1852331679">
                  <w:marLeft w:val="0"/>
                  <w:marRight w:val="0"/>
                  <w:marTop w:val="0"/>
                  <w:marBottom w:val="0"/>
                  <w:divBdr>
                    <w:top w:val="none" w:sz="0" w:space="0" w:color="auto"/>
                    <w:left w:val="none" w:sz="0" w:space="0" w:color="auto"/>
                    <w:bottom w:val="none" w:sz="0" w:space="0" w:color="auto"/>
                    <w:right w:val="none" w:sz="0" w:space="0" w:color="auto"/>
                  </w:divBdr>
                  <w:divsChild>
                    <w:div w:id="3258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4376">
      <w:bodyDiv w:val="1"/>
      <w:marLeft w:val="0"/>
      <w:marRight w:val="0"/>
      <w:marTop w:val="0"/>
      <w:marBottom w:val="0"/>
      <w:divBdr>
        <w:top w:val="none" w:sz="0" w:space="0" w:color="auto"/>
        <w:left w:val="none" w:sz="0" w:space="0" w:color="auto"/>
        <w:bottom w:val="none" w:sz="0" w:space="0" w:color="auto"/>
        <w:right w:val="none" w:sz="0" w:space="0" w:color="auto"/>
      </w:divBdr>
    </w:div>
    <w:div w:id="1458640849">
      <w:bodyDiv w:val="1"/>
      <w:marLeft w:val="0"/>
      <w:marRight w:val="0"/>
      <w:marTop w:val="0"/>
      <w:marBottom w:val="0"/>
      <w:divBdr>
        <w:top w:val="none" w:sz="0" w:space="0" w:color="auto"/>
        <w:left w:val="none" w:sz="0" w:space="0" w:color="auto"/>
        <w:bottom w:val="none" w:sz="0" w:space="0" w:color="auto"/>
        <w:right w:val="none" w:sz="0" w:space="0" w:color="auto"/>
      </w:divBdr>
    </w:div>
    <w:div w:id="1474102581">
      <w:bodyDiv w:val="1"/>
      <w:marLeft w:val="0"/>
      <w:marRight w:val="0"/>
      <w:marTop w:val="0"/>
      <w:marBottom w:val="0"/>
      <w:divBdr>
        <w:top w:val="none" w:sz="0" w:space="0" w:color="auto"/>
        <w:left w:val="none" w:sz="0" w:space="0" w:color="auto"/>
        <w:bottom w:val="none" w:sz="0" w:space="0" w:color="auto"/>
        <w:right w:val="none" w:sz="0" w:space="0" w:color="auto"/>
      </w:divBdr>
      <w:divsChild>
        <w:div w:id="1625429339">
          <w:marLeft w:val="0"/>
          <w:marRight w:val="0"/>
          <w:marTop w:val="0"/>
          <w:marBottom w:val="0"/>
          <w:divBdr>
            <w:top w:val="none" w:sz="0" w:space="0" w:color="auto"/>
            <w:left w:val="none" w:sz="0" w:space="0" w:color="auto"/>
            <w:bottom w:val="none" w:sz="0" w:space="0" w:color="auto"/>
            <w:right w:val="none" w:sz="0" w:space="0" w:color="auto"/>
          </w:divBdr>
          <w:divsChild>
            <w:div w:id="626811083">
              <w:marLeft w:val="0"/>
              <w:marRight w:val="0"/>
              <w:marTop w:val="0"/>
              <w:marBottom w:val="0"/>
              <w:divBdr>
                <w:top w:val="none" w:sz="0" w:space="0" w:color="auto"/>
                <w:left w:val="none" w:sz="0" w:space="0" w:color="auto"/>
                <w:bottom w:val="none" w:sz="0" w:space="0" w:color="auto"/>
                <w:right w:val="none" w:sz="0" w:space="0" w:color="auto"/>
              </w:divBdr>
              <w:divsChild>
                <w:div w:id="17087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575">
      <w:bodyDiv w:val="1"/>
      <w:marLeft w:val="0"/>
      <w:marRight w:val="0"/>
      <w:marTop w:val="0"/>
      <w:marBottom w:val="0"/>
      <w:divBdr>
        <w:top w:val="none" w:sz="0" w:space="0" w:color="auto"/>
        <w:left w:val="none" w:sz="0" w:space="0" w:color="auto"/>
        <w:bottom w:val="none" w:sz="0" w:space="0" w:color="auto"/>
        <w:right w:val="none" w:sz="0" w:space="0" w:color="auto"/>
      </w:divBdr>
      <w:divsChild>
        <w:div w:id="1040978103">
          <w:marLeft w:val="0"/>
          <w:marRight w:val="0"/>
          <w:marTop w:val="0"/>
          <w:marBottom w:val="0"/>
          <w:divBdr>
            <w:top w:val="none" w:sz="0" w:space="0" w:color="auto"/>
            <w:left w:val="none" w:sz="0" w:space="0" w:color="auto"/>
            <w:bottom w:val="none" w:sz="0" w:space="0" w:color="auto"/>
            <w:right w:val="none" w:sz="0" w:space="0" w:color="auto"/>
          </w:divBdr>
          <w:divsChild>
            <w:div w:id="215897753">
              <w:marLeft w:val="0"/>
              <w:marRight w:val="0"/>
              <w:marTop w:val="0"/>
              <w:marBottom w:val="0"/>
              <w:divBdr>
                <w:top w:val="none" w:sz="0" w:space="0" w:color="auto"/>
                <w:left w:val="none" w:sz="0" w:space="0" w:color="auto"/>
                <w:bottom w:val="none" w:sz="0" w:space="0" w:color="auto"/>
                <w:right w:val="none" w:sz="0" w:space="0" w:color="auto"/>
              </w:divBdr>
              <w:divsChild>
                <w:div w:id="521866848">
                  <w:marLeft w:val="0"/>
                  <w:marRight w:val="0"/>
                  <w:marTop w:val="0"/>
                  <w:marBottom w:val="0"/>
                  <w:divBdr>
                    <w:top w:val="none" w:sz="0" w:space="0" w:color="auto"/>
                    <w:left w:val="none" w:sz="0" w:space="0" w:color="auto"/>
                    <w:bottom w:val="none" w:sz="0" w:space="0" w:color="auto"/>
                    <w:right w:val="none" w:sz="0" w:space="0" w:color="auto"/>
                  </w:divBdr>
                  <w:divsChild>
                    <w:div w:id="11111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1158">
      <w:bodyDiv w:val="1"/>
      <w:marLeft w:val="0"/>
      <w:marRight w:val="0"/>
      <w:marTop w:val="0"/>
      <w:marBottom w:val="0"/>
      <w:divBdr>
        <w:top w:val="none" w:sz="0" w:space="0" w:color="auto"/>
        <w:left w:val="none" w:sz="0" w:space="0" w:color="auto"/>
        <w:bottom w:val="none" w:sz="0" w:space="0" w:color="auto"/>
        <w:right w:val="none" w:sz="0" w:space="0" w:color="auto"/>
      </w:divBdr>
      <w:divsChild>
        <w:div w:id="2092506280">
          <w:marLeft w:val="0"/>
          <w:marRight w:val="0"/>
          <w:marTop w:val="0"/>
          <w:marBottom w:val="0"/>
          <w:divBdr>
            <w:top w:val="none" w:sz="0" w:space="0" w:color="auto"/>
            <w:left w:val="none" w:sz="0" w:space="0" w:color="auto"/>
            <w:bottom w:val="none" w:sz="0" w:space="0" w:color="auto"/>
            <w:right w:val="none" w:sz="0" w:space="0" w:color="auto"/>
          </w:divBdr>
          <w:divsChild>
            <w:div w:id="1446847504">
              <w:marLeft w:val="0"/>
              <w:marRight w:val="0"/>
              <w:marTop w:val="0"/>
              <w:marBottom w:val="0"/>
              <w:divBdr>
                <w:top w:val="none" w:sz="0" w:space="0" w:color="auto"/>
                <w:left w:val="none" w:sz="0" w:space="0" w:color="auto"/>
                <w:bottom w:val="none" w:sz="0" w:space="0" w:color="auto"/>
                <w:right w:val="none" w:sz="0" w:space="0" w:color="auto"/>
              </w:divBdr>
              <w:divsChild>
                <w:div w:id="1259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0909">
      <w:bodyDiv w:val="1"/>
      <w:marLeft w:val="0"/>
      <w:marRight w:val="0"/>
      <w:marTop w:val="0"/>
      <w:marBottom w:val="0"/>
      <w:divBdr>
        <w:top w:val="none" w:sz="0" w:space="0" w:color="auto"/>
        <w:left w:val="none" w:sz="0" w:space="0" w:color="auto"/>
        <w:bottom w:val="none" w:sz="0" w:space="0" w:color="auto"/>
        <w:right w:val="none" w:sz="0" w:space="0" w:color="auto"/>
      </w:divBdr>
      <w:divsChild>
        <w:div w:id="1531798447">
          <w:marLeft w:val="0"/>
          <w:marRight w:val="0"/>
          <w:marTop w:val="0"/>
          <w:marBottom w:val="0"/>
          <w:divBdr>
            <w:top w:val="none" w:sz="0" w:space="0" w:color="auto"/>
            <w:left w:val="none" w:sz="0" w:space="0" w:color="auto"/>
            <w:bottom w:val="none" w:sz="0" w:space="0" w:color="auto"/>
            <w:right w:val="none" w:sz="0" w:space="0" w:color="auto"/>
          </w:divBdr>
          <w:divsChild>
            <w:div w:id="2051028761">
              <w:marLeft w:val="0"/>
              <w:marRight w:val="0"/>
              <w:marTop w:val="0"/>
              <w:marBottom w:val="0"/>
              <w:divBdr>
                <w:top w:val="none" w:sz="0" w:space="0" w:color="auto"/>
                <w:left w:val="none" w:sz="0" w:space="0" w:color="auto"/>
                <w:bottom w:val="none" w:sz="0" w:space="0" w:color="auto"/>
                <w:right w:val="none" w:sz="0" w:space="0" w:color="auto"/>
              </w:divBdr>
              <w:divsChild>
                <w:div w:id="308631858">
                  <w:marLeft w:val="0"/>
                  <w:marRight w:val="0"/>
                  <w:marTop w:val="0"/>
                  <w:marBottom w:val="0"/>
                  <w:divBdr>
                    <w:top w:val="none" w:sz="0" w:space="0" w:color="auto"/>
                    <w:left w:val="none" w:sz="0" w:space="0" w:color="auto"/>
                    <w:bottom w:val="none" w:sz="0" w:space="0" w:color="auto"/>
                    <w:right w:val="none" w:sz="0" w:space="0" w:color="auto"/>
                  </w:divBdr>
                  <w:divsChild>
                    <w:div w:id="718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3227">
      <w:bodyDiv w:val="1"/>
      <w:marLeft w:val="0"/>
      <w:marRight w:val="0"/>
      <w:marTop w:val="0"/>
      <w:marBottom w:val="0"/>
      <w:divBdr>
        <w:top w:val="none" w:sz="0" w:space="0" w:color="auto"/>
        <w:left w:val="none" w:sz="0" w:space="0" w:color="auto"/>
        <w:bottom w:val="none" w:sz="0" w:space="0" w:color="auto"/>
        <w:right w:val="none" w:sz="0" w:space="0" w:color="auto"/>
      </w:divBdr>
      <w:divsChild>
        <w:div w:id="12658883">
          <w:marLeft w:val="0"/>
          <w:marRight w:val="0"/>
          <w:marTop w:val="0"/>
          <w:marBottom w:val="0"/>
          <w:divBdr>
            <w:top w:val="none" w:sz="0" w:space="0" w:color="auto"/>
            <w:left w:val="none" w:sz="0" w:space="0" w:color="auto"/>
            <w:bottom w:val="none" w:sz="0" w:space="0" w:color="auto"/>
            <w:right w:val="none" w:sz="0" w:space="0" w:color="auto"/>
          </w:divBdr>
          <w:divsChild>
            <w:div w:id="827984716">
              <w:marLeft w:val="0"/>
              <w:marRight w:val="0"/>
              <w:marTop w:val="0"/>
              <w:marBottom w:val="0"/>
              <w:divBdr>
                <w:top w:val="none" w:sz="0" w:space="0" w:color="auto"/>
                <w:left w:val="none" w:sz="0" w:space="0" w:color="auto"/>
                <w:bottom w:val="none" w:sz="0" w:space="0" w:color="auto"/>
                <w:right w:val="none" w:sz="0" w:space="0" w:color="auto"/>
              </w:divBdr>
              <w:divsChild>
                <w:div w:id="7076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1064">
      <w:bodyDiv w:val="1"/>
      <w:marLeft w:val="0"/>
      <w:marRight w:val="0"/>
      <w:marTop w:val="0"/>
      <w:marBottom w:val="0"/>
      <w:divBdr>
        <w:top w:val="none" w:sz="0" w:space="0" w:color="auto"/>
        <w:left w:val="none" w:sz="0" w:space="0" w:color="auto"/>
        <w:bottom w:val="none" w:sz="0" w:space="0" w:color="auto"/>
        <w:right w:val="none" w:sz="0" w:space="0" w:color="auto"/>
      </w:divBdr>
      <w:divsChild>
        <w:div w:id="1342119617">
          <w:marLeft w:val="0"/>
          <w:marRight w:val="0"/>
          <w:marTop w:val="0"/>
          <w:marBottom w:val="0"/>
          <w:divBdr>
            <w:top w:val="none" w:sz="0" w:space="0" w:color="auto"/>
            <w:left w:val="none" w:sz="0" w:space="0" w:color="auto"/>
            <w:bottom w:val="none" w:sz="0" w:space="0" w:color="auto"/>
            <w:right w:val="none" w:sz="0" w:space="0" w:color="auto"/>
          </w:divBdr>
          <w:divsChild>
            <w:div w:id="335352325">
              <w:marLeft w:val="0"/>
              <w:marRight w:val="0"/>
              <w:marTop w:val="0"/>
              <w:marBottom w:val="0"/>
              <w:divBdr>
                <w:top w:val="none" w:sz="0" w:space="0" w:color="auto"/>
                <w:left w:val="none" w:sz="0" w:space="0" w:color="auto"/>
                <w:bottom w:val="none" w:sz="0" w:space="0" w:color="auto"/>
                <w:right w:val="none" w:sz="0" w:space="0" w:color="auto"/>
              </w:divBdr>
              <w:divsChild>
                <w:div w:id="785122572">
                  <w:marLeft w:val="0"/>
                  <w:marRight w:val="0"/>
                  <w:marTop w:val="0"/>
                  <w:marBottom w:val="0"/>
                  <w:divBdr>
                    <w:top w:val="none" w:sz="0" w:space="0" w:color="auto"/>
                    <w:left w:val="none" w:sz="0" w:space="0" w:color="auto"/>
                    <w:bottom w:val="none" w:sz="0" w:space="0" w:color="auto"/>
                    <w:right w:val="none" w:sz="0" w:space="0" w:color="auto"/>
                  </w:divBdr>
                  <w:divsChild>
                    <w:div w:id="980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7151">
      <w:bodyDiv w:val="1"/>
      <w:marLeft w:val="0"/>
      <w:marRight w:val="0"/>
      <w:marTop w:val="0"/>
      <w:marBottom w:val="0"/>
      <w:divBdr>
        <w:top w:val="none" w:sz="0" w:space="0" w:color="auto"/>
        <w:left w:val="none" w:sz="0" w:space="0" w:color="auto"/>
        <w:bottom w:val="none" w:sz="0" w:space="0" w:color="auto"/>
        <w:right w:val="none" w:sz="0" w:space="0" w:color="auto"/>
      </w:divBdr>
    </w:div>
    <w:div w:id="1593970110">
      <w:bodyDiv w:val="1"/>
      <w:marLeft w:val="0"/>
      <w:marRight w:val="0"/>
      <w:marTop w:val="0"/>
      <w:marBottom w:val="0"/>
      <w:divBdr>
        <w:top w:val="none" w:sz="0" w:space="0" w:color="auto"/>
        <w:left w:val="none" w:sz="0" w:space="0" w:color="auto"/>
        <w:bottom w:val="none" w:sz="0" w:space="0" w:color="auto"/>
        <w:right w:val="none" w:sz="0" w:space="0" w:color="auto"/>
      </w:divBdr>
      <w:divsChild>
        <w:div w:id="1070925089">
          <w:marLeft w:val="0"/>
          <w:marRight w:val="0"/>
          <w:marTop w:val="0"/>
          <w:marBottom w:val="0"/>
          <w:divBdr>
            <w:top w:val="none" w:sz="0" w:space="0" w:color="auto"/>
            <w:left w:val="none" w:sz="0" w:space="0" w:color="auto"/>
            <w:bottom w:val="none" w:sz="0" w:space="0" w:color="auto"/>
            <w:right w:val="none" w:sz="0" w:space="0" w:color="auto"/>
          </w:divBdr>
          <w:divsChild>
            <w:div w:id="932932103">
              <w:marLeft w:val="0"/>
              <w:marRight w:val="0"/>
              <w:marTop w:val="0"/>
              <w:marBottom w:val="0"/>
              <w:divBdr>
                <w:top w:val="none" w:sz="0" w:space="0" w:color="auto"/>
                <w:left w:val="none" w:sz="0" w:space="0" w:color="auto"/>
                <w:bottom w:val="none" w:sz="0" w:space="0" w:color="auto"/>
                <w:right w:val="none" w:sz="0" w:space="0" w:color="auto"/>
              </w:divBdr>
              <w:divsChild>
                <w:div w:id="10886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8458">
      <w:bodyDiv w:val="1"/>
      <w:marLeft w:val="0"/>
      <w:marRight w:val="0"/>
      <w:marTop w:val="0"/>
      <w:marBottom w:val="0"/>
      <w:divBdr>
        <w:top w:val="none" w:sz="0" w:space="0" w:color="auto"/>
        <w:left w:val="none" w:sz="0" w:space="0" w:color="auto"/>
        <w:bottom w:val="none" w:sz="0" w:space="0" w:color="auto"/>
        <w:right w:val="none" w:sz="0" w:space="0" w:color="auto"/>
      </w:divBdr>
    </w:div>
    <w:div w:id="1675574845">
      <w:bodyDiv w:val="1"/>
      <w:marLeft w:val="0"/>
      <w:marRight w:val="0"/>
      <w:marTop w:val="0"/>
      <w:marBottom w:val="0"/>
      <w:divBdr>
        <w:top w:val="none" w:sz="0" w:space="0" w:color="auto"/>
        <w:left w:val="none" w:sz="0" w:space="0" w:color="auto"/>
        <w:bottom w:val="none" w:sz="0" w:space="0" w:color="auto"/>
        <w:right w:val="none" w:sz="0" w:space="0" w:color="auto"/>
      </w:divBdr>
      <w:divsChild>
        <w:div w:id="1078132845">
          <w:marLeft w:val="0"/>
          <w:marRight w:val="0"/>
          <w:marTop w:val="0"/>
          <w:marBottom w:val="0"/>
          <w:divBdr>
            <w:top w:val="none" w:sz="0" w:space="0" w:color="auto"/>
            <w:left w:val="none" w:sz="0" w:space="0" w:color="auto"/>
            <w:bottom w:val="none" w:sz="0" w:space="0" w:color="auto"/>
            <w:right w:val="none" w:sz="0" w:space="0" w:color="auto"/>
          </w:divBdr>
          <w:divsChild>
            <w:div w:id="1528836401">
              <w:marLeft w:val="0"/>
              <w:marRight w:val="0"/>
              <w:marTop w:val="0"/>
              <w:marBottom w:val="0"/>
              <w:divBdr>
                <w:top w:val="none" w:sz="0" w:space="0" w:color="auto"/>
                <w:left w:val="none" w:sz="0" w:space="0" w:color="auto"/>
                <w:bottom w:val="none" w:sz="0" w:space="0" w:color="auto"/>
                <w:right w:val="none" w:sz="0" w:space="0" w:color="auto"/>
              </w:divBdr>
              <w:divsChild>
                <w:div w:id="761872311">
                  <w:marLeft w:val="0"/>
                  <w:marRight w:val="0"/>
                  <w:marTop w:val="0"/>
                  <w:marBottom w:val="0"/>
                  <w:divBdr>
                    <w:top w:val="none" w:sz="0" w:space="0" w:color="auto"/>
                    <w:left w:val="none" w:sz="0" w:space="0" w:color="auto"/>
                    <w:bottom w:val="none" w:sz="0" w:space="0" w:color="auto"/>
                    <w:right w:val="none" w:sz="0" w:space="0" w:color="auto"/>
                  </w:divBdr>
                  <w:divsChild>
                    <w:div w:id="6273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73262">
      <w:bodyDiv w:val="1"/>
      <w:marLeft w:val="0"/>
      <w:marRight w:val="0"/>
      <w:marTop w:val="0"/>
      <w:marBottom w:val="0"/>
      <w:divBdr>
        <w:top w:val="none" w:sz="0" w:space="0" w:color="auto"/>
        <w:left w:val="none" w:sz="0" w:space="0" w:color="auto"/>
        <w:bottom w:val="none" w:sz="0" w:space="0" w:color="auto"/>
        <w:right w:val="none" w:sz="0" w:space="0" w:color="auto"/>
      </w:divBdr>
      <w:divsChild>
        <w:div w:id="685910558">
          <w:marLeft w:val="0"/>
          <w:marRight w:val="0"/>
          <w:marTop w:val="0"/>
          <w:marBottom w:val="0"/>
          <w:divBdr>
            <w:top w:val="none" w:sz="0" w:space="0" w:color="auto"/>
            <w:left w:val="none" w:sz="0" w:space="0" w:color="auto"/>
            <w:bottom w:val="none" w:sz="0" w:space="0" w:color="auto"/>
            <w:right w:val="none" w:sz="0" w:space="0" w:color="auto"/>
          </w:divBdr>
          <w:divsChild>
            <w:div w:id="355351731">
              <w:marLeft w:val="0"/>
              <w:marRight w:val="0"/>
              <w:marTop w:val="0"/>
              <w:marBottom w:val="0"/>
              <w:divBdr>
                <w:top w:val="none" w:sz="0" w:space="0" w:color="auto"/>
                <w:left w:val="none" w:sz="0" w:space="0" w:color="auto"/>
                <w:bottom w:val="none" w:sz="0" w:space="0" w:color="auto"/>
                <w:right w:val="none" w:sz="0" w:space="0" w:color="auto"/>
              </w:divBdr>
              <w:divsChild>
                <w:div w:id="1150092792">
                  <w:marLeft w:val="0"/>
                  <w:marRight w:val="0"/>
                  <w:marTop w:val="0"/>
                  <w:marBottom w:val="0"/>
                  <w:divBdr>
                    <w:top w:val="none" w:sz="0" w:space="0" w:color="auto"/>
                    <w:left w:val="none" w:sz="0" w:space="0" w:color="auto"/>
                    <w:bottom w:val="none" w:sz="0" w:space="0" w:color="auto"/>
                    <w:right w:val="none" w:sz="0" w:space="0" w:color="auto"/>
                  </w:divBdr>
                  <w:divsChild>
                    <w:div w:id="1653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1243">
      <w:bodyDiv w:val="1"/>
      <w:marLeft w:val="0"/>
      <w:marRight w:val="0"/>
      <w:marTop w:val="0"/>
      <w:marBottom w:val="0"/>
      <w:divBdr>
        <w:top w:val="none" w:sz="0" w:space="0" w:color="auto"/>
        <w:left w:val="none" w:sz="0" w:space="0" w:color="auto"/>
        <w:bottom w:val="none" w:sz="0" w:space="0" w:color="auto"/>
        <w:right w:val="none" w:sz="0" w:space="0" w:color="auto"/>
      </w:divBdr>
    </w:div>
    <w:div w:id="1794211150">
      <w:bodyDiv w:val="1"/>
      <w:marLeft w:val="0"/>
      <w:marRight w:val="0"/>
      <w:marTop w:val="0"/>
      <w:marBottom w:val="0"/>
      <w:divBdr>
        <w:top w:val="none" w:sz="0" w:space="0" w:color="auto"/>
        <w:left w:val="none" w:sz="0" w:space="0" w:color="auto"/>
        <w:bottom w:val="none" w:sz="0" w:space="0" w:color="auto"/>
        <w:right w:val="none" w:sz="0" w:space="0" w:color="auto"/>
      </w:divBdr>
      <w:divsChild>
        <w:div w:id="962273832">
          <w:marLeft w:val="0"/>
          <w:marRight w:val="0"/>
          <w:marTop w:val="0"/>
          <w:marBottom w:val="0"/>
          <w:divBdr>
            <w:top w:val="none" w:sz="0" w:space="0" w:color="auto"/>
            <w:left w:val="none" w:sz="0" w:space="0" w:color="auto"/>
            <w:bottom w:val="none" w:sz="0" w:space="0" w:color="auto"/>
            <w:right w:val="none" w:sz="0" w:space="0" w:color="auto"/>
          </w:divBdr>
          <w:divsChild>
            <w:div w:id="1984499581">
              <w:marLeft w:val="0"/>
              <w:marRight w:val="0"/>
              <w:marTop w:val="0"/>
              <w:marBottom w:val="0"/>
              <w:divBdr>
                <w:top w:val="none" w:sz="0" w:space="0" w:color="auto"/>
                <w:left w:val="none" w:sz="0" w:space="0" w:color="auto"/>
                <w:bottom w:val="none" w:sz="0" w:space="0" w:color="auto"/>
                <w:right w:val="none" w:sz="0" w:space="0" w:color="auto"/>
              </w:divBdr>
              <w:divsChild>
                <w:div w:id="3365854">
                  <w:marLeft w:val="0"/>
                  <w:marRight w:val="0"/>
                  <w:marTop w:val="0"/>
                  <w:marBottom w:val="0"/>
                  <w:divBdr>
                    <w:top w:val="none" w:sz="0" w:space="0" w:color="auto"/>
                    <w:left w:val="none" w:sz="0" w:space="0" w:color="auto"/>
                    <w:bottom w:val="none" w:sz="0" w:space="0" w:color="auto"/>
                    <w:right w:val="none" w:sz="0" w:space="0" w:color="auto"/>
                  </w:divBdr>
                  <w:divsChild>
                    <w:div w:id="16374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28831">
      <w:bodyDiv w:val="1"/>
      <w:marLeft w:val="0"/>
      <w:marRight w:val="0"/>
      <w:marTop w:val="0"/>
      <w:marBottom w:val="0"/>
      <w:divBdr>
        <w:top w:val="none" w:sz="0" w:space="0" w:color="auto"/>
        <w:left w:val="none" w:sz="0" w:space="0" w:color="auto"/>
        <w:bottom w:val="none" w:sz="0" w:space="0" w:color="auto"/>
        <w:right w:val="none" w:sz="0" w:space="0" w:color="auto"/>
      </w:divBdr>
    </w:div>
    <w:div w:id="1824739472">
      <w:bodyDiv w:val="1"/>
      <w:marLeft w:val="0"/>
      <w:marRight w:val="0"/>
      <w:marTop w:val="0"/>
      <w:marBottom w:val="0"/>
      <w:divBdr>
        <w:top w:val="none" w:sz="0" w:space="0" w:color="auto"/>
        <w:left w:val="none" w:sz="0" w:space="0" w:color="auto"/>
        <w:bottom w:val="none" w:sz="0" w:space="0" w:color="auto"/>
        <w:right w:val="none" w:sz="0" w:space="0" w:color="auto"/>
      </w:divBdr>
      <w:divsChild>
        <w:div w:id="1712723152">
          <w:marLeft w:val="0"/>
          <w:marRight w:val="0"/>
          <w:marTop w:val="0"/>
          <w:marBottom w:val="0"/>
          <w:divBdr>
            <w:top w:val="none" w:sz="0" w:space="0" w:color="auto"/>
            <w:left w:val="none" w:sz="0" w:space="0" w:color="auto"/>
            <w:bottom w:val="none" w:sz="0" w:space="0" w:color="auto"/>
            <w:right w:val="none" w:sz="0" w:space="0" w:color="auto"/>
          </w:divBdr>
          <w:divsChild>
            <w:div w:id="1578899620">
              <w:marLeft w:val="0"/>
              <w:marRight w:val="0"/>
              <w:marTop w:val="0"/>
              <w:marBottom w:val="0"/>
              <w:divBdr>
                <w:top w:val="none" w:sz="0" w:space="0" w:color="auto"/>
                <w:left w:val="none" w:sz="0" w:space="0" w:color="auto"/>
                <w:bottom w:val="none" w:sz="0" w:space="0" w:color="auto"/>
                <w:right w:val="none" w:sz="0" w:space="0" w:color="auto"/>
              </w:divBdr>
              <w:divsChild>
                <w:div w:id="839545576">
                  <w:marLeft w:val="0"/>
                  <w:marRight w:val="0"/>
                  <w:marTop w:val="0"/>
                  <w:marBottom w:val="0"/>
                  <w:divBdr>
                    <w:top w:val="none" w:sz="0" w:space="0" w:color="auto"/>
                    <w:left w:val="none" w:sz="0" w:space="0" w:color="auto"/>
                    <w:bottom w:val="none" w:sz="0" w:space="0" w:color="auto"/>
                    <w:right w:val="none" w:sz="0" w:space="0" w:color="auto"/>
                  </w:divBdr>
                  <w:divsChild>
                    <w:div w:id="11845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17345">
      <w:bodyDiv w:val="1"/>
      <w:marLeft w:val="0"/>
      <w:marRight w:val="0"/>
      <w:marTop w:val="0"/>
      <w:marBottom w:val="0"/>
      <w:divBdr>
        <w:top w:val="none" w:sz="0" w:space="0" w:color="auto"/>
        <w:left w:val="none" w:sz="0" w:space="0" w:color="auto"/>
        <w:bottom w:val="none" w:sz="0" w:space="0" w:color="auto"/>
        <w:right w:val="none" w:sz="0" w:space="0" w:color="auto"/>
      </w:divBdr>
    </w:div>
    <w:div w:id="1858763203">
      <w:bodyDiv w:val="1"/>
      <w:marLeft w:val="0"/>
      <w:marRight w:val="0"/>
      <w:marTop w:val="0"/>
      <w:marBottom w:val="0"/>
      <w:divBdr>
        <w:top w:val="none" w:sz="0" w:space="0" w:color="auto"/>
        <w:left w:val="none" w:sz="0" w:space="0" w:color="auto"/>
        <w:bottom w:val="none" w:sz="0" w:space="0" w:color="auto"/>
        <w:right w:val="none" w:sz="0" w:space="0" w:color="auto"/>
      </w:divBdr>
      <w:divsChild>
        <w:div w:id="317347612">
          <w:marLeft w:val="0"/>
          <w:marRight w:val="0"/>
          <w:marTop w:val="15"/>
          <w:marBottom w:val="0"/>
          <w:divBdr>
            <w:top w:val="none" w:sz="0" w:space="0" w:color="auto"/>
            <w:left w:val="none" w:sz="0" w:space="0" w:color="auto"/>
            <w:bottom w:val="none" w:sz="0" w:space="0" w:color="auto"/>
            <w:right w:val="none" w:sz="0" w:space="0" w:color="auto"/>
          </w:divBdr>
          <w:divsChild>
            <w:div w:id="1020548359">
              <w:marLeft w:val="0"/>
              <w:marRight w:val="0"/>
              <w:marTop w:val="0"/>
              <w:marBottom w:val="0"/>
              <w:divBdr>
                <w:top w:val="none" w:sz="0" w:space="0" w:color="auto"/>
                <w:left w:val="none" w:sz="0" w:space="0" w:color="auto"/>
                <w:bottom w:val="none" w:sz="0" w:space="0" w:color="auto"/>
                <w:right w:val="none" w:sz="0" w:space="0" w:color="auto"/>
              </w:divBdr>
              <w:divsChild>
                <w:div w:id="2018313835">
                  <w:marLeft w:val="0"/>
                  <w:marRight w:val="0"/>
                  <w:marTop w:val="0"/>
                  <w:marBottom w:val="0"/>
                  <w:divBdr>
                    <w:top w:val="none" w:sz="0" w:space="0" w:color="auto"/>
                    <w:left w:val="none" w:sz="0" w:space="0" w:color="auto"/>
                    <w:bottom w:val="none" w:sz="0" w:space="0" w:color="auto"/>
                    <w:right w:val="none" w:sz="0" w:space="0" w:color="auto"/>
                  </w:divBdr>
                </w:div>
                <w:div w:id="1239824668">
                  <w:marLeft w:val="0"/>
                  <w:marRight w:val="0"/>
                  <w:marTop w:val="0"/>
                  <w:marBottom w:val="0"/>
                  <w:divBdr>
                    <w:top w:val="none" w:sz="0" w:space="0" w:color="auto"/>
                    <w:left w:val="none" w:sz="0" w:space="0" w:color="auto"/>
                    <w:bottom w:val="none" w:sz="0" w:space="0" w:color="auto"/>
                    <w:right w:val="none" w:sz="0" w:space="0" w:color="auto"/>
                  </w:divBdr>
                </w:div>
                <w:div w:id="20559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781">
      <w:bodyDiv w:val="1"/>
      <w:marLeft w:val="0"/>
      <w:marRight w:val="0"/>
      <w:marTop w:val="0"/>
      <w:marBottom w:val="0"/>
      <w:divBdr>
        <w:top w:val="none" w:sz="0" w:space="0" w:color="auto"/>
        <w:left w:val="none" w:sz="0" w:space="0" w:color="auto"/>
        <w:bottom w:val="none" w:sz="0" w:space="0" w:color="auto"/>
        <w:right w:val="none" w:sz="0" w:space="0" w:color="auto"/>
      </w:divBdr>
      <w:divsChild>
        <w:div w:id="480585857">
          <w:marLeft w:val="0"/>
          <w:marRight w:val="0"/>
          <w:marTop w:val="0"/>
          <w:marBottom w:val="0"/>
          <w:divBdr>
            <w:top w:val="none" w:sz="0" w:space="0" w:color="auto"/>
            <w:left w:val="none" w:sz="0" w:space="0" w:color="auto"/>
            <w:bottom w:val="none" w:sz="0" w:space="0" w:color="auto"/>
            <w:right w:val="none" w:sz="0" w:space="0" w:color="auto"/>
          </w:divBdr>
          <w:divsChild>
            <w:div w:id="671957938">
              <w:marLeft w:val="0"/>
              <w:marRight w:val="0"/>
              <w:marTop w:val="0"/>
              <w:marBottom w:val="0"/>
              <w:divBdr>
                <w:top w:val="none" w:sz="0" w:space="0" w:color="auto"/>
                <w:left w:val="none" w:sz="0" w:space="0" w:color="auto"/>
                <w:bottom w:val="none" w:sz="0" w:space="0" w:color="auto"/>
                <w:right w:val="none" w:sz="0" w:space="0" w:color="auto"/>
              </w:divBdr>
              <w:divsChild>
                <w:div w:id="19189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49654">
      <w:bodyDiv w:val="1"/>
      <w:marLeft w:val="0"/>
      <w:marRight w:val="0"/>
      <w:marTop w:val="0"/>
      <w:marBottom w:val="0"/>
      <w:divBdr>
        <w:top w:val="none" w:sz="0" w:space="0" w:color="auto"/>
        <w:left w:val="none" w:sz="0" w:space="0" w:color="auto"/>
        <w:bottom w:val="none" w:sz="0" w:space="0" w:color="auto"/>
        <w:right w:val="none" w:sz="0" w:space="0" w:color="auto"/>
      </w:divBdr>
      <w:divsChild>
        <w:div w:id="1086150331">
          <w:marLeft w:val="0"/>
          <w:marRight w:val="0"/>
          <w:marTop w:val="0"/>
          <w:marBottom w:val="0"/>
          <w:divBdr>
            <w:top w:val="none" w:sz="0" w:space="0" w:color="auto"/>
            <w:left w:val="none" w:sz="0" w:space="0" w:color="auto"/>
            <w:bottom w:val="none" w:sz="0" w:space="0" w:color="auto"/>
            <w:right w:val="none" w:sz="0" w:space="0" w:color="auto"/>
          </w:divBdr>
          <w:divsChild>
            <w:div w:id="1323773240">
              <w:marLeft w:val="0"/>
              <w:marRight w:val="0"/>
              <w:marTop w:val="0"/>
              <w:marBottom w:val="0"/>
              <w:divBdr>
                <w:top w:val="none" w:sz="0" w:space="0" w:color="auto"/>
                <w:left w:val="none" w:sz="0" w:space="0" w:color="auto"/>
                <w:bottom w:val="none" w:sz="0" w:space="0" w:color="auto"/>
                <w:right w:val="none" w:sz="0" w:space="0" w:color="auto"/>
              </w:divBdr>
              <w:divsChild>
                <w:div w:id="320238352">
                  <w:marLeft w:val="0"/>
                  <w:marRight w:val="0"/>
                  <w:marTop w:val="0"/>
                  <w:marBottom w:val="0"/>
                  <w:divBdr>
                    <w:top w:val="none" w:sz="0" w:space="0" w:color="auto"/>
                    <w:left w:val="none" w:sz="0" w:space="0" w:color="auto"/>
                    <w:bottom w:val="none" w:sz="0" w:space="0" w:color="auto"/>
                    <w:right w:val="none" w:sz="0" w:space="0" w:color="auto"/>
                  </w:divBdr>
                  <w:divsChild>
                    <w:div w:id="4439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54685">
      <w:bodyDiv w:val="1"/>
      <w:marLeft w:val="0"/>
      <w:marRight w:val="0"/>
      <w:marTop w:val="0"/>
      <w:marBottom w:val="0"/>
      <w:divBdr>
        <w:top w:val="none" w:sz="0" w:space="0" w:color="auto"/>
        <w:left w:val="none" w:sz="0" w:space="0" w:color="auto"/>
        <w:bottom w:val="none" w:sz="0" w:space="0" w:color="auto"/>
        <w:right w:val="none" w:sz="0" w:space="0" w:color="auto"/>
      </w:divBdr>
    </w:div>
    <w:div w:id="1943149339">
      <w:bodyDiv w:val="1"/>
      <w:marLeft w:val="0"/>
      <w:marRight w:val="0"/>
      <w:marTop w:val="0"/>
      <w:marBottom w:val="0"/>
      <w:divBdr>
        <w:top w:val="none" w:sz="0" w:space="0" w:color="auto"/>
        <w:left w:val="none" w:sz="0" w:space="0" w:color="auto"/>
        <w:bottom w:val="none" w:sz="0" w:space="0" w:color="auto"/>
        <w:right w:val="none" w:sz="0" w:space="0" w:color="auto"/>
      </w:divBdr>
      <w:divsChild>
        <w:div w:id="1264994619">
          <w:marLeft w:val="0"/>
          <w:marRight w:val="0"/>
          <w:marTop w:val="0"/>
          <w:marBottom w:val="0"/>
          <w:divBdr>
            <w:top w:val="none" w:sz="0" w:space="0" w:color="auto"/>
            <w:left w:val="none" w:sz="0" w:space="0" w:color="auto"/>
            <w:bottom w:val="none" w:sz="0" w:space="0" w:color="auto"/>
            <w:right w:val="none" w:sz="0" w:space="0" w:color="auto"/>
          </w:divBdr>
          <w:divsChild>
            <w:div w:id="2133742953">
              <w:marLeft w:val="0"/>
              <w:marRight w:val="0"/>
              <w:marTop w:val="0"/>
              <w:marBottom w:val="0"/>
              <w:divBdr>
                <w:top w:val="none" w:sz="0" w:space="0" w:color="auto"/>
                <w:left w:val="none" w:sz="0" w:space="0" w:color="auto"/>
                <w:bottom w:val="none" w:sz="0" w:space="0" w:color="auto"/>
                <w:right w:val="none" w:sz="0" w:space="0" w:color="auto"/>
              </w:divBdr>
              <w:divsChild>
                <w:div w:id="168563873">
                  <w:marLeft w:val="0"/>
                  <w:marRight w:val="0"/>
                  <w:marTop w:val="0"/>
                  <w:marBottom w:val="0"/>
                  <w:divBdr>
                    <w:top w:val="none" w:sz="0" w:space="0" w:color="auto"/>
                    <w:left w:val="none" w:sz="0" w:space="0" w:color="auto"/>
                    <w:bottom w:val="none" w:sz="0" w:space="0" w:color="auto"/>
                    <w:right w:val="none" w:sz="0" w:space="0" w:color="auto"/>
                  </w:divBdr>
                  <w:divsChild>
                    <w:div w:id="15502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0300">
      <w:bodyDiv w:val="1"/>
      <w:marLeft w:val="0"/>
      <w:marRight w:val="0"/>
      <w:marTop w:val="0"/>
      <w:marBottom w:val="0"/>
      <w:divBdr>
        <w:top w:val="none" w:sz="0" w:space="0" w:color="auto"/>
        <w:left w:val="none" w:sz="0" w:space="0" w:color="auto"/>
        <w:bottom w:val="none" w:sz="0" w:space="0" w:color="auto"/>
        <w:right w:val="none" w:sz="0" w:space="0" w:color="auto"/>
      </w:divBdr>
      <w:divsChild>
        <w:div w:id="1357460280">
          <w:marLeft w:val="0"/>
          <w:marRight w:val="0"/>
          <w:marTop w:val="0"/>
          <w:marBottom w:val="0"/>
          <w:divBdr>
            <w:top w:val="none" w:sz="0" w:space="0" w:color="auto"/>
            <w:left w:val="none" w:sz="0" w:space="0" w:color="auto"/>
            <w:bottom w:val="none" w:sz="0" w:space="0" w:color="auto"/>
            <w:right w:val="none" w:sz="0" w:space="0" w:color="auto"/>
          </w:divBdr>
          <w:divsChild>
            <w:div w:id="1025407310">
              <w:marLeft w:val="0"/>
              <w:marRight w:val="0"/>
              <w:marTop w:val="0"/>
              <w:marBottom w:val="0"/>
              <w:divBdr>
                <w:top w:val="none" w:sz="0" w:space="0" w:color="auto"/>
                <w:left w:val="none" w:sz="0" w:space="0" w:color="auto"/>
                <w:bottom w:val="none" w:sz="0" w:space="0" w:color="auto"/>
                <w:right w:val="none" w:sz="0" w:space="0" w:color="auto"/>
              </w:divBdr>
              <w:divsChild>
                <w:div w:id="1230917749">
                  <w:marLeft w:val="0"/>
                  <w:marRight w:val="0"/>
                  <w:marTop w:val="0"/>
                  <w:marBottom w:val="0"/>
                  <w:divBdr>
                    <w:top w:val="none" w:sz="0" w:space="0" w:color="auto"/>
                    <w:left w:val="none" w:sz="0" w:space="0" w:color="auto"/>
                    <w:bottom w:val="none" w:sz="0" w:space="0" w:color="auto"/>
                    <w:right w:val="none" w:sz="0" w:space="0" w:color="auto"/>
                  </w:divBdr>
                  <w:divsChild>
                    <w:div w:id="14014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1424">
      <w:bodyDiv w:val="1"/>
      <w:marLeft w:val="0"/>
      <w:marRight w:val="0"/>
      <w:marTop w:val="0"/>
      <w:marBottom w:val="0"/>
      <w:divBdr>
        <w:top w:val="none" w:sz="0" w:space="0" w:color="auto"/>
        <w:left w:val="none" w:sz="0" w:space="0" w:color="auto"/>
        <w:bottom w:val="none" w:sz="0" w:space="0" w:color="auto"/>
        <w:right w:val="none" w:sz="0" w:space="0" w:color="auto"/>
      </w:divBdr>
      <w:divsChild>
        <w:div w:id="1348487622">
          <w:marLeft w:val="0"/>
          <w:marRight w:val="0"/>
          <w:marTop w:val="0"/>
          <w:marBottom w:val="0"/>
          <w:divBdr>
            <w:top w:val="none" w:sz="0" w:space="0" w:color="auto"/>
            <w:left w:val="none" w:sz="0" w:space="0" w:color="auto"/>
            <w:bottom w:val="none" w:sz="0" w:space="0" w:color="auto"/>
            <w:right w:val="none" w:sz="0" w:space="0" w:color="auto"/>
          </w:divBdr>
        </w:div>
        <w:div w:id="1056859399">
          <w:marLeft w:val="0"/>
          <w:marRight w:val="0"/>
          <w:marTop w:val="0"/>
          <w:marBottom w:val="0"/>
          <w:divBdr>
            <w:top w:val="none" w:sz="0" w:space="0" w:color="auto"/>
            <w:left w:val="none" w:sz="0" w:space="0" w:color="auto"/>
            <w:bottom w:val="none" w:sz="0" w:space="0" w:color="auto"/>
            <w:right w:val="none" w:sz="0" w:space="0" w:color="auto"/>
          </w:divBdr>
        </w:div>
        <w:div w:id="1789470256">
          <w:marLeft w:val="0"/>
          <w:marRight w:val="0"/>
          <w:marTop w:val="0"/>
          <w:marBottom w:val="0"/>
          <w:divBdr>
            <w:top w:val="none" w:sz="0" w:space="0" w:color="auto"/>
            <w:left w:val="none" w:sz="0" w:space="0" w:color="auto"/>
            <w:bottom w:val="none" w:sz="0" w:space="0" w:color="auto"/>
            <w:right w:val="none" w:sz="0" w:space="0" w:color="auto"/>
          </w:divBdr>
        </w:div>
        <w:div w:id="101152943">
          <w:marLeft w:val="0"/>
          <w:marRight w:val="0"/>
          <w:marTop w:val="0"/>
          <w:marBottom w:val="0"/>
          <w:divBdr>
            <w:top w:val="none" w:sz="0" w:space="0" w:color="auto"/>
            <w:left w:val="none" w:sz="0" w:space="0" w:color="auto"/>
            <w:bottom w:val="none" w:sz="0" w:space="0" w:color="auto"/>
            <w:right w:val="none" w:sz="0" w:space="0" w:color="auto"/>
          </w:divBdr>
        </w:div>
        <w:div w:id="27338987">
          <w:marLeft w:val="0"/>
          <w:marRight w:val="0"/>
          <w:marTop w:val="0"/>
          <w:marBottom w:val="0"/>
          <w:divBdr>
            <w:top w:val="none" w:sz="0" w:space="0" w:color="auto"/>
            <w:left w:val="none" w:sz="0" w:space="0" w:color="auto"/>
            <w:bottom w:val="none" w:sz="0" w:space="0" w:color="auto"/>
            <w:right w:val="none" w:sz="0" w:space="0" w:color="auto"/>
          </w:divBdr>
        </w:div>
        <w:div w:id="1323582340">
          <w:marLeft w:val="0"/>
          <w:marRight w:val="0"/>
          <w:marTop w:val="0"/>
          <w:marBottom w:val="0"/>
          <w:divBdr>
            <w:top w:val="none" w:sz="0" w:space="0" w:color="auto"/>
            <w:left w:val="none" w:sz="0" w:space="0" w:color="auto"/>
            <w:bottom w:val="none" w:sz="0" w:space="0" w:color="auto"/>
            <w:right w:val="none" w:sz="0" w:space="0" w:color="auto"/>
          </w:divBdr>
        </w:div>
        <w:div w:id="739982051">
          <w:marLeft w:val="0"/>
          <w:marRight w:val="0"/>
          <w:marTop w:val="0"/>
          <w:marBottom w:val="0"/>
          <w:divBdr>
            <w:top w:val="none" w:sz="0" w:space="0" w:color="auto"/>
            <w:left w:val="none" w:sz="0" w:space="0" w:color="auto"/>
            <w:bottom w:val="none" w:sz="0" w:space="0" w:color="auto"/>
            <w:right w:val="none" w:sz="0" w:space="0" w:color="auto"/>
          </w:divBdr>
        </w:div>
        <w:div w:id="507794323">
          <w:marLeft w:val="0"/>
          <w:marRight w:val="0"/>
          <w:marTop w:val="0"/>
          <w:marBottom w:val="0"/>
          <w:divBdr>
            <w:top w:val="none" w:sz="0" w:space="0" w:color="auto"/>
            <w:left w:val="none" w:sz="0" w:space="0" w:color="auto"/>
            <w:bottom w:val="none" w:sz="0" w:space="0" w:color="auto"/>
            <w:right w:val="none" w:sz="0" w:space="0" w:color="auto"/>
          </w:divBdr>
        </w:div>
        <w:div w:id="1503350660">
          <w:marLeft w:val="0"/>
          <w:marRight w:val="0"/>
          <w:marTop w:val="0"/>
          <w:marBottom w:val="0"/>
          <w:divBdr>
            <w:top w:val="none" w:sz="0" w:space="0" w:color="auto"/>
            <w:left w:val="none" w:sz="0" w:space="0" w:color="auto"/>
            <w:bottom w:val="none" w:sz="0" w:space="0" w:color="auto"/>
            <w:right w:val="none" w:sz="0" w:space="0" w:color="auto"/>
          </w:divBdr>
        </w:div>
        <w:div w:id="578638428">
          <w:marLeft w:val="0"/>
          <w:marRight w:val="0"/>
          <w:marTop w:val="0"/>
          <w:marBottom w:val="0"/>
          <w:divBdr>
            <w:top w:val="none" w:sz="0" w:space="0" w:color="auto"/>
            <w:left w:val="none" w:sz="0" w:space="0" w:color="auto"/>
            <w:bottom w:val="none" w:sz="0" w:space="0" w:color="auto"/>
            <w:right w:val="none" w:sz="0" w:space="0" w:color="auto"/>
          </w:divBdr>
        </w:div>
        <w:div w:id="735708079">
          <w:marLeft w:val="0"/>
          <w:marRight w:val="0"/>
          <w:marTop w:val="0"/>
          <w:marBottom w:val="0"/>
          <w:divBdr>
            <w:top w:val="none" w:sz="0" w:space="0" w:color="auto"/>
            <w:left w:val="none" w:sz="0" w:space="0" w:color="auto"/>
            <w:bottom w:val="none" w:sz="0" w:space="0" w:color="auto"/>
            <w:right w:val="none" w:sz="0" w:space="0" w:color="auto"/>
          </w:divBdr>
        </w:div>
        <w:div w:id="1330251953">
          <w:marLeft w:val="0"/>
          <w:marRight w:val="0"/>
          <w:marTop w:val="0"/>
          <w:marBottom w:val="0"/>
          <w:divBdr>
            <w:top w:val="none" w:sz="0" w:space="0" w:color="auto"/>
            <w:left w:val="none" w:sz="0" w:space="0" w:color="auto"/>
            <w:bottom w:val="none" w:sz="0" w:space="0" w:color="auto"/>
            <w:right w:val="none" w:sz="0" w:space="0" w:color="auto"/>
          </w:divBdr>
        </w:div>
        <w:div w:id="156310175">
          <w:marLeft w:val="0"/>
          <w:marRight w:val="0"/>
          <w:marTop w:val="0"/>
          <w:marBottom w:val="0"/>
          <w:divBdr>
            <w:top w:val="none" w:sz="0" w:space="0" w:color="auto"/>
            <w:left w:val="none" w:sz="0" w:space="0" w:color="auto"/>
            <w:bottom w:val="none" w:sz="0" w:space="0" w:color="auto"/>
            <w:right w:val="none" w:sz="0" w:space="0" w:color="auto"/>
          </w:divBdr>
        </w:div>
        <w:div w:id="1289899571">
          <w:marLeft w:val="0"/>
          <w:marRight w:val="0"/>
          <w:marTop w:val="0"/>
          <w:marBottom w:val="0"/>
          <w:divBdr>
            <w:top w:val="none" w:sz="0" w:space="0" w:color="auto"/>
            <w:left w:val="none" w:sz="0" w:space="0" w:color="auto"/>
            <w:bottom w:val="none" w:sz="0" w:space="0" w:color="auto"/>
            <w:right w:val="none" w:sz="0" w:space="0" w:color="auto"/>
          </w:divBdr>
        </w:div>
        <w:div w:id="490297424">
          <w:marLeft w:val="0"/>
          <w:marRight w:val="0"/>
          <w:marTop w:val="0"/>
          <w:marBottom w:val="0"/>
          <w:divBdr>
            <w:top w:val="none" w:sz="0" w:space="0" w:color="auto"/>
            <w:left w:val="none" w:sz="0" w:space="0" w:color="auto"/>
            <w:bottom w:val="none" w:sz="0" w:space="0" w:color="auto"/>
            <w:right w:val="none" w:sz="0" w:space="0" w:color="auto"/>
          </w:divBdr>
        </w:div>
        <w:div w:id="170878097">
          <w:marLeft w:val="0"/>
          <w:marRight w:val="0"/>
          <w:marTop w:val="0"/>
          <w:marBottom w:val="0"/>
          <w:divBdr>
            <w:top w:val="none" w:sz="0" w:space="0" w:color="auto"/>
            <w:left w:val="none" w:sz="0" w:space="0" w:color="auto"/>
            <w:bottom w:val="none" w:sz="0" w:space="0" w:color="auto"/>
            <w:right w:val="none" w:sz="0" w:space="0" w:color="auto"/>
          </w:divBdr>
        </w:div>
        <w:div w:id="712382886">
          <w:marLeft w:val="0"/>
          <w:marRight w:val="0"/>
          <w:marTop w:val="0"/>
          <w:marBottom w:val="0"/>
          <w:divBdr>
            <w:top w:val="none" w:sz="0" w:space="0" w:color="auto"/>
            <w:left w:val="none" w:sz="0" w:space="0" w:color="auto"/>
            <w:bottom w:val="none" w:sz="0" w:space="0" w:color="auto"/>
            <w:right w:val="none" w:sz="0" w:space="0" w:color="auto"/>
          </w:divBdr>
        </w:div>
        <w:div w:id="199126944">
          <w:marLeft w:val="0"/>
          <w:marRight w:val="0"/>
          <w:marTop w:val="0"/>
          <w:marBottom w:val="0"/>
          <w:divBdr>
            <w:top w:val="none" w:sz="0" w:space="0" w:color="auto"/>
            <w:left w:val="none" w:sz="0" w:space="0" w:color="auto"/>
            <w:bottom w:val="none" w:sz="0" w:space="0" w:color="auto"/>
            <w:right w:val="none" w:sz="0" w:space="0" w:color="auto"/>
          </w:divBdr>
        </w:div>
        <w:div w:id="1841037802">
          <w:marLeft w:val="0"/>
          <w:marRight w:val="0"/>
          <w:marTop w:val="0"/>
          <w:marBottom w:val="0"/>
          <w:divBdr>
            <w:top w:val="none" w:sz="0" w:space="0" w:color="auto"/>
            <w:left w:val="none" w:sz="0" w:space="0" w:color="auto"/>
            <w:bottom w:val="none" w:sz="0" w:space="0" w:color="auto"/>
            <w:right w:val="none" w:sz="0" w:space="0" w:color="auto"/>
          </w:divBdr>
        </w:div>
        <w:div w:id="78868171">
          <w:marLeft w:val="0"/>
          <w:marRight w:val="0"/>
          <w:marTop w:val="0"/>
          <w:marBottom w:val="0"/>
          <w:divBdr>
            <w:top w:val="none" w:sz="0" w:space="0" w:color="auto"/>
            <w:left w:val="none" w:sz="0" w:space="0" w:color="auto"/>
            <w:bottom w:val="none" w:sz="0" w:space="0" w:color="auto"/>
            <w:right w:val="none" w:sz="0" w:space="0" w:color="auto"/>
          </w:divBdr>
        </w:div>
        <w:div w:id="429931042">
          <w:marLeft w:val="0"/>
          <w:marRight w:val="0"/>
          <w:marTop w:val="0"/>
          <w:marBottom w:val="0"/>
          <w:divBdr>
            <w:top w:val="none" w:sz="0" w:space="0" w:color="auto"/>
            <w:left w:val="none" w:sz="0" w:space="0" w:color="auto"/>
            <w:bottom w:val="none" w:sz="0" w:space="0" w:color="auto"/>
            <w:right w:val="none" w:sz="0" w:space="0" w:color="auto"/>
          </w:divBdr>
        </w:div>
        <w:div w:id="884831505">
          <w:marLeft w:val="0"/>
          <w:marRight w:val="0"/>
          <w:marTop w:val="0"/>
          <w:marBottom w:val="0"/>
          <w:divBdr>
            <w:top w:val="none" w:sz="0" w:space="0" w:color="auto"/>
            <w:left w:val="none" w:sz="0" w:space="0" w:color="auto"/>
            <w:bottom w:val="none" w:sz="0" w:space="0" w:color="auto"/>
            <w:right w:val="none" w:sz="0" w:space="0" w:color="auto"/>
          </w:divBdr>
        </w:div>
        <w:div w:id="670523999">
          <w:marLeft w:val="0"/>
          <w:marRight w:val="0"/>
          <w:marTop w:val="0"/>
          <w:marBottom w:val="0"/>
          <w:divBdr>
            <w:top w:val="none" w:sz="0" w:space="0" w:color="auto"/>
            <w:left w:val="none" w:sz="0" w:space="0" w:color="auto"/>
            <w:bottom w:val="none" w:sz="0" w:space="0" w:color="auto"/>
            <w:right w:val="none" w:sz="0" w:space="0" w:color="auto"/>
          </w:divBdr>
        </w:div>
        <w:div w:id="1759671661">
          <w:marLeft w:val="0"/>
          <w:marRight w:val="0"/>
          <w:marTop w:val="0"/>
          <w:marBottom w:val="0"/>
          <w:divBdr>
            <w:top w:val="none" w:sz="0" w:space="0" w:color="auto"/>
            <w:left w:val="none" w:sz="0" w:space="0" w:color="auto"/>
            <w:bottom w:val="none" w:sz="0" w:space="0" w:color="auto"/>
            <w:right w:val="none" w:sz="0" w:space="0" w:color="auto"/>
          </w:divBdr>
        </w:div>
        <w:div w:id="111634584">
          <w:marLeft w:val="0"/>
          <w:marRight w:val="0"/>
          <w:marTop w:val="0"/>
          <w:marBottom w:val="0"/>
          <w:divBdr>
            <w:top w:val="none" w:sz="0" w:space="0" w:color="auto"/>
            <w:left w:val="none" w:sz="0" w:space="0" w:color="auto"/>
            <w:bottom w:val="none" w:sz="0" w:space="0" w:color="auto"/>
            <w:right w:val="none" w:sz="0" w:space="0" w:color="auto"/>
          </w:divBdr>
        </w:div>
        <w:div w:id="1154375428">
          <w:marLeft w:val="0"/>
          <w:marRight w:val="0"/>
          <w:marTop w:val="0"/>
          <w:marBottom w:val="0"/>
          <w:divBdr>
            <w:top w:val="none" w:sz="0" w:space="0" w:color="auto"/>
            <w:left w:val="none" w:sz="0" w:space="0" w:color="auto"/>
            <w:bottom w:val="none" w:sz="0" w:space="0" w:color="auto"/>
            <w:right w:val="none" w:sz="0" w:space="0" w:color="auto"/>
          </w:divBdr>
        </w:div>
        <w:div w:id="1150827002">
          <w:marLeft w:val="0"/>
          <w:marRight w:val="0"/>
          <w:marTop w:val="0"/>
          <w:marBottom w:val="0"/>
          <w:divBdr>
            <w:top w:val="none" w:sz="0" w:space="0" w:color="auto"/>
            <w:left w:val="none" w:sz="0" w:space="0" w:color="auto"/>
            <w:bottom w:val="none" w:sz="0" w:space="0" w:color="auto"/>
            <w:right w:val="none" w:sz="0" w:space="0" w:color="auto"/>
          </w:divBdr>
        </w:div>
        <w:div w:id="913004096">
          <w:marLeft w:val="0"/>
          <w:marRight w:val="0"/>
          <w:marTop w:val="0"/>
          <w:marBottom w:val="0"/>
          <w:divBdr>
            <w:top w:val="none" w:sz="0" w:space="0" w:color="auto"/>
            <w:left w:val="none" w:sz="0" w:space="0" w:color="auto"/>
            <w:bottom w:val="none" w:sz="0" w:space="0" w:color="auto"/>
            <w:right w:val="none" w:sz="0" w:space="0" w:color="auto"/>
          </w:divBdr>
        </w:div>
        <w:div w:id="1701008101">
          <w:marLeft w:val="0"/>
          <w:marRight w:val="0"/>
          <w:marTop w:val="0"/>
          <w:marBottom w:val="0"/>
          <w:divBdr>
            <w:top w:val="none" w:sz="0" w:space="0" w:color="auto"/>
            <w:left w:val="none" w:sz="0" w:space="0" w:color="auto"/>
            <w:bottom w:val="none" w:sz="0" w:space="0" w:color="auto"/>
            <w:right w:val="none" w:sz="0" w:space="0" w:color="auto"/>
          </w:divBdr>
        </w:div>
        <w:div w:id="729616634">
          <w:marLeft w:val="0"/>
          <w:marRight w:val="0"/>
          <w:marTop w:val="0"/>
          <w:marBottom w:val="0"/>
          <w:divBdr>
            <w:top w:val="none" w:sz="0" w:space="0" w:color="auto"/>
            <w:left w:val="none" w:sz="0" w:space="0" w:color="auto"/>
            <w:bottom w:val="none" w:sz="0" w:space="0" w:color="auto"/>
            <w:right w:val="none" w:sz="0" w:space="0" w:color="auto"/>
          </w:divBdr>
        </w:div>
        <w:div w:id="1426416480">
          <w:marLeft w:val="0"/>
          <w:marRight w:val="0"/>
          <w:marTop w:val="0"/>
          <w:marBottom w:val="0"/>
          <w:divBdr>
            <w:top w:val="none" w:sz="0" w:space="0" w:color="auto"/>
            <w:left w:val="none" w:sz="0" w:space="0" w:color="auto"/>
            <w:bottom w:val="none" w:sz="0" w:space="0" w:color="auto"/>
            <w:right w:val="none" w:sz="0" w:space="0" w:color="auto"/>
          </w:divBdr>
        </w:div>
        <w:div w:id="287132635">
          <w:marLeft w:val="0"/>
          <w:marRight w:val="0"/>
          <w:marTop w:val="0"/>
          <w:marBottom w:val="0"/>
          <w:divBdr>
            <w:top w:val="none" w:sz="0" w:space="0" w:color="auto"/>
            <w:left w:val="none" w:sz="0" w:space="0" w:color="auto"/>
            <w:bottom w:val="none" w:sz="0" w:space="0" w:color="auto"/>
            <w:right w:val="none" w:sz="0" w:space="0" w:color="auto"/>
          </w:divBdr>
        </w:div>
        <w:div w:id="737364631">
          <w:marLeft w:val="0"/>
          <w:marRight w:val="0"/>
          <w:marTop w:val="0"/>
          <w:marBottom w:val="0"/>
          <w:divBdr>
            <w:top w:val="none" w:sz="0" w:space="0" w:color="auto"/>
            <w:left w:val="none" w:sz="0" w:space="0" w:color="auto"/>
            <w:bottom w:val="none" w:sz="0" w:space="0" w:color="auto"/>
            <w:right w:val="none" w:sz="0" w:space="0" w:color="auto"/>
          </w:divBdr>
        </w:div>
        <w:div w:id="247496024">
          <w:marLeft w:val="0"/>
          <w:marRight w:val="0"/>
          <w:marTop w:val="0"/>
          <w:marBottom w:val="0"/>
          <w:divBdr>
            <w:top w:val="none" w:sz="0" w:space="0" w:color="auto"/>
            <w:left w:val="none" w:sz="0" w:space="0" w:color="auto"/>
            <w:bottom w:val="none" w:sz="0" w:space="0" w:color="auto"/>
            <w:right w:val="none" w:sz="0" w:space="0" w:color="auto"/>
          </w:divBdr>
        </w:div>
        <w:div w:id="1390955788">
          <w:marLeft w:val="0"/>
          <w:marRight w:val="0"/>
          <w:marTop w:val="0"/>
          <w:marBottom w:val="0"/>
          <w:divBdr>
            <w:top w:val="none" w:sz="0" w:space="0" w:color="auto"/>
            <w:left w:val="none" w:sz="0" w:space="0" w:color="auto"/>
            <w:bottom w:val="none" w:sz="0" w:space="0" w:color="auto"/>
            <w:right w:val="none" w:sz="0" w:space="0" w:color="auto"/>
          </w:divBdr>
        </w:div>
        <w:div w:id="1576283198">
          <w:marLeft w:val="0"/>
          <w:marRight w:val="0"/>
          <w:marTop w:val="0"/>
          <w:marBottom w:val="0"/>
          <w:divBdr>
            <w:top w:val="none" w:sz="0" w:space="0" w:color="auto"/>
            <w:left w:val="none" w:sz="0" w:space="0" w:color="auto"/>
            <w:bottom w:val="none" w:sz="0" w:space="0" w:color="auto"/>
            <w:right w:val="none" w:sz="0" w:space="0" w:color="auto"/>
          </w:divBdr>
        </w:div>
        <w:div w:id="1565919107">
          <w:marLeft w:val="0"/>
          <w:marRight w:val="0"/>
          <w:marTop w:val="0"/>
          <w:marBottom w:val="0"/>
          <w:divBdr>
            <w:top w:val="none" w:sz="0" w:space="0" w:color="auto"/>
            <w:left w:val="none" w:sz="0" w:space="0" w:color="auto"/>
            <w:bottom w:val="none" w:sz="0" w:space="0" w:color="auto"/>
            <w:right w:val="none" w:sz="0" w:space="0" w:color="auto"/>
          </w:divBdr>
        </w:div>
        <w:div w:id="753740923">
          <w:marLeft w:val="0"/>
          <w:marRight w:val="0"/>
          <w:marTop w:val="0"/>
          <w:marBottom w:val="0"/>
          <w:divBdr>
            <w:top w:val="none" w:sz="0" w:space="0" w:color="auto"/>
            <w:left w:val="none" w:sz="0" w:space="0" w:color="auto"/>
            <w:bottom w:val="none" w:sz="0" w:space="0" w:color="auto"/>
            <w:right w:val="none" w:sz="0" w:space="0" w:color="auto"/>
          </w:divBdr>
        </w:div>
        <w:div w:id="1947686022">
          <w:marLeft w:val="0"/>
          <w:marRight w:val="0"/>
          <w:marTop w:val="0"/>
          <w:marBottom w:val="0"/>
          <w:divBdr>
            <w:top w:val="none" w:sz="0" w:space="0" w:color="auto"/>
            <w:left w:val="none" w:sz="0" w:space="0" w:color="auto"/>
            <w:bottom w:val="none" w:sz="0" w:space="0" w:color="auto"/>
            <w:right w:val="none" w:sz="0" w:space="0" w:color="auto"/>
          </w:divBdr>
        </w:div>
        <w:div w:id="693309975">
          <w:marLeft w:val="0"/>
          <w:marRight w:val="0"/>
          <w:marTop w:val="0"/>
          <w:marBottom w:val="0"/>
          <w:divBdr>
            <w:top w:val="none" w:sz="0" w:space="0" w:color="auto"/>
            <w:left w:val="none" w:sz="0" w:space="0" w:color="auto"/>
            <w:bottom w:val="none" w:sz="0" w:space="0" w:color="auto"/>
            <w:right w:val="none" w:sz="0" w:space="0" w:color="auto"/>
          </w:divBdr>
        </w:div>
        <w:div w:id="482626592">
          <w:marLeft w:val="0"/>
          <w:marRight w:val="0"/>
          <w:marTop w:val="0"/>
          <w:marBottom w:val="0"/>
          <w:divBdr>
            <w:top w:val="none" w:sz="0" w:space="0" w:color="auto"/>
            <w:left w:val="none" w:sz="0" w:space="0" w:color="auto"/>
            <w:bottom w:val="none" w:sz="0" w:space="0" w:color="auto"/>
            <w:right w:val="none" w:sz="0" w:space="0" w:color="auto"/>
          </w:divBdr>
        </w:div>
        <w:div w:id="426772886">
          <w:marLeft w:val="0"/>
          <w:marRight w:val="0"/>
          <w:marTop w:val="0"/>
          <w:marBottom w:val="0"/>
          <w:divBdr>
            <w:top w:val="none" w:sz="0" w:space="0" w:color="auto"/>
            <w:left w:val="none" w:sz="0" w:space="0" w:color="auto"/>
            <w:bottom w:val="none" w:sz="0" w:space="0" w:color="auto"/>
            <w:right w:val="none" w:sz="0" w:space="0" w:color="auto"/>
          </w:divBdr>
        </w:div>
        <w:div w:id="1506246136">
          <w:marLeft w:val="0"/>
          <w:marRight w:val="0"/>
          <w:marTop w:val="0"/>
          <w:marBottom w:val="0"/>
          <w:divBdr>
            <w:top w:val="none" w:sz="0" w:space="0" w:color="auto"/>
            <w:left w:val="none" w:sz="0" w:space="0" w:color="auto"/>
            <w:bottom w:val="none" w:sz="0" w:space="0" w:color="auto"/>
            <w:right w:val="none" w:sz="0" w:space="0" w:color="auto"/>
          </w:divBdr>
        </w:div>
        <w:div w:id="1080059690">
          <w:marLeft w:val="0"/>
          <w:marRight w:val="0"/>
          <w:marTop w:val="0"/>
          <w:marBottom w:val="0"/>
          <w:divBdr>
            <w:top w:val="none" w:sz="0" w:space="0" w:color="auto"/>
            <w:left w:val="none" w:sz="0" w:space="0" w:color="auto"/>
            <w:bottom w:val="none" w:sz="0" w:space="0" w:color="auto"/>
            <w:right w:val="none" w:sz="0" w:space="0" w:color="auto"/>
          </w:divBdr>
        </w:div>
        <w:div w:id="1710102327">
          <w:marLeft w:val="0"/>
          <w:marRight w:val="0"/>
          <w:marTop w:val="0"/>
          <w:marBottom w:val="0"/>
          <w:divBdr>
            <w:top w:val="none" w:sz="0" w:space="0" w:color="auto"/>
            <w:left w:val="none" w:sz="0" w:space="0" w:color="auto"/>
            <w:bottom w:val="none" w:sz="0" w:space="0" w:color="auto"/>
            <w:right w:val="none" w:sz="0" w:space="0" w:color="auto"/>
          </w:divBdr>
        </w:div>
        <w:div w:id="703798161">
          <w:marLeft w:val="0"/>
          <w:marRight w:val="0"/>
          <w:marTop w:val="0"/>
          <w:marBottom w:val="0"/>
          <w:divBdr>
            <w:top w:val="none" w:sz="0" w:space="0" w:color="auto"/>
            <w:left w:val="none" w:sz="0" w:space="0" w:color="auto"/>
            <w:bottom w:val="none" w:sz="0" w:space="0" w:color="auto"/>
            <w:right w:val="none" w:sz="0" w:space="0" w:color="auto"/>
          </w:divBdr>
        </w:div>
        <w:div w:id="658994788">
          <w:marLeft w:val="0"/>
          <w:marRight w:val="0"/>
          <w:marTop w:val="0"/>
          <w:marBottom w:val="0"/>
          <w:divBdr>
            <w:top w:val="none" w:sz="0" w:space="0" w:color="auto"/>
            <w:left w:val="none" w:sz="0" w:space="0" w:color="auto"/>
            <w:bottom w:val="none" w:sz="0" w:space="0" w:color="auto"/>
            <w:right w:val="none" w:sz="0" w:space="0" w:color="auto"/>
          </w:divBdr>
        </w:div>
        <w:div w:id="206914700">
          <w:marLeft w:val="0"/>
          <w:marRight w:val="0"/>
          <w:marTop w:val="0"/>
          <w:marBottom w:val="0"/>
          <w:divBdr>
            <w:top w:val="none" w:sz="0" w:space="0" w:color="auto"/>
            <w:left w:val="none" w:sz="0" w:space="0" w:color="auto"/>
            <w:bottom w:val="none" w:sz="0" w:space="0" w:color="auto"/>
            <w:right w:val="none" w:sz="0" w:space="0" w:color="auto"/>
          </w:divBdr>
        </w:div>
        <w:div w:id="1427728931">
          <w:marLeft w:val="0"/>
          <w:marRight w:val="0"/>
          <w:marTop w:val="0"/>
          <w:marBottom w:val="0"/>
          <w:divBdr>
            <w:top w:val="none" w:sz="0" w:space="0" w:color="auto"/>
            <w:left w:val="none" w:sz="0" w:space="0" w:color="auto"/>
            <w:bottom w:val="none" w:sz="0" w:space="0" w:color="auto"/>
            <w:right w:val="none" w:sz="0" w:space="0" w:color="auto"/>
          </w:divBdr>
        </w:div>
        <w:div w:id="1779253849">
          <w:marLeft w:val="0"/>
          <w:marRight w:val="0"/>
          <w:marTop w:val="0"/>
          <w:marBottom w:val="0"/>
          <w:divBdr>
            <w:top w:val="none" w:sz="0" w:space="0" w:color="auto"/>
            <w:left w:val="none" w:sz="0" w:space="0" w:color="auto"/>
            <w:bottom w:val="none" w:sz="0" w:space="0" w:color="auto"/>
            <w:right w:val="none" w:sz="0" w:space="0" w:color="auto"/>
          </w:divBdr>
        </w:div>
        <w:div w:id="1960841874">
          <w:marLeft w:val="0"/>
          <w:marRight w:val="0"/>
          <w:marTop w:val="0"/>
          <w:marBottom w:val="0"/>
          <w:divBdr>
            <w:top w:val="none" w:sz="0" w:space="0" w:color="auto"/>
            <w:left w:val="none" w:sz="0" w:space="0" w:color="auto"/>
            <w:bottom w:val="none" w:sz="0" w:space="0" w:color="auto"/>
            <w:right w:val="none" w:sz="0" w:space="0" w:color="auto"/>
          </w:divBdr>
        </w:div>
        <w:div w:id="162210712">
          <w:marLeft w:val="0"/>
          <w:marRight w:val="0"/>
          <w:marTop w:val="0"/>
          <w:marBottom w:val="0"/>
          <w:divBdr>
            <w:top w:val="none" w:sz="0" w:space="0" w:color="auto"/>
            <w:left w:val="none" w:sz="0" w:space="0" w:color="auto"/>
            <w:bottom w:val="none" w:sz="0" w:space="0" w:color="auto"/>
            <w:right w:val="none" w:sz="0" w:space="0" w:color="auto"/>
          </w:divBdr>
        </w:div>
        <w:div w:id="589658377">
          <w:marLeft w:val="0"/>
          <w:marRight w:val="0"/>
          <w:marTop w:val="0"/>
          <w:marBottom w:val="0"/>
          <w:divBdr>
            <w:top w:val="none" w:sz="0" w:space="0" w:color="auto"/>
            <w:left w:val="none" w:sz="0" w:space="0" w:color="auto"/>
            <w:bottom w:val="none" w:sz="0" w:space="0" w:color="auto"/>
            <w:right w:val="none" w:sz="0" w:space="0" w:color="auto"/>
          </w:divBdr>
        </w:div>
        <w:div w:id="1803958958">
          <w:marLeft w:val="0"/>
          <w:marRight w:val="0"/>
          <w:marTop w:val="0"/>
          <w:marBottom w:val="0"/>
          <w:divBdr>
            <w:top w:val="none" w:sz="0" w:space="0" w:color="auto"/>
            <w:left w:val="none" w:sz="0" w:space="0" w:color="auto"/>
            <w:bottom w:val="none" w:sz="0" w:space="0" w:color="auto"/>
            <w:right w:val="none" w:sz="0" w:space="0" w:color="auto"/>
          </w:divBdr>
        </w:div>
        <w:div w:id="1029526348">
          <w:marLeft w:val="0"/>
          <w:marRight w:val="0"/>
          <w:marTop w:val="0"/>
          <w:marBottom w:val="0"/>
          <w:divBdr>
            <w:top w:val="none" w:sz="0" w:space="0" w:color="auto"/>
            <w:left w:val="none" w:sz="0" w:space="0" w:color="auto"/>
            <w:bottom w:val="none" w:sz="0" w:space="0" w:color="auto"/>
            <w:right w:val="none" w:sz="0" w:space="0" w:color="auto"/>
          </w:divBdr>
        </w:div>
        <w:div w:id="1041051534">
          <w:marLeft w:val="0"/>
          <w:marRight w:val="0"/>
          <w:marTop w:val="0"/>
          <w:marBottom w:val="0"/>
          <w:divBdr>
            <w:top w:val="none" w:sz="0" w:space="0" w:color="auto"/>
            <w:left w:val="none" w:sz="0" w:space="0" w:color="auto"/>
            <w:bottom w:val="none" w:sz="0" w:space="0" w:color="auto"/>
            <w:right w:val="none" w:sz="0" w:space="0" w:color="auto"/>
          </w:divBdr>
        </w:div>
        <w:div w:id="1811551016">
          <w:marLeft w:val="0"/>
          <w:marRight w:val="0"/>
          <w:marTop w:val="0"/>
          <w:marBottom w:val="0"/>
          <w:divBdr>
            <w:top w:val="none" w:sz="0" w:space="0" w:color="auto"/>
            <w:left w:val="none" w:sz="0" w:space="0" w:color="auto"/>
            <w:bottom w:val="none" w:sz="0" w:space="0" w:color="auto"/>
            <w:right w:val="none" w:sz="0" w:space="0" w:color="auto"/>
          </w:divBdr>
        </w:div>
        <w:div w:id="1968536760">
          <w:marLeft w:val="0"/>
          <w:marRight w:val="0"/>
          <w:marTop w:val="0"/>
          <w:marBottom w:val="0"/>
          <w:divBdr>
            <w:top w:val="none" w:sz="0" w:space="0" w:color="auto"/>
            <w:left w:val="none" w:sz="0" w:space="0" w:color="auto"/>
            <w:bottom w:val="none" w:sz="0" w:space="0" w:color="auto"/>
            <w:right w:val="none" w:sz="0" w:space="0" w:color="auto"/>
          </w:divBdr>
        </w:div>
        <w:div w:id="1530605145">
          <w:marLeft w:val="0"/>
          <w:marRight w:val="0"/>
          <w:marTop w:val="0"/>
          <w:marBottom w:val="0"/>
          <w:divBdr>
            <w:top w:val="none" w:sz="0" w:space="0" w:color="auto"/>
            <w:left w:val="none" w:sz="0" w:space="0" w:color="auto"/>
            <w:bottom w:val="none" w:sz="0" w:space="0" w:color="auto"/>
            <w:right w:val="none" w:sz="0" w:space="0" w:color="auto"/>
          </w:divBdr>
        </w:div>
        <w:div w:id="307246456">
          <w:marLeft w:val="0"/>
          <w:marRight w:val="0"/>
          <w:marTop w:val="0"/>
          <w:marBottom w:val="0"/>
          <w:divBdr>
            <w:top w:val="none" w:sz="0" w:space="0" w:color="auto"/>
            <w:left w:val="none" w:sz="0" w:space="0" w:color="auto"/>
            <w:bottom w:val="none" w:sz="0" w:space="0" w:color="auto"/>
            <w:right w:val="none" w:sz="0" w:space="0" w:color="auto"/>
          </w:divBdr>
        </w:div>
        <w:div w:id="1718626067">
          <w:marLeft w:val="0"/>
          <w:marRight w:val="0"/>
          <w:marTop w:val="0"/>
          <w:marBottom w:val="0"/>
          <w:divBdr>
            <w:top w:val="none" w:sz="0" w:space="0" w:color="auto"/>
            <w:left w:val="none" w:sz="0" w:space="0" w:color="auto"/>
            <w:bottom w:val="none" w:sz="0" w:space="0" w:color="auto"/>
            <w:right w:val="none" w:sz="0" w:space="0" w:color="auto"/>
          </w:divBdr>
        </w:div>
        <w:div w:id="676273732">
          <w:marLeft w:val="0"/>
          <w:marRight w:val="0"/>
          <w:marTop w:val="0"/>
          <w:marBottom w:val="0"/>
          <w:divBdr>
            <w:top w:val="none" w:sz="0" w:space="0" w:color="auto"/>
            <w:left w:val="none" w:sz="0" w:space="0" w:color="auto"/>
            <w:bottom w:val="none" w:sz="0" w:space="0" w:color="auto"/>
            <w:right w:val="none" w:sz="0" w:space="0" w:color="auto"/>
          </w:divBdr>
        </w:div>
        <w:div w:id="407576525">
          <w:marLeft w:val="0"/>
          <w:marRight w:val="0"/>
          <w:marTop w:val="0"/>
          <w:marBottom w:val="0"/>
          <w:divBdr>
            <w:top w:val="none" w:sz="0" w:space="0" w:color="auto"/>
            <w:left w:val="none" w:sz="0" w:space="0" w:color="auto"/>
            <w:bottom w:val="none" w:sz="0" w:space="0" w:color="auto"/>
            <w:right w:val="none" w:sz="0" w:space="0" w:color="auto"/>
          </w:divBdr>
        </w:div>
        <w:div w:id="267081240">
          <w:marLeft w:val="0"/>
          <w:marRight w:val="0"/>
          <w:marTop w:val="0"/>
          <w:marBottom w:val="0"/>
          <w:divBdr>
            <w:top w:val="none" w:sz="0" w:space="0" w:color="auto"/>
            <w:left w:val="none" w:sz="0" w:space="0" w:color="auto"/>
            <w:bottom w:val="none" w:sz="0" w:space="0" w:color="auto"/>
            <w:right w:val="none" w:sz="0" w:space="0" w:color="auto"/>
          </w:divBdr>
        </w:div>
      </w:divsChild>
    </w:div>
    <w:div w:id="2013097179">
      <w:bodyDiv w:val="1"/>
      <w:marLeft w:val="0"/>
      <w:marRight w:val="0"/>
      <w:marTop w:val="0"/>
      <w:marBottom w:val="0"/>
      <w:divBdr>
        <w:top w:val="none" w:sz="0" w:space="0" w:color="auto"/>
        <w:left w:val="none" w:sz="0" w:space="0" w:color="auto"/>
        <w:bottom w:val="none" w:sz="0" w:space="0" w:color="auto"/>
        <w:right w:val="none" w:sz="0" w:space="0" w:color="auto"/>
      </w:divBdr>
      <w:divsChild>
        <w:div w:id="1104501856">
          <w:marLeft w:val="0"/>
          <w:marRight w:val="0"/>
          <w:marTop w:val="0"/>
          <w:marBottom w:val="0"/>
          <w:divBdr>
            <w:top w:val="none" w:sz="0" w:space="0" w:color="auto"/>
            <w:left w:val="none" w:sz="0" w:space="0" w:color="auto"/>
            <w:bottom w:val="none" w:sz="0" w:space="0" w:color="auto"/>
            <w:right w:val="none" w:sz="0" w:space="0" w:color="auto"/>
          </w:divBdr>
          <w:divsChild>
            <w:div w:id="1641809488">
              <w:marLeft w:val="0"/>
              <w:marRight w:val="0"/>
              <w:marTop w:val="0"/>
              <w:marBottom w:val="0"/>
              <w:divBdr>
                <w:top w:val="none" w:sz="0" w:space="0" w:color="auto"/>
                <w:left w:val="none" w:sz="0" w:space="0" w:color="auto"/>
                <w:bottom w:val="none" w:sz="0" w:space="0" w:color="auto"/>
                <w:right w:val="none" w:sz="0" w:space="0" w:color="auto"/>
              </w:divBdr>
              <w:divsChild>
                <w:div w:id="14123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6722">
      <w:bodyDiv w:val="1"/>
      <w:marLeft w:val="0"/>
      <w:marRight w:val="0"/>
      <w:marTop w:val="0"/>
      <w:marBottom w:val="0"/>
      <w:divBdr>
        <w:top w:val="none" w:sz="0" w:space="0" w:color="auto"/>
        <w:left w:val="none" w:sz="0" w:space="0" w:color="auto"/>
        <w:bottom w:val="none" w:sz="0" w:space="0" w:color="auto"/>
        <w:right w:val="none" w:sz="0" w:space="0" w:color="auto"/>
      </w:divBdr>
      <w:divsChild>
        <w:div w:id="591085065">
          <w:marLeft w:val="0"/>
          <w:marRight w:val="0"/>
          <w:marTop w:val="0"/>
          <w:marBottom w:val="0"/>
          <w:divBdr>
            <w:top w:val="none" w:sz="0" w:space="0" w:color="auto"/>
            <w:left w:val="none" w:sz="0" w:space="0" w:color="auto"/>
            <w:bottom w:val="none" w:sz="0" w:space="0" w:color="auto"/>
            <w:right w:val="none" w:sz="0" w:space="0" w:color="auto"/>
          </w:divBdr>
          <w:divsChild>
            <w:div w:id="927885030">
              <w:marLeft w:val="0"/>
              <w:marRight w:val="0"/>
              <w:marTop w:val="0"/>
              <w:marBottom w:val="0"/>
              <w:divBdr>
                <w:top w:val="none" w:sz="0" w:space="0" w:color="auto"/>
                <w:left w:val="none" w:sz="0" w:space="0" w:color="auto"/>
                <w:bottom w:val="none" w:sz="0" w:space="0" w:color="auto"/>
                <w:right w:val="none" w:sz="0" w:space="0" w:color="auto"/>
              </w:divBdr>
              <w:divsChild>
                <w:div w:id="7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3219">
      <w:bodyDiv w:val="1"/>
      <w:marLeft w:val="0"/>
      <w:marRight w:val="0"/>
      <w:marTop w:val="0"/>
      <w:marBottom w:val="0"/>
      <w:divBdr>
        <w:top w:val="none" w:sz="0" w:space="0" w:color="auto"/>
        <w:left w:val="none" w:sz="0" w:space="0" w:color="auto"/>
        <w:bottom w:val="none" w:sz="0" w:space="0" w:color="auto"/>
        <w:right w:val="none" w:sz="0" w:space="0" w:color="auto"/>
      </w:divBdr>
    </w:div>
    <w:div w:id="2043630286">
      <w:bodyDiv w:val="1"/>
      <w:marLeft w:val="0"/>
      <w:marRight w:val="0"/>
      <w:marTop w:val="0"/>
      <w:marBottom w:val="0"/>
      <w:divBdr>
        <w:top w:val="none" w:sz="0" w:space="0" w:color="auto"/>
        <w:left w:val="none" w:sz="0" w:space="0" w:color="auto"/>
        <w:bottom w:val="none" w:sz="0" w:space="0" w:color="auto"/>
        <w:right w:val="none" w:sz="0" w:space="0" w:color="auto"/>
      </w:divBdr>
    </w:div>
    <w:div w:id="2066875743">
      <w:bodyDiv w:val="1"/>
      <w:marLeft w:val="0"/>
      <w:marRight w:val="0"/>
      <w:marTop w:val="0"/>
      <w:marBottom w:val="0"/>
      <w:divBdr>
        <w:top w:val="none" w:sz="0" w:space="0" w:color="auto"/>
        <w:left w:val="none" w:sz="0" w:space="0" w:color="auto"/>
        <w:bottom w:val="none" w:sz="0" w:space="0" w:color="auto"/>
        <w:right w:val="none" w:sz="0" w:space="0" w:color="auto"/>
      </w:divBdr>
      <w:divsChild>
        <w:div w:id="1870684113">
          <w:marLeft w:val="0"/>
          <w:marRight w:val="0"/>
          <w:marTop w:val="0"/>
          <w:marBottom w:val="0"/>
          <w:divBdr>
            <w:top w:val="none" w:sz="0" w:space="0" w:color="auto"/>
            <w:left w:val="none" w:sz="0" w:space="0" w:color="auto"/>
            <w:bottom w:val="none" w:sz="0" w:space="0" w:color="auto"/>
            <w:right w:val="none" w:sz="0" w:space="0" w:color="auto"/>
          </w:divBdr>
          <w:divsChild>
            <w:div w:id="663899237">
              <w:marLeft w:val="0"/>
              <w:marRight w:val="0"/>
              <w:marTop w:val="0"/>
              <w:marBottom w:val="0"/>
              <w:divBdr>
                <w:top w:val="none" w:sz="0" w:space="0" w:color="auto"/>
                <w:left w:val="none" w:sz="0" w:space="0" w:color="auto"/>
                <w:bottom w:val="none" w:sz="0" w:space="0" w:color="auto"/>
                <w:right w:val="none" w:sz="0" w:space="0" w:color="auto"/>
              </w:divBdr>
              <w:divsChild>
                <w:div w:id="10326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4704">
      <w:bodyDiv w:val="1"/>
      <w:marLeft w:val="0"/>
      <w:marRight w:val="0"/>
      <w:marTop w:val="0"/>
      <w:marBottom w:val="0"/>
      <w:divBdr>
        <w:top w:val="none" w:sz="0" w:space="0" w:color="auto"/>
        <w:left w:val="none" w:sz="0" w:space="0" w:color="auto"/>
        <w:bottom w:val="none" w:sz="0" w:space="0" w:color="auto"/>
        <w:right w:val="none" w:sz="0" w:space="0" w:color="auto"/>
      </w:divBdr>
      <w:divsChild>
        <w:div w:id="83577164">
          <w:marLeft w:val="0"/>
          <w:marRight w:val="0"/>
          <w:marTop w:val="0"/>
          <w:marBottom w:val="0"/>
          <w:divBdr>
            <w:top w:val="none" w:sz="0" w:space="0" w:color="auto"/>
            <w:left w:val="none" w:sz="0" w:space="0" w:color="auto"/>
            <w:bottom w:val="none" w:sz="0" w:space="0" w:color="auto"/>
            <w:right w:val="none" w:sz="0" w:space="0" w:color="auto"/>
          </w:divBdr>
          <w:divsChild>
            <w:div w:id="1371345761">
              <w:marLeft w:val="0"/>
              <w:marRight w:val="0"/>
              <w:marTop w:val="0"/>
              <w:marBottom w:val="0"/>
              <w:divBdr>
                <w:top w:val="none" w:sz="0" w:space="0" w:color="auto"/>
                <w:left w:val="none" w:sz="0" w:space="0" w:color="auto"/>
                <w:bottom w:val="none" w:sz="0" w:space="0" w:color="auto"/>
                <w:right w:val="none" w:sz="0" w:space="0" w:color="auto"/>
              </w:divBdr>
              <w:divsChild>
                <w:div w:id="799147214">
                  <w:marLeft w:val="0"/>
                  <w:marRight w:val="0"/>
                  <w:marTop w:val="0"/>
                  <w:marBottom w:val="0"/>
                  <w:divBdr>
                    <w:top w:val="none" w:sz="0" w:space="0" w:color="auto"/>
                    <w:left w:val="none" w:sz="0" w:space="0" w:color="auto"/>
                    <w:bottom w:val="none" w:sz="0" w:space="0" w:color="auto"/>
                    <w:right w:val="none" w:sz="0" w:space="0" w:color="auto"/>
                  </w:divBdr>
                  <w:divsChild>
                    <w:div w:id="21012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liament.act.gov.au/Publications/Publica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ct.gov.au/yoursay/our-conversations/we-are-cbr" TargetMode="External"/><Relationship Id="rId3" Type="http://schemas.openxmlformats.org/officeDocument/2006/relationships/hyperlink" Target="http://www.cmd.act.gov.au/open_government/inform/cabinet" TargetMode="External"/><Relationship Id="rId7" Type="http://schemas.openxmlformats.org/officeDocument/2006/relationships/hyperlink" Target="https://www.act.gov.au/yoursay/our-conversations/we-are-cbr" TargetMode="External"/><Relationship Id="rId2" Type="http://schemas.openxmlformats.org/officeDocument/2006/relationships/hyperlink" Target="http://www.cpahq.org/cpahq/Main/Programmes/Benchmarks_for_democratic_Legislatures.aspx" TargetMode="External"/><Relationship Id="rId1" Type="http://schemas.openxmlformats.org/officeDocument/2006/relationships/hyperlink" Target="http://www.cpahq.org/cpahq/cpadocs/Commonwealth%20Latimer%20Principles%20web%20version.pdf" TargetMode="External"/><Relationship Id="rId6" Type="http://schemas.openxmlformats.org/officeDocument/2006/relationships/hyperlink" Target="https://www.legislation.act.gov.au/a/2018-52/" TargetMode="External"/><Relationship Id="rId5" Type="http://schemas.openxmlformats.org/officeDocument/2006/relationships/hyperlink" Target="https://www.parliament.qld.gov.au/documents/assembly/procedures/ParliamentaryProceduresHandbook.pdf" TargetMode="External"/><Relationship Id="rId4" Type="http://schemas.openxmlformats.org/officeDocument/2006/relationships/hyperlink" Target="https://www.parliament.vic.gov.au/assembly/publications-a-research/fact-sheets/2489-fact-sheet-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0F97-BB44-4E72-A53B-F66E293F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16296</Words>
  <Characters>92889</Characters>
  <Application>Microsoft Office Word</Application>
  <DocSecurity>4</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Halligan</dc:creator>
  <cp:keywords/>
  <dc:description/>
  <cp:lastModifiedBy>Pearce, Hannah</cp:lastModifiedBy>
  <cp:revision>2</cp:revision>
  <cp:lastPrinted>2019-09-17T22:53:00Z</cp:lastPrinted>
  <dcterms:created xsi:type="dcterms:W3CDTF">2019-09-17T23:01:00Z</dcterms:created>
  <dcterms:modified xsi:type="dcterms:W3CDTF">2019-09-17T23:01:00Z</dcterms:modified>
</cp:coreProperties>
</file>