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CAB71" w14:textId="5674E8F6" w:rsidR="00F74670" w:rsidRDefault="00F74670" w:rsidP="00F74670">
      <w:pPr>
        <w:spacing w:after="120"/>
        <w:jc w:val="right"/>
        <w:rPr>
          <w:rFonts w:ascii="Times New Roman" w:hAnsi="Times New Roman"/>
          <w:b/>
          <w:color w:val="004E83"/>
          <w:spacing w:val="70"/>
          <w:sz w:val="30"/>
          <w:szCs w:val="30"/>
        </w:rPr>
      </w:pPr>
      <w:r>
        <w:rPr>
          <w:noProof/>
          <w:lang w:eastAsia="en-AU"/>
        </w:rPr>
        <w:drawing>
          <wp:anchor distT="0" distB="0" distL="114300" distR="114300" simplePos="0" relativeHeight="251658240" behindDoc="1" locked="0" layoutInCell="1" allowOverlap="1" wp14:anchorId="1872F024" wp14:editId="5E1A1070">
            <wp:simplePos x="0" y="0"/>
            <wp:positionH relativeFrom="margin">
              <wp:align>right</wp:align>
            </wp:positionH>
            <wp:positionV relativeFrom="paragraph">
              <wp:posOffset>61408</wp:posOffset>
            </wp:positionV>
            <wp:extent cx="964565" cy="982345"/>
            <wp:effectExtent l="0" t="0" r="6985" b="8255"/>
            <wp:wrapTight wrapText="bothSides">
              <wp:wrapPolygon edited="0">
                <wp:start x="0" y="0"/>
                <wp:lineTo x="0" y="21363"/>
                <wp:lineTo x="21330" y="21363"/>
                <wp:lineTo x="213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bel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4565" cy="982345"/>
                    </a:xfrm>
                    <a:prstGeom prst="rect">
                      <a:avLst/>
                    </a:prstGeom>
                  </pic:spPr>
                </pic:pic>
              </a:graphicData>
            </a:graphic>
            <wp14:sizeRelH relativeFrom="margin">
              <wp14:pctWidth>0</wp14:pctWidth>
            </wp14:sizeRelH>
            <wp14:sizeRelV relativeFrom="margin">
              <wp14:pctHeight>0</wp14:pctHeight>
            </wp14:sizeRelV>
          </wp:anchor>
        </w:drawing>
      </w:r>
    </w:p>
    <w:p w14:paraId="7753B8EF" w14:textId="6C21598A" w:rsidR="00F74670" w:rsidRPr="00A65F46" w:rsidRDefault="00F74670" w:rsidP="00F74670">
      <w:pPr>
        <w:spacing w:after="120"/>
        <w:jc w:val="right"/>
        <w:rPr>
          <w:rFonts w:ascii="Times New Roman" w:hAnsi="Times New Roman"/>
          <w:b/>
          <w:color w:val="004E83"/>
          <w:spacing w:val="70"/>
          <w:sz w:val="30"/>
          <w:szCs w:val="30"/>
        </w:rPr>
      </w:pPr>
      <w:r w:rsidRPr="00A65F46">
        <w:rPr>
          <w:rFonts w:ascii="Times New Roman" w:hAnsi="Times New Roman"/>
          <w:b/>
          <w:color w:val="004E83"/>
          <w:spacing w:val="70"/>
          <w:sz w:val="30"/>
          <w:szCs w:val="30"/>
        </w:rPr>
        <w:t>LEGISLATIVE ASSEMBL</w:t>
      </w:r>
      <w:r w:rsidRPr="00A65F46">
        <w:rPr>
          <w:rFonts w:ascii="Times New Roman" w:hAnsi="Times New Roman"/>
          <w:b/>
          <w:color w:val="004E83"/>
          <w:sz w:val="30"/>
          <w:szCs w:val="30"/>
        </w:rPr>
        <w:t>Y</w:t>
      </w:r>
    </w:p>
    <w:p w14:paraId="61EA96D1" w14:textId="224F0D92" w:rsidR="00F74670" w:rsidRDefault="00F74670" w:rsidP="00F74670">
      <w:pPr>
        <w:spacing w:after="120"/>
        <w:jc w:val="right"/>
        <w:rPr>
          <w:rFonts w:ascii="Times New Roman" w:hAnsi="Times New Roman"/>
          <w:b/>
          <w:color w:val="004E83"/>
          <w:spacing w:val="36"/>
          <w:sz w:val="17"/>
          <w:szCs w:val="17"/>
        </w:rPr>
      </w:pPr>
      <w:r w:rsidRPr="00A65F46">
        <w:rPr>
          <w:rFonts w:ascii="Times New Roman" w:hAnsi="Times New Roman"/>
          <w:b/>
          <w:color w:val="004E83"/>
          <w:spacing w:val="36"/>
          <w:sz w:val="17"/>
          <w:szCs w:val="17"/>
        </w:rPr>
        <w:t>FOR THE AUSTRALIAN CAPITAL TERRITORY</w:t>
      </w:r>
    </w:p>
    <w:p w14:paraId="5B86E45F" w14:textId="72F5FAE9" w:rsidR="00F506EB" w:rsidRPr="00E6341F" w:rsidRDefault="000A6BDB" w:rsidP="00CC6CA5">
      <w:pPr>
        <w:pStyle w:val="Heading1"/>
        <w:ind w:left="-1134" w:right="-1023" w:firstLine="2552"/>
        <w:rPr>
          <w:rStyle w:val="Heading2Char"/>
          <w:rFonts w:ascii="Calibri Light" w:hAnsi="Calibri Light"/>
          <w:color w:val="2E74B5" w:themeColor="accent1" w:themeShade="BF"/>
          <w:sz w:val="36"/>
          <w:szCs w:val="44"/>
        </w:rPr>
      </w:pPr>
      <w:r>
        <w:rPr>
          <w:rStyle w:val="Heading2Char"/>
          <w:rFonts w:ascii="Calibri Light" w:hAnsi="Calibri Light"/>
          <w:color w:val="2E74B5" w:themeColor="accent1" w:themeShade="BF"/>
          <w:sz w:val="36"/>
          <w:szCs w:val="44"/>
        </w:rPr>
        <w:t>A</w:t>
      </w:r>
      <w:r w:rsidR="00A441C0" w:rsidRPr="00E6341F">
        <w:rPr>
          <w:rStyle w:val="Heading2Char"/>
          <w:rFonts w:ascii="Calibri Light" w:hAnsi="Calibri Light"/>
          <w:color w:val="2E74B5" w:themeColor="accent1" w:themeShade="BF"/>
          <w:sz w:val="36"/>
          <w:szCs w:val="44"/>
        </w:rPr>
        <w:t>ssessment of performance against the</w:t>
      </w:r>
      <w:r w:rsidR="00CC6CA5">
        <w:rPr>
          <w:rStyle w:val="Heading2Char"/>
          <w:rFonts w:ascii="Calibri Light" w:hAnsi="Calibri Light"/>
          <w:color w:val="2E74B5" w:themeColor="accent1" w:themeShade="BF"/>
          <w:sz w:val="36"/>
          <w:szCs w:val="44"/>
        </w:rPr>
        <w:br/>
      </w:r>
      <w:r w:rsidR="00F00D7B" w:rsidRPr="00E6341F">
        <w:rPr>
          <w:rStyle w:val="Heading2Char"/>
          <w:rFonts w:ascii="Calibri Light" w:hAnsi="Calibri Light"/>
          <w:color w:val="2E74B5" w:themeColor="accent1" w:themeShade="BF"/>
          <w:sz w:val="36"/>
          <w:szCs w:val="44"/>
        </w:rPr>
        <w:t>updated</w:t>
      </w:r>
      <w:r w:rsidR="00E6341F" w:rsidRPr="00E6341F">
        <w:rPr>
          <w:rStyle w:val="Heading2Char"/>
          <w:rFonts w:ascii="Calibri Light" w:hAnsi="Calibri Light"/>
          <w:color w:val="2E74B5" w:themeColor="accent1" w:themeShade="BF"/>
          <w:sz w:val="36"/>
          <w:szCs w:val="44"/>
        </w:rPr>
        <w:t xml:space="preserve"> </w:t>
      </w:r>
      <w:r>
        <w:rPr>
          <w:rStyle w:val="Heading2Char"/>
          <w:rFonts w:ascii="Calibri Light" w:hAnsi="Calibri Light"/>
          <w:color w:val="2E74B5" w:themeColor="accent1" w:themeShade="BF"/>
          <w:sz w:val="36"/>
          <w:szCs w:val="44"/>
        </w:rPr>
        <w:t>r</w:t>
      </w:r>
      <w:r w:rsidR="00A441C0" w:rsidRPr="00E6341F">
        <w:rPr>
          <w:rStyle w:val="Heading2Char"/>
          <w:rFonts w:ascii="Calibri Light" w:hAnsi="Calibri Light"/>
          <w:color w:val="2E74B5" w:themeColor="accent1" w:themeShade="BF"/>
          <w:sz w:val="36"/>
          <w:szCs w:val="44"/>
        </w:rPr>
        <w:t xml:space="preserve">ecommended </w:t>
      </w:r>
      <w:r>
        <w:rPr>
          <w:rStyle w:val="Heading2Char"/>
          <w:rFonts w:ascii="Calibri Light" w:hAnsi="Calibri Light"/>
          <w:color w:val="2E74B5" w:themeColor="accent1" w:themeShade="BF"/>
          <w:sz w:val="36"/>
          <w:szCs w:val="44"/>
        </w:rPr>
        <w:t>b</w:t>
      </w:r>
      <w:r w:rsidR="00A441C0" w:rsidRPr="00E6341F">
        <w:rPr>
          <w:rStyle w:val="Heading2Char"/>
          <w:rFonts w:ascii="Calibri Light" w:hAnsi="Calibri Light"/>
          <w:color w:val="2E74B5" w:themeColor="accent1" w:themeShade="BF"/>
          <w:sz w:val="36"/>
          <w:szCs w:val="44"/>
        </w:rPr>
        <w:t>enchmarks</w:t>
      </w:r>
      <w:r w:rsidR="00E6341F" w:rsidRPr="00E6341F">
        <w:rPr>
          <w:rStyle w:val="Heading2Char"/>
          <w:rFonts w:ascii="Calibri Light" w:hAnsi="Calibri Light"/>
          <w:color w:val="2E74B5" w:themeColor="accent1" w:themeShade="BF"/>
          <w:sz w:val="36"/>
          <w:szCs w:val="44"/>
        </w:rPr>
        <w:t xml:space="preserve"> </w:t>
      </w:r>
      <w:r>
        <w:rPr>
          <w:rStyle w:val="Heading2Char"/>
          <w:rFonts w:ascii="Calibri Light" w:hAnsi="Calibri Light"/>
          <w:color w:val="2E74B5" w:themeColor="accent1" w:themeShade="BF"/>
          <w:sz w:val="36"/>
          <w:szCs w:val="44"/>
        </w:rPr>
        <w:t>f</w:t>
      </w:r>
      <w:r w:rsidR="00A441C0" w:rsidRPr="00E6341F">
        <w:rPr>
          <w:rStyle w:val="Heading2Char"/>
          <w:rFonts w:ascii="Calibri Light" w:hAnsi="Calibri Light"/>
          <w:color w:val="2E74B5" w:themeColor="accent1" w:themeShade="BF"/>
          <w:sz w:val="36"/>
          <w:szCs w:val="44"/>
        </w:rPr>
        <w:t xml:space="preserve">or </w:t>
      </w:r>
      <w:r>
        <w:rPr>
          <w:rStyle w:val="Heading2Char"/>
          <w:rFonts w:ascii="Calibri Light" w:hAnsi="Calibri Light"/>
          <w:color w:val="2E74B5" w:themeColor="accent1" w:themeShade="BF"/>
          <w:sz w:val="36"/>
          <w:szCs w:val="44"/>
        </w:rPr>
        <w:t>d</w:t>
      </w:r>
      <w:r w:rsidR="00A441C0" w:rsidRPr="00E6341F">
        <w:rPr>
          <w:rStyle w:val="Heading2Char"/>
          <w:rFonts w:ascii="Calibri Light" w:hAnsi="Calibri Light"/>
          <w:color w:val="2E74B5" w:themeColor="accent1" w:themeShade="BF"/>
          <w:sz w:val="36"/>
          <w:szCs w:val="44"/>
        </w:rPr>
        <w:t xml:space="preserve">emocratic </w:t>
      </w:r>
      <w:r>
        <w:rPr>
          <w:rStyle w:val="Heading2Char"/>
          <w:rFonts w:ascii="Calibri Light" w:hAnsi="Calibri Light"/>
          <w:color w:val="2E74B5" w:themeColor="accent1" w:themeShade="BF"/>
          <w:sz w:val="36"/>
          <w:szCs w:val="44"/>
        </w:rPr>
        <w:t>l</w:t>
      </w:r>
      <w:r w:rsidR="00A441C0" w:rsidRPr="00E6341F">
        <w:rPr>
          <w:rStyle w:val="Heading2Char"/>
          <w:rFonts w:ascii="Calibri Light" w:hAnsi="Calibri Light"/>
          <w:color w:val="2E74B5" w:themeColor="accent1" w:themeShade="BF"/>
          <w:sz w:val="36"/>
          <w:szCs w:val="44"/>
        </w:rPr>
        <w:t>egislatures</w:t>
      </w:r>
    </w:p>
    <w:p w14:paraId="0A4F7AE7" w14:textId="66DBFF33" w:rsidR="00A441C0" w:rsidRPr="00F74670" w:rsidRDefault="00F96242" w:rsidP="00E6341F">
      <w:pPr>
        <w:pStyle w:val="Heading2"/>
      </w:pPr>
      <w:r w:rsidRPr="00F74670">
        <w:t xml:space="preserve">Background </w:t>
      </w:r>
      <w:r w:rsidR="000A7568" w:rsidRPr="00F74670">
        <w:t>to the assessment</w:t>
      </w:r>
    </w:p>
    <w:p w14:paraId="262AA964" w14:textId="69E32EB0" w:rsidR="00F96242" w:rsidRPr="00F74670" w:rsidRDefault="00F96242" w:rsidP="00F74670">
      <w:pPr>
        <w:pStyle w:val="numberedbody"/>
      </w:pPr>
      <w:r w:rsidRPr="00F74670">
        <w:t xml:space="preserve">In 2018, the Recommended Benchmarks for Democratic Legislatures, which were first developed in 2006, were revised and updated following the work of a study group of CPA </w:t>
      </w:r>
      <w:r w:rsidR="00C75E13" w:rsidRPr="00F74670">
        <w:t xml:space="preserve">members </w:t>
      </w:r>
      <w:r w:rsidRPr="00F74670">
        <w:t xml:space="preserve">representing different Commonwealth regions. The group was organised by the Commonwealth Parliamentary Association Headquarters Secretariat and the Westminster Foundation for Democracy. </w:t>
      </w:r>
    </w:p>
    <w:p w14:paraId="4DB12104" w14:textId="5D90F6BD" w:rsidR="00AB0D8D" w:rsidRPr="00F74670" w:rsidRDefault="00F96242" w:rsidP="00F74670">
      <w:pPr>
        <w:pStyle w:val="numberedbody"/>
      </w:pPr>
      <w:r w:rsidRPr="00F74670">
        <w:t>The Legislative Assembly for the A</w:t>
      </w:r>
      <w:r w:rsidR="00C75E13" w:rsidRPr="00F74670">
        <w:t xml:space="preserve">ustralian Capital Territory </w:t>
      </w:r>
      <w:r w:rsidRPr="00F74670">
        <w:t xml:space="preserve">was the first legislature to measure itself against the 2006 benchmarks. Through that assessment, which was published </w:t>
      </w:r>
      <w:r w:rsidR="00E311EC" w:rsidRPr="00F74670">
        <w:t>in 2008 in The Parliamentarian</w:t>
      </w:r>
      <w:r w:rsidRPr="00F74670">
        <w:t>,</w:t>
      </w:r>
      <w:r w:rsidR="00E311EC" w:rsidRPr="00F74670">
        <w:rPr>
          <w:rStyle w:val="FootnoteReference"/>
        </w:rPr>
        <w:footnoteReference w:id="1"/>
      </w:r>
      <w:r w:rsidRPr="00F74670">
        <w:t xml:space="preserve"> the Assembly was rated as having met 80 of the 87 benchmarks. </w:t>
      </w:r>
    </w:p>
    <w:p w14:paraId="1F4C7F6E" w14:textId="79A02E83" w:rsidR="00F96242" w:rsidRPr="00F74670" w:rsidRDefault="00F96242" w:rsidP="00F74670">
      <w:pPr>
        <w:pStyle w:val="numberedbody"/>
      </w:pPr>
      <w:r w:rsidRPr="00F74670">
        <w:t>With the changes to the benchmarks in 2018, the Office of the Legislative Assembly</w:t>
      </w:r>
      <w:r w:rsidRPr="00F74670">
        <w:rPr>
          <w:rStyle w:val="FootnoteReference"/>
        </w:rPr>
        <w:footnoteReference w:id="2"/>
      </w:r>
      <w:r w:rsidR="00E311EC" w:rsidRPr="00F74670">
        <w:rPr>
          <w:vertAlign w:val="superscript"/>
        </w:rPr>
        <w:t xml:space="preserve"> </w:t>
      </w:r>
      <w:r w:rsidR="00E311EC" w:rsidRPr="00F74670">
        <w:t xml:space="preserve">wished to establish </w:t>
      </w:r>
      <w:r w:rsidR="00A20B48" w:rsidRPr="00F74670">
        <w:t xml:space="preserve">whether </w:t>
      </w:r>
      <w:r w:rsidR="00B0263F" w:rsidRPr="00F74670">
        <w:t>the Assembly’s performance had changed.</w:t>
      </w:r>
    </w:p>
    <w:p w14:paraId="1A44A4AD" w14:textId="1CAFA406" w:rsidR="0013679C" w:rsidRPr="00F74670" w:rsidRDefault="00C67B3A" w:rsidP="00F74670">
      <w:pPr>
        <w:pStyle w:val="numberedbody"/>
      </w:pPr>
      <w:r w:rsidRPr="00F74670">
        <w:t xml:space="preserve">An assessment team, comprising the Clerk of the Legislative Assembly, Tom Duncan, and the Director of the Office of the Clerk, David Skinner, </w:t>
      </w:r>
      <w:r w:rsidR="0013679C" w:rsidRPr="00F74670">
        <w:t xml:space="preserve">applied a </w:t>
      </w:r>
      <w:r w:rsidRPr="00F74670">
        <w:t xml:space="preserve">straightforward assessment </w:t>
      </w:r>
      <w:r w:rsidR="0013679C" w:rsidRPr="00F74670">
        <w:t>method</w:t>
      </w:r>
      <w:r w:rsidRPr="00F74670">
        <w:t xml:space="preserve">. </w:t>
      </w:r>
      <w:r w:rsidR="003F2A35" w:rsidRPr="00F74670">
        <w:t>Recognising that compliance</w:t>
      </w:r>
      <w:r w:rsidR="00BD555F" w:rsidRPr="00F74670">
        <w:t xml:space="preserve"> with the benchmarks </w:t>
      </w:r>
      <w:r w:rsidR="00104AA3" w:rsidRPr="00F74670">
        <w:t>was not a strict binary</w:t>
      </w:r>
      <w:r w:rsidR="003F2A35" w:rsidRPr="00F74670">
        <w:t>, t</w:t>
      </w:r>
      <w:r w:rsidRPr="00F74670">
        <w:t xml:space="preserve">he assessment team </w:t>
      </w:r>
      <w:r w:rsidR="0013679C" w:rsidRPr="00F74670">
        <w:t xml:space="preserve">evaluated </w:t>
      </w:r>
      <w:r w:rsidRPr="00F74670">
        <w:t xml:space="preserve">the Assembly </w:t>
      </w:r>
      <w:r w:rsidR="0013679C" w:rsidRPr="00F74670">
        <w:t>against each benchmark to determine whether</w:t>
      </w:r>
      <w:r w:rsidR="00E11C97" w:rsidRPr="00F74670">
        <w:t xml:space="preserve"> </w:t>
      </w:r>
      <w:r w:rsidR="0013679C" w:rsidRPr="00F74670">
        <w:t>the Assembly:</w:t>
      </w:r>
    </w:p>
    <w:p w14:paraId="60B41977" w14:textId="11254164" w:rsidR="00AB0D8D" w:rsidRPr="00F74670" w:rsidRDefault="00C67B3A" w:rsidP="00F74670">
      <w:pPr>
        <w:pStyle w:val="Bullet"/>
      </w:pPr>
      <w:r w:rsidRPr="00F74670">
        <w:t>f</w:t>
      </w:r>
      <w:r w:rsidR="00AB0D8D" w:rsidRPr="00F74670">
        <w:t>ully complie</w:t>
      </w:r>
      <w:r w:rsidR="00C75E13" w:rsidRPr="00F74670">
        <w:t>d</w:t>
      </w:r>
      <w:r w:rsidR="00AB0D8D" w:rsidRPr="00F74670">
        <w:t xml:space="preserve"> with the spirit and the letter of the benchmark</w:t>
      </w:r>
      <w:r w:rsidRPr="00F74670">
        <w:t>;</w:t>
      </w:r>
    </w:p>
    <w:p w14:paraId="7841C989" w14:textId="7D2E8750" w:rsidR="00AB0D8D" w:rsidRPr="00F74670" w:rsidRDefault="00C67B3A" w:rsidP="00F74670">
      <w:pPr>
        <w:pStyle w:val="Bullet"/>
      </w:pPr>
      <w:r w:rsidRPr="00F74670">
        <w:t>p</w:t>
      </w:r>
      <w:r w:rsidR="00AB0D8D" w:rsidRPr="00F74670">
        <w:t>artially complie</w:t>
      </w:r>
      <w:r w:rsidR="00C75E13" w:rsidRPr="00F74670">
        <w:t>d</w:t>
      </w:r>
      <w:r w:rsidR="00AB0D8D" w:rsidRPr="00F74670">
        <w:t xml:space="preserve"> with the spirit and the letter of the benchmark</w:t>
      </w:r>
      <w:r w:rsidRPr="00F74670">
        <w:t>; or</w:t>
      </w:r>
    </w:p>
    <w:p w14:paraId="0EDD8EC6" w14:textId="0B56D38B" w:rsidR="00AB0D8D" w:rsidRPr="00F74670" w:rsidRDefault="00C67B3A" w:rsidP="00F74670">
      <w:pPr>
        <w:pStyle w:val="Bullet"/>
      </w:pPr>
      <w:r w:rsidRPr="00F74670">
        <w:t>d</w:t>
      </w:r>
      <w:r w:rsidR="00C75E13" w:rsidRPr="00F74670">
        <w:t xml:space="preserve">id </w:t>
      </w:r>
      <w:r w:rsidR="00AB0D8D" w:rsidRPr="00F74670">
        <w:t>not comply with the spirit and the letter of the benchmark</w:t>
      </w:r>
      <w:r w:rsidRPr="00F74670">
        <w:t>.</w:t>
      </w:r>
    </w:p>
    <w:p w14:paraId="6DD11064" w14:textId="23A9CE3A" w:rsidR="00E11C97" w:rsidRPr="00F74670" w:rsidRDefault="0013679C" w:rsidP="00F74670">
      <w:pPr>
        <w:pStyle w:val="numberedbody"/>
      </w:pPr>
      <w:r w:rsidRPr="00F74670">
        <w:lastRenderedPageBreak/>
        <w:t xml:space="preserve">The </w:t>
      </w:r>
      <w:r w:rsidR="00E11C97" w:rsidRPr="00F74670">
        <w:t>assessment team</w:t>
      </w:r>
      <w:r w:rsidRPr="00F74670">
        <w:t xml:space="preserve"> considered the Assembly’s performance against the benchmarks </w:t>
      </w:r>
      <w:r w:rsidR="005A478B" w:rsidRPr="00F74670">
        <w:t xml:space="preserve">with the underlying democratic functions of the legislative branch of government in mind. Parliaments have </w:t>
      </w:r>
      <w:proofErr w:type="gramStart"/>
      <w:r w:rsidR="005A478B" w:rsidRPr="00F74670">
        <w:t>a number of</w:t>
      </w:r>
      <w:proofErr w:type="gramEnd"/>
      <w:r w:rsidR="005A478B" w:rsidRPr="00F74670">
        <w:t xml:space="preserve"> important functions including: the representation of electors, the scrutiny of government and holding the executive to account, and the consideration and passage of legislation. </w:t>
      </w:r>
      <w:r w:rsidR="00E11C97" w:rsidRPr="00F74670">
        <w:t xml:space="preserve">In making its assessments, the assessment team considered </w:t>
      </w:r>
      <w:r w:rsidR="003F2A35" w:rsidRPr="00F74670">
        <w:t xml:space="preserve">relevant </w:t>
      </w:r>
      <w:r w:rsidR="00E11C97" w:rsidRPr="00F74670">
        <w:t xml:space="preserve">statutory and subordinate law, the conventions and practice of the Assembly, the standing orders and resolutions of the Assembly, and relevant statistics associated with the business of the Assembly. </w:t>
      </w:r>
    </w:p>
    <w:p w14:paraId="4AB797BF" w14:textId="54150043" w:rsidR="00E11C97" w:rsidRPr="00F74670" w:rsidRDefault="00E11C97" w:rsidP="00F74670">
      <w:pPr>
        <w:pStyle w:val="numberedbody"/>
      </w:pPr>
      <w:r w:rsidRPr="00F74670">
        <w:t>W</w:t>
      </w:r>
      <w:r w:rsidR="005D348E" w:rsidRPr="00F74670">
        <w:t>here the assessment team considered that the</w:t>
      </w:r>
      <w:r w:rsidR="00B0263F" w:rsidRPr="00F74670">
        <w:t xml:space="preserve"> evidence supported an assessment of full compliance with </w:t>
      </w:r>
      <w:r w:rsidR="005D348E" w:rsidRPr="00F74670">
        <w:t>a benchmark, two points were awarded</w:t>
      </w:r>
      <w:r w:rsidR="00B0263F" w:rsidRPr="00F74670">
        <w:t>, w</w:t>
      </w:r>
      <w:r w:rsidR="005D348E" w:rsidRPr="00F74670">
        <w:t>here the team considered that the</w:t>
      </w:r>
      <w:r w:rsidR="00B0263F" w:rsidRPr="00F74670">
        <w:t xml:space="preserve"> evidence supported partial compliance</w:t>
      </w:r>
      <w:r w:rsidR="005D348E" w:rsidRPr="00F74670">
        <w:t>, one point was awarded, and where the team considered that the</w:t>
      </w:r>
      <w:r w:rsidR="00B0263F" w:rsidRPr="00F74670">
        <w:t xml:space="preserve"> evidence was unable to support compliance, no points </w:t>
      </w:r>
      <w:r w:rsidRPr="00F74670">
        <w:t>were awarded.</w:t>
      </w:r>
      <w:r w:rsidR="00BD555F" w:rsidRPr="00F74670">
        <w:t xml:space="preserve"> Where a </w:t>
      </w:r>
      <w:proofErr w:type="gramStart"/>
      <w:r w:rsidR="00BD555F" w:rsidRPr="00F74670">
        <w:t>particular benchmark</w:t>
      </w:r>
      <w:proofErr w:type="gramEnd"/>
      <w:r w:rsidR="00BD555F" w:rsidRPr="00F74670">
        <w:t xml:space="preserve"> was not relevant to the Assembly—for instance, because it related to a national legislature or a bicameral legislature</w:t>
      </w:r>
      <w:r w:rsidR="00B0263F" w:rsidRPr="00F74670">
        <w:t>—</w:t>
      </w:r>
      <w:r w:rsidR="00BD555F" w:rsidRPr="00F74670">
        <w:t xml:space="preserve">it was excluded from the assessment. </w:t>
      </w:r>
    </w:p>
    <w:p w14:paraId="51E653D1" w14:textId="48215C61" w:rsidR="00104AA3" w:rsidRPr="00F74670" w:rsidRDefault="005A478B" w:rsidP="00F74670">
      <w:pPr>
        <w:pStyle w:val="numberedbody"/>
      </w:pPr>
      <w:r w:rsidRPr="00F74670">
        <w:t xml:space="preserve">Following its own assessment, </w:t>
      </w:r>
      <w:r w:rsidR="0013679C" w:rsidRPr="00F74670">
        <w:t>Emeritus Professor John Warhurst</w:t>
      </w:r>
      <w:r w:rsidR="005409B3" w:rsidRPr="00F74670">
        <w:t xml:space="preserve"> of the Australian National University </w:t>
      </w:r>
      <w:r w:rsidRPr="00F74670">
        <w:t>undertook an external review to validate or invalidate the judgements that had been made by the Office</w:t>
      </w:r>
      <w:r w:rsidR="00B0263F" w:rsidRPr="00F74670">
        <w:t xml:space="preserve"> and to offer any further comment</w:t>
      </w:r>
      <w:r w:rsidRPr="00F74670">
        <w:t xml:space="preserve"> </w:t>
      </w:r>
      <w:r w:rsidR="00E118FB" w:rsidRPr="00F74670">
        <w:t xml:space="preserve">The consideration of assessments was then provided to Members of the Legislative Assembly for comment. Members offered no further comment on the ratings. </w:t>
      </w:r>
    </w:p>
    <w:p w14:paraId="4DBDD8DB" w14:textId="27B59FD7" w:rsidR="0027239D" w:rsidRPr="00F74670" w:rsidRDefault="0027239D" w:rsidP="00F74670">
      <w:pPr>
        <w:pStyle w:val="Heading2"/>
      </w:pPr>
      <w:r w:rsidRPr="00F74670">
        <w:t>Results</w:t>
      </w:r>
    </w:p>
    <w:p w14:paraId="5C76B96C" w14:textId="0CB60BB5" w:rsidR="0027239D" w:rsidRPr="00F74670" w:rsidRDefault="0027239D" w:rsidP="00F74670">
      <w:pPr>
        <w:pStyle w:val="numberedbody"/>
      </w:pPr>
      <w:r w:rsidRPr="00F74670">
        <w:t>When the CPA Study Group re-conside</w:t>
      </w:r>
      <w:r w:rsidR="00117A5D" w:rsidRPr="00F74670">
        <w:t>red the original 87 benchmarks it</w:t>
      </w:r>
      <w:r w:rsidRPr="00F74670">
        <w:t xml:space="preserve"> added a further 47 new benchmarks, bringing the total number of benchmarks to 132. Subject to the views of the Standing Committee on Administration and Procedure, the Assembly has scored 225 marks against a possible score of 246, which, in percentage terms is 91.5% (compared with the 91.9% score obtained in 2008). </w:t>
      </w:r>
    </w:p>
    <w:p w14:paraId="74FED4BF" w14:textId="502FC4E3" w:rsidR="005D348E" w:rsidRPr="005D348E" w:rsidRDefault="00D623A8" w:rsidP="00F74670">
      <w:pPr>
        <w:pStyle w:val="Heading2"/>
      </w:pPr>
      <w:r>
        <w:t>Legislative and procedural references</w:t>
      </w:r>
    </w:p>
    <w:p w14:paraId="6F348DA2" w14:textId="1013923D" w:rsidR="005D348E" w:rsidRPr="00F74670" w:rsidRDefault="005D348E" w:rsidP="00F74670">
      <w:pPr>
        <w:pStyle w:val="numberedbody"/>
      </w:pPr>
      <w:r w:rsidRPr="00F74670">
        <w:t>For ease of reference, below are the primary sources to which readers are directed in confirming assessments made by the assessment team.</w:t>
      </w:r>
    </w:p>
    <w:p w14:paraId="3B0DEED0" w14:textId="77777777" w:rsidR="006F1C39" w:rsidRPr="005D348E" w:rsidRDefault="00014815" w:rsidP="00F74670">
      <w:pPr>
        <w:pStyle w:val="Bullet"/>
      </w:pPr>
      <w:hyperlink r:id="rId9" w:history="1">
        <w:r w:rsidR="006F1C39" w:rsidRPr="006F1C39">
          <w:rPr>
            <w:rStyle w:val="Hyperlink"/>
            <w:i/>
          </w:rPr>
          <w:t>Auditor-General Act 2001</w:t>
        </w:r>
      </w:hyperlink>
      <w:r w:rsidR="006F1C39" w:rsidRPr="005D348E">
        <w:t>—</w:t>
      </w:r>
      <w:r w:rsidR="006F1C39">
        <w:t>provides for the establishment of an Auditor-General.</w:t>
      </w:r>
    </w:p>
    <w:p w14:paraId="181C8114" w14:textId="4B5EBA63" w:rsidR="00D623A8" w:rsidRPr="00D623A8" w:rsidRDefault="00014815" w:rsidP="00F74670">
      <w:pPr>
        <w:pStyle w:val="Bullet"/>
        <w:rPr>
          <w:i/>
        </w:rPr>
      </w:pPr>
      <w:hyperlink r:id="rId10" w:history="1">
        <w:r w:rsidR="00D623A8" w:rsidRPr="00D623A8">
          <w:rPr>
            <w:rStyle w:val="Hyperlink"/>
            <w:i/>
          </w:rPr>
          <w:t>Annual Report (Government Agencies) Act 2004</w:t>
        </w:r>
      </w:hyperlink>
      <w:r w:rsidR="00D623A8">
        <w:rPr>
          <w:i/>
        </w:rPr>
        <w:t>—</w:t>
      </w:r>
      <w:r w:rsidR="00D623A8" w:rsidRPr="00D623A8">
        <w:t>provides for reporting requirements on the part of public sector agencies to ministers and the Assembly.</w:t>
      </w:r>
    </w:p>
    <w:p w14:paraId="208F6F0A" w14:textId="77777777" w:rsidR="006F1C39" w:rsidRPr="005D348E" w:rsidRDefault="00014815" w:rsidP="00F74670">
      <w:pPr>
        <w:pStyle w:val="Bullet"/>
      </w:pPr>
      <w:hyperlink r:id="rId11" w:history="1">
        <w:r w:rsidR="006F1C39" w:rsidRPr="005D348E">
          <w:rPr>
            <w:i/>
            <w:color w:val="0563C1" w:themeColor="hyperlink"/>
            <w:u w:val="single"/>
          </w:rPr>
          <w:t>Australian Capital Territory (Self-Government) Act 1988</w:t>
        </w:r>
      </w:hyperlink>
      <w:r w:rsidR="006F1C39" w:rsidRPr="005D348E">
        <w:rPr>
          <w:i/>
        </w:rPr>
        <w:t xml:space="preserve"> (Clth)</w:t>
      </w:r>
      <w:r w:rsidR="006F1C39" w:rsidRPr="005D348E">
        <w:t xml:space="preserve">—an act of the Commonwealth Parliament and the </w:t>
      </w:r>
      <w:r w:rsidR="006F1C39" w:rsidRPr="005D348E">
        <w:rPr>
          <w:i/>
        </w:rPr>
        <w:t>de facto</w:t>
      </w:r>
      <w:r w:rsidR="006F1C39" w:rsidRPr="005D348E">
        <w:t xml:space="preserve"> constitution of the Australian Capital Territory (ACT)</w:t>
      </w:r>
    </w:p>
    <w:p w14:paraId="39A3A56E" w14:textId="77777777" w:rsidR="006F1C39" w:rsidRPr="005D348E" w:rsidRDefault="00014815" w:rsidP="00F74670">
      <w:pPr>
        <w:pStyle w:val="Bullet"/>
      </w:pPr>
      <w:hyperlink r:id="rId12" w:history="1">
        <w:r w:rsidR="006F1C39" w:rsidRPr="005D348E">
          <w:rPr>
            <w:color w:val="0563C1" w:themeColor="hyperlink"/>
            <w:u w:val="single"/>
          </w:rPr>
          <w:t>Budget protocols agreement for the Office of the Legislative Assembly and Officers of the Legislative Assembly</w:t>
        </w:r>
      </w:hyperlink>
      <w:r w:rsidR="006F1C39" w:rsidRPr="005D348E">
        <w:t>—</w:t>
      </w:r>
      <w:r w:rsidR="006F1C39">
        <w:t>sets our specialised arrangements for the development of the annual budget of the Office of the Legislative Assembly and Officers of the Assembly.</w:t>
      </w:r>
    </w:p>
    <w:p w14:paraId="12BA76F2" w14:textId="481894E0" w:rsidR="00595E1C" w:rsidRPr="00595E1C" w:rsidRDefault="00014815" w:rsidP="00F74670">
      <w:pPr>
        <w:pStyle w:val="Bullet"/>
        <w:rPr>
          <w:rStyle w:val="Hyperlink"/>
          <w:i/>
          <w:color w:val="auto"/>
          <w:u w:val="none"/>
        </w:rPr>
      </w:pPr>
      <w:hyperlink r:id="rId13" w:history="1">
        <w:r w:rsidR="00595E1C" w:rsidRPr="00F443AE">
          <w:rPr>
            <w:rStyle w:val="Hyperlink"/>
            <w:i/>
          </w:rPr>
          <w:t>Companion to the Standing Orders of the Legislative Assembly for the ACT</w:t>
        </w:r>
      </w:hyperlink>
      <w:r w:rsidR="00595E1C">
        <w:t>—which sets out previous decisions (including relevant Speaker’s rulings), practice and procedure of the Assembly.</w:t>
      </w:r>
    </w:p>
    <w:p w14:paraId="328E4309" w14:textId="4F441302" w:rsidR="00D81734" w:rsidRPr="00D81734" w:rsidRDefault="00014815" w:rsidP="00F74670">
      <w:pPr>
        <w:pStyle w:val="Bullet"/>
        <w:rPr>
          <w:i/>
        </w:rPr>
      </w:pPr>
      <w:hyperlink r:id="rId14" w:history="1">
        <w:r w:rsidR="00D81734" w:rsidRPr="00D81734">
          <w:rPr>
            <w:rStyle w:val="Hyperlink"/>
          </w:rPr>
          <w:t>Declarations of members’ interest</w:t>
        </w:r>
      </w:hyperlink>
      <w:r w:rsidR="00D81734">
        <w:rPr>
          <w:i/>
        </w:rPr>
        <w:t>—</w:t>
      </w:r>
      <w:r w:rsidR="00D81734">
        <w:t xml:space="preserve">statements of registrable interests made by members at the commencement of each Assembly and when a change to a member’s interests occurs. </w:t>
      </w:r>
    </w:p>
    <w:p w14:paraId="560E3BC9" w14:textId="77777777" w:rsidR="006F1C39" w:rsidRPr="005D348E" w:rsidRDefault="00014815" w:rsidP="00F74670">
      <w:pPr>
        <w:pStyle w:val="Bullet"/>
        <w:rPr>
          <w:i/>
        </w:rPr>
      </w:pPr>
      <w:hyperlink r:id="rId15" w:history="1">
        <w:r w:rsidR="006F1C39" w:rsidRPr="005D348E">
          <w:rPr>
            <w:i/>
            <w:color w:val="0563C1" w:themeColor="hyperlink"/>
            <w:u w:val="single"/>
          </w:rPr>
          <w:t>Electoral Act 1992</w:t>
        </w:r>
      </w:hyperlink>
      <w:r w:rsidR="006F1C39" w:rsidRPr="005D348E">
        <w:rPr>
          <w:i/>
        </w:rPr>
        <w:t>—</w:t>
      </w:r>
      <w:r w:rsidR="006F1C39" w:rsidRPr="005D348E">
        <w:t>governs the conduct of elections, eligibility of electors and MLAs, election financing and political donations</w:t>
      </w:r>
    </w:p>
    <w:p w14:paraId="7B186B27" w14:textId="77777777" w:rsidR="006F1C39" w:rsidRPr="005D348E" w:rsidRDefault="00014815" w:rsidP="00F74670">
      <w:pPr>
        <w:pStyle w:val="Bullet"/>
      </w:pPr>
      <w:hyperlink r:id="rId16" w:history="1">
        <w:r w:rsidR="006F1C39" w:rsidRPr="005D348E">
          <w:rPr>
            <w:i/>
            <w:color w:val="0563C1" w:themeColor="hyperlink"/>
            <w:u w:val="single"/>
          </w:rPr>
          <w:t>Financial Management Act 1996</w:t>
        </w:r>
      </w:hyperlink>
      <w:r w:rsidR="006F1C39" w:rsidRPr="005D348E">
        <w:t>—establishes the financial management framework for the ACT, including how appropriations and budgets must be developed.</w:t>
      </w:r>
    </w:p>
    <w:p w14:paraId="72D3AEE7" w14:textId="77777777" w:rsidR="006F1C39" w:rsidRPr="005D348E" w:rsidRDefault="00014815" w:rsidP="00F74670">
      <w:pPr>
        <w:pStyle w:val="Bullet"/>
      </w:pPr>
      <w:hyperlink r:id="rId17" w:history="1">
        <w:r w:rsidR="006F1C39" w:rsidRPr="00773FED">
          <w:rPr>
            <w:rStyle w:val="Hyperlink"/>
            <w:i/>
          </w:rPr>
          <w:t>Freedom of Information Act 2016</w:t>
        </w:r>
      </w:hyperlink>
      <w:r w:rsidR="006F1C39" w:rsidRPr="005D348E">
        <w:t>—</w:t>
      </w:r>
      <w:r w:rsidR="006F1C39">
        <w:t>provides a legislative framework for the disclosure of information held by the ACT public sector.</w:t>
      </w:r>
    </w:p>
    <w:p w14:paraId="3DE9B7F3" w14:textId="77777777" w:rsidR="006F1C39" w:rsidRPr="005D348E" w:rsidRDefault="00014815" w:rsidP="00F74670">
      <w:pPr>
        <w:pStyle w:val="Bullet"/>
      </w:pPr>
      <w:hyperlink r:id="rId18" w:history="1">
        <w:r w:rsidR="006F1C39" w:rsidRPr="00773FED">
          <w:rPr>
            <w:rStyle w:val="Hyperlink"/>
            <w:i/>
          </w:rPr>
          <w:t>Integrity Commission Act 2018</w:t>
        </w:r>
      </w:hyperlink>
      <w:r w:rsidR="006F1C39" w:rsidRPr="005D348E">
        <w:t>—</w:t>
      </w:r>
      <w:r w:rsidR="006F1C39">
        <w:t>establishes an independent Integrity Commission responsible for, among other things, investigating and reporting on corruption in the ACT.</w:t>
      </w:r>
    </w:p>
    <w:p w14:paraId="308EB95D" w14:textId="01721305" w:rsidR="00D81734" w:rsidRPr="00D81734" w:rsidRDefault="00014815" w:rsidP="00F74670">
      <w:pPr>
        <w:pStyle w:val="Bullet"/>
      </w:pPr>
      <w:hyperlink r:id="rId19" w:history="1">
        <w:r w:rsidR="00D81734" w:rsidRPr="00D81734">
          <w:rPr>
            <w:rStyle w:val="Hyperlink"/>
          </w:rPr>
          <w:t>Latimer House performance reviews</w:t>
        </w:r>
      </w:hyperlink>
      <w:r w:rsidR="00D81734" w:rsidRPr="00D81734">
        <w:t>—reports are required once per Assembly on the ACT’s performance against the Latimer House Principles</w:t>
      </w:r>
    </w:p>
    <w:p w14:paraId="4A42ABA2" w14:textId="77777777" w:rsidR="006F1C39" w:rsidRPr="005D348E" w:rsidRDefault="00014815" w:rsidP="00F74670">
      <w:pPr>
        <w:pStyle w:val="Bullet"/>
        <w:rPr>
          <w:i/>
        </w:rPr>
      </w:pPr>
      <w:hyperlink r:id="rId20" w:history="1">
        <w:r w:rsidR="006F1C39" w:rsidRPr="005D348E">
          <w:rPr>
            <w:i/>
            <w:color w:val="0563C1" w:themeColor="hyperlink"/>
            <w:u w:val="single"/>
          </w:rPr>
          <w:t>Legislative Assembly (Office of the Legislative Assembly) Act 2012</w:t>
        </w:r>
      </w:hyperlink>
      <w:r w:rsidR="006F1C39" w:rsidRPr="005D348E">
        <w:rPr>
          <w:i/>
        </w:rPr>
        <w:t>—</w:t>
      </w:r>
      <w:r w:rsidR="006F1C39" w:rsidRPr="005D348E">
        <w:t>establishes an independent statutory agency responsible for supporting and advising Members of the Legislative Assembly (MLAs), the Assembly and its committees.</w:t>
      </w:r>
      <w:r w:rsidR="006F1C39" w:rsidRPr="005D348E">
        <w:rPr>
          <w:i/>
        </w:rPr>
        <w:t xml:space="preserve"> </w:t>
      </w:r>
    </w:p>
    <w:p w14:paraId="377208B0" w14:textId="363E6C26" w:rsidR="006F56CE" w:rsidRPr="006F56CE" w:rsidRDefault="00014815" w:rsidP="00F74670">
      <w:pPr>
        <w:pStyle w:val="Bullet"/>
        <w:rPr>
          <w:rStyle w:val="Hyperlink"/>
          <w:color w:val="auto"/>
          <w:u w:val="none"/>
        </w:rPr>
      </w:pPr>
      <w:hyperlink r:id="rId21" w:history="1">
        <w:r w:rsidR="006F56CE" w:rsidRPr="006F56CE">
          <w:rPr>
            <w:rStyle w:val="Hyperlink"/>
            <w:i/>
          </w:rPr>
          <w:t>Legislative Assembly (Members’ staff) Act 1989</w:t>
        </w:r>
      </w:hyperlink>
      <w:r w:rsidR="006F56CE">
        <w:rPr>
          <w:rStyle w:val="Hyperlink"/>
          <w:color w:val="auto"/>
          <w:u w:val="none"/>
        </w:rPr>
        <w:t xml:space="preserve">—provides the basis for employment of political staff. </w:t>
      </w:r>
    </w:p>
    <w:p w14:paraId="1F0CAB08" w14:textId="13C7B750" w:rsidR="007070DE" w:rsidRPr="007070DE" w:rsidRDefault="00014815" w:rsidP="00F74670">
      <w:pPr>
        <w:pStyle w:val="Bullet"/>
        <w:rPr>
          <w:rStyle w:val="Hyperlink"/>
          <w:color w:val="auto"/>
          <w:u w:val="none"/>
        </w:rPr>
      </w:pPr>
      <w:hyperlink r:id="rId22" w:history="1">
        <w:r w:rsidR="007070DE" w:rsidRPr="00D81734">
          <w:rPr>
            <w:rStyle w:val="Hyperlink"/>
            <w:i/>
          </w:rPr>
          <w:t>Oaths and Affirmations Act 1984</w:t>
        </w:r>
        <w:r w:rsidR="007070DE" w:rsidRPr="00D81734">
          <w:rPr>
            <w:rStyle w:val="Hyperlink"/>
            <w:i/>
          </w:rPr>
          <w:softHyphen/>
        </w:r>
      </w:hyperlink>
      <w:r w:rsidR="007070DE">
        <w:rPr>
          <w:rStyle w:val="Hyperlink"/>
          <w:color w:val="auto"/>
          <w:u w:val="none"/>
        </w:rPr>
        <w:t>—makes provision for oaths and affirmations</w:t>
      </w:r>
      <w:r w:rsidR="006F56CE">
        <w:rPr>
          <w:rStyle w:val="Hyperlink"/>
          <w:color w:val="auto"/>
          <w:u w:val="none"/>
        </w:rPr>
        <w:t>.</w:t>
      </w:r>
    </w:p>
    <w:p w14:paraId="7ABF5531" w14:textId="77777777" w:rsidR="006F1C39" w:rsidRPr="005D348E" w:rsidRDefault="00014815" w:rsidP="00F74670">
      <w:pPr>
        <w:pStyle w:val="Bullet"/>
      </w:pPr>
      <w:hyperlink r:id="rId23" w:history="1">
        <w:r w:rsidR="006F1C39" w:rsidRPr="006F1C39">
          <w:rPr>
            <w:rStyle w:val="Hyperlink"/>
            <w:i/>
          </w:rPr>
          <w:t>Ombudsman Act 1989</w:t>
        </w:r>
      </w:hyperlink>
      <w:r w:rsidR="006F1C39" w:rsidRPr="005D348E">
        <w:t>—</w:t>
      </w:r>
      <w:r w:rsidR="006F1C39">
        <w:t xml:space="preserve">provides for the performance of the Ombudsman function by the Commonwealth Ombudsman. </w:t>
      </w:r>
    </w:p>
    <w:p w14:paraId="193435DC" w14:textId="77777777" w:rsidR="006F1C39" w:rsidRPr="005D348E" w:rsidRDefault="00014815" w:rsidP="00F74670">
      <w:pPr>
        <w:pStyle w:val="Bullet"/>
      </w:pPr>
      <w:hyperlink r:id="rId24" w:history="1">
        <w:r w:rsidR="006F1C39" w:rsidRPr="005D348E">
          <w:rPr>
            <w:i/>
            <w:color w:val="0563C1" w:themeColor="hyperlink"/>
            <w:u w:val="single"/>
          </w:rPr>
          <w:t>Parliamentary Privileges Act 1987</w:t>
        </w:r>
      </w:hyperlink>
      <w:r w:rsidR="006F1C39" w:rsidRPr="005D348E">
        <w:t xml:space="preserve"> (Clth)—an act of the Commonwealth Parliament reaffirming the power, immunities and privileges of the Commonwealth Parliament and which also has application to the Legislative Assembly by reason of s 24 of the Self Government Act</w:t>
      </w:r>
    </w:p>
    <w:p w14:paraId="417AF27B" w14:textId="68858B61" w:rsidR="007070DE" w:rsidRPr="007070DE" w:rsidRDefault="00014815" w:rsidP="00F74670">
      <w:pPr>
        <w:pStyle w:val="Bullet"/>
        <w:rPr>
          <w:i/>
        </w:rPr>
      </w:pPr>
      <w:hyperlink r:id="rId25" w:history="1">
        <w:r w:rsidR="007070DE" w:rsidRPr="007070DE">
          <w:rPr>
            <w:rStyle w:val="Hyperlink"/>
            <w:i/>
          </w:rPr>
          <w:t>Protocols for investigating complaints against members</w:t>
        </w:r>
      </w:hyperlink>
      <w:r w:rsidR="007070DE">
        <w:rPr>
          <w:i/>
        </w:rPr>
        <w:t>—</w:t>
      </w:r>
      <w:r w:rsidR="007070DE" w:rsidRPr="007070DE">
        <w:t xml:space="preserve">Establishes </w:t>
      </w:r>
      <w:r w:rsidR="007070DE">
        <w:t>procedures for investigations by the Legislative Assembly Commissioner for Standards.</w:t>
      </w:r>
    </w:p>
    <w:p w14:paraId="41ED28D6" w14:textId="2C839D7D" w:rsidR="006F56CE" w:rsidRPr="006F56CE" w:rsidRDefault="00014815" w:rsidP="00F74670">
      <w:pPr>
        <w:pStyle w:val="Bullet"/>
      </w:pPr>
      <w:hyperlink r:id="rId26" w:history="1">
        <w:r w:rsidR="006F56CE" w:rsidRPr="006F56CE">
          <w:rPr>
            <w:rStyle w:val="Hyperlink"/>
            <w:i/>
          </w:rPr>
          <w:t>Public Interest Disclosure Act 2012</w:t>
        </w:r>
      </w:hyperlink>
      <w:r w:rsidR="006F56CE">
        <w:rPr>
          <w:i/>
        </w:rPr>
        <w:t>—</w:t>
      </w:r>
      <w:r w:rsidR="006F56CE" w:rsidRPr="006F56CE">
        <w:t xml:space="preserve">provides </w:t>
      </w:r>
      <w:r w:rsidR="006F56CE">
        <w:t xml:space="preserve">for </w:t>
      </w:r>
      <w:r w:rsidR="006F56CE" w:rsidRPr="006F56CE">
        <w:t xml:space="preserve">a range of statutory protections for </w:t>
      </w:r>
      <w:proofErr w:type="spellStart"/>
      <w:r w:rsidR="006F56CE" w:rsidRPr="006F56CE">
        <w:t>whistleblowers</w:t>
      </w:r>
      <w:proofErr w:type="spellEnd"/>
      <w:r w:rsidR="006F56CE" w:rsidRPr="006F56CE">
        <w:t xml:space="preserve">. </w:t>
      </w:r>
    </w:p>
    <w:p w14:paraId="0302F28C" w14:textId="77777777" w:rsidR="006F1C39" w:rsidRPr="005D348E" w:rsidRDefault="00014815" w:rsidP="00F74670">
      <w:pPr>
        <w:pStyle w:val="Bullet"/>
      </w:pPr>
      <w:hyperlink r:id="rId27" w:history="1">
        <w:r w:rsidR="006F1C39" w:rsidRPr="005D348E">
          <w:rPr>
            <w:i/>
            <w:color w:val="0563C1" w:themeColor="hyperlink"/>
            <w:u w:val="single"/>
          </w:rPr>
          <w:t>Public Sector Management Act 1994</w:t>
        </w:r>
      </w:hyperlink>
      <w:r w:rsidR="006F1C39" w:rsidRPr="005D348E">
        <w:t>—the legislative framework for the ACT public service and the broader ACT public sector</w:t>
      </w:r>
    </w:p>
    <w:p w14:paraId="0C4F6200" w14:textId="6F69F2E8" w:rsidR="006F1C39" w:rsidRPr="006F1C39" w:rsidRDefault="00014815" w:rsidP="00F74670">
      <w:pPr>
        <w:pStyle w:val="Bullet"/>
      </w:pPr>
      <w:hyperlink r:id="rId28" w:history="1">
        <w:r w:rsidR="006F1C39" w:rsidRPr="006F1C39">
          <w:rPr>
            <w:rStyle w:val="Hyperlink"/>
            <w:i/>
          </w:rPr>
          <w:t>Remuneration Tribunal Act 1995</w:t>
        </w:r>
      </w:hyperlink>
      <w:r w:rsidR="006F1C39">
        <w:t>—provides for the establishment of the ACT Remuneration Tribunal with responsibility for determining the remuneration of certain official positions in the ACT.</w:t>
      </w:r>
    </w:p>
    <w:p w14:paraId="0AC5879F" w14:textId="77DB6AAF" w:rsidR="00D623A8" w:rsidRPr="00152242" w:rsidRDefault="00014815" w:rsidP="00F74670">
      <w:pPr>
        <w:pStyle w:val="Bullet"/>
      </w:pPr>
      <w:hyperlink r:id="rId29" w:history="1">
        <w:r w:rsidR="006F1C39" w:rsidRPr="00D52313">
          <w:rPr>
            <w:color w:val="0563C1" w:themeColor="hyperlink"/>
            <w:u w:val="single"/>
          </w:rPr>
          <w:t>Standing Orders and Continuing Resolutions of the Assembly</w:t>
        </w:r>
      </w:hyperlink>
      <w:r w:rsidR="006F1C39" w:rsidRPr="005D348E">
        <w:t>—sets out the Assembly’s own rules for the conduct of business and the</w:t>
      </w:r>
      <w:r w:rsidR="00D81734">
        <w:t xml:space="preserve"> functioning of the legislature.</w:t>
      </w:r>
      <w:r w:rsidR="00D623A8">
        <w:br w:type="page"/>
      </w:r>
    </w:p>
    <w:p w14:paraId="51A9E967" w14:textId="62D719FD" w:rsidR="00D623A8" w:rsidRDefault="00F74670" w:rsidP="00F74670">
      <w:pPr>
        <w:pStyle w:val="Heading3"/>
      </w:pPr>
      <w:r>
        <w:lastRenderedPageBreak/>
        <w:t xml:space="preserve">Table: </w:t>
      </w:r>
      <w:r w:rsidR="003878EB">
        <w:t>Performance of Legislative Assembly against b</w:t>
      </w:r>
      <w:r>
        <w:t>enchmarks with rating and commentary</w:t>
      </w:r>
    </w:p>
    <w:tbl>
      <w:tblPr>
        <w:tblStyle w:val="TableGrid"/>
        <w:tblW w:w="14879" w:type="dxa"/>
        <w:tblLayout w:type="fixed"/>
        <w:tblLook w:val="04A0" w:firstRow="1" w:lastRow="0" w:firstColumn="1" w:lastColumn="0" w:noHBand="0" w:noVBand="1"/>
      </w:tblPr>
      <w:tblGrid>
        <w:gridCol w:w="5098"/>
        <w:gridCol w:w="1276"/>
        <w:gridCol w:w="8505"/>
      </w:tblGrid>
      <w:tr w:rsidR="00AA0DCC" w:rsidRPr="003878EB" w14:paraId="5343A76C" w14:textId="77777777" w:rsidTr="00847F32">
        <w:trPr>
          <w:tblHeader/>
        </w:trPr>
        <w:tc>
          <w:tcPr>
            <w:tcW w:w="5098" w:type="dxa"/>
            <w:tcBorders>
              <w:bottom w:val="single" w:sz="4" w:space="0" w:color="auto"/>
            </w:tcBorders>
            <w:shd w:val="clear" w:color="auto" w:fill="F2F2F2" w:themeFill="background1" w:themeFillShade="F2"/>
          </w:tcPr>
          <w:p w14:paraId="693DD062" w14:textId="77777777" w:rsidR="00AA0DCC" w:rsidRPr="003878EB" w:rsidRDefault="00AA0DCC" w:rsidP="003878EB">
            <w:pPr>
              <w:pStyle w:val="Tableheading1"/>
            </w:pPr>
            <w:r w:rsidRPr="003878EB">
              <w:t>Benchmark</w:t>
            </w:r>
          </w:p>
        </w:tc>
        <w:tc>
          <w:tcPr>
            <w:tcW w:w="1276" w:type="dxa"/>
            <w:tcBorders>
              <w:bottom w:val="single" w:sz="4" w:space="0" w:color="auto"/>
            </w:tcBorders>
            <w:shd w:val="clear" w:color="auto" w:fill="F2F2F2" w:themeFill="background1" w:themeFillShade="F2"/>
          </w:tcPr>
          <w:p w14:paraId="03703458" w14:textId="43A49964" w:rsidR="00AA0DCC" w:rsidRPr="003878EB" w:rsidRDefault="00AA0DCC" w:rsidP="003878EB">
            <w:pPr>
              <w:pStyle w:val="Tableheading1"/>
            </w:pPr>
            <w:r w:rsidRPr="003878EB">
              <w:t>Rating</w:t>
            </w:r>
          </w:p>
        </w:tc>
        <w:tc>
          <w:tcPr>
            <w:tcW w:w="8505" w:type="dxa"/>
            <w:tcBorders>
              <w:bottom w:val="single" w:sz="4" w:space="0" w:color="auto"/>
            </w:tcBorders>
            <w:shd w:val="clear" w:color="auto" w:fill="F2F2F2" w:themeFill="background1" w:themeFillShade="F2"/>
          </w:tcPr>
          <w:p w14:paraId="0294C74C" w14:textId="2D97510D" w:rsidR="00AA0DCC" w:rsidRPr="003878EB" w:rsidRDefault="00AA0DCC" w:rsidP="003878EB">
            <w:pPr>
              <w:pStyle w:val="Tableheading1"/>
            </w:pPr>
            <w:r w:rsidRPr="003878EB">
              <w:t>Commentary</w:t>
            </w:r>
          </w:p>
        </w:tc>
      </w:tr>
      <w:tr w:rsidR="00AA0DCC" w:rsidRPr="00C30366" w14:paraId="22C03DCF"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657ACA53" w14:textId="77777777" w:rsidR="00AA0DCC" w:rsidRPr="00C30366" w:rsidRDefault="00AA0DCC" w:rsidP="00C30366">
            <w:pPr>
              <w:pStyle w:val="Tableheading2"/>
            </w:pPr>
            <w:r w:rsidRPr="00C30366">
              <w:t>General</w:t>
            </w:r>
          </w:p>
        </w:tc>
        <w:tc>
          <w:tcPr>
            <w:tcW w:w="1276" w:type="dxa"/>
            <w:tcBorders>
              <w:top w:val="single" w:sz="4" w:space="0" w:color="auto"/>
              <w:left w:val="nil"/>
              <w:bottom w:val="single" w:sz="4" w:space="0" w:color="auto"/>
              <w:right w:val="nil"/>
            </w:tcBorders>
            <w:shd w:val="clear" w:color="auto" w:fill="F2F2F2" w:themeFill="background1" w:themeFillShade="F2"/>
          </w:tcPr>
          <w:p w14:paraId="32B0C82A" w14:textId="77777777" w:rsidR="00AA0DCC" w:rsidRPr="00C30366" w:rsidRDefault="00AA0DCC" w:rsidP="00C30366">
            <w:pPr>
              <w:pStyle w:val="Tableheading2"/>
            </w:pPr>
          </w:p>
        </w:tc>
        <w:tc>
          <w:tcPr>
            <w:tcW w:w="8505" w:type="dxa"/>
            <w:tcBorders>
              <w:top w:val="single" w:sz="4" w:space="0" w:color="auto"/>
              <w:left w:val="nil"/>
              <w:bottom w:val="single" w:sz="4" w:space="0" w:color="auto"/>
              <w:right w:val="nil"/>
            </w:tcBorders>
            <w:shd w:val="clear" w:color="auto" w:fill="F2F2F2" w:themeFill="background1" w:themeFillShade="F2"/>
          </w:tcPr>
          <w:p w14:paraId="42FBD052" w14:textId="77777777" w:rsidR="00AA0DCC" w:rsidRPr="00C30366" w:rsidRDefault="00AA0DCC" w:rsidP="00C30366">
            <w:pPr>
              <w:pStyle w:val="Tableheading2"/>
            </w:pPr>
          </w:p>
        </w:tc>
      </w:tr>
      <w:tr w:rsidR="00AA0DCC" w:rsidRPr="00C30366" w14:paraId="1E998A33"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440FFBFA" w14:textId="77777777" w:rsidR="00AA0DCC" w:rsidRPr="00C30366" w:rsidRDefault="00AA0DCC" w:rsidP="00C30366">
            <w:pPr>
              <w:pStyle w:val="Tableheading3"/>
            </w:pPr>
            <w:r w:rsidRPr="00C30366">
              <w:t>Elections</w:t>
            </w:r>
          </w:p>
        </w:tc>
        <w:tc>
          <w:tcPr>
            <w:tcW w:w="1276" w:type="dxa"/>
            <w:tcBorders>
              <w:top w:val="single" w:sz="4" w:space="0" w:color="auto"/>
              <w:left w:val="nil"/>
              <w:bottom w:val="single" w:sz="4" w:space="0" w:color="auto"/>
              <w:right w:val="nil"/>
            </w:tcBorders>
            <w:shd w:val="clear" w:color="auto" w:fill="F2F2F2" w:themeFill="background1" w:themeFillShade="F2"/>
          </w:tcPr>
          <w:p w14:paraId="34426E21" w14:textId="77777777" w:rsidR="00AA0DCC" w:rsidRPr="00C30366"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7387A653" w14:textId="77777777" w:rsidR="00AA0DCC" w:rsidRPr="00C30366" w:rsidRDefault="00AA0DCC" w:rsidP="00C30366">
            <w:pPr>
              <w:pStyle w:val="Tableheading3"/>
            </w:pPr>
          </w:p>
        </w:tc>
      </w:tr>
      <w:tr w:rsidR="00AA0DCC" w14:paraId="5D2F0C07" w14:textId="77777777" w:rsidTr="00847F32">
        <w:trPr>
          <w:trHeight w:val="2494"/>
        </w:trPr>
        <w:tc>
          <w:tcPr>
            <w:tcW w:w="5098" w:type="dxa"/>
            <w:tcBorders>
              <w:top w:val="single" w:sz="4" w:space="0" w:color="auto"/>
            </w:tcBorders>
            <w:shd w:val="clear" w:color="auto" w:fill="FFFFFF" w:themeFill="background1"/>
          </w:tcPr>
          <w:p w14:paraId="03578266" w14:textId="77777777" w:rsidR="00AA0DCC" w:rsidRDefault="00AA0DCC" w:rsidP="006F4774">
            <w:pPr>
              <w:pStyle w:val="Tabletextnumbered"/>
            </w:pPr>
            <w:r>
              <w:t>1</w:t>
            </w:r>
            <w:r w:rsidRPr="00C30366">
              <w:rPr>
                <w:shd w:val="clear" w:color="auto" w:fill="FFFFFF" w:themeFill="background1"/>
              </w:rPr>
              <w:t>.1.1 Members of the popularly elected or only house shall be elected by direct universal and equal suffrage in a free and secret ballot.</w:t>
            </w:r>
          </w:p>
        </w:tc>
        <w:tc>
          <w:tcPr>
            <w:tcW w:w="1276" w:type="dxa"/>
            <w:tcBorders>
              <w:top w:val="single" w:sz="4" w:space="0" w:color="auto"/>
            </w:tcBorders>
            <w:shd w:val="clear" w:color="auto" w:fill="E2EFD9" w:themeFill="accent6" w:themeFillTint="33"/>
          </w:tcPr>
          <w:p w14:paraId="4F323B8D" w14:textId="77777777" w:rsidR="00AA0DCC" w:rsidRDefault="00AA0DCC" w:rsidP="006F4774">
            <w:pPr>
              <w:pStyle w:val="Tabletext"/>
            </w:pPr>
            <w:r>
              <w:t>2</w:t>
            </w:r>
          </w:p>
        </w:tc>
        <w:tc>
          <w:tcPr>
            <w:tcW w:w="8505" w:type="dxa"/>
            <w:tcBorders>
              <w:top w:val="single" w:sz="4" w:space="0" w:color="auto"/>
            </w:tcBorders>
          </w:tcPr>
          <w:p w14:paraId="5523686A" w14:textId="4366AAC0" w:rsidR="00AA0DCC" w:rsidRDefault="00AA0DCC" w:rsidP="006F4774">
            <w:pPr>
              <w:pStyle w:val="Tabletext"/>
            </w:pPr>
            <w:r>
              <w:t xml:space="preserve">The </w:t>
            </w:r>
            <w:r w:rsidRPr="005B2F18">
              <w:rPr>
                <w:i/>
              </w:rPr>
              <w:t>Electoral Act 1992</w:t>
            </w:r>
            <w:r>
              <w:rPr>
                <w:i/>
              </w:rPr>
              <w:t xml:space="preserve"> </w:t>
            </w:r>
            <w:r>
              <w:t>provides for direct election of Members.</w:t>
            </w:r>
          </w:p>
          <w:p w14:paraId="4BD389D7" w14:textId="54B16B07" w:rsidR="00AA0DCC" w:rsidRDefault="00AA0DCC" w:rsidP="006F4774">
            <w:pPr>
              <w:pStyle w:val="Tabletext"/>
            </w:pPr>
            <w:r>
              <w:t>The Legislative Assembly is unicameral and its Members (MLAs) are elected via the Hare-Clarke electoral system of proportional representation.</w:t>
            </w:r>
          </w:p>
          <w:p w14:paraId="1A17D3A5" w14:textId="3563DF3C" w:rsidR="00AA0DCC" w:rsidRDefault="00AA0DCC" w:rsidP="006F4774">
            <w:pPr>
              <w:pStyle w:val="Tabletext"/>
            </w:pPr>
            <w:r>
              <w:t xml:space="preserve">All persons eligible to be on the Commonwealth electoral roll (see </w:t>
            </w:r>
            <w:r>
              <w:br/>
              <w:t xml:space="preserve">s 94(1)(b)(ii) of the </w:t>
            </w:r>
            <w:r w:rsidRPr="00106B09">
              <w:rPr>
                <w:i/>
              </w:rPr>
              <w:t>Commonwealth Electoral Act 1918,</w:t>
            </w:r>
            <w:r>
              <w:t xml:space="preserve"> which provides that Australian citizens are entitled to enrolment) who reside in the ACT must be on the ACT electoral roll (see ss 72-73) and are required to vote (s 129).</w:t>
            </w:r>
          </w:p>
          <w:p w14:paraId="08FCE06A" w14:textId="77777777" w:rsidR="00AA0DCC" w:rsidRPr="005B2F18" w:rsidRDefault="00AA0DCC" w:rsidP="006F4774">
            <w:pPr>
              <w:pStyle w:val="Tabletext"/>
            </w:pPr>
            <w:r>
              <w:t>The identification of a voter and votes is prohibited under s 318 of the Act.</w:t>
            </w:r>
          </w:p>
        </w:tc>
      </w:tr>
      <w:tr w:rsidR="00AA0DCC" w14:paraId="4389D959" w14:textId="77777777" w:rsidTr="00847F32">
        <w:tc>
          <w:tcPr>
            <w:tcW w:w="5098" w:type="dxa"/>
            <w:shd w:val="clear" w:color="auto" w:fill="FFFFFF" w:themeFill="background1"/>
          </w:tcPr>
          <w:p w14:paraId="5BECDAAF" w14:textId="6B3F364A" w:rsidR="00AA0DCC" w:rsidRDefault="00AA0DCC" w:rsidP="006F4774">
            <w:pPr>
              <w:pStyle w:val="Tabletextnumbered"/>
            </w:pPr>
            <w:r>
              <w:t>1.1.2 Legislative elections shall meet international standards for genuine and transparent elections.</w:t>
            </w:r>
          </w:p>
        </w:tc>
        <w:tc>
          <w:tcPr>
            <w:tcW w:w="1276" w:type="dxa"/>
            <w:shd w:val="clear" w:color="auto" w:fill="E2EFD9" w:themeFill="accent6" w:themeFillTint="33"/>
          </w:tcPr>
          <w:p w14:paraId="288E426B" w14:textId="77777777" w:rsidR="00AA0DCC" w:rsidRDefault="00AA0DCC" w:rsidP="006F4774">
            <w:pPr>
              <w:pStyle w:val="Tabletext"/>
            </w:pPr>
            <w:r>
              <w:t>2</w:t>
            </w:r>
          </w:p>
        </w:tc>
        <w:tc>
          <w:tcPr>
            <w:tcW w:w="8505" w:type="dxa"/>
          </w:tcPr>
          <w:p w14:paraId="7496CA5A" w14:textId="77777777" w:rsidR="00AA0DCC" w:rsidRDefault="00AA0DCC" w:rsidP="006F4774">
            <w:pPr>
              <w:pStyle w:val="Tabletext"/>
            </w:pPr>
            <w:r>
              <w:t xml:space="preserve">The </w:t>
            </w:r>
            <w:r w:rsidRPr="00F955FF">
              <w:t>Electoral Act sets</w:t>
            </w:r>
            <w:r>
              <w:t xml:space="preserve"> out comprehensive provisions for the conduct of fair, genuine, transparent elections that meet international norms and standards. </w:t>
            </w:r>
          </w:p>
        </w:tc>
      </w:tr>
      <w:tr w:rsidR="00AA0DCC" w14:paraId="32DB2611" w14:textId="77777777" w:rsidTr="00847F32">
        <w:tc>
          <w:tcPr>
            <w:tcW w:w="5098" w:type="dxa"/>
            <w:shd w:val="clear" w:color="auto" w:fill="FFFFFF" w:themeFill="background1"/>
          </w:tcPr>
          <w:p w14:paraId="1A6405C6" w14:textId="77777777" w:rsidR="00AA0DCC" w:rsidRDefault="00AA0DCC" w:rsidP="006F4774">
            <w:pPr>
              <w:pStyle w:val="Tabletextnumbered"/>
            </w:pPr>
            <w:r>
              <w:t>1.1.3 Term lengths for Members of the popular house shall reflect the need for accountability through regular and periodic legislative elections.</w:t>
            </w:r>
          </w:p>
        </w:tc>
        <w:tc>
          <w:tcPr>
            <w:tcW w:w="1276" w:type="dxa"/>
            <w:shd w:val="clear" w:color="auto" w:fill="E2EFD9" w:themeFill="accent6" w:themeFillTint="33"/>
          </w:tcPr>
          <w:p w14:paraId="0A3E39A0" w14:textId="77777777" w:rsidR="00AA0DCC" w:rsidRDefault="00AA0DCC" w:rsidP="006F4774">
            <w:pPr>
              <w:pStyle w:val="Tabletext"/>
            </w:pPr>
            <w:r>
              <w:t>2</w:t>
            </w:r>
          </w:p>
        </w:tc>
        <w:tc>
          <w:tcPr>
            <w:tcW w:w="8505" w:type="dxa"/>
          </w:tcPr>
          <w:p w14:paraId="1035678D" w14:textId="480CC3E8" w:rsidR="00AA0DCC" w:rsidRDefault="00AA0DCC" w:rsidP="006F4774">
            <w:pPr>
              <w:pStyle w:val="Tabletext"/>
            </w:pPr>
            <w:r>
              <w:t>There are fixed four</w:t>
            </w:r>
            <w:r w:rsidR="00C30366">
              <w:t>-</w:t>
            </w:r>
            <w:r>
              <w:t>year terms for the Legislative Assembly (s 100 of the Electoral Act).</w:t>
            </w:r>
          </w:p>
        </w:tc>
      </w:tr>
      <w:tr w:rsidR="00AA0DCC" w14:paraId="31F2607D" w14:textId="77777777" w:rsidTr="00847F32">
        <w:trPr>
          <w:trHeight w:val="4167"/>
        </w:trPr>
        <w:tc>
          <w:tcPr>
            <w:tcW w:w="5098" w:type="dxa"/>
            <w:shd w:val="clear" w:color="auto" w:fill="FFFFFF" w:themeFill="background1"/>
          </w:tcPr>
          <w:p w14:paraId="4A83DF29" w14:textId="2FBF9E7B" w:rsidR="00AA0DCC" w:rsidRDefault="00AA0DCC" w:rsidP="006F4774">
            <w:pPr>
              <w:pStyle w:val="Tabletextnumbered"/>
            </w:pPr>
            <w:r>
              <w:lastRenderedPageBreak/>
              <w:t>1.1.4 There shall be legislation to ensure campaign finance laws are in place to regulate the manner and extent to which political parties and candidates may receive monetary contributions from individuals and corporations.</w:t>
            </w:r>
          </w:p>
        </w:tc>
        <w:tc>
          <w:tcPr>
            <w:tcW w:w="1276" w:type="dxa"/>
            <w:shd w:val="clear" w:color="auto" w:fill="E2EFD9" w:themeFill="accent6" w:themeFillTint="33"/>
          </w:tcPr>
          <w:p w14:paraId="40150D93" w14:textId="77777777" w:rsidR="00AA0DCC" w:rsidRDefault="00AA0DCC" w:rsidP="006F4774">
            <w:pPr>
              <w:pStyle w:val="Tabletext"/>
            </w:pPr>
            <w:r>
              <w:t>2</w:t>
            </w:r>
          </w:p>
        </w:tc>
        <w:tc>
          <w:tcPr>
            <w:tcW w:w="8505" w:type="dxa"/>
          </w:tcPr>
          <w:p w14:paraId="0E568453" w14:textId="0C7CDA2A" w:rsidR="00AA0DCC" w:rsidRDefault="00AA0DCC" w:rsidP="006F4774">
            <w:pPr>
              <w:pStyle w:val="Tabletext"/>
            </w:pPr>
            <w:r>
              <w:t xml:space="preserve">The Electoral Act includes </w:t>
            </w:r>
            <w:proofErr w:type="gramStart"/>
            <w:r>
              <w:t>a large number of</w:t>
            </w:r>
            <w:proofErr w:type="gramEnd"/>
            <w:r>
              <w:t xml:space="preserve"> provisions regulating the manner in which campaign financing occurs, including limitations of electoral expenditure and disclosure requirements (see part 14 of the Act). Provisions include:</w:t>
            </w:r>
          </w:p>
          <w:p w14:paraId="2CCA33E2" w14:textId="77777777" w:rsidR="00AA0DCC" w:rsidRDefault="00AA0DCC" w:rsidP="00152242">
            <w:pPr>
              <w:pStyle w:val="Tabletextbullet"/>
            </w:pPr>
            <w:r>
              <w:t>Disclosure periods;</w:t>
            </w:r>
          </w:p>
          <w:p w14:paraId="263E1118" w14:textId="4F32A294" w:rsidR="00AA0DCC" w:rsidRDefault="00AA0DCC" w:rsidP="00152242">
            <w:pPr>
              <w:pStyle w:val="Tabletextbullet"/>
            </w:pPr>
            <w:r>
              <w:t>Gifts—determination of amounts;</w:t>
            </w:r>
          </w:p>
          <w:p w14:paraId="5E57E9EC" w14:textId="77777777" w:rsidR="00AA0DCC" w:rsidRDefault="00AA0DCC" w:rsidP="00152242">
            <w:pPr>
              <w:pStyle w:val="Tabletextbullet"/>
            </w:pPr>
            <w:r>
              <w:t>Reporting agents;</w:t>
            </w:r>
          </w:p>
          <w:p w14:paraId="69F690E7" w14:textId="6493ED71" w:rsidR="00AA0DCC" w:rsidRDefault="00AA0DCC" w:rsidP="00152242">
            <w:pPr>
              <w:pStyle w:val="Tabletextbullet"/>
            </w:pPr>
            <w:r>
              <w:t>Requirements for registers of reporting agents;</w:t>
            </w:r>
          </w:p>
          <w:p w14:paraId="366B7BF0" w14:textId="40549834" w:rsidR="00AA0DCC" w:rsidRDefault="00AA0DCC" w:rsidP="00152242">
            <w:pPr>
              <w:pStyle w:val="Tabletextbullet"/>
            </w:pPr>
            <w:r>
              <w:t>Expenditure limits for party groupings, Members, associated entities, candidates, and third-party campaigners</w:t>
            </w:r>
          </w:p>
          <w:p w14:paraId="085FDA8F" w14:textId="52B90DD7" w:rsidR="00AA0DCC" w:rsidRDefault="00AA0DCC" w:rsidP="00152242">
            <w:pPr>
              <w:pStyle w:val="Tabletextbullet"/>
            </w:pPr>
            <w:r>
              <w:t>Limits on spending—payments from related parties;</w:t>
            </w:r>
          </w:p>
          <w:p w14:paraId="60F01B85" w14:textId="6CEA0704" w:rsidR="00AA0DCC" w:rsidRDefault="00AA0DCC" w:rsidP="00152242">
            <w:pPr>
              <w:pStyle w:val="Tabletextbullet"/>
            </w:pPr>
            <w:r>
              <w:t>Records and regular disclosure of gifts.</w:t>
            </w:r>
          </w:p>
          <w:p w14:paraId="02B6868A" w14:textId="3B03A710" w:rsidR="00AA0DCC" w:rsidRDefault="00AA0DCC" w:rsidP="006F4774">
            <w:pPr>
              <w:pStyle w:val="Tabletext"/>
            </w:pPr>
            <w:r>
              <w:t xml:space="preserve">It is a substantial legislative framework for the regulation of the receipt by candidates and parties of monetary contributions from both individuals and corporations.  </w:t>
            </w:r>
          </w:p>
        </w:tc>
      </w:tr>
      <w:tr w:rsidR="00AA0DCC" w14:paraId="3A6B2B74" w14:textId="77777777" w:rsidTr="00847F32">
        <w:tc>
          <w:tcPr>
            <w:tcW w:w="5098" w:type="dxa"/>
            <w:tcBorders>
              <w:bottom w:val="single" w:sz="4" w:space="0" w:color="auto"/>
            </w:tcBorders>
            <w:shd w:val="clear" w:color="auto" w:fill="FFFFFF" w:themeFill="background1"/>
          </w:tcPr>
          <w:p w14:paraId="4F4B9612" w14:textId="38763549" w:rsidR="00AA0DCC" w:rsidRDefault="00AA0DCC" w:rsidP="00152242">
            <w:pPr>
              <w:pStyle w:val="Tabletextnumbered"/>
            </w:pPr>
            <w:r>
              <w:t>1.1.5 An independent Electoral Commission or similar authority shall be established for the management of the conduct of elections and its tasks</w:t>
            </w:r>
            <w:r w:rsidR="00152242">
              <w:t xml:space="preserve"> </w:t>
            </w:r>
            <w:r>
              <w:t>shall include monitoring the election expenses of parliamentary candidates and political parties.</w:t>
            </w:r>
          </w:p>
        </w:tc>
        <w:tc>
          <w:tcPr>
            <w:tcW w:w="1276" w:type="dxa"/>
            <w:tcBorders>
              <w:bottom w:val="single" w:sz="4" w:space="0" w:color="auto"/>
            </w:tcBorders>
            <w:shd w:val="clear" w:color="auto" w:fill="E2EFD9" w:themeFill="accent6" w:themeFillTint="33"/>
          </w:tcPr>
          <w:p w14:paraId="21C91CBD" w14:textId="77777777" w:rsidR="00AA0DCC" w:rsidRDefault="00AA0DCC" w:rsidP="006F4774">
            <w:pPr>
              <w:pStyle w:val="Tabletext"/>
            </w:pPr>
            <w:r>
              <w:t>2</w:t>
            </w:r>
          </w:p>
        </w:tc>
        <w:tc>
          <w:tcPr>
            <w:tcW w:w="8505" w:type="dxa"/>
            <w:tcBorders>
              <w:bottom w:val="single" w:sz="4" w:space="0" w:color="auto"/>
            </w:tcBorders>
          </w:tcPr>
          <w:p w14:paraId="3B603D3A" w14:textId="77777777" w:rsidR="00AA0DCC" w:rsidRDefault="00AA0DCC" w:rsidP="006F4774">
            <w:pPr>
              <w:pStyle w:val="Tabletext"/>
            </w:pPr>
            <w:r>
              <w:t>The Electoral Act establishes the ACT Electoral Commission (s 5), which is responsible for the conduct of elections in the ACT and monitoring expenses of parliamentary candidates and political parties (part 14).</w:t>
            </w:r>
          </w:p>
          <w:p w14:paraId="5131F92C" w14:textId="07777106" w:rsidR="00AA0DCC" w:rsidRDefault="00AA0DCC" w:rsidP="006F4774">
            <w:pPr>
              <w:pStyle w:val="Tabletext"/>
            </w:pPr>
            <w:r>
              <w:t>Members of the Electoral Commission are independent ‘Officers of the Legislative Assembly’ (s 6a) and ‘have complete discretion in the exercise of [their functions]’ (s 6B).</w:t>
            </w:r>
          </w:p>
        </w:tc>
      </w:tr>
      <w:tr w:rsidR="00AA0DCC" w:rsidRPr="009C1341" w14:paraId="4D80F01E"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C6EC4BA" w14:textId="77777777" w:rsidR="00AA0DCC" w:rsidRPr="009C1341" w:rsidRDefault="00AA0DCC" w:rsidP="00C30366">
            <w:pPr>
              <w:pStyle w:val="Tableheading3"/>
            </w:pPr>
            <w:r w:rsidRPr="009C1341">
              <w:t>Candidate eligibility</w:t>
            </w:r>
          </w:p>
        </w:tc>
        <w:tc>
          <w:tcPr>
            <w:tcW w:w="1276" w:type="dxa"/>
            <w:tcBorders>
              <w:top w:val="single" w:sz="4" w:space="0" w:color="auto"/>
              <w:left w:val="nil"/>
              <w:bottom w:val="single" w:sz="4" w:space="0" w:color="auto"/>
              <w:right w:val="nil"/>
            </w:tcBorders>
            <w:shd w:val="clear" w:color="auto" w:fill="F2F2F2" w:themeFill="background1" w:themeFillShade="F2"/>
          </w:tcPr>
          <w:p w14:paraId="007DE745" w14:textId="77777777" w:rsidR="00AA0DCC" w:rsidRPr="009C1341"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791DF16B" w14:textId="77777777" w:rsidR="00AA0DCC" w:rsidRPr="009C1341" w:rsidRDefault="00AA0DCC" w:rsidP="00C30366">
            <w:pPr>
              <w:pStyle w:val="Tableheading3"/>
            </w:pPr>
          </w:p>
        </w:tc>
      </w:tr>
      <w:tr w:rsidR="00AA0DCC" w14:paraId="0207867C" w14:textId="77777777" w:rsidTr="00847F32">
        <w:tc>
          <w:tcPr>
            <w:tcW w:w="5098" w:type="dxa"/>
            <w:tcBorders>
              <w:top w:val="single" w:sz="4" w:space="0" w:color="auto"/>
            </w:tcBorders>
            <w:shd w:val="clear" w:color="auto" w:fill="FFFFFF" w:themeFill="background1"/>
          </w:tcPr>
          <w:p w14:paraId="668889EF" w14:textId="77777777" w:rsidR="00AA0DCC" w:rsidRDefault="00AA0DCC" w:rsidP="006F4774">
            <w:pPr>
              <w:pStyle w:val="Tabletextnumbered"/>
            </w:pPr>
            <w:r>
              <w:t>1.2.1 Restrictions on candidate eligibility shall not be based on religion, gender, ethnicity, race or disability.</w:t>
            </w:r>
          </w:p>
        </w:tc>
        <w:tc>
          <w:tcPr>
            <w:tcW w:w="1276" w:type="dxa"/>
            <w:tcBorders>
              <w:top w:val="single" w:sz="4" w:space="0" w:color="auto"/>
            </w:tcBorders>
            <w:shd w:val="clear" w:color="auto" w:fill="E2EFD9" w:themeFill="accent6" w:themeFillTint="33"/>
          </w:tcPr>
          <w:p w14:paraId="1F208A44" w14:textId="77777777" w:rsidR="00AA0DCC" w:rsidRDefault="00AA0DCC" w:rsidP="00152242">
            <w:pPr>
              <w:pStyle w:val="Tabletext"/>
            </w:pPr>
            <w:r>
              <w:t>2</w:t>
            </w:r>
          </w:p>
        </w:tc>
        <w:tc>
          <w:tcPr>
            <w:tcW w:w="8505" w:type="dxa"/>
            <w:tcBorders>
              <w:top w:val="single" w:sz="4" w:space="0" w:color="auto"/>
            </w:tcBorders>
          </w:tcPr>
          <w:p w14:paraId="3E651085" w14:textId="64C503CA" w:rsidR="00AA0DCC" w:rsidRDefault="00AA0DCC" w:rsidP="00152242">
            <w:pPr>
              <w:pStyle w:val="Tabletext"/>
            </w:pPr>
            <w:r>
              <w:t>Eligibility is set out in s 103 of the Electoral Act. Religion, gender, ethnicity, race or disability are irrelevant to a person’s eligibility to be a candidate.</w:t>
            </w:r>
          </w:p>
        </w:tc>
      </w:tr>
    </w:tbl>
    <w:p w14:paraId="273DBDAF" w14:textId="77777777" w:rsidR="00C30366" w:rsidRDefault="00C30366">
      <w:r>
        <w:br w:type="page"/>
      </w:r>
    </w:p>
    <w:p w14:paraId="278E34F2" w14:textId="1591FAB6" w:rsidR="00C30366" w:rsidRDefault="00C30366"/>
    <w:tbl>
      <w:tblPr>
        <w:tblStyle w:val="TableGrid"/>
        <w:tblW w:w="14879" w:type="dxa"/>
        <w:tblLayout w:type="fixed"/>
        <w:tblLook w:val="04A0" w:firstRow="1" w:lastRow="0" w:firstColumn="1" w:lastColumn="0" w:noHBand="0" w:noVBand="1"/>
      </w:tblPr>
      <w:tblGrid>
        <w:gridCol w:w="5098"/>
        <w:gridCol w:w="1276"/>
        <w:gridCol w:w="8505"/>
      </w:tblGrid>
      <w:tr w:rsidR="00AA0DCC" w14:paraId="2A65FB7B" w14:textId="77777777" w:rsidTr="00847F32">
        <w:tc>
          <w:tcPr>
            <w:tcW w:w="5098" w:type="dxa"/>
            <w:shd w:val="clear" w:color="auto" w:fill="FFFFFF" w:themeFill="background1"/>
          </w:tcPr>
          <w:p w14:paraId="0FCBAF22" w14:textId="06A29DD9" w:rsidR="00AA0DCC" w:rsidRDefault="00AA0DCC" w:rsidP="006F4774">
            <w:pPr>
              <w:pStyle w:val="Tabletextnumbered"/>
            </w:pPr>
            <w:r>
              <w:t>1.2.2 Measures to encourage the representative political participation of marginalized groups shall be drawn to accomplish precisely defined objectives.</w:t>
            </w:r>
          </w:p>
        </w:tc>
        <w:tc>
          <w:tcPr>
            <w:tcW w:w="1276" w:type="dxa"/>
            <w:shd w:val="clear" w:color="auto" w:fill="FBE4D5" w:themeFill="accent2" w:themeFillTint="33"/>
          </w:tcPr>
          <w:p w14:paraId="140A70BD" w14:textId="210D264F" w:rsidR="00AA0DCC" w:rsidRDefault="00A135C1" w:rsidP="00152242">
            <w:pPr>
              <w:pStyle w:val="Tabletext"/>
            </w:pPr>
            <w:r>
              <w:t>1</w:t>
            </w:r>
          </w:p>
        </w:tc>
        <w:tc>
          <w:tcPr>
            <w:tcW w:w="8505" w:type="dxa"/>
          </w:tcPr>
          <w:p w14:paraId="066A6772" w14:textId="10835C39" w:rsidR="00AA0DCC" w:rsidRDefault="00AA0DCC" w:rsidP="00152242">
            <w:pPr>
              <w:pStyle w:val="Tabletext"/>
            </w:pPr>
            <w:r>
              <w:t>There are no explicit measures</w:t>
            </w:r>
            <w:r w:rsidR="00380025">
              <w:t>—outside of statute—</w:t>
            </w:r>
            <w:r>
              <w:t>to ‘encourage the representative political participation of marginalised groups’ occurring under the banner of the legislature</w:t>
            </w:r>
            <w:r w:rsidR="00380025">
              <w:t xml:space="preserve"> (i.e. by way of the internal institutional arrangements of the Assembly)</w:t>
            </w:r>
            <w:r>
              <w:t>.</w:t>
            </w:r>
          </w:p>
          <w:p w14:paraId="2D795771" w14:textId="66231AE9" w:rsidR="00380025" w:rsidRDefault="00AA0DCC" w:rsidP="00152242">
            <w:pPr>
              <w:pStyle w:val="Tabletext"/>
            </w:pPr>
            <w:r>
              <w:t>Arguably, any measures that might be taken to encourage the representative political participation of marginalised groups is a matter that falls to individual and collective political actors in civic and civil life, including the executive</w:t>
            </w:r>
            <w:r w:rsidR="00380025">
              <w:t xml:space="preserve"> and individual members</w:t>
            </w:r>
            <w:r>
              <w:t>, rather than being a</w:t>
            </w:r>
            <w:r w:rsidR="00380025">
              <w:t>n inherent function</w:t>
            </w:r>
            <w:r>
              <w:t xml:space="preserve"> of a democratic legislature. </w:t>
            </w:r>
          </w:p>
          <w:p w14:paraId="774CA5DA" w14:textId="77777777" w:rsidR="00D71421" w:rsidRDefault="00380025" w:rsidP="00152242">
            <w:pPr>
              <w:pStyle w:val="Tabletext"/>
            </w:pPr>
            <w:r>
              <w:t>Such arrangements</w:t>
            </w:r>
            <w:r w:rsidR="009B470B">
              <w:t xml:space="preserve"> may also, of course, occur by way of </w:t>
            </w:r>
            <w:proofErr w:type="gramStart"/>
            <w:r w:rsidR="009B470B">
              <w:t>particular legislative</w:t>
            </w:r>
            <w:proofErr w:type="gramEnd"/>
            <w:r w:rsidR="009B470B">
              <w:t xml:space="preserve"> proposals (as opposed to</w:t>
            </w:r>
            <w:r>
              <w:t xml:space="preserve"> the </w:t>
            </w:r>
            <w:r w:rsidR="00D71421">
              <w:t xml:space="preserve">utilisation of </w:t>
            </w:r>
            <w:r>
              <w:t xml:space="preserve">internal </w:t>
            </w:r>
            <w:r w:rsidR="009B470B">
              <w:t>policies, practices and procedures of the legislature</w:t>
            </w:r>
            <w:r w:rsidR="00D71421">
              <w:t xml:space="preserve"> to produce such measures</w:t>
            </w:r>
            <w:r w:rsidR="009B470B">
              <w:t xml:space="preserve">). </w:t>
            </w:r>
          </w:p>
          <w:p w14:paraId="396698F3" w14:textId="2E117348" w:rsidR="006E46DE" w:rsidRDefault="009B470B" w:rsidP="00152242">
            <w:pPr>
              <w:pStyle w:val="Tabletext"/>
            </w:pPr>
            <w:r>
              <w:t xml:space="preserve">As an example, the Assembly passed the </w:t>
            </w:r>
            <w:r w:rsidRPr="001B5C33">
              <w:rPr>
                <w:i/>
              </w:rPr>
              <w:t>Aboriginal and Torres Strait Islander Elected Body Act</w:t>
            </w:r>
            <w:r w:rsidR="00380025" w:rsidRPr="001B5C33">
              <w:rPr>
                <w:i/>
              </w:rPr>
              <w:t xml:space="preserve"> 2008</w:t>
            </w:r>
            <w:r>
              <w:t xml:space="preserve">, </w:t>
            </w:r>
            <w:r w:rsidR="00380025">
              <w:t xml:space="preserve">the object </w:t>
            </w:r>
            <w:r w:rsidR="009A08E4">
              <w:t xml:space="preserve">of </w:t>
            </w:r>
            <w:r>
              <w:t xml:space="preserve">which </w:t>
            </w:r>
            <w:r w:rsidR="009A08E4">
              <w:t xml:space="preserve">is </w:t>
            </w:r>
            <w:r w:rsidR="00380025">
              <w:t xml:space="preserve">very much in line with the encouragement of representative participation of a marginalised group— </w:t>
            </w:r>
          </w:p>
          <w:p w14:paraId="4109A08F" w14:textId="77777777" w:rsidR="00380025" w:rsidRPr="00152242" w:rsidRDefault="00380025" w:rsidP="00152242">
            <w:pPr>
              <w:pStyle w:val="Tabletextindent"/>
            </w:pPr>
            <w:r w:rsidRPr="00152242">
              <w:t>The objects of this Act are, in recognition of the rights of Aboriginal and Torres Strait Islander peoples to freely determine their political status and to freely pursue their economic, social and cultural development in line with the right to self</w:t>
            </w:r>
            <w:r w:rsidRPr="00152242">
              <w:noBreakHyphen/>
              <w:t>determination—</w:t>
            </w:r>
          </w:p>
          <w:p w14:paraId="29615BBA" w14:textId="2D5B5624" w:rsidR="00380025" w:rsidRPr="001B5C33" w:rsidRDefault="00380025" w:rsidP="00152242">
            <w:pPr>
              <w:pStyle w:val="Tabletextindentalphalist"/>
            </w:pPr>
            <w:r w:rsidRPr="001B5C33">
              <w:t>(a)</w:t>
            </w:r>
            <w:r w:rsidRPr="001B5C33">
              <w:tab/>
              <w:t>to ensure maximum opportunity for the voice of Aboriginal and Torres Strait Islander people living in the ACT to reach decision-makers in the government and its agencies; and</w:t>
            </w:r>
          </w:p>
          <w:p w14:paraId="1708B6E1" w14:textId="64701730" w:rsidR="00380025" w:rsidRPr="001B5C33" w:rsidRDefault="00380025" w:rsidP="00152242">
            <w:pPr>
              <w:pStyle w:val="Tabletextindentalphalist"/>
            </w:pPr>
            <w:r w:rsidRPr="001B5C33">
              <w:t>(b)</w:t>
            </w:r>
            <w:r w:rsidRPr="001B5C33">
              <w:tab/>
              <w:t>to ensure maximum participation of Aboriginal and Torres Strait Islander people living in the ACT in developing and implementing government policies affecting them; and</w:t>
            </w:r>
          </w:p>
          <w:p w14:paraId="445C9414" w14:textId="3B3686B9" w:rsidR="00380025" w:rsidRPr="001B5C33" w:rsidRDefault="00380025" w:rsidP="00152242">
            <w:pPr>
              <w:pStyle w:val="Tabletextindentalphalist"/>
            </w:pPr>
            <w:r w:rsidRPr="001B5C33">
              <w:t>(c)</w:t>
            </w:r>
            <w:r w:rsidRPr="001B5C33">
              <w:tab/>
              <w:t>to ensure coordination by government agencies in developing policies affecting Aboriginal and Torres Strait Islander people living in the ACT without detracting from, or diminishing,</w:t>
            </w:r>
            <w:r w:rsidRPr="001B5C33">
              <w:rPr>
                <w:b/>
                <w:bCs/>
              </w:rPr>
              <w:t xml:space="preserve"> </w:t>
            </w:r>
            <w:r w:rsidRPr="001B5C33">
              <w:t>the responsibilities of those agencies to provide services for the broader community; and</w:t>
            </w:r>
          </w:p>
          <w:p w14:paraId="01719635" w14:textId="35DB2B78" w:rsidR="00380025" w:rsidRDefault="00380025" w:rsidP="00152242">
            <w:pPr>
              <w:pStyle w:val="Tabletextindentalphalist"/>
            </w:pPr>
            <w:r w:rsidRPr="001B5C33">
              <w:t>(d)</w:t>
            </w:r>
            <w:r w:rsidRPr="001B5C33">
              <w:tab/>
              <w:t>to further the economic, social and cultural development of Aboriginal and Torres Strait Islander people living in the ACT.</w:t>
            </w:r>
          </w:p>
        </w:tc>
      </w:tr>
      <w:tr w:rsidR="00AA0DCC" w:rsidRPr="009C1341" w14:paraId="7727AD94" w14:textId="77777777" w:rsidTr="003878EB">
        <w:trPr>
          <w:trHeight w:val="567"/>
        </w:trPr>
        <w:tc>
          <w:tcPr>
            <w:tcW w:w="5098" w:type="dxa"/>
            <w:shd w:val="clear" w:color="auto" w:fill="F2F2F2" w:themeFill="background1" w:themeFillShade="F2"/>
          </w:tcPr>
          <w:p w14:paraId="256D5D60" w14:textId="3C96F60F" w:rsidR="00AA0DCC" w:rsidRPr="009C1341" w:rsidRDefault="00AA0DCC" w:rsidP="003878EB">
            <w:pPr>
              <w:pStyle w:val="Tableheading3"/>
            </w:pPr>
            <w:r w:rsidRPr="009C1341">
              <w:lastRenderedPageBreak/>
              <w:t>Incompatibility of Office</w:t>
            </w:r>
          </w:p>
        </w:tc>
        <w:tc>
          <w:tcPr>
            <w:tcW w:w="1276" w:type="dxa"/>
            <w:shd w:val="clear" w:color="auto" w:fill="F2F2F2" w:themeFill="background1" w:themeFillShade="F2"/>
          </w:tcPr>
          <w:p w14:paraId="6FA3EE7C" w14:textId="77777777" w:rsidR="00AA0DCC" w:rsidRPr="009C1341" w:rsidRDefault="00AA0DCC" w:rsidP="003878EB">
            <w:pPr>
              <w:pStyle w:val="Tableheading3"/>
            </w:pPr>
          </w:p>
        </w:tc>
        <w:tc>
          <w:tcPr>
            <w:tcW w:w="8505" w:type="dxa"/>
            <w:shd w:val="clear" w:color="auto" w:fill="F2F2F2" w:themeFill="background1" w:themeFillShade="F2"/>
          </w:tcPr>
          <w:p w14:paraId="7F00F73D" w14:textId="77777777" w:rsidR="00AA0DCC" w:rsidRPr="009C1341" w:rsidRDefault="00AA0DCC" w:rsidP="003878EB">
            <w:pPr>
              <w:pStyle w:val="Tableheading3"/>
            </w:pPr>
          </w:p>
        </w:tc>
      </w:tr>
      <w:tr w:rsidR="00AA0DCC" w14:paraId="541D7C89" w14:textId="77777777" w:rsidTr="00847F32">
        <w:tc>
          <w:tcPr>
            <w:tcW w:w="5098" w:type="dxa"/>
            <w:shd w:val="clear" w:color="auto" w:fill="FFFFFF" w:themeFill="background1"/>
          </w:tcPr>
          <w:p w14:paraId="1BC0A742" w14:textId="29FFB355" w:rsidR="00AA0DCC" w:rsidRDefault="00AA0DCC" w:rsidP="00152242">
            <w:pPr>
              <w:pStyle w:val="Tabletextnumbered"/>
            </w:pPr>
            <w:r>
              <w:t>1.3.1 No elected Member shall be required to take a religious oath against his or her conscience in order to take his or her seat in the Legislature.</w:t>
            </w:r>
          </w:p>
        </w:tc>
        <w:tc>
          <w:tcPr>
            <w:tcW w:w="1276" w:type="dxa"/>
            <w:shd w:val="clear" w:color="auto" w:fill="E2EFD9" w:themeFill="accent6" w:themeFillTint="33"/>
          </w:tcPr>
          <w:p w14:paraId="48DD4347" w14:textId="77777777" w:rsidR="00AA0DCC" w:rsidRDefault="00AA0DCC" w:rsidP="00152242">
            <w:pPr>
              <w:pStyle w:val="Tabletext"/>
            </w:pPr>
            <w:r>
              <w:t>2</w:t>
            </w:r>
          </w:p>
        </w:tc>
        <w:tc>
          <w:tcPr>
            <w:tcW w:w="8505" w:type="dxa"/>
          </w:tcPr>
          <w:p w14:paraId="6B6ACC63" w14:textId="38145683" w:rsidR="00AA0DCC" w:rsidRDefault="00AA0DCC" w:rsidP="00152242">
            <w:pPr>
              <w:pStyle w:val="Tabletext"/>
            </w:pPr>
            <w:r>
              <w:t xml:space="preserve">The </w:t>
            </w:r>
            <w:r w:rsidRPr="009C1341">
              <w:rPr>
                <w:i/>
              </w:rPr>
              <w:t>Self-Government (Australian Capital Territory) Act 1988</w:t>
            </w:r>
            <w:r>
              <w:t xml:space="preserve"> (</w:t>
            </w:r>
            <w:proofErr w:type="spellStart"/>
            <w:r>
              <w:t>Clth</w:t>
            </w:r>
            <w:proofErr w:type="spellEnd"/>
            <w:r>
              <w:t xml:space="preserve">) (s 9) requires an oath of affirmation of allegiance before taking a seat. Provisions for oaths and affirmations are set out in the </w:t>
            </w:r>
            <w:r w:rsidRPr="009C1341">
              <w:rPr>
                <w:i/>
              </w:rPr>
              <w:t>Oaths and Affirmations Act 1984</w:t>
            </w:r>
            <w:r>
              <w:t>, which permit an oath or affirmation swear to ‘Almighty God’ or ‘a god recognised by the person’s religion’ or to simply declare that the Member-elect will ‘faithfully serve the people of the Australian Capital Territory as a member of the Legislative Assembly and discharge my responsibility according to law’ (Schedule 1A, Part 1A.2).</w:t>
            </w:r>
          </w:p>
        </w:tc>
      </w:tr>
      <w:tr w:rsidR="00AA0DCC" w14:paraId="4F8E75AF" w14:textId="77777777" w:rsidTr="003878EB">
        <w:tc>
          <w:tcPr>
            <w:tcW w:w="5098" w:type="dxa"/>
            <w:shd w:val="clear" w:color="auto" w:fill="FFFFFF" w:themeFill="background1"/>
          </w:tcPr>
          <w:p w14:paraId="3DDE5109" w14:textId="09C59A02" w:rsidR="00AA0DCC" w:rsidRDefault="00AA0DCC" w:rsidP="00152242">
            <w:pPr>
              <w:pStyle w:val="Tabletextnumbered"/>
            </w:pPr>
            <w:r>
              <w:t>1.3.2 In a bicameral Legislature, a legislator may not be a Member of both houses.</w:t>
            </w:r>
          </w:p>
        </w:tc>
        <w:tc>
          <w:tcPr>
            <w:tcW w:w="1276" w:type="dxa"/>
            <w:shd w:val="clear" w:color="auto" w:fill="DEEAF6" w:themeFill="accent1" w:themeFillTint="33"/>
          </w:tcPr>
          <w:p w14:paraId="14D7952C" w14:textId="77777777" w:rsidR="00AA0DCC" w:rsidRDefault="00AA0DCC" w:rsidP="00152242">
            <w:pPr>
              <w:pStyle w:val="Tabletext"/>
            </w:pPr>
            <w:r>
              <w:t>NA</w:t>
            </w:r>
          </w:p>
        </w:tc>
        <w:tc>
          <w:tcPr>
            <w:tcW w:w="8505" w:type="dxa"/>
          </w:tcPr>
          <w:p w14:paraId="2D8276BA" w14:textId="77777777" w:rsidR="00AA0DCC" w:rsidRDefault="00AA0DCC" w:rsidP="00152242">
            <w:pPr>
              <w:pStyle w:val="Tabletext"/>
            </w:pPr>
            <w:r>
              <w:t>The Assembly is unicameral.</w:t>
            </w:r>
          </w:p>
        </w:tc>
      </w:tr>
      <w:tr w:rsidR="00AA0DCC" w14:paraId="356679E1" w14:textId="77777777" w:rsidTr="00C276E6">
        <w:tc>
          <w:tcPr>
            <w:tcW w:w="5098" w:type="dxa"/>
            <w:tcBorders>
              <w:bottom w:val="single" w:sz="4" w:space="0" w:color="auto"/>
            </w:tcBorders>
            <w:shd w:val="clear" w:color="auto" w:fill="FFFFFF" w:themeFill="background1"/>
          </w:tcPr>
          <w:p w14:paraId="2745A217" w14:textId="77777777" w:rsidR="00AA0DCC" w:rsidRDefault="00AA0DCC" w:rsidP="00152242">
            <w:pPr>
              <w:pStyle w:val="Tabletextnumbered"/>
            </w:pPr>
            <w:r>
              <w:t>1.3.3 A legislator may not simultaneously serve in the judicial branch or as a civil servant of the Executive branch.</w:t>
            </w:r>
          </w:p>
        </w:tc>
        <w:tc>
          <w:tcPr>
            <w:tcW w:w="1276" w:type="dxa"/>
            <w:tcBorders>
              <w:bottom w:val="single" w:sz="4" w:space="0" w:color="auto"/>
            </w:tcBorders>
            <w:shd w:val="clear" w:color="auto" w:fill="E2EFD9" w:themeFill="accent6" w:themeFillTint="33"/>
          </w:tcPr>
          <w:p w14:paraId="3568108B" w14:textId="77777777" w:rsidR="00AA0DCC" w:rsidRDefault="00AA0DCC" w:rsidP="00152242">
            <w:pPr>
              <w:pStyle w:val="Tabletext"/>
            </w:pPr>
            <w:r>
              <w:t>2</w:t>
            </w:r>
          </w:p>
        </w:tc>
        <w:tc>
          <w:tcPr>
            <w:tcW w:w="8505" w:type="dxa"/>
            <w:tcBorders>
              <w:bottom w:val="single" w:sz="4" w:space="0" w:color="auto"/>
            </w:tcBorders>
          </w:tcPr>
          <w:p w14:paraId="744F6335" w14:textId="77777777" w:rsidR="00AA0DCC" w:rsidRDefault="00AA0DCC" w:rsidP="00152242">
            <w:pPr>
              <w:pStyle w:val="Tabletext"/>
            </w:pPr>
            <w:r>
              <w:t>By reason of s 103(2)(b) of the Electoral Act, neither a civil servant, nor a judicial officer is eligible to be an MLA.</w:t>
            </w:r>
          </w:p>
        </w:tc>
      </w:tr>
      <w:tr w:rsidR="00AA0DCC" w:rsidRPr="004A6315" w14:paraId="4B54F092"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75E8155" w14:textId="77777777" w:rsidR="00AA0DCC" w:rsidRPr="004A6315" w:rsidRDefault="00AA0DCC" w:rsidP="00C30366">
            <w:pPr>
              <w:pStyle w:val="Tableheading3"/>
            </w:pPr>
            <w:r w:rsidRPr="004A6315">
              <w:t>Freedom of speech immunity</w:t>
            </w:r>
          </w:p>
        </w:tc>
        <w:tc>
          <w:tcPr>
            <w:tcW w:w="1276" w:type="dxa"/>
            <w:tcBorders>
              <w:top w:val="single" w:sz="4" w:space="0" w:color="auto"/>
              <w:left w:val="nil"/>
              <w:bottom w:val="single" w:sz="4" w:space="0" w:color="auto"/>
              <w:right w:val="nil"/>
            </w:tcBorders>
            <w:shd w:val="clear" w:color="auto" w:fill="F2F2F2" w:themeFill="background1" w:themeFillShade="F2"/>
          </w:tcPr>
          <w:p w14:paraId="3F94767E" w14:textId="77777777" w:rsidR="00AA0DCC" w:rsidRPr="004A6315"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3D9286BB" w14:textId="77777777" w:rsidR="00AA0DCC" w:rsidRPr="004A6315" w:rsidRDefault="00AA0DCC" w:rsidP="00C30366">
            <w:pPr>
              <w:pStyle w:val="Tableheading3"/>
            </w:pPr>
          </w:p>
        </w:tc>
      </w:tr>
      <w:tr w:rsidR="00AA0DCC" w14:paraId="1F369C31" w14:textId="77777777" w:rsidTr="00C276E6">
        <w:tc>
          <w:tcPr>
            <w:tcW w:w="5098" w:type="dxa"/>
            <w:tcBorders>
              <w:top w:val="single" w:sz="4" w:space="0" w:color="auto"/>
            </w:tcBorders>
            <w:shd w:val="clear" w:color="auto" w:fill="FFFFFF" w:themeFill="background1"/>
          </w:tcPr>
          <w:p w14:paraId="07EF9AEF" w14:textId="514F4A71" w:rsidR="00AA0DCC" w:rsidRDefault="00AA0DCC" w:rsidP="00152242">
            <w:pPr>
              <w:pStyle w:val="Tabletextnumbered"/>
            </w:pPr>
            <w:r>
              <w:t>1.4.1 The Legislature is protected by the freedom of speech immunity. The immunity shall protect persons from legal liability for words spoken and</w:t>
            </w:r>
          </w:p>
          <w:p w14:paraId="347001AA" w14:textId="78CA3088" w:rsidR="00AA0DCC" w:rsidRDefault="00AA0DCC" w:rsidP="00152242">
            <w:pPr>
              <w:pStyle w:val="Tabletextnumbered"/>
            </w:pPr>
            <w:r>
              <w:t xml:space="preserve">acts done while participating in or directly facilitating the Legislature’s </w:t>
            </w:r>
            <w:proofErr w:type="gramStart"/>
            <w:r>
              <w:t>proceedings, and</w:t>
            </w:r>
            <w:proofErr w:type="gramEnd"/>
            <w:r>
              <w:t xml:space="preserve"> shall restrict the judicial branch’s use of such words and acts as evidence in judicial proceedings.</w:t>
            </w:r>
          </w:p>
        </w:tc>
        <w:tc>
          <w:tcPr>
            <w:tcW w:w="1276" w:type="dxa"/>
            <w:tcBorders>
              <w:top w:val="single" w:sz="4" w:space="0" w:color="auto"/>
            </w:tcBorders>
            <w:shd w:val="clear" w:color="auto" w:fill="E2EFD9" w:themeFill="accent6" w:themeFillTint="33"/>
          </w:tcPr>
          <w:p w14:paraId="47FCA31C" w14:textId="77777777" w:rsidR="00AA0DCC" w:rsidRDefault="00AA0DCC" w:rsidP="00152242">
            <w:pPr>
              <w:pStyle w:val="Tabletext"/>
            </w:pPr>
            <w:r>
              <w:t>2</w:t>
            </w:r>
          </w:p>
        </w:tc>
        <w:tc>
          <w:tcPr>
            <w:tcW w:w="8505" w:type="dxa"/>
            <w:tcBorders>
              <w:top w:val="single" w:sz="4" w:space="0" w:color="auto"/>
            </w:tcBorders>
          </w:tcPr>
          <w:p w14:paraId="420A4688" w14:textId="77777777" w:rsidR="00AA0DCC" w:rsidRDefault="00AA0DCC" w:rsidP="00152242">
            <w:pPr>
              <w:pStyle w:val="Tabletext"/>
            </w:pPr>
            <w:r>
              <w:t xml:space="preserve">By reason of s 24 of the Self-Government Act and s 16 of the </w:t>
            </w:r>
            <w:r w:rsidRPr="00737737">
              <w:rPr>
                <w:i/>
              </w:rPr>
              <w:t xml:space="preserve">Parliamentary Privileges Act 1987 </w:t>
            </w:r>
            <w:r>
              <w:t>(</w:t>
            </w:r>
            <w:proofErr w:type="spellStart"/>
            <w:r>
              <w:t>Clth</w:t>
            </w:r>
            <w:proofErr w:type="spellEnd"/>
            <w:r>
              <w:t>) the freedom of speech immunity embodied in Article 9 of the Bill of Rights is afforded to the Legislative Assembly, its committees and its members.</w:t>
            </w:r>
          </w:p>
        </w:tc>
      </w:tr>
      <w:tr w:rsidR="00AA0DCC" w14:paraId="4549411F" w14:textId="77777777" w:rsidTr="00C276E6">
        <w:tc>
          <w:tcPr>
            <w:tcW w:w="5098" w:type="dxa"/>
            <w:shd w:val="clear" w:color="auto" w:fill="FFFFFF" w:themeFill="background1"/>
          </w:tcPr>
          <w:p w14:paraId="23E27B63" w14:textId="4A847916" w:rsidR="00AA0DCC" w:rsidRDefault="00AA0DCC" w:rsidP="00152242">
            <w:pPr>
              <w:pStyle w:val="Tabletextnumbered"/>
            </w:pPr>
            <w:r>
              <w:t>1.4.2 The freedom of speech immunity shall operate to enable the Legislature to carry out its constitutional functions effectively, free from interference or impediment. This includes the Legislature having access to all the information it needs to carry out its functions.</w:t>
            </w:r>
          </w:p>
        </w:tc>
        <w:tc>
          <w:tcPr>
            <w:tcW w:w="1276" w:type="dxa"/>
            <w:shd w:val="clear" w:color="auto" w:fill="E2EFD9" w:themeFill="accent6" w:themeFillTint="33"/>
          </w:tcPr>
          <w:p w14:paraId="42A44ACC" w14:textId="77777777" w:rsidR="00AA0DCC" w:rsidRDefault="00AA0DCC" w:rsidP="00152242">
            <w:pPr>
              <w:pStyle w:val="Tabletext"/>
            </w:pPr>
            <w:r>
              <w:t>2</w:t>
            </w:r>
          </w:p>
        </w:tc>
        <w:tc>
          <w:tcPr>
            <w:tcW w:w="8505" w:type="dxa"/>
          </w:tcPr>
          <w:p w14:paraId="33D6590A" w14:textId="77777777" w:rsidR="00AA0DCC" w:rsidRDefault="00AA0DCC" w:rsidP="00152242">
            <w:pPr>
              <w:pStyle w:val="Tabletext"/>
            </w:pPr>
            <w:r>
              <w:t>See 1.4.1 above.</w:t>
            </w:r>
          </w:p>
          <w:p w14:paraId="68A65F7C" w14:textId="77777777" w:rsidR="00AA0DCC" w:rsidRDefault="00AA0DCC" w:rsidP="00152242">
            <w:pPr>
              <w:pStyle w:val="Tabletext"/>
            </w:pPr>
            <w:r>
              <w:t xml:space="preserve">In addition, the Assembly and its committees have the power to call for persons, papers by way of the combined effects of s 24 of the Self-Government Act, s 49 of the Australian Constitution, s 5 of the Parliamentary Privileges Act and standing orders 213A and 239. </w:t>
            </w:r>
          </w:p>
        </w:tc>
      </w:tr>
      <w:tr w:rsidR="00AA0DCC" w14:paraId="2AB6D32F" w14:textId="77777777" w:rsidTr="00C276E6">
        <w:tc>
          <w:tcPr>
            <w:tcW w:w="5098" w:type="dxa"/>
            <w:shd w:val="clear" w:color="auto" w:fill="FFFFFF" w:themeFill="background1"/>
          </w:tcPr>
          <w:p w14:paraId="2B1A5083" w14:textId="3AE4223F" w:rsidR="00AA0DCC" w:rsidRDefault="00AA0DCC" w:rsidP="00152242">
            <w:pPr>
              <w:pStyle w:val="Tabletextnumbered"/>
            </w:pPr>
            <w:r>
              <w:lastRenderedPageBreak/>
              <w:t>1.4.3 The Legislature shall have protection against potential misuse of the freedom of speech immunity. References to judicially suppressed or protected information, or to matters awaiting judicial decision, shall be made only in exceptional circumstances and with due regard to the separation of powers between the Legislature and the judiciary.</w:t>
            </w:r>
          </w:p>
        </w:tc>
        <w:tc>
          <w:tcPr>
            <w:tcW w:w="1276" w:type="dxa"/>
            <w:shd w:val="clear" w:color="auto" w:fill="E2EFD9" w:themeFill="accent6" w:themeFillTint="33"/>
          </w:tcPr>
          <w:p w14:paraId="2B8F8AC2" w14:textId="77777777" w:rsidR="00AA0DCC" w:rsidRDefault="00AA0DCC" w:rsidP="00152242">
            <w:pPr>
              <w:pStyle w:val="Tabletext"/>
            </w:pPr>
            <w:r>
              <w:t>2</w:t>
            </w:r>
          </w:p>
        </w:tc>
        <w:tc>
          <w:tcPr>
            <w:tcW w:w="8505" w:type="dxa"/>
          </w:tcPr>
          <w:p w14:paraId="3CCAEDCC" w14:textId="77777777" w:rsidR="00AA0DCC" w:rsidRDefault="00AA0DCC" w:rsidP="00152242">
            <w:pPr>
              <w:pStyle w:val="Tabletext"/>
            </w:pPr>
            <w:r>
              <w:t xml:space="preserve">The Assembly, through its standing orders and continuing resolutions, has made provision for </w:t>
            </w:r>
            <w:r w:rsidRPr="002D2967">
              <w:rPr>
                <w:i/>
              </w:rPr>
              <w:t xml:space="preserve">sub </w:t>
            </w:r>
            <w:proofErr w:type="spellStart"/>
            <w:r w:rsidRPr="002D2967">
              <w:rPr>
                <w:i/>
              </w:rPr>
              <w:t>judice</w:t>
            </w:r>
            <w:proofErr w:type="spellEnd"/>
            <w:r>
              <w:t xml:space="preserve"> (continuing resolution 10) and the responsible exercise of the freedom of speech immunity (continuing resolution 7).</w:t>
            </w:r>
          </w:p>
        </w:tc>
      </w:tr>
      <w:tr w:rsidR="00AA0DCC" w14:paraId="065EC3E7" w14:textId="77777777" w:rsidTr="00C276E6">
        <w:tc>
          <w:tcPr>
            <w:tcW w:w="5098" w:type="dxa"/>
            <w:shd w:val="clear" w:color="auto" w:fill="FFFFFF" w:themeFill="background1"/>
          </w:tcPr>
          <w:p w14:paraId="42D077AF" w14:textId="77777777" w:rsidR="00AA0DCC" w:rsidRDefault="00AA0DCC" w:rsidP="00152242">
            <w:pPr>
              <w:pStyle w:val="Tabletextnumbered"/>
            </w:pPr>
            <w:r>
              <w:t>1.4.4 The Legislature shall have mechanisms for persons to respond to adverse references made to them in the course of the Legislature’s proceedings.</w:t>
            </w:r>
          </w:p>
        </w:tc>
        <w:tc>
          <w:tcPr>
            <w:tcW w:w="1276" w:type="dxa"/>
            <w:shd w:val="clear" w:color="auto" w:fill="E2EFD9" w:themeFill="accent6" w:themeFillTint="33"/>
          </w:tcPr>
          <w:p w14:paraId="528C4499" w14:textId="77777777" w:rsidR="00AA0DCC" w:rsidRDefault="00AA0DCC" w:rsidP="00152242">
            <w:pPr>
              <w:pStyle w:val="Tabletext"/>
            </w:pPr>
            <w:r>
              <w:t>2</w:t>
            </w:r>
          </w:p>
        </w:tc>
        <w:tc>
          <w:tcPr>
            <w:tcW w:w="8505" w:type="dxa"/>
          </w:tcPr>
          <w:p w14:paraId="053A4643" w14:textId="77777777" w:rsidR="00AA0DCC" w:rsidRDefault="00AA0DCC" w:rsidP="00152242">
            <w:pPr>
              <w:pStyle w:val="Tabletext"/>
            </w:pPr>
            <w:r>
              <w:t xml:space="preserve">The Assembly has made provision for a citizen’s right of reply (continuing resolution 4), which establishes a mechanism by which persons or corporations can </w:t>
            </w:r>
            <w:proofErr w:type="gramStart"/>
            <w:r>
              <w:t>seek to have</w:t>
            </w:r>
            <w:proofErr w:type="gramEnd"/>
            <w:r>
              <w:t xml:space="preserve"> a reply incorporated in Hansard where they claim to have been adversely affected in the course of the Assembly’s proceedings. </w:t>
            </w:r>
          </w:p>
          <w:p w14:paraId="1B4B9153" w14:textId="1C4BE6F2" w:rsidR="00AA0DCC" w:rsidRDefault="00AA0DCC" w:rsidP="00152242">
            <w:pPr>
              <w:pStyle w:val="Tabletext"/>
            </w:pPr>
            <w:r>
              <w:t xml:space="preserve">There have been </w:t>
            </w:r>
            <w:r w:rsidR="001B5C33">
              <w:t>5</w:t>
            </w:r>
            <w:r>
              <w:t xml:space="preserve"> occasions where this standing order has been utilised</w:t>
            </w:r>
            <w:r w:rsidR="001B5C33">
              <w:t xml:space="preserve"> where a response has been incorporated into Hansard</w:t>
            </w:r>
            <w:r>
              <w:t xml:space="preserve">. </w:t>
            </w:r>
          </w:p>
          <w:p w14:paraId="6A307B1E" w14:textId="4AA89206" w:rsidR="00AA0DCC" w:rsidRDefault="00AA0DCC" w:rsidP="00152242">
            <w:pPr>
              <w:pStyle w:val="Tabletext"/>
            </w:pPr>
            <w:r>
              <w:t xml:space="preserve">Standing order 264B(a)-(c) sets out procedures in relation to adverse mentions that may arise in committee proceedings. </w:t>
            </w:r>
          </w:p>
        </w:tc>
      </w:tr>
      <w:tr w:rsidR="00AA0DCC" w14:paraId="3A342729" w14:textId="77777777" w:rsidTr="00C276E6">
        <w:tc>
          <w:tcPr>
            <w:tcW w:w="5098" w:type="dxa"/>
            <w:tcBorders>
              <w:bottom w:val="single" w:sz="4" w:space="0" w:color="auto"/>
            </w:tcBorders>
            <w:shd w:val="clear" w:color="auto" w:fill="FFFFFF" w:themeFill="background1"/>
          </w:tcPr>
          <w:p w14:paraId="5BC7AD63" w14:textId="53538807" w:rsidR="00AA0DCC" w:rsidRDefault="00AA0DCC" w:rsidP="00152242">
            <w:pPr>
              <w:pStyle w:val="Tabletextnumbered"/>
            </w:pPr>
            <w:r>
              <w:t>1.4.5 The freedom of speech immunity shall continue to apply to former Legislators after they have left office, in respect of words spoken and acts done while holding office and participating in or directly facilitating the Legislature’s proceedings.</w:t>
            </w:r>
          </w:p>
        </w:tc>
        <w:tc>
          <w:tcPr>
            <w:tcW w:w="1276" w:type="dxa"/>
            <w:tcBorders>
              <w:bottom w:val="single" w:sz="4" w:space="0" w:color="auto"/>
            </w:tcBorders>
            <w:shd w:val="clear" w:color="auto" w:fill="E2EFD9" w:themeFill="accent6" w:themeFillTint="33"/>
          </w:tcPr>
          <w:p w14:paraId="16539FCF" w14:textId="77777777" w:rsidR="00AA0DCC" w:rsidRDefault="00AA0DCC" w:rsidP="00152242">
            <w:pPr>
              <w:pStyle w:val="Tabletext"/>
            </w:pPr>
            <w:r>
              <w:t>2</w:t>
            </w:r>
          </w:p>
        </w:tc>
        <w:tc>
          <w:tcPr>
            <w:tcW w:w="8505" w:type="dxa"/>
            <w:tcBorders>
              <w:bottom w:val="single" w:sz="4" w:space="0" w:color="auto"/>
            </w:tcBorders>
          </w:tcPr>
          <w:p w14:paraId="212690CF" w14:textId="77777777" w:rsidR="00AA0DCC" w:rsidRDefault="00AA0DCC" w:rsidP="00152242">
            <w:pPr>
              <w:pStyle w:val="Tabletext"/>
            </w:pPr>
            <w:r>
              <w:t>The provisions mentioned at 1.4.1 operate in such a way.</w:t>
            </w:r>
          </w:p>
        </w:tc>
      </w:tr>
      <w:tr w:rsidR="00AA0DCC" w:rsidRPr="00847F32" w14:paraId="4EA5AE37"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7DCF1FFD" w14:textId="77777777" w:rsidR="00AA0DCC" w:rsidRPr="00847F32" w:rsidRDefault="00AA0DCC" w:rsidP="00C30366">
            <w:pPr>
              <w:pStyle w:val="Tableheading3"/>
            </w:pPr>
            <w:r w:rsidRPr="00847F32">
              <w:t>Remuneration and Benefits</w:t>
            </w:r>
          </w:p>
        </w:tc>
        <w:tc>
          <w:tcPr>
            <w:tcW w:w="1276" w:type="dxa"/>
            <w:tcBorders>
              <w:top w:val="single" w:sz="4" w:space="0" w:color="auto"/>
              <w:left w:val="nil"/>
              <w:bottom w:val="single" w:sz="4" w:space="0" w:color="auto"/>
              <w:right w:val="nil"/>
            </w:tcBorders>
            <w:shd w:val="clear" w:color="auto" w:fill="F2F2F2" w:themeFill="background1" w:themeFillShade="F2"/>
          </w:tcPr>
          <w:p w14:paraId="0E0B33C9" w14:textId="77777777" w:rsidR="00AA0DCC" w:rsidRPr="00847F32"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5ECE57B2" w14:textId="77777777" w:rsidR="00AA0DCC" w:rsidRPr="00847F32" w:rsidRDefault="00AA0DCC" w:rsidP="00C30366">
            <w:pPr>
              <w:pStyle w:val="Tableheading3"/>
            </w:pPr>
          </w:p>
        </w:tc>
      </w:tr>
      <w:tr w:rsidR="00AA0DCC" w14:paraId="2029AC70" w14:textId="77777777" w:rsidTr="00C276E6">
        <w:tc>
          <w:tcPr>
            <w:tcW w:w="5098" w:type="dxa"/>
            <w:tcBorders>
              <w:top w:val="single" w:sz="4" w:space="0" w:color="auto"/>
            </w:tcBorders>
            <w:shd w:val="clear" w:color="auto" w:fill="FFFFFF" w:themeFill="background1"/>
          </w:tcPr>
          <w:p w14:paraId="45194787" w14:textId="77777777" w:rsidR="00AA0DCC" w:rsidRDefault="00AA0DCC" w:rsidP="00C91BFA">
            <w:r>
              <w:t>1.5.1 Fair remuneration and reimbursement of parliamentary expenses shall be provided to legislators for their service, to ensure that they give priority to parliamentary duties. All forms of compensation shall be allocated on a non-partisan basis.</w:t>
            </w:r>
          </w:p>
        </w:tc>
        <w:tc>
          <w:tcPr>
            <w:tcW w:w="1276" w:type="dxa"/>
            <w:tcBorders>
              <w:top w:val="single" w:sz="4" w:space="0" w:color="auto"/>
            </w:tcBorders>
            <w:shd w:val="clear" w:color="auto" w:fill="E2EFD9" w:themeFill="accent6" w:themeFillTint="33"/>
          </w:tcPr>
          <w:p w14:paraId="75D9CDD2" w14:textId="77777777" w:rsidR="00AA0DCC" w:rsidRDefault="00AA0DCC" w:rsidP="00152242">
            <w:pPr>
              <w:pStyle w:val="Tabletext"/>
            </w:pPr>
            <w:r>
              <w:t>2</w:t>
            </w:r>
          </w:p>
        </w:tc>
        <w:tc>
          <w:tcPr>
            <w:tcW w:w="8505" w:type="dxa"/>
            <w:tcBorders>
              <w:top w:val="single" w:sz="4" w:space="0" w:color="auto"/>
            </w:tcBorders>
          </w:tcPr>
          <w:p w14:paraId="2A653BE2" w14:textId="1A80251D" w:rsidR="00AA0DCC" w:rsidRDefault="00AA0DCC" w:rsidP="00152242">
            <w:pPr>
              <w:pStyle w:val="Tabletext"/>
            </w:pPr>
            <w:r>
              <w:t xml:space="preserve">Section 73 of the Self-Government Act provides that the remuneration of MLAs, the Chief Minister, the Deputy Chief Minister, ministers, the Presiding Officer and Deputy Presiding Officer is to be determined in accordance with an enactment or by the Remuneration Tribunal. </w:t>
            </w:r>
          </w:p>
          <w:p w14:paraId="5EC88A04" w14:textId="318AE4B1" w:rsidR="00AA0DCC" w:rsidRDefault="00AA0DCC" w:rsidP="00152242">
            <w:pPr>
              <w:pStyle w:val="Tabletext"/>
            </w:pPr>
            <w:r>
              <w:t>As at 2018, average weekly total earnings in Australia were $1</w:t>
            </w:r>
            <w:r w:rsidR="00D50E62">
              <w:t>,</w:t>
            </w:r>
            <w:r>
              <w:t>668.10.</w:t>
            </w:r>
            <w:r>
              <w:rPr>
                <w:rStyle w:val="FootnoteReference"/>
              </w:rPr>
              <w:footnoteReference w:id="3"/>
            </w:r>
            <w:r>
              <w:t xml:space="preserve"> In 2018, MLAs had a base salary of $164,382 per annum or approximately $3</w:t>
            </w:r>
            <w:r w:rsidR="00D50E62">
              <w:t>,</w:t>
            </w:r>
            <w:r>
              <w:t xml:space="preserve">161 per week. </w:t>
            </w:r>
          </w:p>
          <w:p w14:paraId="20E100FB" w14:textId="086525F4" w:rsidR="00AA0DCC" w:rsidRDefault="00AA0DCC" w:rsidP="00152242">
            <w:pPr>
              <w:pStyle w:val="Tabletext"/>
            </w:pPr>
            <w:r>
              <w:lastRenderedPageBreak/>
              <w:t xml:space="preserve">Remuneration is allocated on a non-partisan basis. Whether or not this is ‘fair’ remuneration is a matter of judgement. Some might argue that it is excessive when compared with average weekly earnings, others may argue that it is </w:t>
            </w:r>
            <w:proofErr w:type="gramStart"/>
            <w:r>
              <w:t>necessary</w:t>
            </w:r>
            <w:proofErr w:type="gramEnd"/>
            <w:r>
              <w:t xml:space="preserve"> and fair given the complexity and workloads associated with members’ duties when compared with jobs in the private sector.</w:t>
            </w:r>
          </w:p>
          <w:p w14:paraId="611D84FB" w14:textId="387428FA" w:rsidR="00AA0DCC" w:rsidRDefault="00AA0DCC" w:rsidP="00152242">
            <w:pPr>
              <w:pStyle w:val="Tabletext"/>
            </w:pPr>
            <w:r>
              <w:t xml:space="preserve">Certainly, the pay rate could be described as </w:t>
            </w:r>
            <w:r w:rsidRPr="001B5C33">
              <w:rPr>
                <w:b/>
              </w:rPr>
              <w:t>commensurate with the nature of the role.</w:t>
            </w:r>
            <w:r>
              <w:t xml:space="preserve">   </w:t>
            </w:r>
          </w:p>
        </w:tc>
      </w:tr>
      <w:tr w:rsidR="00AA0DCC" w14:paraId="15336BEC" w14:textId="77777777" w:rsidTr="00C276E6">
        <w:tc>
          <w:tcPr>
            <w:tcW w:w="5098" w:type="dxa"/>
            <w:tcBorders>
              <w:bottom w:val="single" w:sz="4" w:space="0" w:color="auto"/>
            </w:tcBorders>
            <w:shd w:val="clear" w:color="auto" w:fill="FFFFFF" w:themeFill="background1"/>
          </w:tcPr>
          <w:p w14:paraId="79C90460" w14:textId="77777777" w:rsidR="00AA0DCC" w:rsidRDefault="00AA0DCC" w:rsidP="0036642C">
            <w:pPr>
              <w:pStyle w:val="Tabletextnumbered"/>
            </w:pPr>
            <w:r w:rsidRPr="00C91BFA">
              <w:lastRenderedPageBreak/>
              <w:t>1.5.2 An independent body or mechanism should determine the remuneration, benefits and other statutory entitlements of legislators.</w:t>
            </w:r>
          </w:p>
        </w:tc>
        <w:tc>
          <w:tcPr>
            <w:tcW w:w="1276" w:type="dxa"/>
            <w:tcBorders>
              <w:bottom w:val="single" w:sz="4" w:space="0" w:color="auto"/>
            </w:tcBorders>
            <w:shd w:val="clear" w:color="auto" w:fill="E2EFD9" w:themeFill="accent6" w:themeFillTint="33"/>
          </w:tcPr>
          <w:p w14:paraId="2FB9D6DB" w14:textId="77777777" w:rsidR="00AA0DCC" w:rsidRDefault="00AA0DCC">
            <w:r>
              <w:t>2</w:t>
            </w:r>
          </w:p>
        </w:tc>
        <w:tc>
          <w:tcPr>
            <w:tcW w:w="8505" w:type="dxa"/>
            <w:tcBorders>
              <w:bottom w:val="single" w:sz="4" w:space="0" w:color="auto"/>
            </w:tcBorders>
          </w:tcPr>
          <w:p w14:paraId="07744C54" w14:textId="148D72B8" w:rsidR="00AA0DCC" w:rsidRDefault="00AA0DCC" w:rsidP="00384F57">
            <w:pPr>
              <w:spacing w:before="120" w:after="120"/>
            </w:pPr>
            <w:r>
              <w:t xml:space="preserve">Established by </w:t>
            </w:r>
            <w:r w:rsidRPr="00C91BFA">
              <w:rPr>
                <w:i/>
              </w:rPr>
              <w:t>the Remuneration Tribunal Act 1995</w:t>
            </w:r>
            <w:r>
              <w:t xml:space="preserve">, the ACT Remuneration Tribunal determines remuneration, benefits and other entitlements for MLAs and </w:t>
            </w:r>
            <w:proofErr w:type="gramStart"/>
            <w:r>
              <w:t>office-holders</w:t>
            </w:r>
            <w:proofErr w:type="gramEnd"/>
            <w:r>
              <w:t xml:space="preserve">. </w:t>
            </w:r>
          </w:p>
        </w:tc>
      </w:tr>
      <w:tr w:rsidR="00AA0DCC" w:rsidRPr="009E13CA" w14:paraId="67E8D32A"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70BFF9CC" w14:textId="77777777" w:rsidR="00AA0DCC" w:rsidRPr="009E13CA" w:rsidRDefault="00AA0DCC" w:rsidP="00C30366">
            <w:pPr>
              <w:pStyle w:val="Tableheading3"/>
            </w:pPr>
            <w:r w:rsidRPr="009E13CA">
              <w:t>Professional development</w:t>
            </w:r>
          </w:p>
        </w:tc>
        <w:tc>
          <w:tcPr>
            <w:tcW w:w="1276" w:type="dxa"/>
            <w:tcBorders>
              <w:top w:val="single" w:sz="4" w:space="0" w:color="auto"/>
              <w:left w:val="nil"/>
              <w:bottom w:val="single" w:sz="4" w:space="0" w:color="auto"/>
              <w:right w:val="nil"/>
            </w:tcBorders>
            <w:shd w:val="clear" w:color="auto" w:fill="F2F2F2" w:themeFill="background1" w:themeFillShade="F2"/>
          </w:tcPr>
          <w:p w14:paraId="0FDF08BD" w14:textId="77777777" w:rsidR="00AA0DCC" w:rsidRPr="009E13CA"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7A5EF76C" w14:textId="77777777" w:rsidR="00AA0DCC" w:rsidRPr="009E13CA" w:rsidRDefault="00AA0DCC" w:rsidP="00C30366">
            <w:pPr>
              <w:pStyle w:val="Tableheading3"/>
            </w:pPr>
          </w:p>
        </w:tc>
      </w:tr>
      <w:tr w:rsidR="00AA0DCC" w14:paraId="6134C890" w14:textId="77777777" w:rsidTr="00C276E6">
        <w:tc>
          <w:tcPr>
            <w:tcW w:w="5098" w:type="dxa"/>
            <w:tcBorders>
              <w:top w:val="single" w:sz="4" w:space="0" w:color="auto"/>
            </w:tcBorders>
            <w:shd w:val="clear" w:color="auto" w:fill="FFFFFF" w:themeFill="background1"/>
          </w:tcPr>
          <w:p w14:paraId="69F9F3CE" w14:textId="1B2BE120" w:rsidR="00AA0DCC" w:rsidRDefault="00AA0DCC" w:rsidP="0036642C">
            <w:pPr>
              <w:pStyle w:val="Tabletextnumbered"/>
            </w:pPr>
            <w:r>
              <w:t>1.6.1 The Legislature shall take measures to ensure that newly elected Members are assisted in understanding how the Legislature works and its rules of procedure.</w:t>
            </w:r>
          </w:p>
        </w:tc>
        <w:tc>
          <w:tcPr>
            <w:tcW w:w="1276" w:type="dxa"/>
            <w:tcBorders>
              <w:top w:val="single" w:sz="4" w:space="0" w:color="auto"/>
            </w:tcBorders>
            <w:shd w:val="clear" w:color="auto" w:fill="E2EFD9" w:themeFill="accent6" w:themeFillTint="33"/>
          </w:tcPr>
          <w:p w14:paraId="350B2836" w14:textId="77777777" w:rsidR="00AA0DCC" w:rsidRDefault="00AA0DCC" w:rsidP="0036642C">
            <w:pPr>
              <w:pStyle w:val="Tabletext"/>
            </w:pPr>
            <w:r>
              <w:t>2</w:t>
            </w:r>
          </w:p>
        </w:tc>
        <w:tc>
          <w:tcPr>
            <w:tcW w:w="8505" w:type="dxa"/>
            <w:tcBorders>
              <w:top w:val="single" w:sz="4" w:space="0" w:color="auto"/>
            </w:tcBorders>
            <w:shd w:val="clear" w:color="auto" w:fill="FFFFFF" w:themeFill="background1"/>
          </w:tcPr>
          <w:p w14:paraId="72E42B9A" w14:textId="77777777" w:rsidR="00AA0DCC" w:rsidRDefault="00AA0DCC" w:rsidP="0036642C">
            <w:pPr>
              <w:pStyle w:val="Tabletext"/>
            </w:pPr>
            <w:r>
              <w:t>The Office provides all new members training in relation to the operations, practices and procedures of the Assembly.</w:t>
            </w:r>
          </w:p>
          <w:p w14:paraId="08127B8F" w14:textId="1B1D5A0D" w:rsidR="00AA0DCC" w:rsidRDefault="00AA0DCC" w:rsidP="0036642C">
            <w:pPr>
              <w:pStyle w:val="Tabletext"/>
            </w:pPr>
            <w:r>
              <w:t xml:space="preserve">Following the training all Members are asked to identify additional areas of development requiring attention and subsequent training opportunities are then devised based on this feedback. One of the big challenges in the provision of ongoing training is low attendance levels by MLAs and their staff. </w:t>
            </w:r>
          </w:p>
        </w:tc>
      </w:tr>
    </w:tbl>
    <w:p w14:paraId="1B739950" w14:textId="77777777" w:rsidR="00C30366" w:rsidRDefault="00C30366">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1B28A526" w14:textId="77777777" w:rsidTr="00C276E6">
        <w:tc>
          <w:tcPr>
            <w:tcW w:w="5098" w:type="dxa"/>
            <w:tcBorders>
              <w:bottom w:val="single" w:sz="4" w:space="0" w:color="auto"/>
            </w:tcBorders>
            <w:shd w:val="clear" w:color="auto" w:fill="FFFFFF" w:themeFill="background1"/>
          </w:tcPr>
          <w:p w14:paraId="155DA3B4" w14:textId="26E788B0" w:rsidR="00AA0DCC" w:rsidRDefault="00AA0DCC" w:rsidP="0036642C">
            <w:pPr>
              <w:pStyle w:val="Tabletextnumbered"/>
            </w:pPr>
            <w:r>
              <w:lastRenderedPageBreak/>
              <w:t>1.6.2 The Legislature shall take measures to assist legislators increase their knowledge and skills in the performance of their parliamentary duties.</w:t>
            </w:r>
          </w:p>
        </w:tc>
        <w:tc>
          <w:tcPr>
            <w:tcW w:w="1276" w:type="dxa"/>
            <w:tcBorders>
              <w:bottom w:val="single" w:sz="4" w:space="0" w:color="auto"/>
            </w:tcBorders>
            <w:shd w:val="clear" w:color="auto" w:fill="E2EFD9" w:themeFill="accent6" w:themeFillTint="33"/>
          </w:tcPr>
          <w:p w14:paraId="445DF8FF" w14:textId="77777777" w:rsidR="00AA0DCC" w:rsidRDefault="00AA0DCC" w:rsidP="0036642C">
            <w:pPr>
              <w:pStyle w:val="Tabletext"/>
            </w:pPr>
            <w:r>
              <w:t>2</w:t>
            </w:r>
          </w:p>
        </w:tc>
        <w:tc>
          <w:tcPr>
            <w:tcW w:w="8505" w:type="dxa"/>
            <w:tcBorders>
              <w:bottom w:val="single" w:sz="4" w:space="0" w:color="auto"/>
            </w:tcBorders>
          </w:tcPr>
          <w:p w14:paraId="642628D9" w14:textId="77777777" w:rsidR="00AA0DCC" w:rsidRDefault="00AA0DCC" w:rsidP="0036642C">
            <w:pPr>
              <w:pStyle w:val="Tabletext"/>
            </w:pPr>
            <w:r>
              <w:t xml:space="preserve">MLAs routinely undertake professional development through the Commonwealth Parliamentary Association, the Australasian Study of Parliament Group, and the Presiding Officers and Clerks Conference. Members are also able to fund their own professional development activities from their salary. </w:t>
            </w:r>
          </w:p>
          <w:p w14:paraId="7E65A688" w14:textId="28B63EE6" w:rsidR="00AA0DCC" w:rsidRDefault="00AA0DCC" w:rsidP="0036642C">
            <w:pPr>
              <w:pStyle w:val="Tabletext"/>
            </w:pPr>
            <w:r>
              <w:t xml:space="preserve">The Office recently conducted a seminar for all MLAs to explain changes to the standing orders arising from the 2018 review. </w:t>
            </w:r>
          </w:p>
          <w:p w14:paraId="26FA0159" w14:textId="18BDA0BD" w:rsidR="00AA0DCC" w:rsidRPr="00E12DA7" w:rsidRDefault="00AA0DCC" w:rsidP="00E12DA7">
            <w:pPr>
              <w:pStyle w:val="Tabletext"/>
            </w:pPr>
            <w:r w:rsidRPr="00E12DA7">
              <w:t xml:space="preserve">All new members receive induction to the practices, procedures and administrative requirements that arise in the role of an MLA through a new members’ seminar which occurs following the election. Again, the participation of members and their staff in training sessions provided by the Office can often be quite low. </w:t>
            </w:r>
          </w:p>
        </w:tc>
      </w:tr>
      <w:tr w:rsidR="00AA0DCC" w:rsidRPr="00B07776" w14:paraId="4A5EEE3C"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0154547C" w14:textId="77777777" w:rsidR="00AA0DCC" w:rsidRPr="00B07776" w:rsidRDefault="00AA0DCC" w:rsidP="00C30366">
            <w:pPr>
              <w:pStyle w:val="Tableheading3"/>
            </w:pPr>
            <w:r w:rsidRPr="00B07776">
              <w:t>Resignation</w:t>
            </w:r>
          </w:p>
        </w:tc>
        <w:tc>
          <w:tcPr>
            <w:tcW w:w="1276" w:type="dxa"/>
            <w:tcBorders>
              <w:top w:val="single" w:sz="4" w:space="0" w:color="auto"/>
              <w:left w:val="nil"/>
              <w:bottom w:val="single" w:sz="4" w:space="0" w:color="auto"/>
              <w:right w:val="nil"/>
            </w:tcBorders>
            <w:shd w:val="clear" w:color="auto" w:fill="F2F2F2" w:themeFill="background1" w:themeFillShade="F2"/>
          </w:tcPr>
          <w:p w14:paraId="1B39DCEF" w14:textId="77777777" w:rsidR="00AA0DCC" w:rsidRPr="00B07776"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5DD8609" w14:textId="77777777" w:rsidR="00AA0DCC" w:rsidRPr="00B07776" w:rsidRDefault="00AA0DCC" w:rsidP="00C30366">
            <w:pPr>
              <w:pStyle w:val="Tableheading3"/>
            </w:pPr>
          </w:p>
        </w:tc>
      </w:tr>
      <w:tr w:rsidR="00AA0DCC" w14:paraId="5D2ACAC6" w14:textId="77777777" w:rsidTr="00C276E6">
        <w:tc>
          <w:tcPr>
            <w:tcW w:w="5098" w:type="dxa"/>
            <w:tcBorders>
              <w:top w:val="single" w:sz="4" w:space="0" w:color="auto"/>
              <w:bottom w:val="single" w:sz="4" w:space="0" w:color="auto"/>
            </w:tcBorders>
            <w:shd w:val="clear" w:color="auto" w:fill="FFFFFF" w:themeFill="background1"/>
          </w:tcPr>
          <w:p w14:paraId="0977D301" w14:textId="2AEEF15F" w:rsidR="00AA0DCC" w:rsidRDefault="00AA0DCC" w:rsidP="008814E7">
            <w:pPr>
              <w:pStyle w:val="Tabletextnumbered"/>
            </w:pPr>
            <w:r>
              <w:t>1.7.1 Legislators shall have the right to resign from Parliament in accordance with clearly defined procedures in the rules of procedure, the Constitution</w:t>
            </w:r>
            <w:r w:rsidR="008814E7">
              <w:t xml:space="preserve"> </w:t>
            </w:r>
            <w:r>
              <w:t>or any other related law.</w:t>
            </w:r>
          </w:p>
        </w:tc>
        <w:tc>
          <w:tcPr>
            <w:tcW w:w="1276" w:type="dxa"/>
            <w:tcBorders>
              <w:top w:val="single" w:sz="4" w:space="0" w:color="auto"/>
              <w:bottom w:val="single" w:sz="4" w:space="0" w:color="auto"/>
            </w:tcBorders>
            <w:shd w:val="clear" w:color="auto" w:fill="E2EFD9" w:themeFill="accent6" w:themeFillTint="33"/>
          </w:tcPr>
          <w:p w14:paraId="54E6852F" w14:textId="77777777" w:rsidR="00AA0DCC" w:rsidRDefault="00AA0DCC" w:rsidP="00E12DA7">
            <w:pPr>
              <w:pStyle w:val="Tabletext"/>
            </w:pPr>
            <w:r>
              <w:t>2</w:t>
            </w:r>
          </w:p>
        </w:tc>
        <w:tc>
          <w:tcPr>
            <w:tcW w:w="8505" w:type="dxa"/>
            <w:tcBorders>
              <w:top w:val="single" w:sz="4" w:space="0" w:color="auto"/>
              <w:bottom w:val="single" w:sz="4" w:space="0" w:color="auto"/>
            </w:tcBorders>
          </w:tcPr>
          <w:p w14:paraId="2A904247" w14:textId="77777777" w:rsidR="00AA0DCC" w:rsidRDefault="00AA0DCC" w:rsidP="00E12DA7">
            <w:pPr>
              <w:pStyle w:val="Tabletext"/>
            </w:pPr>
            <w:r>
              <w:t>Members have the right to resign from the Assembly pursuant to s 13 of the Self-Government Act.</w:t>
            </w:r>
          </w:p>
        </w:tc>
      </w:tr>
      <w:tr w:rsidR="00AA0DCC" w:rsidRPr="00B07776" w14:paraId="03EDE2B0"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4DB2085D" w14:textId="77777777" w:rsidR="00AA0DCC" w:rsidRPr="00B07776" w:rsidRDefault="00AA0DCC" w:rsidP="00C30366">
            <w:pPr>
              <w:pStyle w:val="Tableheading3"/>
            </w:pPr>
            <w:r w:rsidRPr="00B07776">
              <w:t>Natural justice</w:t>
            </w:r>
          </w:p>
        </w:tc>
        <w:tc>
          <w:tcPr>
            <w:tcW w:w="1276" w:type="dxa"/>
            <w:tcBorders>
              <w:top w:val="single" w:sz="4" w:space="0" w:color="auto"/>
              <w:left w:val="nil"/>
              <w:bottom w:val="single" w:sz="4" w:space="0" w:color="auto"/>
              <w:right w:val="nil"/>
            </w:tcBorders>
            <w:shd w:val="clear" w:color="auto" w:fill="F2F2F2" w:themeFill="background1" w:themeFillShade="F2"/>
          </w:tcPr>
          <w:p w14:paraId="41F7A9FB" w14:textId="77777777" w:rsidR="00AA0DCC" w:rsidRPr="00B07776"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5540E5FD" w14:textId="77777777" w:rsidR="00AA0DCC" w:rsidRPr="00B07776" w:rsidRDefault="00AA0DCC" w:rsidP="00C30366">
            <w:pPr>
              <w:pStyle w:val="Tableheading3"/>
            </w:pPr>
          </w:p>
        </w:tc>
      </w:tr>
      <w:tr w:rsidR="00AA0DCC" w14:paraId="496A1EA1" w14:textId="77777777" w:rsidTr="00C276E6">
        <w:tc>
          <w:tcPr>
            <w:tcW w:w="5098" w:type="dxa"/>
            <w:tcBorders>
              <w:top w:val="single" w:sz="4" w:space="0" w:color="auto"/>
            </w:tcBorders>
            <w:shd w:val="clear" w:color="auto" w:fill="FFFFFF" w:themeFill="background1"/>
          </w:tcPr>
          <w:p w14:paraId="1B30D11E" w14:textId="47CCDC6F" w:rsidR="00AA0DCC" w:rsidRDefault="00AA0DCC" w:rsidP="00E12DA7">
            <w:pPr>
              <w:pStyle w:val="Tabletextnumbered"/>
            </w:pPr>
            <w:r>
              <w:t>1</w:t>
            </w:r>
            <w:r w:rsidRPr="00C276E6">
              <w:rPr>
                <w:shd w:val="clear" w:color="auto" w:fill="FFFFFF" w:themeFill="background1"/>
              </w:rPr>
              <w:t xml:space="preserve">.8.1 The Legislature shall incorporate principles of natural justice into its rules and procedures, and these shall be applied rigorously to all situations where serious allegations are made against named or identifiable persons </w:t>
            </w:r>
            <w:proofErr w:type="gramStart"/>
            <w:r w:rsidRPr="00C276E6">
              <w:rPr>
                <w:shd w:val="clear" w:color="auto" w:fill="FFFFFF" w:themeFill="background1"/>
              </w:rPr>
              <w:t>during the course of</w:t>
            </w:r>
            <w:proofErr w:type="gramEnd"/>
            <w:r w:rsidRPr="00C276E6">
              <w:rPr>
                <w:shd w:val="clear" w:color="auto" w:fill="FFFFFF" w:themeFill="background1"/>
              </w:rPr>
              <w:t xml:space="preserve"> proceedings, either in the Legislature or in its Committees.</w:t>
            </w:r>
          </w:p>
        </w:tc>
        <w:tc>
          <w:tcPr>
            <w:tcW w:w="1276" w:type="dxa"/>
            <w:tcBorders>
              <w:top w:val="single" w:sz="4" w:space="0" w:color="auto"/>
            </w:tcBorders>
            <w:shd w:val="clear" w:color="auto" w:fill="E2EFD9" w:themeFill="accent6" w:themeFillTint="33"/>
          </w:tcPr>
          <w:p w14:paraId="3AD33960" w14:textId="77777777" w:rsidR="00AA0DCC" w:rsidRDefault="00AA0DCC" w:rsidP="00E12DA7">
            <w:pPr>
              <w:pStyle w:val="Tabletext"/>
            </w:pPr>
            <w:r>
              <w:t>2</w:t>
            </w:r>
          </w:p>
        </w:tc>
        <w:tc>
          <w:tcPr>
            <w:tcW w:w="8505" w:type="dxa"/>
            <w:tcBorders>
              <w:top w:val="single" w:sz="4" w:space="0" w:color="auto"/>
            </w:tcBorders>
          </w:tcPr>
          <w:p w14:paraId="18A4BDD1" w14:textId="0764C4C5" w:rsidR="00AA0DCC" w:rsidRDefault="00AA0DCC" w:rsidP="00E12DA7">
            <w:pPr>
              <w:pStyle w:val="Tabletext"/>
            </w:pPr>
            <w:r>
              <w:t xml:space="preserve">Key tenets of natural justice require that a person against whom an allegation is made are given a fair hearing are adjudged in an impartial manner; have the right to be given sufficient information to understand the nature of an allegation and the factual basis for it; have the opportunity to respond to the allegation (to be heard) and to have facts tested. Where a decision is made in relation to an allegation, it is an important feature of natural justice that reasons for the decisions are provided to support the basis of the decision. </w:t>
            </w:r>
          </w:p>
          <w:p w14:paraId="628BAE57" w14:textId="16450C79" w:rsidR="00AA0DCC" w:rsidRDefault="00AA0DCC" w:rsidP="00E12DA7">
            <w:pPr>
              <w:pStyle w:val="Tabletext"/>
            </w:pPr>
            <w:r>
              <w:t xml:space="preserve">Through its practice and procedure, the Assembly recognises and applies natural justice where serious allegations are made (for example, in cases involving a possible contempt). </w:t>
            </w:r>
          </w:p>
          <w:p w14:paraId="544CEAAB" w14:textId="23AC2908" w:rsidR="00AA0DCC" w:rsidRDefault="00AA0DCC" w:rsidP="00E12DA7">
            <w:pPr>
              <w:pStyle w:val="Tabletext"/>
            </w:pPr>
            <w:r>
              <w:t>Similarly, the Commissioner for Standards is bound by ‘</w:t>
            </w:r>
            <w:hyperlink r:id="rId30" w:history="1">
              <w:r w:rsidRPr="00897CDB">
                <w:rPr>
                  <w:rStyle w:val="Hyperlink"/>
                </w:rPr>
                <w:t>Protocols for investigating complaints against members’</w:t>
              </w:r>
            </w:hyperlink>
            <w:r>
              <w:t xml:space="preserve"> in the investigation of Members for possible breaches of the Code of Conduct which contain requirements in relation to natural justice.  </w:t>
            </w:r>
          </w:p>
          <w:p w14:paraId="41608ED6" w14:textId="77777777" w:rsidR="00AA0DCC" w:rsidRDefault="00AA0DCC" w:rsidP="00E12DA7">
            <w:pPr>
              <w:pStyle w:val="Tabletext"/>
            </w:pPr>
            <w:r>
              <w:lastRenderedPageBreak/>
              <w:t xml:space="preserve">The Code of Conduct for Members (paragraph 15) provides that Members ‘take care to consider the rights and reputations of others before making use of their unique protection of parliamentary privilege consistent resolution of the Assembly ‘Exercise of freedom of speech’’. </w:t>
            </w:r>
          </w:p>
          <w:p w14:paraId="33B7316A" w14:textId="77777777" w:rsidR="00AA0DCC" w:rsidRDefault="00AA0DCC" w:rsidP="00E12DA7">
            <w:pPr>
              <w:pStyle w:val="Tabletext"/>
            </w:pPr>
            <w:r>
              <w:t>Continuing resolution 7 relating to the freedom of speech provides that Members should take the following matters into account in exercising their speech rights:</w:t>
            </w:r>
          </w:p>
          <w:p w14:paraId="222FC49A" w14:textId="5EB9D1F3" w:rsidR="00AA0DCC" w:rsidRDefault="00AA0DCC" w:rsidP="00E12DA7">
            <w:pPr>
              <w:pStyle w:val="Tabletextalphalist"/>
            </w:pPr>
            <w:r>
              <w:t>the need to exercise their valuable right of freedom of speech in a responsible manner;</w:t>
            </w:r>
          </w:p>
          <w:p w14:paraId="1DE3CF85" w14:textId="34531114" w:rsidR="00AA0DCC" w:rsidRDefault="00AA0DCC" w:rsidP="00E12DA7">
            <w:pPr>
              <w:pStyle w:val="Tabletextalphalist"/>
            </w:pPr>
            <w:r>
              <w:t>the damage that may be done by allegations made in the Assembly to those who are the subject of such allegations and to the standing of the</w:t>
            </w:r>
            <w:r w:rsidR="001F0687">
              <w:t xml:space="preserve"> </w:t>
            </w:r>
            <w:r>
              <w:t>Assembly;</w:t>
            </w:r>
          </w:p>
          <w:p w14:paraId="479CEE58" w14:textId="36F2FAB8" w:rsidR="00AA0DCC" w:rsidRDefault="00AA0DCC" w:rsidP="00E12DA7">
            <w:pPr>
              <w:pStyle w:val="Tabletextalphalist"/>
            </w:pPr>
            <w:r>
              <w:t>the limited opportunities for persons other than Members of the Assembly to respond to allegations made in the Assembly;</w:t>
            </w:r>
          </w:p>
          <w:p w14:paraId="6A707551" w14:textId="0E76CD5B" w:rsidR="00AA0DCC" w:rsidRDefault="00AA0DCC" w:rsidP="00E12DA7">
            <w:pPr>
              <w:pStyle w:val="Tabletextalphalist"/>
            </w:pPr>
            <w:r>
              <w:t>the need for Members, while fearlessly performing their duties, to have regard to the rights of others; and</w:t>
            </w:r>
          </w:p>
          <w:p w14:paraId="0E73D0B6" w14:textId="4B574707" w:rsidR="00AA0DCC" w:rsidRDefault="00AA0DCC" w:rsidP="00E12DA7">
            <w:pPr>
              <w:pStyle w:val="Tabletextalphalist"/>
            </w:pPr>
            <w:r>
              <w:t>the desirability of ensuring that statements reflecting adversely on persons are soundly based.</w:t>
            </w:r>
          </w:p>
        </w:tc>
      </w:tr>
      <w:tr w:rsidR="00AA0DCC" w14:paraId="3189CA26" w14:textId="77777777" w:rsidTr="00C276E6">
        <w:tc>
          <w:tcPr>
            <w:tcW w:w="5098" w:type="dxa"/>
            <w:shd w:val="clear" w:color="auto" w:fill="FFFFFF" w:themeFill="background1"/>
          </w:tcPr>
          <w:p w14:paraId="0725EE1E" w14:textId="23A52ABF" w:rsidR="00AA0DCC" w:rsidRDefault="00AA0DCC" w:rsidP="00E12DA7">
            <w:pPr>
              <w:pStyle w:val="Tabletextnumbered"/>
            </w:pPr>
            <w:r>
              <w:lastRenderedPageBreak/>
              <w:t xml:space="preserve">1.8.2 Members, or others, who are subject to serious charges of contempt of, and offences against, the legislature are accorded natural justice during the whole process of consideration, and the charges are decided </w:t>
            </w:r>
            <w:proofErr w:type="gramStart"/>
            <w:r>
              <w:t>on the basis of</w:t>
            </w:r>
            <w:proofErr w:type="gramEnd"/>
            <w:r>
              <w:t xml:space="preserve"> all properly admissible evidence.</w:t>
            </w:r>
          </w:p>
        </w:tc>
        <w:tc>
          <w:tcPr>
            <w:tcW w:w="1276" w:type="dxa"/>
            <w:shd w:val="clear" w:color="auto" w:fill="E2EFD9" w:themeFill="accent6" w:themeFillTint="33"/>
          </w:tcPr>
          <w:p w14:paraId="552CB064" w14:textId="77777777" w:rsidR="00AA0DCC" w:rsidRDefault="00AA0DCC" w:rsidP="00E12DA7">
            <w:pPr>
              <w:pStyle w:val="Tabletext"/>
            </w:pPr>
            <w:r>
              <w:t>2</w:t>
            </w:r>
          </w:p>
        </w:tc>
        <w:tc>
          <w:tcPr>
            <w:tcW w:w="8505" w:type="dxa"/>
          </w:tcPr>
          <w:p w14:paraId="2E77CEB6" w14:textId="71FC3ED8" w:rsidR="00AA0DCC" w:rsidRDefault="00AA0DCC" w:rsidP="00E12DA7">
            <w:pPr>
              <w:pStyle w:val="Tabletext"/>
            </w:pPr>
            <w:r>
              <w:t xml:space="preserve">It is the practice of the Assembly to establish a Privileges Committee to investigate possible </w:t>
            </w:r>
            <w:proofErr w:type="spellStart"/>
            <w:r>
              <w:t>contempts</w:t>
            </w:r>
            <w:proofErr w:type="spellEnd"/>
            <w:r>
              <w:t xml:space="preserve"> (see standing order 276), which have been guided by principles of natural justice in the gathering and consideration of evidence.  </w:t>
            </w:r>
          </w:p>
          <w:p w14:paraId="6341BB0E" w14:textId="2D635A88" w:rsidR="00AA0DCC" w:rsidRDefault="00AA0DCC" w:rsidP="00E12DA7">
            <w:pPr>
              <w:pStyle w:val="Tabletext"/>
            </w:pPr>
            <w:r>
              <w:t xml:space="preserve">Standing order 280 provides for natural justice in relation to witnesses appearing before privileges committees. </w:t>
            </w:r>
          </w:p>
          <w:p w14:paraId="0B9D0B2D" w14:textId="77777777" w:rsidR="00AA0DCC" w:rsidRDefault="00AA0DCC" w:rsidP="00E12DA7">
            <w:pPr>
              <w:pStyle w:val="Tabletext"/>
            </w:pPr>
            <w:r>
              <w:t>The principles of procedural fairness are also afforded to a Member who is the subject of a complaint against the ‘Code of Conduct for all Members of the Legislative Assembly’ by reason of the ‘</w:t>
            </w:r>
            <w:hyperlink r:id="rId31" w:history="1">
              <w:r w:rsidRPr="00897CDB">
                <w:rPr>
                  <w:rStyle w:val="Hyperlink"/>
                </w:rPr>
                <w:t>Protocols for investigating complaints against members’</w:t>
              </w:r>
            </w:hyperlink>
          </w:p>
        </w:tc>
      </w:tr>
    </w:tbl>
    <w:p w14:paraId="5F099BD3" w14:textId="77777777" w:rsidR="00C30366" w:rsidRDefault="00C30366">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7E365F00" w14:textId="77777777" w:rsidTr="00C276E6">
        <w:tc>
          <w:tcPr>
            <w:tcW w:w="5098" w:type="dxa"/>
            <w:tcBorders>
              <w:bottom w:val="single" w:sz="4" w:space="0" w:color="auto"/>
            </w:tcBorders>
            <w:shd w:val="clear" w:color="auto" w:fill="FFFFFF" w:themeFill="background1"/>
          </w:tcPr>
          <w:p w14:paraId="0565B52C" w14:textId="467A5B33" w:rsidR="00AA0DCC" w:rsidRDefault="00AA0DCC" w:rsidP="00E12DA7">
            <w:pPr>
              <w:pStyle w:val="Tabletextnumbered"/>
            </w:pPr>
            <w:r>
              <w:lastRenderedPageBreak/>
              <w:t>1.8.3 Punishments imposed by the Legislature on Members or other people (for example, fines, or suspensions from attending or participating in further sittings of the Legislature and its Committees) are proportionate and fair.</w:t>
            </w:r>
          </w:p>
        </w:tc>
        <w:tc>
          <w:tcPr>
            <w:tcW w:w="1276" w:type="dxa"/>
            <w:tcBorders>
              <w:bottom w:val="single" w:sz="4" w:space="0" w:color="auto"/>
            </w:tcBorders>
            <w:shd w:val="clear" w:color="auto" w:fill="E2EFD9" w:themeFill="accent6" w:themeFillTint="33"/>
          </w:tcPr>
          <w:p w14:paraId="29E4026C" w14:textId="77777777" w:rsidR="00AA0DCC" w:rsidRDefault="00AA0DCC" w:rsidP="00E12DA7">
            <w:pPr>
              <w:pStyle w:val="Tabletext"/>
            </w:pPr>
            <w:r>
              <w:t>2</w:t>
            </w:r>
          </w:p>
        </w:tc>
        <w:tc>
          <w:tcPr>
            <w:tcW w:w="8505" w:type="dxa"/>
            <w:tcBorders>
              <w:bottom w:val="single" w:sz="4" w:space="0" w:color="auto"/>
            </w:tcBorders>
          </w:tcPr>
          <w:p w14:paraId="3A15BFDC" w14:textId="2B72BF7A" w:rsidR="00AA0DCC" w:rsidRDefault="00AA0DCC" w:rsidP="00E12DA7">
            <w:pPr>
              <w:pStyle w:val="Tabletext"/>
            </w:pPr>
            <w:r>
              <w:t xml:space="preserve">There are strong grounds to suggest that both proportionality and fairness are applied in relation </w:t>
            </w:r>
            <w:proofErr w:type="gramStart"/>
            <w:r>
              <w:t>particular infractions</w:t>
            </w:r>
            <w:proofErr w:type="gramEnd"/>
            <w:r>
              <w:t xml:space="preserve"> that arise vis-à-vis the Assembly.</w:t>
            </w:r>
          </w:p>
          <w:p w14:paraId="7C5C50CD" w14:textId="696D6C69" w:rsidR="00AA0DCC" w:rsidRPr="00E12DA7" w:rsidRDefault="00AA0DCC" w:rsidP="00E12DA7">
            <w:pPr>
              <w:pStyle w:val="Tabletext"/>
            </w:pPr>
            <w:r>
              <w:t xml:space="preserve">Proportionality, of course, broadly means that a punishment will ‘fit the crime’. The related doctrine of fairness (in the context of punishment) generally speaks to whether there is a sufficient justification to mete out a particular punishment in light of the prevailing </w:t>
            </w:r>
            <w:r w:rsidRPr="00E12DA7">
              <w:t xml:space="preserve">circumstances in a given matter and that a punishment is issued by an impartial agent having considered any aggravating or extenuating factors. </w:t>
            </w:r>
          </w:p>
          <w:p w14:paraId="3A1B9399" w14:textId="486C433D" w:rsidR="00AA0DCC" w:rsidRPr="00E12DA7" w:rsidRDefault="00AA0DCC" w:rsidP="00E12DA7">
            <w:pPr>
              <w:pStyle w:val="Tabletext"/>
            </w:pPr>
            <w:r w:rsidRPr="00E12DA7">
              <w:t xml:space="preserve">The Assembly is limited in the punishments that it </w:t>
            </w:r>
            <w:proofErr w:type="gramStart"/>
            <w:r w:rsidRPr="00E12DA7">
              <w:t>is able to</w:t>
            </w:r>
            <w:proofErr w:type="gramEnd"/>
            <w:r w:rsidRPr="00E12DA7">
              <w:t xml:space="preserve"> mete out to MLAs or others. </w:t>
            </w:r>
          </w:p>
          <w:p w14:paraId="2B3DADDF" w14:textId="0E749754" w:rsidR="00AA0DCC" w:rsidRPr="00E12DA7" w:rsidRDefault="00AA0DCC" w:rsidP="00E12DA7">
            <w:pPr>
              <w:pStyle w:val="Tabletext"/>
            </w:pPr>
            <w:r w:rsidRPr="00E12DA7">
              <w:t>For instance, the Assembly does not have the power to fine or imprison a person</w:t>
            </w:r>
            <w:r w:rsidR="00E12DA7">
              <w:br/>
            </w:r>
            <w:r w:rsidRPr="00E12DA7">
              <w:t xml:space="preserve">(see s 24(4) of the Self-Government Act). Even a serious contempt of the Assembly committed by a member of the public would not be met by serious sanction and so the prospect of an unfair or disproportionate punishment, which has the effect of disadvantaging a contemnor, is remote. </w:t>
            </w:r>
          </w:p>
          <w:p w14:paraId="100ADFC7" w14:textId="5794DF02" w:rsidR="00AA0DCC" w:rsidRPr="00E12DA7" w:rsidRDefault="00AA0DCC" w:rsidP="00E12DA7">
            <w:pPr>
              <w:pStyle w:val="Tabletext"/>
            </w:pPr>
            <w:r w:rsidRPr="00E12DA7">
              <w:t xml:space="preserve">While the proportionality and fairness of a particular penalty imposed by the Assembly on a Member (e.g. suspension of a member from attending the Assembly) may be contested by various political actors in a given instance, there are nonetheless procedural constraints that work to ensure a degree of fairness to MLAs or other people who are likely to be punished by the Assembly. </w:t>
            </w:r>
          </w:p>
          <w:p w14:paraId="27476094" w14:textId="66DF82FB" w:rsidR="00AA0DCC" w:rsidRPr="00E12DA7" w:rsidRDefault="00AA0DCC" w:rsidP="00E12DA7">
            <w:pPr>
              <w:pStyle w:val="Tabletext"/>
            </w:pPr>
            <w:r w:rsidRPr="00E12DA7">
              <w:t>The only substantive punishment that Assembly is able to impose on an MLA is suspension, which typically occurs via the ‘naming’ of a member by the Speaker and a subsequent resolution of the Assembly that a member be suspended from the ’service of the Assembly’ (standing order 203).</w:t>
            </w:r>
          </w:p>
          <w:p w14:paraId="64ADAEBB" w14:textId="79DC93D1" w:rsidR="00AA0DCC" w:rsidRDefault="00AA0DCC" w:rsidP="00E12DA7">
            <w:pPr>
              <w:pStyle w:val="Tabletext"/>
            </w:pPr>
            <w:r w:rsidRPr="00E12DA7">
              <w:t>Standing 202 sets out the grounds upon which a member may be named. The period of suspension, following a successful motion, are stipulated in the standing order 204.</w:t>
            </w:r>
          </w:p>
        </w:tc>
      </w:tr>
      <w:tr w:rsidR="00AA0DCC" w:rsidRPr="00C306CC" w14:paraId="15A967BD"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06E7798A" w14:textId="7C94B9E9" w:rsidR="00AA0DCC" w:rsidRPr="00C306CC" w:rsidRDefault="00AA0DCC" w:rsidP="00C30366">
            <w:pPr>
              <w:pStyle w:val="Tableheading3"/>
            </w:pPr>
            <w:r w:rsidRPr="00C306CC">
              <w:t xml:space="preserve">Infrastructure </w:t>
            </w:r>
          </w:p>
        </w:tc>
        <w:tc>
          <w:tcPr>
            <w:tcW w:w="1276" w:type="dxa"/>
            <w:tcBorders>
              <w:top w:val="single" w:sz="4" w:space="0" w:color="auto"/>
              <w:left w:val="nil"/>
              <w:bottom w:val="single" w:sz="4" w:space="0" w:color="auto"/>
              <w:right w:val="nil"/>
            </w:tcBorders>
            <w:shd w:val="clear" w:color="auto" w:fill="F2F2F2" w:themeFill="background1" w:themeFillShade="F2"/>
          </w:tcPr>
          <w:p w14:paraId="792E6464" w14:textId="77777777" w:rsidR="00AA0DCC" w:rsidRPr="00C306CC"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03CE588D" w14:textId="77777777" w:rsidR="00AA0DCC" w:rsidRPr="00C306CC" w:rsidRDefault="00AA0DCC" w:rsidP="00C30366">
            <w:pPr>
              <w:pStyle w:val="Tableheading3"/>
            </w:pPr>
          </w:p>
        </w:tc>
      </w:tr>
      <w:tr w:rsidR="00AA0DCC" w14:paraId="74024795" w14:textId="77777777" w:rsidTr="00C276E6">
        <w:tc>
          <w:tcPr>
            <w:tcW w:w="5098" w:type="dxa"/>
            <w:tcBorders>
              <w:top w:val="single" w:sz="4" w:space="0" w:color="auto"/>
              <w:bottom w:val="single" w:sz="4" w:space="0" w:color="auto"/>
            </w:tcBorders>
            <w:shd w:val="clear" w:color="auto" w:fill="FFFFFF" w:themeFill="background1"/>
          </w:tcPr>
          <w:p w14:paraId="7AF2E881" w14:textId="1CB56C69" w:rsidR="00AA0DCC" w:rsidRDefault="00AA0DCC" w:rsidP="00414523">
            <w:r>
              <w:t>1.9.1 The Legislature shall have adequate physical infrastructure to enable Members and staff to fulfil their responsibilities.</w:t>
            </w:r>
          </w:p>
        </w:tc>
        <w:tc>
          <w:tcPr>
            <w:tcW w:w="1276" w:type="dxa"/>
            <w:tcBorders>
              <w:top w:val="single" w:sz="4" w:space="0" w:color="auto"/>
              <w:bottom w:val="single" w:sz="4" w:space="0" w:color="auto"/>
            </w:tcBorders>
            <w:shd w:val="clear" w:color="auto" w:fill="E2EFD9" w:themeFill="accent6" w:themeFillTint="33"/>
          </w:tcPr>
          <w:p w14:paraId="53CEA5C2" w14:textId="77777777" w:rsidR="00AA0DCC" w:rsidRDefault="00AA0DCC">
            <w:r>
              <w:t>2</w:t>
            </w:r>
          </w:p>
        </w:tc>
        <w:tc>
          <w:tcPr>
            <w:tcW w:w="8505" w:type="dxa"/>
            <w:tcBorders>
              <w:top w:val="single" w:sz="4" w:space="0" w:color="auto"/>
              <w:bottom w:val="single" w:sz="4" w:space="0" w:color="auto"/>
            </w:tcBorders>
          </w:tcPr>
          <w:p w14:paraId="39B9D7EC" w14:textId="77777777" w:rsidR="00AA0DCC" w:rsidRDefault="00AA0DCC" w:rsidP="00F4322D">
            <w:pPr>
              <w:spacing w:before="120" w:after="120"/>
            </w:pPr>
            <w:r>
              <w:t xml:space="preserve">All MLAs are given the necessary ICT equipment and office accommodation at the Assembly premises to undertake their roles effectively. Members are also granted an ‘office support allocation’, which can be used to procure specific items that are considered necessary in the performance of their duties. </w:t>
            </w:r>
          </w:p>
        </w:tc>
      </w:tr>
      <w:tr w:rsidR="00AA0DCC" w:rsidRPr="00AB5D81" w14:paraId="0EDEA627" w14:textId="77777777" w:rsidTr="003878EB">
        <w:trPr>
          <w:trHeight w:val="566"/>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16810243" w14:textId="77777777" w:rsidR="00AA0DCC" w:rsidRPr="00AB5D81" w:rsidRDefault="00AA0DCC" w:rsidP="00C30366">
            <w:pPr>
              <w:pStyle w:val="Tableheading2"/>
            </w:pPr>
            <w:r w:rsidRPr="00AB5D81">
              <w:lastRenderedPageBreak/>
              <w:t xml:space="preserve">Procedure and sessions </w:t>
            </w:r>
          </w:p>
        </w:tc>
        <w:tc>
          <w:tcPr>
            <w:tcW w:w="1276" w:type="dxa"/>
            <w:tcBorders>
              <w:top w:val="single" w:sz="4" w:space="0" w:color="auto"/>
              <w:left w:val="nil"/>
              <w:bottom w:val="single" w:sz="4" w:space="0" w:color="auto"/>
              <w:right w:val="nil"/>
            </w:tcBorders>
            <w:shd w:val="clear" w:color="auto" w:fill="F2F2F2" w:themeFill="background1" w:themeFillShade="F2"/>
          </w:tcPr>
          <w:p w14:paraId="6E4083CD" w14:textId="77777777" w:rsidR="00AA0DCC" w:rsidRPr="00AB5D81" w:rsidRDefault="00AA0DCC" w:rsidP="00C30366">
            <w:pPr>
              <w:pStyle w:val="Tableheading2"/>
            </w:pPr>
          </w:p>
        </w:tc>
        <w:tc>
          <w:tcPr>
            <w:tcW w:w="8505" w:type="dxa"/>
            <w:tcBorders>
              <w:top w:val="single" w:sz="4" w:space="0" w:color="auto"/>
              <w:left w:val="nil"/>
              <w:bottom w:val="single" w:sz="4" w:space="0" w:color="auto"/>
              <w:right w:val="nil"/>
            </w:tcBorders>
            <w:shd w:val="clear" w:color="auto" w:fill="F2F2F2" w:themeFill="background1" w:themeFillShade="F2"/>
          </w:tcPr>
          <w:p w14:paraId="3C0D49E8" w14:textId="77777777" w:rsidR="00AA0DCC" w:rsidRPr="00AB5D81" w:rsidRDefault="00AA0DCC" w:rsidP="00C30366">
            <w:pPr>
              <w:pStyle w:val="Tableheading2"/>
            </w:pPr>
          </w:p>
        </w:tc>
      </w:tr>
      <w:tr w:rsidR="00AA0DCC" w:rsidRPr="002E38E2" w14:paraId="4B1F820B"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0E98CF02" w14:textId="77777777" w:rsidR="00AA0DCC" w:rsidRPr="002E38E2" w:rsidRDefault="00AA0DCC" w:rsidP="00C30366">
            <w:pPr>
              <w:pStyle w:val="Tableheading3"/>
            </w:pPr>
            <w:r w:rsidRPr="002E38E2">
              <w:t>Rules of Procedure</w:t>
            </w:r>
          </w:p>
        </w:tc>
        <w:tc>
          <w:tcPr>
            <w:tcW w:w="1276" w:type="dxa"/>
            <w:tcBorders>
              <w:top w:val="single" w:sz="4" w:space="0" w:color="auto"/>
              <w:left w:val="nil"/>
              <w:bottom w:val="single" w:sz="4" w:space="0" w:color="auto"/>
              <w:right w:val="nil"/>
            </w:tcBorders>
            <w:shd w:val="clear" w:color="auto" w:fill="F2F2F2" w:themeFill="background1" w:themeFillShade="F2"/>
          </w:tcPr>
          <w:p w14:paraId="174A32FB" w14:textId="77777777" w:rsidR="00AA0DCC" w:rsidRPr="002E38E2"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49283F4" w14:textId="77777777" w:rsidR="00AA0DCC" w:rsidRPr="002E38E2" w:rsidRDefault="00AA0DCC" w:rsidP="00C30366">
            <w:pPr>
              <w:pStyle w:val="Tableheading3"/>
            </w:pPr>
          </w:p>
        </w:tc>
      </w:tr>
      <w:tr w:rsidR="00AA0DCC" w14:paraId="776001C8" w14:textId="77777777" w:rsidTr="00C276E6">
        <w:tc>
          <w:tcPr>
            <w:tcW w:w="5098" w:type="dxa"/>
            <w:tcBorders>
              <w:top w:val="single" w:sz="4" w:space="0" w:color="auto"/>
              <w:bottom w:val="single" w:sz="4" w:space="0" w:color="auto"/>
            </w:tcBorders>
            <w:shd w:val="clear" w:color="auto" w:fill="FFFFFF" w:themeFill="background1"/>
          </w:tcPr>
          <w:p w14:paraId="547207DC" w14:textId="71E1E049" w:rsidR="00AA0DCC" w:rsidRDefault="00AA0DCC" w:rsidP="00E12DA7">
            <w:pPr>
              <w:pStyle w:val="Tabletextnumbered"/>
            </w:pPr>
            <w:r>
              <w:t>2.1.1 The Legislature’s rules of procedure reflect and support the actual practice and culture of the Legislature.</w:t>
            </w:r>
          </w:p>
        </w:tc>
        <w:tc>
          <w:tcPr>
            <w:tcW w:w="1276" w:type="dxa"/>
            <w:tcBorders>
              <w:top w:val="single" w:sz="4" w:space="0" w:color="auto"/>
              <w:bottom w:val="single" w:sz="4" w:space="0" w:color="auto"/>
            </w:tcBorders>
            <w:shd w:val="clear" w:color="auto" w:fill="E2EFD9" w:themeFill="accent6" w:themeFillTint="33"/>
          </w:tcPr>
          <w:p w14:paraId="35A465E7" w14:textId="77777777" w:rsidR="00AA0DCC" w:rsidRDefault="00AA0DCC" w:rsidP="00E12DA7">
            <w:pPr>
              <w:pStyle w:val="Tabletext"/>
            </w:pPr>
            <w:r>
              <w:t>2</w:t>
            </w:r>
          </w:p>
        </w:tc>
        <w:tc>
          <w:tcPr>
            <w:tcW w:w="8505" w:type="dxa"/>
            <w:tcBorders>
              <w:top w:val="single" w:sz="4" w:space="0" w:color="auto"/>
              <w:bottom w:val="single" w:sz="4" w:space="0" w:color="auto"/>
            </w:tcBorders>
          </w:tcPr>
          <w:p w14:paraId="3DA233EF" w14:textId="77777777" w:rsidR="00AA0DCC" w:rsidRDefault="00AA0DCC" w:rsidP="00E12DA7">
            <w:pPr>
              <w:pStyle w:val="Tabletext"/>
            </w:pPr>
            <w:r>
              <w:t>There is a strong alignment between the standing orders and continuing resolutions of the Assembly. The standing orders require that in the third year of an Assembly the Standing Committee on Administration and Procedure must inquire into and report on the operation of the standing orders and continuing resolutions ‘with a view to ensuring that the practices and procedures of the Assembly remain relevant and reflect best practice’ (see standing order 16).</w:t>
            </w:r>
          </w:p>
          <w:p w14:paraId="7EE626BB" w14:textId="6D17F066" w:rsidR="00AA0DCC" w:rsidRDefault="00AA0DCC" w:rsidP="00E12DA7">
            <w:pPr>
              <w:pStyle w:val="Tabletext"/>
            </w:pPr>
            <w:r>
              <w:t xml:space="preserve">Once each Assembly, pursuant to continuing resolution 8A (paragraph 2A), the Speaker must appoint a suitably qualified person to conduct an assessment of the implementation of the Latimer House Principles in the governance of the ACT with the report on the assessment being tabled in the Assembly and referred to the Standing Committee on Administration and Procedure for inquiry and report. There have been two such reviews with a third currently underway (as at June 2018). See: </w:t>
            </w:r>
            <w:hyperlink r:id="rId32" w:history="1">
              <w:r w:rsidRPr="00C60F58">
                <w:rPr>
                  <w:rStyle w:val="Hyperlink"/>
                </w:rPr>
                <w:t>https://www.parliament.act.gov.au/Publications/review-of-latimer-house-principles</w:t>
              </w:r>
            </w:hyperlink>
            <w:r>
              <w:t xml:space="preserve"> </w:t>
            </w:r>
          </w:p>
        </w:tc>
      </w:tr>
      <w:tr w:rsidR="00AA0DCC" w14:paraId="6AD7E4AB" w14:textId="77777777" w:rsidTr="00C276E6">
        <w:tc>
          <w:tcPr>
            <w:tcW w:w="5098" w:type="dxa"/>
            <w:tcBorders>
              <w:top w:val="single" w:sz="4" w:space="0" w:color="auto"/>
              <w:bottom w:val="single" w:sz="4" w:space="0" w:color="auto"/>
            </w:tcBorders>
            <w:shd w:val="clear" w:color="auto" w:fill="FFFFFF" w:themeFill="background1"/>
          </w:tcPr>
          <w:p w14:paraId="39315629" w14:textId="12AF2CA5" w:rsidR="00AA0DCC" w:rsidRDefault="00AA0DCC" w:rsidP="00E12DA7">
            <w:pPr>
              <w:pStyle w:val="Tabletextnumbered"/>
            </w:pPr>
            <w:r w:rsidRPr="00C61A52">
              <w:t>2.1.2 Only the Legislature may adopt and amend its rules of procedure.</w:t>
            </w:r>
          </w:p>
        </w:tc>
        <w:tc>
          <w:tcPr>
            <w:tcW w:w="1276" w:type="dxa"/>
            <w:tcBorders>
              <w:top w:val="single" w:sz="4" w:space="0" w:color="auto"/>
              <w:bottom w:val="single" w:sz="4" w:space="0" w:color="auto"/>
            </w:tcBorders>
            <w:shd w:val="clear" w:color="auto" w:fill="E2EFD9" w:themeFill="accent6" w:themeFillTint="33"/>
          </w:tcPr>
          <w:p w14:paraId="34C32A27" w14:textId="77777777" w:rsidR="00AA0DCC" w:rsidRDefault="00AA0DCC" w:rsidP="00E12DA7">
            <w:pPr>
              <w:pStyle w:val="Tabletext"/>
            </w:pPr>
            <w:r>
              <w:t>2</w:t>
            </w:r>
          </w:p>
        </w:tc>
        <w:tc>
          <w:tcPr>
            <w:tcW w:w="8505" w:type="dxa"/>
            <w:tcBorders>
              <w:top w:val="single" w:sz="4" w:space="0" w:color="auto"/>
              <w:bottom w:val="single" w:sz="4" w:space="0" w:color="auto"/>
            </w:tcBorders>
          </w:tcPr>
          <w:p w14:paraId="3E34EA0B" w14:textId="77777777" w:rsidR="00AA0DCC" w:rsidRDefault="00AA0DCC" w:rsidP="00E12DA7">
            <w:pPr>
              <w:pStyle w:val="Tabletext"/>
            </w:pPr>
            <w:r>
              <w:t xml:space="preserve">Section 21 of the Self-Government Act provides that the Assembly ‘may make standing rules and orders with respect to the conduct of </w:t>
            </w:r>
            <w:proofErr w:type="gramStart"/>
            <w:r>
              <w:t>business’</w:t>
            </w:r>
            <w:proofErr w:type="gramEnd"/>
            <w:r>
              <w:t xml:space="preserve">. Only the Assembly is granted this power. </w:t>
            </w:r>
          </w:p>
        </w:tc>
      </w:tr>
      <w:tr w:rsidR="00AA0DCC" w14:paraId="2CEC44E5" w14:textId="77777777" w:rsidTr="00C276E6">
        <w:tc>
          <w:tcPr>
            <w:tcW w:w="5098" w:type="dxa"/>
            <w:tcBorders>
              <w:top w:val="single" w:sz="4" w:space="0" w:color="auto"/>
              <w:bottom w:val="single" w:sz="4" w:space="0" w:color="auto"/>
            </w:tcBorders>
            <w:shd w:val="clear" w:color="auto" w:fill="FFFFFF" w:themeFill="background1"/>
          </w:tcPr>
          <w:p w14:paraId="15CE9074" w14:textId="4065134A" w:rsidR="00AA0DCC" w:rsidRDefault="00AA0DCC" w:rsidP="00E12DA7">
            <w:pPr>
              <w:pStyle w:val="Tabletextnumbered"/>
            </w:pPr>
            <w:r>
              <w:t>2.1.3 The Legislature’s rules, procedures and practice shall be reviewed regularly to enhance parliamentary effectiveness and relevance.</w:t>
            </w:r>
          </w:p>
        </w:tc>
        <w:tc>
          <w:tcPr>
            <w:tcW w:w="1276" w:type="dxa"/>
            <w:tcBorders>
              <w:top w:val="single" w:sz="4" w:space="0" w:color="auto"/>
              <w:bottom w:val="single" w:sz="4" w:space="0" w:color="auto"/>
            </w:tcBorders>
            <w:shd w:val="clear" w:color="auto" w:fill="E2EFD9" w:themeFill="accent6" w:themeFillTint="33"/>
          </w:tcPr>
          <w:p w14:paraId="308867B7" w14:textId="77777777" w:rsidR="00AA0DCC" w:rsidRDefault="00AA0DCC" w:rsidP="00E12DA7">
            <w:pPr>
              <w:pStyle w:val="Tabletext"/>
            </w:pPr>
            <w:r>
              <w:t>2</w:t>
            </w:r>
          </w:p>
        </w:tc>
        <w:tc>
          <w:tcPr>
            <w:tcW w:w="8505" w:type="dxa"/>
            <w:tcBorders>
              <w:top w:val="single" w:sz="4" w:space="0" w:color="auto"/>
              <w:bottom w:val="single" w:sz="4" w:space="0" w:color="auto"/>
            </w:tcBorders>
          </w:tcPr>
          <w:p w14:paraId="7BFFAC72" w14:textId="77777777" w:rsidR="00AA0DCC" w:rsidRDefault="00AA0DCC" w:rsidP="00E12DA7">
            <w:pPr>
              <w:pStyle w:val="Tabletext"/>
            </w:pPr>
            <w:r>
              <w:t>See 2.1.1.</w:t>
            </w:r>
          </w:p>
        </w:tc>
      </w:tr>
      <w:tr w:rsidR="00AA0DCC" w14:paraId="201FFC38" w14:textId="77777777" w:rsidTr="00C276E6">
        <w:trPr>
          <w:trHeight w:val="765"/>
        </w:trPr>
        <w:tc>
          <w:tcPr>
            <w:tcW w:w="5098" w:type="dxa"/>
            <w:tcBorders>
              <w:top w:val="single" w:sz="4" w:space="0" w:color="auto"/>
              <w:bottom w:val="single" w:sz="4" w:space="0" w:color="auto"/>
            </w:tcBorders>
            <w:shd w:val="clear" w:color="auto" w:fill="FFFFFF" w:themeFill="background1"/>
          </w:tcPr>
          <w:p w14:paraId="7F1BCB8C" w14:textId="5AEB278C" w:rsidR="001F0687" w:rsidRDefault="00AA0DCC" w:rsidP="00E12DA7">
            <w:pPr>
              <w:pStyle w:val="Tabletextnumbered"/>
            </w:pPr>
            <w:r>
              <w:t>2.1.4 Changes to the Legislature’s rules of procedure shall be adopted with near unanimity.</w:t>
            </w:r>
          </w:p>
        </w:tc>
        <w:tc>
          <w:tcPr>
            <w:tcW w:w="1276" w:type="dxa"/>
            <w:tcBorders>
              <w:top w:val="single" w:sz="4" w:space="0" w:color="auto"/>
              <w:bottom w:val="single" w:sz="4" w:space="0" w:color="auto"/>
            </w:tcBorders>
            <w:shd w:val="clear" w:color="auto" w:fill="E2EFD9" w:themeFill="accent6" w:themeFillTint="33"/>
          </w:tcPr>
          <w:p w14:paraId="685CA933" w14:textId="77777777" w:rsidR="00AA0DCC" w:rsidRDefault="00AA0DCC" w:rsidP="00E12DA7">
            <w:pPr>
              <w:pStyle w:val="Tabletext"/>
            </w:pPr>
            <w:r w:rsidRPr="00881B5E">
              <w:t>2</w:t>
            </w:r>
          </w:p>
        </w:tc>
        <w:tc>
          <w:tcPr>
            <w:tcW w:w="8505" w:type="dxa"/>
            <w:tcBorders>
              <w:top w:val="single" w:sz="4" w:space="0" w:color="auto"/>
              <w:bottom w:val="single" w:sz="4" w:space="0" w:color="auto"/>
            </w:tcBorders>
          </w:tcPr>
          <w:p w14:paraId="45D406BC" w14:textId="2367B35C" w:rsidR="00AA0DCC" w:rsidRDefault="00AA0DCC" w:rsidP="00E12DA7">
            <w:pPr>
              <w:pStyle w:val="Tabletext"/>
            </w:pPr>
            <w:r>
              <w:t xml:space="preserve">There is no requirement for changes to the rules of procedure to be adopted with unanimous or ‘near unanimous’ support. However, throughout the 30 years of the Assembly’s practice, changes to procedures have been overwhelmingly supported by unanimity or </w:t>
            </w:r>
            <w:proofErr w:type="gramStart"/>
            <w:r>
              <w:t>near-unanimity</w:t>
            </w:r>
            <w:proofErr w:type="gramEnd"/>
            <w:r>
              <w:t>.</w:t>
            </w:r>
            <w:r>
              <w:rPr>
                <w:rStyle w:val="FootnoteReference"/>
              </w:rPr>
              <w:footnoteReference w:id="4"/>
            </w:r>
          </w:p>
        </w:tc>
      </w:tr>
      <w:tr w:rsidR="00AA0DCC" w14:paraId="6B822E9E" w14:textId="77777777" w:rsidTr="00C276E6">
        <w:tc>
          <w:tcPr>
            <w:tcW w:w="5098" w:type="dxa"/>
            <w:tcBorders>
              <w:top w:val="single" w:sz="4" w:space="0" w:color="auto"/>
              <w:bottom w:val="single" w:sz="4" w:space="0" w:color="auto"/>
            </w:tcBorders>
            <w:shd w:val="clear" w:color="auto" w:fill="FFFFFF" w:themeFill="background1"/>
          </w:tcPr>
          <w:p w14:paraId="703440C2" w14:textId="5CDA9A7F" w:rsidR="00AA0DCC" w:rsidRDefault="00AA0DCC" w:rsidP="00E12DA7">
            <w:pPr>
              <w:pStyle w:val="Tabletextnumbered"/>
            </w:pPr>
            <w:r>
              <w:lastRenderedPageBreak/>
              <w:t>2.1.5 The Legislature’s rules of procedure shall allow Members to raise genuine and succinct points of order for the Presiding Officer to consider and decide.</w:t>
            </w:r>
          </w:p>
        </w:tc>
        <w:tc>
          <w:tcPr>
            <w:tcW w:w="1276" w:type="dxa"/>
            <w:tcBorders>
              <w:top w:val="single" w:sz="4" w:space="0" w:color="auto"/>
              <w:bottom w:val="single" w:sz="4" w:space="0" w:color="auto"/>
            </w:tcBorders>
            <w:shd w:val="clear" w:color="auto" w:fill="E2EFD9" w:themeFill="accent6" w:themeFillTint="33"/>
          </w:tcPr>
          <w:p w14:paraId="1FA53589" w14:textId="77777777" w:rsidR="00AA0DCC" w:rsidRDefault="00AA0DCC" w:rsidP="00E12DA7">
            <w:pPr>
              <w:pStyle w:val="Tabletext"/>
            </w:pPr>
            <w:r>
              <w:t>2</w:t>
            </w:r>
          </w:p>
        </w:tc>
        <w:tc>
          <w:tcPr>
            <w:tcW w:w="8505" w:type="dxa"/>
            <w:tcBorders>
              <w:top w:val="single" w:sz="4" w:space="0" w:color="auto"/>
              <w:bottom w:val="single" w:sz="4" w:space="0" w:color="auto"/>
            </w:tcBorders>
          </w:tcPr>
          <w:p w14:paraId="20038158" w14:textId="77777777" w:rsidR="00AA0DCC" w:rsidRDefault="00AA0DCC" w:rsidP="00E12DA7">
            <w:pPr>
              <w:pStyle w:val="Tabletext"/>
            </w:pPr>
            <w:r>
              <w:t>Points of order are permissible pursuant to standing order 72.</w:t>
            </w:r>
          </w:p>
        </w:tc>
      </w:tr>
      <w:tr w:rsidR="00AA0DCC" w14:paraId="5413CC5E" w14:textId="77777777" w:rsidTr="00C276E6">
        <w:tc>
          <w:tcPr>
            <w:tcW w:w="5098" w:type="dxa"/>
            <w:tcBorders>
              <w:top w:val="single" w:sz="4" w:space="0" w:color="auto"/>
              <w:bottom w:val="single" w:sz="4" w:space="0" w:color="auto"/>
            </w:tcBorders>
            <w:shd w:val="clear" w:color="auto" w:fill="FFFFFF" w:themeFill="background1"/>
          </w:tcPr>
          <w:p w14:paraId="3CD0050B" w14:textId="2CAEE16B" w:rsidR="00AA0DCC" w:rsidRDefault="00AA0DCC" w:rsidP="00E12DA7">
            <w:pPr>
              <w:pStyle w:val="Tabletextnumbered"/>
            </w:pPr>
            <w:r>
              <w:t>2.1.6 The Legislature’s rules, procedures and practice shall be accessible to Members and to the public.</w:t>
            </w:r>
          </w:p>
        </w:tc>
        <w:tc>
          <w:tcPr>
            <w:tcW w:w="1276" w:type="dxa"/>
            <w:tcBorders>
              <w:top w:val="single" w:sz="4" w:space="0" w:color="auto"/>
              <w:bottom w:val="single" w:sz="4" w:space="0" w:color="auto"/>
            </w:tcBorders>
            <w:shd w:val="clear" w:color="auto" w:fill="E2EFD9" w:themeFill="accent6" w:themeFillTint="33"/>
          </w:tcPr>
          <w:p w14:paraId="135E44DA" w14:textId="77777777" w:rsidR="00AA0DCC" w:rsidRDefault="00AA0DCC" w:rsidP="00E12DA7">
            <w:pPr>
              <w:pStyle w:val="Tabletext"/>
            </w:pPr>
            <w:r>
              <w:t>2</w:t>
            </w:r>
          </w:p>
        </w:tc>
        <w:tc>
          <w:tcPr>
            <w:tcW w:w="8505" w:type="dxa"/>
            <w:tcBorders>
              <w:top w:val="single" w:sz="4" w:space="0" w:color="auto"/>
              <w:bottom w:val="single" w:sz="4" w:space="0" w:color="auto"/>
            </w:tcBorders>
          </w:tcPr>
          <w:p w14:paraId="2284081C" w14:textId="5C5899ED" w:rsidR="00AA0DCC" w:rsidRPr="00C61A52" w:rsidRDefault="00AA0DCC" w:rsidP="00E12DA7">
            <w:pPr>
              <w:pStyle w:val="Tabletext"/>
            </w:pPr>
            <w:r>
              <w:t xml:space="preserve">The Assembly’s standing orders and continuing resolutions and its </w:t>
            </w:r>
            <w:r w:rsidRPr="00C61A52">
              <w:rPr>
                <w:i/>
              </w:rPr>
              <w:t>Companion to the Standing Orders</w:t>
            </w:r>
            <w:r>
              <w:rPr>
                <w:i/>
              </w:rPr>
              <w:t xml:space="preserve"> </w:t>
            </w:r>
            <w:r>
              <w:t xml:space="preserve">are publicly available via the Assembly’s website. Members of the public were invited to make submissions to the 2018 Standing Committee on Administration and Procedure inquiry relating to the relevance and best practice of the standing orders. </w:t>
            </w:r>
            <w:r w:rsidR="001F0687">
              <w:t xml:space="preserve">Although </w:t>
            </w:r>
            <w:proofErr w:type="gramStart"/>
            <w:r w:rsidR="001F0687">
              <w:t>the majority of</w:t>
            </w:r>
            <w:proofErr w:type="gramEnd"/>
            <w:r w:rsidR="001F0687">
              <w:t xml:space="preserve"> submissions received were from internal sources, at least one member of the public made a submission. </w:t>
            </w:r>
          </w:p>
        </w:tc>
      </w:tr>
      <w:tr w:rsidR="00AA0DCC" w:rsidRPr="000817B1" w14:paraId="166C369D"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1694222B" w14:textId="77777777" w:rsidR="00AA0DCC" w:rsidRPr="000817B1" w:rsidRDefault="00AA0DCC" w:rsidP="00C30366">
            <w:pPr>
              <w:pStyle w:val="Tableheading3"/>
            </w:pPr>
            <w:r w:rsidRPr="000817B1">
              <w:t>Presiding Officers</w:t>
            </w:r>
          </w:p>
        </w:tc>
        <w:tc>
          <w:tcPr>
            <w:tcW w:w="1276" w:type="dxa"/>
            <w:tcBorders>
              <w:top w:val="single" w:sz="4" w:space="0" w:color="auto"/>
              <w:left w:val="nil"/>
              <w:bottom w:val="single" w:sz="4" w:space="0" w:color="auto"/>
              <w:right w:val="nil"/>
            </w:tcBorders>
            <w:shd w:val="clear" w:color="auto" w:fill="F2F2F2" w:themeFill="background1" w:themeFillShade="F2"/>
          </w:tcPr>
          <w:p w14:paraId="4BEF944D" w14:textId="77777777" w:rsidR="00AA0DCC" w:rsidRPr="000817B1"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41192F28" w14:textId="77777777" w:rsidR="00AA0DCC" w:rsidRPr="000817B1" w:rsidRDefault="00AA0DCC" w:rsidP="00C30366">
            <w:pPr>
              <w:pStyle w:val="Tableheading3"/>
            </w:pPr>
          </w:p>
        </w:tc>
      </w:tr>
      <w:tr w:rsidR="00AA0DCC" w14:paraId="68A6F1A8" w14:textId="77777777" w:rsidTr="00C276E6">
        <w:tc>
          <w:tcPr>
            <w:tcW w:w="5098" w:type="dxa"/>
            <w:tcBorders>
              <w:top w:val="single" w:sz="4" w:space="0" w:color="auto"/>
              <w:bottom w:val="single" w:sz="4" w:space="0" w:color="auto"/>
            </w:tcBorders>
            <w:shd w:val="clear" w:color="auto" w:fill="FFFFFF" w:themeFill="background1"/>
          </w:tcPr>
          <w:p w14:paraId="1FAEA5A9" w14:textId="4A67EB49" w:rsidR="00AA0DCC" w:rsidRDefault="00AA0DCC" w:rsidP="00E12DA7">
            <w:pPr>
              <w:pStyle w:val="Tabletextnumbered"/>
            </w:pPr>
            <w:r>
              <w:t>2.2.1 The Legislature shall select or elect Presiding Officers pursuant to criteria and procedures clearly defined in the Constitution and/or rules of procedure.</w:t>
            </w:r>
          </w:p>
        </w:tc>
        <w:tc>
          <w:tcPr>
            <w:tcW w:w="1276" w:type="dxa"/>
            <w:tcBorders>
              <w:top w:val="single" w:sz="4" w:space="0" w:color="auto"/>
              <w:bottom w:val="single" w:sz="4" w:space="0" w:color="auto"/>
            </w:tcBorders>
            <w:shd w:val="clear" w:color="auto" w:fill="E2EFD9" w:themeFill="accent6" w:themeFillTint="33"/>
          </w:tcPr>
          <w:p w14:paraId="0A15FA1F" w14:textId="77777777" w:rsidR="00AA0DCC" w:rsidRDefault="00AA0DCC" w:rsidP="00E12DA7">
            <w:pPr>
              <w:pStyle w:val="Tabletext"/>
            </w:pPr>
            <w:r>
              <w:t>2</w:t>
            </w:r>
          </w:p>
        </w:tc>
        <w:tc>
          <w:tcPr>
            <w:tcW w:w="8505" w:type="dxa"/>
            <w:tcBorders>
              <w:top w:val="single" w:sz="4" w:space="0" w:color="auto"/>
              <w:bottom w:val="single" w:sz="4" w:space="0" w:color="auto"/>
            </w:tcBorders>
          </w:tcPr>
          <w:p w14:paraId="55FFB10A" w14:textId="197E90FD" w:rsidR="00AA0DCC" w:rsidRDefault="00AA0DCC" w:rsidP="00E12DA7">
            <w:pPr>
              <w:pStyle w:val="Tabletext"/>
            </w:pPr>
            <w:r>
              <w:t xml:space="preserve">Section 21(2) of the Self-Government Act (the ACT’s effective constitution) provides that the Assembly may make standing rules and orders for the election of the presiding and deputy presiding officers. These procedures are set out in standing orders 2, 4 and 5.  </w:t>
            </w:r>
          </w:p>
        </w:tc>
      </w:tr>
      <w:tr w:rsidR="00AA0DCC" w14:paraId="33E3DF16" w14:textId="77777777" w:rsidTr="00C276E6">
        <w:tc>
          <w:tcPr>
            <w:tcW w:w="5098" w:type="dxa"/>
            <w:tcBorders>
              <w:top w:val="single" w:sz="4" w:space="0" w:color="auto"/>
              <w:bottom w:val="single" w:sz="4" w:space="0" w:color="auto"/>
            </w:tcBorders>
            <w:shd w:val="clear" w:color="auto" w:fill="FFFFFF" w:themeFill="background1"/>
          </w:tcPr>
          <w:p w14:paraId="0E9BBAD4" w14:textId="65959785" w:rsidR="00AA0DCC" w:rsidRDefault="00AA0DCC" w:rsidP="00E12DA7">
            <w:pPr>
              <w:pStyle w:val="Tabletextnumbered"/>
            </w:pPr>
            <w:r>
              <w:t>2.2.2 The Presiding Officer maintains order so that the Legislature carries out its functions effectively and Members have full opportunities to participate and be heard in accordance with the Legislature’s rules, procedures and practice.</w:t>
            </w:r>
          </w:p>
        </w:tc>
        <w:tc>
          <w:tcPr>
            <w:tcW w:w="1276" w:type="dxa"/>
            <w:tcBorders>
              <w:top w:val="single" w:sz="4" w:space="0" w:color="auto"/>
              <w:bottom w:val="single" w:sz="4" w:space="0" w:color="auto"/>
            </w:tcBorders>
            <w:shd w:val="clear" w:color="auto" w:fill="E2EFD9" w:themeFill="accent6" w:themeFillTint="33"/>
          </w:tcPr>
          <w:p w14:paraId="075B107D" w14:textId="77777777" w:rsidR="00AA0DCC" w:rsidRDefault="00AA0DCC" w:rsidP="00E12DA7">
            <w:pPr>
              <w:pStyle w:val="Tabletext"/>
            </w:pPr>
            <w:r>
              <w:t>2</w:t>
            </w:r>
          </w:p>
        </w:tc>
        <w:tc>
          <w:tcPr>
            <w:tcW w:w="8505" w:type="dxa"/>
            <w:tcBorders>
              <w:top w:val="single" w:sz="4" w:space="0" w:color="auto"/>
              <w:bottom w:val="single" w:sz="4" w:space="0" w:color="auto"/>
            </w:tcBorders>
          </w:tcPr>
          <w:p w14:paraId="4B944B19" w14:textId="77777777" w:rsidR="00AA0DCC" w:rsidRDefault="00AA0DCC" w:rsidP="00E12DA7">
            <w:pPr>
              <w:pStyle w:val="Tabletext"/>
            </w:pPr>
            <w:r>
              <w:t xml:space="preserve">Standing order 37 provides that ‘order shall be maintained in the Assembly by the Speaker’. </w:t>
            </w:r>
          </w:p>
        </w:tc>
      </w:tr>
      <w:tr w:rsidR="00AA0DCC" w14:paraId="13E2A4D6" w14:textId="77777777" w:rsidTr="00C276E6">
        <w:tc>
          <w:tcPr>
            <w:tcW w:w="5098" w:type="dxa"/>
            <w:tcBorders>
              <w:top w:val="single" w:sz="4" w:space="0" w:color="auto"/>
              <w:bottom w:val="single" w:sz="4" w:space="0" w:color="auto"/>
            </w:tcBorders>
            <w:shd w:val="clear" w:color="auto" w:fill="FFFFFF" w:themeFill="background1"/>
          </w:tcPr>
          <w:p w14:paraId="47F21C2B" w14:textId="6B22232B" w:rsidR="00AA0DCC" w:rsidRDefault="00AA0DCC" w:rsidP="00E12DA7">
            <w:pPr>
              <w:pStyle w:val="Tabletextnumbered"/>
            </w:pPr>
            <w:r>
              <w:t>2.2.3 The Presiding Officer decides all questions of procedure, and in doing so is</w:t>
            </w:r>
          </w:p>
          <w:p w14:paraId="2E2F7AE9" w14:textId="77777777" w:rsidR="00AA0DCC" w:rsidRDefault="00AA0DCC" w:rsidP="00E12DA7">
            <w:pPr>
              <w:pStyle w:val="Tabletextnumbered"/>
            </w:pPr>
            <w:r>
              <w:t>guided by previous decisions and practice.</w:t>
            </w:r>
          </w:p>
        </w:tc>
        <w:tc>
          <w:tcPr>
            <w:tcW w:w="1276" w:type="dxa"/>
            <w:tcBorders>
              <w:top w:val="single" w:sz="4" w:space="0" w:color="auto"/>
              <w:bottom w:val="single" w:sz="4" w:space="0" w:color="auto"/>
            </w:tcBorders>
            <w:shd w:val="clear" w:color="auto" w:fill="E2EFD9" w:themeFill="accent6" w:themeFillTint="33"/>
          </w:tcPr>
          <w:p w14:paraId="6E8AF596" w14:textId="77777777" w:rsidR="00AA0DCC" w:rsidRDefault="00AA0DCC" w:rsidP="00E12DA7">
            <w:pPr>
              <w:pStyle w:val="Tabletext"/>
            </w:pPr>
            <w:r>
              <w:t>2</w:t>
            </w:r>
          </w:p>
        </w:tc>
        <w:tc>
          <w:tcPr>
            <w:tcW w:w="8505" w:type="dxa"/>
            <w:tcBorders>
              <w:top w:val="single" w:sz="4" w:space="0" w:color="auto"/>
              <w:bottom w:val="single" w:sz="4" w:space="0" w:color="auto"/>
            </w:tcBorders>
          </w:tcPr>
          <w:p w14:paraId="63FC7D7E" w14:textId="0E800141" w:rsidR="00AA0DCC" w:rsidRPr="00F443AE" w:rsidRDefault="00AA0DCC" w:rsidP="00E12DA7">
            <w:pPr>
              <w:pStyle w:val="Tabletext"/>
            </w:pPr>
            <w:r w:rsidRPr="00AB5D81">
              <w:t>The Speaker interprets, and rules on, the standing orders and matters of practice and procedure.</w:t>
            </w:r>
            <w:r>
              <w:t xml:space="preserve"> The Speaker is guided by previous decisions and parliamentary practice. Where the Assembly’s standing orders and practices do not offer sufficient guidance in relation to a question of procedure or the conduct of business, the matter shall be decided in accordance with the practice at the time prevailing in the House of Representatives in the Parliament of the Commonwealth of Australia (see standing order 275). The Assembly has published the </w:t>
            </w:r>
            <w:hyperlink r:id="rId33" w:history="1">
              <w:r w:rsidRPr="00F443AE">
                <w:rPr>
                  <w:rStyle w:val="Hyperlink"/>
                  <w:i/>
                </w:rPr>
                <w:t>Companion to the Standing Orders of the Legislative Assembly for the ACT</w:t>
              </w:r>
            </w:hyperlink>
            <w:r>
              <w:t>, which sets out previous decisions (including relevant Speaker’s rulings), practice and procedure of the Assembly.</w:t>
            </w:r>
          </w:p>
        </w:tc>
      </w:tr>
    </w:tbl>
    <w:p w14:paraId="73EAC693" w14:textId="77777777" w:rsidR="00C30366" w:rsidRDefault="00C30366">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53DD3A85" w14:textId="77777777" w:rsidTr="00C276E6">
        <w:tc>
          <w:tcPr>
            <w:tcW w:w="5098" w:type="dxa"/>
            <w:tcBorders>
              <w:top w:val="single" w:sz="4" w:space="0" w:color="auto"/>
              <w:bottom w:val="single" w:sz="4" w:space="0" w:color="auto"/>
            </w:tcBorders>
            <w:shd w:val="clear" w:color="auto" w:fill="FFFFFF" w:themeFill="background1"/>
          </w:tcPr>
          <w:p w14:paraId="6E244DEA" w14:textId="0EABE7DD" w:rsidR="00AA0DCC" w:rsidRDefault="00AA0DCC" w:rsidP="00E12DA7">
            <w:pPr>
              <w:pStyle w:val="Tabletextnumbered"/>
            </w:pPr>
            <w:r>
              <w:lastRenderedPageBreak/>
              <w:t>2.2.4 Punishments (such as orders to leave the chamber) are imposed on Members during proceedings only to the extent necessary to uphold the Presiding Officer’s proper authority and ability to chair proceedings.</w:t>
            </w:r>
          </w:p>
        </w:tc>
        <w:tc>
          <w:tcPr>
            <w:tcW w:w="1276" w:type="dxa"/>
            <w:tcBorders>
              <w:top w:val="single" w:sz="4" w:space="0" w:color="auto"/>
              <w:bottom w:val="single" w:sz="4" w:space="0" w:color="auto"/>
            </w:tcBorders>
            <w:shd w:val="clear" w:color="auto" w:fill="E2EFD9" w:themeFill="accent6" w:themeFillTint="33"/>
          </w:tcPr>
          <w:p w14:paraId="01CE0352" w14:textId="77777777" w:rsidR="00AA0DCC" w:rsidRDefault="00AA0DCC" w:rsidP="00E12DA7">
            <w:pPr>
              <w:pStyle w:val="Tabletext"/>
            </w:pPr>
            <w:r>
              <w:t>2</w:t>
            </w:r>
          </w:p>
        </w:tc>
        <w:tc>
          <w:tcPr>
            <w:tcW w:w="8505" w:type="dxa"/>
            <w:tcBorders>
              <w:top w:val="single" w:sz="4" w:space="0" w:color="auto"/>
              <w:bottom w:val="single" w:sz="4" w:space="0" w:color="auto"/>
            </w:tcBorders>
          </w:tcPr>
          <w:p w14:paraId="57621743" w14:textId="77777777" w:rsidR="00AA0DCC" w:rsidRDefault="00AA0DCC" w:rsidP="00E12DA7">
            <w:pPr>
              <w:pStyle w:val="Tabletext"/>
            </w:pPr>
            <w:r>
              <w:t xml:space="preserve">The suspension of a member from the service of the Assembly may only occur on a substantive motion in the Assembly (see standing order 203). </w:t>
            </w:r>
          </w:p>
          <w:p w14:paraId="08894CE6" w14:textId="77777777" w:rsidR="00AA0DCC" w:rsidRDefault="00AA0DCC" w:rsidP="00E12DA7">
            <w:pPr>
              <w:pStyle w:val="Tabletext"/>
            </w:pPr>
            <w:r>
              <w:t>Other ‘punishments’ that may be imposed on members such as censure or no confidence may only occur by substantive motion.</w:t>
            </w:r>
          </w:p>
          <w:p w14:paraId="18C14A78" w14:textId="5AF25D84" w:rsidR="00AA0DCC" w:rsidRDefault="00AA0DCC" w:rsidP="00E12DA7">
            <w:pPr>
              <w:pStyle w:val="Tabletext"/>
            </w:pPr>
            <w:r>
              <w:t xml:space="preserve">The Assembly does not have the power to fine or imprison a person </w:t>
            </w:r>
            <w:r w:rsidRPr="00091590">
              <w:t>(see s 24(4) of the Se</w:t>
            </w:r>
            <w:r>
              <w:t xml:space="preserve">lf-Government Act). </w:t>
            </w:r>
          </w:p>
        </w:tc>
      </w:tr>
      <w:tr w:rsidR="00AA0DCC" w:rsidRPr="00091590" w14:paraId="434E4B23"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691AEC49" w14:textId="77777777" w:rsidR="00AA0DCC" w:rsidRPr="00091590" w:rsidRDefault="00AA0DCC" w:rsidP="00C30366">
            <w:pPr>
              <w:pStyle w:val="Tableheading3"/>
            </w:pPr>
            <w:r w:rsidRPr="00091590">
              <w:t>Convening sessions</w:t>
            </w:r>
          </w:p>
        </w:tc>
        <w:tc>
          <w:tcPr>
            <w:tcW w:w="1276" w:type="dxa"/>
            <w:tcBorders>
              <w:top w:val="single" w:sz="4" w:space="0" w:color="auto"/>
              <w:left w:val="nil"/>
              <w:bottom w:val="single" w:sz="4" w:space="0" w:color="auto"/>
              <w:right w:val="nil"/>
            </w:tcBorders>
            <w:shd w:val="clear" w:color="auto" w:fill="F2F2F2" w:themeFill="background1" w:themeFillShade="F2"/>
          </w:tcPr>
          <w:p w14:paraId="48E7A2E8" w14:textId="77777777" w:rsidR="00AA0DCC" w:rsidRPr="00091590"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796177D1" w14:textId="77777777" w:rsidR="00AA0DCC" w:rsidRPr="00091590" w:rsidRDefault="00AA0DCC" w:rsidP="00C30366">
            <w:pPr>
              <w:pStyle w:val="Tableheading3"/>
            </w:pPr>
          </w:p>
        </w:tc>
      </w:tr>
      <w:tr w:rsidR="00AA0DCC" w14:paraId="696180EB" w14:textId="77777777" w:rsidTr="00C276E6">
        <w:tc>
          <w:tcPr>
            <w:tcW w:w="5098" w:type="dxa"/>
            <w:tcBorders>
              <w:top w:val="single" w:sz="4" w:space="0" w:color="auto"/>
              <w:bottom w:val="single" w:sz="4" w:space="0" w:color="auto"/>
            </w:tcBorders>
            <w:shd w:val="clear" w:color="auto" w:fill="FFFFFF" w:themeFill="background1"/>
          </w:tcPr>
          <w:p w14:paraId="2DA54F50" w14:textId="77777777" w:rsidR="00AA0DCC" w:rsidRDefault="00AA0DCC" w:rsidP="00E12DA7">
            <w:pPr>
              <w:pStyle w:val="Tabletextnumbered"/>
            </w:pPr>
            <w:r>
              <w:t xml:space="preserve">2.3.1 The Legislature shall meet regularly, at intervals </w:t>
            </w:r>
            <w:proofErr w:type="gramStart"/>
            <w:r>
              <w:t>sufficient</w:t>
            </w:r>
            <w:proofErr w:type="gramEnd"/>
            <w:r>
              <w:t xml:space="preserve"> to fulfil its responsibilities.</w:t>
            </w:r>
          </w:p>
        </w:tc>
        <w:tc>
          <w:tcPr>
            <w:tcW w:w="1276" w:type="dxa"/>
            <w:tcBorders>
              <w:top w:val="single" w:sz="4" w:space="0" w:color="auto"/>
              <w:bottom w:val="single" w:sz="4" w:space="0" w:color="auto"/>
            </w:tcBorders>
            <w:shd w:val="clear" w:color="auto" w:fill="E2EFD9" w:themeFill="accent6" w:themeFillTint="33"/>
          </w:tcPr>
          <w:p w14:paraId="39E0827C" w14:textId="77777777" w:rsidR="00AA0DCC" w:rsidRDefault="00AA0DCC" w:rsidP="00E12DA7">
            <w:pPr>
              <w:pStyle w:val="Tabletext"/>
            </w:pPr>
            <w:r>
              <w:t>2</w:t>
            </w:r>
          </w:p>
        </w:tc>
        <w:tc>
          <w:tcPr>
            <w:tcW w:w="8505" w:type="dxa"/>
            <w:tcBorders>
              <w:top w:val="single" w:sz="4" w:space="0" w:color="auto"/>
              <w:bottom w:val="single" w:sz="4" w:space="0" w:color="auto"/>
            </w:tcBorders>
          </w:tcPr>
          <w:p w14:paraId="74FAA164" w14:textId="77777777" w:rsidR="00AA0DCC" w:rsidRDefault="00AA0DCC" w:rsidP="00E12DA7">
            <w:pPr>
              <w:pStyle w:val="Tabletext"/>
            </w:pPr>
            <w:r>
              <w:t xml:space="preserve">It is the practice of the Assembly that towards the end of each year, a sitting calendar, with scheduled sittings days for the subsequent year, is established by resolution of the Assembly. </w:t>
            </w:r>
          </w:p>
          <w:p w14:paraId="5FBCC71E" w14:textId="721442D8" w:rsidR="00AA0DCC" w:rsidRDefault="00AA0DCC" w:rsidP="00E12DA7">
            <w:pPr>
              <w:pStyle w:val="Tabletext"/>
            </w:pPr>
            <w:r>
              <w:t xml:space="preserve">Standing order 27 provides that unless otherwise ordered, the Assembly is to meet at 10am on each scheduled sitting day. </w:t>
            </w:r>
          </w:p>
          <w:p w14:paraId="1A2E6131" w14:textId="37459F41" w:rsidR="00AA0DCC" w:rsidRDefault="00AA0DCC" w:rsidP="00E12DA7">
            <w:pPr>
              <w:pStyle w:val="Tabletext"/>
            </w:pPr>
            <w:r>
              <w:t xml:space="preserve">Since its establishment in 1989, the Assembly has meet on at least 34 days each year </w:t>
            </w:r>
            <w:proofErr w:type="gramStart"/>
            <w:r>
              <w:t>with the exception of</w:t>
            </w:r>
            <w:proofErr w:type="gramEnd"/>
            <w:r>
              <w:t xml:space="preserve"> 2012 (29 sitting days) and 2016 (28 sitting days).</w:t>
            </w:r>
            <w:r w:rsidR="001F0687">
              <w:t xml:space="preserve"> Experience has shown that the sitting pattern has allowed for a frequency of the Assembly’s sittings has been ‘</w:t>
            </w:r>
            <w:proofErr w:type="gramStart"/>
            <w:r w:rsidR="001F0687">
              <w:t>sufficient</w:t>
            </w:r>
            <w:proofErr w:type="gramEnd"/>
            <w:r w:rsidR="001F0687">
              <w:t xml:space="preserve"> to fulfil its responsibilities’. </w:t>
            </w:r>
          </w:p>
        </w:tc>
      </w:tr>
      <w:tr w:rsidR="00AA0DCC" w14:paraId="74F18D88" w14:textId="77777777" w:rsidTr="00C276E6">
        <w:tc>
          <w:tcPr>
            <w:tcW w:w="5098" w:type="dxa"/>
            <w:tcBorders>
              <w:top w:val="single" w:sz="4" w:space="0" w:color="auto"/>
              <w:bottom w:val="single" w:sz="4" w:space="0" w:color="auto"/>
            </w:tcBorders>
            <w:shd w:val="clear" w:color="auto" w:fill="FFFFFF" w:themeFill="background1"/>
          </w:tcPr>
          <w:p w14:paraId="5C9BA412" w14:textId="77777777" w:rsidR="00AA0DCC" w:rsidRDefault="00AA0DCC" w:rsidP="00E12DA7">
            <w:pPr>
              <w:pStyle w:val="Tabletextnumbered"/>
            </w:pPr>
            <w:r w:rsidRPr="00091590">
              <w:t>2.3.2 The Legislature shall have procedures for calling itself into regular session.</w:t>
            </w:r>
          </w:p>
        </w:tc>
        <w:tc>
          <w:tcPr>
            <w:tcW w:w="1276" w:type="dxa"/>
            <w:tcBorders>
              <w:top w:val="single" w:sz="4" w:space="0" w:color="auto"/>
              <w:bottom w:val="single" w:sz="4" w:space="0" w:color="auto"/>
            </w:tcBorders>
            <w:shd w:val="clear" w:color="auto" w:fill="E2EFD9" w:themeFill="accent6" w:themeFillTint="33"/>
          </w:tcPr>
          <w:p w14:paraId="59F23DC0" w14:textId="77777777" w:rsidR="00AA0DCC" w:rsidRDefault="00AA0DCC" w:rsidP="00E12DA7">
            <w:pPr>
              <w:pStyle w:val="Tabletext"/>
            </w:pPr>
            <w:r>
              <w:t>2</w:t>
            </w:r>
          </w:p>
        </w:tc>
        <w:tc>
          <w:tcPr>
            <w:tcW w:w="8505" w:type="dxa"/>
            <w:tcBorders>
              <w:top w:val="single" w:sz="4" w:space="0" w:color="auto"/>
              <w:bottom w:val="single" w:sz="4" w:space="0" w:color="auto"/>
            </w:tcBorders>
          </w:tcPr>
          <w:p w14:paraId="3D37C837" w14:textId="77777777" w:rsidR="00AA0DCC" w:rsidRDefault="00AA0DCC" w:rsidP="00E12DA7">
            <w:pPr>
              <w:pStyle w:val="Tabletext"/>
            </w:pPr>
            <w:r>
              <w:t>See 2.3.1</w:t>
            </w:r>
          </w:p>
        </w:tc>
      </w:tr>
      <w:tr w:rsidR="00AA0DCC" w14:paraId="7F67CC90" w14:textId="77777777" w:rsidTr="00C276E6">
        <w:tc>
          <w:tcPr>
            <w:tcW w:w="5098" w:type="dxa"/>
            <w:tcBorders>
              <w:top w:val="single" w:sz="4" w:space="0" w:color="auto"/>
              <w:bottom w:val="single" w:sz="4" w:space="0" w:color="auto"/>
            </w:tcBorders>
            <w:shd w:val="clear" w:color="auto" w:fill="FFFFFF" w:themeFill="background1"/>
          </w:tcPr>
          <w:p w14:paraId="71CF9E21" w14:textId="77777777" w:rsidR="00AA0DCC" w:rsidRDefault="00AA0DCC" w:rsidP="00E12DA7">
            <w:pPr>
              <w:pStyle w:val="Tabletextnumbered"/>
            </w:pPr>
            <w:r>
              <w:t>2.3.3 The Legislature shall have procedures for calling itself into extraordinary or special session.</w:t>
            </w:r>
          </w:p>
        </w:tc>
        <w:tc>
          <w:tcPr>
            <w:tcW w:w="1276" w:type="dxa"/>
            <w:tcBorders>
              <w:top w:val="single" w:sz="4" w:space="0" w:color="auto"/>
              <w:bottom w:val="single" w:sz="4" w:space="0" w:color="auto"/>
            </w:tcBorders>
            <w:shd w:val="clear" w:color="auto" w:fill="E2EFD9" w:themeFill="accent6" w:themeFillTint="33"/>
          </w:tcPr>
          <w:p w14:paraId="44F23E6A" w14:textId="77777777" w:rsidR="00AA0DCC" w:rsidRDefault="00AA0DCC" w:rsidP="00E12DA7">
            <w:pPr>
              <w:pStyle w:val="Tabletext"/>
            </w:pPr>
            <w:r>
              <w:t>2</w:t>
            </w:r>
          </w:p>
        </w:tc>
        <w:tc>
          <w:tcPr>
            <w:tcW w:w="8505" w:type="dxa"/>
            <w:tcBorders>
              <w:top w:val="single" w:sz="4" w:space="0" w:color="auto"/>
              <w:bottom w:val="single" w:sz="4" w:space="0" w:color="auto"/>
            </w:tcBorders>
          </w:tcPr>
          <w:p w14:paraId="7FECE0B1" w14:textId="0718B9CF" w:rsidR="00AA0DCC" w:rsidRDefault="00AA0DCC" w:rsidP="00E12DA7">
            <w:pPr>
              <w:pStyle w:val="Tabletext"/>
            </w:pPr>
            <w:r>
              <w:t xml:space="preserve">The resolution that is passed at the end of a sitting year (see 2.3.1) includes a provision that where an absolute majority of the Assembly write to the Speaker out-of-session requesting a special meeting be held (i.e. one that is not included in the sitting calendar), the Speaker will convene the sitting as requested. </w:t>
            </w:r>
          </w:p>
        </w:tc>
      </w:tr>
    </w:tbl>
    <w:p w14:paraId="3903E8BB" w14:textId="77777777" w:rsidR="00C30366" w:rsidRDefault="00C30366">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497FF485" w14:textId="77777777" w:rsidTr="00C276E6">
        <w:tc>
          <w:tcPr>
            <w:tcW w:w="5098" w:type="dxa"/>
            <w:tcBorders>
              <w:top w:val="single" w:sz="4" w:space="0" w:color="auto"/>
              <w:bottom w:val="single" w:sz="4" w:space="0" w:color="auto"/>
            </w:tcBorders>
            <w:shd w:val="clear" w:color="auto" w:fill="FFFFFF" w:themeFill="background1"/>
          </w:tcPr>
          <w:p w14:paraId="750E9D5B" w14:textId="10D0E593" w:rsidR="00AA0DCC" w:rsidRDefault="00AA0DCC" w:rsidP="00E12DA7">
            <w:pPr>
              <w:pStyle w:val="Tabletextnumbered"/>
            </w:pPr>
            <w:r>
              <w:lastRenderedPageBreak/>
              <w:t>2.3.4 Provisions and qualifying requirements for the Executive branch to convene a special session of the Legislature shall be clearly specified.</w:t>
            </w:r>
          </w:p>
        </w:tc>
        <w:tc>
          <w:tcPr>
            <w:tcW w:w="1276" w:type="dxa"/>
            <w:tcBorders>
              <w:top w:val="single" w:sz="4" w:space="0" w:color="auto"/>
              <w:bottom w:val="single" w:sz="4" w:space="0" w:color="auto"/>
            </w:tcBorders>
            <w:shd w:val="clear" w:color="auto" w:fill="E2EFD9" w:themeFill="accent6" w:themeFillTint="33"/>
          </w:tcPr>
          <w:p w14:paraId="4CB79901" w14:textId="77777777" w:rsidR="00AA0DCC" w:rsidRDefault="00AA0DCC" w:rsidP="00E12DA7">
            <w:pPr>
              <w:pStyle w:val="Tabletext"/>
            </w:pPr>
            <w:r>
              <w:t>2</w:t>
            </w:r>
          </w:p>
        </w:tc>
        <w:tc>
          <w:tcPr>
            <w:tcW w:w="8505" w:type="dxa"/>
            <w:tcBorders>
              <w:top w:val="single" w:sz="4" w:space="0" w:color="auto"/>
              <w:bottom w:val="single" w:sz="4" w:space="0" w:color="auto"/>
            </w:tcBorders>
          </w:tcPr>
          <w:p w14:paraId="3A759966" w14:textId="77777777" w:rsidR="00AA0DCC" w:rsidRDefault="00AA0DCC" w:rsidP="00E12DA7">
            <w:pPr>
              <w:pStyle w:val="Tabletext"/>
            </w:pPr>
            <w:r>
              <w:t>Standing order 36 provides that a motion for the purpose of fixing the next meeting of the Assembly may be moved by a Minister at any time without notice.</w:t>
            </w:r>
          </w:p>
          <w:p w14:paraId="1C24C9DF" w14:textId="79CA8094" w:rsidR="00AA0DCC" w:rsidRDefault="00AA0DCC" w:rsidP="00E12DA7">
            <w:pPr>
              <w:pStyle w:val="Tabletext"/>
            </w:pPr>
            <w:r>
              <w:t xml:space="preserve">The executive cannot unilaterally declare that a special session is to be held. </w:t>
            </w:r>
          </w:p>
          <w:p w14:paraId="00814095" w14:textId="311FE84D" w:rsidR="00AA0DCC" w:rsidRDefault="00AA0DCC" w:rsidP="00E12DA7">
            <w:pPr>
              <w:pStyle w:val="Tabletext"/>
            </w:pPr>
            <w:r>
              <w:t>Contained within the resolution that is passed at the end of each year to establish the sitting calendar for the subsequent year is a provision that requires that the Speaker can only ”fix an alternative day or hour of meeting on receipt of a request in writing from an absolute majority of members …”.</w:t>
            </w:r>
          </w:p>
        </w:tc>
      </w:tr>
      <w:tr w:rsidR="00AA0DCC" w:rsidRPr="00FE374A" w14:paraId="1F692194"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4CD46EED" w14:textId="77777777" w:rsidR="00AA0DCC" w:rsidRPr="00FE374A" w:rsidRDefault="00AA0DCC" w:rsidP="00C30366">
            <w:pPr>
              <w:pStyle w:val="Tableheading3"/>
            </w:pPr>
            <w:r w:rsidRPr="00FE374A">
              <w:t>Agenda</w:t>
            </w:r>
          </w:p>
        </w:tc>
        <w:tc>
          <w:tcPr>
            <w:tcW w:w="1276" w:type="dxa"/>
            <w:tcBorders>
              <w:top w:val="single" w:sz="4" w:space="0" w:color="auto"/>
              <w:left w:val="nil"/>
              <w:bottom w:val="single" w:sz="4" w:space="0" w:color="auto"/>
              <w:right w:val="nil"/>
            </w:tcBorders>
            <w:shd w:val="clear" w:color="auto" w:fill="F2F2F2" w:themeFill="background1" w:themeFillShade="F2"/>
          </w:tcPr>
          <w:p w14:paraId="0CB0676C" w14:textId="77777777" w:rsidR="00AA0DCC" w:rsidRPr="00FE374A"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667C4E3C" w14:textId="77777777" w:rsidR="00AA0DCC" w:rsidRPr="00FE374A" w:rsidRDefault="00AA0DCC" w:rsidP="00C30366">
            <w:pPr>
              <w:pStyle w:val="Tableheading3"/>
            </w:pPr>
          </w:p>
        </w:tc>
      </w:tr>
      <w:tr w:rsidR="00AA0DCC" w14:paraId="2220C592" w14:textId="77777777" w:rsidTr="00C276E6">
        <w:tc>
          <w:tcPr>
            <w:tcW w:w="5098" w:type="dxa"/>
            <w:tcBorders>
              <w:top w:val="single" w:sz="4" w:space="0" w:color="auto"/>
              <w:bottom w:val="single" w:sz="4" w:space="0" w:color="auto"/>
            </w:tcBorders>
            <w:shd w:val="clear" w:color="auto" w:fill="FFFFFF" w:themeFill="background1"/>
          </w:tcPr>
          <w:p w14:paraId="0A0162D8" w14:textId="38E2BA7B" w:rsidR="00AA0DCC" w:rsidRDefault="00AA0DCC" w:rsidP="00E12DA7">
            <w:pPr>
              <w:pStyle w:val="Tabletextnumbered"/>
            </w:pPr>
            <w:r>
              <w:t>2.4.1 Legislators shall have the right to vote to amend the proposed agenda for debate in accordance with the rules of procedure.</w:t>
            </w:r>
          </w:p>
        </w:tc>
        <w:tc>
          <w:tcPr>
            <w:tcW w:w="1276" w:type="dxa"/>
            <w:tcBorders>
              <w:top w:val="single" w:sz="4" w:space="0" w:color="auto"/>
              <w:bottom w:val="single" w:sz="4" w:space="0" w:color="auto"/>
            </w:tcBorders>
            <w:shd w:val="clear" w:color="auto" w:fill="E2EFD9" w:themeFill="accent6" w:themeFillTint="33"/>
          </w:tcPr>
          <w:p w14:paraId="7239C019" w14:textId="77777777" w:rsidR="00AA0DCC" w:rsidRDefault="00AA0DCC" w:rsidP="00E12DA7">
            <w:pPr>
              <w:pStyle w:val="Tabletext"/>
            </w:pPr>
            <w:r>
              <w:t>2</w:t>
            </w:r>
          </w:p>
        </w:tc>
        <w:tc>
          <w:tcPr>
            <w:tcW w:w="8505" w:type="dxa"/>
            <w:tcBorders>
              <w:top w:val="single" w:sz="4" w:space="0" w:color="auto"/>
              <w:bottom w:val="single" w:sz="4" w:space="0" w:color="auto"/>
            </w:tcBorders>
          </w:tcPr>
          <w:p w14:paraId="2C8B71CC" w14:textId="77777777" w:rsidR="00AA0DCC" w:rsidRDefault="00AA0DCC" w:rsidP="00E12DA7">
            <w:pPr>
              <w:pStyle w:val="Tabletext"/>
            </w:pPr>
            <w:r>
              <w:t xml:space="preserve">Any member may move to suspend so much of standing orders as would allow an item for debate to be dealt with at a time other than that set out on the Notice Paper (i.e. that diverges from the order of precedence provided for on the Notice Paper). </w:t>
            </w:r>
          </w:p>
        </w:tc>
      </w:tr>
      <w:tr w:rsidR="00AA0DCC" w14:paraId="49AF53B9" w14:textId="77777777" w:rsidTr="00C276E6">
        <w:tc>
          <w:tcPr>
            <w:tcW w:w="5098" w:type="dxa"/>
            <w:tcBorders>
              <w:top w:val="single" w:sz="4" w:space="0" w:color="auto"/>
              <w:bottom w:val="single" w:sz="4" w:space="0" w:color="auto"/>
            </w:tcBorders>
            <w:shd w:val="clear" w:color="auto" w:fill="FFFFFF" w:themeFill="background1"/>
          </w:tcPr>
          <w:p w14:paraId="5E4839D2" w14:textId="77777777" w:rsidR="00AA0DCC" w:rsidRDefault="00AA0DCC" w:rsidP="00E12DA7">
            <w:pPr>
              <w:pStyle w:val="Tabletextnumbered"/>
            </w:pPr>
            <w:r>
              <w:t>2.4.2 Legislators in the lower or only house shall have the right to initiate legislation and to offer amendments to proposed legislation.</w:t>
            </w:r>
          </w:p>
        </w:tc>
        <w:tc>
          <w:tcPr>
            <w:tcW w:w="1276" w:type="dxa"/>
            <w:tcBorders>
              <w:top w:val="single" w:sz="4" w:space="0" w:color="auto"/>
              <w:bottom w:val="single" w:sz="4" w:space="0" w:color="auto"/>
            </w:tcBorders>
            <w:shd w:val="clear" w:color="auto" w:fill="E2EFD9" w:themeFill="accent6" w:themeFillTint="33"/>
          </w:tcPr>
          <w:p w14:paraId="13DF0795" w14:textId="77777777" w:rsidR="00AA0DCC" w:rsidRDefault="00AA0DCC" w:rsidP="00E12DA7">
            <w:pPr>
              <w:pStyle w:val="Tabletext"/>
            </w:pPr>
            <w:r>
              <w:t>2</w:t>
            </w:r>
          </w:p>
        </w:tc>
        <w:tc>
          <w:tcPr>
            <w:tcW w:w="8505" w:type="dxa"/>
            <w:tcBorders>
              <w:top w:val="single" w:sz="4" w:space="0" w:color="auto"/>
              <w:bottom w:val="single" w:sz="4" w:space="0" w:color="auto"/>
            </w:tcBorders>
          </w:tcPr>
          <w:p w14:paraId="6E328DE2" w14:textId="329EA4CF" w:rsidR="00AA0DCC" w:rsidRDefault="00AA0DCC" w:rsidP="00E12DA7">
            <w:pPr>
              <w:pStyle w:val="Tabletext"/>
            </w:pPr>
            <w:r>
              <w:t xml:space="preserve">The Assembly is unicameral—the initiation of legislation and moving of amendments to proposed legislation is the right of all members (with the exception of bills or amendments which relate to the financial initiative of the executive such as appropriation bills or amendments which impose of the finances of the Territory—see s 65 of the Self-Government Act). </w:t>
            </w:r>
          </w:p>
        </w:tc>
      </w:tr>
      <w:tr w:rsidR="00AA0DCC" w14:paraId="5278EC00" w14:textId="77777777" w:rsidTr="00C276E6">
        <w:tc>
          <w:tcPr>
            <w:tcW w:w="5098" w:type="dxa"/>
            <w:tcBorders>
              <w:top w:val="single" w:sz="4" w:space="0" w:color="auto"/>
              <w:bottom w:val="single" w:sz="4" w:space="0" w:color="auto"/>
            </w:tcBorders>
            <w:shd w:val="clear" w:color="auto" w:fill="FFFFFF" w:themeFill="background1"/>
          </w:tcPr>
          <w:p w14:paraId="662BC608" w14:textId="06D06BDC" w:rsidR="00AA0DCC" w:rsidRDefault="00AA0DCC" w:rsidP="00E12DA7">
            <w:pPr>
              <w:pStyle w:val="Tabletextnumbered"/>
            </w:pPr>
            <w:r>
              <w:t>2.4.3 A substantial proportion of the Legislature’s time is set aside for it to consider business proposed by non-Government Members.</w:t>
            </w:r>
          </w:p>
        </w:tc>
        <w:tc>
          <w:tcPr>
            <w:tcW w:w="1276" w:type="dxa"/>
            <w:tcBorders>
              <w:top w:val="single" w:sz="4" w:space="0" w:color="auto"/>
              <w:bottom w:val="single" w:sz="4" w:space="0" w:color="auto"/>
            </w:tcBorders>
            <w:shd w:val="clear" w:color="auto" w:fill="E2EFD9" w:themeFill="accent6" w:themeFillTint="33"/>
          </w:tcPr>
          <w:p w14:paraId="38591B57" w14:textId="77777777" w:rsidR="00AA0DCC" w:rsidRDefault="00AA0DCC" w:rsidP="00E12DA7">
            <w:pPr>
              <w:pStyle w:val="Tabletext"/>
            </w:pPr>
            <w:r>
              <w:t>2</w:t>
            </w:r>
          </w:p>
        </w:tc>
        <w:tc>
          <w:tcPr>
            <w:tcW w:w="8505" w:type="dxa"/>
            <w:tcBorders>
              <w:top w:val="single" w:sz="4" w:space="0" w:color="auto"/>
              <w:bottom w:val="single" w:sz="4" w:space="0" w:color="auto"/>
            </w:tcBorders>
          </w:tcPr>
          <w:p w14:paraId="4D7AAACD" w14:textId="471EFBAB" w:rsidR="00AA0DCC" w:rsidRDefault="00AA0DCC" w:rsidP="00E12DA7">
            <w:pPr>
              <w:pStyle w:val="Tabletext"/>
            </w:pPr>
            <w:r>
              <w:t xml:space="preserve">One third of each sitting week </w:t>
            </w:r>
            <w:r w:rsidR="00570E36">
              <w:t xml:space="preserve">(a substantial portion) </w:t>
            </w:r>
            <w:r>
              <w:t xml:space="preserve">is set aside for non-executive members’ business (Wednesdays). See standing order 77(a). </w:t>
            </w:r>
          </w:p>
          <w:p w14:paraId="75F75E46" w14:textId="52D81809" w:rsidR="00AA0DCC" w:rsidRDefault="00AA0DCC" w:rsidP="00E12DA7">
            <w:pPr>
              <w:pStyle w:val="Tabletext"/>
            </w:pPr>
            <w:r>
              <w:t>77(b)-77(c) also provide a set amount of time for Crossbench Executive Members’ business and Assembly business (i.e. for committee related business and business related to the administration of the Assembly).</w:t>
            </w:r>
            <w:r w:rsidR="00570E36">
              <w:t xml:space="preserve"> Since self-government, there have been 487 bills introduced by non-government members. </w:t>
            </w:r>
          </w:p>
        </w:tc>
      </w:tr>
      <w:tr w:rsidR="00AA0DCC" w14:paraId="27E951C9" w14:textId="77777777" w:rsidTr="00C276E6">
        <w:tc>
          <w:tcPr>
            <w:tcW w:w="5098" w:type="dxa"/>
            <w:tcBorders>
              <w:top w:val="single" w:sz="4" w:space="0" w:color="auto"/>
              <w:bottom w:val="single" w:sz="4" w:space="0" w:color="auto"/>
            </w:tcBorders>
            <w:shd w:val="clear" w:color="auto" w:fill="FFFFFF" w:themeFill="background1"/>
          </w:tcPr>
          <w:p w14:paraId="0402A1FB" w14:textId="77777777" w:rsidR="00AA0DCC" w:rsidRDefault="00AA0DCC" w:rsidP="00E12DA7">
            <w:pPr>
              <w:pStyle w:val="Tabletextnumbered"/>
            </w:pPr>
            <w:r w:rsidRPr="00FE374A">
              <w:t>2.4.4 There shall be an annual parliamentary calendar to promote transparency</w:t>
            </w:r>
          </w:p>
        </w:tc>
        <w:tc>
          <w:tcPr>
            <w:tcW w:w="1276" w:type="dxa"/>
            <w:tcBorders>
              <w:top w:val="single" w:sz="4" w:space="0" w:color="auto"/>
              <w:bottom w:val="single" w:sz="4" w:space="0" w:color="auto"/>
            </w:tcBorders>
            <w:shd w:val="clear" w:color="auto" w:fill="E2EFD9" w:themeFill="accent6" w:themeFillTint="33"/>
          </w:tcPr>
          <w:p w14:paraId="740CD5D3" w14:textId="77777777" w:rsidR="00AA0DCC" w:rsidRDefault="00AA0DCC" w:rsidP="00E12DA7">
            <w:pPr>
              <w:pStyle w:val="Tabletext"/>
            </w:pPr>
            <w:r>
              <w:t>2</w:t>
            </w:r>
          </w:p>
        </w:tc>
        <w:tc>
          <w:tcPr>
            <w:tcW w:w="8505" w:type="dxa"/>
            <w:tcBorders>
              <w:top w:val="single" w:sz="4" w:space="0" w:color="auto"/>
              <w:bottom w:val="single" w:sz="4" w:space="0" w:color="auto"/>
            </w:tcBorders>
          </w:tcPr>
          <w:p w14:paraId="2B73EFF9" w14:textId="77777777" w:rsidR="00AA0DCC" w:rsidRDefault="00AA0DCC" w:rsidP="00E12DA7">
            <w:pPr>
              <w:pStyle w:val="Tabletext"/>
            </w:pPr>
            <w:r>
              <w:t>See 2.3.1</w:t>
            </w:r>
          </w:p>
        </w:tc>
      </w:tr>
    </w:tbl>
    <w:p w14:paraId="495F7E20" w14:textId="77777777" w:rsidR="00C30366" w:rsidRDefault="00C30366">
      <w:r>
        <w:rPr>
          <w:b/>
        </w:rP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rsidRPr="008B0095" w14:paraId="1A131E87"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CF3438B" w14:textId="66042DD7" w:rsidR="00AA0DCC" w:rsidRPr="008B0095" w:rsidRDefault="00AA0DCC" w:rsidP="00C30366">
            <w:pPr>
              <w:pStyle w:val="Tableheading3"/>
            </w:pPr>
            <w:r w:rsidRPr="008B0095">
              <w:lastRenderedPageBreak/>
              <w:t>Debate</w:t>
            </w:r>
          </w:p>
        </w:tc>
        <w:tc>
          <w:tcPr>
            <w:tcW w:w="1276" w:type="dxa"/>
            <w:tcBorders>
              <w:top w:val="single" w:sz="4" w:space="0" w:color="auto"/>
              <w:left w:val="nil"/>
              <w:bottom w:val="single" w:sz="4" w:space="0" w:color="auto"/>
              <w:right w:val="nil"/>
            </w:tcBorders>
            <w:shd w:val="clear" w:color="auto" w:fill="F2F2F2" w:themeFill="background1" w:themeFillShade="F2"/>
          </w:tcPr>
          <w:p w14:paraId="5B72F5D3" w14:textId="77777777" w:rsidR="00AA0DCC" w:rsidRPr="008B0095"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644D80AF" w14:textId="77777777" w:rsidR="00AA0DCC" w:rsidRPr="008B0095" w:rsidRDefault="00AA0DCC" w:rsidP="00C30366">
            <w:pPr>
              <w:pStyle w:val="Tableheading3"/>
            </w:pPr>
          </w:p>
        </w:tc>
      </w:tr>
      <w:tr w:rsidR="00AA0DCC" w14:paraId="293F1F88" w14:textId="77777777" w:rsidTr="00C276E6">
        <w:tc>
          <w:tcPr>
            <w:tcW w:w="5098" w:type="dxa"/>
            <w:tcBorders>
              <w:top w:val="single" w:sz="4" w:space="0" w:color="auto"/>
              <w:bottom w:val="single" w:sz="4" w:space="0" w:color="auto"/>
            </w:tcBorders>
            <w:shd w:val="clear" w:color="auto" w:fill="FFFFFF" w:themeFill="background1"/>
          </w:tcPr>
          <w:p w14:paraId="564B0DAC" w14:textId="6B2E3340" w:rsidR="00AA0DCC" w:rsidRPr="00FE374A" w:rsidRDefault="00AA0DCC" w:rsidP="00E12DA7">
            <w:pPr>
              <w:pStyle w:val="Tabletextnumbered"/>
            </w:pPr>
            <w:r>
              <w:t>2.5.1 The Legislature shall establish and follow clear procedures for structuring debate and determining the order of precedence of motions tabled by Members.</w:t>
            </w:r>
          </w:p>
        </w:tc>
        <w:tc>
          <w:tcPr>
            <w:tcW w:w="1276" w:type="dxa"/>
            <w:tcBorders>
              <w:top w:val="single" w:sz="4" w:space="0" w:color="auto"/>
              <w:bottom w:val="single" w:sz="4" w:space="0" w:color="auto"/>
            </w:tcBorders>
            <w:shd w:val="clear" w:color="auto" w:fill="E2EFD9" w:themeFill="accent6" w:themeFillTint="33"/>
          </w:tcPr>
          <w:p w14:paraId="18585462" w14:textId="77777777" w:rsidR="00AA0DCC" w:rsidRDefault="00AA0DCC" w:rsidP="00E12DA7">
            <w:pPr>
              <w:pStyle w:val="Tabletext"/>
            </w:pPr>
            <w:r>
              <w:t>2</w:t>
            </w:r>
          </w:p>
        </w:tc>
        <w:tc>
          <w:tcPr>
            <w:tcW w:w="8505" w:type="dxa"/>
            <w:tcBorders>
              <w:top w:val="single" w:sz="4" w:space="0" w:color="auto"/>
              <w:bottom w:val="single" w:sz="4" w:space="0" w:color="auto"/>
            </w:tcBorders>
          </w:tcPr>
          <w:p w14:paraId="0FA9DF5D" w14:textId="0716CE9A" w:rsidR="00AA0DCC" w:rsidRDefault="00AA0DCC" w:rsidP="00E12DA7">
            <w:pPr>
              <w:pStyle w:val="Tabletext"/>
            </w:pPr>
            <w:r>
              <w:t xml:space="preserve">There are clear procedures for the precedence of business set out in standing orders 77, 77A and 78. Standing order 16(a)(iii) provides that the Standing Committee on Administration and Procedure will ‘arrange the order of Members’ business, Assembly business and Crossbench Executive Members’ </w:t>
            </w:r>
            <w:proofErr w:type="gramStart"/>
            <w:r>
              <w:t>business’</w:t>
            </w:r>
            <w:proofErr w:type="gramEnd"/>
            <w:r>
              <w:t>.</w:t>
            </w:r>
          </w:p>
          <w:p w14:paraId="7F6C24D6" w14:textId="48B1425E" w:rsidR="00AA0DCC" w:rsidRDefault="00AA0DCC" w:rsidP="00E12DA7">
            <w:pPr>
              <w:pStyle w:val="Tabletext"/>
            </w:pPr>
            <w:r>
              <w:t>The procedure for notice of motion is set out in standing orders 101-112.</w:t>
            </w:r>
          </w:p>
        </w:tc>
      </w:tr>
      <w:tr w:rsidR="00AA0DCC" w14:paraId="489B7A41" w14:textId="77777777" w:rsidTr="00C276E6">
        <w:tc>
          <w:tcPr>
            <w:tcW w:w="5098" w:type="dxa"/>
            <w:tcBorders>
              <w:top w:val="single" w:sz="4" w:space="0" w:color="auto"/>
              <w:bottom w:val="single" w:sz="4" w:space="0" w:color="auto"/>
            </w:tcBorders>
            <w:shd w:val="clear" w:color="auto" w:fill="FFFFFF" w:themeFill="background1"/>
          </w:tcPr>
          <w:p w14:paraId="7EAB531A" w14:textId="4E068D5C" w:rsidR="00AA0DCC" w:rsidRPr="00FE374A" w:rsidRDefault="00AA0DCC" w:rsidP="00E12DA7">
            <w:pPr>
              <w:pStyle w:val="Tabletextnumbered"/>
            </w:pPr>
            <w:r>
              <w:t>2.5.2 The Legislature shall provide adequate opportunity for legislators to debate Bills prior to a vote.</w:t>
            </w:r>
          </w:p>
        </w:tc>
        <w:tc>
          <w:tcPr>
            <w:tcW w:w="1276" w:type="dxa"/>
            <w:tcBorders>
              <w:top w:val="single" w:sz="4" w:space="0" w:color="auto"/>
              <w:bottom w:val="single" w:sz="4" w:space="0" w:color="auto"/>
            </w:tcBorders>
            <w:shd w:val="clear" w:color="auto" w:fill="E2EFD9" w:themeFill="accent6" w:themeFillTint="33"/>
          </w:tcPr>
          <w:p w14:paraId="0DA01964" w14:textId="77777777" w:rsidR="00AA0DCC" w:rsidRDefault="00AA0DCC" w:rsidP="00E12DA7">
            <w:pPr>
              <w:pStyle w:val="Tabletext"/>
            </w:pPr>
            <w:r>
              <w:t>2</w:t>
            </w:r>
          </w:p>
        </w:tc>
        <w:tc>
          <w:tcPr>
            <w:tcW w:w="8505" w:type="dxa"/>
            <w:tcBorders>
              <w:top w:val="single" w:sz="4" w:space="0" w:color="auto"/>
              <w:bottom w:val="single" w:sz="4" w:space="0" w:color="auto"/>
            </w:tcBorders>
          </w:tcPr>
          <w:p w14:paraId="649E0787" w14:textId="1D93C4D3" w:rsidR="00AA0DCC" w:rsidRDefault="00AA0DCC" w:rsidP="00E12DA7">
            <w:pPr>
              <w:pStyle w:val="Tabletext"/>
            </w:pPr>
            <w:r>
              <w:t>The Assembly does provide adequate opportunity for the debate of bills prior to a vote.</w:t>
            </w:r>
          </w:p>
          <w:p w14:paraId="51FAB811" w14:textId="77A11878" w:rsidR="00AA0DCC" w:rsidRDefault="00AA0DCC" w:rsidP="00E12DA7">
            <w:pPr>
              <w:pStyle w:val="Tabletext"/>
            </w:pPr>
            <w:r>
              <w:t xml:space="preserve">Bills move through </w:t>
            </w:r>
            <w:proofErr w:type="gramStart"/>
            <w:r>
              <w:t>a number of</w:t>
            </w:r>
            <w:proofErr w:type="gramEnd"/>
            <w:r>
              <w:t xml:space="preserve"> different stages of consideration and debate</w:t>
            </w:r>
            <w:r w:rsidR="0079283D">
              <w:br/>
            </w:r>
            <w:r>
              <w:t xml:space="preserve">(1. Presentation; 2. In-principle; 3. Detail) as provided for in standing orders 167-194. </w:t>
            </w:r>
          </w:p>
          <w:p w14:paraId="0B255F56" w14:textId="361FDEC0" w:rsidR="00AA0DCC" w:rsidRDefault="00AA0DCC" w:rsidP="00E12DA7">
            <w:pPr>
              <w:pStyle w:val="Tabletext"/>
            </w:pPr>
            <w:r>
              <w:t xml:space="preserve">Standing order 192 provides that If a Member in charge of a bill, or a Member acting on behalf of that Member, declares that a bill is urgent, the question “That this bill be considered an urgent bill” shall be put. If the question is agreed to, the Member may forthwith move a motion specifying the time which shall be allotted to the various stages of the bill. Debate on any question shall be subject to standing order 69(f) (which provides for certain time limits in relation to debate on urgent bills). </w:t>
            </w:r>
          </w:p>
          <w:p w14:paraId="2A787B2A" w14:textId="2DC5A24A" w:rsidR="00AA0DCC" w:rsidRDefault="00AA0DCC" w:rsidP="00E12DA7">
            <w:pPr>
              <w:pStyle w:val="Tabletext"/>
            </w:pPr>
            <w:r>
              <w:t>Standing order 172 provides that ‘The question “That this bill be agreed to in principle” shall not be determined by the</w:t>
            </w:r>
            <w:r w:rsidR="00E12DA7">
              <w:t xml:space="preserve"> </w:t>
            </w:r>
            <w:r>
              <w:t>Assembly during the sitting period at which the bill is first introduced, except in the case of a bill declared to be an urgent bill’.</w:t>
            </w:r>
          </w:p>
          <w:p w14:paraId="7502D9E2" w14:textId="03EEA712" w:rsidR="00AA0DCC" w:rsidRDefault="00AA0DCC" w:rsidP="00E12DA7">
            <w:pPr>
              <w:pStyle w:val="Tabletext"/>
            </w:pPr>
            <w:r>
              <w:t>It is very rare for a bill to be declared an urgent bill.</w:t>
            </w:r>
          </w:p>
        </w:tc>
      </w:tr>
      <w:tr w:rsidR="00AA0DCC" w:rsidRPr="000342C0" w14:paraId="3A62280E"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0FADF299" w14:textId="33C71A52" w:rsidR="00AA0DCC" w:rsidRPr="000342C0" w:rsidRDefault="00AA0DCC" w:rsidP="00C30366">
            <w:pPr>
              <w:pStyle w:val="Tableheading3"/>
            </w:pPr>
            <w:r w:rsidRPr="000342C0">
              <w:t>Voting</w:t>
            </w:r>
          </w:p>
        </w:tc>
        <w:tc>
          <w:tcPr>
            <w:tcW w:w="1276" w:type="dxa"/>
            <w:tcBorders>
              <w:top w:val="single" w:sz="4" w:space="0" w:color="auto"/>
              <w:left w:val="nil"/>
              <w:bottom w:val="single" w:sz="4" w:space="0" w:color="auto"/>
              <w:right w:val="nil"/>
            </w:tcBorders>
            <w:shd w:val="clear" w:color="auto" w:fill="F2F2F2" w:themeFill="background1" w:themeFillShade="F2"/>
          </w:tcPr>
          <w:p w14:paraId="1F408909" w14:textId="77777777" w:rsidR="00AA0DCC" w:rsidRPr="000342C0"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09D5F39E" w14:textId="77777777" w:rsidR="00AA0DCC" w:rsidRPr="000342C0" w:rsidRDefault="00AA0DCC" w:rsidP="00C30366">
            <w:pPr>
              <w:pStyle w:val="Tableheading3"/>
            </w:pPr>
          </w:p>
        </w:tc>
      </w:tr>
      <w:tr w:rsidR="00AA0DCC" w14:paraId="6C5C2830" w14:textId="77777777" w:rsidTr="00C30366">
        <w:tc>
          <w:tcPr>
            <w:tcW w:w="5098" w:type="dxa"/>
            <w:tcBorders>
              <w:top w:val="single" w:sz="4" w:space="0" w:color="auto"/>
              <w:bottom w:val="single" w:sz="4" w:space="0" w:color="auto"/>
            </w:tcBorders>
            <w:shd w:val="clear" w:color="auto" w:fill="FFFFFF" w:themeFill="background1"/>
          </w:tcPr>
          <w:p w14:paraId="62A78749" w14:textId="77777777" w:rsidR="00AA0DCC" w:rsidRDefault="00AA0DCC" w:rsidP="00223E9A">
            <w:pPr>
              <w:pStyle w:val="Tabletextnumbered"/>
            </w:pPr>
            <w:r w:rsidRPr="000342C0">
              <w:t>2.6.1 Plenary debates and votes in the Legislature shall be public.</w:t>
            </w:r>
          </w:p>
        </w:tc>
        <w:tc>
          <w:tcPr>
            <w:tcW w:w="1276" w:type="dxa"/>
            <w:tcBorders>
              <w:top w:val="single" w:sz="4" w:space="0" w:color="auto"/>
              <w:bottom w:val="single" w:sz="4" w:space="0" w:color="auto"/>
            </w:tcBorders>
            <w:shd w:val="clear" w:color="auto" w:fill="FFF2CC" w:themeFill="accent4" w:themeFillTint="33"/>
          </w:tcPr>
          <w:p w14:paraId="4FFDF26E" w14:textId="5F1C8F82" w:rsidR="00AA0DCC" w:rsidRDefault="00AA0DCC" w:rsidP="00223E9A">
            <w:pPr>
              <w:pStyle w:val="Tabletext"/>
            </w:pPr>
            <w:r>
              <w:t>1.5</w:t>
            </w:r>
          </w:p>
        </w:tc>
        <w:tc>
          <w:tcPr>
            <w:tcW w:w="8505" w:type="dxa"/>
            <w:tcBorders>
              <w:top w:val="single" w:sz="4" w:space="0" w:color="auto"/>
              <w:bottom w:val="single" w:sz="4" w:space="0" w:color="auto"/>
            </w:tcBorders>
          </w:tcPr>
          <w:p w14:paraId="5C4A49EA" w14:textId="77777777" w:rsidR="00AA0DCC" w:rsidRDefault="00AA0DCC" w:rsidP="00223E9A">
            <w:pPr>
              <w:pStyle w:val="Tabletext"/>
            </w:pPr>
            <w:proofErr w:type="gramStart"/>
            <w:r>
              <w:t>With the exception of</w:t>
            </w:r>
            <w:proofErr w:type="gramEnd"/>
            <w:r>
              <w:t xml:space="preserve"> votes in relation to the election of the Speaker, Deputy Speaker, Chief Minister and Leader of the Opposition (which require a secret ballot—see standing orders 2, 3, 5 and 5B), all votes of the Assembly are made publicly known. </w:t>
            </w:r>
          </w:p>
          <w:p w14:paraId="14ADEDFB" w14:textId="604CA17A" w:rsidR="00AA0DCC" w:rsidRDefault="00AA0DCC" w:rsidP="00223E9A">
            <w:pPr>
              <w:pStyle w:val="Tabletext"/>
            </w:pPr>
            <w:r>
              <w:t xml:space="preserve">All proceedings of the Assembly are open to the public, Hansard Debates and video of proceedings are publicly available via the website. </w:t>
            </w:r>
          </w:p>
        </w:tc>
      </w:tr>
      <w:tr w:rsidR="00AA0DCC" w14:paraId="49E4F325" w14:textId="77777777" w:rsidTr="00C276E6">
        <w:tc>
          <w:tcPr>
            <w:tcW w:w="5098" w:type="dxa"/>
            <w:tcBorders>
              <w:top w:val="single" w:sz="4" w:space="0" w:color="auto"/>
              <w:bottom w:val="single" w:sz="4" w:space="0" w:color="auto"/>
            </w:tcBorders>
            <w:shd w:val="clear" w:color="auto" w:fill="FFFFFF" w:themeFill="background1"/>
          </w:tcPr>
          <w:p w14:paraId="267EBCCA" w14:textId="77777777" w:rsidR="00AA0DCC" w:rsidRDefault="00AA0DCC" w:rsidP="00223E9A">
            <w:pPr>
              <w:pStyle w:val="Tabletextnumbered"/>
            </w:pPr>
            <w:r w:rsidRPr="000342C0">
              <w:t>2.6.2 Members in a minority on a vote shall be able to demand a recorded vote.</w:t>
            </w:r>
          </w:p>
        </w:tc>
        <w:tc>
          <w:tcPr>
            <w:tcW w:w="1276" w:type="dxa"/>
            <w:tcBorders>
              <w:top w:val="single" w:sz="4" w:space="0" w:color="auto"/>
              <w:bottom w:val="single" w:sz="4" w:space="0" w:color="auto"/>
            </w:tcBorders>
            <w:shd w:val="clear" w:color="auto" w:fill="E2EFD9" w:themeFill="accent6" w:themeFillTint="33"/>
          </w:tcPr>
          <w:p w14:paraId="671D54E4" w14:textId="77777777" w:rsidR="00AA0DCC" w:rsidRDefault="00AA0DCC" w:rsidP="00223E9A">
            <w:pPr>
              <w:pStyle w:val="Tabletext"/>
            </w:pPr>
            <w:r>
              <w:t>2</w:t>
            </w:r>
          </w:p>
        </w:tc>
        <w:tc>
          <w:tcPr>
            <w:tcW w:w="8505" w:type="dxa"/>
            <w:tcBorders>
              <w:top w:val="single" w:sz="4" w:space="0" w:color="auto"/>
              <w:bottom w:val="single" w:sz="4" w:space="0" w:color="auto"/>
            </w:tcBorders>
          </w:tcPr>
          <w:p w14:paraId="6B4EA1EA" w14:textId="574A844E" w:rsidR="00AA0DCC" w:rsidRDefault="00AA0DCC" w:rsidP="00223E9A">
            <w:pPr>
              <w:pStyle w:val="Tabletext"/>
            </w:pPr>
            <w:r>
              <w:t>Any member may call for a vote (a division) pursuant to standing 153 and the results of a vote is recorded in the Minutes of Proceedings (standing order 164).</w:t>
            </w:r>
          </w:p>
        </w:tc>
      </w:tr>
      <w:tr w:rsidR="00AA0DCC" w14:paraId="2A0FE99B" w14:textId="77777777" w:rsidTr="00C276E6">
        <w:tc>
          <w:tcPr>
            <w:tcW w:w="5098" w:type="dxa"/>
            <w:tcBorders>
              <w:top w:val="single" w:sz="4" w:space="0" w:color="auto"/>
              <w:bottom w:val="single" w:sz="4" w:space="0" w:color="auto"/>
            </w:tcBorders>
            <w:shd w:val="clear" w:color="auto" w:fill="FFFFFF" w:themeFill="background1"/>
          </w:tcPr>
          <w:p w14:paraId="6F509C8B" w14:textId="77777777" w:rsidR="00AA0DCC" w:rsidRDefault="00AA0DCC" w:rsidP="00223E9A">
            <w:pPr>
              <w:pStyle w:val="Tabletextnumbered"/>
            </w:pPr>
            <w:r w:rsidRPr="000342C0">
              <w:lastRenderedPageBreak/>
              <w:t>2.6.3 Only legislators may vote on issues before the Legislature.</w:t>
            </w:r>
          </w:p>
        </w:tc>
        <w:tc>
          <w:tcPr>
            <w:tcW w:w="1276" w:type="dxa"/>
            <w:tcBorders>
              <w:top w:val="single" w:sz="4" w:space="0" w:color="auto"/>
              <w:bottom w:val="single" w:sz="4" w:space="0" w:color="auto"/>
            </w:tcBorders>
            <w:shd w:val="clear" w:color="auto" w:fill="E2EFD9" w:themeFill="accent6" w:themeFillTint="33"/>
          </w:tcPr>
          <w:p w14:paraId="029272FE" w14:textId="77777777" w:rsidR="00AA0DCC" w:rsidRPr="00223E9A" w:rsidRDefault="00AA0DCC" w:rsidP="00223E9A">
            <w:pPr>
              <w:pStyle w:val="Tabletext"/>
            </w:pPr>
            <w:r w:rsidRPr="00223E9A">
              <w:t>2</w:t>
            </w:r>
          </w:p>
        </w:tc>
        <w:tc>
          <w:tcPr>
            <w:tcW w:w="8505" w:type="dxa"/>
            <w:tcBorders>
              <w:top w:val="single" w:sz="4" w:space="0" w:color="auto"/>
              <w:bottom w:val="single" w:sz="4" w:space="0" w:color="auto"/>
            </w:tcBorders>
          </w:tcPr>
          <w:p w14:paraId="47521C5E" w14:textId="77777777" w:rsidR="00AA0DCC" w:rsidRPr="00223E9A" w:rsidRDefault="00AA0DCC" w:rsidP="00223E9A">
            <w:pPr>
              <w:pStyle w:val="Tabletext"/>
            </w:pPr>
            <w:r w:rsidRPr="00223E9A">
              <w:t xml:space="preserve">Only MLAs are entitled to vote on issues before the Assembly. See s 18 of the Self-Government Act. </w:t>
            </w:r>
          </w:p>
        </w:tc>
      </w:tr>
      <w:tr w:rsidR="00AA0DCC" w:rsidRPr="000342C0" w14:paraId="0EF08067"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F81B75A" w14:textId="77777777" w:rsidR="00AA0DCC" w:rsidRPr="000342C0" w:rsidRDefault="00AA0DCC" w:rsidP="00C30366">
            <w:pPr>
              <w:pStyle w:val="Tableheading3"/>
            </w:pPr>
            <w:r w:rsidRPr="000342C0">
              <w:t>Petitions</w:t>
            </w:r>
          </w:p>
        </w:tc>
        <w:tc>
          <w:tcPr>
            <w:tcW w:w="1276" w:type="dxa"/>
            <w:tcBorders>
              <w:top w:val="single" w:sz="4" w:space="0" w:color="auto"/>
              <w:left w:val="nil"/>
              <w:bottom w:val="single" w:sz="4" w:space="0" w:color="auto"/>
              <w:right w:val="nil"/>
            </w:tcBorders>
            <w:shd w:val="clear" w:color="auto" w:fill="F2F2F2" w:themeFill="background1" w:themeFillShade="F2"/>
          </w:tcPr>
          <w:p w14:paraId="6E63BB94" w14:textId="77777777" w:rsidR="00AA0DCC" w:rsidRPr="000342C0"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03200C57" w14:textId="77777777" w:rsidR="00AA0DCC" w:rsidRPr="000342C0" w:rsidRDefault="00AA0DCC" w:rsidP="00C30366">
            <w:pPr>
              <w:pStyle w:val="Tableheading3"/>
            </w:pPr>
          </w:p>
        </w:tc>
      </w:tr>
      <w:tr w:rsidR="00AA0DCC" w14:paraId="0B607D9A" w14:textId="77777777" w:rsidTr="00C276E6">
        <w:tc>
          <w:tcPr>
            <w:tcW w:w="5098" w:type="dxa"/>
            <w:tcBorders>
              <w:top w:val="single" w:sz="4" w:space="0" w:color="auto"/>
              <w:bottom w:val="single" w:sz="4" w:space="0" w:color="auto"/>
            </w:tcBorders>
            <w:shd w:val="clear" w:color="auto" w:fill="FFFFFF" w:themeFill="background1"/>
          </w:tcPr>
          <w:p w14:paraId="3B7AA19F" w14:textId="77777777" w:rsidR="00AA0DCC" w:rsidRDefault="00AA0DCC" w:rsidP="00223E9A">
            <w:pPr>
              <w:pStyle w:val="Tabletextnumbered"/>
            </w:pPr>
            <w:r>
              <w:t>2.7.1 The Legislature shall have procedures to allow for the meaningful consideration of petitions.</w:t>
            </w:r>
          </w:p>
        </w:tc>
        <w:tc>
          <w:tcPr>
            <w:tcW w:w="1276" w:type="dxa"/>
            <w:tcBorders>
              <w:top w:val="single" w:sz="4" w:space="0" w:color="auto"/>
              <w:bottom w:val="single" w:sz="4" w:space="0" w:color="auto"/>
            </w:tcBorders>
            <w:shd w:val="clear" w:color="auto" w:fill="E2EFD9" w:themeFill="accent6" w:themeFillTint="33"/>
          </w:tcPr>
          <w:p w14:paraId="6A971F0F" w14:textId="77777777" w:rsidR="00AA0DCC" w:rsidRPr="006537A4" w:rsidRDefault="00AA0DCC" w:rsidP="00223E9A">
            <w:pPr>
              <w:pStyle w:val="Tabletext"/>
            </w:pPr>
            <w:r>
              <w:t>2</w:t>
            </w:r>
          </w:p>
        </w:tc>
        <w:tc>
          <w:tcPr>
            <w:tcW w:w="8505" w:type="dxa"/>
            <w:tcBorders>
              <w:top w:val="single" w:sz="4" w:space="0" w:color="auto"/>
              <w:bottom w:val="single" w:sz="4" w:space="0" w:color="auto"/>
            </w:tcBorders>
          </w:tcPr>
          <w:p w14:paraId="3F3AA79F" w14:textId="77777777" w:rsidR="00AA0DCC" w:rsidRDefault="00AA0DCC" w:rsidP="00223E9A">
            <w:pPr>
              <w:pStyle w:val="Tabletext"/>
            </w:pPr>
            <w:r>
              <w:t>Standing orders 83-100C provide a basis for the meaningful consideration of petitions.</w:t>
            </w:r>
          </w:p>
          <w:p w14:paraId="428F7B89" w14:textId="5307C919" w:rsidR="00AA0DCC" w:rsidRDefault="00AA0DCC" w:rsidP="00223E9A">
            <w:pPr>
              <w:pStyle w:val="Tabletext"/>
            </w:pPr>
            <w:r>
              <w:t>Where a petition receives 500 or more signatures it is referred to the relevant standing committee for inquiry and report. The Government must formally respond to every petition irrespective of the number of signatories.</w:t>
            </w:r>
          </w:p>
        </w:tc>
      </w:tr>
      <w:tr w:rsidR="00AA0DCC" w:rsidRPr="006537A4" w14:paraId="5EA0670E"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0FBF3DFD" w14:textId="77777777" w:rsidR="00AA0DCC" w:rsidRPr="006537A4" w:rsidRDefault="00AA0DCC" w:rsidP="00C30366">
            <w:pPr>
              <w:pStyle w:val="Tableheading3"/>
            </w:pPr>
            <w:r w:rsidRPr="006537A4">
              <w:t>Records</w:t>
            </w:r>
          </w:p>
        </w:tc>
        <w:tc>
          <w:tcPr>
            <w:tcW w:w="1276" w:type="dxa"/>
            <w:tcBorders>
              <w:top w:val="single" w:sz="4" w:space="0" w:color="auto"/>
              <w:left w:val="nil"/>
              <w:bottom w:val="single" w:sz="4" w:space="0" w:color="auto"/>
              <w:right w:val="nil"/>
            </w:tcBorders>
            <w:shd w:val="clear" w:color="auto" w:fill="F2F2F2" w:themeFill="background1" w:themeFillShade="F2"/>
          </w:tcPr>
          <w:p w14:paraId="36B9B980" w14:textId="77777777" w:rsidR="00AA0DCC" w:rsidRPr="006537A4"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0E0E2BE2" w14:textId="77777777" w:rsidR="00AA0DCC" w:rsidRPr="006537A4" w:rsidRDefault="00AA0DCC" w:rsidP="00C30366">
            <w:pPr>
              <w:pStyle w:val="Tableheading3"/>
            </w:pPr>
          </w:p>
        </w:tc>
      </w:tr>
      <w:tr w:rsidR="00AA0DCC" w14:paraId="482BDFAA" w14:textId="77777777" w:rsidTr="00C276E6">
        <w:tc>
          <w:tcPr>
            <w:tcW w:w="5098" w:type="dxa"/>
            <w:tcBorders>
              <w:top w:val="single" w:sz="4" w:space="0" w:color="auto"/>
              <w:bottom w:val="single" w:sz="4" w:space="0" w:color="auto"/>
            </w:tcBorders>
            <w:shd w:val="clear" w:color="auto" w:fill="FFFFFF" w:themeFill="background1"/>
          </w:tcPr>
          <w:p w14:paraId="38A89D38" w14:textId="18D8C5DC" w:rsidR="00AA0DCC" w:rsidRDefault="00AA0DCC" w:rsidP="00223E9A">
            <w:pPr>
              <w:pStyle w:val="Tabletextnumbered"/>
            </w:pPr>
            <w:r>
              <w:t>2.8.1 The Legislature shall maintain and publish readily accessible records of its proceedings, in a standard and consistent format.</w:t>
            </w:r>
          </w:p>
        </w:tc>
        <w:tc>
          <w:tcPr>
            <w:tcW w:w="1276" w:type="dxa"/>
            <w:tcBorders>
              <w:top w:val="single" w:sz="4" w:space="0" w:color="auto"/>
              <w:bottom w:val="single" w:sz="4" w:space="0" w:color="auto"/>
            </w:tcBorders>
            <w:shd w:val="clear" w:color="auto" w:fill="E2EFD9" w:themeFill="accent6" w:themeFillTint="33"/>
          </w:tcPr>
          <w:p w14:paraId="37A43BA5" w14:textId="77777777" w:rsidR="00AA0DCC" w:rsidRDefault="00AA0DCC" w:rsidP="00223E9A">
            <w:pPr>
              <w:pStyle w:val="Tabletext"/>
            </w:pPr>
            <w:r>
              <w:t>2</w:t>
            </w:r>
          </w:p>
        </w:tc>
        <w:tc>
          <w:tcPr>
            <w:tcW w:w="8505" w:type="dxa"/>
            <w:tcBorders>
              <w:top w:val="single" w:sz="4" w:space="0" w:color="auto"/>
              <w:bottom w:val="single" w:sz="4" w:space="0" w:color="auto"/>
            </w:tcBorders>
          </w:tcPr>
          <w:p w14:paraId="3290FBAA" w14:textId="77777777" w:rsidR="00AA0DCC" w:rsidRDefault="00AA0DCC" w:rsidP="00223E9A">
            <w:pPr>
              <w:pStyle w:val="Tabletext"/>
            </w:pPr>
            <w:r>
              <w:t xml:space="preserve">The Assembly produces Hansard transcripts of its proceedings, the Minutes of Proceedings, the Notice Paper, the Daily Program, Questions Paper, Bills List and other relevant documents (committee reports) on its website. </w:t>
            </w:r>
            <w:hyperlink r:id="rId34" w:history="1">
              <w:r w:rsidRPr="00DD07DD">
                <w:rPr>
                  <w:rStyle w:val="Hyperlink"/>
                </w:rPr>
                <w:t>https://www.parliament.act.gov.au/</w:t>
              </w:r>
            </w:hyperlink>
            <w:r>
              <w:t xml:space="preserve"> </w:t>
            </w:r>
          </w:p>
          <w:p w14:paraId="7F13709C" w14:textId="6CBAB4B2" w:rsidR="00AA0DCC" w:rsidRDefault="00AA0DCC" w:rsidP="00223E9A">
            <w:pPr>
              <w:pStyle w:val="Tabletext"/>
            </w:pPr>
            <w:r>
              <w:t>These documents are provided in standard and consistent format (html, Word documents, PDF documents).</w:t>
            </w:r>
          </w:p>
        </w:tc>
      </w:tr>
      <w:tr w:rsidR="00AA0DCC" w:rsidRPr="006537A4" w14:paraId="68929921"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563067D4" w14:textId="77777777" w:rsidR="00AA0DCC" w:rsidRPr="006537A4" w:rsidRDefault="00AA0DCC" w:rsidP="00C30366">
            <w:pPr>
              <w:pStyle w:val="Tableheading2"/>
            </w:pPr>
            <w:r w:rsidRPr="006537A4">
              <w:t>Committees</w:t>
            </w:r>
          </w:p>
        </w:tc>
        <w:tc>
          <w:tcPr>
            <w:tcW w:w="1276" w:type="dxa"/>
            <w:tcBorders>
              <w:top w:val="single" w:sz="4" w:space="0" w:color="auto"/>
              <w:left w:val="nil"/>
              <w:bottom w:val="single" w:sz="4" w:space="0" w:color="auto"/>
              <w:right w:val="nil"/>
            </w:tcBorders>
            <w:shd w:val="clear" w:color="auto" w:fill="F2F2F2" w:themeFill="background1" w:themeFillShade="F2"/>
          </w:tcPr>
          <w:p w14:paraId="1A0C1F83" w14:textId="77777777" w:rsidR="00AA0DCC" w:rsidRPr="006537A4" w:rsidRDefault="00AA0DCC" w:rsidP="00C30366">
            <w:pPr>
              <w:pStyle w:val="Tableheading2"/>
            </w:pPr>
          </w:p>
        </w:tc>
        <w:tc>
          <w:tcPr>
            <w:tcW w:w="8505" w:type="dxa"/>
            <w:tcBorders>
              <w:top w:val="single" w:sz="4" w:space="0" w:color="auto"/>
              <w:left w:val="nil"/>
              <w:bottom w:val="single" w:sz="4" w:space="0" w:color="auto"/>
              <w:right w:val="nil"/>
            </w:tcBorders>
            <w:shd w:val="clear" w:color="auto" w:fill="F2F2F2" w:themeFill="background1" w:themeFillShade="F2"/>
          </w:tcPr>
          <w:p w14:paraId="5E21A2DB" w14:textId="77777777" w:rsidR="00AA0DCC" w:rsidRPr="006537A4" w:rsidRDefault="00AA0DCC" w:rsidP="00C30366">
            <w:pPr>
              <w:pStyle w:val="Tableheading2"/>
            </w:pPr>
          </w:p>
        </w:tc>
      </w:tr>
      <w:tr w:rsidR="00AA0DCC" w:rsidRPr="006537A4" w14:paraId="20EDB183"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5B0970B6" w14:textId="77777777" w:rsidR="00AA0DCC" w:rsidRPr="006537A4" w:rsidRDefault="00AA0DCC" w:rsidP="00C30366">
            <w:pPr>
              <w:pStyle w:val="Tableheading3"/>
            </w:pPr>
            <w:r w:rsidRPr="006537A4">
              <w:t xml:space="preserve">Organisation </w:t>
            </w:r>
          </w:p>
        </w:tc>
        <w:tc>
          <w:tcPr>
            <w:tcW w:w="1276" w:type="dxa"/>
            <w:tcBorders>
              <w:top w:val="single" w:sz="4" w:space="0" w:color="auto"/>
              <w:left w:val="nil"/>
              <w:bottom w:val="single" w:sz="4" w:space="0" w:color="auto"/>
              <w:right w:val="nil"/>
            </w:tcBorders>
            <w:shd w:val="clear" w:color="auto" w:fill="F2F2F2" w:themeFill="background1" w:themeFillShade="F2"/>
          </w:tcPr>
          <w:p w14:paraId="1435DB46" w14:textId="77777777" w:rsidR="00AA0DCC" w:rsidRPr="006537A4"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7129C825" w14:textId="77777777" w:rsidR="00AA0DCC" w:rsidRPr="006537A4" w:rsidRDefault="00AA0DCC" w:rsidP="00C30366">
            <w:pPr>
              <w:pStyle w:val="Tableheading3"/>
            </w:pPr>
          </w:p>
        </w:tc>
      </w:tr>
      <w:tr w:rsidR="00AA0DCC" w14:paraId="36A49E95" w14:textId="77777777" w:rsidTr="00C276E6">
        <w:tc>
          <w:tcPr>
            <w:tcW w:w="5098" w:type="dxa"/>
            <w:tcBorders>
              <w:top w:val="single" w:sz="4" w:space="0" w:color="auto"/>
              <w:bottom w:val="single" w:sz="4" w:space="0" w:color="auto"/>
            </w:tcBorders>
            <w:shd w:val="clear" w:color="auto" w:fill="FFFFFF" w:themeFill="background1"/>
          </w:tcPr>
          <w:p w14:paraId="59BFBD90" w14:textId="77777777" w:rsidR="00AA0DCC" w:rsidRDefault="00AA0DCC" w:rsidP="00223E9A">
            <w:pPr>
              <w:pStyle w:val="Tabletextnumbered"/>
            </w:pPr>
            <w:r>
              <w:t xml:space="preserve">3.1.1 The Legislature shall have the right and </w:t>
            </w:r>
            <w:proofErr w:type="gramStart"/>
            <w:r>
              <w:t>sufficient</w:t>
            </w:r>
            <w:proofErr w:type="gramEnd"/>
            <w:r>
              <w:t xml:space="preserve"> resources to form permanent and temporary Committees.</w:t>
            </w:r>
          </w:p>
        </w:tc>
        <w:tc>
          <w:tcPr>
            <w:tcW w:w="1276" w:type="dxa"/>
            <w:tcBorders>
              <w:top w:val="single" w:sz="4" w:space="0" w:color="auto"/>
              <w:bottom w:val="single" w:sz="4" w:space="0" w:color="auto"/>
            </w:tcBorders>
            <w:shd w:val="clear" w:color="auto" w:fill="E2EFD9" w:themeFill="accent6" w:themeFillTint="33"/>
          </w:tcPr>
          <w:p w14:paraId="2BD82863" w14:textId="77777777" w:rsidR="00AA0DCC" w:rsidRDefault="00AA0DCC" w:rsidP="00223E9A">
            <w:pPr>
              <w:pStyle w:val="Tabletext"/>
            </w:pPr>
            <w:r>
              <w:t>2</w:t>
            </w:r>
          </w:p>
        </w:tc>
        <w:tc>
          <w:tcPr>
            <w:tcW w:w="8505" w:type="dxa"/>
            <w:tcBorders>
              <w:top w:val="single" w:sz="4" w:space="0" w:color="auto"/>
              <w:bottom w:val="single" w:sz="4" w:space="0" w:color="auto"/>
            </w:tcBorders>
          </w:tcPr>
          <w:p w14:paraId="1E922719" w14:textId="51B31117" w:rsidR="00AA0DCC" w:rsidRDefault="00AA0DCC" w:rsidP="00223E9A">
            <w:pPr>
              <w:pStyle w:val="Tabletext"/>
            </w:pPr>
            <w:r>
              <w:t>The Assembly has procedures in place for the establishment of both standing (permanent) and select (temporary) committees (see standing orders 215-254D).</w:t>
            </w:r>
          </w:p>
          <w:p w14:paraId="633135FF" w14:textId="77777777" w:rsidR="00AA0DCC" w:rsidRDefault="00AA0DCC" w:rsidP="00223E9A">
            <w:pPr>
              <w:pStyle w:val="Tabletext"/>
            </w:pPr>
            <w:r>
              <w:t xml:space="preserve">Resources to support committees are provided as part of a standalone appropriation to the Office of the Legislative Assembly. Under ss 20-20AA of the Financial Management Act, the Speaker must transmit to the Treasurer the ‘recommended appropriation’ for the Office. Where the Treasurer departs from the recommended appropriation, the Treasurer must provide a statement of reasons for the departure. </w:t>
            </w:r>
          </w:p>
        </w:tc>
      </w:tr>
      <w:tr w:rsidR="00AA0DCC" w14:paraId="1D7EB860" w14:textId="77777777" w:rsidTr="00C276E6">
        <w:tc>
          <w:tcPr>
            <w:tcW w:w="5098" w:type="dxa"/>
            <w:tcBorders>
              <w:top w:val="single" w:sz="4" w:space="0" w:color="auto"/>
              <w:bottom w:val="single" w:sz="4" w:space="0" w:color="auto"/>
            </w:tcBorders>
            <w:shd w:val="clear" w:color="auto" w:fill="FFFFFF" w:themeFill="background1"/>
          </w:tcPr>
          <w:p w14:paraId="646478EB" w14:textId="77777777" w:rsidR="00AA0DCC" w:rsidRDefault="00AA0DCC" w:rsidP="00223E9A">
            <w:pPr>
              <w:pStyle w:val="Tabletextnumbered"/>
            </w:pPr>
            <w:r>
              <w:t xml:space="preserve">3.1.2 The Legislature’s assignment of Committee Members on each Committee shall include both </w:t>
            </w:r>
            <w:r>
              <w:lastRenderedPageBreak/>
              <w:t>majority and minority party Members and reflect the political composition of the Legislature.</w:t>
            </w:r>
          </w:p>
        </w:tc>
        <w:tc>
          <w:tcPr>
            <w:tcW w:w="1276" w:type="dxa"/>
            <w:tcBorders>
              <w:top w:val="single" w:sz="4" w:space="0" w:color="auto"/>
              <w:bottom w:val="single" w:sz="4" w:space="0" w:color="auto"/>
            </w:tcBorders>
            <w:shd w:val="clear" w:color="auto" w:fill="E2EFD9" w:themeFill="accent6" w:themeFillTint="33"/>
          </w:tcPr>
          <w:p w14:paraId="7D7FB173" w14:textId="77777777" w:rsidR="00AA0DCC" w:rsidRDefault="00AA0DCC" w:rsidP="00223E9A">
            <w:pPr>
              <w:pStyle w:val="Tabletext"/>
            </w:pPr>
            <w:r>
              <w:lastRenderedPageBreak/>
              <w:t>2</w:t>
            </w:r>
          </w:p>
        </w:tc>
        <w:tc>
          <w:tcPr>
            <w:tcW w:w="8505" w:type="dxa"/>
            <w:tcBorders>
              <w:top w:val="single" w:sz="4" w:space="0" w:color="auto"/>
              <w:bottom w:val="single" w:sz="4" w:space="0" w:color="auto"/>
            </w:tcBorders>
          </w:tcPr>
          <w:p w14:paraId="4211D249" w14:textId="77777777" w:rsidR="00AA0DCC" w:rsidRDefault="00AA0DCC" w:rsidP="00223E9A">
            <w:pPr>
              <w:pStyle w:val="Tabletext"/>
            </w:pPr>
            <w:r>
              <w:t xml:space="preserve">Standing order 221 provides that ‘overall membership of committees shall comprise representatives of all groups and parties in the Assembly as nearly as practicable </w:t>
            </w:r>
            <w:r>
              <w:lastRenderedPageBreak/>
              <w:t xml:space="preserve">proportional to their representation in the Assembly’. It has been the practice that all Assembly committees have been comprised of both major and non-majority members. </w:t>
            </w:r>
          </w:p>
          <w:p w14:paraId="59B26EA8" w14:textId="77777777" w:rsidR="00AA0DCC" w:rsidRDefault="00AA0DCC" w:rsidP="00223E9A">
            <w:pPr>
              <w:pStyle w:val="Tabletext"/>
            </w:pPr>
            <w:r>
              <w:t>Throughout the history of the Assembly, there has been only one occasion where the Standing Committee on Public Accounts has been chaired by a government member (the vast majority have been chaired by an opposition member and on one occasion a member of the crossbench).</w:t>
            </w:r>
          </w:p>
          <w:p w14:paraId="26C78011" w14:textId="46F7E752" w:rsidR="00AA0DCC" w:rsidRDefault="00AA0DCC" w:rsidP="00223E9A">
            <w:pPr>
              <w:pStyle w:val="Tabletext"/>
            </w:pPr>
            <w:r>
              <w:t>Of the current 11 standing and select committees in the Assembly</w:t>
            </w:r>
            <w:r w:rsidRPr="00B51B7C">
              <w:t>,</w:t>
            </w:r>
            <w:r w:rsidRPr="0000159E">
              <w:t xml:space="preserve"> six </w:t>
            </w:r>
            <w:r>
              <w:t xml:space="preserve">are chaired by a non-government member. </w:t>
            </w:r>
          </w:p>
        </w:tc>
      </w:tr>
      <w:tr w:rsidR="00AA0DCC" w14:paraId="246DBF68" w14:textId="77777777" w:rsidTr="00C276E6">
        <w:tc>
          <w:tcPr>
            <w:tcW w:w="5098" w:type="dxa"/>
            <w:tcBorders>
              <w:top w:val="single" w:sz="4" w:space="0" w:color="auto"/>
              <w:bottom w:val="single" w:sz="4" w:space="0" w:color="auto"/>
            </w:tcBorders>
            <w:shd w:val="clear" w:color="auto" w:fill="FFFFFF" w:themeFill="background1"/>
          </w:tcPr>
          <w:p w14:paraId="217403C8" w14:textId="3DBD311E" w:rsidR="00AA0DCC" w:rsidRDefault="00AA0DCC" w:rsidP="00223E9A">
            <w:pPr>
              <w:pStyle w:val="Tabletextnumbered"/>
            </w:pPr>
            <w:r>
              <w:lastRenderedPageBreak/>
              <w:t>3.1.3 The Legislature shall establish and follow a transparent method for selecting or electing the Chairs of Committees.</w:t>
            </w:r>
          </w:p>
        </w:tc>
        <w:tc>
          <w:tcPr>
            <w:tcW w:w="1276" w:type="dxa"/>
            <w:tcBorders>
              <w:top w:val="single" w:sz="4" w:space="0" w:color="auto"/>
              <w:bottom w:val="single" w:sz="4" w:space="0" w:color="auto"/>
            </w:tcBorders>
            <w:shd w:val="clear" w:color="auto" w:fill="E2EFD9" w:themeFill="accent6" w:themeFillTint="33"/>
          </w:tcPr>
          <w:p w14:paraId="7AC1DF60" w14:textId="77777777" w:rsidR="00AA0DCC" w:rsidRDefault="00AA0DCC" w:rsidP="00223E9A">
            <w:pPr>
              <w:pStyle w:val="Tabletext"/>
            </w:pPr>
            <w:r>
              <w:t>2</w:t>
            </w:r>
          </w:p>
        </w:tc>
        <w:tc>
          <w:tcPr>
            <w:tcW w:w="8505" w:type="dxa"/>
            <w:tcBorders>
              <w:top w:val="single" w:sz="4" w:space="0" w:color="auto"/>
              <w:bottom w:val="single" w:sz="4" w:space="0" w:color="auto"/>
            </w:tcBorders>
          </w:tcPr>
          <w:p w14:paraId="7AA37044" w14:textId="11A109CA" w:rsidR="00AA0DCC" w:rsidRDefault="00AA0DCC" w:rsidP="00223E9A">
            <w:pPr>
              <w:pStyle w:val="Tabletext"/>
            </w:pPr>
            <w:r>
              <w:t>A transparent method for electing chairs and deputy chairs of committees is provided for in standing order 225.</w:t>
            </w:r>
          </w:p>
        </w:tc>
      </w:tr>
      <w:tr w:rsidR="00AA0DCC" w14:paraId="65A4FFF8" w14:textId="77777777" w:rsidTr="00C276E6">
        <w:tc>
          <w:tcPr>
            <w:tcW w:w="5098" w:type="dxa"/>
            <w:tcBorders>
              <w:top w:val="single" w:sz="4" w:space="0" w:color="auto"/>
              <w:bottom w:val="single" w:sz="4" w:space="0" w:color="auto"/>
            </w:tcBorders>
            <w:shd w:val="clear" w:color="auto" w:fill="FFFFFF" w:themeFill="background1"/>
          </w:tcPr>
          <w:p w14:paraId="2154B52D" w14:textId="77777777" w:rsidR="00AA0DCC" w:rsidRDefault="00AA0DCC" w:rsidP="00223E9A">
            <w:pPr>
              <w:pStyle w:val="Tabletextnumbered"/>
            </w:pPr>
            <w:r>
              <w:t>3.1.4 Once established, Committees shall meet regularly in a timely and effective manner.</w:t>
            </w:r>
          </w:p>
        </w:tc>
        <w:tc>
          <w:tcPr>
            <w:tcW w:w="1276" w:type="dxa"/>
            <w:tcBorders>
              <w:top w:val="single" w:sz="4" w:space="0" w:color="auto"/>
              <w:bottom w:val="single" w:sz="4" w:space="0" w:color="auto"/>
            </w:tcBorders>
            <w:shd w:val="clear" w:color="auto" w:fill="E2EFD9" w:themeFill="accent6" w:themeFillTint="33"/>
          </w:tcPr>
          <w:p w14:paraId="49B74242" w14:textId="77777777" w:rsidR="00AA0DCC" w:rsidRDefault="00AA0DCC" w:rsidP="00223E9A">
            <w:pPr>
              <w:pStyle w:val="Tabletext"/>
            </w:pPr>
            <w:r>
              <w:t>2</w:t>
            </w:r>
          </w:p>
        </w:tc>
        <w:tc>
          <w:tcPr>
            <w:tcW w:w="8505" w:type="dxa"/>
            <w:tcBorders>
              <w:top w:val="single" w:sz="4" w:space="0" w:color="auto"/>
              <w:bottom w:val="single" w:sz="4" w:space="0" w:color="auto"/>
            </w:tcBorders>
          </w:tcPr>
          <w:p w14:paraId="6A01444D" w14:textId="77777777" w:rsidR="00AA0DCC" w:rsidRDefault="00AA0DCC" w:rsidP="00223E9A">
            <w:pPr>
              <w:pStyle w:val="Tabletext"/>
            </w:pPr>
            <w:r>
              <w:t xml:space="preserve">The frequency of meetings is a matter for individual committees to determine. It is the Assembly practice that committees do meet regularly </w:t>
            </w:r>
            <w:proofErr w:type="gramStart"/>
            <w:r>
              <w:t>and in a manner</w:t>
            </w:r>
            <w:proofErr w:type="gramEnd"/>
            <w:r>
              <w:t xml:space="preserve"> commensurate with the references and business before the committee. </w:t>
            </w:r>
          </w:p>
          <w:p w14:paraId="1675BFB0" w14:textId="295D5C54" w:rsidR="00AA0DCC" w:rsidRDefault="00AA0DCC" w:rsidP="00223E9A">
            <w:pPr>
              <w:pStyle w:val="Tabletext"/>
            </w:pPr>
            <w:r>
              <w:t xml:space="preserve">Detailed statistics of committee activity, which demonstrate the regularity of meetings and the reporting history of Assembly committees, are at Attachment A. </w:t>
            </w:r>
          </w:p>
        </w:tc>
      </w:tr>
      <w:tr w:rsidR="00AA0DCC" w14:paraId="6F8E9434" w14:textId="77777777" w:rsidTr="00C30366">
        <w:tc>
          <w:tcPr>
            <w:tcW w:w="5098" w:type="dxa"/>
            <w:tcBorders>
              <w:top w:val="single" w:sz="4" w:space="0" w:color="auto"/>
              <w:bottom w:val="single" w:sz="4" w:space="0" w:color="auto"/>
            </w:tcBorders>
            <w:shd w:val="clear" w:color="auto" w:fill="FFFFFF" w:themeFill="background1"/>
          </w:tcPr>
          <w:p w14:paraId="05FCCD13" w14:textId="77777777" w:rsidR="00AA0DCC" w:rsidRDefault="00AA0DCC" w:rsidP="00223E9A">
            <w:pPr>
              <w:pStyle w:val="Tabletextnumbered"/>
            </w:pPr>
            <w:r>
              <w:t>3.1.5 All Committee votes and substantive decisions, and the Committee’s reasons for them, are made public in an accessible and timely manner.</w:t>
            </w:r>
          </w:p>
        </w:tc>
        <w:tc>
          <w:tcPr>
            <w:tcW w:w="1276" w:type="dxa"/>
            <w:tcBorders>
              <w:top w:val="single" w:sz="4" w:space="0" w:color="auto"/>
              <w:bottom w:val="single" w:sz="4" w:space="0" w:color="auto"/>
            </w:tcBorders>
            <w:shd w:val="clear" w:color="auto" w:fill="FFF2CC" w:themeFill="accent4" w:themeFillTint="33"/>
          </w:tcPr>
          <w:p w14:paraId="4E540EAB" w14:textId="1EA08C1E" w:rsidR="00AA0DCC" w:rsidRDefault="00AA0DCC" w:rsidP="00223E9A">
            <w:pPr>
              <w:pStyle w:val="Tabletext"/>
            </w:pPr>
            <w:r>
              <w:t>1.5</w:t>
            </w:r>
          </w:p>
        </w:tc>
        <w:tc>
          <w:tcPr>
            <w:tcW w:w="8505" w:type="dxa"/>
            <w:tcBorders>
              <w:top w:val="single" w:sz="4" w:space="0" w:color="auto"/>
              <w:bottom w:val="single" w:sz="4" w:space="0" w:color="auto"/>
            </w:tcBorders>
          </w:tcPr>
          <w:p w14:paraId="09C39BE1" w14:textId="628929D7" w:rsidR="00AA0DCC" w:rsidRDefault="00AA0DCC" w:rsidP="00223E9A">
            <w:pPr>
              <w:pStyle w:val="Tabletext"/>
            </w:pPr>
            <w:r>
              <w:t xml:space="preserve">Minutes of all committee proceedings, including the results of </w:t>
            </w:r>
            <w:proofErr w:type="gramStart"/>
            <w:r>
              <w:t>particular votes</w:t>
            </w:r>
            <w:proofErr w:type="gramEnd"/>
            <w:r>
              <w:t xml:space="preserve"> are maintained. However, not all minutes of a committee may be made publicly available without the committee tabling them in the Assembly. There may be occasions where it might be in the interests of the Assembly or the public that deliberations of a committee are not made publicly available. </w:t>
            </w:r>
          </w:p>
          <w:p w14:paraId="303FAD7A" w14:textId="77777777" w:rsidR="00AA0DCC" w:rsidRDefault="00AA0DCC" w:rsidP="00223E9A">
            <w:pPr>
              <w:pStyle w:val="Tabletext"/>
            </w:pPr>
            <w:r>
              <w:t xml:space="preserve">Upon presentation of the report of a committee, standing order 253 requires that minutes or extracts of the relevant minutes are tabled in the Assembly.  </w:t>
            </w:r>
          </w:p>
        </w:tc>
      </w:tr>
    </w:tbl>
    <w:p w14:paraId="655BAE97" w14:textId="77777777" w:rsidR="0079283D" w:rsidRDefault="0079283D">
      <w:r>
        <w:rPr>
          <w:b/>
        </w:rP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rsidRPr="00D4673F" w14:paraId="33150678"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4BD871DF" w14:textId="5DA38615" w:rsidR="00AA0DCC" w:rsidRPr="00D4673F" w:rsidRDefault="00AA0DCC" w:rsidP="00C30366">
            <w:pPr>
              <w:pStyle w:val="Tableheading3"/>
            </w:pPr>
            <w:r w:rsidRPr="00D4673F">
              <w:lastRenderedPageBreak/>
              <w:t>Powers</w:t>
            </w:r>
          </w:p>
        </w:tc>
        <w:tc>
          <w:tcPr>
            <w:tcW w:w="1276" w:type="dxa"/>
            <w:tcBorders>
              <w:top w:val="single" w:sz="4" w:space="0" w:color="auto"/>
              <w:left w:val="nil"/>
              <w:bottom w:val="single" w:sz="4" w:space="0" w:color="auto"/>
              <w:right w:val="nil"/>
            </w:tcBorders>
            <w:shd w:val="clear" w:color="auto" w:fill="F2F2F2" w:themeFill="background1" w:themeFillShade="F2"/>
          </w:tcPr>
          <w:p w14:paraId="49954FE7" w14:textId="77777777" w:rsidR="00AA0DCC" w:rsidRPr="00D4673F"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00272D3C" w14:textId="77777777" w:rsidR="00AA0DCC" w:rsidRPr="00D4673F" w:rsidRDefault="00AA0DCC" w:rsidP="00C30366">
            <w:pPr>
              <w:pStyle w:val="Tableheading3"/>
            </w:pPr>
          </w:p>
        </w:tc>
      </w:tr>
      <w:tr w:rsidR="00AA0DCC" w14:paraId="3FC45C0B" w14:textId="77777777" w:rsidTr="00C276E6">
        <w:tc>
          <w:tcPr>
            <w:tcW w:w="5098" w:type="dxa"/>
            <w:tcBorders>
              <w:top w:val="single" w:sz="4" w:space="0" w:color="auto"/>
              <w:bottom w:val="single" w:sz="4" w:space="0" w:color="auto"/>
            </w:tcBorders>
            <w:shd w:val="clear" w:color="auto" w:fill="FFFFFF" w:themeFill="background1"/>
          </w:tcPr>
          <w:p w14:paraId="2816C139" w14:textId="2E15A4EE" w:rsidR="00AA0DCC" w:rsidRDefault="00AA0DCC" w:rsidP="00223E9A">
            <w:pPr>
              <w:pStyle w:val="Tabletextnumbered"/>
            </w:pPr>
            <w:r>
              <w:t>3.2.1 Committees shall have the power to summon persons, papers and records, and this power shall extend to witnesses and evidence from the Executive branch, including officials.</w:t>
            </w:r>
          </w:p>
        </w:tc>
        <w:tc>
          <w:tcPr>
            <w:tcW w:w="1276" w:type="dxa"/>
            <w:tcBorders>
              <w:top w:val="single" w:sz="4" w:space="0" w:color="auto"/>
              <w:bottom w:val="single" w:sz="4" w:space="0" w:color="auto"/>
            </w:tcBorders>
            <w:shd w:val="clear" w:color="auto" w:fill="E2EFD9" w:themeFill="accent6" w:themeFillTint="33"/>
          </w:tcPr>
          <w:p w14:paraId="0BFF5EA2" w14:textId="77777777" w:rsidR="00AA0DCC" w:rsidRDefault="00AA0DCC" w:rsidP="00223E9A">
            <w:pPr>
              <w:pStyle w:val="Tabletext"/>
            </w:pPr>
            <w:r>
              <w:t>2</w:t>
            </w:r>
          </w:p>
        </w:tc>
        <w:tc>
          <w:tcPr>
            <w:tcW w:w="8505" w:type="dxa"/>
            <w:tcBorders>
              <w:top w:val="single" w:sz="4" w:space="0" w:color="auto"/>
              <w:bottom w:val="single" w:sz="4" w:space="0" w:color="auto"/>
            </w:tcBorders>
          </w:tcPr>
          <w:p w14:paraId="526AEFF5" w14:textId="4E15FA34" w:rsidR="00570E36" w:rsidRDefault="00AA0DCC" w:rsidP="00223E9A">
            <w:pPr>
              <w:pStyle w:val="Tabletext"/>
            </w:pPr>
            <w:r>
              <w:t>Standing order 239 provides that committees have the power to send for persons, papers and records. Standing order 255 permits the summonsing of witnesses by committees. There have been two occasions since 1989 where a person has been summoned to appear before a committee (most recently in 2019). In the overwhelming majority of cases, witnesses have complied with requests made of them, which is encouraging to the extent that it can be regarded as an indicator of the deference paid to the legislature, the sense of legitimacy that it enjoys, and perhaps even the reasonableness of its requests.</w:t>
            </w:r>
          </w:p>
          <w:p w14:paraId="5EDE25CC" w14:textId="6B84711A" w:rsidR="00AA0DCC" w:rsidRDefault="00570E36" w:rsidP="00223E9A">
            <w:pPr>
              <w:pStyle w:val="Tabletext"/>
            </w:pPr>
            <w:r>
              <w:t>Summonses are a last resort.</w:t>
            </w:r>
          </w:p>
        </w:tc>
      </w:tr>
      <w:tr w:rsidR="00AA0DCC" w14:paraId="05F32EA3" w14:textId="77777777" w:rsidTr="00C30366">
        <w:tc>
          <w:tcPr>
            <w:tcW w:w="5098" w:type="dxa"/>
            <w:tcBorders>
              <w:top w:val="single" w:sz="4" w:space="0" w:color="auto"/>
              <w:bottom w:val="single" w:sz="4" w:space="0" w:color="auto"/>
            </w:tcBorders>
            <w:shd w:val="clear" w:color="auto" w:fill="FFFFFF" w:themeFill="background1"/>
          </w:tcPr>
          <w:p w14:paraId="6B0BE936" w14:textId="77777777" w:rsidR="00AA0DCC" w:rsidRDefault="00AA0DCC" w:rsidP="00223E9A">
            <w:pPr>
              <w:pStyle w:val="Tabletextnumbered"/>
            </w:pPr>
            <w:r>
              <w:t xml:space="preserve">3.2.2 There shall be a presumption that the Legislature will refer legislation to a Committee, and any exceptions must be transparent, </w:t>
            </w:r>
            <w:proofErr w:type="gramStart"/>
            <w:r>
              <w:t>narrowly-defined</w:t>
            </w:r>
            <w:proofErr w:type="gramEnd"/>
            <w:r>
              <w:t>, and extraordinary in nature.</w:t>
            </w:r>
          </w:p>
        </w:tc>
        <w:tc>
          <w:tcPr>
            <w:tcW w:w="1276" w:type="dxa"/>
            <w:tcBorders>
              <w:top w:val="single" w:sz="4" w:space="0" w:color="auto"/>
              <w:bottom w:val="single" w:sz="4" w:space="0" w:color="auto"/>
            </w:tcBorders>
            <w:shd w:val="clear" w:color="auto" w:fill="FFF2CC" w:themeFill="accent4" w:themeFillTint="33"/>
          </w:tcPr>
          <w:p w14:paraId="42FEA6F1" w14:textId="77777777" w:rsidR="00AA0DCC" w:rsidRDefault="00AA0DCC" w:rsidP="00223E9A">
            <w:pPr>
              <w:pStyle w:val="Tabletext"/>
            </w:pPr>
            <w:r>
              <w:t>1</w:t>
            </w:r>
          </w:p>
        </w:tc>
        <w:tc>
          <w:tcPr>
            <w:tcW w:w="8505" w:type="dxa"/>
            <w:tcBorders>
              <w:top w:val="single" w:sz="4" w:space="0" w:color="auto"/>
              <w:bottom w:val="single" w:sz="4" w:space="0" w:color="auto"/>
            </w:tcBorders>
          </w:tcPr>
          <w:p w14:paraId="4CFBEA62" w14:textId="389ECED4" w:rsidR="00AA0DCC" w:rsidRDefault="00AA0DCC" w:rsidP="00223E9A">
            <w:pPr>
              <w:pStyle w:val="Tabletext"/>
            </w:pPr>
            <w:r>
              <w:t xml:space="preserve">There is no requirement that legislation is to be referred to a policy committee for inquiry and report. However, the Standing Committee on Justice and Community Safety (Legislative Scrutiny Role) examines: 1. all bills; 2. all amendments to any bills; and 3. subordinate legislation. The committee must consider various rights issues as well as other matters provided for in the </w:t>
            </w:r>
            <w:hyperlink r:id="rId35" w:history="1">
              <w:r w:rsidRPr="00BF4A91">
                <w:rPr>
                  <w:rStyle w:val="Hyperlink"/>
                </w:rPr>
                <w:t>committee’s resolution of appointment.</w:t>
              </w:r>
            </w:hyperlink>
            <w:r>
              <w:t xml:space="preserve"> See also standing order 182A relating to legislative amendments receiving scrutiny from the committee.</w:t>
            </w:r>
          </w:p>
        </w:tc>
      </w:tr>
      <w:tr w:rsidR="00AA0DCC" w14:paraId="2F2E96A5" w14:textId="77777777" w:rsidTr="00C30366">
        <w:tc>
          <w:tcPr>
            <w:tcW w:w="5098" w:type="dxa"/>
            <w:tcBorders>
              <w:top w:val="single" w:sz="4" w:space="0" w:color="auto"/>
              <w:bottom w:val="single" w:sz="4" w:space="0" w:color="auto"/>
            </w:tcBorders>
            <w:shd w:val="clear" w:color="auto" w:fill="FFFFFF" w:themeFill="background1"/>
          </w:tcPr>
          <w:p w14:paraId="5D50DB1C" w14:textId="6E6FFE79" w:rsidR="00AA0DCC" w:rsidRDefault="00AA0DCC" w:rsidP="00223E9A">
            <w:pPr>
              <w:pStyle w:val="Tabletextnumbered"/>
            </w:pPr>
            <w:r>
              <w:t>3.2.3 Committees shall scrutinize legislation referred to them and have the power to recommend amendments or amend the legislation.</w:t>
            </w:r>
          </w:p>
        </w:tc>
        <w:tc>
          <w:tcPr>
            <w:tcW w:w="1276" w:type="dxa"/>
            <w:tcBorders>
              <w:top w:val="single" w:sz="4" w:space="0" w:color="auto"/>
              <w:bottom w:val="single" w:sz="4" w:space="0" w:color="auto"/>
            </w:tcBorders>
            <w:shd w:val="clear" w:color="auto" w:fill="FFF2CC" w:themeFill="accent4" w:themeFillTint="33"/>
          </w:tcPr>
          <w:p w14:paraId="01F2AE59" w14:textId="77777777" w:rsidR="00AA0DCC" w:rsidRDefault="00AA0DCC" w:rsidP="00223E9A">
            <w:pPr>
              <w:pStyle w:val="Tabletext"/>
            </w:pPr>
            <w:r>
              <w:t>1</w:t>
            </w:r>
          </w:p>
        </w:tc>
        <w:tc>
          <w:tcPr>
            <w:tcW w:w="8505" w:type="dxa"/>
            <w:tcBorders>
              <w:top w:val="single" w:sz="4" w:space="0" w:color="auto"/>
              <w:bottom w:val="single" w:sz="4" w:space="0" w:color="auto"/>
            </w:tcBorders>
          </w:tcPr>
          <w:p w14:paraId="56173265" w14:textId="77777777" w:rsidR="00AA0DCC" w:rsidRDefault="00AA0DCC" w:rsidP="00223E9A">
            <w:pPr>
              <w:pStyle w:val="Tabletext"/>
            </w:pPr>
            <w:r>
              <w:t>See 3.2.2</w:t>
            </w:r>
          </w:p>
        </w:tc>
      </w:tr>
      <w:tr w:rsidR="00AA0DCC" w14:paraId="68292B71" w14:textId="77777777" w:rsidTr="00C276E6">
        <w:tc>
          <w:tcPr>
            <w:tcW w:w="5098" w:type="dxa"/>
            <w:tcBorders>
              <w:top w:val="single" w:sz="4" w:space="0" w:color="auto"/>
              <w:bottom w:val="single" w:sz="4" w:space="0" w:color="auto"/>
            </w:tcBorders>
            <w:shd w:val="clear" w:color="auto" w:fill="FFFFFF" w:themeFill="background1"/>
          </w:tcPr>
          <w:p w14:paraId="667371A3" w14:textId="6DD24A1C" w:rsidR="00AA0DCC" w:rsidRDefault="00AA0DCC" w:rsidP="00223E9A">
            <w:pPr>
              <w:pStyle w:val="Tabletextnumbered"/>
            </w:pPr>
            <w:r>
              <w:t xml:space="preserve">3.2.4 Committees shall have the right and </w:t>
            </w:r>
            <w:proofErr w:type="gramStart"/>
            <w:r>
              <w:t>sufficient</w:t>
            </w:r>
            <w:proofErr w:type="gramEnd"/>
            <w:r>
              <w:t xml:space="preserve"> resources to consult and/or employ experts.</w:t>
            </w:r>
          </w:p>
        </w:tc>
        <w:tc>
          <w:tcPr>
            <w:tcW w:w="1276" w:type="dxa"/>
            <w:tcBorders>
              <w:top w:val="single" w:sz="4" w:space="0" w:color="auto"/>
              <w:bottom w:val="single" w:sz="4" w:space="0" w:color="auto"/>
            </w:tcBorders>
            <w:shd w:val="clear" w:color="auto" w:fill="E2EFD9" w:themeFill="accent6" w:themeFillTint="33"/>
          </w:tcPr>
          <w:p w14:paraId="75DB5E17" w14:textId="77777777" w:rsidR="00AA0DCC" w:rsidRDefault="00AA0DCC" w:rsidP="00223E9A">
            <w:pPr>
              <w:pStyle w:val="Tabletext"/>
            </w:pPr>
            <w:r>
              <w:t>2</w:t>
            </w:r>
          </w:p>
        </w:tc>
        <w:tc>
          <w:tcPr>
            <w:tcW w:w="8505" w:type="dxa"/>
            <w:tcBorders>
              <w:top w:val="single" w:sz="4" w:space="0" w:color="auto"/>
              <w:bottom w:val="single" w:sz="4" w:space="0" w:color="auto"/>
            </w:tcBorders>
          </w:tcPr>
          <w:p w14:paraId="488A89F8" w14:textId="3E20DDF5" w:rsidR="00570E36" w:rsidRDefault="005022F8" w:rsidP="00223E9A">
            <w:pPr>
              <w:pStyle w:val="Tabletext"/>
            </w:pPr>
            <w:r>
              <w:t xml:space="preserve">There are </w:t>
            </w:r>
            <w:proofErr w:type="gramStart"/>
            <w:r>
              <w:t>sufficient</w:t>
            </w:r>
            <w:proofErr w:type="gramEnd"/>
            <w:r>
              <w:t xml:space="preserve"> resources for committees to consult or employ experts. These arrangements are provided for in s</w:t>
            </w:r>
            <w:r w:rsidR="00AA0DCC">
              <w:t>tanding order 238</w:t>
            </w:r>
            <w:r>
              <w:t>, which enables t</w:t>
            </w:r>
            <w:r w:rsidR="00AA0DCC">
              <w:t xml:space="preserve">he Speaker </w:t>
            </w:r>
            <w:proofErr w:type="gramStart"/>
            <w:r>
              <w:t xml:space="preserve">to </w:t>
            </w:r>
            <w:r w:rsidR="00AA0DCC">
              <w:t xml:space="preserve"> appoint</w:t>
            </w:r>
            <w:proofErr w:type="gramEnd"/>
            <w:r w:rsidR="00AA0DCC">
              <w:t xml:space="preserve"> persons with specialist knowledge (either to supply information which is not readily available or to explain matters of complexity within the committee’s inquiry) upon such terms and conditions as the Speaker may determine</w:t>
            </w:r>
            <w:r>
              <w:t xml:space="preserve">. In </w:t>
            </w:r>
            <w:proofErr w:type="gramStart"/>
            <w:r>
              <w:t>the overwhelming majority of</w:t>
            </w:r>
            <w:proofErr w:type="gramEnd"/>
            <w:r>
              <w:t xml:space="preserve"> cases, these requests are approved. </w:t>
            </w:r>
          </w:p>
          <w:p w14:paraId="7BB59D6D" w14:textId="05DBBED2" w:rsidR="00AA0DCC" w:rsidRDefault="00570E36" w:rsidP="00223E9A">
            <w:pPr>
              <w:pStyle w:val="Tabletext"/>
            </w:pPr>
            <w:r>
              <w:t>Each year a budget specialist is appointed by the Select Committee on Estimates</w:t>
            </w:r>
            <w:r w:rsidR="00AA0DCC">
              <w:t xml:space="preserve">. The Assembly’s Standing Committee on Justice and Community Safety (Legislative Scrutiny Role) engages two legal advisers to provide expert advice on scrutiny of bills and subordinate legislation. The annual select committee on estimates engages a specialist budget advisor to assist the committee with its work. </w:t>
            </w:r>
          </w:p>
        </w:tc>
      </w:tr>
      <w:tr w:rsidR="00AA0DCC" w14:paraId="45617E5A" w14:textId="77777777" w:rsidTr="00C276E6">
        <w:tc>
          <w:tcPr>
            <w:tcW w:w="5098" w:type="dxa"/>
            <w:tcBorders>
              <w:top w:val="single" w:sz="4" w:space="0" w:color="auto"/>
              <w:bottom w:val="single" w:sz="4" w:space="0" w:color="auto"/>
            </w:tcBorders>
            <w:shd w:val="clear" w:color="auto" w:fill="FFFFFF" w:themeFill="background1"/>
          </w:tcPr>
          <w:p w14:paraId="27B1BEB3" w14:textId="535E13EA" w:rsidR="00AA0DCC" w:rsidRDefault="00AA0DCC" w:rsidP="00223E9A">
            <w:pPr>
              <w:pStyle w:val="Tabletextnumbered"/>
            </w:pPr>
            <w:r>
              <w:lastRenderedPageBreak/>
              <w:t>3.2.5 Committees shall seek and receive submissions from the public about the business before them and provide reasonable time for written submissions to be prepared.</w:t>
            </w:r>
          </w:p>
        </w:tc>
        <w:tc>
          <w:tcPr>
            <w:tcW w:w="1276" w:type="dxa"/>
            <w:tcBorders>
              <w:top w:val="single" w:sz="4" w:space="0" w:color="auto"/>
              <w:bottom w:val="single" w:sz="4" w:space="0" w:color="auto"/>
            </w:tcBorders>
            <w:shd w:val="clear" w:color="auto" w:fill="E2EFD9" w:themeFill="accent6" w:themeFillTint="33"/>
          </w:tcPr>
          <w:p w14:paraId="68EDADC5" w14:textId="77777777" w:rsidR="00AA0DCC" w:rsidRDefault="00AA0DCC" w:rsidP="00223E9A">
            <w:pPr>
              <w:pStyle w:val="Tabletext"/>
            </w:pPr>
            <w:r>
              <w:t>2</w:t>
            </w:r>
          </w:p>
        </w:tc>
        <w:tc>
          <w:tcPr>
            <w:tcW w:w="8505" w:type="dxa"/>
            <w:tcBorders>
              <w:top w:val="single" w:sz="4" w:space="0" w:color="auto"/>
              <w:bottom w:val="single" w:sz="4" w:space="0" w:color="auto"/>
            </w:tcBorders>
          </w:tcPr>
          <w:p w14:paraId="0130491E" w14:textId="77777777" w:rsidR="00AA0DCC" w:rsidRDefault="00AA0DCC" w:rsidP="00223E9A">
            <w:pPr>
              <w:pStyle w:val="Tabletext"/>
            </w:pPr>
            <w:r>
              <w:t xml:space="preserve">Where there are public inquiries established either by a resolution of the Assembly or by self-referral, committees may call for public submissions. It is the long-standing practice that submitters will be given reasonable time to prepare submissions and for the relevant committee to have </w:t>
            </w:r>
            <w:proofErr w:type="gramStart"/>
            <w:r>
              <w:t>sufficient</w:t>
            </w:r>
            <w:proofErr w:type="gramEnd"/>
            <w:r>
              <w:t xml:space="preserve"> time to properly consider submissions. </w:t>
            </w:r>
          </w:p>
        </w:tc>
      </w:tr>
      <w:tr w:rsidR="00AA0DCC" w14:paraId="0204C813" w14:textId="77777777" w:rsidTr="00C276E6">
        <w:trPr>
          <w:trHeight w:val="2642"/>
        </w:trPr>
        <w:tc>
          <w:tcPr>
            <w:tcW w:w="5098" w:type="dxa"/>
            <w:tcBorders>
              <w:top w:val="single" w:sz="4" w:space="0" w:color="auto"/>
            </w:tcBorders>
            <w:shd w:val="clear" w:color="auto" w:fill="FFFFFF" w:themeFill="background1"/>
          </w:tcPr>
          <w:p w14:paraId="48390B0A" w14:textId="77777777" w:rsidR="00AA0DCC" w:rsidRDefault="00AA0DCC" w:rsidP="00223E9A">
            <w:pPr>
              <w:pStyle w:val="Tabletextnumbered"/>
            </w:pPr>
            <w:r>
              <w:t>3.2.6 Committees hear evidence from people who wish to be heard, if practicable, or at least ensure that hearings cover the diverse perspectives of submitters.</w:t>
            </w:r>
          </w:p>
        </w:tc>
        <w:tc>
          <w:tcPr>
            <w:tcW w:w="1276" w:type="dxa"/>
            <w:tcBorders>
              <w:top w:val="single" w:sz="4" w:space="0" w:color="auto"/>
            </w:tcBorders>
            <w:shd w:val="clear" w:color="auto" w:fill="E2EFD9" w:themeFill="accent6" w:themeFillTint="33"/>
          </w:tcPr>
          <w:p w14:paraId="4F69539A" w14:textId="77777777" w:rsidR="00AA0DCC" w:rsidRDefault="00AA0DCC" w:rsidP="00223E9A">
            <w:pPr>
              <w:pStyle w:val="Tabletext"/>
            </w:pPr>
            <w:r>
              <w:t>2</w:t>
            </w:r>
          </w:p>
        </w:tc>
        <w:tc>
          <w:tcPr>
            <w:tcW w:w="8505" w:type="dxa"/>
            <w:tcBorders>
              <w:top w:val="single" w:sz="4" w:space="0" w:color="auto"/>
              <w:bottom w:val="single" w:sz="4" w:space="0" w:color="auto"/>
            </w:tcBorders>
          </w:tcPr>
          <w:p w14:paraId="6A393A62" w14:textId="33EBBEDA" w:rsidR="00AA0DCC" w:rsidRDefault="00AA0DCC" w:rsidP="00223E9A">
            <w:pPr>
              <w:pStyle w:val="Tabletext"/>
            </w:pPr>
            <w:r>
              <w:t>The underlying principle that ‘diverse perspectives’ are heard is an important one, where it is construed as part of project to reduce privileged access to ‘insiders’ or ‘the usual suspects’</w:t>
            </w:r>
            <w:r w:rsidR="005022F8">
              <w:t xml:space="preserve"> and to expand the legitimacy of community participation</w:t>
            </w:r>
            <w:r>
              <w:t xml:space="preserve">. </w:t>
            </w:r>
          </w:p>
          <w:p w14:paraId="2B161B5D" w14:textId="4DD06347" w:rsidR="00AA0DCC" w:rsidRDefault="00AA0DCC" w:rsidP="00223E9A">
            <w:pPr>
              <w:pStyle w:val="Tabletext"/>
            </w:pPr>
            <w:r>
              <w:t xml:space="preserve">However, the value of diversity can come into tension </w:t>
            </w:r>
            <w:r w:rsidR="005022F8">
              <w:t xml:space="preserve">with other values such as </w:t>
            </w:r>
            <w:proofErr w:type="gramStart"/>
            <w:r w:rsidR="005022F8">
              <w:t>whether or not</w:t>
            </w:r>
            <w:proofErr w:type="gramEnd"/>
            <w:r w:rsidR="005022F8">
              <w:t xml:space="preserve"> a point of view conforms to moral and ethical expectations in the broader community. It is up to committee to determine how these tensions are resolved.</w:t>
            </w:r>
          </w:p>
          <w:p w14:paraId="350B9428" w14:textId="148BAF4A" w:rsidR="00AA0DCC" w:rsidRDefault="00AA0DCC" w:rsidP="00223E9A">
            <w:pPr>
              <w:pStyle w:val="Tabletext"/>
            </w:pPr>
            <w:r>
              <w:t xml:space="preserve">Just because a viewpoint is sufficiently divergent from the mean, doesn’t of itself, confer additional value on the viewpoint and there are occasions where it may be appropriate to intentionally exclude certain viewpoints from public inquiry processes on the grounds that they are socially divisive, morally reprehensible or scientifically dubious. </w:t>
            </w:r>
          </w:p>
          <w:p w14:paraId="132BE0B4" w14:textId="10924295" w:rsidR="00AA0DCC" w:rsidRDefault="00AA0DCC" w:rsidP="00223E9A">
            <w:pPr>
              <w:pStyle w:val="Tabletext"/>
            </w:pPr>
            <w:r>
              <w:t xml:space="preserve">All inquiries are advertised in tradition media, social media and via the Assembly website. </w:t>
            </w:r>
          </w:p>
          <w:p w14:paraId="3822BC42" w14:textId="4704E126" w:rsidR="00AA0DCC" w:rsidRDefault="00AA0DCC" w:rsidP="00223E9A">
            <w:pPr>
              <w:pStyle w:val="Tabletext"/>
            </w:pPr>
            <w:r>
              <w:t xml:space="preserve">Where written submissions are called for, it is the general practice that no restrictions are placed on who may make a submission (i.e. all persons wishing to ‘be heard’ via a written submission will generally have that course available to them). However, it is up to committees as to who may be invited as a witness before a committee as part of a public inquiry. </w:t>
            </w:r>
          </w:p>
        </w:tc>
      </w:tr>
    </w:tbl>
    <w:p w14:paraId="3BDE11FC" w14:textId="77777777" w:rsidR="0079283D" w:rsidRDefault="0079283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36C69CE5" w14:textId="77777777" w:rsidTr="00C276E6">
        <w:tc>
          <w:tcPr>
            <w:tcW w:w="5098" w:type="dxa"/>
            <w:tcBorders>
              <w:top w:val="single" w:sz="4" w:space="0" w:color="auto"/>
              <w:bottom w:val="single" w:sz="4" w:space="0" w:color="auto"/>
            </w:tcBorders>
            <w:shd w:val="clear" w:color="auto" w:fill="FFFFFF" w:themeFill="background1"/>
          </w:tcPr>
          <w:p w14:paraId="552A84FE" w14:textId="54898C74" w:rsidR="00AA0DCC" w:rsidRDefault="00AA0DCC" w:rsidP="00223E9A">
            <w:pPr>
              <w:pStyle w:val="Tabletextnumbered"/>
            </w:pPr>
            <w:r>
              <w:lastRenderedPageBreak/>
              <w:t xml:space="preserve">3.2.7 Committees hear evidence in public unless there is good reason to hear </w:t>
            </w:r>
            <w:proofErr w:type="gramStart"/>
            <w:r>
              <w:t>particular submissions</w:t>
            </w:r>
            <w:proofErr w:type="gramEnd"/>
            <w:r>
              <w:t xml:space="preserve"> in closed session.</w:t>
            </w:r>
          </w:p>
        </w:tc>
        <w:tc>
          <w:tcPr>
            <w:tcW w:w="1276" w:type="dxa"/>
            <w:tcBorders>
              <w:top w:val="single" w:sz="4" w:space="0" w:color="auto"/>
              <w:bottom w:val="single" w:sz="4" w:space="0" w:color="auto"/>
            </w:tcBorders>
            <w:shd w:val="clear" w:color="auto" w:fill="E2EFD9" w:themeFill="accent6" w:themeFillTint="33"/>
          </w:tcPr>
          <w:p w14:paraId="5B3CE41B" w14:textId="77777777" w:rsidR="00AA0DCC" w:rsidRDefault="00AA0DCC" w:rsidP="00223E9A">
            <w:pPr>
              <w:pStyle w:val="Tabletext"/>
            </w:pPr>
            <w:r>
              <w:t>2</w:t>
            </w:r>
          </w:p>
        </w:tc>
        <w:tc>
          <w:tcPr>
            <w:tcW w:w="8505" w:type="dxa"/>
            <w:tcBorders>
              <w:top w:val="single" w:sz="4" w:space="0" w:color="auto"/>
              <w:bottom w:val="single" w:sz="4" w:space="0" w:color="auto"/>
            </w:tcBorders>
          </w:tcPr>
          <w:p w14:paraId="0956C765" w14:textId="77777777" w:rsidR="00AA0DCC" w:rsidRDefault="00AA0DCC" w:rsidP="00223E9A">
            <w:pPr>
              <w:pStyle w:val="Tabletext"/>
              <w:rPr>
                <w:i/>
              </w:rPr>
            </w:pPr>
            <w:r>
              <w:t xml:space="preserve">It is the Assembly’s practice that committees will take all evidence in connection with a public inquiry in a public forum, except where there are compelling reasons to take evidence </w:t>
            </w:r>
            <w:r w:rsidRPr="009642BF">
              <w:rPr>
                <w:i/>
              </w:rPr>
              <w:t>in camera.</w:t>
            </w:r>
          </w:p>
          <w:p w14:paraId="4A07C5DC" w14:textId="7288987D" w:rsidR="00AA0DCC" w:rsidRDefault="00AA0DCC" w:rsidP="00223E9A">
            <w:pPr>
              <w:pStyle w:val="Tabletext"/>
            </w:pPr>
            <w:r>
              <w:t xml:space="preserve">In April 2019, the Assembly resolved that hearings conducted in connection with an inquiry into school violence must be conducted </w:t>
            </w:r>
            <w:r w:rsidRPr="007A1357">
              <w:rPr>
                <w:i/>
              </w:rPr>
              <w:t>in camera</w:t>
            </w:r>
            <w:r>
              <w:rPr>
                <w:i/>
              </w:rPr>
              <w:t xml:space="preserve">. </w:t>
            </w:r>
            <w:r w:rsidRPr="002768E4">
              <w:t>This is the first time such a resolution has been passed</w:t>
            </w:r>
            <w:r>
              <w:t xml:space="preserve"> (although there have been other occasions where committees themselves have determined to receive evidence in camera)</w:t>
            </w:r>
            <w:r w:rsidRPr="002768E4">
              <w:t>.</w:t>
            </w:r>
            <w:r>
              <w:rPr>
                <w:i/>
              </w:rPr>
              <w:t xml:space="preserve"> </w:t>
            </w:r>
            <w:r>
              <w:t xml:space="preserve">The resolution establishing the terms of reference for the inquiry was passed </w:t>
            </w:r>
            <w:proofErr w:type="gramStart"/>
            <w:r>
              <w:t>on the basis of</w:t>
            </w:r>
            <w:proofErr w:type="gramEnd"/>
            <w:r>
              <w:t xml:space="preserve"> particular harms that could be caused to witnesses and others were certain evidence to be given in a public forum. See Item 10, paragraph 3, of the Minutes of Proceedings: </w:t>
            </w:r>
            <w:hyperlink r:id="rId36" w:history="1">
              <w:r w:rsidRPr="00C01BFE">
                <w:rPr>
                  <w:rStyle w:val="Hyperlink"/>
                </w:rPr>
                <w:t>https://www.parliament.act.gov.au/__data/assets/pdf_file/0010/1348543/MoP094P.pdf</w:t>
              </w:r>
            </w:hyperlink>
            <w:r>
              <w:t xml:space="preserve"> </w:t>
            </w:r>
          </w:p>
        </w:tc>
      </w:tr>
      <w:tr w:rsidR="00AA0DCC" w14:paraId="68B9CB5B" w14:textId="77777777" w:rsidTr="00C276E6">
        <w:tc>
          <w:tcPr>
            <w:tcW w:w="5098" w:type="dxa"/>
            <w:tcBorders>
              <w:top w:val="single" w:sz="4" w:space="0" w:color="auto"/>
              <w:bottom w:val="single" w:sz="4" w:space="0" w:color="auto"/>
            </w:tcBorders>
            <w:shd w:val="clear" w:color="auto" w:fill="FFFFFF" w:themeFill="background1"/>
          </w:tcPr>
          <w:p w14:paraId="7C7DCA5D" w14:textId="544100FB" w:rsidR="00AA0DCC" w:rsidRDefault="00AA0DCC" w:rsidP="00223E9A">
            <w:pPr>
              <w:pStyle w:val="Tabletextnumbered"/>
            </w:pPr>
            <w:r>
              <w:t>3.2.8 Legislatures shall protect informants such as whistle-blowers or public servants and witnesses presenting relevant information to Committees about corruption or unlawful activity.</w:t>
            </w:r>
          </w:p>
        </w:tc>
        <w:tc>
          <w:tcPr>
            <w:tcW w:w="1276" w:type="dxa"/>
            <w:tcBorders>
              <w:top w:val="single" w:sz="4" w:space="0" w:color="auto"/>
              <w:bottom w:val="single" w:sz="4" w:space="0" w:color="auto"/>
            </w:tcBorders>
            <w:shd w:val="clear" w:color="auto" w:fill="E2EFD9" w:themeFill="accent6" w:themeFillTint="33"/>
          </w:tcPr>
          <w:p w14:paraId="00C95570" w14:textId="77777777" w:rsidR="00AA0DCC" w:rsidRDefault="00AA0DCC" w:rsidP="00223E9A">
            <w:pPr>
              <w:pStyle w:val="Tabletext"/>
            </w:pPr>
            <w:r>
              <w:t>2</w:t>
            </w:r>
          </w:p>
        </w:tc>
        <w:tc>
          <w:tcPr>
            <w:tcW w:w="8505" w:type="dxa"/>
            <w:tcBorders>
              <w:top w:val="single" w:sz="4" w:space="0" w:color="auto"/>
              <w:bottom w:val="single" w:sz="4" w:space="0" w:color="auto"/>
            </w:tcBorders>
          </w:tcPr>
          <w:p w14:paraId="46DF62B5" w14:textId="16D2F544" w:rsidR="00AA0DCC" w:rsidRDefault="00AA0DCC" w:rsidP="00223E9A">
            <w:pPr>
              <w:pStyle w:val="Tabletext"/>
            </w:pPr>
            <w:r>
              <w:t xml:space="preserve">Witnesses before committees are protected by </w:t>
            </w:r>
            <w:proofErr w:type="gramStart"/>
            <w:r>
              <w:t>a number of</w:t>
            </w:r>
            <w:proofErr w:type="gramEnd"/>
            <w:r>
              <w:t xml:space="preserve"> aspects of parliamentary law, including the freedom of speech protection under Article 9 of the Bill of Rights. It is also a contempt of the Assembly to interfere with or to molest a witness (see standing order 276(j)-(k).</w:t>
            </w:r>
          </w:p>
          <w:p w14:paraId="17AD5C3A" w14:textId="77777777" w:rsidR="00AA0DCC" w:rsidRDefault="00AA0DCC" w:rsidP="00223E9A">
            <w:pPr>
              <w:pStyle w:val="Tabletext"/>
            </w:pPr>
            <w:r>
              <w:t xml:space="preserve">The </w:t>
            </w:r>
            <w:r w:rsidRPr="009642BF">
              <w:rPr>
                <w:i/>
              </w:rPr>
              <w:t>Public Interest Disclosure Act 201</w:t>
            </w:r>
            <w:r>
              <w:rPr>
                <w:i/>
              </w:rPr>
              <w:t>2</w:t>
            </w:r>
            <w:r>
              <w:t xml:space="preserve"> also provides a range of statutory protections for </w:t>
            </w:r>
            <w:proofErr w:type="spellStart"/>
            <w:r>
              <w:t>whistleblowers</w:t>
            </w:r>
            <w:proofErr w:type="spellEnd"/>
            <w:r>
              <w:t xml:space="preserve">. </w:t>
            </w:r>
          </w:p>
        </w:tc>
      </w:tr>
      <w:tr w:rsidR="00AA0DCC" w14:paraId="0B9F9974" w14:textId="77777777" w:rsidTr="00C276E6">
        <w:tc>
          <w:tcPr>
            <w:tcW w:w="5098" w:type="dxa"/>
            <w:tcBorders>
              <w:top w:val="single" w:sz="4" w:space="0" w:color="auto"/>
              <w:bottom w:val="single" w:sz="4" w:space="0" w:color="auto"/>
            </w:tcBorders>
            <w:shd w:val="clear" w:color="auto" w:fill="FFFFFF" w:themeFill="background1"/>
          </w:tcPr>
          <w:p w14:paraId="3ABB608A" w14:textId="77777777" w:rsidR="00AA0DCC" w:rsidRDefault="00AA0DCC" w:rsidP="00223E9A">
            <w:pPr>
              <w:pStyle w:val="Tabletextnumbered"/>
            </w:pPr>
            <w:r>
              <w:t>3.2.9 Only Legislators appointed to the Committee, or authorised substitutes, shall have the right to vote in Committee.</w:t>
            </w:r>
          </w:p>
        </w:tc>
        <w:tc>
          <w:tcPr>
            <w:tcW w:w="1276" w:type="dxa"/>
            <w:tcBorders>
              <w:top w:val="single" w:sz="4" w:space="0" w:color="auto"/>
              <w:bottom w:val="single" w:sz="4" w:space="0" w:color="auto"/>
            </w:tcBorders>
            <w:shd w:val="clear" w:color="auto" w:fill="E2EFD9" w:themeFill="accent6" w:themeFillTint="33"/>
          </w:tcPr>
          <w:p w14:paraId="417358FD" w14:textId="77777777" w:rsidR="00AA0DCC" w:rsidRDefault="00AA0DCC" w:rsidP="00223E9A">
            <w:pPr>
              <w:pStyle w:val="Tabletext"/>
            </w:pPr>
            <w:r>
              <w:t>2</w:t>
            </w:r>
          </w:p>
        </w:tc>
        <w:tc>
          <w:tcPr>
            <w:tcW w:w="8505" w:type="dxa"/>
            <w:tcBorders>
              <w:top w:val="single" w:sz="4" w:space="0" w:color="auto"/>
              <w:bottom w:val="single" w:sz="4" w:space="0" w:color="auto"/>
            </w:tcBorders>
          </w:tcPr>
          <w:p w14:paraId="35F84A3F" w14:textId="53F17E93" w:rsidR="00AA0DCC" w:rsidRDefault="00AA0DCC" w:rsidP="00223E9A">
            <w:pPr>
              <w:pStyle w:val="Tabletext"/>
            </w:pPr>
            <w:r>
              <w:t xml:space="preserve">Only members that are appointed to a committee by the Assembly are permitted to vote in committee proceedings (see standing order 228). </w:t>
            </w:r>
          </w:p>
        </w:tc>
      </w:tr>
      <w:tr w:rsidR="00AA0DCC" w:rsidRPr="009642BF" w14:paraId="7F00B9ED"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1776FEA" w14:textId="77777777" w:rsidR="00AA0DCC" w:rsidRPr="009642BF" w:rsidRDefault="00AA0DCC" w:rsidP="00C30366">
            <w:pPr>
              <w:pStyle w:val="Tableheading3"/>
            </w:pPr>
            <w:r w:rsidRPr="009642BF">
              <w:t>Political parties</w:t>
            </w:r>
          </w:p>
        </w:tc>
        <w:tc>
          <w:tcPr>
            <w:tcW w:w="1276" w:type="dxa"/>
            <w:tcBorders>
              <w:top w:val="single" w:sz="4" w:space="0" w:color="auto"/>
              <w:left w:val="nil"/>
              <w:bottom w:val="single" w:sz="4" w:space="0" w:color="auto"/>
              <w:right w:val="nil"/>
            </w:tcBorders>
            <w:shd w:val="clear" w:color="auto" w:fill="F2F2F2" w:themeFill="background1" w:themeFillShade="F2"/>
          </w:tcPr>
          <w:p w14:paraId="4E0D2EDC" w14:textId="77777777" w:rsidR="00AA0DCC" w:rsidRPr="009642BF"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6ACB995E" w14:textId="77777777" w:rsidR="00AA0DCC" w:rsidRPr="009642BF" w:rsidRDefault="00AA0DCC" w:rsidP="00C30366">
            <w:pPr>
              <w:pStyle w:val="Tableheading3"/>
            </w:pPr>
          </w:p>
        </w:tc>
      </w:tr>
      <w:tr w:rsidR="00AA0DCC" w14:paraId="54AC3C54" w14:textId="77777777" w:rsidTr="00C276E6">
        <w:tc>
          <w:tcPr>
            <w:tcW w:w="5098" w:type="dxa"/>
            <w:tcBorders>
              <w:top w:val="single" w:sz="4" w:space="0" w:color="auto"/>
              <w:bottom w:val="single" w:sz="4" w:space="0" w:color="auto"/>
            </w:tcBorders>
            <w:shd w:val="clear" w:color="auto" w:fill="FFFFFF" w:themeFill="background1"/>
          </w:tcPr>
          <w:p w14:paraId="763193D2" w14:textId="53819E3C" w:rsidR="00AA0DCC" w:rsidRDefault="00AA0DCC" w:rsidP="00223E9A">
            <w:pPr>
              <w:pStyle w:val="Tabletextnumbered"/>
            </w:pPr>
            <w:r>
              <w:t>4.1.1 Any restrictions on the legality of political parties shall be narrowly drawn in law and shall be consistent with the International Covenant on Civil and Political Rights.</w:t>
            </w:r>
          </w:p>
        </w:tc>
        <w:tc>
          <w:tcPr>
            <w:tcW w:w="1276" w:type="dxa"/>
            <w:tcBorders>
              <w:top w:val="single" w:sz="4" w:space="0" w:color="auto"/>
              <w:bottom w:val="single" w:sz="4" w:space="0" w:color="auto"/>
            </w:tcBorders>
            <w:shd w:val="clear" w:color="auto" w:fill="E2EFD9" w:themeFill="accent6" w:themeFillTint="33"/>
          </w:tcPr>
          <w:p w14:paraId="6700D5D3" w14:textId="77777777" w:rsidR="00AA0DCC" w:rsidRDefault="00AA0DCC" w:rsidP="00223E9A">
            <w:pPr>
              <w:pStyle w:val="Tabletext"/>
            </w:pPr>
            <w:r>
              <w:t>2</w:t>
            </w:r>
          </w:p>
        </w:tc>
        <w:tc>
          <w:tcPr>
            <w:tcW w:w="8505" w:type="dxa"/>
            <w:tcBorders>
              <w:top w:val="single" w:sz="4" w:space="0" w:color="auto"/>
              <w:bottom w:val="single" w:sz="4" w:space="0" w:color="auto"/>
            </w:tcBorders>
          </w:tcPr>
          <w:p w14:paraId="7E1070A5" w14:textId="7F16B1BB" w:rsidR="00AA0DCC" w:rsidRDefault="00AA0DCC" w:rsidP="00223E9A">
            <w:pPr>
              <w:pStyle w:val="Tabletext"/>
            </w:pPr>
            <w:r>
              <w:t xml:space="preserve">The legality of political parties is addressed in the Electoral Act (Part 7). There are no material restrictions imposed on the legality of political parties and none that would be inconsistent with the International Covenant on Civil and Political Rights. </w:t>
            </w:r>
          </w:p>
        </w:tc>
      </w:tr>
    </w:tbl>
    <w:p w14:paraId="242D98B2" w14:textId="77777777" w:rsidR="0079283D" w:rsidRDefault="0079283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1AF4C37A" w14:textId="77777777" w:rsidTr="00C276E6">
        <w:tc>
          <w:tcPr>
            <w:tcW w:w="5098" w:type="dxa"/>
            <w:tcBorders>
              <w:top w:val="single" w:sz="4" w:space="0" w:color="auto"/>
              <w:bottom w:val="single" w:sz="4" w:space="0" w:color="auto"/>
            </w:tcBorders>
            <w:shd w:val="clear" w:color="auto" w:fill="FFFFFF" w:themeFill="background1"/>
          </w:tcPr>
          <w:p w14:paraId="258A122D" w14:textId="5164D433" w:rsidR="00AA0DCC" w:rsidRDefault="00AA0DCC" w:rsidP="00223E9A">
            <w:pPr>
              <w:pStyle w:val="Tabletextnumbered"/>
            </w:pPr>
            <w:r>
              <w:lastRenderedPageBreak/>
              <w:t>4.1.2 The public and private funding of political parties and candidates shall be transparent and accountable.</w:t>
            </w:r>
          </w:p>
        </w:tc>
        <w:tc>
          <w:tcPr>
            <w:tcW w:w="1276" w:type="dxa"/>
            <w:tcBorders>
              <w:top w:val="single" w:sz="4" w:space="0" w:color="auto"/>
              <w:bottom w:val="single" w:sz="4" w:space="0" w:color="auto"/>
            </w:tcBorders>
            <w:shd w:val="clear" w:color="auto" w:fill="E2EFD9" w:themeFill="accent6" w:themeFillTint="33"/>
          </w:tcPr>
          <w:p w14:paraId="3CE8081D" w14:textId="77777777" w:rsidR="00AA0DCC" w:rsidRDefault="00AA0DCC" w:rsidP="00223E9A">
            <w:pPr>
              <w:pStyle w:val="Tabletext"/>
            </w:pPr>
            <w:r>
              <w:t>2</w:t>
            </w:r>
          </w:p>
        </w:tc>
        <w:tc>
          <w:tcPr>
            <w:tcW w:w="8505" w:type="dxa"/>
            <w:tcBorders>
              <w:top w:val="single" w:sz="4" w:space="0" w:color="auto"/>
              <w:bottom w:val="single" w:sz="4" w:space="0" w:color="auto"/>
            </w:tcBorders>
          </w:tcPr>
          <w:p w14:paraId="2C8C0A1E" w14:textId="0DEFCF6E" w:rsidR="00AA0DCC" w:rsidRDefault="00AA0DCC" w:rsidP="00223E9A">
            <w:pPr>
              <w:pStyle w:val="Tabletext"/>
            </w:pPr>
            <w:r>
              <w:t xml:space="preserve">The Electoral Act sets out relevant provisions that apply in relation to the funding of political parties (see part 14), which are both transparent and accountable. It is also critical that funding of political parties is done in a sufficiently timely manner </w:t>
            </w:r>
            <w:proofErr w:type="gramStart"/>
            <w:r>
              <w:t>so as to</w:t>
            </w:r>
            <w:proofErr w:type="gramEnd"/>
            <w:r>
              <w:t xml:space="preserve"> ensure accountability to the electorate. Voters have a right to know who </w:t>
            </w:r>
            <w:proofErr w:type="gramStart"/>
            <w:r>
              <w:t>is funds parties and candidates as part of the process</w:t>
            </w:r>
            <w:proofErr w:type="gramEnd"/>
            <w:r>
              <w:t xml:space="preserve"> of granting consent through elections. With today’s technology, there is no good technical reason why real-time disclosures of donations to the various political actors within a system of parliamentary democracy cannot be implemented. It may be worth </w:t>
            </w:r>
            <w:proofErr w:type="gramStart"/>
            <w:r>
              <w:t>giving consideration to</w:t>
            </w:r>
            <w:proofErr w:type="gramEnd"/>
            <w:r>
              <w:t xml:space="preserve"> the inclusion of a timeliness criterion within this benchmark. </w:t>
            </w:r>
          </w:p>
        </w:tc>
      </w:tr>
      <w:tr w:rsidR="00AA0DCC" w:rsidRPr="00626423" w14:paraId="02FFE264"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AFBE800" w14:textId="77777777" w:rsidR="00AA0DCC" w:rsidRPr="00626423" w:rsidRDefault="00AA0DCC" w:rsidP="00C30366">
            <w:pPr>
              <w:pStyle w:val="Tableheading3"/>
            </w:pPr>
            <w:r w:rsidRPr="00626423">
              <w:t>Party Groups</w:t>
            </w:r>
          </w:p>
        </w:tc>
        <w:tc>
          <w:tcPr>
            <w:tcW w:w="1276" w:type="dxa"/>
            <w:tcBorders>
              <w:top w:val="single" w:sz="4" w:space="0" w:color="auto"/>
              <w:left w:val="nil"/>
              <w:bottom w:val="single" w:sz="4" w:space="0" w:color="auto"/>
              <w:right w:val="nil"/>
            </w:tcBorders>
            <w:shd w:val="clear" w:color="auto" w:fill="F2F2F2" w:themeFill="background1" w:themeFillShade="F2"/>
          </w:tcPr>
          <w:p w14:paraId="6D00292E" w14:textId="77777777" w:rsidR="00AA0DCC" w:rsidRPr="00626423"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3A38BA1B" w14:textId="77777777" w:rsidR="00AA0DCC" w:rsidRPr="00626423" w:rsidRDefault="00AA0DCC" w:rsidP="00C30366">
            <w:pPr>
              <w:pStyle w:val="Tableheading3"/>
            </w:pPr>
          </w:p>
        </w:tc>
      </w:tr>
      <w:tr w:rsidR="00AA0DCC" w14:paraId="63A9DDE4" w14:textId="77777777" w:rsidTr="00C276E6">
        <w:tc>
          <w:tcPr>
            <w:tcW w:w="5098" w:type="dxa"/>
            <w:tcBorders>
              <w:top w:val="single" w:sz="4" w:space="0" w:color="auto"/>
              <w:bottom w:val="single" w:sz="4" w:space="0" w:color="auto"/>
            </w:tcBorders>
            <w:shd w:val="clear" w:color="auto" w:fill="FFFFFF" w:themeFill="background1"/>
          </w:tcPr>
          <w:p w14:paraId="2D9CC9E1" w14:textId="77777777" w:rsidR="00AA0DCC" w:rsidRDefault="00AA0DCC" w:rsidP="00223E9A">
            <w:pPr>
              <w:pStyle w:val="Tabletextnumbered"/>
            </w:pPr>
            <w:r>
              <w:t>4.2.1 Criteria for the formation of parliamentary party groups, and their rights and responsibilities in the Legislature, shall be clearly stated in the Rules.</w:t>
            </w:r>
          </w:p>
        </w:tc>
        <w:tc>
          <w:tcPr>
            <w:tcW w:w="1276" w:type="dxa"/>
            <w:tcBorders>
              <w:top w:val="single" w:sz="4" w:space="0" w:color="auto"/>
              <w:bottom w:val="single" w:sz="4" w:space="0" w:color="auto"/>
            </w:tcBorders>
            <w:shd w:val="clear" w:color="auto" w:fill="E2EFD9" w:themeFill="accent6" w:themeFillTint="33"/>
          </w:tcPr>
          <w:p w14:paraId="72F99561" w14:textId="77777777" w:rsidR="00AA0DCC" w:rsidRDefault="00AA0DCC" w:rsidP="00223E9A">
            <w:pPr>
              <w:pStyle w:val="Tabletext"/>
            </w:pPr>
            <w:r>
              <w:t>2</w:t>
            </w:r>
          </w:p>
        </w:tc>
        <w:tc>
          <w:tcPr>
            <w:tcW w:w="8505" w:type="dxa"/>
            <w:tcBorders>
              <w:top w:val="single" w:sz="4" w:space="0" w:color="auto"/>
              <w:bottom w:val="single" w:sz="4" w:space="0" w:color="auto"/>
            </w:tcBorders>
          </w:tcPr>
          <w:p w14:paraId="6BE49682" w14:textId="458CB33A" w:rsidR="00AA0DCC" w:rsidRDefault="00AA0DCC" w:rsidP="00223E9A">
            <w:pPr>
              <w:pStyle w:val="Tabletext"/>
            </w:pPr>
            <w:r>
              <w:t xml:space="preserve">There are several references in the standing orders to the formation of party groups (for instance, the leader of the largest non-majority party is recognised as the Opposition Leader (standing order 5B) and there are requirements to ensure that party groupings are proportionally represented on committees (standing order 221). </w:t>
            </w:r>
          </w:p>
          <w:p w14:paraId="3ADDFCA6" w14:textId="687D7B36" w:rsidR="00AA0DCC" w:rsidRDefault="00AA0DCC" w:rsidP="00223E9A">
            <w:pPr>
              <w:pStyle w:val="Tabletext"/>
            </w:pPr>
            <w:proofErr w:type="gramStart"/>
            <w:r>
              <w:t>Particular speaking</w:t>
            </w:r>
            <w:proofErr w:type="gramEnd"/>
            <w:r>
              <w:t xml:space="preserve"> rights (and associated time limits), are granted to MLAs on the basis of whether they belong to the government, opposition or crossbench via standing order 69. </w:t>
            </w:r>
          </w:p>
          <w:p w14:paraId="3B6EE533" w14:textId="05EBAA7B" w:rsidR="00AA0DCC" w:rsidRDefault="00AA0DCC" w:rsidP="00223E9A">
            <w:pPr>
              <w:pStyle w:val="Tabletext"/>
            </w:pPr>
            <w:r>
              <w:t>Statute law also recognises the rights and responsibilities of MLAs from different parties (for instance, prior to the appointment of Officers of the Assembly (the Auditor-General, the Electoral Commissioner, the Integrity Commissioner) and the Clerk of the Assembly, the Chief Minister, the Leader of the Opposition and ‘</w:t>
            </w:r>
            <w:r w:rsidRPr="00626423">
              <w:t>the leader (however described) of a registered party (other than the party to which the Chief Minister or Leader of the Opposition belongs) if at least 2 members of the Legislative Assembly are members of the party</w:t>
            </w:r>
            <w:r>
              <w:t>.</w:t>
            </w:r>
          </w:p>
        </w:tc>
      </w:tr>
      <w:tr w:rsidR="00AA0DCC" w14:paraId="229A5E8D" w14:textId="77777777" w:rsidTr="00527CCE">
        <w:tc>
          <w:tcPr>
            <w:tcW w:w="5098" w:type="dxa"/>
            <w:tcBorders>
              <w:top w:val="single" w:sz="4" w:space="0" w:color="auto"/>
              <w:bottom w:val="single" w:sz="4" w:space="0" w:color="auto"/>
            </w:tcBorders>
            <w:shd w:val="clear" w:color="auto" w:fill="FFFFFF" w:themeFill="background1"/>
          </w:tcPr>
          <w:p w14:paraId="5AFC5D31" w14:textId="2F9C6A9C" w:rsidR="00AA0DCC" w:rsidRDefault="00AA0DCC" w:rsidP="00223E9A">
            <w:pPr>
              <w:pStyle w:val="Tabletextnumbered"/>
            </w:pPr>
            <w:r>
              <w:t>4.2.2 The Legislature shall provide adequate resources and facilities for party groups pursuant to a clear and transparent formula that does not unduly advantage the majority party.</w:t>
            </w:r>
          </w:p>
        </w:tc>
        <w:tc>
          <w:tcPr>
            <w:tcW w:w="1276" w:type="dxa"/>
            <w:tcBorders>
              <w:top w:val="single" w:sz="4" w:space="0" w:color="auto"/>
              <w:bottom w:val="single" w:sz="4" w:space="0" w:color="auto"/>
            </w:tcBorders>
            <w:shd w:val="clear" w:color="auto" w:fill="FFF2CC" w:themeFill="accent4" w:themeFillTint="33"/>
          </w:tcPr>
          <w:p w14:paraId="1E8FF459" w14:textId="77777777" w:rsidR="00AA0DCC" w:rsidRDefault="00AA0DCC" w:rsidP="00223E9A">
            <w:pPr>
              <w:pStyle w:val="Tabletext"/>
            </w:pPr>
            <w:r>
              <w:t>1</w:t>
            </w:r>
          </w:p>
        </w:tc>
        <w:tc>
          <w:tcPr>
            <w:tcW w:w="8505" w:type="dxa"/>
            <w:tcBorders>
              <w:top w:val="single" w:sz="4" w:space="0" w:color="auto"/>
              <w:bottom w:val="single" w:sz="4" w:space="0" w:color="auto"/>
            </w:tcBorders>
          </w:tcPr>
          <w:p w14:paraId="4E50E73C" w14:textId="77777777" w:rsidR="00AA0DCC" w:rsidRPr="0079283D" w:rsidRDefault="00AA0DCC" w:rsidP="0079283D">
            <w:pPr>
              <w:pStyle w:val="Tabletext"/>
            </w:pPr>
            <w:r w:rsidRPr="0079283D">
              <w:t xml:space="preserve">The Assembly does not adopt a ‘formula’ to determine the allocation of resources for party groups within the Assembly. </w:t>
            </w:r>
          </w:p>
          <w:p w14:paraId="139DC21E" w14:textId="7951CA4E" w:rsidR="00AA0DCC" w:rsidRPr="0079283D" w:rsidRDefault="00AA0DCC" w:rsidP="0079283D">
            <w:pPr>
              <w:pStyle w:val="Tabletext"/>
            </w:pPr>
            <w:r w:rsidRPr="0079283D">
              <w:t xml:space="preserve">However, resources are generally provided on the basis that each individual </w:t>
            </w:r>
            <w:r w:rsidRPr="0079283D">
              <w:br/>
              <w:t xml:space="preserve">non-executive MLA receives </w:t>
            </w:r>
            <w:proofErr w:type="gramStart"/>
            <w:r w:rsidRPr="0079283D">
              <w:t>more or less the</w:t>
            </w:r>
            <w:proofErr w:type="gramEnd"/>
            <w:r w:rsidRPr="0079283D">
              <w:t xml:space="preserve"> same level of support (ministers are given additional support in recognition of their Executive functions). The Speaker, Opposition Leader and Leader of the Crossbench also receive additional support in recognition of their special roles. </w:t>
            </w:r>
          </w:p>
          <w:p w14:paraId="22A17AB2" w14:textId="24AD5DDA" w:rsidR="00AA0DCC" w:rsidRDefault="00AA0DCC" w:rsidP="00223E9A">
            <w:pPr>
              <w:pStyle w:val="Tabletext"/>
            </w:pPr>
            <w:r>
              <w:lastRenderedPageBreak/>
              <w:t xml:space="preserve">The Chief Minister makes staff salary determinations in accordance with the </w:t>
            </w:r>
            <w:r w:rsidRPr="00557659">
              <w:rPr>
                <w:i/>
              </w:rPr>
              <w:t>Legislative Assembly (Members Staff) Act 1989)</w:t>
            </w:r>
            <w:r>
              <w:rPr>
                <w:i/>
              </w:rPr>
              <w:t xml:space="preserve"> </w:t>
            </w:r>
            <w:r w:rsidRPr="00557659">
              <w:t>(LAMS Act)</w:t>
            </w:r>
            <w:r>
              <w:t xml:space="preserve">. The </w:t>
            </w:r>
            <w:hyperlink r:id="rId37" w:history="1">
              <w:r w:rsidRPr="003D6050">
                <w:rPr>
                  <w:rStyle w:val="Hyperlink"/>
                </w:rPr>
                <w:t>relevant determination</w:t>
              </w:r>
            </w:hyperlink>
            <w:r>
              <w:t xml:space="preserve"> makes provision for the staffing allocation (an amount to employ or engage staff, contractors or consultants) provided to individual MLAs and additional amounts for the Leader of the Opposition, Deputy Leader of the Opposition, Crossbench member, Government Whip and Opposition Whip</w:t>
            </w:r>
            <w:hyperlink r:id="rId38" w:history="1">
              <w:r w:rsidRPr="008A61AB">
                <w:rPr>
                  <w:rStyle w:val="Hyperlink"/>
                </w:rPr>
                <w:t>. A separate determination</w:t>
              </w:r>
            </w:hyperlink>
            <w:r>
              <w:t xml:space="preserve"> is made for the Speaker who also receives additional funding above that provided to MLAs. </w:t>
            </w:r>
          </w:p>
        </w:tc>
      </w:tr>
      <w:tr w:rsidR="00AA0DCC" w:rsidRPr="00557659" w14:paraId="09F6E094"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1729FED3" w14:textId="6A70187A" w:rsidR="00AA0DCC" w:rsidRPr="00557659" w:rsidRDefault="00AA0DCC" w:rsidP="0079283D">
            <w:pPr>
              <w:pStyle w:val="Tableheading3"/>
            </w:pPr>
            <w:r w:rsidRPr="00557659">
              <w:lastRenderedPageBreak/>
              <w:t>Cross-party groups</w:t>
            </w:r>
          </w:p>
        </w:tc>
        <w:tc>
          <w:tcPr>
            <w:tcW w:w="1276" w:type="dxa"/>
            <w:tcBorders>
              <w:top w:val="single" w:sz="4" w:space="0" w:color="auto"/>
              <w:left w:val="nil"/>
              <w:bottom w:val="single" w:sz="4" w:space="0" w:color="auto"/>
              <w:right w:val="nil"/>
            </w:tcBorders>
            <w:shd w:val="clear" w:color="auto" w:fill="F2F2F2" w:themeFill="background1" w:themeFillShade="F2"/>
          </w:tcPr>
          <w:p w14:paraId="41218F96" w14:textId="77777777" w:rsidR="00AA0DCC" w:rsidRPr="00557659" w:rsidRDefault="00AA0DCC" w:rsidP="0079283D">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3F8E4A67" w14:textId="77777777" w:rsidR="00AA0DCC" w:rsidRPr="00557659" w:rsidRDefault="00AA0DCC" w:rsidP="0079283D">
            <w:pPr>
              <w:pStyle w:val="Tableheading3"/>
            </w:pPr>
          </w:p>
        </w:tc>
      </w:tr>
      <w:tr w:rsidR="00AA0DCC" w14:paraId="4EABE6D7" w14:textId="77777777" w:rsidTr="00C276E6">
        <w:tc>
          <w:tcPr>
            <w:tcW w:w="5098" w:type="dxa"/>
            <w:tcBorders>
              <w:top w:val="single" w:sz="4" w:space="0" w:color="auto"/>
              <w:bottom w:val="single" w:sz="4" w:space="0" w:color="auto"/>
            </w:tcBorders>
            <w:shd w:val="clear" w:color="auto" w:fill="FFFFFF" w:themeFill="background1"/>
          </w:tcPr>
          <w:p w14:paraId="599D21DC" w14:textId="13495789" w:rsidR="00AA0DCC" w:rsidRDefault="00AA0DCC" w:rsidP="00223E9A">
            <w:pPr>
              <w:pStyle w:val="Tabletextnumbered"/>
            </w:pPr>
            <w:r>
              <w:t>4.3.1 Legislators shall have the right to form interest caucuses around issues of common concern.</w:t>
            </w:r>
          </w:p>
        </w:tc>
        <w:tc>
          <w:tcPr>
            <w:tcW w:w="1276" w:type="dxa"/>
            <w:tcBorders>
              <w:top w:val="single" w:sz="4" w:space="0" w:color="auto"/>
              <w:bottom w:val="single" w:sz="4" w:space="0" w:color="auto"/>
            </w:tcBorders>
            <w:shd w:val="clear" w:color="auto" w:fill="E2EFD9" w:themeFill="accent6" w:themeFillTint="33"/>
          </w:tcPr>
          <w:p w14:paraId="7C28D5E0" w14:textId="77777777" w:rsidR="00AA0DCC" w:rsidRDefault="00AA0DCC" w:rsidP="00223E9A">
            <w:pPr>
              <w:pStyle w:val="Tabletext"/>
            </w:pPr>
            <w:r>
              <w:t>2</w:t>
            </w:r>
          </w:p>
        </w:tc>
        <w:tc>
          <w:tcPr>
            <w:tcW w:w="8505" w:type="dxa"/>
            <w:tcBorders>
              <w:top w:val="single" w:sz="4" w:space="0" w:color="auto"/>
              <w:bottom w:val="single" w:sz="4" w:space="0" w:color="auto"/>
            </w:tcBorders>
          </w:tcPr>
          <w:p w14:paraId="45A1F43A" w14:textId="43F5771E" w:rsidR="00AA0DCC" w:rsidRDefault="00AA0DCC" w:rsidP="00223E9A">
            <w:pPr>
              <w:pStyle w:val="Tabletext"/>
            </w:pPr>
            <w:r>
              <w:t>There is no impediment to members forming interest caucuses around issues of common concern and the general principle of freedom of association applies in this respect.</w:t>
            </w:r>
            <w:r w:rsidR="001841AB">
              <w:t xml:space="preserve"> There is an acknowledgement that such caucusing can break down traditional polarities in the parliamentary environment. It is up to individuals and collectives within the parliament to organise and maintain such arrangements. </w:t>
            </w:r>
          </w:p>
        </w:tc>
      </w:tr>
      <w:tr w:rsidR="00AA0DCC" w14:paraId="0982CC00" w14:textId="77777777" w:rsidTr="00C276E6">
        <w:tc>
          <w:tcPr>
            <w:tcW w:w="5098" w:type="dxa"/>
            <w:tcBorders>
              <w:top w:val="single" w:sz="4" w:space="0" w:color="auto"/>
              <w:bottom w:val="single" w:sz="4" w:space="0" w:color="auto"/>
            </w:tcBorders>
            <w:shd w:val="clear" w:color="auto" w:fill="FFFFFF" w:themeFill="background1"/>
          </w:tcPr>
          <w:p w14:paraId="33C3B7EC" w14:textId="77777777" w:rsidR="00AA0DCC" w:rsidRDefault="00AA0DCC" w:rsidP="00223E9A">
            <w:pPr>
              <w:pStyle w:val="Tabletextnumbered"/>
            </w:pPr>
            <w:r>
              <w:t>4.4.1 The Legislature shall ensure adequate facilities and allocation of resources for the Opposition, including the leader.</w:t>
            </w:r>
          </w:p>
        </w:tc>
        <w:tc>
          <w:tcPr>
            <w:tcW w:w="1276" w:type="dxa"/>
            <w:tcBorders>
              <w:top w:val="single" w:sz="4" w:space="0" w:color="auto"/>
              <w:bottom w:val="single" w:sz="4" w:space="0" w:color="auto"/>
            </w:tcBorders>
            <w:shd w:val="clear" w:color="auto" w:fill="E2EFD9" w:themeFill="accent6" w:themeFillTint="33"/>
          </w:tcPr>
          <w:p w14:paraId="7673AF33" w14:textId="77777777" w:rsidR="00AA0DCC" w:rsidRDefault="00AA0DCC" w:rsidP="00223E9A">
            <w:pPr>
              <w:pStyle w:val="Tabletext"/>
            </w:pPr>
            <w:r>
              <w:t>2</w:t>
            </w:r>
          </w:p>
        </w:tc>
        <w:tc>
          <w:tcPr>
            <w:tcW w:w="8505" w:type="dxa"/>
            <w:tcBorders>
              <w:top w:val="single" w:sz="4" w:space="0" w:color="auto"/>
              <w:bottom w:val="single" w:sz="4" w:space="0" w:color="auto"/>
            </w:tcBorders>
          </w:tcPr>
          <w:p w14:paraId="1C6F8498" w14:textId="77777777" w:rsidR="00AA0DCC" w:rsidRDefault="00AA0DCC" w:rsidP="00223E9A">
            <w:pPr>
              <w:pStyle w:val="Tabletext"/>
            </w:pPr>
            <w:r>
              <w:t xml:space="preserve">The notion of ‘adequacy’ is difficult to determine objectively. However, several points speak in favour of a resource allocation regime that complies with the spirit of the benchmark. </w:t>
            </w:r>
          </w:p>
          <w:p w14:paraId="51CB1157" w14:textId="132F348A" w:rsidR="00AA0DCC" w:rsidRDefault="00AA0DCC" w:rsidP="00223E9A">
            <w:pPr>
              <w:pStyle w:val="Tabletext"/>
            </w:pPr>
            <w:r>
              <w:t xml:space="preserve">Through determinations made by the Chief Minister under the LAMS Act, the Opposition Leader receives additional staff resources than other non-executive MLAs. The Opposition Leader receives a staff salary allocation of $658k per annum while a member receives $177k per annum. See </w:t>
            </w:r>
            <w:hyperlink r:id="rId39" w:history="1">
              <w:r w:rsidRPr="00607CF1">
                <w:rPr>
                  <w:rStyle w:val="Hyperlink"/>
                </w:rPr>
                <w:t>relevant determination</w:t>
              </w:r>
            </w:hyperlink>
            <w:r>
              <w:t>.</w:t>
            </w:r>
          </w:p>
          <w:p w14:paraId="4DA38EAB" w14:textId="61BE7FC1" w:rsidR="00AA0DCC" w:rsidRDefault="00AA0DCC" w:rsidP="00223E9A">
            <w:pPr>
              <w:pStyle w:val="Tabletext"/>
            </w:pPr>
            <w:r>
              <w:t xml:space="preserve">The Opposition Leader receives the same annual salary as a government minister ($117k in addition to the base rate of pay for an MLA of $168k). See </w:t>
            </w:r>
            <w:hyperlink r:id="rId40" w:history="1">
              <w:r w:rsidRPr="00607CF1">
                <w:rPr>
                  <w:rStyle w:val="Hyperlink"/>
                </w:rPr>
                <w:t>relevant determination</w:t>
              </w:r>
            </w:hyperlink>
            <w:r>
              <w:t xml:space="preserve"> of the Remuneration Tribunal. </w:t>
            </w:r>
          </w:p>
          <w:p w14:paraId="4F1528E5" w14:textId="0EDFCF18" w:rsidR="00AA0DCC" w:rsidRDefault="00AA0DCC" w:rsidP="00223E9A">
            <w:pPr>
              <w:pStyle w:val="Tabletext"/>
            </w:pPr>
            <w:r>
              <w:t xml:space="preserve">The Leader of the Opposition is also provided with additional accommodation and office facilities.   </w:t>
            </w:r>
          </w:p>
        </w:tc>
      </w:tr>
    </w:tbl>
    <w:p w14:paraId="4EE89218" w14:textId="77777777" w:rsidR="0079283D" w:rsidRDefault="0079283D">
      <w:r>
        <w:rPr>
          <w:b/>
        </w:rP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rsidRPr="00557659" w14:paraId="1883A2DB"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79D8C881" w14:textId="0447BB49" w:rsidR="00AA0DCC" w:rsidRPr="00557659" w:rsidRDefault="00AA0DCC" w:rsidP="00C30366">
            <w:pPr>
              <w:pStyle w:val="Tableheading2"/>
            </w:pPr>
            <w:r w:rsidRPr="00557659">
              <w:lastRenderedPageBreak/>
              <w:t>Parliamentary staff</w:t>
            </w:r>
          </w:p>
        </w:tc>
        <w:tc>
          <w:tcPr>
            <w:tcW w:w="1276" w:type="dxa"/>
            <w:tcBorders>
              <w:top w:val="single" w:sz="4" w:space="0" w:color="auto"/>
              <w:left w:val="nil"/>
              <w:bottom w:val="single" w:sz="4" w:space="0" w:color="auto"/>
              <w:right w:val="nil"/>
            </w:tcBorders>
            <w:shd w:val="clear" w:color="auto" w:fill="F2F2F2" w:themeFill="background1" w:themeFillShade="F2"/>
          </w:tcPr>
          <w:p w14:paraId="0C90F906" w14:textId="77777777" w:rsidR="00AA0DCC" w:rsidRPr="00557659" w:rsidRDefault="00AA0DCC" w:rsidP="00C30366">
            <w:pPr>
              <w:pStyle w:val="Tableheading2"/>
            </w:pPr>
          </w:p>
        </w:tc>
        <w:tc>
          <w:tcPr>
            <w:tcW w:w="8505" w:type="dxa"/>
            <w:tcBorders>
              <w:top w:val="single" w:sz="4" w:space="0" w:color="auto"/>
              <w:left w:val="nil"/>
              <w:bottom w:val="single" w:sz="4" w:space="0" w:color="auto"/>
              <w:right w:val="nil"/>
            </w:tcBorders>
            <w:shd w:val="clear" w:color="auto" w:fill="F2F2F2" w:themeFill="background1" w:themeFillShade="F2"/>
          </w:tcPr>
          <w:p w14:paraId="30AE0DE8" w14:textId="77777777" w:rsidR="00AA0DCC" w:rsidRPr="00557659" w:rsidRDefault="00AA0DCC" w:rsidP="00C30366">
            <w:pPr>
              <w:pStyle w:val="Tableheading2"/>
            </w:pPr>
          </w:p>
        </w:tc>
      </w:tr>
      <w:tr w:rsidR="00AA0DCC" w:rsidRPr="00B91F0A" w14:paraId="7D3DC5C3"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0D0B7451" w14:textId="77777777" w:rsidR="00AA0DCC" w:rsidRPr="00B91F0A" w:rsidRDefault="00AA0DCC" w:rsidP="00C30366">
            <w:pPr>
              <w:pStyle w:val="Tableheading3"/>
            </w:pPr>
            <w:r w:rsidRPr="00B91F0A">
              <w:t>General</w:t>
            </w:r>
          </w:p>
        </w:tc>
        <w:tc>
          <w:tcPr>
            <w:tcW w:w="1276" w:type="dxa"/>
            <w:tcBorders>
              <w:top w:val="single" w:sz="4" w:space="0" w:color="auto"/>
              <w:left w:val="nil"/>
              <w:bottom w:val="single" w:sz="4" w:space="0" w:color="auto"/>
              <w:right w:val="nil"/>
            </w:tcBorders>
            <w:shd w:val="clear" w:color="auto" w:fill="F2F2F2" w:themeFill="background1" w:themeFillShade="F2"/>
          </w:tcPr>
          <w:p w14:paraId="0B7A0937" w14:textId="77777777" w:rsidR="00AA0DCC" w:rsidRPr="00B91F0A"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63C048E3" w14:textId="77777777" w:rsidR="00AA0DCC" w:rsidRPr="00B91F0A" w:rsidRDefault="00AA0DCC" w:rsidP="00C30366">
            <w:pPr>
              <w:pStyle w:val="Tableheading3"/>
            </w:pPr>
          </w:p>
        </w:tc>
      </w:tr>
      <w:tr w:rsidR="00AA0DCC" w14:paraId="1C89FAA1" w14:textId="77777777" w:rsidTr="00C276E6">
        <w:tc>
          <w:tcPr>
            <w:tcW w:w="5098" w:type="dxa"/>
            <w:tcBorders>
              <w:top w:val="single" w:sz="4" w:space="0" w:color="auto"/>
              <w:bottom w:val="single" w:sz="4" w:space="0" w:color="auto"/>
            </w:tcBorders>
            <w:shd w:val="clear" w:color="auto" w:fill="FFFFFF" w:themeFill="background1"/>
          </w:tcPr>
          <w:p w14:paraId="291C5620" w14:textId="546B03D2" w:rsidR="00AA0DCC" w:rsidRDefault="00AA0DCC" w:rsidP="00223E9A">
            <w:pPr>
              <w:pStyle w:val="Tabletextnumbered"/>
            </w:pPr>
            <w:r>
              <w:t>5.1.1 The Legislature shall have an adequate non-partisan professional staff to support its operations including the operations of its Committees.</w:t>
            </w:r>
          </w:p>
        </w:tc>
        <w:tc>
          <w:tcPr>
            <w:tcW w:w="1276" w:type="dxa"/>
            <w:tcBorders>
              <w:top w:val="single" w:sz="4" w:space="0" w:color="auto"/>
              <w:bottom w:val="single" w:sz="4" w:space="0" w:color="auto"/>
            </w:tcBorders>
            <w:shd w:val="clear" w:color="auto" w:fill="E2EFD9" w:themeFill="accent6" w:themeFillTint="33"/>
          </w:tcPr>
          <w:p w14:paraId="3F20C352" w14:textId="77777777" w:rsidR="00AA0DCC" w:rsidRDefault="00AA0DCC" w:rsidP="00223E9A">
            <w:pPr>
              <w:pStyle w:val="Tabletext"/>
            </w:pPr>
            <w:r>
              <w:t>2</w:t>
            </w:r>
          </w:p>
        </w:tc>
        <w:tc>
          <w:tcPr>
            <w:tcW w:w="8505" w:type="dxa"/>
            <w:tcBorders>
              <w:top w:val="single" w:sz="4" w:space="0" w:color="auto"/>
              <w:bottom w:val="single" w:sz="4" w:space="0" w:color="auto"/>
            </w:tcBorders>
          </w:tcPr>
          <w:p w14:paraId="5E99E5BE" w14:textId="3AE790AB" w:rsidR="00AA0DCC" w:rsidRDefault="00AA0DCC" w:rsidP="00223E9A">
            <w:pPr>
              <w:pStyle w:val="Tabletext"/>
            </w:pPr>
            <w:r>
              <w:t xml:space="preserve">The </w:t>
            </w:r>
            <w:r w:rsidRPr="00B91F0A">
              <w:rPr>
                <w:i/>
              </w:rPr>
              <w:t>Legislative Assembly (Office of the Legislative Assembly) Act 2012</w:t>
            </w:r>
            <w:r>
              <w:t xml:space="preserve"> (the OLA Act) provides for an independent, non-partisan professional staff to support the operations of the Assembly and its committee. The ‘adequacy’ of the professional staff within the Office of the Legislative Assembly can be contested from time to time. However, the Office enjoys advantageous budgetary arrangements in comparison whether all other public sector organisations in the ACT. It is, for instance, entitled to ‘roll-over’ any unexpended funds from one year to the next, rather than returning them to consolidated revenue. It is also subject to specialised budget protocols and relevant provisions of the Financial Management Act, which are discussed elsewhere in this assessment. </w:t>
            </w:r>
          </w:p>
          <w:p w14:paraId="66F1F562" w14:textId="77E46029" w:rsidR="004C39FA" w:rsidRDefault="004C39FA" w:rsidP="00223E9A">
            <w:pPr>
              <w:pStyle w:val="Tabletext"/>
            </w:pPr>
            <w:r>
              <w:t xml:space="preserve">Together, these arrangements are evidence of the ‘adequacy’ of the support arrangements. </w:t>
            </w:r>
          </w:p>
        </w:tc>
      </w:tr>
      <w:tr w:rsidR="00AA0DCC" w14:paraId="6607745E" w14:textId="77777777" w:rsidTr="00C276E6">
        <w:tc>
          <w:tcPr>
            <w:tcW w:w="5098" w:type="dxa"/>
            <w:tcBorders>
              <w:top w:val="single" w:sz="4" w:space="0" w:color="auto"/>
              <w:bottom w:val="single" w:sz="4" w:space="0" w:color="auto"/>
            </w:tcBorders>
            <w:shd w:val="clear" w:color="auto" w:fill="FFFFFF" w:themeFill="background1"/>
          </w:tcPr>
          <w:p w14:paraId="7460AF2D" w14:textId="77777777" w:rsidR="00AA0DCC" w:rsidRDefault="00AA0DCC" w:rsidP="00223E9A">
            <w:pPr>
              <w:pStyle w:val="Tabletextnumbered"/>
            </w:pPr>
            <w:r>
              <w:t>5.1.2 The Legislature, rather than the Executive branch, shall control the parliamentary service and determine the terms of employment. There shall be adequate safeguards to ensure non-interference from the Executive.</w:t>
            </w:r>
          </w:p>
        </w:tc>
        <w:tc>
          <w:tcPr>
            <w:tcW w:w="1276" w:type="dxa"/>
            <w:tcBorders>
              <w:top w:val="single" w:sz="4" w:space="0" w:color="auto"/>
              <w:bottom w:val="single" w:sz="4" w:space="0" w:color="auto"/>
            </w:tcBorders>
            <w:shd w:val="clear" w:color="auto" w:fill="E2EFD9" w:themeFill="accent6" w:themeFillTint="33"/>
          </w:tcPr>
          <w:p w14:paraId="3C2D567F" w14:textId="77777777" w:rsidR="00AA0DCC" w:rsidRDefault="00AA0DCC" w:rsidP="00223E9A">
            <w:pPr>
              <w:pStyle w:val="Tabletext"/>
            </w:pPr>
            <w:r>
              <w:t>2</w:t>
            </w:r>
          </w:p>
        </w:tc>
        <w:tc>
          <w:tcPr>
            <w:tcW w:w="8505" w:type="dxa"/>
            <w:tcBorders>
              <w:top w:val="single" w:sz="4" w:space="0" w:color="auto"/>
              <w:bottom w:val="single" w:sz="4" w:space="0" w:color="auto"/>
            </w:tcBorders>
          </w:tcPr>
          <w:p w14:paraId="325C176F" w14:textId="77777777" w:rsidR="00AA0DCC" w:rsidRDefault="00AA0DCC" w:rsidP="00223E9A">
            <w:pPr>
              <w:pStyle w:val="Tabletext"/>
            </w:pPr>
            <w:r>
              <w:t xml:space="preserve">The Office is not subject to the direction of the executive in the performance of its statutory functions (see s 8 of the OLA Act). </w:t>
            </w:r>
          </w:p>
        </w:tc>
      </w:tr>
      <w:tr w:rsidR="00AA0DCC" w14:paraId="10E5E776" w14:textId="77777777" w:rsidTr="00C276E6">
        <w:tc>
          <w:tcPr>
            <w:tcW w:w="5098" w:type="dxa"/>
            <w:tcBorders>
              <w:top w:val="single" w:sz="4" w:space="0" w:color="auto"/>
              <w:bottom w:val="single" w:sz="4" w:space="0" w:color="auto"/>
            </w:tcBorders>
            <w:shd w:val="clear" w:color="auto" w:fill="FFFFFF" w:themeFill="background1"/>
          </w:tcPr>
          <w:p w14:paraId="1C835C1E" w14:textId="0CE76ADC" w:rsidR="00AA0DCC" w:rsidRDefault="00AA0DCC" w:rsidP="00223E9A">
            <w:pPr>
              <w:pStyle w:val="Tabletextnumbered"/>
            </w:pPr>
            <w:r>
              <w:t>5.1.3 The Legislature shall draw and maintain a clear distinction between partisan and non-partisan staff.</w:t>
            </w:r>
          </w:p>
        </w:tc>
        <w:tc>
          <w:tcPr>
            <w:tcW w:w="1276" w:type="dxa"/>
            <w:tcBorders>
              <w:top w:val="single" w:sz="4" w:space="0" w:color="auto"/>
              <w:bottom w:val="single" w:sz="4" w:space="0" w:color="auto"/>
            </w:tcBorders>
            <w:shd w:val="clear" w:color="auto" w:fill="E2EFD9" w:themeFill="accent6" w:themeFillTint="33"/>
          </w:tcPr>
          <w:p w14:paraId="7671B60C" w14:textId="77777777" w:rsidR="00AA0DCC" w:rsidRDefault="00AA0DCC" w:rsidP="00223E9A">
            <w:pPr>
              <w:pStyle w:val="Tabletext"/>
            </w:pPr>
            <w:r>
              <w:t>2</w:t>
            </w:r>
          </w:p>
        </w:tc>
        <w:tc>
          <w:tcPr>
            <w:tcW w:w="8505" w:type="dxa"/>
            <w:tcBorders>
              <w:top w:val="single" w:sz="4" w:space="0" w:color="auto"/>
              <w:bottom w:val="single" w:sz="4" w:space="0" w:color="auto"/>
            </w:tcBorders>
          </w:tcPr>
          <w:p w14:paraId="0361F1AF" w14:textId="77777777" w:rsidR="00AA0DCC" w:rsidRDefault="00AA0DCC" w:rsidP="00223E9A">
            <w:pPr>
              <w:pStyle w:val="Tabletext"/>
            </w:pPr>
            <w:r>
              <w:t xml:space="preserve">Through the LAMS Act and the OLA Act, there are two distinct and separate statutory bases for the employment of political and non-political support staff. </w:t>
            </w:r>
          </w:p>
        </w:tc>
      </w:tr>
    </w:tbl>
    <w:p w14:paraId="7AEA4366" w14:textId="77777777" w:rsidR="0079283D" w:rsidRDefault="0079283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07AE09C1" w14:textId="77777777" w:rsidTr="00C276E6">
        <w:tc>
          <w:tcPr>
            <w:tcW w:w="5098" w:type="dxa"/>
            <w:tcBorders>
              <w:top w:val="single" w:sz="4" w:space="0" w:color="auto"/>
              <w:bottom w:val="single" w:sz="4" w:space="0" w:color="auto"/>
            </w:tcBorders>
            <w:shd w:val="clear" w:color="auto" w:fill="FFFFFF" w:themeFill="background1"/>
          </w:tcPr>
          <w:p w14:paraId="5EED4AB8" w14:textId="4B3993DC" w:rsidR="00AA0DCC" w:rsidRDefault="00AA0DCC" w:rsidP="00223E9A">
            <w:pPr>
              <w:pStyle w:val="Tabletextnumbered"/>
            </w:pPr>
            <w:r>
              <w:lastRenderedPageBreak/>
              <w:t xml:space="preserve">5.1.4 Members and staff of the Legislature shall have access to </w:t>
            </w:r>
            <w:proofErr w:type="gramStart"/>
            <w:r>
              <w:t>sufficient</w:t>
            </w:r>
            <w:proofErr w:type="gramEnd"/>
            <w:r>
              <w:t xml:space="preserve"> research, library, and ICT facilities.</w:t>
            </w:r>
          </w:p>
        </w:tc>
        <w:tc>
          <w:tcPr>
            <w:tcW w:w="1276" w:type="dxa"/>
            <w:tcBorders>
              <w:top w:val="single" w:sz="4" w:space="0" w:color="auto"/>
              <w:bottom w:val="single" w:sz="4" w:space="0" w:color="auto"/>
            </w:tcBorders>
            <w:shd w:val="clear" w:color="auto" w:fill="E2EFD9" w:themeFill="accent6" w:themeFillTint="33"/>
          </w:tcPr>
          <w:p w14:paraId="50585F2B" w14:textId="77777777" w:rsidR="00AA0DCC" w:rsidRDefault="00AA0DCC" w:rsidP="00223E9A">
            <w:pPr>
              <w:pStyle w:val="Tabletext"/>
            </w:pPr>
            <w:r>
              <w:t>2</w:t>
            </w:r>
          </w:p>
        </w:tc>
        <w:tc>
          <w:tcPr>
            <w:tcW w:w="8505" w:type="dxa"/>
            <w:tcBorders>
              <w:top w:val="single" w:sz="4" w:space="0" w:color="auto"/>
              <w:bottom w:val="single" w:sz="4" w:space="0" w:color="auto"/>
            </w:tcBorders>
          </w:tcPr>
          <w:p w14:paraId="0F08CAC6" w14:textId="60A5B0A2" w:rsidR="00AA0DCC" w:rsidRDefault="00AA0DCC" w:rsidP="00223E9A">
            <w:pPr>
              <w:pStyle w:val="Tabletext"/>
            </w:pPr>
            <w:r>
              <w:t xml:space="preserve">Through the Office, all non-executive members are provided with ICT, accommodation, library and research facilities, which are, broadly speaking, regarded as </w:t>
            </w:r>
            <w:proofErr w:type="gramStart"/>
            <w:r>
              <w:t>sufficient</w:t>
            </w:r>
            <w:proofErr w:type="gramEnd"/>
            <w:r>
              <w:t xml:space="preserve"> to the support the roles and functions of the Assembly</w:t>
            </w:r>
          </w:p>
          <w:p w14:paraId="555C4CDC" w14:textId="4F761FC0" w:rsidR="00AA0DCC" w:rsidRDefault="00AA0DCC" w:rsidP="00223E9A">
            <w:pPr>
              <w:pStyle w:val="Tabletext"/>
            </w:pPr>
            <w:r>
              <w:t xml:space="preserve">Whether or not facilities are ‘sufficient’ in </w:t>
            </w:r>
            <w:proofErr w:type="gramStart"/>
            <w:r>
              <w:t>each and every</w:t>
            </w:r>
            <w:proofErr w:type="gramEnd"/>
            <w:r>
              <w:t xml:space="preserve"> case will sometimes be the subject of debate between members, the Office, and Treasury/the Government. </w:t>
            </w:r>
          </w:p>
          <w:p w14:paraId="6947C4CB" w14:textId="50FD75C7" w:rsidR="00AA0DCC" w:rsidRDefault="00AA0DCC" w:rsidP="00223E9A">
            <w:pPr>
              <w:pStyle w:val="Tabletext"/>
            </w:pPr>
            <w:r>
              <w:t xml:space="preserve">However, it is worth pointing out that there is a unique budgetary process that is given effect in the Financial Management Act (s 20AB) to ensure that the weight of Assembly opinion is considered on such a question. The Speaker must consult with the relevant standing committee and the Clerk on the budget for the Office of the Legislative Assembly (which provides many of the facilities mentioned), the Speaker then writes to the Treasurer with a recommended appropriation. Where the Treasurer presents an appropriation bill that varies from the recommended appropriation, the Treasurer must provide a statement of reasons to the Assembly. </w:t>
            </w:r>
          </w:p>
        </w:tc>
      </w:tr>
      <w:tr w:rsidR="00AA0DCC" w14:paraId="1F54757A" w14:textId="77777777" w:rsidTr="00527CCE">
        <w:trPr>
          <w:trHeight w:val="516"/>
        </w:trPr>
        <w:tc>
          <w:tcPr>
            <w:tcW w:w="5098" w:type="dxa"/>
            <w:tcBorders>
              <w:top w:val="single" w:sz="4" w:space="0" w:color="auto"/>
            </w:tcBorders>
            <w:shd w:val="clear" w:color="auto" w:fill="FFFFFF" w:themeFill="background1"/>
          </w:tcPr>
          <w:p w14:paraId="3AB8DBE6" w14:textId="4A817B69" w:rsidR="00AA0DCC" w:rsidRDefault="00AA0DCC" w:rsidP="00223E9A">
            <w:pPr>
              <w:pStyle w:val="Tabletextnumbered"/>
            </w:pPr>
            <w:r>
              <w:t>5.1.5 The Legislature shall take measures to ensure that women are represented at all levels of administration.</w:t>
            </w:r>
          </w:p>
        </w:tc>
        <w:tc>
          <w:tcPr>
            <w:tcW w:w="1276" w:type="dxa"/>
            <w:tcBorders>
              <w:top w:val="single" w:sz="4" w:space="0" w:color="auto"/>
            </w:tcBorders>
            <w:shd w:val="clear" w:color="auto" w:fill="FBE4D5" w:themeFill="accent2" w:themeFillTint="33"/>
          </w:tcPr>
          <w:p w14:paraId="60D8D587" w14:textId="77777777" w:rsidR="00AA0DCC" w:rsidRDefault="00AA0DCC" w:rsidP="00223E9A">
            <w:pPr>
              <w:pStyle w:val="Tabletext"/>
            </w:pPr>
            <w:r>
              <w:t>0</w:t>
            </w:r>
          </w:p>
        </w:tc>
        <w:tc>
          <w:tcPr>
            <w:tcW w:w="8505" w:type="dxa"/>
            <w:tcBorders>
              <w:top w:val="single" w:sz="4" w:space="0" w:color="auto"/>
              <w:bottom w:val="single" w:sz="4" w:space="0" w:color="auto"/>
            </w:tcBorders>
          </w:tcPr>
          <w:p w14:paraId="56844079" w14:textId="77777777" w:rsidR="005010D4" w:rsidRDefault="00AA0DCC" w:rsidP="00223E9A">
            <w:pPr>
              <w:pStyle w:val="Tabletext"/>
            </w:pPr>
            <w:r>
              <w:t>There are no measures in place t</w:t>
            </w:r>
            <w:r w:rsidRPr="006F56CE">
              <w:t xml:space="preserve">o ‘ensure that women are represented at all levels of administration’. </w:t>
            </w:r>
          </w:p>
          <w:p w14:paraId="7984871D" w14:textId="01ACEDFB" w:rsidR="00AA0DCC" w:rsidRDefault="00AA0DCC" w:rsidP="00223E9A">
            <w:pPr>
              <w:pStyle w:val="Tabletext"/>
            </w:pPr>
            <w:r>
              <w:t>As with elsewhere in the Australian public sector, the merit principle is applied in relation to all appointments at all levels of administration</w:t>
            </w:r>
            <w:r w:rsidR="00C370D2">
              <w:t>.</w:t>
            </w:r>
          </w:p>
          <w:p w14:paraId="7ABE182B" w14:textId="4553CFD1" w:rsidR="00AA0DCC" w:rsidRDefault="00AA0DCC" w:rsidP="00223E9A">
            <w:pPr>
              <w:pStyle w:val="Tabletext"/>
            </w:pPr>
            <w:r>
              <w:t xml:space="preserve">While there is no barrier to encouraging women to apply for particular positions within a public sector organisation, any measure that is designed to ‘ensure’ that one category of person over another is considered for a position on the basis of an attribute (e.g. sex or gender) unrelated to a person’s merit, cannot, under current legislative arrangements be adopted. </w:t>
            </w:r>
          </w:p>
        </w:tc>
      </w:tr>
    </w:tbl>
    <w:p w14:paraId="172ED175" w14:textId="77777777" w:rsidR="0079283D" w:rsidRDefault="0079283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7E5A666B" w14:textId="77777777" w:rsidTr="00527CCE">
        <w:trPr>
          <w:trHeight w:val="1332"/>
        </w:trPr>
        <w:tc>
          <w:tcPr>
            <w:tcW w:w="5098" w:type="dxa"/>
            <w:tcBorders>
              <w:bottom w:val="single" w:sz="4" w:space="0" w:color="auto"/>
            </w:tcBorders>
            <w:shd w:val="clear" w:color="auto" w:fill="FFFFFF" w:themeFill="background1"/>
          </w:tcPr>
          <w:p w14:paraId="062B8917" w14:textId="08289027" w:rsidR="00AA0DCC" w:rsidRDefault="00AA0DCC" w:rsidP="00B91F0A"/>
        </w:tc>
        <w:tc>
          <w:tcPr>
            <w:tcW w:w="1276" w:type="dxa"/>
            <w:tcBorders>
              <w:bottom w:val="single" w:sz="4" w:space="0" w:color="auto"/>
            </w:tcBorders>
            <w:shd w:val="clear" w:color="auto" w:fill="FBE4D5" w:themeFill="accent2" w:themeFillTint="33"/>
          </w:tcPr>
          <w:p w14:paraId="4F36DA92" w14:textId="77777777" w:rsidR="00AA0DCC" w:rsidRDefault="00AA0DCC" w:rsidP="00223E9A">
            <w:pPr>
              <w:pStyle w:val="Tabletext"/>
            </w:pPr>
          </w:p>
        </w:tc>
        <w:tc>
          <w:tcPr>
            <w:tcW w:w="8505" w:type="dxa"/>
            <w:tcBorders>
              <w:top w:val="single" w:sz="4" w:space="0" w:color="auto"/>
              <w:bottom w:val="single" w:sz="4" w:space="0" w:color="auto"/>
            </w:tcBorders>
          </w:tcPr>
          <w:p w14:paraId="066BFB1E" w14:textId="0A3A0949" w:rsidR="00AA0DCC" w:rsidRDefault="00AA0DCC" w:rsidP="00223E9A">
            <w:pPr>
              <w:pStyle w:val="Tabletext"/>
            </w:pPr>
            <w:r>
              <w:t>The implementation of measures to ‘</w:t>
            </w:r>
            <w:r w:rsidRPr="006F56CE">
              <w:rPr>
                <w:i/>
              </w:rPr>
              <w:t xml:space="preserve">ensure’ </w:t>
            </w:r>
            <w:r w:rsidRPr="006F56CE">
              <w:t>that</w:t>
            </w:r>
            <w:r>
              <w:t xml:space="preserve"> women are represented at all levels of administration’ would almost certainly contravene the </w:t>
            </w:r>
            <w:r w:rsidRPr="007D4621">
              <w:rPr>
                <w:i/>
              </w:rPr>
              <w:t>Discrimination Act 1991</w:t>
            </w:r>
            <w:r>
              <w:t xml:space="preserve">, which establishes that a person’s sex and a person’s gender identity are ‘protected attributes’. </w:t>
            </w:r>
          </w:p>
          <w:p w14:paraId="07953DC4" w14:textId="7CB54386" w:rsidR="00AA0DCC" w:rsidRDefault="00AA0DCC" w:rsidP="00223E9A">
            <w:pPr>
              <w:pStyle w:val="Tabletext"/>
            </w:pPr>
            <w:r>
              <w:t xml:space="preserve">Section 8 of that Act, </w:t>
            </w:r>
            <w:r w:rsidRPr="0081540B">
              <w:rPr>
                <w:i/>
              </w:rPr>
              <w:t>inter alia</w:t>
            </w:r>
            <w:r>
              <w:t>, provides that:</w:t>
            </w:r>
          </w:p>
          <w:p w14:paraId="036F2A99" w14:textId="27E7722F" w:rsidR="00AA0DCC" w:rsidRDefault="00AA0DCC" w:rsidP="00223E9A">
            <w:pPr>
              <w:pStyle w:val="Tabletextbullet"/>
            </w:pPr>
            <w:r>
              <w:t xml:space="preserve">A </w:t>
            </w:r>
            <w:r w:rsidRPr="00477C95">
              <w:t>person directly discriminates</w:t>
            </w:r>
            <w:r>
              <w:t xml:space="preserve"> </w:t>
            </w:r>
            <w:r w:rsidRPr="00477C95">
              <w:t xml:space="preserve">against someone else if the person treats, or proposes to treat, another person unfavourably because the other person has 1 or more protected attributes. </w:t>
            </w:r>
          </w:p>
          <w:p w14:paraId="5AC1F15E" w14:textId="7A262C33" w:rsidR="00AA0DCC" w:rsidRDefault="00AA0DCC" w:rsidP="00223E9A">
            <w:pPr>
              <w:pStyle w:val="Tabletextbullet"/>
            </w:pPr>
            <w:r>
              <w:t>A</w:t>
            </w:r>
            <w:r w:rsidRPr="00477C95">
              <w:t xml:space="preserve"> person indirectly discriminates against someone else if the person </w:t>
            </w:r>
            <w:r w:rsidR="00223E9A">
              <w:t>i</w:t>
            </w:r>
            <w:r w:rsidRPr="00477C95">
              <w:t>mposes, or proposes to impose, a condition or requirement that has, or is likely to have, the effect of</w:t>
            </w:r>
            <w:r>
              <w:t xml:space="preserve"> </w:t>
            </w:r>
            <w:r w:rsidRPr="00477C95">
              <w:t>disadvantaging the other person because the other person has 1 or more protected attributes.</w:t>
            </w:r>
          </w:p>
          <w:p w14:paraId="5D558F6B" w14:textId="7CC78C5A" w:rsidR="00AA0DCC" w:rsidRDefault="00AA0DCC" w:rsidP="00223E9A">
            <w:pPr>
              <w:pStyle w:val="Tabletext"/>
            </w:pPr>
            <w:r w:rsidRPr="00CB7102">
              <w:t>It is also observed that this benchmark would appear to conflict with benchmark 5.3.1</w:t>
            </w:r>
            <w:r>
              <w:t>,</w:t>
            </w:r>
            <w:r w:rsidRPr="00CB7102">
              <w:t xml:space="preserve"> which proposes that ‘Recruitment and promotion of non-partisan staff shall be </w:t>
            </w:r>
            <w:r w:rsidRPr="005010D4">
              <w:rPr>
                <w:b/>
              </w:rPr>
              <w:t xml:space="preserve">on </w:t>
            </w:r>
            <w:r w:rsidRPr="00F4322D">
              <w:rPr>
                <w:b/>
              </w:rPr>
              <w:t xml:space="preserve">the basis of merit and equal opportunity’ </w:t>
            </w:r>
            <w:r w:rsidRPr="006F56CE">
              <w:t>and 5.2.2 which proposes that ‘recruitment procedures… shall not discriminate… recruitment of staff on the basis of race, ethnicity, religion, gender, disability</w:t>
            </w:r>
            <w:r>
              <w:t>…’.</w:t>
            </w:r>
          </w:p>
        </w:tc>
      </w:tr>
      <w:tr w:rsidR="00AA0DCC" w:rsidRPr="007D4621" w14:paraId="73D538CE"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6D181905" w14:textId="77777777" w:rsidR="00AA0DCC" w:rsidRPr="007D4621" w:rsidRDefault="00AA0DCC" w:rsidP="00C30366">
            <w:pPr>
              <w:pStyle w:val="Tableheading3"/>
            </w:pPr>
            <w:r w:rsidRPr="007D4621">
              <w:t xml:space="preserve">Recruitment </w:t>
            </w:r>
          </w:p>
        </w:tc>
        <w:tc>
          <w:tcPr>
            <w:tcW w:w="1276" w:type="dxa"/>
            <w:tcBorders>
              <w:top w:val="single" w:sz="4" w:space="0" w:color="auto"/>
              <w:left w:val="nil"/>
              <w:bottom w:val="single" w:sz="4" w:space="0" w:color="auto"/>
              <w:right w:val="nil"/>
            </w:tcBorders>
            <w:shd w:val="clear" w:color="auto" w:fill="F2F2F2" w:themeFill="background1" w:themeFillShade="F2"/>
          </w:tcPr>
          <w:p w14:paraId="5084C249" w14:textId="77777777" w:rsidR="00AA0DCC" w:rsidRPr="007D4621"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01E52E6" w14:textId="77777777" w:rsidR="00AA0DCC" w:rsidRPr="007D4621" w:rsidRDefault="00AA0DCC" w:rsidP="00C30366">
            <w:pPr>
              <w:pStyle w:val="Tableheading3"/>
            </w:pPr>
          </w:p>
        </w:tc>
      </w:tr>
      <w:tr w:rsidR="00AA0DCC" w14:paraId="3F829431" w14:textId="77777777" w:rsidTr="00C276E6">
        <w:tc>
          <w:tcPr>
            <w:tcW w:w="5098" w:type="dxa"/>
            <w:tcBorders>
              <w:top w:val="single" w:sz="4" w:space="0" w:color="auto"/>
              <w:bottom w:val="single" w:sz="4" w:space="0" w:color="auto"/>
            </w:tcBorders>
            <w:shd w:val="clear" w:color="auto" w:fill="FFFFFF" w:themeFill="background1"/>
          </w:tcPr>
          <w:p w14:paraId="21E1EC12" w14:textId="6DFDFD19" w:rsidR="00AA0DCC" w:rsidRDefault="00AA0DCC" w:rsidP="00223E9A">
            <w:pPr>
              <w:pStyle w:val="Tabletextnumbered"/>
            </w:pPr>
            <w:r>
              <w:t xml:space="preserve">5.2.1 The Legislature shall have adequate resources to recruit staff </w:t>
            </w:r>
            <w:proofErr w:type="gramStart"/>
            <w:r>
              <w:t>sufficient</w:t>
            </w:r>
            <w:proofErr w:type="gramEnd"/>
            <w:r>
              <w:t xml:space="preserve"> to fulfil its responsibilities. The rates of pay shall be broadly comparable to those in the public service.</w:t>
            </w:r>
          </w:p>
        </w:tc>
        <w:tc>
          <w:tcPr>
            <w:tcW w:w="1276" w:type="dxa"/>
            <w:tcBorders>
              <w:top w:val="single" w:sz="4" w:space="0" w:color="auto"/>
              <w:bottom w:val="single" w:sz="4" w:space="0" w:color="auto"/>
            </w:tcBorders>
            <w:shd w:val="clear" w:color="auto" w:fill="E2EFD9" w:themeFill="accent6" w:themeFillTint="33"/>
          </w:tcPr>
          <w:p w14:paraId="732A2323" w14:textId="77777777" w:rsidR="00AA0DCC" w:rsidRDefault="00AA0DCC" w:rsidP="00223E9A">
            <w:pPr>
              <w:pStyle w:val="Tabletext"/>
            </w:pPr>
            <w:r>
              <w:t>2</w:t>
            </w:r>
          </w:p>
        </w:tc>
        <w:tc>
          <w:tcPr>
            <w:tcW w:w="8505" w:type="dxa"/>
            <w:tcBorders>
              <w:top w:val="single" w:sz="4" w:space="0" w:color="auto"/>
              <w:bottom w:val="single" w:sz="4" w:space="0" w:color="auto"/>
            </w:tcBorders>
          </w:tcPr>
          <w:p w14:paraId="3292E330" w14:textId="173BC60D" w:rsidR="00AA0DCC" w:rsidRDefault="00AA0DCC" w:rsidP="00223E9A">
            <w:pPr>
              <w:pStyle w:val="Tabletext"/>
            </w:pPr>
            <w:r>
              <w:t xml:space="preserve">The rates of pay payable to staff of the Office are the same as those payable to persons occupying the same job classifications as those working in the public service. </w:t>
            </w:r>
          </w:p>
          <w:p w14:paraId="6B5A9897" w14:textId="77777777" w:rsidR="00AA0DCC" w:rsidRDefault="00AA0DCC" w:rsidP="00223E9A">
            <w:pPr>
              <w:pStyle w:val="Tabletext"/>
            </w:pPr>
            <w:r>
              <w:t xml:space="preserve">Financial resources are provided by way of a standalone appropriation to the Office and the Speaker must consult with an all-party committee (the Standing Committee on Administration and Procedure) prior to making a ‘recommended appropriation’ to the Office (thereby giving members an opportunity to express a view on the adequacy of funding and associated resources).  </w:t>
            </w:r>
          </w:p>
        </w:tc>
      </w:tr>
      <w:tr w:rsidR="00AA0DCC" w14:paraId="4E51C4C9" w14:textId="77777777" w:rsidTr="00C276E6">
        <w:tc>
          <w:tcPr>
            <w:tcW w:w="5098" w:type="dxa"/>
            <w:tcBorders>
              <w:top w:val="single" w:sz="4" w:space="0" w:color="auto"/>
              <w:bottom w:val="single" w:sz="4" w:space="0" w:color="auto"/>
            </w:tcBorders>
            <w:shd w:val="clear" w:color="auto" w:fill="FFFFFF" w:themeFill="background1"/>
          </w:tcPr>
          <w:p w14:paraId="23741044" w14:textId="3AF398AE" w:rsidR="00AA0DCC" w:rsidRDefault="00AA0DCC" w:rsidP="00223E9A">
            <w:pPr>
              <w:pStyle w:val="Tabletextnumbered"/>
            </w:pPr>
            <w:r>
              <w:t xml:space="preserve">5.2.2 The Legislature shall have transparent and objective recruitment procedures that shall not discriminate in its recruitment of staff </w:t>
            </w:r>
            <w:proofErr w:type="gramStart"/>
            <w:r>
              <w:t>on the basis of</w:t>
            </w:r>
            <w:proofErr w:type="gramEnd"/>
            <w:r>
              <w:t xml:space="preserve"> race, ethnicity, religion, gender, disability, or, in the case of non-partisan staff, party affiliation.</w:t>
            </w:r>
          </w:p>
        </w:tc>
        <w:tc>
          <w:tcPr>
            <w:tcW w:w="1276" w:type="dxa"/>
            <w:tcBorders>
              <w:top w:val="single" w:sz="4" w:space="0" w:color="auto"/>
              <w:bottom w:val="single" w:sz="4" w:space="0" w:color="auto"/>
            </w:tcBorders>
            <w:shd w:val="clear" w:color="auto" w:fill="E2EFD9" w:themeFill="accent6" w:themeFillTint="33"/>
          </w:tcPr>
          <w:p w14:paraId="36A0D00E" w14:textId="77777777" w:rsidR="00AA0DCC" w:rsidRDefault="00AA0DCC" w:rsidP="00223E9A">
            <w:pPr>
              <w:pStyle w:val="Tabletext"/>
            </w:pPr>
            <w:r>
              <w:t>2</w:t>
            </w:r>
          </w:p>
        </w:tc>
        <w:tc>
          <w:tcPr>
            <w:tcW w:w="8505" w:type="dxa"/>
            <w:tcBorders>
              <w:top w:val="single" w:sz="4" w:space="0" w:color="auto"/>
              <w:bottom w:val="single" w:sz="4" w:space="0" w:color="auto"/>
            </w:tcBorders>
          </w:tcPr>
          <w:p w14:paraId="71ABDA51" w14:textId="3B585660" w:rsidR="00AA0DCC" w:rsidRDefault="00AA0DCC" w:rsidP="00223E9A">
            <w:pPr>
              <w:pStyle w:val="Tabletext"/>
            </w:pPr>
            <w:r>
              <w:t>The Office’s recruitment procedures are governed by the relevant provisions of the OLA Act, the Public Sector Management Act, the Public Sector Management Standards 2016, and the Discrimination Act and the Office does not discriminate on the basis</w:t>
            </w:r>
            <w:r w:rsidR="005010D4">
              <w:t>—positively or negatively—</w:t>
            </w:r>
            <w:r>
              <w:t xml:space="preserve">of any protected attribute including race, ethnicity, religion, gender, or disability. </w:t>
            </w:r>
          </w:p>
        </w:tc>
      </w:tr>
      <w:tr w:rsidR="00AA0DCC" w:rsidRPr="00C63313" w14:paraId="53D781BA"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1F73A59" w14:textId="059FC126" w:rsidR="00AA0DCC" w:rsidRPr="00C63313" w:rsidRDefault="00AA0DCC" w:rsidP="00C30366">
            <w:pPr>
              <w:pStyle w:val="Tableheading3"/>
            </w:pPr>
            <w:r w:rsidRPr="00C63313">
              <w:lastRenderedPageBreak/>
              <w:t>Organisation and management</w:t>
            </w:r>
          </w:p>
        </w:tc>
        <w:tc>
          <w:tcPr>
            <w:tcW w:w="1276" w:type="dxa"/>
            <w:tcBorders>
              <w:top w:val="single" w:sz="4" w:space="0" w:color="auto"/>
              <w:left w:val="nil"/>
              <w:bottom w:val="single" w:sz="4" w:space="0" w:color="auto"/>
              <w:right w:val="nil"/>
            </w:tcBorders>
            <w:shd w:val="clear" w:color="auto" w:fill="F2F2F2" w:themeFill="background1" w:themeFillShade="F2"/>
          </w:tcPr>
          <w:p w14:paraId="74862E50" w14:textId="77777777" w:rsidR="00AA0DCC" w:rsidRPr="00C63313"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5AABA5ED" w14:textId="77777777" w:rsidR="00AA0DCC" w:rsidRPr="00C63313" w:rsidRDefault="00AA0DCC" w:rsidP="00C30366">
            <w:pPr>
              <w:pStyle w:val="Tableheading3"/>
            </w:pPr>
          </w:p>
        </w:tc>
      </w:tr>
      <w:tr w:rsidR="00AA0DCC" w14:paraId="6FD1D6B5" w14:textId="77777777" w:rsidTr="00527CCE">
        <w:tc>
          <w:tcPr>
            <w:tcW w:w="5098" w:type="dxa"/>
            <w:tcBorders>
              <w:top w:val="single" w:sz="4" w:space="0" w:color="auto"/>
              <w:bottom w:val="single" w:sz="4" w:space="0" w:color="auto"/>
            </w:tcBorders>
            <w:shd w:val="clear" w:color="auto" w:fill="FFFFFF" w:themeFill="background1"/>
          </w:tcPr>
          <w:p w14:paraId="0D9895BD" w14:textId="77777777" w:rsidR="00AA0DCC" w:rsidRDefault="00AA0DCC" w:rsidP="00223E9A">
            <w:pPr>
              <w:pStyle w:val="Tabletextnumbered"/>
            </w:pPr>
            <w:r>
              <w:t>5.4.1 The head of the parliamentary service shall have a form of protected status defined in legislation or in the Constitution to prevent undue political pressure.</w:t>
            </w:r>
          </w:p>
        </w:tc>
        <w:tc>
          <w:tcPr>
            <w:tcW w:w="1276" w:type="dxa"/>
            <w:tcBorders>
              <w:top w:val="single" w:sz="4" w:space="0" w:color="auto"/>
              <w:bottom w:val="single" w:sz="4" w:space="0" w:color="auto"/>
            </w:tcBorders>
            <w:shd w:val="clear" w:color="auto" w:fill="FFF2CC" w:themeFill="accent4" w:themeFillTint="33"/>
          </w:tcPr>
          <w:p w14:paraId="31B52CFB" w14:textId="77777777" w:rsidR="00AA0DCC" w:rsidRDefault="00AA0DCC" w:rsidP="00223E9A">
            <w:pPr>
              <w:pStyle w:val="Tabletext"/>
            </w:pPr>
            <w:r>
              <w:t>1</w:t>
            </w:r>
          </w:p>
        </w:tc>
        <w:tc>
          <w:tcPr>
            <w:tcW w:w="8505" w:type="dxa"/>
            <w:tcBorders>
              <w:top w:val="single" w:sz="4" w:space="0" w:color="auto"/>
              <w:bottom w:val="single" w:sz="4" w:space="0" w:color="auto"/>
            </w:tcBorders>
          </w:tcPr>
          <w:p w14:paraId="0E8B714D" w14:textId="6437EDBF" w:rsidR="00AA0DCC" w:rsidRDefault="00AA0DCC" w:rsidP="00223E9A">
            <w:pPr>
              <w:pStyle w:val="Tabletext"/>
            </w:pPr>
            <w:r>
              <w:t xml:space="preserve">The independence of the Office is protected from executive interference by way of s 8 of the OLA Act, which provides that ‘The clerk and the office’s staff are not subject to the direction by the Executive or any Minister in the exercise of their functions’. </w:t>
            </w:r>
          </w:p>
          <w:p w14:paraId="707BFFFF" w14:textId="77777777" w:rsidR="005010D4" w:rsidRDefault="00AA0DCC" w:rsidP="00223E9A">
            <w:pPr>
              <w:pStyle w:val="Tabletext"/>
            </w:pPr>
            <w:r>
              <w:t xml:space="preserve">However, other than convention and practice, there are no legislative protections affording a broader protection from political interference. </w:t>
            </w:r>
          </w:p>
          <w:p w14:paraId="3C63C71A" w14:textId="6018C72E" w:rsidR="00AA0DCC" w:rsidRDefault="00AA0DCC" w:rsidP="00223E9A">
            <w:pPr>
              <w:pStyle w:val="Tabletext"/>
            </w:pPr>
            <w:r>
              <w:t xml:space="preserve">This could be remedied by the inclusion of an additional provision in the OLA Act to protect the Office, the Clerk, and staff of the Office from broader political influence or pressure and not just interference on the part of the executive.   </w:t>
            </w:r>
          </w:p>
        </w:tc>
      </w:tr>
      <w:tr w:rsidR="00AA0DCC" w14:paraId="11469133" w14:textId="77777777" w:rsidTr="00C276E6">
        <w:tc>
          <w:tcPr>
            <w:tcW w:w="5098" w:type="dxa"/>
            <w:tcBorders>
              <w:top w:val="single" w:sz="4" w:space="0" w:color="auto"/>
              <w:bottom w:val="single" w:sz="4" w:space="0" w:color="auto"/>
            </w:tcBorders>
            <w:shd w:val="clear" w:color="auto" w:fill="FFFFFF" w:themeFill="background1"/>
          </w:tcPr>
          <w:p w14:paraId="6026E05A" w14:textId="77777777" w:rsidR="00AA0DCC" w:rsidRDefault="00AA0DCC" w:rsidP="00223E9A">
            <w:pPr>
              <w:pStyle w:val="Tabletextnumbered"/>
            </w:pPr>
            <w:r>
              <w:t>5.4.2 The remuneration of the head of the parliamentary service shall be set by an independent body or mechanism.</w:t>
            </w:r>
          </w:p>
        </w:tc>
        <w:tc>
          <w:tcPr>
            <w:tcW w:w="1276" w:type="dxa"/>
            <w:tcBorders>
              <w:top w:val="single" w:sz="4" w:space="0" w:color="auto"/>
              <w:bottom w:val="single" w:sz="4" w:space="0" w:color="auto"/>
            </w:tcBorders>
            <w:shd w:val="clear" w:color="auto" w:fill="E2EFD9" w:themeFill="accent6" w:themeFillTint="33"/>
          </w:tcPr>
          <w:p w14:paraId="4E79CD9D" w14:textId="77777777" w:rsidR="00AA0DCC" w:rsidRDefault="00AA0DCC" w:rsidP="00223E9A">
            <w:pPr>
              <w:pStyle w:val="Tabletext"/>
            </w:pPr>
            <w:r>
              <w:t>2</w:t>
            </w:r>
          </w:p>
        </w:tc>
        <w:tc>
          <w:tcPr>
            <w:tcW w:w="8505" w:type="dxa"/>
            <w:tcBorders>
              <w:top w:val="single" w:sz="4" w:space="0" w:color="auto"/>
              <w:bottom w:val="single" w:sz="4" w:space="0" w:color="auto"/>
            </w:tcBorders>
          </w:tcPr>
          <w:p w14:paraId="31D1CF9C" w14:textId="77777777" w:rsidR="00AA0DCC" w:rsidRDefault="00AA0DCC" w:rsidP="00223E9A">
            <w:pPr>
              <w:pStyle w:val="Tabletext"/>
            </w:pPr>
            <w:r>
              <w:t>The Clerk is remunerated in accordance with a determination made by the independent Remuneration Tribunal pursuant to s 9(4) of the OLA Act.</w:t>
            </w:r>
          </w:p>
        </w:tc>
      </w:tr>
      <w:tr w:rsidR="00AA0DCC" w14:paraId="56D0CE6C" w14:textId="77777777" w:rsidTr="00C276E6">
        <w:tc>
          <w:tcPr>
            <w:tcW w:w="5098" w:type="dxa"/>
            <w:tcBorders>
              <w:top w:val="single" w:sz="4" w:space="0" w:color="auto"/>
              <w:bottom w:val="single" w:sz="4" w:space="0" w:color="auto"/>
            </w:tcBorders>
            <w:shd w:val="clear" w:color="auto" w:fill="FFFFFF" w:themeFill="background1"/>
          </w:tcPr>
          <w:p w14:paraId="50295B32" w14:textId="448B3B8C" w:rsidR="00AA0DCC" w:rsidRDefault="00AA0DCC" w:rsidP="00223E9A">
            <w:pPr>
              <w:pStyle w:val="Tabletextnumbered"/>
            </w:pPr>
            <w:r>
              <w:t>5.4.3 The Legislature should, either by legislation or resolution, establish a corporate body responsible for providing services and funding entitlements for parliamentary purposes and providing for governance of the parliamentary service.</w:t>
            </w:r>
          </w:p>
        </w:tc>
        <w:tc>
          <w:tcPr>
            <w:tcW w:w="1276" w:type="dxa"/>
            <w:tcBorders>
              <w:top w:val="single" w:sz="4" w:space="0" w:color="auto"/>
              <w:bottom w:val="single" w:sz="4" w:space="0" w:color="auto"/>
            </w:tcBorders>
            <w:shd w:val="clear" w:color="auto" w:fill="E2EFD9" w:themeFill="accent6" w:themeFillTint="33"/>
          </w:tcPr>
          <w:p w14:paraId="5D9C79F5" w14:textId="77777777" w:rsidR="00AA0DCC" w:rsidRDefault="00AA0DCC" w:rsidP="00223E9A">
            <w:pPr>
              <w:pStyle w:val="Tabletext"/>
            </w:pPr>
            <w:r>
              <w:t>2</w:t>
            </w:r>
          </w:p>
        </w:tc>
        <w:tc>
          <w:tcPr>
            <w:tcW w:w="8505" w:type="dxa"/>
            <w:tcBorders>
              <w:top w:val="single" w:sz="4" w:space="0" w:color="auto"/>
              <w:bottom w:val="single" w:sz="4" w:space="0" w:color="auto"/>
            </w:tcBorders>
          </w:tcPr>
          <w:p w14:paraId="56FFA251" w14:textId="77777777" w:rsidR="00AA0DCC" w:rsidRDefault="00AA0DCC" w:rsidP="00223E9A">
            <w:pPr>
              <w:pStyle w:val="Tabletext"/>
            </w:pPr>
            <w:r>
              <w:t xml:space="preserve">Section 6 of the OLA Act establishes the statutory functions of the Office including to provide a range of administrative and advisory services to members. Section 6(1)(f) provides that it is a function of the Office to provide ‘business support functions, including administering the entitlements of members who are not part of the Executive’. </w:t>
            </w:r>
          </w:p>
          <w:p w14:paraId="0EF249EC" w14:textId="77777777" w:rsidR="00AA0DCC" w:rsidRDefault="00AA0DCC" w:rsidP="00223E9A">
            <w:pPr>
              <w:pStyle w:val="Tabletext"/>
            </w:pPr>
            <w:r>
              <w:t xml:space="preserve">The ACT Public Service administers this function in relation to members of the executive. </w:t>
            </w:r>
          </w:p>
        </w:tc>
      </w:tr>
      <w:tr w:rsidR="00AA0DCC" w14:paraId="02C1F91C" w14:textId="77777777" w:rsidTr="00C276E6">
        <w:tc>
          <w:tcPr>
            <w:tcW w:w="5098" w:type="dxa"/>
            <w:tcBorders>
              <w:top w:val="single" w:sz="4" w:space="0" w:color="auto"/>
              <w:bottom w:val="single" w:sz="4" w:space="0" w:color="auto"/>
            </w:tcBorders>
            <w:shd w:val="clear" w:color="auto" w:fill="FFFFFF" w:themeFill="background1"/>
          </w:tcPr>
          <w:p w14:paraId="238BE2AC" w14:textId="77777777" w:rsidR="00AA0DCC" w:rsidRDefault="00AA0DCC" w:rsidP="00223E9A">
            <w:pPr>
              <w:pStyle w:val="Tabletextnumbered"/>
            </w:pPr>
            <w:r>
              <w:t xml:space="preserve">5.4.4 </w:t>
            </w:r>
            <w:r w:rsidRPr="00C63313">
              <w:t>All staff shall be subject to a code of conduct.</w:t>
            </w:r>
          </w:p>
        </w:tc>
        <w:tc>
          <w:tcPr>
            <w:tcW w:w="1276" w:type="dxa"/>
            <w:tcBorders>
              <w:top w:val="single" w:sz="4" w:space="0" w:color="auto"/>
              <w:bottom w:val="single" w:sz="4" w:space="0" w:color="auto"/>
            </w:tcBorders>
            <w:shd w:val="clear" w:color="auto" w:fill="E2EFD9" w:themeFill="accent6" w:themeFillTint="33"/>
          </w:tcPr>
          <w:p w14:paraId="4883A75E" w14:textId="77777777" w:rsidR="00AA0DCC" w:rsidRDefault="00AA0DCC" w:rsidP="00223E9A">
            <w:pPr>
              <w:pStyle w:val="Tabletext"/>
            </w:pPr>
            <w:r>
              <w:t>2</w:t>
            </w:r>
          </w:p>
        </w:tc>
        <w:tc>
          <w:tcPr>
            <w:tcW w:w="8505" w:type="dxa"/>
            <w:tcBorders>
              <w:top w:val="single" w:sz="4" w:space="0" w:color="auto"/>
              <w:bottom w:val="single" w:sz="4" w:space="0" w:color="auto"/>
            </w:tcBorders>
          </w:tcPr>
          <w:p w14:paraId="7DB8948A" w14:textId="77777777" w:rsidR="00AA0DCC" w:rsidRDefault="00AA0DCC" w:rsidP="00223E9A">
            <w:pPr>
              <w:pStyle w:val="Tabletext"/>
            </w:pPr>
            <w:r>
              <w:t xml:space="preserve">All staff of the Office are subject to a Code of Conduct (See </w:t>
            </w:r>
            <w:hyperlink r:id="rId41" w:history="1">
              <w:r w:rsidRPr="00FA391F">
                <w:rPr>
                  <w:rStyle w:val="Hyperlink"/>
                </w:rPr>
                <w:t>https://legislation.act.gov.au/ni/2018-704/</w:t>
              </w:r>
            </w:hyperlink>
            <w:r>
              <w:t xml:space="preserve"> </w:t>
            </w:r>
          </w:p>
        </w:tc>
      </w:tr>
      <w:tr w:rsidR="00AA0DCC" w:rsidRPr="00584548" w14:paraId="5194B793"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667E4883" w14:textId="77777777" w:rsidR="00AA0DCC" w:rsidRPr="00584548" w:rsidRDefault="00AA0DCC" w:rsidP="00C30366">
            <w:pPr>
              <w:pStyle w:val="Tableheading2"/>
            </w:pPr>
            <w:r w:rsidRPr="00584548">
              <w:t>Legislative function</w:t>
            </w:r>
          </w:p>
        </w:tc>
        <w:tc>
          <w:tcPr>
            <w:tcW w:w="1276" w:type="dxa"/>
            <w:tcBorders>
              <w:top w:val="single" w:sz="4" w:space="0" w:color="auto"/>
              <w:left w:val="nil"/>
              <w:bottom w:val="single" w:sz="4" w:space="0" w:color="auto"/>
              <w:right w:val="nil"/>
            </w:tcBorders>
            <w:shd w:val="clear" w:color="auto" w:fill="F2F2F2" w:themeFill="background1" w:themeFillShade="F2"/>
          </w:tcPr>
          <w:p w14:paraId="15B0C347" w14:textId="77777777" w:rsidR="00AA0DCC" w:rsidRPr="00584548" w:rsidRDefault="00AA0DCC" w:rsidP="00C30366">
            <w:pPr>
              <w:pStyle w:val="Tableheading2"/>
            </w:pPr>
          </w:p>
        </w:tc>
        <w:tc>
          <w:tcPr>
            <w:tcW w:w="8505" w:type="dxa"/>
            <w:tcBorders>
              <w:top w:val="single" w:sz="4" w:space="0" w:color="auto"/>
              <w:left w:val="nil"/>
              <w:bottom w:val="single" w:sz="4" w:space="0" w:color="auto"/>
              <w:right w:val="nil"/>
            </w:tcBorders>
            <w:shd w:val="clear" w:color="auto" w:fill="F2F2F2" w:themeFill="background1" w:themeFillShade="F2"/>
          </w:tcPr>
          <w:p w14:paraId="394044AC" w14:textId="77777777" w:rsidR="00AA0DCC" w:rsidRPr="00584548" w:rsidRDefault="00AA0DCC" w:rsidP="00C30366">
            <w:pPr>
              <w:pStyle w:val="Tableheading2"/>
            </w:pPr>
          </w:p>
        </w:tc>
      </w:tr>
      <w:tr w:rsidR="00AA0DCC" w:rsidRPr="00584548" w14:paraId="2D5CB684"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5153635C" w14:textId="77777777" w:rsidR="00AA0DCC" w:rsidRPr="00584548" w:rsidRDefault="00AA0DCC" w:rsidP="00C30366">
            <w:pPr>
              <w:pStyle w:val="Tableheading3"/>
            </w:pPr>
            <w:r w:rsidRPr="00584548">
              <w:t>General</w:t>
            </w:r>
          </w:p>
        </w:tc>
        <w:tc>
          <w:tcPr>
            <w:tcW w:w="1276" w:type="dxa"/>
            <w:tcBorders>
              <w:top w:val="single" w:sz="4" w:space="0" w:color="auto"/>
              <w:left w:val="nil"/>
              <w:bottom w:val="single" w:sz="4" w:space="0" w:color="auto"/>
              <w:right w:val="nil"/>
            </w:tcBorders>
            <w:shd w:val="clear" w:color="auto" w:fill="F2F2F2" w:themeFill="background1" w:themeFillShade="F2"/>
          </w:tcPr>
          <w:p w14:paraId="07179BEA" w14:textId="77777777" w:rsidR="00AA0DCC" w:rsidRPr="00584548"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2FC50B2B" w14:textId="77777777" w:rsidR="00AA0DCC" w:rsidRPr="00584548" w:rsidRDefault="00AA0DCC" w:rsidP="00C30366">
            <w:pPr>
              <w:pStyle w:val="Tableheading3"/>
            </w:pPr>
          </w:p>
        </w:tc>
      </w:tr>
      <w:tr w:rsidR="00AA0DCC" w14:paraId="505CD219" w14:textId="77777777" w:rsidTr="00C276E6">
        <w:tc>
          <w:tcPr>
            <w:tcW w:w="5098" w:type="dxa"/>
            <w:tcBorders>
              <w:top w:val="single" w:sz="4" w:space="0" w:color="auto"/>
              <w:bottom w:val="single" w:sz="4" w:space="0" w:color="auto"/>
            </w:tcBorders>
            <w:shd w:val="clear" w:color="auto" w:fill="FFFFFF" w:themeFill="background1"/>
          </w:tcPr>
          <w:p w14:paraId="58D2B90C" w14:textId="77777777" w:rsidR="00AA0DCC" w:rsidRDefault="00AA0DCC" w:rsidP="00130A3F">
            <w:pPr>
              <w:pStyle w:val="Tabletextnumbered"/>
            </w:pPr>
            <w:r>
              <w:t>6.1.1 The approval of the Legislature is required for the passage of all legislation, including budgets.</w:t>
            </w:r>
          </w:p>
        </w:tc>
        <w:tc>
          <w:tcPr>
            <w:tcW w:w="1276" w:type="dxa"/>
            <w:tcBorders>
              <w:top w:val="single" w:sz="4" w:space="0" w:color="auto"/>
              <w:bottom w:val="single" w:sz="4" w:space="0" w:color="auto"/>
            </w:tcBorders>
            <w:shd w:val="clear" w:color="auto" w:fill="E2EFD9" w:themeFill="accent6" w:themeFillTint="33"/>
          </w:tcPr>
          <w:p w14:paraId="2711EC0F" w14:textId="77777777" w:rsidR="00AA0DCC" w:rsidRDefault="00AA0DCC" w:rsidP="00130A3F">
            <w:pPr>
              <w:pStyle w:val="Tabletext"/>
            </w:pPr>
            <w:r>
              <w:t>2</w:t>
            </w:r>
          </w:p>
        </w:tc>
        <w:tc>
          <w:tcPr>
            <w:tcW w:w="8505" w:type="dxa"/>
            <w:tcBorders>
              <w:top w:val="single" w:sz="4" w:space="0" w:color="auto"/>
              <w:bottom w:val="single" w:sz="4" w:space="0" w:color="auto"/>
            </w:tcBorders>
          </w:tcPr>
          <w:p w14:paraId="7599C819" w14:textId="323AF3C5" w:rsidR="00AA0DCC" w:rsidRDefault="00AA0DCC" w:rsidP="00130A3F">
            <w:pPr>
              <w:pStyle w:val="Tabletext"/>
            </w:pPr>
            <w:r>
              <w:t>By reason of s 22 of the Self-Government Act, the Assembly has the power to make laws ‘for the peace, order and good government of the Territory’, including budgets. All statu</w:t>
            </w:r>
            <w:r w:rsidR="00A135C1">
              <w:t>t</w:t>
            </w:r>
            <w:r>
              <w:t>es, including appropriation legislation/budgets, must be passed by the Assembly to become operative.</w:t>
            </w:r>
          </w:p>
        </w:tc>
      </w:tr>
      <w:tr w:rsidR="00AA0DCC" w14:paraId="6E727643" w14:textId="77777777" w:rsidTr="00C276E6">
        <w:tc>
          <w:tcPr>
            <w:tcW w:w="5098" w:type="dxa"/>
            <w:tcBorders>
              <w:top w:val="single" w:sz="4" w:space="0" w:color="auto"/>
              <w:bottom w:val="single" w:sz="4" w:space="0" w:color="auto"/>
            </w:tcBorders>
            <w:shd w:val="clear" w:color="auto" w:fill="FFFFFF" w:themeFill="background1"/>
          </w:tcPr>
          <w:p w14:paraId="13F4F8F5" w14:textId="11BEA343" w:rsidR="00AA0DCC" w:rsidRDefault="00AA0DCC" w:rsidP="00130A3F">
            <w:pPr>
              <w:pStyle w:val="Tabletextnumbered"/>
            </w:pPr>
            <w:r>
              <w:lastRenderedPageBreak/>
              <w:t>6.1.2 The Legislature shall have the power to enact resolutions or other non-binding expressions of its will.</w:t>
            </w:r>
          </w:p>
        </w:tc>
        <w:tc>
          <w:tcPr>
            <w:tcW w:w="1276" w:type="dxa"/>
            <w:tcBorders>
              <w:top w:val="single" w:sz="4" w:space="0" w:color="auto"/>
              <w:bottom w:val="single" w:sz="4" w:space="0" w:color="auto"/>
            </w:tcBorders>
            <w:shd w:val="clear" w:color="auto" w:fill="E2EFD9" w:themeFill="accent6" w:themeFillTint="33"/>
          </w:tcPr>
          <w:p w14:paraId="37FF7A63" w14:textId="77777777" w:rsidR="00AA0DCC" w:rsidRDefault="00AA0DCC" w:rsidP="00130A3F">
            <w:pPr>
              <w:pStyle w:val="Tabletext"/>
            </w:pPr>
            <w:r>
              <w:t>2</w:t>
            </w:r>
          </w:p>
        </w:tc>
        <w:tc>
          <w:tcPr>
            <w:tcW w:w="8505" w:type="dxa"/>
            <w:tcBorders>
              <w:top w:val="single" w:sz="4" w:space="0" w:color="auto"/>
              <w:bottom w:val="single" w:sz="4" w:space="0" w:color="auto"/>
            </w:tcBorders>
          </w:tcPr>
          <w:p w14:paraId="5F070852" w14:textId="1056C6FA" w:rsidR="00AA0DCC" w:rsidRDefault="00AA0DCC" w:rsidP="00130A3F">
            <w:pPr>
              <w:pStyle w:val="Tabletext"/>
            </w:pPr>
            <w:r>
              <w:t>Resolutions are a key feature of Assembly proceedings and are addressed in relevant standing orders (see chapter 11).</w:t>
            </w:r>
          </w:p>
        </w:tc>
      </w:tr>
      <w:tr w:rsidR="00AA0DCC" w14:paraId="7E7CA001" w14:textId="77777777" w:rsidTr="00C276E6">
        <w:tc>
          <w:tcPr>
            <w:tcW w:w="5098" w:type="dxa"/>
            <w:tcBorders>
              <w:top w:val="single" w:sz="4" w:space="0" w:color="auto"/>
              <w:bottom w:val="single" w:sz="4" w:space="0" w:color="auto"/>
            </w:tcBorders>
            <w:shd w:val="clear" w:color="auto" w:fill="FFFFFF" w:themeFill="background1"/>
          </w:tcPr>
          <w:p w14:paraId="382FDB0E" w14:textId="77777777" w:rsidR="00AA0DCC" w:rsidRDefault="00AA0DCC" w:rsidP="00130A3F">
            <w:pPr>
              <w:pStyle w:val="Tabletextnumbered"/>
            </w:pPr>
            <w:r>
              <w:t>6.1.3 The Legislature shall scrutinize secondary, delegated or subordinate legislation including its authority and scope.</w:t>
            </w:r>
          </w:p>
        </w:tc>
        <w:tc>
          <w:tcPr>
            <w:tcW w:w="1276" w:type="dxa"/>
            <w:tcBorders>
              <w:top w:val="single" w:sz="4" w:space="0" w:color="auto"/>
              <w:bottom w:val="single" w:sz="4" w:space="0" w:color="auto"/>
            </w:tcBorders>
            <w:shd w:val="clear" w:color="auto" w:fill="E2EFD9" w:themeFill="accent6" w:themeFillTint="33"/>
          </w:tcPr>
          <w:p w14:paraId="1EF38586" w14:textId="77777777" w:rsidR="00AA0DCC" w:rsidRDefault="00AA0DCC" w:rsidP="00130A3F">
            <w:pPr>
              <w:pStyle w:val="Tabletext"/>
            </w:pPr>
            <w:r>
              <w:t>2</w:t>
            </w:r>
          </w:p>
        </w:tc>
        <w:tc>
          <w:tcPr>
            <w:tcW w:w="8505" w:type="dxa"/>
            <w:tcBorders>
              <w:top w:val="single" w:sz="4" w:space="0" w:color="auto"/>
              <w:bottom w:val="single" w:sz="4" w:space="0" w:color="auto"/>
            </w:tcBorders>
          </w:tcPr>
          <w:p w14:paraId="3949955E" w14:textId="14731EEF" w:rsidR="00AA0DCC" w:rsidRDefault="00AA0DCC" w:rsidP="00130A3F">
            <w:pPr>
              <w:pStyle w:val="Tabletext"/>
            </w:pPr>
            <w:r>
              <w:t xml:space="preserve">The </w:t>
            </w:r>
            <w:hyperlink r:id="rId42" w:history="1">
              <w:r w:rsidRPr="006A5F51">
                <w:rPr>
                  <w:rStyle w:val="Hyperlink"/>
                </w:rPr>
                <w:t>resolution of appointment</w:t>
              </w:r>
            </w:hyperlink>
            <w:r>
              <w:t xml:space="preserve"> of the  Standing Committee on Justice and Community Safety (Legislative Scrutiny Role) provides that the committee shall:</w:t>
            </w:r>
          </w:p>
          <w:p w14:paraId="6D8F747C" w14:textId="77777777" w:rsidR="00AA0DCC" w:rsidRDefault="00AA0DCC" w:rsidP="00130A3F">
            <w:pPr>
              <w:pStyle w:val="Tabletextindentnumberedlist"/>
            </w:pPr>
            <w:r>
              <w:t>(1)</w:t>
            </w:r>
            <w:r>
              <w:tab/>
              <w:t>consider whether any instrument of a legislative nature made under an Act which is subject to disallowance and/or disapproval by the Assembly (including a regulation, rule or by-law):</w:t>
            </w:r>
          </w:p>
          <w:p w14:paraId="1C0B4B01" w14:textId="0ADAC1A4" w:rsidR="00AA0DCC" w:rsidRDefault="00AA0DCC" w:rsidP="00130A3F">
            <w:pPr>
              <w:pStyle w:val="Tabletextindent2alphalist"/>
            </w:pPr>
            <w:r>
              <w:t>is in accord with the general objects of the Act under which it is made;</w:t>
            </w:r>
          </w:p>
          <w:p w14:paraId="2A783D2E" w14:textId="4C681608" w:rsidR="00AA0DCC" w:rsidRDefault="00AA0DCC" w:rsidP="00130A3F">
            <w:pPr>
              <w:pStyle w:val="Tabletextindent2alphalist"/>
            </w:pPr>
            <w:r>
              <w:t>unduly trespasses on rights previously established by law;</w:t>
            </w:r>
          </w:p>
          <w:p w14:paraId="7D97390D" w14:textId="50220C8B" w:rsidR="00AA0DCC" w:rsidRDefault="00AA0DCC" w:rsidP="00130A3F">
            <w:pPr>
              <w:pStyle w:val="Tabletextindent2alphalist"/>
            </w:pPr>
            <w:r>
              <w:t>makes rights, liberties and/or obligations unduly dependent upon non reviewable decisions; or</w:t>
            </w:r>
          </w:p>
          <w:p w14:paraId="6CC01ED8" w14:textId="45480FF4" w:rsidR="00AA0DCC" w:rsidRDefault="00AA0DCC" w:rsidP="00130A3F">
            <w:pPr>
              <w:pStyle w:val="Tabletextindent2alphalist"/>
            </w:pPr>
            <w:r>
              <w:t>contains matter which in the opinion of the Committee should properly be dealt with in an Act of the Legislative Assembly;</w:t>
            </w:r>
          </w:p>
          <w:p w14:paraId="7F15F709" w14:textId="6A24D252" w:rsidR="00AA0DCC" w:rsidRDefault="00AA0DCC" w:rsidP="00130A3F">
            <w:pPr>
              <w:pStyle w:val="Tabletextindentnumberedlist"/>
            </w:pPr>
            <w:r>
              <w:t>(2)</w:t>
            </w:r>
            <w:r>
              <w:tab/>
              <w:t>consider whether any explanatory statement or explanatory memorandum associated with legislation and any regulatory impact statement meets the technical or stylistic standards expected by the Committee</w:t>
            </w:r>
          </w:p>
        </w:tc>
      </w:tr>
      <w:tr w:rsidR="00AA0DCC" w14:paraId="75AE9725" w14:textId="77777777" w:rsidTr="00C276E6">
        <w:tc>
          <w:tcPr>
            <w:tcW w:w="5098" w:type="dxa"/>
            <w:tcBorders>
              <w:top w:val="single" w:sz="4" w:space="0" w:color="auto"/>
              <w:bottom w:val="single" w:sz="4" w:space="0" w:color="auto"/>
            </w:tcBorders>
            <w:shd w:val="clear" w:color="auto" w:fill="FFFFFF" w:themeFill="background1"/>
          </w:tcPr>
          <w:p w14:paraId="0E133C87" w14:textId="210D2337" w:rsidR="00AA0DCC" w:rsidRDefault="00AA0DCC" w:rsidP="00130A3F">
            <w:pPr>
              <w:pStyle w:val="Tabletextnumbered"/>
            </w:pPr>
            <w:r>
              <w:t>6.1.4 The Legislature shall provide adequate resources for legislators to draft legislation or amendments to any legislation.</w:t>
            </w:r>
          </w:p>
        </w:tc>
        <w:tc>
          <w:tcPr>
            <w:tcW w:w="1276" w:type="dxa"/>
            <w:tcBorders>
              <w:top w:val="single" w:sz="4" w:space="0" w:color="auto"/>
              <w:bottom w:val="single" w:sz="4" w:space="0" w:color="auto"/>
            </w:tcBorders>
            <w:shd w:val="clear" w:color="auto" w:fill="E2EFD9" w:themeFill="accent6" w:themeFillTint="33"/>
          </w:tcPr>
          <w:p w14:paraId="1305CBC1" w14:textId="77777777" w:rsidR="00AA0DCC" w:rsidRDefault="00AA0DCC" w:rsidP="00130A3F">
            <w:pPr>
              <w:pStyle w:val="Tabletext"/>
            </w:pPr>
            <w:r>
              <w:t>2</w:t>
            </w:r>
          </w:p>
        </w:tc>
        <w:tc>
          <w:tcPr>
            <w:tcW w:w="8505" w:type="dxa"/>
            <w:tcBorders>
              <w:top w:val="single" w:sz="4" w:space="0" w:color="auto"/>
              <w:bottom w:val="single" w:sz="4" w:space="0" w:color="auto"/>
            </w:tcBorders>
          </w:tcPr>
          <w:p w14:paraId="6066743E" w14:textId="77777777" w:rsidR="00AA0DCC" w:rsidRDefault="00AA0DCC" w:rsidP="00130A3F">
            <w:pPr>
              <w:pStyle w:val="Tabletext"/>
            </w:pPr>
            <w:r>
              <w:t xml:space="preserve">The resources of the Parliamentary Counsel’s Office make its resources available, as required, to draft legislation and amendments on behalf of all members.  </w:t>
            </w:r>
          </w:p>
        </w:tc>
      </w:tr>
      <w:tr w:rsidR="00AA0DCC" w14:paraId="242301CD" w14:textId="77777777" w:rsidTr="00527CCE">
        <w:trPr>
          <w:trHeight w:val="1208"/>
        </w:trPr>
        <w:tc>
          <w:tcPr>
            <w:tcW w:w="5098" w:type="dxa"/>
            <w:vMerge w:val="restart"/>
            <w:tcBorders>
              <w:top w:val="single" w:sz="4" w:space="0" w:color="auto"/>
            </w:tcBorders>
            <w:shd w:val="clear" w:color="auto" w:fill="FFFFFF" w:themeFill="background1"/>
          </w:tcPr>
          <w:p w14:paraId="45E96A9D" w14:textId="77777777" w:rsidR="00AA0DCC" w:rsidRDefault="00AA0DCC" w:rsidP="00130A3F">
            <w:pPr>
              <w:pStyle w:val="Tabletextnumbered"/>
            </w:pPr>
            <w:r>
              <w:t>6.1.5 The Legislature shall encourage the process of equality impact assessment with respect to the development of legislation, policies and budgets.</w:t>
            </w:r>
          </w:p>
        </w:tc>
        <w:tc>
          <w:tcPr>
            <w:tcW w:w="1276" w:type="dxa"/>
            <w:vMerge w:val="restart"/>
            <w:tcBorders>
              <w:top w:val="single" w:sz="4" w:space="0" w:color="auto"/>
            </w:tcBorders>
            <w:shd w:val="clear" w:color="auto" w:fill="FBE4D5" w:themeFill="accent2" w:themeFillTint="33"/>
          </w:tcPr>
          <w:p w14:paraId="26ABF2C3" w14:textId="46F6655C" w:rsidR="00AA0DCC" w:rsidRDefault="00A135C1" w:rsidP="00130A3F">
            <w:pPr>
              <w:pStyle w:val="Tabletext"/>
            </w:pPr>
            <w:r>
              <w:t>0</w:t>
            </w:r>
          </w:p>
        </w:tc>
        <w:tc>
          <w:tcPr>
            <w:tcW w:w="8505" w:type="dxa"/>
            <w:tcBorders>
              <w:top w:val="single" w:sz="4" w:space="0" w:color="auto"/>
              <w:bottom w:val="single" w:sz="4" w:space="0" w:color="auto"/>
            </w:tcBorders>
          </w:tcPr>
          <w:p w14:paraId="69D32825" w14:textId="77777777" w:rsidR="0079283D" w:rsidRDefault="00AA0DCC" w:rsidP="0079283D">
            <w:pPr>
              <w:pStyle w:val="Tabletext"/>
            </w:pPr>
            <w:r>
              <w:t>The Assembly has not, by resolution or by legislation, expressed a formal view on encouraging the adoption of ‘equality impact assessments’ in relation to legislation, policies and budgets.</w:t>
            </w:r>
          </w:p>
          <w:p w14:paraId="2D8CE1A2" w14:textId="006CDC72" w:rsidR="00AA0DCC" w:rsidRDefault="0079283D" w:rsidP="00130A3F">
            <w:pPr>
              <w:pStyle w:val="Tabletext"/>
            </w:pPr>
            <w:r w:rsidRPr="007C7B7D">
              <w:rPr>
                <w:b/>
              </w:rPr>
              <w:t>Sidebar:</w:t>
            </w:r>
            <w:r>
              <w:rPr>
                <w:b/>
              </w:rPr>
              <w:t xml:space="preserve"> </w:t>
            </w:r>
            <w:r>
              <w:t>Under the doctrine of the financial initiative of the executive, the framing of budgets is a matter for the Executive and the methods, values and policy choices that inform the development of a budget is a matter for the executive. Where the legislature disagrees with the choices of the executive (whether on the grounds of inequality or any other grounds) it can refuse to pass budget legislation.</w:t>
            </w:r>
          </w:p>
        </w:tc>
      </w:tr>
      <w:tr w:rsidR="00AA0DCC" w14:paraId="1D4307E9" w14:textId="77777777" w:rsidTr="00527CCE">
        <w:trPr>
          <w:trHeight w:val="658"/>
        </w:trPr>
        <w:tc>
          <w:tcPr>
            <w:tcW w:w="5098" w:type="dxa"/>
            <w:vMerge/>
            <w:tcBorders>
              <w:bottom w:val="single" w:sz="4" w:space="0" w:color="auto"/>
            </w:tcBorders>
            <w:shd w:val="clear" w:color="auto" w:fill="FFFFFF" w:themeFill="background1"/>
          </w:tcPr>
          <w:p w14:paraId="6E08E68B" w14:textId="3CA857A3" w:rsidR="00AA0DCC" w:rsidRDefault="00AA0DCC" w:rsidP="00584548"/>
        </w:tc>
        <w:tc>
          <w:tcPr>
            <w:tcW w:w="1276" w:type="dxa"/>
            <w:vMerge/>
            <w:tcBorders>
              <w:bottom w:val="single" w:sz="4" w:space="0" w:color="auto"/>
            </w:tcBorders>
            <w:shd w:val="clear" w:color="auto" w:fill="FBE4D5" w:themeFill="accent2" w:themeFillTint="33"/>
          </w:tcPr>
          <w:p w14:paraId="668150DD" w14:textId="77777777" w:rsidR="00AA0DCC" w:rsidRDefault="00AA0DCC" w:rsidP="00130A3F">
            <w:pPr>
              <w:pStyle w:val="Tabletext"/>
            </w:pPr>
          </w:p>
        </w:tc>
        <w:tc>
          <w:tcPr>
            <w:tcW w:w="8505" w:type="dxa"/>
            <w:tcBorders>
              <w:top w:val="single" w:sz="4" w:space="0" w:color="auto"/>
              <w:bottom w:val="single" w:sz="4" w:space="0" w:color="auto"/>
            </w:tcBorders>
          </w:tcPr>
          <w:p w14:paraId="7462A04F" w14:textId="720CE824" w:rsidR="00AA0DCC" w:rsidRDefault="00AA0DCC" w:rsidP="00130A3F">
            <w:pPr>
              <w:pStyle w:val="Tabletext"/>
            </w:pPr>
            <w:r>
              <w:t xml:space="preserve">Whether information about the impact of legislation, policies or budgets on equality is itself a policy question that is within the prerogative of the legislature to advance. </w:t>
            </w:r>
          </w:p>
          <w:p w14:paraId="548AF338" w14:textId="77777777" w:rsidR="00AA0DCC" w:rsidRDefault="00AA0DCC" w:rsidP="00130A3F">
            <w:pPr>
              <w:pStyle w:val="Tabletext"/>
            </w:pPr>
            <w:r>
              <w:t xml:space="preserve">The electoral process is responsible for selecting individuals and groups to represent the community via a grant of consent. Whether or not particular members, or a preponderance of members, support a </w:t>
            </w:r>
            <w:proofErr w:type="gramStart"/>
            <w:r>
              <w:t>particular program</w:t>
            </w:r>
            <w:proofErr w:type="gramEnd"/>
            <w:r>
              <w:t xml:space="preserve"> of equality assessment is a matter for the members and their electors, and does not inhere as fundamental function of the legislature.</w:t>
            </w:r>
          </w:p>
          <w:p w14:paraId="05700CE8" w14:textId="77777777" w:rsidR="00AA0DCC" w:rsidRDefault="00AA0DCC" w:rsidP="00130A3F">
            <w:pPr>
              <w:pStyle w:val="Tabletext"/>
            </w:pPr>
            <w:r>
              <w:t xml:space="preserve">The way in which such values around equality are given democratic expression is via the election of candidates who stand on platforms supporting these values, not via the adaptation of the institutional features of the legislature to comport with such values. </w:t>
            </w:r>
          </w:p>
        </w:tc>
      </w:tr>
      <w:tr w:rsidR="00AA0DCC" w:rsidRPr="004B44F0" w14:paraId="44D57917"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2F932D9E" w14:textId="77777777" w:rsidR="00AA0DCC" w:rsidRPr="004B44F0" w:rsidRDefault="00AA0DCC" w:rsidP="00C30366">
            <w:pPr>
              <w:pStyle w:val="Tableheading3"/>
            </w:pPr>
            <w:r w:rsidRPr="004B44F0">
              <w:t>Legislative procedure</w:t>
            </w:r>
          </w:p>
        </w:tc>
        <w:tc>
          <w:tcPr>
            <w:tcW w:w="1276" w:type="dxa"/>
            <w:tcBorders>
              <w:top w:val="single" w:sz="4" w:space="0" w:color="auto"/>
              <w:left w:val="nil"/>
              <w:bottom w:val="single" w:sz="4" w:space="0" w:color="auto"/>
              <w:right w:val="nil"/>
            </w:tcBorders>
            <w:shd w:val="clear" w:color="auto" w:fill="F2F2F2" w:themeFill="background1" w:themeFillShade="F2"/>
          </w:tcPr>
          <w:p w14:paraId="3C49D42D" w14:textId="77777777" w:rsidR="00AA0DCC" w:rsidRPr="004B44F0"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775D8AA7" w14:textId="77777777" w:rsidR="00AA0DCC" w:rsidRPr="004B44F0" w:rsidRDefault="00AA0DCC" w:rsidP="00C30366">
            <w:pPr>
              <w:pStyle w:val="Tableheading3"/>
            </w:pPr>
          </w:p>
        </w:tc>
      </w:tr>
      <w:tr w:rsidR="00AA0DCC" w14:paraId="4EB730DE" w14:textId="77777777" w:rsidTr="00527CCE">
        <w:tc>
          <w:tcPr>
            <w:tcW w:w="5098" w:type="dxa"/>
            <w:tcBorders>
              <w:top w:val="single" w:sz="4" w:space="0" w:color="auto"/>
              <w:bottom w:val="single" w:sz="4" w:space="0" w:color="auto"/>
            </w:tcBorders>
            <w:shd w:val="clear" w:color="auto" w:fill="FFFFFF" w:themeFill="background1"/>
          </w:tcPr>
          <w:p w14:paraId="4C93458A" w14:textId="77777777" w:rsidR="00AA0DCC" w:rsidRDefault="00AA0DCC" w:rsidP="00130A3F">
            <w:pPr>
              <w:pStyle w:val="Tabletextnumbered"/>
            </w:pPr>
            <w:r>
              <w:t>6.2.1 In a bicameral Legislature, there shall be clearly defined roles for each chamber in the passage of legislation.</w:t>
            </w:r>
          </w:p>
        </w:tc>
        <w:tc>
          <w:tcPr>
            <w:tcW w:w="1276" w:type="dxa"/>
            <w:tcBorders>
              <w:top w:val="single" w:sz="4" w:space="0" w:color="auto"/>
              <w:bottom w:val="single" w:sz="4" w:space="0" w:color="auto"/>
            </w:tcBorders>
            <w:shd w:val="clear" w:color="auto" w:fill="DEEAF6" w:themeFill="accent1" w:themeFillTint="33"/>
          </w:tcPr>
          <w:p w14:paraId="48DFA556" w14:textId="77777777" w:rsidR="00AA0DCC" w:rsidRDefault="00AA0DCC" w:rsidP="00130A3F">
            <w:pPr>
              <w:pStyle w:val="Tabletext"/>
            </w:pPr>
            <w:r>
              <w:t>NA</w:t>
            </w:r>
          </w:p>
        </w:tc>
        <w:tc>
          <w:tcPr>
            <w:tcW w:w="8505" w:type="dxa"/>
            <w:tcBorders>
              <w:top w:val="single" w:sz="4" w:space="0" w:color="auto"/>
              <w:bottom w:val="single" w:sz="4" w:space="0" w:color="auto"/>
            </w:tcBorders>
          </w:tcPr>
          <w:p w14:paraId="46D6A4CA" w14:textId="77777777" w:rsidR="00AA0DCC" w:rsidRDefault="00AA0DCC" w:rsidP="00130A3F">
            <w:pPr>
              <w:pStyle w:val="Tabletext"/>
            </w:pPr>
            <w:r>
              <w:t>The Assembly is unicameral.</w:t>
            </w:r>
          </w:p>
        </w:tc>
      </w:tr>
      <w:tr w:rsidR="00AA0DCC" w14:paraId="157DC20F" w14:textId="77777777" w:rsidTr="00527CCE">
        <w:tc>
          <w:tcPr>
            <w:tcW w:w="5098" w:type="dxa"/>
            <w:tcBorders>
              <w:top w:val="single" w:sz="4" w:space="0" w:color="auto"/>
              <w:bottom w:val="single" w:sz="4" w:space="0" w:color="auto"/>
            </w:tcBorders>
            <w:shd w:val="clear" w:color="auto" w:fill="FFFFFF" w:themeFill="background1"/>
          </w:tcPr>
          <w:p w14:paraId="64DA8F16" w14:textId="77777777" w:rsidR="00AA0DCC" w:rsidRDefault="00AA0DCC" w:rsidP="00130A3F">
            <w:pPr>
              <w:pStyle w:val="Tabletextnumbered"/>
            </w:pPr>
            <w:r w:rsidRPr="004B44F0">
              <w:t>6.2.2 The Legislature shall have the right to override an Executive veto.</w:t>
            </w:r>
          </w:p>
        </w:tc>
        <w:tc>
          <w:tcPr>
            <w:tcW w:w="1276" w:type="dxa"/>
            <w:tcBorders>
              <w:top w:val="single" w:sz="4" w:space="0" w:color="auto"/>
              <w:bottom w:val="single" w:sz="4" w:space="0" w:color="auto"/>
            </w:tcBorders>
            <w:shd w:val="clear" w:color="auto" w:fill="DEEAF6" w:themeFill="accent1" w:themeFillTint="33"/>
          </w:tcPr>
          <w:p w14:paraId="2FB0220C" w14:textId="77777777" w:rsidR="00AA0DCC" w:rsidRDefault="00AA0DCC" w:rsidP="00130A3F">
            <w:pPr>
              <w:pStyle w:val="Tabletext"/>
            </w:pPr>
            <w:r>
              <w:t>NA</w:t>
            </w:r>
          </w:p>
        </w:tc>
        <w:tc>
          <w:tcPr>
            <w:tcW w:w="8505" w:type="dxa"/>
            <w:tcBorders>
              <w:top w:val="single" w:sz="4" w:space="0" w:color="auto"/>
              <w:bottom w:val="single" w:sz="4" w:space="0" w:color="auto"/>
            </w:tcBorders>
          </w:tcPr>
          <w:p w14:paraId="13170526" w14:textId="77777777" w:rsidR="00AA0DCC" w:rsidRDefault="00AA0DCC" w:rsidP="00130A3F">
            <w:pPr>
              <w:pStyle w:val="Tabletext"/>
            </w:pPr>
            <w:r>
              <w:t xml:space="preserve">In the ACT’s form of government there is no provision for an executive veto. </w:t>
            </w:r>
          </w:p>
        </w:tc>
      </w:tr>
      <w:tr w:rsidR="00AA0DCC" w14:paraId="65A82D1C" w14:textId="77777777" w:rsidTr="00C276E6">
        <w:tc>
          <w:tcPr>
            <w:tcW w:w="5098" w:type="dxa"/>
            <w:tcBorders>
              <w:top w:val="single" w:sz="4" w:space="0" w:color="auto"/>
              <w:bottom w:val="single" w:sz="4" w:space="0" w:color="auto"/>
            </w:tcBorders>
            <w:shd w:val="clear" w:color="auto" w:fill="FFFFFF" w:themeFill="background1"/>
          </w:tcPr>
          <w:p w14:paraId="148A6390" w14:textId="77777777" w:rsidR="00AA0DCC" w:rsidRDefault="00AA0DCC" w:rsidP="00130A3F">
            <w:pPr>
              <w:pStyle w:val="Tabletextnumbered"/>
            </w:pPr>
            <w:r>
              <w:t>6.2.3 The Executive shall transmit Bills and other documents for parliamentary action for timely distribution to Members.</w:t>
            </w:r>
          </w:p>
        </w:tc>
        <w:tc>
          <w:tcPr>
            <w:tcW w:w="1276" w:type="dxa"/>
            <w:tcBorders>
              <w:top w:val="single" w:sz="4" w:space="0" w:color="auto"/>
              <w:bottom w:val="single" w:sz="4" w:space="0" w:color="auto"/>
            </w:tcBorders>
            <w:shd w:val="clear" w:color="auto" w:fill="E2EFD9" w:themeFill="accent6" w:themeFillTint="33"/>
          </w:tcPr>
          <w:p w14:paraId="1C1A41F0" w14:textId="77777777" w:rsidR="00AA0DCC" w:rsidRDefault="00AA0DCC" w:rsidP="00130A3F">
            <w:pPr>
              <w:pStyle w:val="Tabletext"/>
            </w:pPr>
            <w:r>
              <w:t>2</w:t>
            </w:r>
          </w:p>
        </w:tc>
        <w:tc>
          <w:tcPr>
            <w:tcW w:w="8505" w:type="dxa"/>
            <w:tcBorders>
              <w:top w:val="single" w:sz="4" w:space="0" w:color="auto"/>
              <w:bottom w:val="single" w:sz="4" w:space="0" w:color="auto"/>
            </w:tcBorders>
          </w:tcPr>
          <w:p w14:paraId="6054251D" w14:textId="67B5B68E" w:rsidR="00AA0DCC" w:rsidRPr="00BF4A91" w:rsidRDefault="00AA0DCC" w:rsidP="00130A3F">
            <w:pPr>
              <w:pStyle w:val="Tabletext"/>
              <w:rPr>
                <w:b/>
              </w:rPr>
            </w:pPr>
            <w:r>
              <w:t xml:space="preserve">The standing orders make provision for the transmission of bills and notice of presentation (see standing order 168). </w:t>
            </w:r>
          </w:p>
          <w:p w14:paraId="366057A0" w14:textId="0D2A89CB" w:rsidR="00AA0DCC" w:rsidRDefault="00AA0DCC" w:rsidP="00130A3F">
            <w:pPr>
              <w:pStyle w:val="Tabletext"/>
            </w:pPr>
            <w:r w:rsidRPr="006A5F51">
              <w:rPr>
                <w:b/>
              </w:rPr>
              <w:t>Sidebar:</w:t>
            </w:r>
            <w:r>
              <w:t xml:space="preserve"> It is not only the Executive that is responsible for the development of bills (non-executive members also present bills). Where a bill is presented in the Assembly—whether by a minister or a non-executive MLA—the Parliamentary Counsel’s Office publishes it on the legislation register at </w:t>
            </w:r>
            <w:hyperlink r:id="rId43" w:history="1">
              <w:r w:rsidRPr="00C01BFE">
                <w:rPr>
                  <w:rStyle w:val="Hyperlink"/>
                </w:rPr>
                <w:t>https://legislation.act.gov.au</w:t>
              </w:r>
            </w:hyperlink>
            <w:r>
              <w:rPr>
                <w:rStyle w:val="Hyperlink"/>
              </w:rPr>
              <w:t>.</w:t>
            </w:r>
            <w:r>
              <w:t xml:space="preserve"> </w:t>
            </w:r>
          </w:p>
        </w:tc>
      </w:tr>
      <w:tr w:rsidR="00AA0DCC" w14:paraId="6CA9B425" w14:textId="77777777" w:rsidTr="00527CCE">
        <w:tc>
          <w:tcPr>
            <w:tcW w:w="5098" w:type="dxa"/>
            <w:tcBorders>
              <w:top w:val="single" w:sz="4" w:space="0" w:color="auto"/>
              <w:bottom w:val="single" w:sz="4" w:space="0" w:color="auto"/>
            </w:tcBorders>
            <w:shd w:val="clear" w:color="auto" w:fill="FFFFFF" w:themeFill="background1"/>
          </w:tcPr>
          <w:p w14:paraId="7FD76814" w14:textId="1720B163" w:rsidR="00AA0DCC" w:rsidRDefault="00AA0DCC" w:rsidP="00130A3F">
            <w:pPr>
              <w:pStyle w:val="Tabletextnumbered"/>
            </w:pPr>
            <w:r>
              <w:t>6.2.4 The Legislature shall establish procedures for systematic monitoring of the effective implementation and consequences of legislation.</w:t>
            </w:r>
          </w:p>
        </w:tc>
        <w:tc>
          <w:tcPr>
            <w:tcW w:w="1276" w:type="dxa"/>
            <w:tcBorders>
              <w:top w:val="single" w:sz="4" w:space="0" w:color="auto"/>
              <w:bottom w:val="single" w:sz="4" w:space="0" w:color="auto"/>
            </w:tcBorders>
            <w:shd w:val="clear" w:color="auto" w:fill="FBE4D5" w:themeFill="accent2" w:themeFillTint="33"/>
          </w:tcPr>
          <w:p w14:paraId="05C0D077" w14:textId="1E9D649A" w:rsidR="00AA0DCC" w:rsidRDefault="00AA0DCC" w:rsidP="00130A3F">
            <w:pPr>
              <w:pStyle w:val="Tabletext"/>
            </w:pPr>
            <w:r>
              <w:t>0</w:t>
            </w:r>
          </w:p>
        </w:tc>
        <w:tc>
          <w:tcPr>
            <w:tcW w:w="8505" w:type="dxa"/>
            <w:tcBorders>
              <w:top w:val="single" w:sz="4" w:space="0" w:color="auto"/>
              <w:bottom w:val="single" w:sz="4" w:space="0" w:color="auto"/>
            </w:tcBorders>
          </w:tcPr>
          <w:p w14:paraId="510A08D2" w14:textId="70ABA6DD" w:rsidR="00AA0DCC" w:rsidRDefault="00AA0DCC" w:rsidP="00130A3F">
            <w:pPr>
              <w:pStyle w:val="Tabletext"/>
            </w:pPr>
            <w:r>
              <w:t xml:space="preserve">There is no systematic monitoring of ‘effective implementation and consequences of legislation’. However, through debate, the work of Assembly committees and the use of question time, the Assembly </w:t>
            </w:r>
            <w:proofErr w:type="gramStart"/>
            <w:r>
              <w:t>is able to</w:t>
            </w:r>
            <w:proofErr w:type="gramEnd"/>
            <w:r>
              <w:t xml:space="preserve"> examine these matters in an ad hoc fashion.</w:t>
            </w:r>
            <w:r w:rsidR="00595CC4">
              <w:t xml:space="preserve"> It would be open to the Executive to consider an arrangement whereby it report on these matters (through, for instance, annual reports) to the Assembly. It is also a function that could be given to the Auditor-General in the context of its performance audit program. </w:t>
            </w:r>
          </w:p>
        </w:tc>
      </w:tr>
      <w:tr w:rsidR="00AA0DCC" w14:paraId="77DD3F81" w14:textId="77777777" w:rsidTr="00527CCE">
        <w:tc>
          <w:tcPr>
            <w:tcW w:w="5098" w:type="dxa"/>
            <w:tcBorders>
              <w:top w:val="single" w:sz="4" w:space="0" w:color="auto"/>
              <w:bottom w:val="single" w:sz="4" w:space="0" w:color="auto"/>
            </w:tcBorders>
            <w:shd w:val="clear" w:color="auto" w:fill="FFFFFF" w:themeFill="background1"/>
          </w:tcPr>
          <w:p w14:paraId="4570F33E" w14:textId="77777777" w:rsidR="00AA0DCC" w:rsidRDefault="00AA0DCC" w:rsidP="00130A3F">
            <w:pPr>
              <w:pStyle w:val="Tabletextnumbered"/>
            </w:pPr>
            <w:r w:rsidRPr="004B44F0">
              <w:lastRenderedPageBreak/>
              <w:t>6.2.5 Only the Legislature shall be empowered to determine and approve the budget of the Legislature.</w:t>
            </w:r>
          </w:p>
        </w:tc>
        <w:tc>
          <w:tcPr>
            <w:tcW w:w="1276" w:type="dxa"/>
            <w:tcBorders>
              <w:top w:val="single" w:sz="4" w:space="0" w:color="auto"/>
              <w:bottom w:val="single" w:sz="4" w:space="0" w:color="auto"/>
            </w:tcBorders>
            <w:shd w:val="clear" w:color="auto" w:fill="FFF2CC" w:themeFill="accent4" w:themeFillTint="33"/>
          </w:tcPr>
          <w:p w14:paraId="1930587C" w14:textId="77777777" w:rsidR="00AA0DCC" w:rsidRDefault="00AA0DCC" w:rsidP="00130A3F">
            <w:pPr>
              <w:pStyle w:val="Tabletext"/>
            </w:pPr>
            <w:r>
              <w:t>1</w:t>
            </w:r>
          </w:p>
        </w:tc>
        <w:tc>
          <w:tcPr>
            <w:tcW w:w="8505" w:type="dxa"/>
            <w:tcBorders>
              <w:top w:val="single" w:sz="4" w:space="0" w:color="auto"/>
              <w:bottom w:val="single" w:sz="4" w:space="0" w:color="auto"/>
            </w:tcBorders>
          </w:tcPr>
          <w:p w14:paraId="6EBF410B" w14:textId="77777777" w:rsidR="00AA0DCC" w:rsidRDefault="00AA0DCC" w:rsidP="00130A3F">
            <w:pPr>
              <w:pStyle w:val="Tabletext"/>
            </w:pPr>
            <w:r>
              <w:t xml:space="preserve">The doctrine of the financial initiative of the executive (embodied in s 65 of the Self-Government Act) prevents the Assembly from determining its budget. However, through the development of </w:t>
            </w:r>
            <w:hyperlink r:id="rId44" w:history="1">
              <w:r w:rsidRPr="0050149B">
                <w:rPr>
                  <w:rStyle w:val="Hyperlink"/>
                </w:rPr>
                <w:t>budget protocols between the executive and the Assembly</w:t>
              </w:r>
            </w:hyperlink>
            <w:r>
              <w:t xml:space="preserve"> and the operation of ss 20-20AA of the FM Act, the Assembly through the Standing Committee on Administration and Procedure and the Speaker have a high degree of influence over the amount of funding that is included in the stand alone appropriation bill for the Office. Under the protocols, the Speaker is given the opportunity to appear with the Clerk before the budget committee of cabinet. </w:t>
            </w:r>
          </w:p>
        </w:tc>
      </w:tr>
      <w:tr w:rsidR="00AA0DCC" w:rsidRPr="0050149B" w14:paraId="2011D201"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7DDA3391" w14:textId="77777777" w:rsidR="00AA0DCC" w:rsidRPr="0050149B" w:rsidRDefault="00AA0DCC" w:rsidP="00C30366">
            <w:pPr>
              <w:pStyle w:val="Tableheading3"/>
            </w:pPr>
            <w:r w:rsidRPr="0050149B">
              <w:t>The public and legislation</w:t>
            </w:r>
          </w:p>
        </w:tc>
        <w:tc>
          <w:tcPr>
            <w:tcW w:w="1276" w:type="dxa"/>
            <w:tcBorders>
              <w:top w:val="single" w:sz="4" w:space="0" w:color="auto"/>
              <w:left w:val="nil"/>
              <w:bottom w:val="single" w:sz="4" w:space="0" w:color="auto"/>
              <w:right w:val="nil"/>
            </w:tcBorders>
            <w:shd w:val="clear" w:color="auto" w:fill="F2F2F2" w:themeFill="background1" w:themeFillShade="F2"/>
          </w:tcPr>
          <w:p w14:paraId="36F93DAF" w14:textId="77777777" w:rsidR="00AA0DCC" w:rsidRPr="0050149B"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2C02DBB" w14:textId="77777777" w:rsidR="00AA0DCC" w:rsidRPr="0050149B" w:rsidRDefault="00AA0DCC" w:rsidP="00C30366">
            <w:pPr>
              <w:pStyle w:val="Tableheading3"/>
            </w:pPr>
          </w:p>
        </w:tc>
      </w:tr>
      <w:tr w:rsidR="00AA0DCC" w14:paraId="73843808" w14:textId="77777777" w:rsidTr="00527CCE">
        <w:tc>
          <w:tcPr>
            <w:tcW w:w="5098" w:type="dxa"/>
            <w:tcBorders>
              <w:top w:val="single" w:sz="4" w:space="0" w:color="auto"/>
              <w:bottom w:val="single" w:sz="4" w:space="0" w:color="auto"/>
            </w:tcBorders>
            <w:shd w:val="clear" w:color="auto" w:fill="FFFFFF" w:themeFill="background1"/>
          </w:tcPr>
          <w:p w14:paraId="66B242C8" w14:textId="77777777" w:rsidR="00AA0DCC" w:rsidRDefault="00AA0DCC" w:rsidP="00130A3F">
            <w:pPr>
              <w:pStyle w:val="Tabletextnumbered"/>
            </w:pPr>
            <w:r>
              <w:t>6.3.1. Opportunities shall be given for public input into the legislative and Committee process, including the budget process.</w:t>
            </w:r>
          </w:p>
        </w:tc>
        <w:tc>
          <w:tcPr>
            <w:tcW w:w="1276" w:type="dxa"/>
            <w:tcBorders>
              <w:top w:val="single" w:sz="4" w:space="0" w:color="auto"/>
              <w:bottom w:val="single" w:sz="4" w:space="0" w:color="auto"/>
            </w:tcBorders>
            <w:shd w:val="clear" w:color="auto" w:fill="FFF2CC" w:themeFill="accent4" w:themeFillTint="33"/>
          </w:tcPr>
          <w:p w14:paraId="5FB8EB5D" w14:textId="459E20FD" w:rsidR="00AA0DCC" w:rsidRDefault="00AA0DCC" w:rsidP="00130A3F">
            <w:pPr>
              <w:pStyle w:val="Tabletext"/>
            </w:pPr>
            <w:r>
              <w:t>1</w:t>
            </w:r>
          </w:p>
        </w:tc>
        <w:tc>
          <w:tcPr>
            <w:tcW w:w="8505" w:type="dxa"/>
            <w:tcBorders>
              <w:top w:val="single" w:sz="4" w:space="0" w:color="auto"/>
              <w:bottom w:val="single" w:sz="4" w:space="0" w:color="auto"/>
            </w:tcBorders>
          </w:tcPr>
          <w:p w14:paraId="5E646253" w14:textId="6EFD018B" w:rsidR="00AA0DCC" w:rsidRDefault="00AA0DCC" w:rsidP="00130A3F">
            <w:pPr>
              <w:pStyle w:val="Tabletext"/>
            </w:pPr>
            <w:r>
              <w:t xml:space="preserve">So far as the Assembly is concerned, the budget is examined annually by a select committee on estimates and as part of the public inquiry process, members of the public are invited to (and do) make submissions and give evidence. </w:t>
            </w:r>
          </w:p>
          <w:p w14:paraId="73FA4A8A" w14:textId="6C8807E3" w:rsidR="00AA0DCC" w:rsidRDefault="00AA0DCC" w:rsidP="00130A3F">
            <w:pPr>
              <w:pStyle w:val="Tabletext"/>
            </w:pPr>
            <w:r>
              <w:t xml:space="preserve">It is not, however, a requirement that all bills must be examined and reported on by the relevant policy standing committee as occurs, for instance, in New Zealand and Queensland parliaments.  </w:t>
            </w:r>
          </w:p>
        </w:tc>
      </w:tr>
      <w:tr w:rsidR="00AA0DCC" w14:paraId="3206E2F6" w14:textId="77777777" w:rsidTr="00C276E6">
        <w:tc>
          <w:tcPr>
            <w:tcW w:w="5098" w:type="dxa"/>
            <w:tcBorders>
              <w:top w:val="single" w:sz="4" w:space="0" w:color="auto"/>
              <w:bottom w:val="single" w:sz="4" w:space="0" w:color="auto"/>
            </w:tcBorders>
            <w:shd w:val="clear" w:color="auto" w:fill="FFFFFF" w:themeFill="background1"/>
          </w:tcPr>
          <w:p w14:paraId="1EEE8826" w14:textId="1AEFB10A" w:rsidR="00AA0DCC" w:rsidRDefault="00AA0DCC" w:rsidP="00130A3F">
            <w:pPr>
              <w:pStyle w:val="Tabletextnumbered"/>
            </w:pPr>
            <w:r>
              <w:t>6.3.2 Information shall be provided to the public in a timely manner regarding matters under consideration by the Legislature.</w:t>
            </w:r>
          </w:p>
        </w:tc>
        <w:tc>
          <w:tcPr>
            <w:tcW w:w="1276" w:type="dxa"/>
            <w:tcBorders>
              <w:top w:val="single" w:sz="4" w:space="0" w:color="auto"/>
              <w:bottom w:val="single" w:sz="4" w:space="0" w:color="auto"/>
            </w:tcBorders>
            <w:shd w:val="clear" w:color="auto" w:fill="E2EFD9" w:themeFill="accent6" w:themeFillTint="33"/>
          </w:tcPr>
          <w:p w14:paraId="3FE9D54C" w14:textId="77777777" w:rsidR="00AA0DCC" w:rsidRDefault="00AA0DCC" w:rsidP="00130A3F">
            <w:pPr>
              <w:pStyle w:val="Tabletext"/>
            </w:pPr>
            <w:r>
              <w:t>2</w:t>
            </w:r>
          </w:p>
        </w:tc>
        <w:tc>
          <w:tcPr>
            <w:tcW w:w="8505" w:type="dxa"/>
            <w:tcBorders>
              <w:top w:val="single" w:sz="4" w:space="0" w:color="auto"/>
              <w:bottom w:val="single" w:sz="4" w:space="0" w:color="auto"/>
            </w:tcBorders>
          </w:tcPr>
          <w:p w14:paraId="08A8A6FE" w14:textId="2C8117FB" w:rsidR="00AA0DCC" w:rsidRDefault="00AA0DCC" w:rsidP="00130A3F">
            <w:pPr>
              <w:pStyle w:val="Tabletext"/>
            </w:pPr>
            <w:r>
              <w:t>The Parliamentary Counsel’s Office publishes all bills presented in the Assembly via its website (</w:t>
            </w:r>
            <w:hyperlink r:id="rId45" w:history="1">
              <w:r w:rsidRPr="00FA391F">
                <w:rPr>
                  <w:rStyle w:val="Hyperlink"/>
                </w:rPr>
                <w:t>www.legislation.act.gov.au</w:t>
              </w:r>
            </w:hyperlink>
            <w:r>
              <w:t xml:space="preserve">). On occasion the government or a non-executive member will make an exposure draft available to the public for comment prior to presentation. </w:t>
            </w:r>
            <w:r w:rsidR="00114DB8">
              <w:t xml:space="preserve">The Assembly’s own website provide details of committee proceedings and chamber proceedings including hearing schedules, the Notice Paper and Daily Program, Hansard transcripts, and live </w:t>
            </w:r>
            <w:proofErr w:type="spellStart"/>
            <w:r w:rsidR="00114DB8">
              <w:t>webstreaming</w:t>
            </w:r>
            <w:proofErr w:type="spellEnd"/>
            <w:r w:rsidR="00114DB8">
              <w:t xml:space="preserve"> of proceedings. </w:t>
            </w:r>
          </w:p>
        </w:tc>
      </w:tr>
    </w:tbl>
    <w:p w14:paraId="379E3114" w14:textId="77777777" w:rsidR="0079283D" w:rsidRDefault="0079283D">
      <w:r>
        <w:rPr>
          <w:b/>
        </w:rP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rsidRPr="00FA7F23" w14:paraId="3E9A0906"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4D3DD7A6" w14:textId="5C3D52CC" w:rsidR="00AA0DCC" w:rsidRPr="00FA7F23" w:rsidRDefault="00AA0DCC" w:rsidP="00C30366">
            <w:pPr>
              <w:pStyle w:val="Tableheading2"/>
            </w:pPr>
            <w:r w:rsidRPr="00FA7F23">
              <w:lastRenderedPageBreak/>
              <w:t>Oversight function</w:t>
            </w:r>
          </w:p>
        </w:tc>
        <w:tc>
          <w:tcPr>
            <w:tcW w:w="1276" w:type="dxa"/>
            <w:tcBorders>
              <w:top w:val="single" w:sz="4" w:space="0" w:color="auto"/>
              <w:left w:val="nil"/>
              <w:bottom w:val="single" w:sz="4" w:space="0" w:color="auto"/>
              <w:right w:val="nil"/>
            </w:tcBorders>
            <w:shd w:val="clear" w:color="auto" w:fill="F2F2F2" w:themeFill="background1" w:themeFillShade="F2"/>
          </w:tcPr>
          <w:p w14:paraId="5886E4CD" w14:textId="77777777" w:rsidR="00AA0DCC" w:rsidRPr="00FA7F23" w:rsidRDefault="00AA0DCC" w:rsidP="00C30366">
            <w:pPr>
              <w:pStyle w:val="Tableheading2"/>
            </w:pPr>
          </w:p>
        </w:tc>
        <w:tc>
          <w:tcPr>
            <w:tcW w:w="8505" w:type="dxa"/>
            <w:tcBorders>
              <w:top w:val="single" w:sz="4" w:space="0" w:color="auto"/>
              <w:left w:val="nil"/>
              <w:bottom w:val="single" w:sz="4" w:space="0" w:color="auto"/>
              <w:right w:val="nil"/>
            </w:tcBorders>
            <w:shd w:val="clear" w:color="auto" w:fill="F2F2F2" w:themeFill="background1" w:themeFillShade="F2"/>
          </w:tcPr>
          <w:p w14:paraId="4A048315" w14:textId="77777777" w:rsidR="00AA0DCC" w:rsidRPr="00FA7F23" w:rsidRDefault="00AA0DCC" w:rsidP="00C30366">
            <w:pPr>
              <w:pStyle w:val="Tableheading2"/>
            </w:pPr>
          </w:p>
        </w:tc>
      </w:tr>
      <w:tr w:rsidR="00AA0DCC" w:rsidRPr="00FA7F23" w14:paraId="1D08C694"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65913B5" w14:textId="77777777" w:rsidR="00AA0DCC" w:rsidRPr="00FA7F23" w:rsidRDefault="00AA0DCC" w:rsidP="00C30366">
            <w:pPr>
              <w:pStyle w:val="Tableheading3"/>
            </w:pPr>
            <w:r w:rsidRPr="00FA7F23">
              <w:t xml:space="preserve">General </w:t>
            </w:r>
          </w:p>
        </w:tc>
        <w:tc>
          <w:tcPr>
            <w:tcW w:w="1276" w:type="dxa"/>
            <w:tcBorders>
              <w:top w:val="single" w:sz="4" w:space="0" w:color="auto"/>
              <w:left w:val="nil"/>
              <w:bottom w:val="single" w:sz="4" w:space="0" w:color="auto"/>
              <w:right w:val="nil"/>
            </w:tcBorders>
            <w:shd w:val="clear" w:color="auto" w:fill="F2F2F2" w:themeFill="background1" w:themeFillShade="F2"/>
          </w:tcPr>
          <w:p w14:paraId="1255E025" w14:textId="77777777" w:rsidR="00AA0DCC" w:rsidRPr="00FA7F23"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0384B9AC" w14:textId="77777777" w:rsidR="00AA0DCC" w:rsidRPr="00FA7F23" w:rsidRDefault="00AA0DCC" w:rsidP="00C30366">
            <w:pPr>
              <w:pStyle w:val="Tableheading3"/>
            </w:pPr>
          </w:p>
        </w:tc>
      </w:tr>
      <w:tr w:rsidR="00AA0DCC" w14:paraId="2F196992" w14:textId="77777777" w:rsidTr="00C276E6">
        <w:tc>
          <w:tcPr>
            <w:tcW w:w="5098" w:type="dxa"/>
            <w:tcBorders>
              <w:top w:val="single" w:sz="4" w:space="0" w:color="auto"/>
              <w:bottom w:val="single" w:sz="4" w:space="0" w:color="auto"/>
            </w:tcBorders>
            <w:shd w:val="clear" w:color="auto" w:fill="FFFFFF" w:themeFill="background1"/>
          </w:tcPr>
          <w:p w14:paraId="74B6F05B" w14:textId="77777777" w:rsidR="00AA0DCC" w:rsidRDefault="00AA0DCC" w:rsidP="00130A3F">
            <w:pPr>
              <w:pStyle w:val="Tabletextnumbered"/>
            </w:pPr>
            <w:r>
              <w:t>7.1.1 The Legislature shall have legislation, a constitutional provision or practice that ensures the size of the Cabinet is in proportion to the size of the Legislature.</w:t>
            </w:r>
          </w:p>
        </w:tc>
        <w:tc>
          <w:tcPr>
            <w:tcW w:w="1276" w:type="dxa"/>
            <w:tcBorders>
              <w:top w:val="single" w:sz="4" w:space="0" w:color="auto"/>
              <w:bottom w:val="single" w:sz="4" w:space="0" w:color="auto"/>
            </w:tcBorders>
            <w:shd w:val="clear" w:color="auto" w:fill="E2EFD9" w:themeFill="accent6" w:themeFillTint="33"/>
          </w:tcPr>
          <w:p w14:paraId="292FD609" w14:textId="77777777" w:rsidR="00AA0DCC" w:rsidRDefault="00AA0DCC" w:rsidP="00130A3F">
            <w:pPr>
              <w:pStyle w:val="Tabletext"/>
            </w:pPr>
            <w:r>
              <w:t>2</w:t>
            </w:r>
          </w:p>
        </w:tc>
        <w:tc>
          <w:tcPr>
            <w:tcW w:w="8505" w:type="dxa"/>
            <w:tcBorders>
              <w:top w:val="single" w:sz="4" w:space="0" w:color="auto"/>
              <w:bottom w:val="single" w:sz="4" w:space="0" w:color="auto"/>
            </w:tcBorders>
          </w:tcPr>
          <w:p w14:paraId="2B32DE3A" w14:textId="77777777" w:rsidR="00AA0DCC" w:rsidRDefault="00AA0DCC" w:rsidP="00130A3F">
            <w:pPr>
              <w:pStyle w:val="Tabletext"/>
            </w:pPr>
            <w:r>
              <w:t>The Self-Government Act contains provisions in relation to the number of members that may be appointed to the executive (s 41 of the Act provides that the number is not to exceed 5 until provision is made).</w:t>
            </w:r>
          </w:p>
          <w:p w14:paraId="5984316F" w14:textId="2B50979A" w:rsidR="00AA0DCC" w:rsidRDefault="00AA0DCC" w:rsidP="00130A3F">
            <w:pPr>
              <w:pStyle w:val="Tabletext"/>
            </w:pPr>
            <w:r>
              <w:t xml:space="preserve">Provision has been made under the </w:t>
            </w:r>
            <w:hyperlink r:id="rId46" w:history="1">
              <w:r w:rsidRPr="00C85B3A">
                <w:rPr>
                  <w:rStyle w:val="Hyperlink"/>
                  <w:i/>
                </w:rPr>
                <w:t>Australian Capital Territory (Ministers) Act 2013.</w:t>
              </w:r>
            </w:hyperlink>
            <w:r>
              <w:rPr>
                <w:i/>
              </w:rPr>
              <w:t xml:space="preserve"> </w:t>
            </w:r>
            <w:r>
              <w:t xml:space="preserve">Under the provision, a maximum of 9 ministers (which, together, form the cabinet) there may be no more than 9 ministers (this is 36% of the membership of the 25-member Assembly).  </w:t>
            </w:r>
          </w:p>
        </w:tc>
      </w:tr>
      <w:tr w:rsidR="00AA0DCC" w14:paraId="3320D9E4" w14:textId="77777777" w:rsidTr="00C276E6">
        <w:tc>
          <w:tcPr>
            <w:tcW w:w="5098" w:type="dxa"/>
            <w:tcBorders>
              <w:top w:val="single" w:sz="4" w:space="0" w:color="auto"/>
              <w:bottom w:val="single" w:sz="4" w:space="0" w:color="auto"/>
            </w:tcBorders>
            <w:shd w:val="clear" w:color="auto" w:fill="FFFFFF" w:themeFill="background1"/>
          </w:tcPr>
          <w:p w14:paraId="7CF3DF80" w14:textId="77777777" w:rsidR="00AA0DCC" w:rsidRDefault="00AA0DCC" w:rsidP="00130A3F">
            <w:pPr>
              <w:pStyle w:val="Tabletextnumbered"/>
            </w:pPr>
            <w:r>
              <w:t>7.1.2 The Legislature shall have mechanisms to obtain information from the Executive branch sufficient to exercise its oversight function in a meaningful and timely manner. There shall be clear and effective procedures requiring the Executive to provide timely responses to oral and written questions and Parliamentary Committee reports and recommendations.</w:t>
            </w:r>
          </w:p>
        </w:tc>
        <w:tc>
          <w:tcPr>
            <w:tcW w:w="1276" w:type="dxa"/>
            <w:tcBorders>
              <w:top w:val="single" w:sz="4" w:space="0" w:color="auto"/>
              <w:bottom w:val="single" w:sz="4" w:space="0" w:color="auto"/>
            </w:tcBorders>
            <w:shd w:val="clear" w:color="auto" w:fill="E2EFD9" w:themeFill="accent6" w:themeFillTint="33"/>
          </w:tcPr>
          <w:p w14:paraId="32D22D0F" w14:textId="77777777" w:rsidR="00AA0DCC" w:rsidRDefault="00AA0DCC" w:rsidP="00130A3F">
            <w:pPr>
              <w:pStyle w:val="Tabletext"/>
            </w:pPr>
            <w:r>
              <w:t>2</w:t>
            </w:r>
          </w:p>
        </w:tc>
        <w:tc>
          <w:tcPr>
            <w:tcW w:w="8505" w:type="dxa"/>
            <w:tcBorders>
              <w:top w:val="single" w:sz="4" w:space="0" w:color="auto"/>
              <w:bottom w:val="single" w:sz="4" w:space="0" w:color="auto"/>
            </w:tcBorders>
          </w:tcPr>
          <w:p w14:paraId="44176028" w14:textId="77777777" w:rsidR="00AA0DCC" w:rsidRDefault="00AA0DCC" w:rsidP="00130A3F">
            <w:pPr>
              <w:pStyle w:val="Tabletext"/>
            </w:pPr>
            <w:r>
              <w:t xml:space="preserve">The Assembly has </w:t>
            </w:r>
            <w:proofErr w:type="gramStart"/>
            <w:r>
              <w:t>a number of</w:t>
            </w:r>
            <w:proofErr w:type="gramEnd"/>
            <w:r>
              <w:t xml:space="preserve"> mechanisms to obtain information from the Executive, including: </w:t>
            </w:r>
          </w:p>
          <w:p w14:paraId="4FD0B1DA" w14:textId="5CFDDA8C" w:rsidR="00AA0DCC" w:rsidRDefault="00AA0DCC" w:rsidP="0079283D">
            <w:pPr>
              <w:pStyle w:val="Tabletextbullet"/>
            </w:pPr>
            <w:r>
              <w:t>Questions without notice (See standing order 113(b) and standing order 113B)</w:t>
            </w:r>
          </w:p>
          <w:p w14:paraId="1443D170" w14:textId="4EF15213" w:rsidR="00AA0DCC" w:rsidRDefault="00AA0DCC" w:rsidP="0079283D">
            <w:pPr>
              <w:pStyle w:val="Tabletextbullet"/>
            </w:pPr>
            <w:r>
              <w:t xml:space="preserve">Questions on notice (See standing order 113(a)—ministers have 30 days to answer questions on notice </w:t>
            </w:r>
          </w:p>
          <w:p w14:paraId="08C675FB" w14:textId="77777777" w:rsidR="00AA0DCC" w:rsidRDefault="00AA0DCC" w:rsidP="0079283D">
            <w:pPr>
              <w:pStyle w:val="Tabletextbullet"/>
            </w:pPr>
            <w:r>
              <w:t xml:space="preserve">Order </w:t>
            </w:r>
            <w:proofErr w:type="gramStart"/>
            <w:r>
              <w:t>for the production of</w:t>
            </w:r>
            <w:proofErr w:type="gramEnd"/>
            <w:r>
              <w:t xml:space="preserve"> documents held by the Executive (see standing order 213A)</w:t>
            </w:r>
          </w:p>
          <w:p w14:paraId="40A8CBD1" w14:textId="77777777" w:rsidR="00AA0DCC" w:rsidRDefault="00AA0DCC" w:rsidP="0079283D">
            <w:pPr>
              <w:pStyle w:val="Tabletextbullet"/>
            </w:pPr>
            <w:r>
              <w:t>The power of committees to send for persons, paper and records (standing order 239)</w:t>
            </w:r>
          </w:p>
          <w:p w14:paraId="269FDC28" w14:textId="77777777" w:rsidR="00AA0DCC" w:rsidRDefault="00AA0DCC" w:rsidP="0079283D">
            <w:pPr>
              <w:pStyle w:val="Tabletextbullet"/>
            </w:pPr>
            <w:r>
              <w:t>Procedure for making claims of public interest immunity (continuing resolution 8B)</w:t>
            </w:r>
          </w:p>
        </w:tc>
      </w:tr>
      <w:tr w:rsidR="00AA0DCC" w14:paraId="7A9795AC" w14:textId="77777777" w:rsidTr="00527CCE">
        <w:tc>
          <w:tcPr>
            <w:tcW w:w="5098" w:type="dxa"/>
            <w:tcBorders>
              <w:top w:val="single" w:sz="4" w:space="0" w:color="auto"/>
              <w:bottom w:val="single" w:sz="4" w:space="0" w:color="auto"/>
            </w:tcBorders>
            <w:shd w:val="clear" w:color="auto" w:fill="FFFFFF" w:themeFill="background1"/>
          </w:tcPr>
          <w:p w14:paraId="0E53C7C3" w14:textId="77777777" w:rsidR="00AA0DCC" w:rsidRDefault="00AA0DCC" w:rsidP="00130A3F">
            <w:pPr>
              <w:pStyle w:val="Tabletextnumbered"/>
            </w:pPr>
            <w:r>
              <w:t>7.1.3 The oversight authority of the Legislature shall include effective oversight of the military, security and intelligence services.</w:t>
            </w:r>
          </w:p>
        </w:tc>
        <w:tc>
          <w:tcPr>
            <w:tcW w:w="1276" w:type="dxa"/>
            <w:tcBorders>
              <w:top w:val="single" w:sz="4" w:space="0" w:color="auto"/>
              <w:bottom w:val="single" w:sz="4" w:space="0" w:color="auto"/>
            </w:tcBorders>
            <w:shd w:val="clear" w:color="auto" w:fill="DEEAF6" w:themeFill="accent1" w:themeFillTint="33"/>
          </w:tcPr>
          <w:p w14:paraId="3F2345B4" w14:textId="77777777" w:rsidR="00AA0DCC" w:rsidRDefault="00AA0DCC" w:rsidP="00130A3F">
            <w:pPr>
              <w:pStyle w:val="Tabletext"/>
            </w:pPr>
            <w:r>
              <w:t>NA</w:t>
            </w:r>
          </w:p>
        </w:tc>
        <w:tc>
          <w:tcPr>
            <w:tcW w:w="8505" w:type="dxa"/>
            <w:tcBorders>
              <w:top w:val="single" w:sz="4" w:space="0" w:color="auto"/>
              <w:bottom w:val="single" w:sz="4" w:space="0" w:color="auto"/>
            </w:tcBorders>
          </w:tcPr>
          <w:p w14:paraId="4735D744" w14:textId="34338AF0" w:rsidR="00AA0DCC" w:rsidRDefault="00AA0DCC" w:rsidP="00130A3F">
            <w:pPr>
              <w:pStyle w:val="Tabletext"/>
            </w:pPr>
            <w:r>
              <w:t>The Assembly as a local/state/territory level legislature does not have military, security or intelligence functions.</w:t>
            </w:r>
            <w:r w:rsidR="00741AE1">
              <w:t xml:space="preserve"> However, the Australian Federal Police (AFP), a Commonwealth agency, delivers community policing services to the ACT and although the AFP does appear before Assembly committee in various contexts, accountability is potentially not as strong as it would be were policing performed pursuant to an ACT statute. </w:t>
            </w:r>
          </w:p>
        </w:tc>
      </w:tr>
    </w:tbl>
    <w:p w14:paraId="66AD6F8D" w14:textId="77777777" w:rsidR="0079283D" w:rsidRDefault="0079283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2438B984" w14:textId="77777777" w:rsidTr="00C276E6">
        <w:tc>
          <w:tcPr>
            <w:tcW w:w="5098" w:type="dxa"/>
            <w:tcBorders>
              <w:top w:val="single" w:sz="4" w:space="0" w:color="auto"/>
              <w:bottom w:val="single" w:sz="4" w:space="0" w:color="auto"/>
            </w:tcBorders>
            <w:shd w:val="clear" w:color="auto" w:fill="FFFFFF" w:themeFill="background1"/>
          </w:tcPr>
          <w:p w14:paraId="2455D51B" w14:textId="1215BAD6" w:rsidR="00AA0DCC" w:rsidRDefault="00AA0DCC" w:rsidP="00130A3F">
            <w:pPr>
              <w:pStyle w:val="Tabletextnumbered"/>
            </w:pPr>
            <w:r>
              <w:lastRenderedPageBreak/>
              <w:t>7.1.4 The oversight authority of the Legislature shall include effective oversight of state-owned enterprises.</w:t>
            </w:r>
          </w:p>
        </w:tc>
        <w:tc>
          <w:tcPr>
            <w:tcW w:w="1276" w:type="dxa"/>
            <w:tcBorders>
              <w:top w:val="single" w:sz="4" w:space="0" w:color="auto"/>
              <w:bottom w:val="single" w:sz="4" w:space="0" w:color="auto"/>
            </w:tcBorders>
            <w:shd w:val="clear" w:color="auto" w:fill="E2EFD9" w:themeFill="accent6" w:themeFillTint="33"/>
          </w:tcPr>
          <w:p w14:paraId="0BDD3CC3" w14:textId="77777777" w:rsidR="00AA0DCC" w:rsidRDefault="00AA0DCC" w:rsidP="00130A3F">
            <w:pPr>
              <w:pStyle w:val="Tabletext"/>
            </w:pPr>
            <w:r>
              <w:t>2</w:t>
            </w:r>
          </w:p>
        </w:tc>
        <w:tc>
          <w:tcPr>
            <w:tcW w:w="8505" w:type="dxa"/>
            <w:tcBorders>
              <w:top w:val="single" w:sz="4" w:space="0" w:color="auto"/>
              <w:bottom w:val="single" w:sz="4" w:space="0" w:color="auto"/>
            </w:tcBorders>
          </w:tcPr>
          <w:p w14:paraId="4170B10C" w14:textId="036A4D2A" w:rsidR="00AA0DCC" w:rsidRDefault="00AA0DCC" w:rsidP="00130A3F">
            <w:pPr>
              <w:pStyle w:val="Tabletext"/>
            </w:pPr>
            <w:r>
              <w:t xml:space="preserve">The Assembly has oversight for state-owned enterprises. There is just one state-owned enterprise in the ACT (a water utility). The </w:t>
            </w:r>
            <w:r w:rsidRPr="00F609AA">
              <w:rPr>
                <w:i/>
              </w:rPr>
              <w:t xml:space="preserve">Territory-Owned Corporations Act 1990 </w:t>
            </w:r>
            <w:r>
              <w:t xml:space="preserve">provides the legislative basis for Territory-Owned corporations and there are </w:t>
            </w:r>
            <w:proofErr w:type="gramStart"/>
            <w:r>
              <w:t>a number of</w:t>
            </w:r>
            <w:proofErr w:type="gramEnd"/>
            <w:r>
              <w:t xml:space="preserve"> provisions in that Act which provide for Assembly and committee oversight. The </w:t>
            </w:r>
            <w:r w:rsidRPr="001B0DD5">
              <w:rPr>
                <w:i/>
              </w:rPr>
              <w:t>Annual Reports (Government Agencies) Act 2004</w:t>
            </w:r>
            <w:r>
              <w:t xml:space="preserve"> requires that Territory-owned corporations are to prepare an annual report on the operations of the entity each financial year (see s 7D), which is tabled in the Assembly and inquired into and reported on by the relevant Assembly committee. </w:t>
            </w:r>
          </w:p>
        </w:tc>
      </w:tr>
      <w:tr w:rsidR="00AA0DCC" w14:paraId="5D306401" w14:textId="77777777" w:rsidTr="00527CCE">
        <w:tc>
          <w:tcPr>
            <w:tcW w:w="5098" w:type="dxa"/>
            <w:tcBorders>
              <w:top w:val="single" w:sz="4" w:space="0" w:color="auto"/>
              <w:bottom w:val="single" w:sz="4" w:space="0" w:color="auto"/>
            </w:tcBorders>
            <w:shd w:val="clear" w:color="auto" w:fill="FFFFFF" w:themeFill="background1"/>
          </w:tcPr>
          <w:p w14:paraId="319FC583" w14:textId="4C376E9B" w:rsidR="00AA0DCC" w:rsidRDefault="00AA0DCC" w:rsidP="0079283D">
            <w:pPr>
              <w:pStyle w:val="Tabletextnumbered"/>
            </w:pPr>
            <w:r>
              <w:t>7.1.5 The oversight authority of the national Legislature shall include effective</w:t>
            </w:r>
            <w:r w:rsidR="0079283D">
              <w:t xml:space="preserve"> </w:t>
            </w:r>
            <w:r>
              <w:t>oversight of compliance with international treaties and obligations, including</w:t>
            </w:r>
            <w:r w:rsidR="0079283D">
              <w:t xml:space="preserve"> </w:t>
            </w:r>
            <w:r>
              <w:t>international human right instruments and the Sustainable Development</w:t>
            </w:r>
            <w:r w:rsidR="0079283D">
              <w:t xml:space="preserve"> </w:t>
            </w:r>
            <w:r>
              <w:t>Goals (SDGs).</w:t>
            </w:r>
          </w:p>
        </w:tc>
        <w:tc>
          <w:tcPr>
            <w:tcW w:w="1276" w:type="dxa"/>
            <w:tcBorders>
              <w:top w:val="single" w:sz="4" w:space="0" w:color="auto"/>
              <w:bottom w:val="single" w:sz="4" w:space="0" w:color="auto"/>
            </w:tcBorders>
            <w:shd w:val="clear" w:color="auto" w:fill="DEEAF6" w:themeFill="accent1" w:themeFillTint="33"/>
          </w:tcPr>
          <w:p w14:paraId="5968F4FA" w14:textId="77777777" w:rsidR="00AA0DCC" w:rsidRDefault="00AA0DCC" w:rsidP="00130A3F">
            <w:pPr>
              <w:pStyle w:val="Tabletext"/>
            </w:pPr>
            <w:r>
              <w:t>NA</w:t>
            </w:r>
          </w:p>
        </w:tc>
        <w:tc>
          <w:tcPr>
            <w:tcW w:w="8505" w:type="dxa"/>
            <w:tcBorders>
              <w:top w:val="single" w:sz="4" w:space="0" w:color="auto"/>
              <w:bottom w:val="single" w:sz="4" w:space="0" w:color="auto"/>
            </w:tcBorders>
          </w:tcPr>
          <w:p w14:paraId="2A8AF21D" w14:textId="77777777" w:rsidR="00AA0DCC" w:rsidRDefault="00AA0DCC" w:rsidP="00130A3F">
            <w:pPr>
              <w:pStyle w:val="Tabletext"/>
            </w:pPr>
            <w:r>
              <w:t>These functions do not fall within the remit of a local/state/territory legislature.</w:t>
            </w:r>
          </w:p>
        </w:tc>
      </w:tr>
      <w:tr w:rsidR="00AA0DCC" w14:paraId="550DFB08" w14:textId="77777777" w:rsidTr="00C276E6">
        <w:tc>
          <w:tcPr>
            <w:tcW w:w="5098" w:type="dxa"/>
            <w:tcBorders>
              <w:top w:val="single" w:sz="4" w:space="0" w:color="auto"/>
              <w:bottom w:val="single" w:sz="4" w:space="0" w:color="auto"/>
            </w:tcBorders>
            <w:shd w:val="clear" w:color="auto" w:fill="FFFFFF" w:themeFill="background1"/>
          </w:tcPr>
          <w:p w14:paraId="24797120" w14:textId="77777777" w:rsidR="00AA0DCC" w:rsidRDefault="00AA0DCC" w:rsidP="00130A3F">
            <w:pPr>
              <w:pStyle w:val="Tabletextnumbered"/>
            </w:pPr>
            <w:r>
              <w:t>7.1.6 The Legislature shall establish a position of independent ombudsman, or similar office.</w:t>
            </w:r>
          </w:p>
        </w:tc>
        <w:tc>
          <w:tcPr>
            <w:tcW w:w="1276" w:type="dxa"/>
            <w:tcBorders>
              <w:top w:val="single" w:sz="4" w:space="0" w:color="auto"/>
              <w:bottom w:val="single" w:sz="4" w:space="0" w:color="auto"/>
            </w:tcBorders>
            <w:shd w:val="clear" w:color="auto" w:fill="E2EFD9" w:themeFill="accent6" w:themeFillTint="33"/>
          </w:tcPr>
          <w:p w14:paraId="61F5AEA4" w14:textId="77777777" w:rsidR="00AA0DCC" w:rsidRDefault="00AA0DCC" w:rsidP="00130A3F">
            <w:pPr>
              <w:pStyle w:val="Tabletext"/>
            </w:pPr>
            <w:r>
              <w:t>2</w:t>
            </w:r>
          </w:p>
        </w:tc>
        <w:tc>
          <w:tcPr>
            <w:tcW w:w="8505" w:type="dxa"/>
            <w:tcBorders>
              <w:top w:val="single" w:sz="4" w:space="0" w:color="auto"/>
              <w:bottom w:val="single" w:sz="4" w:space="0" w:color="auto"/>
            </w:tcBorders>
          </w:tcPr>
          <w:p w14:paraId="2939B780" w14:textId="21C7D99A" w:rsidR="00AA0DCC" w:rsidRDefault="00AA0DCC" w:rsidP="00130A3F">
            <w:pPr>
              <w:pStyle w:val="Tabletext"/>
            </w:pPr>
            <w:r>
              <w:t xml:space="preserve">The </w:t>
            </w:r>
            <w:r w:rsidRPr="00F609AA">
              <w:rPr>
                <w:i/>
              </w:rPr>
              <w:t>Ombudsman Act 1989</w:t>
            </w:r>
            <w:r>
              <w:t xml:space="preserve"> provides that the Commonwealth Ombudsman is also the ACT Ombudsman. The ACT Ombudsman is an independent ‘Officer of the Assembly’ (s 4A) and has complete discretion in the exercise of the Ombudsman’s functions (s 4B).  </w:t>
            </w:r>
          </w:p>
        </w:tc>
      </w:tr>
      <w:tr w:rsidR="00AA0DCC" w14:paraId="09B1F03E" w14:textId="77777777" w:rsidTr="00C276E6">
        <w:tc>
          <w:tcPr>
            <w:tcW w:w="5098" w:type="dxa"/>
            <w:tcBorders>
              <w:top w:val="single" w:sz="4" w:space="0" w:color="auto"/>
              <w:bottom w:val="single" w:sz="4" w:space="0" w:color="auto"/>
            </w:tcBorders>
            <w:shd w:val="clear" w:color="auto" w:fill="FFFFFF" w:themeFill="background1"/>
          </w:tcPr>
          <w:p w14:paraId="14643CF2" w14:textId="77777777" w:rsidR="00AA0DCC" w:rsidRDefault="00AA0DCC" w:rsidP="00130A3F">
            <w:pPr>
              <w:pStyle w:val="Tabletextnumbered"/>
            </w:pPr>
            <w:r>
              <w:t>7.1.7 The Legislature shall establish a Human Rights Commission, or similar office, with the mandate to protect against human rights violations.</w:t>
            </w:r>
          </w:p>
        </w:tc>
        <w:tc>
          <w:tcPr>
            <w:tcW w:w="1276" w:type="dxa"/>
            <w:tcBorders>
              <w:top w:val="single" w:sz="4" w:space="0" w:color="auto"/>
              <w:bottom w:val="single" w:sz="4" w:space="0" w:color="auto"/>
            </w:tcBorders>
            <w:shd w:val="clear" w:color="auto" w:fill="E2EFD9" w:themeFill="accent6" w:themeFillTint="33"/>
          </w:tcPr>
          <w:p w14:paraId="6482DDFD" w14:textId="77777777" w:rsidR="00AA0DCC" w:rsidRDefault="00AA0DCC" w:rsidP="00130A3F">
            <w:pPr>
              <w:pStyle w:val="Tabletext"/>
            </w:pPr>
            <w:r>
              <w:t>2</w:t>
            </w:r>
          </w:p>
        </w:tc>
        <w:tc>
          <w:tcPr>
            <w:tcW w:w="8505" w:type="dxa"/>
            <w:tcBorders>
              <w:top w:val="single" w:sz="4" w:space="0" w:color="auto"/>
              <w:bottom w:val="single" w:sz="4" w:space="0" w:color="auto"/>
            </w:tcBorders>
          </w:tcPr>
          <w:p w14:paraId="0B8B1718" w14:textId="77777777" w:rsidR="00AA0DCC" w:rsidRDefault="00AA0DCC" w:rsidP="00130A3F">
            <w:pPr>
              <w:pStyle w:val="Tabletext"/>
            </w:pPr>
            <w:r>
              <w:t xml:space="preserve">The </w:t>
            </w:r>
            <w:r w:rsidRPr="001B0DD5">
              <w:rPr>
                <w:i/>
              </w:rPr>
              <w:t>Human Rights Commission Act 2005</w:t>
            </w:r>
            <w:r>
              <w:t xml:space="preserve"> establishes the ACT Human Rights Commission which as the function, </w:t>
            </w:r>
            <w:r w:rsidRPr="00174BC6">
              <w:rPr>
                <w:i/>
              </w:rPr>
              <w:t>inter alia</w:t>
            </w:r>
            <w:r>
              <w:t>, of receiving complaints and ‘providing a fair and accessible process for resolving complaints’ and identifying, inquiring into and reviewing issues relation to matters that may be complained about’.</w:t>
            </w:r>
          </w:p>
          <w:p w14:paraId="7201A192" w14:textId="77777777" w:rsidR="00AA0DCC" w:rsidRDefault="00AA0DCC" w:rsidP="00130A3F">
            <w:pPr>
              <w:pStyle w:val="Tabletext"/>
            </w:pPr>
            <w:r>
              <w:t>The ACT has also enacted the</w:t>
            </w:r>
            <w:r w:rsidRPr="00174BC6">
              <w:rPr>
                <w:i/>
              </w:rPr>
              <w:t xml:space="preserve"> Human Rights Act 2004</w:t>
            </w:r>
            <w:r>
              <w:t xml:space="preserve">, which codifies a broad range of human rights. </w:t>
            </w:r>
          </w:p>
        </w:tc>
      </w:tr>
      <w:tr w:rsidR="00AA0DCC" w14:paraId="3083271B" w14:textId="77777777" w:rsidTr="00C276E6">
        <w:tc>
          <w:tcPr>
            <w:tcW w:w="5098" w:type="dxa"/>
            <w:tcBorders>
              <w:top w:val="single" w:sz="4" w:space="0" w:color="auto"/>
              <w:bottom w:val="single" w:sz="4" w:space="0" w:color="auto"/>
            </w:tcBorders>
            <w:shd w:val="clear" w:color="auto" w:fill="FFFFFF" w:themeFill="background1"/>
          </w:tcPr>
          <w:p w14:paraId="2EE85BB2" w14:textId="059B1AC9" w:rsidR="00AA0DCC" w:rsidRDefault="00AA0DCC" w:rsidP="00130A3F">
            <w:pPr>
              <w:pStyle w:val="Tabletextnumbered"/>
            </w:pPr>
            <w:r>
              <w:t>7.1.8 The Legislature shall receive annual reports and scrutinize the activities of all independent constitutional bodies, such as human rights commissions, anti-corruption bodies and ombudsmen and, where feasible, follow-up on issues arising from their reports.</w:t>
            </w:r>
          </w:p>
        </w:tc>
        <w:tc>
          <w:tcPr>
            <w:tcW w:w="1276" w:type="dxa"/>
            <w:tcBorders>
              <w:top w:val="single" w:sz="4" w:space="0" w:color="auto"/>
              <w:bottom w:val="single" w:sz="4" w:space="0" w:color="auto"/>
            </w:tcBorders>
            <w:shd w:val="clear" w:color="auto" w:fill="E2EFD9" w:themeFill="accent6" w:themeFillTint="33"/>
          </w:tcPr>
          <w:p w14:paraId="23128C97" w14:textId="77777777" w:rsidR="00AA0DCC" w:rsidRDefault="00AA0DCC" w:rsidP="00130A3F">
            <w:pPr>
              <w:pStyle w:val="Tabletext"/>
            </w:pPr>
            <w:r>
              <w:t>2</w:t>
            </w:r>
          </w:p>
        </w:tc>
        <w:tc>
          <w:tcPr>
            <w:tcW w:w="8505" w:type="dxa"/>
            <w:tcBorders>
              <w:top w:val="single" w:sz="4" w:space="0" w:color="auto"/>
              <w:bottom w:val="single" w:sz="4" w:space="0" w:color="auto"/>
            </w:tcBorders>
          </w:tcPr>
          <w:p w14:paraId="19A836ED" w14:textId="32E7E88D" w:rsidR="00AA0DCC" w:rsidRDefault="00AA0DCC" w:rsidP="00130A3F">
            <w:pPr>
              <w:pStyle w:val="Tabletext"/>
            </w:pPr>
            <w:r>
              <w:t xml:space="preserve">The </w:t>
            </w:r>
            <w:r w:rsidRPr="00174BC6">
              <w:rPr>
                <w:i/>
              </w:rPr>
              <w:t>Annual Report (Government Agencies) Act 2004</w:t>
            </w:r>
            <w:r>
              <w:t xml:space="preserve"> provides that the Integrity Commission, the Human Rights Commission, the Ombudsman, the ACT Integrity Commission and all other statutory agencies are to prepare an annual report, which is tabled in the Assembly and scrutinised by relevant Assembly committees pursuant to Assembly resolution. There are prescriptions in the legislation for timeliness and the precise content of reports. </w:t>
            </w:r>
          </w:p>
        </w:tc>
      </w:tr>
      <w:tr w:rsidR="0079283D" w14:paraId="0AD533E4" w14:textId="77777777" w:rsidTr="0079283D">
        <w:trPr>
          <w:trHeight w:val="3260"/>
        </w:trPr>
        <w:tc>
          <w:tcPr>
            <w:tcW w:w="5098" w:type="dxa"/>
            <w:tcBorders>
              <w:top w:val="single" w:sz="4" w:space="0" w:color="auto"/>
            </w:tcBorders>
            <w:shd w:val="clear" w:color="auto" w:fill="FFFFFF" w:themeFill="background1"/>
          </w:tcPr>
          <w:p w14:paraId="737C1F76" w14:textId="4363D3FB" w:rsidR="0079283D" w:rsidRDefault="0079283D" w:rsidP="00130A3F">
            <w:pPr>
              <w:pStyle w:val="Tabletextnumbered"/>
            </w:pPr>
            <w:r>
              <w:lastRenderedPageBreak/>
              <w:t>7.1.9 The Legislature shall ensure that independent constitutional bodies receive adequate resources and the work of such institutions are not subject to political pressure from the Executive.</w:t>
            </w:r>
          </w:p>
        </w:tc>
        <w:tc>
          <w:tcPr>
            <w:tcW w:w="1276" w:type="dxa"/>
            <w:tcBorders>
              <w:top w:val="single" w:sz="4" w:space="0" w:color="auto"/>
            </w:tcBorders>
            <w:shd w:val="clear" w:color="auto" w:fill="E2EFD9" w:themeFill="accent6" w:themeFillTint="33"/>
          </w:tcPr>
          <w:p w14:paraId="7BCFDE23" w14:textId="77777777" w:rsidR="0079283D" w:rsidRDefault="0079283D" w:rsidP="00130A3F">
            <w:pPr>
              <w:pStyle w:val="Tabletext"/>
            </w:pPr>
            <w:r>
              <w:t>2</w:t>
            </w:r>
          </w:p>
        </w:tc>
        <w:tc>
          <w:tcPr>
            <w:tcW w:w="8505" w:type="dxa"/>
            <w:tcBorders>
              <w:top w:val="single" w:sz="4" w:space="0" w:color="auto"/>
            </w:tcBorders>
          </w:tcPr>
          <w:p w14:paraId="7089D0AF" w14:textId="77777777" w:rsidR="0079283D" w:rsidRDefault="0079283D" w:rsidP="00130A3F">
            <w:pPr>
              <w:pStyle w:val="Tabletext"/>
            </w:pPr>
            <w:r>
              <w:t xml:space="preserve">All these bodies are funded by appropriation (see more in sidebar). </w:t>
            </w:r>
          </w:p>
          <w:p w14:paraId="22E732B0" w14:textId="77777777" w:rsidR="0079283D" w:rsidRDefault="0079283D" w:rsidP="00130A3F">
            <w:pPr>
              <w:pStyle w:val="Tabletext"/>
            </w:pPr>
            <w:r>
              <w:t>Each Act governing the operation of these bodies have explicit statutory protections protecting them from interference by the executive.</w:t>
            </w:r>
          </w:p>
          <w:p w14:paraId="7217C008" w14:textId="313A4148" w:rsidR="0079283D" w:rsidRDefault="0079283D" w:rsidP="00130A3F">
            <w:pPr>
              <w:pStyle w:val="Tabletext"/>
            </w:pPr>
            <w:r w:rsidRPr="000E031D">
              <w:rPr>
                <w:b/>
              </w:rPr>
              <w:t>Sidebar:</w:t>
            </w:r>
            <w:r>
              <w:t xml:space="preserve"> The question of whether or not ‘adequate resources’ are granted to bodies such as the Auditor-General, Ombudsman, Human Rights Commission etc. is difficult to assess in strict terms and often the subject of political debate (as noted elsewhere in respect of the Office of the Legislative Assembly and MLAs). The financial initiative of the executive requires that the executive frame a budget (including funding for agencies that fall into the categories mentioned) and then it is up to the legislature to either vote for or against the appropriation on the basis of its own view as to the adequacy, or otherwise, of the proposed funding/resource allocation.  </w:t>
            </w:r>
          </w:p>
        </w:tc>
      </w:tr>
      <w:tr w:rsidR="00AA0DCC" w:rsidRPr="0058523A" w14:paraId="14AE89DE"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203D51CE" w14:textId="77777777" w:rsidR="00AA0DCC" w:rsidRPr="0058523A" w:rsidRDefault="00AA0DCC" w:rsidP="00C30366">
            <w:pPr>
              <w:pStyle w:val="Tableheading3"/>
            </w:pPr>
            <w:r w:rsidRPr="0058523A">
              <w:t>Financial and Budget Oversight</w:t>
            </w:r>
          </w:p>
        </w:tc>
        <w:tc>
          <w:tcPr>
            <w:tcW w:w="1276" w:type="dxa"/>
            <w:tcBorders>
              <w:top w:val="single" w:sz="4" w:space="0" w:color="auto"/>
              <w:left w:val="nil"/>
              <w:bottom w:val="single" w:sz="4" w:space="0" w:color="auto"/>
              <w:right w:val="nil"/>
            </w:tcBorders>
            <w:shd w:val="clear" w:color="auto" w:fill="F2F2F2" w:themeFill="background1" w:themeFillShade="F2"/>
          </w:tcPr>
          <w:p w14:paraId="6B78163D" w14:textId="77777777" w:rsidR="00AA0DCC" w:rsidRPr="0058523A"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78FA15A9" w14:textId="77777777" w:rsidR="00AA0DCC" w:rsidRPr="0058523A" w:rsidRDefault="00AA0DCC" w:rsidP="00C30366">
            <w:pPr>
              <w:pStyle w:val="Tableheading3"/>
            </w:pPr>
          </w:p>
        </w:tc>
      </w:tr>
      <w:tr w:rsidR="00AA0DCC" w14:paraId="380687C9" w14:textId="77777777" w:rsidTr="00C276E6">
        <w:tc>
          <w:tcPr>
            <w:tcW w:w="5098" w:type="dxa"/>
            <w:tcBorders>
              <w:top w:val="single" w:sz="4" w:space="0" w:color="auto"/>
              <w:bottom w:val="single" w:sz="4" w:space="0" w:color="auto"/>
            </w:tcBorders>
            <w:shd w:val="clear" w:color="auto" w:fill="FFFFFF" w:themeFill="background1"/>
          </w:tcPr>
          <w:p w14:paraId="06EBC0B9" w14:textId="77777777" w:rsidR="00AA0DCC" w:rsidRDefault="00AA0DCC" w:rsidP="00130A3F">
            <w:pPr>
              <w:pStyle w:val="Tabletextnumbered"/>
            </w:pPr>
            <w:r>
              <w:t>7.2.1 Budget approval and scrutiny procedures shall be clearly specified in the rules</w:t>
            </w:r>
          </w:p>
          <w:p w14:paraId="1D4D4017" w14:textId="77777777" w:rsidR="00AA0DCC" w:rsidRDefault="00AA0DCC" w:rsidP="00130A3F">
            <w:pPr>
              <w:pStyle w:val="Tabletextnumbered"/>
            </w:pPr>
            <w:r>
              <w:t>of procedure, the Constitution or relevant legislation</w:t>
            </w:r>
          </w:p>
        </w:tc>
        <w:tc>
          <w:tcPr>
            <w:tcW w:w="1276" w:type="dxa"/>
            <w:tcBorders>
              <w:top w:val="single" w:sz="4" w:space="0" w:color="auto"/>
              <w:bottom w:val="single" w:sz="4" w:space="0" w:color="auto"/>
            </w:tcBorders>
            <w:shd w:val="clear" w:color="auto" w:fill="E2EFD9" w:themeFill="accent6" w:themeFillTint="33"/>
          </w:tcPr>
          <w:p w14:paraId="37A085C0" w14:textId="77777777" w:rsidR="00AA0DCC" w:rsidRDefault="00AA0DCC" w:rsidP="00130A3F">
            <w:pPr>
              <w:pStyle w:val="Tabletext"/>
            </w:pPr>
            <w:r>
              <w:t>2</w:t>
            </w:r>
          </w:p>
        </w:tc>
        <w:tc>
          <w:tcPr>
            <w:tcW w:w="8505" w:type="dxa"/>
            <w:tcBorders>
              <w:top w:val="single" w:sz="4" w:space="0" w:color="auto"/>
              <w:bottom w:val="single" w:sz="4" w:space="0" w:color="auto"/>
            </w:tcBorders>
          </w:tcPr>
          <w:p w14:paraId="2437F6F6" w14:textId="0AF3A20B" w:rsidR="00AA0DCC" w:rsidRDefault="00AA0DCC" w:rsidP="00130A3F">
            <w:pPr>
              <w:pStyle w:val="Tabletext"/>
            </w:pPr>
            <w:r>
              <w:t xml:space="preserve">Section 57-65 of the Self-Government Act codify the powers of the Assembly and the Executive in relation to the ACT’s finances. Part 2 of the Financial Management Act establishes requirements for appropriation and budget approval. There are additional requirements around appropriation and budget consideration in the standing orders (see, for instance, standings orders 58, 69(d), 69(e), 180, 200, 201, 201A). </w:t>
            </w:r>
          </w:p>
        </w:tc>
      </w:tr>
      <w:tr w:rsidR="00AA0DCC" w14:paraId="264C9289" w14:textId="77777777" w:rsidTr="00C276E6">
        <w:tc>
          <w:tcPr>
            <w:tcW w:w="5098" w:type="dxa"/>
            <w:tcBorders>
              <w:top w:val="single" w:sz="4" w:space="0" w:color="auto"/>
              <w:bottom w:val="single" w:sz="4" w:space="0" w:color="auto"/>
            </w:tcBorders>
            <w:shd w:val="clear" w:color="auto" w:fill="FFFFFF" w:themeFill="background1"/>
          </w:tcPr>
          <w:p w14:paraId="616ACBD8" w14:textId="02B6238C" w:rsidR="00AA0DCC" w:rsidRDefault="00AA0DCC" w:rsidP="00130A3F">
            <w:pPr>
              <w:pStyle w:val="Tabletextnumbered"/>
            </w:pPr>
            <w:r>
              <w:t xml:space="preserve">7.2.2 The Legislature shall have a reasonable </w:t>
            </w:r>
            <w:proofErr w:type="gramStart"/>
            <w:r>
              <w:t>period of time</w:t>
            </w:r>
            <w:proofErr w:type="gramEnd"/>
            <w:r>
              <w:t xml:space="preserve"> in which to adequately scrutinize and debate the proposed national budget.</w:t>
            </w:r>
          </w:p>
        </w:tc>
        <w:tc>
          <w:tcPr>
            <w:tcW w:w="1276" w:type="dxa"/>
            <w:tcBorders>
              <w:top w:val="single" w:sz="4" w:space="0" w:color="auto"/>
              <w:bottom w:val="single" w:sz="4" w:space="0" w:color="auto"/>
            </w:tcBorders>
            <w:shd w:val="clear" w:color="auto" w:fill="E2EFD9" w:themeFill="accent6" w:themeFillTint="33"/>
          </w:tcPr>
          <w:p w14:paraId="591B0432" w14:textId="77777777" w:rsidR="00AA0DCC" w:rsidRDefault="00AA0DCC" w:rsidP="00130A3F">
            <w:pPr>
              <w:pStyle w:val="Tabletext"/>
            </w:pPr>
            <w:r>
              <w:t>2</w:t>
            </w:r>
          </w:p>
        </w:tc>
        <w:tc>
          <w:tcPr>
            <w:tcW w:w="8505" w:type="dxa"/>
            <w:tcBorders>
              <w:top w:val="single" w:sz="4" w:space="0" w:color="auto"/>
              <w:bottom w:val="single" w:sz="4" w:space="0" w:color="auto"/>
            </w:tcBorders>
          </w:tcPr>
          <w:p w14:paraId="7C7CCD20" w14:textId="4132706D" w:rsidR="00AA0DCC" w:rsidRDefault="00AA0DCC" w:rsidP="00130A3F">
            <w:pPr>
              <w:pStyle w:val="Tabletext"/>
            </w:pPr>
            <w:r>
              <w:t xml:space="preserve">The practice of the Assembly is that following presentation of the appropriation bills, a select committee on estimates is establishing to inquire into and report on the proposed appropriations. Following the presentation of the committee’s report, the Assembly proceeds to debate the report, the government’s response to the report together with the bills as they stand. At the detail stage of consideration, it is the practice that the Assembly proceeds to debate the bills line-by-line. The time that elapses between the presentation of the budget and its passage is typically about </w:t>
            </w:r>
            <w:r w:rsidR="00741AE1">
              <w:t>8</w:t>
            </w:r>
            <w:r>
              <w:t xml:space="preserve"> weeks.</w:t>
            </w:r>
            <w:r w:rsidR="00741AE1">
              <w:t xml:space="preserve"> There are two weeks of estimates committee hearings. </w:t>
            </w:r>
            <w:r>
              <w:t xml:space="preserve">Debate on the appropriation bill will typically take place over </w:t>
            </w:r>
            <w:r w:rsidR="00741AE1">
              <w:t>3</w:t>
            </w:r>
            <w:r>
              <w:t xml:space="preserve"> days and all members are able to participate in the debate on each of the </w:t>
            </w:r>
            <w:proofErr w:type="gramStart"/>
            <w:r>
              <w:t>particular budget</w:t>
            </w:r>
            <w:proofErr w:type="gramEnd"/>
            <w:r>
              <w:t xml:space="preserve"> lines that are contained within the appropriations. </w:t>
            </w:r>
          </w:p>
        </w:tc>
      </w:tr>
    </w:tbl>
    <w:p w14:paraId="0C6DD274" w14:textId="77777777" w:rsidR="0079283D" w:rsidRDefault="0079283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4E1559F8" w14:textId="77777777" w:rsidTr="00C276E6">
        <w:tc>
          <w:tcPr>
            <w:tcW w:w="5098" w:type="dxa"/>
            <w:tcBorders>
              <w:top w:val="single" w:sz="4" w:space="0" w:color="auto"/>
              <w:bottom w:val="single" w:sz="4" w:space="0" w:color="auto"/>
            </w:tcBorders>
            <w:shd w:val="clear" w:color="auto" w:fill="FFFFFF" w:themeFill="background1"/>
          </w:tcPr>
          <w:p w14:paraId="3F20DE08" w14:textId="3B2EC5FA" w:rsidR="00AA0DCC" w:rsidRDefault="00AA0DCC" w:rsidP="00130A3F">
            <w:pPr>
              <w:pStyle w:val="Tabletextnumbered"/>
            </w:pPr>
            <w:r>
              <w:lastRenderedPageBreak/>
              <w:t>7.2.3 Oversight Committees shall provide meaningful opportunities for minority or opposition parties and independent MPs to engage in effective oversight of government expenditures.</w:t>
            </w:r>
          </w:p>
        </w:tc>
        <w:tc>
          <w:tcPr>
            <w:tcW w:w="1276" w:type="dxa"/>
            <w:tcBorders>
              <w:top w:val="single" w:sz="4" w:space="0" w:color="auto"/>
              <w:bottom w:val="single" w:sz="4" w:space="0" w:color="auto"/>
            </w:tcBorders>
            <w:shd w:val="clear" w:color="auto" w:fill="E2EFD9" w:themeFill="accent6" w:themeFillTint="33"/>
          </w:tcPr>
          <w:p w14:paraId="6AF29D50" w14:textId="77777777" w:rsidR="00AA0DCC" w:rsidRDefault="00AA0DCC" w:rsidP="00130A3F">
            <w:pPr>
              <w:pStyle w:val="Tabletext"/>
            </w:pPr>
            <w:r>
              <w:t>2</w:t>
            </w:r>
          </w:p>
        </w:tc>
        <w:tc>
          <w:tcPr>
            <w:tcW w:w="8505" w:type="dxa"/>
            <w:tcBorders>
              <w:top w:val="single" w:sz="4" w:space="0" w:color="auto"/>
              <w:bottom w:val="single" w:sz="4" w:space="0" w:color="auto"/>
            </w:tcBorders>
          </w:tcPr>
          <w:p w14:paraId="788A000B" w14:textId="07DDC89C" w:rsidR="00AA0DCC" w:rsidRDefault="00AA0DCC" w:rsidP="00130A3F">
            <w:pPr>
              <w:pStyle w:val="Tabletext"/>
            </w:pPr>
            <w:r>
              <w:t>By reason of standing order 221, Assembly committees are to ‘comprise representatives of all groups and parties in the Assembly as nearly as practicable proportional to their representation in the Assembly’. Through its committees, including the Standing Committee on Public Accounts and the Select Committee on Estimates</w:t>
            </w:r>
            <w:r w:rsidR="00821444">
              <w:t xml:space="preserve"> (both chaired by an Opposition MLA)</w:t>
            </w:r>
            <w:r>
              <w:t>, members have meaningful opportunities to provide oversight in relation to government expenditure.</w:t>
            </w:r>
          </w:p>
        </w:tc>
      </w:tr>
      <w:tr w:rsidR="00AA0DCC" w14:paraId="08497305" w14:textId="77777777" w:rsidTr="00527CCE">
        <w:tc>
          <w:tcPr>
            <w:tcW w:w="5098" w:type="dxa"/>
            <w:tcBorders>
              <w:top w:val="single" w:sz="4" w:space="0" w:color="auto"/>
              <w:bottom w:val="single" w:sz="4" w:space="0" w:color="auto"/>
            </w:tcBorders>
            <w:shd w:val="clear" w:color="auto" w:fill="FFFFFF" w:themeFill="background1"/>
          </w:tcPr>
          <w:p w14:paraId="621A50ED" w14:textId="4A22641C" w:rsidR="00AA0DCC" w:rsidRDefault="00AA0DCC" w:rsidP="00130A3F">
            <w:pPr>
              <w:pStyle w:val="Tabletextnumbered"/>
            </w:pPr>
            <w:r>
              <w:t>7.2.4 In addition to the draft annual budget, the Legislature shall receive and assess medium-term and annual budget strategies and be informed of the main assumptions that underlie the annual budget’s revenue and expenditure projections.</w:t>
            </w:r>
          </w:p>
        </w:tc>
        <w:tc>
          <w:tcPr>
            <w:tcW w:w="1276" w:type="dxa"/>
            <w:tcBorders>
              <w:top w:val="single" w:sz="4" w:space="0" w:color="auto"/>
              <w:bottom w:val="single" w:sz="4" w:space="0" w:color="auto"/>
            </w:tcBorders>
            <w:shd w:val="clear" w:color="auto" w:fill="FFF2CC" w:themeFill="accent4" w:themeFillTint="33"/>
          </w:tcPr>
          <w:p w14:paraId="269F6F70" w14:textId="77777777" w:rsidR="00AA0DCC" w:rsidRPr="002D1CD9" w:rsidRDefault="00AA0DCC" w:rsidP="00130A3F">
            <w:pPr>
              <w:pStyle w:val="Tabletext"/>
            </w:pPr>
            <w:r w:rsidRPr="002D1CD9">
              <w:t>1</w:t>
            </w:r>
          </w:p>
        </w:tc>
        <w:tc>
          <w:tcPr>
            <w:tcW w:w="8505" w:type="dxa"/>
            <w:tcBorders>
              <w:top w:val="single" w:sz="4" w:space="0" w:color="auto"/>
              <w:bottom w:val="single" w:sz="4" w:space="0" w:color="auto"/>
            </w:tcBorders>
          </w:tcPr>
          <w:p w14:paraId="5148E337" w14:textId="24BB555A" w:rsidR="00AA0DCC" w:rsidRPr="00BF4A91" w:rsidRDefault="00AA0DCC" w:rsidP="00130A3F">
            <w:pPr>
              <w:pStyle w:val="Tabletext"/>
            </w:pPr>
            <w:r w:rsidRPr="00BF4A91">
              <w:t>In addition to the annual budget (which contains out-year funding strategies / budgets) and appropriation, the Treasurer also provides a mid-year budget update.</w:t>
            </w:r>
          </w:p>
          <w:p w14:paraId="7AA65092" w14:textId="49913613" w:rsidR="00AA0DCC" w:rsidRDefault="00AA0DCC" w:rsidP="00130A3F">
            <w:pPr>
              <w:pStyle w:val="Tabletext"/>
            </w:pPr>
            <w:r>
              <w:t>Section 20</w:t>
            </w:r>
            <w:proofErr w:type="gramStart"/>
            <w:r>
              <w:t>A(</w:t>
            </w:r>
            <w:proofErr w:type="gramEnd"/>
            <w:r>
              <w:t>2) of the Financial Management Act provides that the Treasurer must present the budget review for a financial year to the Legislative Assembly no later than 15 February in the financial year. Section 20B(1) of the Financial Management Act states that the “purpose of the budget review for a financial year is to give updated information to allow the assessment of the government’s financial performance against the financial policy objectives and strategies set out in the financial policy objectives and strategies statement for the Territory budget for the financial year.”.</w:t>
            </w:r>
          </w:p>
          <w:p w14:paraId="1DB19AD1" w14:textId="4A829242" w:rsidR="00AA0DCC" w:rsidRDefault="00AA0DCC" w:rsidP="00130A3F">
            <w:pPr>
              <w:pStyle w:val="Tabletext"/>
            </w:pPr>
            <w:r>
              <w:t>Section 30E of the Financial Management Act provides that each directorate:</w:t>
            </w:r>
          </w:p>
          <w:p w14:paraId="5A8D5F69" w14:textId="07DCDCF2" w:rsidR="00F7007D" w:rsidRDefault="00AA0DCC" w:rsidP="00286D33">
            <w:pPr>
              <w:pStyle w:val="Tabletextnumbered"/>
              <w:numPr>
                <w:ilvl w:val="0"/>
                <w:numId w:val="15"/>
              </w:numPr>
              <w:ind w:left="452"/>
            </w:pPr>
            <w:r w:rsidRPr="002D1CD9">
              <w:t>Within 45 days after 31 December in each financial year, each Minister must—</w:t>
            </w:r>
          </w:p>
          <w:p w14:paraId="6888C24B" w14:textId="77777777" w:rsidR="00EB7B26" w:rsidRPr="00286D33" w:rsidRDefault="00AA0DCC" w:rsidP="00286D33">
            <w:pPr>
              <w:pStyle w:val="Tabletextalphalist"/>
              <w:numPr>
                <w:ilvl w:val="0"/>
                <w:numId w:val="16"/>
              </w:numPr>
            </w:pPr>
            <w:r w:rsidRPr="00286D33">
              <w:t>prepare a half-yearly performance report for each directorate for which the Minister is responsible; and</w:t>
            </w:r>
          </w:p>
          <w:p w14:paraId="64179A1E" w14:textId="53154FAA" w:rsidR="00F7007D" w:rsidRPr="00286D33" w:rsidRDefault="00AA0DCC" w:rsidP="00286D33">
            <w:pPr>
              <w:pStyle w:val="Tabletextalphalist"/>
              <w:numPr>
                <w:ilvl w:val="0"/>
                <w:numId w:val="16"/>
              </w:numPr>
            </w:pPr>
            <w:r w:rsidRPr="00286D33">
              <w:t>present the report to the Legislative Assembly.</w:t>
            </w:r>
          </w:p>
          <w:p w14:paraId="50329AED" w14:textId="0034F7DA" w:rsidR="00EB7B26" w:rsidRDefault="00AA0DCC" w:rsidP="00286D33">
            <w:pPr>
              <w:pStyle w:val="Tabletextnumbered"/>
              <w:numPr>
                <w:ilvl w:val="0"/>
                <w:numId w:val="15"/>
              </w:numPr>
              <w:ind w:left="452"/>
            </w:pPr>
            <w:r w:rsidRPr="002D1CD9">
              <w:t>The report must include—</w:t>
            </w:r>
          </w:p>
          <w:p w14:paraId="4617B6EB" w14:textId="77777777" w:rsidR="00EB7B26" w:rsidRDefault="00AA0DCC" w:rsidP="00286D33">
            <w:pPr>
              <w:pStyle w:val="Tabletextalphalist"/>
              <w:numPr>
                <w:ilvl w:val="0"/>
                <w:numId w:val="17"/>
              </w:numPr>
            </w:pPr>
            <w:r w:rsidRPr="002D1CD9">
              <w:t>a progress report on delivery of outputs; and</w:t>
            </w:r>
          </w:p>
          <w:p w14:paraId="6265C224" w14:textId="18AAA646" w:rsidR="00AA0DCC" w:rsidRDefault="00AA0DCC" w:rsidP="00286D33">
            <w:pPr>
              <w:pStyle w:val="Tabletextalphalist"/>
              <w:numPr>
                <w:ilvl w:val="0"/>
                <w:numId w:val="17"/>
              </w:numPr>
            </w:pPr>
            <w:r w:rsidRPr="002D1CD9">
              <w:t>an explanation of any significant variations from performance criteria.</w:t>
            </w:r>
          </w:p>
          <w:p w14:paraId="4D82DF46" w14:textId="08C89B34" w:rsidR="00821444" w:rsidRDefault="00821444" w:rsidP="00130A3F">
            <w:pPr>
              <w:pStyle w:val="Tabletext"/>
            </w:pPr>
            <w:r>
              <w:t>There is no parliamentary budget officer responsible for providing direct advice to the Assembly i</w:t>
            </w:r>
            <w:r w:rsidR="002C2146">
              <w:t>n</w:t>
            </w:r>
            <w:r>
              <w:t xml:space="preserve"> relation to the assumptions, reasonableness and outlook associated with the government’s budget. </w:t>
            </w:r>
          </w:p>
        </w:tc>
      </w:tr>
    </w:tbl>
    <w:p w14:paraId="1EFCC1DD" w14:textId="77777777" w:rsidR="00C872FD" w:rsidRDefault="00C872F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33482B25" w14:textId="77777777" w:rsidTr="00C30366">
        <w:tc>
          <w:tcPr>
            <w:tcW w:w="5098" w:type="dxa"/>
            <w:tcBorders>
              <w:top w:val="single" w:sz="4" w:space="0" w:color="auto"/>
              <w:bottom w:val="single" w:sz="4" w:space="0" w:color="auto"/>
            </w:tcBorders>
            <w:shd w:val="clear" w:color="auto" w:fill="FFFFFF" w:themeFill="background1"/>
          </w:tcPr>
          <w:p w14:paraId="7606C7C5" w14:textId="2E8AD43C" w:rsidR="00AA0DCC" w:rsidRDefault="00AA0DCC" w:rsidP="00EB7B26">
            <w:pPr>
              <w:pStyle w:val="Tabletextnumbered"/>
            </w:pPr>
            <w:r>
              <w:lastRenderedPageBreak/>
              <w:t>7.2.5 The Legislature shall receive regular in-year budget reports and an audited annual financial statement from the government within 12 months after the end of the fiscal year.</w:t>
            </w:r>
          </w:p>
        </w:tc>
        <w:tc>
          <w:tcPr>
            <w:tcW w:w="1276" w:type="dxa"/>
            <w:tcBorders>
              <w:top w:val="single" w:sz="4" w:space="0" w:color="auto"/>
              <w:bottom w:val="single" w:sz="4" w:space="0" w:color="auto"/>
            </w:tcBorders>
            <w:shd w:val="clear" w:color="auto" w:fill="E2EFD9" w:themeFill="accent6" w:themeFillTint="33"/>
          </w:tcPr>
          <w:p w14:paraId="7D2AC48D" w14:textId="77777777" w:rsidR="00AA0DCC" w:rsidRDefault="00AA0DCC" w:rsidP="00EB7B26">
            <w:pPr>
              <w:pStyle w:val="Tabletext"/>
            </w:pPr>
            <w:r>
              <w:t>2</w:t>
            </w:r>
          </w:p>
        </w:tc>
        <w:tc>
          <w:tcPr>
            <w:tcW w:w="8505" w:type="dxa"/>
            <w:tcBorders>
              <w:top w:val="single" w:sz="4" w:space="0" w:color="auto"/>
              <w:bottom w:val="single" w:sz="4" w:space="0" w:color="auto"/>
            </w:tcBorders>
          </w:tcPr>
          <w:p w14:paraId="6CC35C51" w14:textId="77777777" w:rsidR="00AA0DCC" w:rsidRDefault="00AA0DCC" w:rsidP="00EB7B26">
            <w:pPr>
              <w:pStyle w:val="Tabletext"/>
            </w:pPr>
            <w:r>
              <w:t xml:space="preserve">Financial statements are contained in annual reports produced by government directorates and public sector agencies and are examined by the relevant standing committees of the Legislative Assembly. </w:t>
            </w:r>
          </w:p>
        </w:tc>
      </w:tr>
      <w:tr w:rsidR="00AA0DCC" w14:paraId="1564FB33" w14:textId="77777777" w:rsidTr="00C30366">
        <w:tc>
          <w:tcPr>
            <w:tcW w:w="5098" w:type="dxa"/>
            <w:tcBorders>
              <w:top w:val="single" w:sz="4" w:space="0" w:color="auto"/>
              <w:bottom w:val="single" w:sz="4" w:space="0" w:color="auto"/>
            </w:tcBorders>
            <w:shd w:val="clear" w:color="auto" w:fill="FFFFFF" w:themeFill="background1"/>
          </w:tcPr>
          <w:p w14:paraId="4CB7099F" w14:textId="07D004BD" w:rsidR="00AA0DCC" w:rsidRDefault="00AA0DCC" w:rsidP="00EB7B26">
            <w:pPr>
              <w:pStyle w:val="Tabletextnumbered"/>
            </w:pPr>
            <w:r>
              <w:t xml:space="preserve">7.2.6 The Legislature shall have access to </w:t>
            </w:r>
            <w:proofErr w:type="gramStart"/>
            <w:r>
              <w:t>sufficient</w:t>
            </w:r>
            <w:proofErr w:type="gramEnd"/>
            <w:r>
              <w:t xml:space="preserve"> financial scrutiny resources and/or independent budget and financial expertise to ensure that financial</w:t>
            </w:r>
          </w:p>
          <w:p w14:paraId="24F8EC4F" w14:textId="2BF52F1C" w:rsidR="00AA0DCC" w:rsidRDefault="00AA0DCC" w:rsidP="00EB7B26">
            <w:pPr>
              <w:pStyle w:val="Tabletextnumbered"/>
            </w:pPr>
            <w:r>
              <w:t>oversight is conducted effectively.</w:t>
            </w:r>
          </w:p>
        </w:tc>
        <w:tc>
          <w:tcPr>
            <w:tcW w:w="1276" w:type="dxa"/>
            <w:tcBorders>
              <w:top w:val="single" w:sz="4" w:space="0" w:color="auto"/>
              <w:bottom w:val="single" w:sz="4" w:space="0" w:color="auto"/>
            </w:tcBorders>
            <w:shd w:val="clear" w:color="auto" w:fill="E2EFD9" w:themeFill="accent6" w:themeFillTint="33"/>
          </w:tcPr>
          <w:p w14:paraId="7C8E5A7A" w14:textId="77777777" w:rsidR="00AA0DCC" w:rsidRDefault="00AA0DCC" w:rsidP="00EB7B26">
            <w:pPr>
              <w:pStyle w:val="Tabletext"/>
            </w:pPr>
            <w:r>
              <w:t>2</w:t>
            </w:r>
          </w:p>
        </w:tc>
        <w:tc>
          <w:tcPr>
            <w:tcW w:w="8505" w:type="dxa"/>
            <w:tcBorders>
              <w:top w:val="single" w:sz="4" w:space="0" w:color="auto"/>
              <w:bottom w:val="single" w:sz="4" w:space="0" w:color="auto"/>
            </w:tcBorders>
          </w:tcPr>
          <w:p w14:paraId="7C31FAF8" w14:textId="77777777" w:rsidR="00AA0DCC" w:rsidRDefault="00AA0DCC" w:rsidP="00EB7B26">
            <w:pPr>
              <w:pStyle w:val="Tabletext"/>
            </w:pPr>
            <w:r>
              <w:t xml:space="preserve">It is the practice that the Assembly’s annual estimates committee engages (in accordance with standing order 238) an independent economic adviser to provide expert advice on the Government’s budget and appropriation bills.  </w:t>
            </w:r>
          </w:p>
        </w:tc>
      </w:tr>
      <w:tr w:rsidR="00AA0DCC" w14:paraId="381A95AE" w14:textId="77777777" w:rsidTr="00C30366">
        <w:tc>
          <w:tcPr>
            <w:tcW w:w="5098" w:type="dxa"/>
            <w:tcBorders>
              <w:top w:val="single" w:sz="4" w:space="0" w:color="auto"/>
              <w:bottom w:val="single" w:sz="4" w:space="0" w:color="auto"/>
            </w:tcBorders>
            <w:shd w:val="clear" w:color="auto" w:fill="FFFFFF" w:themeFill="background1"/>
          </w:tcPr>
          <w:p w14:paraId="5E058667" w14:textId="5636103D" w:rsidR="00AA0DCC" w:rsidRDefault="00AA0DCC" w:rsidP="00EB7B26">
            <w:pPr>
              <w:pStyle w:val="Tabletextnumbered"/>
            </w:pPr>
            <w:r>
              <w:t>7.2.7 There shall be an independent, non-partisan Supreme or National Audit Office whose reports are tabled in the Legislature in a timely manner.</w:t>
            </w:r>
          </w:p>
        </w:tc>
        <w:tc>
          <w:tcPr>
            <w:tcW w:w="1276" w:type="dxa"/>
            <w:tcBorders>
              <w:top w:val="single" w:sz="4" w:space="0" w:color="auto"/>
              <w:bottom w:val="single" w:sz="4" w:space="0" w:color="auto"/>
            </w:tcBorders>
            <w:shd w:val="clear" w:color="auto" w:fill="E2EFD9" w:themeFill="accent6" w:themeFillTint="33"/>
          </w:tcPr>
          <w:p w14:paraId="15020413" w14:textId="77777777" w:rsidR="00AA0DCC" w:rsidRDefault="00AA0DCC" w:rsidP="00EB7B26">
            <w:pPr>
              <w:pStyle w:val="Tabletext"/>
            </w:pPr>
            <w:r>
              <w:t>2</w:t>
            </w:r>
          </w:p>
        </w:tc>
        <w:tc>
          <w:tcPr>
            <w:tcW w:w="8505" w:type="dxa"/>
            <w:tcBorders>
              <w:top w:val="single" w:sz="4" w:space="0" w:color="auto"/>
              <w:bottom w:val="single" w:sz="4" w:space="0" w:color="auto"/>
            </w:tcBorders>
          </w:tcPr>
          <w:p w14:paraId="0962FA8A" w14:textId="56586EE9" w:rsidR="00AA0DCC" w:rsidRDefault="00AA0DCC" w:rsidP="00EB7B26">
            <w:pPr>
              <w:pStyle w:val="Tabletext"/>
            </w:pPr>
            <w:r>
              <w:t xml:space="preserve">The </w:t>
            </w:r>
            <w:r w:rsidRPr="00BC0019">
              <w:rPr>
                <w:i/>
              </w:rPr>
              <w:t>Auditor-General Act 1996</w:t>
            </w:r>
            <w:r>
              <w:t xml:space="preserve"> established the Office of Auditor-General who is an independent ‘Officer of the Assembly’ and has ‘complete discretion in the exercise of the auditor-general’s functions’ (see ss 6A and 7). Reports are all tabled in a timely manner pursuant to s 17)4) of the Act. </w:t>
            </w:r>
          </w:p>
        </w:tc>
      </w:tr>
      <w:tr w:rsidR="00AA0DCC" w14:paraId="4E8D6724" w14:textId="77777777" w:rsidTr="00C30366">
        <w:tc>
          <w:tcPr>
            <w:tcW w:w="5098" w:type="dxa"/>
            <w:tcBorders>
              <w:top w:val="single" w:sz="4" w:space="0" w:color="auto"/>
              <w:bottom w:val="single" w:sz="4" w:space="0" w:color="auto"/>
            </w:tcBorders>
            <w:shd w:val="clear" w:color="auto" w:fill="FFFFFF" w:themeFill="background1"/>
          </w:tcPr>
          <w:p w14:paraId="1610281B" w14:textId="0DD46371" w:rsidR="00AA0DCC" w:rsidRDefault="00AA0DCC" w:rsidP="00EB7B26">
            <w:pPr>
              <w:pStyle w:val="Tabletextnumbered"/>
            </w:pPr>
            <w:r>
              <w:t>7.2.8 The Supreme or National Audit Office shall be provided with adequate resources and legal authority to conduct audits in a timely manner.</w:t>
            </w:r>
          </w:p>
        </w:tc>
        <w:tc>
          <w:tcPr>
            <w:tcW w:w="1276" w:type="dxa"/>
            <w:tcBorders>
              <w:top w:val="single" w:sz="4" w:space="0" w:color="auto"/>
              <w:bottom w:val="single" w:sz="4" w:space="0" w:color="auto"/>
            </w:tcBorders>
            <w:shd w:val="clear" w:color="auto" w:fill="E2EFD9" w:themeFill="accent6" w:themeFillTint="33"/>
          </w:tcPr>
          <w:p w14:paraId="04DF55AD" w14:textId="77777777" w:rsidR="00AA0DCC" w:rsidRDefault="00AA0DCC" w:rsidP="00EB7B26">
            <w:pPr>
              <w:pStyle w:val="Tabletext"/>
            </w:pPr>
            <w:r>
              <w:t>2</w:t>
            </w:r>
          </w:p>
        </w:tc>
        <w:tc>
          <w:tcPr>
            <w:tcW w:w="8505" w:type="dxa"/>
            <w:tcBorders>
              <w:top w:val="single" w:sz="4" w:space="0" w:color="auto"/>
              <w:bottom w:val="single" w:sz="4" w:space="0" w:color="auto"/>
            </w:tcBorders>
          </w:tcPr>
          <w:p w14:paraId="7319C980" w14:textId="6056418E" w:rsidR="00AA0DCC" w:rsidRDefault="00AA0DCC" w:rsidP="00EB7B26">
            <w:pPr>
              <w:pStyle w:val="Tabletext"/>
            </w:pPr>
            <w:r>
              <w:t xml:space="preserve">As an Officer of the Assembly, the appropriation for the Audit Office is subject to requirements of the Financial Management Act which provide that the Speaker must consult with the Auditor-General before making a ‘recommended appropriation’ to the Treasurer. </w:t>
            </w:r>
          </w:p>
          <w:p w14:paraId="1BAC7996" w14:textId="77777777" w:rsidR="00AA0DCC" w:rsidRDefault="00AA0DCC" w:rsidP="00EB7B26">
            <w:pPr>
              <w:pStyle w:val="Tabletext"/>
            </w:pPr>
            <w:r>
              <w:t xml:space="preserve">Where the appropriation bill differs from the ‘recommended appropriation’, the Treasurer must provide a statement of reasons as to the variation (See ss 20AB-20AC). </w:t>
            </w:r>
          </w:p>
          <w:p w14:paraId="0921D658" w14:textId="77777777" w:rsidR="00AA0DCC" w:rsidRDefault="00AA0DCC" w:rsidP="00EB7B26">
            <w:pPr>
              <w:pStyle w:val="Tabletext"/>
            </w:pPr>
            <w:r>
              <w:t xml:space="preserve">The Auditor-General is also subject to the Budget Protocols Agreement for the Office of the Legislative Assembly and Officers of the Legislative Assembly, which establish </w:t>
            </w:r>
            <w:proofErr w:type="gramStart"/>
            <w:r>
              <w:t>particular budgetary</w:t>
            </w:r>
            <w:proofErr w:type="gramEnd"/>
            <w:r>
              <w:t xml:space="preserve"> procedures for the development of the budget and appropriation for particular independent statutory officers. </w:t>
            </w:r>
          </w:p>
          <w:p w14:paraId="06E6745D" w14:textId="72289D05" w:rsidR="00AA0DCC" w:rsidRDefault="00AA0DCC" w:rsidP="00EB7B26">
            <w:pPr>
              <w:pStyle w:val="Tabletext"/>
            </w:pPr>
            <w:r>
              <w:t xml:space="preserve">Unlike other government agencies, the Audit Office is permitted to rollover up to 10 percent of its appropriation from one financial year to the next where it has not been expended </w:t>
            </w:r>
            <w:proofErr w:type="gramStart"/>
            <w:r>
              <w:t>in a given year</w:t>
            </w:r>
            <w:proofErr w:type="gramEnd"/>
            <w:r>
              <w:t xml:space="preserve"> (other agencies must return unspent appropriation to consolidated revenue).</w:t>
            </w:r>
          </w:p>
        </w:tc>
      </w:tr>
    </w:tbl>
    <w:p w14:paraId="37830C78" w14:textId="77777777" w:rsidR="00C872FD" w:rsidRDefault="00C872F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35BC93F5" w14:textId="77777777" w:rsidTr="00527CCE">
        <w:tc>
          <w:tcPr>
            <w:tcW w:w="5098" w:type="dxa"/>
            <w:tcBorders>
              <w:top w:val="single" w:sz="4" w:space="0" w:color="auto"/>
              <w:bottom w:val="single" w:sz="4" w:space="0" w:color="auto"/>
            </w:tcBorders>
            <w:shd w:val="clear" w:color="auto" w:fill="FFFFFF" w:themeFill="background1"/>
          </w:tcPr>
          <w:p w14:paraId="21BABDA0" w14:textId="61A5FA60" w:rsidR="00AA0DCC" w:rsidRDefault="00AA0DCC" w:rsidP="00EB7B26">
            <w:pPr>
              <w:pStyle w:val="Tabletextnumbered"/>
            </w:pPr>
            <w:r>
              <w:lastRenderedPageBreak/>
              <w:t>7.2.9 All reports of the Supreme or National Audit Office shall stand referred to the Public Accounts Committee, or a designated Committee, for further report.</w:t>
            </w:r>
          </w:p>
        </w:tc>
        <w:tc>
          <w:tcPr>
            <w:tcW w:w="1276" w:type="dxa"/>
            <w:tcBorders>
              <w:top w:val="single" w:sz="4" w:space="0" w:color="auto"/>
              <w:bottom w:val="single" w:sz="4" w:space="0" w:color="auto"/>
            </w:tcBorders>
            <w:shd w:val="clear" w:color="auto" w:fill="FFF2CC" w:themeFill="accent4" w:themeFillTint="33"/>
          </w:tcPr>
          <w:p w14:paraId="14096C09" w14:textId="05D4EDB8" w:rsidR="00AA0DCC" w:rsidRDefault="00AA0DCC" w:rsidP="00EB7B26">
            <w:pPr>
              <w:pStyle w:val="Tabletext"/>
            </w:pPr>
            <w:r>
              <w:t>1</w:t>
            </w:r>
          </w:p>
        </w:tc>
        <w:tc>
          <w:tcPr>
            <w:tcW w:w="8505" w:type="dxa"/>
            <w:tcBorders>
              <w:top w:val="single" w:sz="4" w:space="0" w:color="auto"/>
              <w:bottom w:val="single" w:sz="4" w:space="0" w:color="auto"/>
            </w:tcBorders>
          </w:tcPr>
          <w:p w14:paraId="15DD71B7" w14:textId="77777777" w:rsidR="000272F9" w:rsidRDefault="000272F9" w:rsidP="00EB7B26">
            <w:pPr>
              <w:pStyle w:val="Tabletext"/>
            </w:pPr>
            <w:r>
              <w:t xml:space="preserve">The resolution of appointment of the Standing Committee on Public Accounts requires that it examine ‘all reports of the Auditor-General which have been reported to the Assembly’. </w:t>
            </w:r>
          </w:p>
          <w:p w14:paraId="62C94EC3" w14:textId="008671D1" w:rsidR="000272F9" w:rsidRDefault="000272F9" w:rsidP="00EB7B26">
            <w:pPr>
              <w:pStyle w:val="Tabletext"/>
            </w:pPr>
            <w:r>
              <w:t xml:space="preserve">In the period between November 2016 (when the Ninth Assembly commenced) and April 2019, there have been 26 reports of the Auditor-General. Of these, the Standing Committee on Public Accounts is conducting inquiries in relation to four of these reports. 21 reports have been ‘noted’ by the committee. 14 public hearings have been conducted during the period. </w:t>
            </w:r>
          </w:p>
          <w:p w14:paraId="1ADC1492" w14:textId="40C90A76" w:rsidR="000272F9" w:rsidRDefault="000272F9" w:rsidP="00EB7B26">
            <w:pPr>
              <w:pStyle w:val="Tabletext"/>
            </w:pPr>
            <w:r>
              <w:t xml:space="preserve">While the Assembly satisfies the technical letter of the benchmark in that all reports are referred to the committee, given </w:t>
            </w:r>
            <w:r w:rsidR="005F52BF">
              <w:t>it is clearly</w:t>
            </w:r>
            <w:r>
              <w:t xml:space="preserve"> the spirit of the benchmark that the preponderance of referrals are, in fact, substantively inquired into and reported on by the committee, a score of 1 has been applied. </w:t>
            </w:r>
          </w:p>
          <w:p w14:paraId="080DF6F0" w14:textId="77777777" w:rsidR="000272F9" w:rsidRDefault="000272F9" w:rsidP="00EB7B26">
            <w:pPr>
              <w:pStyle w:val="Tabletext"/>
            </w:pPr>
            <w:r>
              <w:t xml:space="preserve">It must be noted that it is for public accounts committee, as with all Assembly committees, to determine how it approaches its remit and there may be valid reasons behind </w:t>
            </w:r>
            <w:proofErr w:type="gramStart"/>
            <w:r>
              <w:t>whether or not</w:t>
            </w:r>
            <w:proofErr w:type="gramEnd"/>
            <w:r>
              <w:t xml:space="preserve"> each audit report is the subject of substantive inquiry and report. For instance, it could be the case that a committee’s attention is drawn to </w:t>
            </w:r>
            <w:proofErr w:type="gramStart"/>
            <w:r>
              <w:t>particular areas</w:t>
            </w:r>
            <w:proofErr w:type="gramEnd"/>
            <w:r>
              <w:t xml:space="preserve"> of audit activity and determine to focus its attention of those areas to the exclusion of others. </w:t>
            </w:r>
          </w:p>
          <w:p w14:paraId="1E44A681" w14:textId="4AB45DFB" w:rsidR="00AA0DCC" w:rsidRDefault="00AA0DCC" w:rsidP="00EB7B26">
            <w:pPr>
              <w:pStyle w:val="Tabletext"/>
            </w:pPr>
            <w:r>
              <w:t>See:</w:t>
            </w:r>
          </w:p>
          <w:p w14:paraId="59334375" w14:textId="7BA318CC" w:rsidR="00AA0DCC" w:rsidRDefault="00014815" w:rsidP="00EB7B26">
            <w:pPr>
              <w:pStyle w:val="Tabletext"/>
            </w:pPr>
            <w:hyperlink r:id="rId47" w:anchor="AuditReports2016" w:history="1">
              <w:r w:rsidR="00AA0DCC" w:rsidRPr="00C01BFE">
                <w:rPr>
                  <w:rStyle w:val="Hyperlink"/>
                </w:rPr>
                <w:t>https://www.audit.act.gov.au/reports-and-publications/audit-reports#AuditReports2016</w:t>
              </w:r>
            </w:hyperlink>
            <w:r w:rsidR="00AA0DCC">
              <w:t xml:space="preserve"> </w:t>
            </w:r>
          </w:p>
          <w:p w14:paraId="48823EA1" w14:textId="3AFB3DCD" w:rsidR="00AA0DCC" w:rsidRDefault="00014815" w:rsidP="00EB7B26">
            <w:pPr>
              <w:pStyle w:val="Tabletext"/>
            </w:pPr>
            <w:hyperlink r:id="rId48" w:history="1">
              <w:r w:rsidR="00AA0DCC" w:rsidRPr="00C01BFE">
                <w:rPr>
                  <w:rStyle w:val="Hyperlink"/>
                </w:rPr>
                <w:t>https://www.parliament.act.gov.au/in-committees/standing-committees-current-assembly/standing-committee-on-public-accounts</w:t>
              </w:r>
            </w:hyperlink>
            <w:r w:rsidR="00AA0DCC">
              <w:t xml:space="preserve"> </w:t>
            </w:r>
          </w:p>
        </w:tc>
      </w:tr>
      <w:tr w:rsidR="00AA0DCC" w:rsidRPr="00E45B3E" w14:paraId="1B06418B"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1E84F8D2" w14:textId="4CE33A9A" w:rsidR="00AA0DCC" w:rsidRPr="00E45B3E" w:rsidRDefault="00AA0DCC" w:rsidP="00C30366">
            <w:pPr>
              <w:pStyle w:val="Tableheading3"/>
            </w:pPr>
            <w:r w:rsidRPr="00E45B3E">
              <w:t>No confidence and impeachment</w:t>
            </w:r>
          </w:p>
        </w:tc>
        <w:tc>
          <w:tcPr>
            <w:tcW w:w="1276" w:type="dxa"/>
            <w:tcBorders>
              <w:top w:val="single" w:sz="4" w:space="0" w:color="auto"/>
              <w:left w:val="nil"/>
              <w:bottom w:val="single" w:sz="4" w:space="0" w:color="auto"/>
              <w:right w:val="nil"/>
            </w:tcBorders>
            <w:shd w:val="clear" w:color="auto" w:fill="F2F2F2" w:themeFill="background1" w:themeFillShade="F2"/>
          </w:tcPr>
          <w:p w14:paraId="6E4A4975" w14:textId="77777777" w:rsidR="00AA0DCC" w:rsidRPr="00E45B3E"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32F0FE0C" w14:textId="77777777" w:rsidR="00AA0DCC" w:rsidRPr="00E45B3E" w:rsidRDefault="00AA0DCC" w:rsidP="00C30366">
            <w:pPr>
              <w:pStyle w:val="Tableheading3"/>
            </w:pPr>
          </w:p>
        </w:tc>
      </w:tr>
      <w:tr w:rsidR="00AA0DCC" w14:paraId="4D11F181" w14:textId="77777777" w:rsidTr="00527CCE">
        <w:tc>
          <w:tcPr>
            <w:tcW w:w="5098" w:type="dxa"/>
            <w:tcBorders>
              <w:top w:val="single" w:sz="4" w:space="0" w:color="auto"/>
              <w:bottom w:val="single" w:sz="4" w:space="0" w:color="auto"/>
            </w:tcBorders>
            <w:shd w:val="clear" w:color="auto" w:fill="FFFFFF" w:themeFill="background1"/>
          </w:tcPr>
          <w:p w14:paraId="4461A0DD" w14:textId="60A72344" w:rsidR="00AA0DCC" w:rsidRDefault="00AA0DCC" w:rsidP="00EB7B26">
            <w:pPr>
              <w:pStyle w:val="Tabletextnumbered"/>
            </w:pPr>
            <w:r>
              <w:t>7.3.1 In bicameral systems, only a popularly elected house shall have the power to bring down the government.</w:t>
            </w:r>
          </w:p>
        </w:tc>
        <w:tc>
          <w:tcPr>
            <w:tcW w:w="1276" w:type="dxa"/>
            <w:tcBorders>
              <w:top w:val="single" w:sz="4" w:space="0" w:color="auto"/>
              <w:bottom w:val="single" w:sz="4" w:space="0" w:color="auto"/>
            </w:tcBorders>
            <w:shd w:val="clear" w:color="auto" w:fill="DEEAF6" w:themeFill="accent1" w:themeFillTint="33"/>
          </w:tcPr>
          <w:p w14:paraId="70651473" w14:textId="77777777" w:rsidR="00AA0DCC" w:rsidRDefault="00AA0DCC" w:rsidP="00EB7B26">
            <w:pPr>
              <w:pStyle w:val="Tabletext"/>
            </w:pPr>
            <w:r>
              <w:t>NA</w:t>
            </w:r>
          </w:p>
        </w:tc>
        <w:tc>
          <w:tcPr>
            <w:tcW w:w="8505" w:type="dxa"/>
            <w:tcBorders>
              <w:top w:val="single" w:sz="4" w:space="0" w:color="auto"/>
              <w:bottom w:val="single" w:sz="4" w:space="0" w:color="auto"/>
            </w:tcBorders>
          </w:tcPr>
          <w:p w14:paraId="70CE7BA2" w14:textId="54B06CBB" w:rsidR="00AA0DCC" w:rsidRDefault="00AA0DCC" w:rsidP="00EB7B26">
            <w:pPr>
              <w:pStyle w:val="Tabletext"/>
            </w:pPr>
            <w:r>
              <w:t>The Assembly is unicameral.</w:t>
            </w:r>
          </w:p>
        </w:tc>
      </w:tr>
      <w:tr w:rsidR="00AA0DCC" w14:paraId="01991963" w14:textId="77777777" w:rsidTr="00C30366">
        <w:tc>
          <w:tcPr>
            <w:tcW w:w="5098" w:type="dxa"/>
            <w:tcBorders>
              <w:top w:val="single" w:sz="4" w:space="0" w:color="auto"/>
              <w:bottom w:val="single" w:sz="4" w:space="0" w:color="auto"/>
            </w:tcBorders>
            <w:shd w:val="clear" w:color="auto" w:fill="FFFFFF" w:themeFill="background1"/>
          </w:tcPr>
          <w:p w14:paraId="446AB64F" w14:textId="77777777" w:rsidR="00AA0DCC" w:rsidRDefault="00AA0DCC" w:rsidP="00EB7B26">
            <w:pPr>
              <w:pStyle w:val="Tabletextnumbered"/>
            </w:pPr>
            <w:r>
              <w:t xml:space="preserve">7.3.2 The Legislature shall have mechanisms to impeach or censure the Executive </w:t>
            </w:r>
            <w:proofErr w:type="gramStart"/>
            <w:r>
              <w:t>branch, or</w:t>
            </w:r>
            <w:proofErr w:type="gramEnd"/>
            <w:r>
              <w:t xml:space="preserve"> express no-confidence in the government.</w:t>
            </w:r>
          </w:p>
        </w:tc>
        <w:tc>
          <w:tcPr>
            <w:tcW w:w="1276" w:type="dxa"/>
            <w:tcBorders>
              <w:top w:val="single" w:sz="4" w:space="0" w:color="auto"/>
              <w:bottom w:val="single" w:sz="4" w:space="0" w:color="auto"/>
            </w:tcBorders>
            <w:shd w:val="clear" w:color="auto" w:fill="E2EFD9" w:themeFill="accent6" w:themeFillTint="33"/>
          </w:tcPr>
          <w:p w14:paraId="4CE0C360" w14:textId="77777777" w:rsidR="00AA0DCC" w:rsidRDefault="00AA0DCC" w:rsidP="00EB7B26">
            <w:pPr>
              <w:pStyle w:val="Tabletext"/>
            </w:pPr>
            <w:r>
              <w:t>2</w:t>
            </w:r>
          </w:p>
        </w:tc>
        <w:tc>
          <w:tcPr>
            <w:tcW w:w="8505" w:type="dxa"/>
            <w:tcBorders>
              <w:top w:val="single" w:sz="4" w:space="0" w:color="auto"/>
              <w:bottom w:val="single" w:sz="4" w:space="0" w:color="auto"/>
            </w:tcBorders>
          </w:tcPr>
          <w:p w14:paraId="65B40912" w14:textId="6BC78B73" w:rsidR="00AA0DCC" w:rsidRDefault="00AA0DCC" w:rsidP="00EB7B26">
            <w:pPr>
              <w:pStyle w:val="Tabletext"/>
            </w:pPr>
            <w:r>
              <w:t xml:space="preserve">These mechanisms are all available to the Assembly under the standing orders (see standing order 81, 81A) and the conventions of Westminster parliamentary practice. </w:t>
            </w:r>
          </w:p>
        </w:tc>
      </w:tr>
      <w:tr w:rsidR="00AA0DCC" w14:paraId="388E208C" w14:textId="77777777" w:rsidTr="00C30366">
        <w:tc>
          <w:tcPr>
            <w:tcW w:w="5098" w:type="dxa"/>
            <w:tcBorders>
              <w:top w:val="single" w:sz="4" w:space="0" w:color="auto"/>
              <w:bottom w:val="single" w:sz="4" w:space="0" w:color="auto"/>
            </w:tcBorders>
            <w:shd w:val="clear" w:color="auto" w:fill="FFFFFF" w:themeFill="background1"/>
          </w:tcPr>
          <w:p w14:paraId="696F91B3" w14:textId="77777777" w:rsidR="00AA0DCC" w:rsidRDefault="00AA0DCC" w:rsidP="00EB7B26">
            <w:pPr>
              <w:pStyle w:val="Tabletextnumbered"/>
            </w:pPr>
            <w:r>
              <w:lastRenderedPageBreak/>
              <w:t>7.3.3 If the Legislature expresses no confidence in the government, the government is obliged to offer its resignation. If the head of state agrees that no other alternative government can be formed, a general election should be held in an appropriate time frame that is clearly specified in the Constitution or in any other related law.</w:t>
            </w:r>
          </w:p>
        </w:tc>
        <w:tc>
          <w:tcPr>
            <w:tcW w:w="1276" w:type="dxa"/>
            <w:tcBorders>
              <w:top w:val="single" w:sz="4" w:space="0" w:color="auto"/>
              <w:bottom w:val="single" w:sz="4" w:space="0" w:color="auto"/>
            </w:tcBorders>
            <w:shd w:val="clear" w:color="auto" w:fill="E2EFD9" w:themeFill="accent6" w:themeFillTint="33"/>
          </w:tcPr>
          <w:p w14:paraId="78357CB5" w14:textId="77777777" w:rsidR="00AA0DCC" w:rsidRDefault="00AA0DCC" w:rsidP="00EB7B26">
            <w:pPr>
              <w:pStyle w:val="Tabletext"/>
            </w:pPr>
            <w:r>
              <w:t>2</w:t>
            </w:r>
          </w:p>
        </w:tc>
        <w:tc>
          <w:tcPr>
            <w:tcW w:w="8505" w:type="dxa"/>
            <w:tcBorders>
              <w:top w:val="single" w:sz="4" w:space="0" w:color="auto"/>
              <w:bottom w:val="single" w:sz="4" w:space="0" w:color="auto"/>
            </w:tcBorders>
          </w:tcPr>
          <w:p w14:paraId="5DF76EF5" w14:textId="7AA0963D" w:rsidR="00AA0DCC" w:rsidRDefault="00AA0DCC" w:rsidP="00EB7B26">
            <w:pPr>
              <w:pStyle w:val="Tabletext"/>
            </w:pPr>
            <w:r>
              <w:t xml:space="preserve">No provision has been made in the Self-Government Act for a representative of the Crown to whom advice is given about the exercise of the Executive function (as applies in </w:t>
            </w:r>
            <w:proofErr w:type="gramStart"/>
            <w:r>
              <w:t>others</w:t>
            </w:r>
            <w:proofErr w:type="gramEnd"/>
            <w:r>
              <w:t xml:space="preserve"> states, the Commonwealth and the Northern Territory).</w:t>
            </w:r>
            <w:r w:rsidR="00821444">
              <w:t xml:space="preserve"> </w:t>
            </w:r>
          </w:p>
          <w:p w14:paraId="7C3E7FF7" w14:textId="55BC4F63" w:rsidR="00AA0DCC" w:rsidRDefault="00AA0DCC" w:rsidP="00EB7B26">
            <w:pPr>
              <w:pStyle w:val="Tabletext"/>
            </w:pPr>
            <w:r>
              <w:t>Under the conventions of the Westminster system th</w:t>
            </w:r>
            <w:r w:rsidR="00821444">
              <w:t xml:space="preserve">e practice provided for in the benchmark </w:t>
            </w:r>
            <w:r>
              <w:t xml:space="preserve">is the practice that has applied in the Assembly. </w:t>
            </w:r>
          </w:p>
          <w:p w14:paraId="2DAA6DDF" w14:textId="498278B2" w:rsidR="00AA0DCC" w:rsidRDefault="00AA0DCC" w:rsidP="00EB7B26">
            <w:pPr>
              <w:pStyle w:val="Tabletext"/>
            </w:pPr>
            <w:r w:rsidRPr="003E5149">
              <w:t>There have been two successful motions of no confidence moved against the Chief Minister in the Assembly’s history with the Chief Minister subsequently resigning and another member being elected Chief Minister.</w:t>
            </w:r>
          </w:p>
          <w:p w14:paraId="36FE1AA6" w14:textId="0AEB4E8F" w:rsidR="00AA0DCC" w:rsidRDefault="00AA0DCC" w:rsidP="00EB7B26">
            <w:pPr>
              <w:pStyle w:val="Tabletext"/>
            </w:pPr>
            <w:r>
              <w:t>While there is no provision in the constitutional arrangements of the ACT for an election to be called within ‘an appropriate timeframe’ where ‘no other alternative government can be formed’, the Self-Government Act does provide a circuit breaker mechanism at s 16 whereby the Governor-General may dissolve the Assembly and a new election be called where the Assembly is ‘incapable of effectively performing its functions’ or ‘is conducting its affairs in a grossly improper manner’.</w:t>
            </w:r>
          </w:p>
        </w:tc>
      </w:tr>
      <w:tr w:rsidR="00AA0DCC" w:rsidRPr="00E778A9" w14:paraId="7F44C17B"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3F836E7B" w14:textId="7CF6FFC0" w:rsidR="00AA0DCC" w:rsidRPr="00E778A9" w:rsidRDefault="00AA0DCC" w:rsidP="00C30366">
            <w:pPr>
              <w:pStyle w:val="Tableheading3"/>
            </w:pPr>
            <w:r w:rsidRPr="00E778A9">
              <w:t>Representational function</w:t>
            </w:r>
          </w:p>
        </w:tc>
        <w:tc>
          <w:tcPr>
            <w:tcW w:w="1276" w:type="dxa"/>
            <w:tcBorders>
              <w:top w:val="single" w:sz="4" w:space="0" w:color="auto"/>
              <w:left w:val="nil"/>
              <w:bottom w:val="single" w:sz="4" w:space="0" w:color="auto"/>
              <w:right w:val="nil"/>
            </w:tcBorders>
            <w:shd w:val="clear" w:color="auto" w:fill="F2F2F2" w:themeFill="background1" w:themeFillShade="F2"/>
          </w:tcPr>
          <w:p w14:paraId="3032336F" w14:textId="77777777" w:rsidR="00AA0DCC" w:rsidRPr="00E778A9"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0EBFF7F" w14:textId="77777777" w:rsidR="00AA0DCC" w:rsidRPr="00E778A9" w:rsidRDefault="00AA0DCC" w:rsidP="00C30366">
            <w:pPr>
              <w:pStyle w:val="Tableheading3"/>
            </w:pPr>
          </w:p>
        </w:tc>
      </w:tr>
      <w:tr w:rsidR="00AA0DCC" w14:paraId="7E086ED2" w14:textId="77777777" w:rsidTr="00527CCE">
        <w:trPr>
          <w:trHeight w:val="657"/>
        </w:trPr>
        <w:tc>
          <w:tcPr>
            <w:tcW w:w="5098" w:type="dxa"/>
            <w:tcBorders>
              <w:top w:val="single" w:sz="4" w:space="0" w:color="auto"/>
            </w:tcBorders>
            <w:shd w:val="clear" w:color="auto" w:fill="FFFFFF" w:themeFill="background1"/>
          </w:tcPr>
          <w:p w14:paraId="4F29CC6B" w14:textId="3CBFE1F2" w:rsidR="00AA0DCC" w:rsidRDefault="00AA0DCC" w:rsidP="00EB7B26">
            <w:pPr>
              <w:pStyle w:val="Tabletextnumbered"/>
            </w:pPr>
            <w:r>
              <w:t>8.1.1 The Legislature shall be organised in such a way as to enable the substantive</w:t>
            </w:r>
            <w:r w:rsidR="00EB7B26">
              <w:t xml:space="preserve"> </w:t>
            </w:r>
            <w:r>
              <w:t>representation of women in its work.</w:t>
            </w:r>
          </w:p>
        </w:tc>
        <w:tc>
          <w:tcPr>
            <w:tcW w:w="1276" w:type="dxa"/>
            <w:tcBorders>
              <w:top w:val="single" w:sz="4" w:space="0" w:color="auto"/>
            </w:tcBorders>
            <w:shd w:val="clear" w:color="auto" w:fill="FFF2CC" w:themeFill="accent4" w:themeFillTint="33"/>
          </w:tcPr>
          <w:p w14:paraId="1193F98B" w14:textId="0B9F903B" w:rsidR="00AA0DCC" w:rsidRDefault="00AA0DCC" w:rsidP="00EB7B26">
            <w:pPr>
              <w:pStyle w:val="Tabletext"/>
            </w:pPr>
            <w:r>
              <w:t>1</w:t>
            </w:r>
          </w:p>
        </w:tc>
        <w:tc>
          <w:tcPr>
            <w:tcW w:w="8505" w:type="dxa"/>
            <w:tcBorders>
              <w:top w:val="single" w:sz="4" w:space="0" w:color="auto"/>
            </w:tcBorders>
          </w:tcPr>
          <w:p w14:paraId="5F9EBF32" w14:textId="5D938319" w:rsidR="00AA0DCC" w:rsidRDefault="00AA0DCC" w:rsidP="00EB7B26">
            <w:pPr>
              <w:pStyle w:val="Tabletext"/>
            </w:pPr>
            <w:r>
              <w:t>The precise intention of this benchmark is somewhat unclear.</w:t>
            </w:r>
          </w:p>
          <w:p w14:paraId="77F2C02C" w14:textId="77777777" w:rsidR="00AA0DCC" w:rsidRDefault="00AA0DCC" w:rsidP="00EB7B26">
            <w:pPr>
              <w:pStyle w:val="Tabletext"/>
            </w:pPr>
            <w:r>
              <w:t xml:space="preserve">The Assembly has not adopted a </w:t>
            </w:r>
            <w:r w:rsidRPr="00D4693F">
              <w:rPr>
                <w:i/>
              </w:rPr>
              <w:t xml:space="preserve">specific </w:t>
            </w:r>
            <w:r>
              <w:t xml:space="preserve">organising principle (or practice) that is directed towards ‘the substantive representation of women in its work’. </w:t>
            </w:r>
          </w:p>
          <w:p w14:paraId="4FB86D6A" w14:textId="5092B0D2" w:rsidR="00AA0DCC" w:rsidRDefault="00AA0DCC" w:rsidP="00EB7B26">
            <w:pPr>
              <w:pStyle w:val="Tabletext"/>
            </w:pPr>
            <w:r>
              <w:t>However, this is not to say that women and the interests of women in the ACT have not been ‘substantively represented’.</w:t>
            </w:r>
          </w:p>
          <w:p w14:paraId="49BC35B0" w14:textId="1A3CDBB2" w:rsidR="00AA0DCC" w:rsidRDefault="00AA0DCC" w:rsidP="00EB7B26">
            <w:pPr>
              <w:pStyle w:val="Tabletext"/>
            </w:pPr>
            <w:r w:rsidRPr="00D4693F">
              <w:t>Through the electoral process and the performance of the Assembly’s democratic functions the interests of women</w:t>
            </w:r>
            <w:r>
              <w:t xml:space="preserve"> a</w:t>
            </w:r>
            <w:r w:rsidRPr="00D4693F">
              <w:t xml:space="preserve">re substantively represented by both male and female members depending on the </w:t>
            </w:r>
            <w:proofErr w:type="gramStart"/>
            <w:r w:rsidRPr="00D4693F">
              <w:t>particular issues</w:t>
            </w:r>
            <w:proofErr w:type="gramEnd"/>
            <w:r w:rsidRPr="00D4693F">
              <w:t xml:space="preserve"> that come before the Assembly.</w:t>
            </w:r>
          </w:p>
          <w:p w14:paraId="74D906B6" w14:textId="27304D9F" w:rsidR="00AA0DCC" w:rsidRDefault="00AA0DCC" w:rsidP="00EB7B26">
            <w:pPr>
              <w:pStyle w:val="Tabletext"/>
            </w:pPr>
            <w:r>
              <w:t xml:space="preserve">In 2016, the Assembly was the first Australian legislature where </w:t>
            </w:r>
            <w:proofErr w:type="gramStart"/>
            <w:r>
              <w:t>a majority of</w:t>
            </w:r>
            <w:proofErr w:type="gramEnd"/>
            <w:r>
              <w:t xml:space="preserve"> women were elected (currently 56% of Assembly members are women). Three of the Assembly’s seven Speakers have been women and three of the ACT’s seven Chief Ministers have been women.   </w:t>
            </w:r>
          </w:p>
        </w:tc>
      </w:tr>
    </w:tbl>
    <w:p w14:paraId="4EE0CCD6" w14:textId="77777777" w:rsidR="00C872FD" w:rsidRDefault="00C872F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74E02E54" w14:textId="77777777" w:rsidTr="00C30366">
        <w:tc>
          <w:tcPr>
            <w:tcW w:w="5098" w:type="dxa"/>
            <w:tcBorders>
              <w:top w:val="single" w:sz="4" w:space="0" w:color="auto"/>
              <w:bottom w:val="single" w:sz="4" w:space="0" w:color="auto"/>
            </w:tcBorders>
            <w:shd w:val="clear" w:color="auto" w:fill="FFFFFF" w:themeFill="background1"/>
          </w:tcPr>
          <w:p w14:paraId="2514DDBF" w14:textId="39821808" w:rsidR="00AA0DCC" w:rsidRDefault="00AA0DCC" w:rsidP="00EB7B26">
            <w:pPr>
              <w:pStyle w:val="Tabletextnumbered"/>
            </w:pPr>
            <w:r>
              <w:lastRenderedPageBreak/>
              <w:t>8.1.2 The Legislature shall provide all legislators with adequate and appropriate</w:t>
            </w:r>
          </w:p>
          <w:p w14:paraId="2C8BB99C" w14:textId="6C8CF748" w:rsidR="00AA0DCC" w:rsidRDefault="00AA0DCC" w:rsidP="00EB7B26">
            <w:pPr>
              <w:pStyle w:val="Tabletextnumbered"/>
            </w:pPr>
            <w:r>
              <w:t>resources to enable them to fulfil their constituency responsibilities.</w:t>
            </w:r>
          </w:p>
        </w:tc>
        <w:tc>
          <w:tcPr>
            <w:tcW w:w="1276" w:type="dxa"/>
            <w:tcBorders>
              <w:top w:val="single" w:sz="4" w:space="0" w:color="auto"/>
              <w:bottom w:val="single" w:sz="4" w:space="0" w:color="auto"/>
            </w:tcBorders>
            <w:shd w:val="clear" w:color="auto" w:fill="E2EFD9" w:themeFill="accent6" w:themeFillTint="33"/>
          </w:tcPr>
          <w:p w14:paraId="075C6B9E" w14:textId="77777777" w:rsidR="00AA0DCC" w:rsidRDefault="00AA0DCC" w:rsidP="00EB7B26">
            <w:pPr>
              <w:pStyle w:val="Tabletext"/>
            </w:pPr>
            <w:r>
              <w:t>2</w:t>
            </w:r>
          </w:p>
        </w:tc>
        <w:tc>
          <w:tcPr>
            <w:tcW w:w="8505" w:type="dxa"/>
            <w:tcBorders>
              <w:top w:val="single" w:sz="4" w:space="0" w:color="auto"/>
              <w:bottom w:val="single" w:sz="4" w:space="0" w:color="auto"/>
            </w:tcBorders>
          </w:tcPr>
          <w:p w14:paraId="7F994CFC" w14:textId="7652D39E" w:rsidR="00AA0DCC" w:rsidRDefault="00AA0DCC" w:rsidP="00EB7B26">
            <w:pPr>
              <w:pStyle w:val="Tabletext"/>
            </w:pPr>
            <w:r>
              <w:t xml:space="preserve">Resources are provided via the annual Appropriation (Office of the Legislative Assembly) Act and are subject to provisions of the FM Act in relation to the a ‘recommended appropriation’ being given to the Treasurer by the Speaker following consultation with the Standing Committee on Administration and Procedure (ss 20-20AA). This enable provision by the Office of non-executive members’ salaries, staff salary allocations, ICT equipment, accommodation. Through the relevant Remuneration Tribunal determination members are provided, in addition to their salary, a car allowance. </w:t>
            </w:r>
          </w:p>
        </w:tc>
      </w:tr>
      <w:tr w:rsidR="00AA0DCC" w14:paraId="721D2BD7" w14:textId="77777777" w:rsidTr="00527CCE">
        <w:tc>
          <w:tcPr>
            <w:tcW w:w="5098" w:type="dxa"/>
            <w:tcBorders>
              <w:top w:val="single" w:sz="4" w:space="0" w:color="auto"/>
              <w:bottom w:val="single" w:sz="4" w:space="0" w:color="auto"/>
            </w:tcBorders>
            <w:shd w:val="clear" w:color="auto" w:fill="FFFFFF" w:themeFill="background1"/>
          </w:tcPr>
          <w:p w14:paraId="7EE35763" w14:textId="77777777" w:rsidR="00AA0DCC" w:rsidRDefault="00AA0DCC" w:rsidP="00EB7B26">
            <w:pPr>
              <w:pStyle w:val="Tabletextnumbered"/>
            </w:pPr>
            <w:r>
              <w:t>9.1.1 The Legislature shall have the right to seek and receive development assistance to strengthen the institution of Parliament.</w:t>
            </w:r>
          </w:p>
        </w:tc>
        <w:tc>
          <w:tcPr>
            <w:tcW w:w="1276" w:type="dxa"/>
            <w:tcBorders>
              <w:top w:val="single" w:sz="4" w:space="0" w:color="auto"/>
              <w:bottom w:val="single" w:sz="4" w:space="0" w:color="auto"/>
            </w:tcBorders>
            <w:shd w:val="clear" w:color="auto" w:fill="DEEAF6" w:themeFill="accent1" w:themeFillTint="33"/>
          </w:tcPr>
          <w:p w14:paraId="729C6D1E" w14:textId="77777777" w:rsidR="00AA0DCC" w:rsidRDefault="00AA0DCC" w:rsidP="00EB7B26">
            <w:pPr>
              <w:pStyle w:val="Tabletext"/>
            </w:pPr>
            <w:r>
              <w:t>NA</w:t>
            </w:r>
          </w:p>
        </w:tc>
        <w:tc>
          <w:tcPr>
            <w:tcW w:w="8505" w:type="dxa"/>
            <w:tcBorders>
              <w:top w:val="single" w:sz="4" w:space="0" w:color="auto"/>
              <w:bottom w:val="single" w:sz="4" w:space="0" w:color="auto"/>
            </w:tcBorders>
          </w:tcPr>
          <w:p w14:paraId="76131759" w14:textId="77777777" w:rsidR="00AA0DCC" w:rsidRDefault="00AA0DCC" w:rsidP="00EB7B26">
            <w:pPr>
              <w:pStyle w:val="Tabletext"/>
            </w:pPr>
            <w:r>
              <w:t xml:space="preserve">As a local/state/territory legislature, the Assembly is not in need of development assistance. </w:t>
            </w:r>
          </w:p>
        </w:tc>
      </w:tr>
      <w:tr w:rsidR="00AA0DCC" w14:paraId="15D8D695" w14:textId="77777777" w:rsidTr="00527CCE">
        <w:tc>
          <w:tcPr>
            <w:tcW w:w="5098" w:type="dxa"/>
            <w:tcBorders>
              <w:top w:val="single" w:sz="4" w:space="0" w:color="auto"/>
              <w:bottom w:val="single" w:sz="4" w:space="0" w:color="auto"/>
            </w:tcBorders>
            <w:shd w:val="clear" w:color="auto" w:fill="FFFFFF" w:themeFill="background1"/>
          </w:tcPr>
          <w:p w14:paraId="6427C253" w14:textId="49B4D6CA" w:rsidR="00AA0DCC" w:rsidRDefault="00AA0DCC" w:rsidP="00EB7B26">
            <w:pPr>
              <w:pStyle w:val="Tabletextnumbered"/>
            </w:pPr>
            <w:r>
              <w:t>9.1.2 The type of assistance, budget and the use of development assistance received by the Legislature shall be determined by the Legislature in a transparent and accountable manner.</w:t>
            </w:r>
          </w:p>
        </w:tc>
        <w:tc>
          <w:tcPr>
            <w:tcW w:w="1276" w:type="dxa"/>
            <w:tcBorders>
              <w:top w:val="single" w:sz="4" w:space="0" w:color="auto"/>
              <w:bottom w:val="single" w:sz="4" w:space="0" w:color="auto"/>
            </w:tcBorders>
            <w:shd w:val="clear" w:color="auto" w:fill="DEEAF6" w:themeFill="accent1" w:themeFillTint="33"/>
          </w:tcPr>
          <w:p w14:paraId="6456E7A8" w14:textId="77777777" w:rsidR="00AA0DCC" w:rsidRDefault="00AA0DCC" w:rsidP="00EB7B26">
            <w:pPr>
              <w:pStyle w:val="Tabletext"/>
            </w:pPr>
            <w:r>
              <w:t>NA</w:t>
            </w:r>
          </w:p>
        </w:tc>
        <w:tc>
          <w:tcPr>
            <w:tcW w:w="8505" w:type="dxa"/>
            <w:tcBorders>
              <w:top w:val="single" w:sz="4" w:space="0" w:color="auto"/>
              <w:bottom w:val="single" w:sz="4" w:space="0" w:color="auto"/>
            </w:tcBorders>
          </w:tcPr>
          <w:p w14:paraId="7501FB62" w14:textId="77777777" w:rsidR="00AA0DCC" w:rsidRDefault="00AA0DCC" w:rsidP="00EB7B26">
            <w:pPr>
              <w:pStyle w:val="Tabletext"/>
            </w:pPr>
            <w:r>
              <w:t>See 9.1.1</w:t>
            </w:r>
          </w:p>
        </w:tc>
      </w:tr>
      <w:tr w:rsidR="00AA0DCC" w14:paraId="2B6D496D" w14:textId="77777777" w:rsidTr="00C30366">
        <w:tc>
          <w:tcPr>
            <w:tcW w:w="5098" w:type="dxa"/>
            <w:tcBorders>
              <w:top w:val="single" w:sz="4" w:space="0" w:color="auto"/>
              <w:bottom w:val="single" w:sz="4" w:space="0" w:color="auto"/>
            </w:tcBorders>
            <w:shd w:val="clear" w:color="auto" w:fill="FFFFFF" w:themeFill="background1"/>
          </w:tcPr>
          <w:p w14:paraId="20500203" w14:textId="44A5F0CE" w:rsidR="00AA0DCC" w:rsidRDefault="00AA0DCC" w:rsidP="00EB7B26">
            <w:pPr>
              <w:pStyle w:val="Tabletextnumbered"/>
            </w:pPr>
            <w:r>
              <w:t>9.1.3 Members and the staff of Parliament shall have the right to receive technical and advisory assistance, as well as to network and exchange experience with individuals from other Legislatures.</w:t>
            </w:r>
          </w:p>
        </w:tc>
        <w:tc>
          <w:tcPr>
            <w:tcW w:w="1276" w:type="dxa"/>
            <w:tcBorders>
              <w:top w:val="single" w:sz="4" w:space="0" w:color="auto"/>
              <w:bottom w:val="single" w:sz="4" w:space="0" w:color="auto"/>
            </w:tcBorders>
            <w:shd w:val="clear" w:color="auto" w:fill="E2EFD9" w:themeFill="accent6" w:themeFillTint="33"/>
          </w:tcPr>
          <w:p w14:paraId="3869E1D7" w14:textId="77777777" w:rsidR="00AA0DCC" w:rsidRDefault="00AA0DCC" w:rsidP="00EB7B26">
            <w:pPr>
              <w:pStyle w:val="Tabletext"/>
            </w:pPr>
            <w:r>
              <w:t>2</w:t>
            </w:r>
          </w:p>
        </w:tc>
        <w:tc>
          <w:tcPr>
            <w:tcW w:w="8505" w:type="dxa"/>
            <w:tcBorders>
              <w:top w:val="single" w:sz="4" w:space="0" w:color="auto"/>
              <w:bottom w:val="single" w:sz="4" w:space="0" w:color="auto"/>
            </w:tcBorders>
          </w:tcPr>
          <w:p w14:paraId="5BF5EE3C" w14:textId="6038AF20" w:rsidR="00AA0DCC" w:rsidRDefault="00AA0DCC" w:rsidP="00EB7B26">
            <w:pPr>
              <w:pStyle w:val="Tabletext"/>
            </w:pPr>
            <w:r>
              <w:t xml:space="preserve">Technical and advisory assistance in relation to parliamentary practice and procedure is provided by the Office of the Legislative Assembly pursuant to s 6 of the OLA Act.  </w:t>
            </w:r>
          </w:p>
          <w:p w14:paraId="5109CA26" w14:textId="77777777" w:rsidR="00AA0DCC" w:rsidRDefault="00AA0DCC" w:rsidP="00EB7B26">
            <w:pPr>
              <w:pStyle w:val="Tabletext"/>
            </w:pPr>
            <w:r>
              <w:t xml:space="preserve">Members and staff participate in professional development opportunities through </w:t>
            </w:r>
            <w:proofErr w:type="gramStart"/>
            <w:r>
              <w:t>a number of</w:t>
            </w:r>
            <w:proofErr w:type="gramEnd"/>
            <w:r>
              <w:t xml:space="preserve"> formal and informal mechanisms (e.g. Commonwealth Parliamentary Association, the Australian and New Zealand Association of Clerks-at-the-Table, the Australasian Study of Parliament Group, the Presiding Officers and Clerks Conference). </w:t>
            </w:r>
          </w:p>
        </w:tc>
      </w:tr>
      <w:tr w:rsidR="00AA0DCC" w:rsidRPr="005C772E" w14:paraId="048F23D3"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27C32433" w14:textId="77777777" w:rsidR="00AA0DCC" w:rsidRPr="005C772E" w:rsidRDefault="00AA0DCC" w:rsidP="00C30366">
            <w:pPr>
              <w:pStyle w:val="Tableheading3"/>
            </w:pPr>
            <w:r w:rsidRPr="005C772E">
              <w:t>Citizens and the press</w:t>
            </w:r>
          </w:p>
        </w:tc>
        <w:tc>
          <w:tcPr>
            <w:tcW w:w="1276" w:type="dxa"/>
            <w:tcBorders>
              <w:top w:val="single" w:sz="4" w:space="0" w:color="auto"/>
              <w:left w:val="nil"/>
              <w:bottom w:val="single" w:sz="4" w:space="0" w:color="auto"/>
              <w:right w:val="nil"/>
            </w:tcBorders>
            <w:shd w:val="clear" w:color="auto" w:fill="F2F2F2" w:themeFill="background1" w:themeFillShade="F2"/>
          </w:tcPr>
          <w:p w14:paraId="0450718D" w14:textId="77777777" w:rsidR="00AA0DCC" w:rsidRPr="005C772E"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D20EA78" w14:textId="77777777" w:rsidR="00AA0DCC" w:rsidRPr="005C772E" w:rsidRDefault="00AA0DCC" w:rsidP="00C30366">
            <w:pPr>
              <w:pStyle w:val="Tableheading3"/>
            </w:pPr>
          </w:p>
        </w:tc>
      </w:tr>
      <w:tr w:rsidR="00AA0DCC" w14:paraId="431D12FE" w14:textId="77777777" w:rsidTr="00C30366">
        <w:tc>
          <w:tcPr>
            <w:tcW w:w="5098" w:type="dxa"/>
            <w:tcBorders>
              <w:top w:val="single" w:sz="4" w:space="0" w:color="auto"/>
              <w:bottom w:val="single" w:sz="4" w:space="0" w:color="auto"/>
            </w:tcBorders>
            <w:shd w:val="clear" w:color="auto" w:fill="FFFFFF" w:themeFill="background1"/>
          </w:tcPr>
          <w:p w14:paraId="025E0503" w14:textId="77777777" w:rsidR="00AA0DCC" w:rsidRDefault="00AA0DCC" w:rsidP="00EB7B26">
            <w:pPr>
              <w:pStyle w:val="Tabletextnumbered"/>
            </w:pPr>
            <w:r>
              <w:t>10.1.1 The Legislature shall be accessible and open to citizens and the media, subject only to demonstrable public safety and work requirements.</w:t>
            </w:r>
          </w:p>
        </w:tc>
        <w:tc>
          <w:tcPr>
            <w:tcW w:w="1276" w:type="dxa"/>
            <w:tcBorders>
              <w:top w:val="single" w:sz="4" w:space="0" w:color="auto"/>
              <w:bottom w:val="single" w:sz="4" w:space="0" w:color="auto"/>
            </w:tcBorders>
            <w:shd w:val="clear" w:color="auto" w:fill="E2EFD9" w:themeFill="accent6" w:themeFillTint="33"/>
          </w:tcPr>
          <w:p w14:paraId="6BF2EFC5" w14:textId="341F03C8" w:rsidR="00AA0DCC" w:rsidRDefault="00AA0DCC" w:rsidP="00EB7B26">
            <w:pPr>
              <w:pStyle w:val="Tabletext"/>
            </w:pPr>
            <w:r>
              <w:t>2</w:t>
            </w:r>
          </w:p>
        </w:tc>
        <w:tc>
          <w:tcPr>
            <w:tcW w:w="8505" w:type="dxa"/>
            <w:tcBorders>
              <w:top w:val="single" w:sz="4" w:space="0" w:color="auto"/>
              <w:bottom w:val="single" w:sz="4" w:space="0" w:color="auto"/>
            </w:tcBorders>
          </w:tcPr>
          <w:p w14:paraId="61E554CC" w14:textId="77777777" w:rsidR="00AA0DCC" w:rsidRDefault="00AA0DCC" w:rsidP="00EB7B26">
            <w:pPr>
              <w:pStyle w:val="Tabletext"/>
            </w:pPr>
            <w:r>
              <w:t xml:space="preserve">The Assembly is both open and accessible to the citizens and the media. </w:t>
            </w:r>
            <w:proofErr w:type="gramStart"/>
            <w:r>
              <w:t>All of</w:t>
            </w:r>
            <w:proofErr w:type="gramEnd"/>
            <w:r>
              <w:t xml:space="preserve"> its proceedings are open to the public (with the exception of private meetings of committees and where in camera evidence is taken by a committee).</w:t>
            </w:r>
          </w:p>
          <w:p w14:paraId="484D1C83" w14:textId="77777777" w:rsidR="00AA0DCC" w:rsidRDefault="00AA0DCC" w:rsidP="00EB7B26">
            <w:pPr>
              <w:pStyle w:val="Tabletext"/>
            </w:pPr>
            <w:r>
              <w:t xml:space="preserve">The Assembly provides accommodation for media personnel who cover the proceedings of the Assembly. </w:t>
            </w:r>
          </w:p>
        </w:tc>
      </w:tr>
    </w:tbl>
    <w:p w14:paraId="40C5B608" w14:textId="77777777" w:rsidR="00C872FD" w:rsidRDefault="00C872FD">
      <w: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14:paraId="7C8FD6C4" w14:textId="77777777" w:rsidTr="00527CCE">
        <w:tc>
          <w:tcPr>
            <w:tcW w:w="5098" w:type="dxa"/>
            <w:tcBorders>
              <w:top w:val="single" w:sz="4" w:space="0" w:color="auto"/>
              <w:bottom w:val="single" w:sz="4" w:space="0" w:color="auto"/>
            </w:tcBorders>
            <w:shd w:val="clear" w:color="auto" w:fill="FFFFFF" w:themeFill="background1"/>
          </w:tcPr>
          <w:p w14:paraId="4D6E7A7B" w14:textId="211F1718" w:rsidR="00AA0DCC" w:rsidRDefault="00AA0DCC" w:rsidP="00EB7B26">
            <w:pPr>
              <w:pStyle w:val="Tabletextnumbered"/>
            </w:pPr>
            <w:r w:rsidRPr="005C772E">
              <w:lastRenderedPageBreak/>
              <w:t>10.1.2. The Legislature shall be accessible and open to persons with disabilities.</w:t>
            </w:r>
          </w:p>
        </w:tc>
        <w:tc>
          <w:tcPr>
            <w:tcW w:w="1276" w:type="dxa"/>
            <w:tcBorders>
              <w:top w:val="single" w:sz="4" w:space="0" w:color="auto"/>
              <w:bottom w:val="single" w:sz="4" w:space="0" w:color="auto"/>
            </w:tcBorders>
            <w:shd w:val="clear" w:color="auto" w:fill="FFF2CC" w:themeFill="accent4" w:themeFillTint="33"/>
          </w:tcPr>
          <w:p w14:paraId="225DA337" w14:textId="5FBBA93A" w:rsidR="00AA0DCC" w:rsidRDefault="00AA0DCC" w:rsidP="00EB7B26">
            <w:pPr>
              <w:pStyle w:val="Tabletext"/>
            </w:pPr>
            <w:r>
              <w:t>1</w:t>
            </w:r>
          </w:p>
        </w:tc>
        <w:tc>
          <w:tcPr>
            <w:tcW w:w="8505" w:type="dxa"/>
            <w:tcBorders>
              <w:top w:val="single" w:sz="4" w:space="0" w:color="auto"/>
              <w:bottom w:val="single" w:sz="4" w:space="0" w:color="auto"/>
            </w:tcBorders>
          </w:tcPr>
          <w:p w14:paraId="212260F0" w14:textId="77777777" w:rsidR="00AA0DCC" w:rsidRDefault="00AA0DCC" w:rsidP="00EB7B26">
            <w:pPr>
              <w:pStyle w:val="Tabletext"/>
            </w:pPr>
            <w:r>
              <w:t xml:space="preserve">The Assembly is accessible and open to persons with disabilities. </w:t>
            </w:r>
          </w:p>
          <w:p w14:paraId="7D4B4959" w14:textId="3EEDA7D0" w:rsidR="00AA0DCC" w:rsidRDefault="00AA0DCC" w:rsidP="00EB7B26">
            <w:pPr>
              <w:pStyle w:val="Tabletext"/>
            </w:pPr>
            <w:r>
              <w:t xml:space="preserve">However, the Speaker’s chair and the front bench of the Government and the Opposition are not wheelchair accessible. </w:t>
            </w:r>
          </w:p>
        </w:tc>
      </w:tr>
      <w:tr w:rsidR="00AA0DCC" w14:paraId="285178E9" w14:textId="77777777" w:rsidTr="00C30366">
        <w:tc>
          <w:tcPr>
            <w:tcW w:w="5098" w:type="dxa"/>
            <w:tcBorders>
              <w:top w:val="single" w:sz="4" w:space="0" w:color="auto"/>
              <w:bottom w:val="single" w:sz="4" w:space="0" w:color="auto"/>
            </w:tcBorders>
            <w:shd w:val="clear" w:color="auto" w:fill="FFFFFF" w:themeFill="background1"/>
          </w:tcPr>
          <w:p w14:paraId="510B46B8" w14:textId="343E5AF0" w:rsidR="00AA0DCC" w:rsidRPr="005C772E" w:rsidRDefault="00AA0DCC" w:rsidP="00EB7B26">
            <w:pPr>
              <w:pStyle w:val="Tabletextnumbered"/>
            </w:pPr>
            <w:r>
              <w:t xml:space="preserve">10.1.3 The Legislature should ensure that the media are given appropriate </w:t>
            </w:r>
            <w:proofErr w:type="spellStart"/>
            <w:r>
              <w:t>accessto</w:t>
            </w:r>
            <w:proofErr w:type="spellEnd"/>
            <w:r>
              <w:t xml:space="preserve"> the proceedings of the Legislature without compromising the proper functioning of the Legislature and its rules of procedure.</w:t>
            </w:r>
          </w:p>
        </w:tc>
        <w:tc>
          <w:tcPr>
            <w:tcW w:w="1276" w:type="dxa"/>
            <w:tcBorders>
              <w:top w:val="single" w:sz="4" w:space="0" w:color="auto"/>
              <w:bottom w:val="single" w:sz="4" w:space="0" w:color="auto"/>
            </w:tcBorders>
            <w:shd w:val="clear" w:color="auto" w:fill="E2EFD9" w:themeFill="accent6" w:themeFillTint="33"/>
          </w:tcPr>
          <w:p w14:paraId="38A4D032" w14:textId="77777777" w:rsidR="00AA0DCC" w:rsidRDefault="00AA0DCC" w:rsidP="00EB7B26">
            <w:pPr>
              <w:pStyle w:val="Tabletext"/>
            </w:pPr>
            <w:r>
              <w:t>2</w:t>
            </w:r>
          </w:p>
        </w:tc>
        <w:tc>
          <w:tcPr>
            <w:tcW w:w="8505" w:type="dxa"/>
            <w:tcBorders>
              <w:top w:val="single" w:sz="4" w:space="0" w:color="auto"/>
              <w:bottom w:val="single" w:sz="4" w:space="0" w:color="auto"/>
            </w:tcBorders>
          </w:tcPr>
          <w:p w14:paraId="25D3CF5B" w14:textId="2C015969" w:rsidR="00AA0DCC" w:rsidRDefault="00AA0DCC" w:rsidP="00EB7B26">
            <w:pPr>
              <w:pStyle w:val="Tabletext"/>
            </w:pPr>
            <w:r>
              <w:t xml:space="preserve">All of the Assembly’s proceedings (except for the few minor exceptions listed earlier) are made available to the public at-large and the media via its website, which includes transcripts of proceedings, live audio-visual feeds, audio-visual replays, and an array of other Assembly documents including committee reports, the notice paper, the daily program, minutes of proceedings, bills list, questions notice paper etc. </w:t>
            </w:r>
          </w:p>
        </w:tc>
      </w:tr>
      <w:tr w:rsidR="00AA0DCC" w14:paraId="14A86CC2" w14:textId="77777777" w:rsidTr="00C30366">
        <w:tc>
          <w:tcPr>
            <w:tcW w:w="5098" w:type="dxa"/>
            <w:tcBorders>
              <w:top w:val="single" w:sz="4" w:space="0" w:color="auto"/>
              <w:bottom w:val="single" w:sz="4" w:space="0" w:color="auto"/>
            </w:tcBorders>
            <w:shd w:val="clear" w:color="auto" w:fill="FFFFFF" w:themeFill="background1"/>
          </w:tcPr>
          <w:p w14:paraId="5898561D" w14:textId="77777777" w:rsidR="00AA0DCC" w:rsidRDefault="00AA0DCC" w:rsidP="00EB7B26">
            <w:pPr>
              <w:pStyle w:val="Tabletextnumbered"/>
            </w:pPr>
            <w:r w:rsidRPr="00AE6213">
              <w:t>10.1.4 The Legislature shall have a non-partisan media relations facility.</w:t>
            </w:r>
          </w:p>
        </w:tc>
        <w:tc>
          <w:tcPr>
            <w:tcW w:w="1276" w:type="dxa"/>
            <w:tcBorders>
              <w:top w:val="single" w:sz="4" w:space="0" w:color="auto"/>
              <w:bottom w:val="single" w:sz="4" w:space="0" w:color="auto"/>
            </w:tcBorders>
            <w:shd w:val="clear" w:color="auto" w:fill="E2EFD9" w:themeFill="accent6" w:themeFillTint="33"/>
          </w:tcPr>
          <w:p w14:paraId="672C7DB6" w14:textId="77777777" w:rsidR="00AA0DCC" w:rsidRDefault="00AA0DCC" w:rsidP="00EB7B26">
            <w:pPr>
              <w:pStyle w:val="Tabletext"/>
            </w:pPr>
            <w:r>
              <w:t>2</w:t>
            </w:r>
          </w:p>
        </w:tc>
        <w:tc>
          <w:tcPr>
            <w:tcW w:w="8505" w:type="dxa"/>
            <w:tcBorders>
              <w:top w:val="single" w:sz="4" w:space="0" w:color="auto"/>
              <w:bottom w:val="single" w:sz="4" w:space="0" w:color="auto"/>
            </w:tcBorders>
          </w:tcPr>
          <w:p w14:paraId="30DF8D87" w14:textId="3EE9D79C" w:rsidR="00AA0DCC" w:rsidRDefault="00AA0DCC" w:rsidP="00EB7B26">
            <w:pPr>
              <w:pStyle w:val="Tabletext"/>
            </w:pPr>
            <w:r>
              <w:t xml:space="preserve">The Office of the Legislative Assembly has a non-partisan Public Affairs Officer who can direct media inquiries to relevant non-partisan staff in the Office of the Legislative Assembly. In practice, the Clerk will handle </w:t>
            </w:r>
            <w:proofErr w:type="gramStart"/>
            <w:r>
              <w:t>the vast majority of</w:t>
            </w:r>
            <w:proofErr w:type="gramEnd"/>
            <w:r>
              <w:t xml:space="preserve"> media inquiries. See also 10.1.1.</w:t>
            </w:r>
          </w:p>
        </w:tc>
      </w:tr>
      <w:tr w:rsidR="00AA0DCC" w14:paraId="5E1EDBB9" w14:textId="77777777" w:rsidTr="00C30366">
        <w:tc>
          <w:tcPr>
            <w:tcW w:w="5098" w:type="dxa"/>
            <w:tcBorders>
              <w:top w:val="single" w:sz="4" w:space="0" w:color="auto"/>
              <w:bottom w:val="single" w:sz="4" w:space="0" w:color="auto"/>
            </w:tcBorders>
            <w:shd w:val="clear" w:color="auto" w:fill="FFFFFF" w:themeFill="background1"/>
          </w:tcPr>
          <w:p w14:paraId="1C61034E" w14:textId="77777777" w:rsidR="00AA0DCC" w:rsidRPr="00AE6213" w:rsidRDefault="00AA0DCC" w:rsidP="00EB7B26">
            <w:pPr>
              <w:pStyle w:val="Tabletextnumbered"/>
            </w:pPr>
            <w:r>
              <w:t>10.1.5 The Legislature shall promote the public’s understanding of the work of the Legislature.</w:t>
            </w:r>
          </w:p>
        </w:tc>
        <w:tc>
          <w:tcPr>
            <w:tcW w:w="1276" w:type="dxa"/>
            <w:tcBorders>
              <w:top w:val="single" w:sz="4" w:space="0" w:color="auto"/>
              <w:bottom w:val="single" w:sz="4" w:space="0" w:color="auto"/>
            </w:tcBorders>
            <w:shd w:val="clear" w:color="auto" w:fill="E2EFD9" w:themeFill="accent6" w:themeFillTint="33"/>
          </w:tcPr>
          <w:p w14:paraId="50C87CFC" w14:textId="77777777" w:rsidR="00AA0DCC" w:rsidRDefault="00AA0DCC" w:rsidP="00EB7B26">
            <w:pPr>
              <w:pStyle w:val="Tabletext"/>
            </w:pPr>
            <w:r>
              <w:t>2</w:t>
            </w:r>
          </w:p>
        </w:tc>
        <w:tc>
          <w:tcPr>
            <w:tcW w:w="8505" w:type="dxa"/>
            <w:tcBorders>
              <w:top w:val="single" w:sz="4" w:space="0" w:color="auto"/>
              <w:bottom w:val="single" w:sz="4" w:space="0" w:color="auto"/>
            </w:tcBorders>
          </w:tcPr>
          <w:p w14:paraId="366FAB7C" w14:textId="77777777" w:rsidR="00AA0DCC" w:rsidRDefault="00AA0DCC" w:rsidP="00EB7B26">
            <w:pPr>
              <w:pStyle w:val="Tabletext"/>
            </w:pPr>
            <w:r>
              <w:t xml:space="preserve">It is a statutory function of the Office of the Legislative Assembly to provide ‘public education about the functions of the Assembly and committees’ (s 6(2)). </w:t>
            </w:r>
          </w:p>
          <w:p w14:paraId="75128903" w14:textId="77777777" w:rsidR="00AA0DCC" w:rsidRDefault="00AA0DCC" w:rsidP="00EB7B26">
            <w:pPr>
              <w:pStyle w:val="Tabletext"/>
            </w:pPr>
            <w:r>
              <w:t xml:space="preserve">The Office has a parliamentary education and public affairs capability which engages with schools, members of the community, and the media to promote the work of the Assembly. </w:t>
            </w:r>
          </w:p>
        </w:tc>
      </w:tr>
      <w:tr w:rsidR="00AA0DCC" w14:paraId="4C42E503" w14:textId="77777777" w:rsidTr="00527CCE">
        <w:tc>
          <w:tcPr>
            <w:tcW w:w="5098" w:type="dxa"/>
            <w:tcBorders>
              <w:top w:val="single" w:sz="4" w:space="0" w:color="auto"/>
              <w:bottom w:val="single" w:sz="4" w:space="0" w:color="auto"/>
            </w:tcBorders>
            <w:shd w:val="clear" w:color="auto" w:fill="FFFFFF" w:themeFill="background1"/>
          </w:tcPr>
          <w:p w14:paraId="0F3660BF" w14:textId="40C94E94" w:rsidR="00AA0DCC" w:rsidRPr="00AE6213" w:rsidRDefault="00AA0DCC" w:rsidP="00EB7B26">
            <w:pPr>
              <w:pStyle w:val="Tabletextnumbered"/>
            </w:pPr>
            <w:r>
              <w:t>10.1.6 The Legislature shall identify demographic groups whose perspectives are not</w:t>
            </w:r>
            <w:r w:rsidR="00F4322D">
              <w:t xml:space="preserve"> </w:t>
            </w:r>
            <w:r>
              <w:t>well represented in parliamentary decision-making and make efforts to increase their participation.</w:t>
            </w:r>
          </w:p>
        </w:tc>
        <w:tc>
          <w:tcPr>
            <w:tcW w:w="1276" w:type="dxa"/>
            <w:tcBorders>
              <w:top w:val="single" w:sz="4" w:space="0" w:color="auto"/>
              <w:bottom w:val="single" w:sz="4" w:space="0" w:color="auto"/>
            </w:tcBorders>
            <w:shd w:val="clear" w:color="auto" w:fill="FFF2CC" w:themeFill="accent4" w:themeFillTint="33"/>
          </w:tcPr>
          <w:p w14:paraId="342A38EF" w14:textId="0C93CD9D" w:rsidR="00AA0DCC" w:rsidRDefault="00AA0DCC" w:rsidP="00EB7B26">
            <w:pPr>
              <w:pStyle w:val="Tabletext"/>
            </w:pPr>
            <w:r>
              <w:t>1</w:t>
            </w:r>
          </w:p>
        </w:tc>
        <w:tc>
          <w:tcPr>
            <w:tcW w:w="8505" w:type="dxa"/>
            <w:tcBorders>
              <w:top w:val="single" w:sz="4" w:space="0" w:color="auto"/>
              <w:bottom w:val="single" w:sz="4" w:space="0" w:color="auto"/>
            </w:tcBorders>
          </w:tcPr>
          <w:p w14:paraId="0E4012B4" w14:textId="3F39CC8C" w:rsidR="00AA0DCC" w:rsidRPr="00F4322D" w:rsidRDefault="00AA0DCC" w:rsidP="00EB7B26">
            <w:pPr>
              <w:pStyle w:val="Tabletext"/>
            </w:pPr>
            <w:r w:rsidRPr="00F4322D">
              <w:t xml:space="preserve">On behalf of the Assembly, the Office uses various engagement techniques (some ad hoc, others systematic) to invite participation from a variety of individuals and groups, particularly through the committee system.  </w:t>
            </w:r>
          </w:p>
          <w:p w14:paraId="52D6EF7B" w14:textId="05D84842" w:rsidR="00AA0DCC" w:rsidRDefault="00AA0DCC" w:rsidP="00EB7B26">
            <w:pPr>
              <w:pStyle w:val="Tabletext"/>
            </w:pPr>
            <w:r w:rsidRPr="00F4322D">
              <w:t>Members themselves encourage participation amongst various demographic groups.</w:t>
            </w:r>
            <w:r>
              <w:t xml:space="preserve">  </w:t>
            </w:r>
          </w:p>
        </w:tc>
      </w:tr>
      <w:tr w:rsidR="00AA0DCC" w:rsidRPr="00B077C7" w14:paraId="247F4C98" w14:textId="77777777" w:rsidTr="00C30366">
        <w:tc>
          <w:tcPr>
            <w:tcW w:w="5098" w:type="dxa"/>
            <w:tcBorders>
              <w:top w:val="single" w:sz="4" w:space="0" w:color="auto"/>
              <w:bottom w:val="single" w:sz="4" w:space="0" w:color="auto"/>
            </w:tcBorders>
            <w:shd w:val="clear" w:color="auto" w:fill="FFFFFF" w:themeFill="background1"/>
          </w:tcPr>
          <w:p w14:paraId="3D588306" w14:textId="2981CAAA" w:rsidR="00AA0DCC" w:rsidRPr="00B077C7" w:rsidRDefault="00AA0DCC" w:rsidP="00EB7B26">
            <w:pPr>
              <w:pStyle w:val="Tabletextnumbered"/>
            </w:pPr>
            <w:r w:rsidRPr="00B077C7">
              <w:t>10.1.7 The Legislature shall have a regularly updated and accessible website to</w:t>
            </w:r>
          </w:p>
          <w:p w14:paraId="07A75C58" w14:textId="77777777" w:rsidR="00AA0DCC" w:rsidRPr="00B077C7" w:rsidRDefault="00AA0DCC" w:rsidP="00EB7B26">
            <w:pPr>
              <w:pStyle w:val="Tabletextnumbered"/>
            </w:pPr>
            <w:r w:rsidRPr="00B077C7">
              <w:t>enhance and promote information sharing and interaction with citizens</w:t>
            </w:r>
          </w:p>
          <w:p w14:paraId="3A8E434F" w14:textId="77777777" w:rsidR="00AA0DCC" w:rsidRPr="00B077C7" w:rsidRDefault="00AA0DCC" w:rsidP="00EB7B26">
            <w:pPr>
              <w:pStyle w:val="Tabletextnumbered"/>
            </w:pPr>
            <w:r w:rsidRPr="00B077C7">
              <w:t>and the outside world.7</w:t>
            </w:r>
          </w:p>
        </w:tc>
        <w:tc>
          <w:tcPr>
            <w:tcW w:w="1276" w:type="dxa"/>
            <w:tcBorders>
              <w:top w:val="single" w:sz="4" w:space="0" w:color="auto"/>
              <w:bottom w:val="single" w:sz="4" w:space="0" w:color="auto"/>
            </w:tcBorders>
            <w:shd w:val="clear" w:color="auto" w:fill="E2EFD9" w:themeFill="accent6" w:themeFillTint="33"/>
          </w:tcPr>
          <w:p w14:paraId="7EB8EF08" w14:textId="77777777" w:rsidR="00AA0DCC" w:rsidRPr="00B077C7" w:rsidRDefault="00AA0DCC" w:rsidP="00EB7B26">
            <w:pPr>
              <w:pStyle w:val="Tabletext"/>
            </w:pPr>
            <w:r w:rsidRPr="00B077C7">
              <w:t>2</w:t>
            </w:r>
          </w:p>
        </w:tc>
        <w:tc>
          <w:tcPr>
            <w:tcW w:w="8505" w:type="dxa"/>
            <w:tcBorders>
              <w:top w:val="single" w:sz="4" w:space="0" w:color="auto"/>
              <w:bottom w:val="single" w:sz="4" w:space="0" w:color="auto"/>
            </w:tcBorders>
          </w:tcPr>
          <w:p w14:paraId="17B71519" w14:textId="77777777" w:rsidR="00AA0DCC" w:rsidRPr="00B077C7" w:rsidRDefault="00AA0DCC" w:rsidP="00EB7B26">
            <w:pPr>
              <w:pStyle w:val="Tabletext"/>
            </w:pPr>
            <w:r w:rsidRPr="00B077C7">
              <w:t>See 10.1.3</w:t>
            </w:r>
          </w:p>
        </w:tc>
      </w:tr>
    </w:tbl>
    <w:p w14:paraId="2038A37C" w14:textId="77777777" w:rsidR="00C872FD" w:rsidRDefault="00C872FD">
      <w:r>
        <w:rPr>
          <w:b/>
        </w:rPr>
        <w:br w:type="page"/>
      </w:r>
    </w:p>
    <w:tbl>
      <w:tblPr>
        <w:tblStyle w:val="TableGrid"/>
        <w:tblW w:w="14879" w:type="dxa"/>
        <w:tblLayout w:type="fixed"/>
        <w:tblLook w:val="04A0" w:firstRow="1" w:lastRow="0" w:firstColumn="1" w:lastColumn="0" w:noHBand="0" w:noVBand="1"/>
      </w:tblPr>
      <w:tblGrid>
        <w:gridCol w:w="5098"/>
        <w:gridCol w:w="1276"/>
        <w:gridCol w:w="8505"/>
      </w:tblGrid>
      <w:tr w:rsidR="00AA0DCC" w:rsidRPr="00306DBB" w14:paraId="1E65953B"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42AA218F" w14:textId="7BE5213A" w:rsidR="00AA0DCC" w:rsidRPr="00306DBB" w:rsidRDefault="00AA0DCC" w:rsidP="00C30366">
            <w:pPr>
              <w:pStyle w:val="Tableheading3"/>
            </w:pPr>
            <w:r w:rsidRPr="00306DBB">
              <w:lastRenderedPageBreak/>
              <w:t>Languages</w:t>
            </w:r>
          </w:p>
        </w:tc>
        <w:tc>
          <w:tcPr>
            <w:tcW w:w="1276" w:type="dxa"/>
            <w:tcBorders>
              <w:top w:val="single" w:sz="4" w:space="0" w:color="auto"/>
              <w:left w:val="nil"/>
              <w:bottom w:val="single" w:sz="4" w:space="0" w:color="auto"/>
              <w:right w:val="nil"/>
            </w:tcBorders>
            <w:shd w:val="clear" w:color="auto" w:fill="F2F2F2" w:themeFill="background1" w:themeFillShade="F2"/>
          </w:tcPr>
          <w:p w14:paraId="13D64996" w14:textId="77777777" w:rsidR="00AA0DCC" w:rsidRPr="00306DBB"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ED1C2C8" w14:textId="77777777" w:rsidR="00AA0DCC" w:rsidRPr="00306DBB" w:rsidRDefault="00AA0DCC" w:rsidP="00C30366">
            <w:pPr>
              <w:pStyle w:val="Tableheading3"/>
            </w:pPr>
          </w:p>
        </w:tc>
      </w:tr>
      <w:tr w:rsidR="00AA0DCC" w14:paraId="33F15F24" w14:textId="77777777" w:rsidTr="00527CCE">
        <w:tc>
          <w:tcPr>
            <w:tcW w:w="5098" w:type="dxa"/>
            <w:tcBorders>
              <w:top w:val="single" w:sz="4" w:space="0" w:color="auto"/>
              <w:bottom w:val="single" w:sz="4" w:space="0" w:color="auto"/>
            </w:tcBorders>
            <w:shd w:val="clear" w:color="auto" w:fill="FFFFFF" w:themeFill="background1"/>
          </w:tcPr>
          <w:p w14:paraId="1CA9630F" w14:textId="48E0B75C" w:rsidR="00AA0DCC" w:rsidRPr="00B077C7" w:rsidRDefault="00AA0DCC" w:rsidP="00C276E6">
            <w:pPr>
              <w:pStyle w:val="Tabletextnumbered"/>
              <w:shd w:val="clear" w:color="auto" w:fill="FFFFFF" w:themeFill="background1"/>
            </w:pPr>
            <w:r>
              <w:t>10.2.1 Where the Constitution or parliamentary rules provide for the use of multiple</w:t>
            </w:r>
            <w:r w:rsidR="00C276E6">
              <w:t xml:space="preserve"> </w:t>
            </w:r>
            <w:r>
              <w:t>working languages, the Legislature shall make every reasonable effort to provide for simultaneous interpretation of debates and translation of records.</w:t>
            </w:r>
          </w:p>
        </w:tc>
        <w:tc>
          <w:tcPr>
            <w:tcW w:w="1276" w:type="dxa"/>
            <w:tcBorders>
              <w:top w:val="single" w:sz="4" w:space="0" w:color="auto"/>
              <w:bottom w:val="single" w:sz="4" w:space="0" w:color="auto"/>
            </w:tcBorders>
            <w:shd w:val="clear" w:color="auto" w:fill="DEEAF6" w:themeFill="accent1" w:themeFillTint="33"/>
          </w:tcPr>
          <w:p w14:paraId="2949EA87" w14:textId="77777777" w:rsidR="00AA0DCC" w:rsidRPr="00B077C7" w:rsidRDefault="00AA0DCC" w:rsidP="00EB7B26">
            <w:pPr>
              <w:pStyle w:val="Tabletext"/>
            </w:pPr>
            <w:r>
              <w:t>NA</w:t>
            </w:r>
          </w:p>
        </w:tc>
        <w:tc>
          <w:tcPr>
            <w:tcW w:w="8505" w:type="dxa"/>
            <w:tcBorders>
              <w:top w:val="single" w:sz="4" w:space="0" w:color="auto"/>
              <w:bottom w:val="single" w:sz="4" w:space="0" w:color="auto"/>
            </w:tcBorders>
          </w:tcPr>
          <w:p w14:paraId="13B6F9BD" w14:textId="5F96CF3A" w:rsidR="00AA0DCC" w:rsidRPr="00B077C7" w:rsidRDefault="00AA0DCC" w:rsidP="00EB7B26">
            <w:pPr>
              <w:pStyle w:val="Tabletext"/>
            </w:pPr>
            <w:r>
              <w:t>There is no such requirement.</w:t>
            </w:r>
          </w:p>
        </w:tc>
      </w:tr>
      <w:tr w:rsidR="00AA0DCC" w:rsidRPr="00B077C7" w14:paraId="7E52FC17"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4DDBA8AA" w14:textId="77777777" w:rsidR="00AA0DCC" w:rsidRPr="00B077C7" w:rsidRDefault="00AA0DCC" w:rsidP="00C30366">
            <w:pPr>
              <w:pStyle w:val="Tableheading2"/>
            </w:pPr>
            <w:r w:rsidRPr="00B077C7">
              <w:t>Ethical Governance</w:t>
            </w:r>
          </w:p>
        </w:tc>
        <w:tc>
          <w:tcPr>
            <w:tcW w:w="1276" w:type="dxa"/>
            <w:tcBorders>
              <w:top w:val="single" w:sz="4" w:space="0" w:color="auto"/>
              <w:left w:val="nil"/>
              <w:bottom w:val="single" w:sz="4" w:space="0" w:color="auto"/>
              <w:right w:val="nil"/>
            </w:tcBorders>
            <w:shd w:val="clear" w:color="auto" w:fill="F2F2F2" w:themeFill="background1" w:themeFillShade="F2"/>
          </w:tcPr>
          <w:p w14:paraId="7EE2719F" w14:textId="77777777" w:rsidR="00AA0DCC" w:rsidRPr="00B077C7" w:rsidRDefault="00AA0DCC" w:rsidP="00C30366">
            <w:pPr>
              <w:pStyle w:val="Tableheading2"/>
            </w:pPr>
          </w:p>
        </w:tc>
        <w:tc>
          <w:tcPr>
            <w:tcW w:w="8505" w:type="dxa"/>
            <w:tcBorders>
              <w:top w:val="single" w:sz="4" w:space="0" w:color="auto"/>
              <w:left w:val="nil"/>
              <w:bottom w:val="single" w:sz="4" w:space="0" w:color="auto"/>
              <w:right w:val="nil"/>
            </w:tcBorders>
            <w:shd w:val="clear" w:color="auto" w:fill="F2F2F2" w:themeFill="background1" w:themeFillShade="F2"/>
          </w:tcPr>
          <w:p w14:paraId="502DE83B" w14:textId="77777777" w:rsidR="00AA0DCC" w:rsidRPr="00B077C7" w:rsidRDefault="00AA0DCC" w:rsidP="00C30366">
            <w:pPr>
              <w:pStyle w:val="Tableheading2"/>
            </w:pPr>
          </w:p>
        </w:tc>
      </w:tr>
      <w:tr w:rsidR="00AA0DCC" w:rsidRPr="00B077C7" w14:paraId="0B3D4F66" w14:textId="77777777" w:rsidTr="003878EB">
        <w:trPr>
          <w:trHeight w:val="567"/>
        </w:trPr>
        <w:tc>
          <w:tcPr>
            <w:tcW w:w="5098" w:type="dxa"/>
            <w:tcBorders>
              <w:top w:val="single" w:sz="4" w:space="0" w:color="auto"/>
              <w:left w:val="single" w:sz="4" w:space="0" w:color="auto"/>
              <w:bottom w:val="single" w:sz="4" w:space="0" w:color="auto"/>
              <w:right w:val="nil"/>
            </w:tcBorders>
            <w:shd w:val="clear" w:color="auto" w:fill="F2F2F2" w:themeFill="background1" w:themeFillShade="F2"/>
          </w:tcPr>
          <w:p w14:paraId="509DF424" w14:textId="77777777" w:rsidR="00AA0DCC" w:rsidRPr="00B077C7" w:rsidRDefault="00AA0DCC" w:rsidP="00C30366">
            <w:pPr>
              <w:pStyle w:val="Tableheading3"/>
            </w:pPr>
            <w:r w:rsidRPr="00B077C7">
              <w:t xml:space="preserve">Transparency and integrity </w:t>
            </w:r>
          </w:p>
        </w:tc>
        <w:tc>
          <w:tcPr>
            <w:tcW w:w="1276" w:type="dxa"/>
            <w:tcBorders>
              <w:top w:val="single" w:sz="4" w:space="0" w:color="auto"/>
              <w:left w:val="nil"/>
              <w:bottom w:val="single" w:sz="4" w:space="0" w:color="auto"/>
              <w:right w:val="nil"/>
            </w:tcBorders>
            <w:shd w:val="clear" w:color="auto" w:fill="F2F2F2" w:themeFill="background1" w:themeFillShade="F2"/>
          </w:tcPr>
          <w:p w14:paraId="56ABF799" w14:textId="77777777" w:rsidR="00AA0DCC" w:rsidRPr="00B077C7" w:rsidRDefault="00AA0DCC" w:rsidP="00C30366">
            <w:pPr>
              <w:pStyle w:val="Tableheading3"/>
            </w:pPr>
          </w:p>
        </w:tc>
        <w:tc>
          <w:tcPr>
            <w:tcW w:w="8505" w:type="dxa"/>
            <w:tcBorders>
              <w:top w:val="single" w:sz="4" w:space="0" w:color="auto"/>
              <w:left w:val="nil"/>
              <w:bottom w:val="single" w:sz="4" w:space="0" w:color="auto"/>
              <w:right w:val="nil"/>
            </w:tcBorders>
            <w:shd w:val="clear" w:color="auto" w:fill="F2F2F2" w:themeFill="background1" w:themeFillShade="F2"/>
          </w:tcPr>
          <w:p w14:paraId="1E467F5A" w14:textId="77777777" w:rsidR="00AA0DCC" w:rsidRPr="00B077C7" w:rsidRDefault="00AA0DCC" w:rsidP="00C30366">
            <w:pPr>
              <w:pStyle w:val="Tableheading3"/>
            </w:pPr>
          </w:p>
        </w:tc>
      </w:tr>
      <w:tr w:rsidR="00AA0DCC" w14:paraId="5B8CB619" w14:textId="77777777" w:rsidTr="00C30366">
        <w:tc>
          <w:tcPr>
            <w:tcW w:w="5098" w:type="dxa"/>
            <w:tcBorders>
              <w:top w:val="single" w:sz="4" w:space="0" w:color="auto"/>
              <w:bottom w:val="single" w:sz="4" w:space="0" w:color="auto"/>
            </w:tcBorders>
            <w:shd w:val="clear" w:color="auto" w:fill="FFFFFF" w:themeFill="background1"/>
          </w:tcPr>
          <w:p w14:paraId="17C1D2A0" w14:textId="632CA06C" w:rsidR="00AA0DCC" w:rsidRPr="00B077C7" w:rsidRDefault="00AA0DCC" w:rsidP="00EB7B26">
            <w:pPr>
              <w:pStyle w:val="Tabletextnumbered"/>
            </w:pPr>
            <w:r>
              <w:t>11.1.1 Legislators should maintain high standards of accountability, transparency, responsibility and propriety in the conduct of all public and parliamentary matters including strict adherence to codes of conduct, and interest disclosure rules.</w:t>
            </w:r>
          </w:p>
        </w:tc>
        <w:tc>
          <w:tcPr>
            <w:tcW w:w="1276" w:type="dxa"/>
            <w:tcBorders>
              <w:top w:val="single" w:sz="4" w:space="0" w:color="auto"/>
              <w:bottom w:val="single" w:sz="4" w:space="0" w:color="auto"/>
            </w:tcBorders>
            <w:shd w:val="clear" w:color="auto" w:fill="E2EFD9" w:themeFill="accent6" w:themeFillTint="33"/>
          </w:tcPr>
          <w:p w14:paraId="01B9F402" w14:textId="77777777" w:rsidR="00AA0DCC" w:rsidRPr="00B077C7" w:rsidRDefault="00AA0DCC" w:rsidP="00EB7B26">
            <w:pPr>
              <w:pStyle w:val="Tabletext"/>
            </w:pPr>
            <w:r>
              <w:t>2</w:t>
            </w:r>
          </w:p>
        </w:tc>
        <w:tc>
          <w:tcPr>
            <w:tcW w:w="8505" w:type="dxa"/>
            <w:tcBorders>
              <w:top w:val="single" w:sz="4" w:space="0" w:color="auto"/>
              <w:bottom w:val="single" w:sz="4" w:space="0" w:color="auto"/>
            </w:tcBorders>
          </w:tcPr>
          <w:p w14:paraId="55D2A6D3" w14:textId="0254F300" w:rsidR="00AA0DCC" w:rsidRDefault="00AA0DCC" w:rsidP="00EB7B26">
            <w:pPr>
              <w:pStyle w:val="Tabletext"/>
            </w:pPr>
            <w:r>
              <w:t>Continuing resolution 5 of the Assembly contains the</w:t>
            </w:r>
            <w:r w:rsidRPr="00B077C7">
              <w:rPr>
                <w:i/>
              </w:rPr>
              <w:t xml:space="preserve"> Code of conduct for all Members of the Legislative Assembly for the A</w:t>
            </w:r>
            <w:r>
              <w:rPr>
                <w:i/>
              </w:rPr>
              <w:t>ustralian Capital Territory,</w:t>
            </w:r>
            <w:r>
              <w:t xml:space="preserve"> which all MLAs are required to affirm at the commencement of each Assembly or where a new member is elected during the term of an Assembly.</w:t>
            </w:r>
          </w:p>
          <w:p w14:paraId="55DE6EE1" w14:textId="77777777" w:rsidR="00AA0DCC" w:rsidRPr="00B077C7" w:rsidRDefault="00AA0DCC" w:rsidP="00EB7B26">
            <w:pPr>
              <w:pStyle w:val="Tabletext"/>
            </w:pPr>
            <w:r>
              <w:t>Section 15 of the Self-Government Act provides that ‘A member of the Assembly who is a party to, or has a direct or indirect interest in, a contract made by or on behalf of the Territory or a Territory authority shall not take part in a discussion of a matter, or vote on a question, in a meeting of the Assembly where the matter or question relates directly or indirectly to that contract’.</w:t>
            </w:r>
          </w:p>
          <w:p w14:paraId="184BB781" w14:textId="77777777" w:rsidR="00AA0DCC" w:rsidRDefault="00AA0DCC" w:rsidP="00EB7B26">
            <w:pPr>
              <w:pStyle w:val="Tabletext"/>
            </w:pPr>
            <w:r w:rsidRPr="00B077C7">
              <w:t xml:space="preserve">Complaints against the code </w:t>
            </w:r>
            <w:r>
              <w:t>of conduct or requirements relating to the declarations of members’ interests can be investigated and reported on by the Assembly Standards Commissioner (a former Supreme Court Justice) pursuant to continuing resolution 5AA.</w:t>
            </w:r>
          </w:p>
          <w:p w14:paraId="388BDD03" w14:textId="77777777" w:rsidR="00AA0DCC" w:rsidRPr="00B077C7" w:rsidRDefault="00AA0DCC" w:rsidP="00EB7B26">
            <w:pPr>
              <w:pStyle w:val="Tabletext"/>
            </w:pPr>
            <w:r>
              <w:t xml:space="preserve">Continuing resolution 6A provides for the appointment of an Ethics and Integrity Adviser who is responsible for advising MLAs on ethical conduct which potentially impacts of the effective performance of their official duties. </w:t>
            </w:r>
          </w:p>
        </w:tc>
      </w:tr>
      <w:tr w:rsidR="00AA0DCC" w14:paraId="1A6306CC" w14:textId="77777777" w:rsidTr="00C30366">
        <w:tc>
          <w:tcPr>
            <w:tcW w:w="5098" w:type="dxa"/>
            <w:tcBorders>
              <w:top w:val="single" w:sz="4" w:space="0" w:color="auto"/>
              <w:bottom w:val="single" w:sz="4" w:space="0" w:color="auto"/>
            </w:tcBorders>
            <w:shd w:val="clear" w:color="auto" w:fill="FFFFFF" w:themeFill="background1"/>
          </w:tcPr>
          <w:p w14:paraId="75E23EEB" w14:textId="7F4EA405" w:rsidR="00AA0DCC" w:rsidRPr="00B077C7" w:rsidRDefault="00AA0DCC" w:rsidP="00EB7B26">
            <w:pPr>
              <w:pStyle w:val="Tabletextnumbered"/>
            </w:pPr>
            <w:r>
              <w:t>11.1.2 The Legislature shall approve and enforce codes of conduct, including rules on conflicts of interest and the acceptance of gifts.</w:t>
            </w:r>
          </w:p>
        </w:tc>
        <w:tc>
          <w:tcPr>
            <w:tcW w:w="1276" w:type="dxa"/>
            <w:tcBorders>
              <w:top w:val="single" w:sz="4" w:space="0" w:color="auto"/>
              <w:bottom w:val="single" w:sz="4" w:space="0" w:color="auto"/>
            </w:tcBorders>
            <w:shd w:val="clear" w:color="auto" w:fill="E2EFD9" w:themeFill="accent6" w:themeFillTint="33"/>
          </w:tcPr>
          <w:p w14:paraId="0394BBEE" w14:textId="77777777" w:rsidR="00AA0DCC" w:rsidRPr="00B077C7" w:rsidRDefault="00AA0DCC" w:rsidP="00EB7B26">
            <w:pPr>
              <w:pStyle w:val="Tabletext"/>
            </w:pPr>
            <w:r>
              <w:t>2</w:t>
            </w:r>
          </w:p>
        </w:tc>
        <w:tc>
          <w:tcPr>
            <w:tcW w:w="8505" w:type="dxa"/>
            <w:tcBorders>
              <w:top w:val="single" w:sz="4" w:space="0" w:color="auto"/>
              <w:bottom w:val="single" w:sz="4" w:space="0" w:color="auto"/>
            </w:tcBorders>
          </w:tcPr>
          <w:p w14:paraId="7BFA44FE" w14:textId="77777777" w:rsidR="00AA0DCC" w:rsidRPr="00B077C7" w:rsidRDefault="00AA0DCC" w:rsidP="00EB7B26">
            <w:pPr>
              <w:pStyle w:val="Tabletext"/>
            </w:pPr>
            <w:r>
              <w:t>See 11.1.1</w:t>
            </w:r>
          </w:p>
        </w:tc>
      </w:tr>
      <w:tr w:rsidR="00AA0DCC" w14:paraId="5091CE9F" w14:textId="77777777" w:rsidTr="00C30366">
        <w:tc>
          <w:tcPr>
            <w:tcW w:w="5098" w:type="dxa"/>
            <w:tcBorders>
              <w:top w:val="single" w:sz="4" w:space="0" w:color="auto"/>
              <w:bottom w:val="single" w:sz="4" w:space="0" w:color="auto"/>
            </w:tcBorders>
            <w:shd w:val="clear" w:color="auto" w:fill="FFFFFF" w:themeFill="background1"/>
          </w:tcPr>
          <w:p w14:paraId="355DBB1C" w14:textId="73DAE136" w:rsidR="00AA0DCC" w:rsidRPr="00B077C7" w:rsidRDefault="00AA0DCC" w:rsidP="00EB7B26">
            <w:pPr>
              <w:pStyle w:val="Tabletextnumbered"/>
            </w:pPr>
            <w:r>
              <w:lastRenderedPageBreak/>
              <w:t>11.1.3 Legislatures shall require legislators to periodically, fully and publicly disclose their financial and other relevant interests.</w:t>
            </w:r>
          </w:p>
        </w:tc>
        <w:tc>
          <w:tcPr>
            <w:tcW w:w="1276" w:type="dxa"/>
            <w:tcBorders>
              <w:top w:val="single" w:sz="4" w:space="0" w:color="auto"/>
              <w:bottom w:val="single" w:sz="4" w:space="0" w:color="auto"/>
            </w:tcBorders>
            <w:shd w:val="clear" w:color="auto" w:fill="E2EFD9" w:themeFill="accent6" w:themeFillTint="33"/>
          </w:tcPr>
          <w:p w14:paraId="67DFFB4F" w14:textId="77777777" w:rsidR="00AA0DCC" w:rsidRPr="00B077C7" w:rsidRDefault="00AA0DCC" w:rsidP="00EB7B26">
            <w:pPr>
              <w:pStyle w:val="Tabletext"/>
            </w:pPr>
            <w:r>
              <w:t>2</w:t>
            </w:r>
          </w:p>
        </w:tc>
        <w:tc>
          <w:tcPr>
            <w:tcW w:w="8505" w:type="dxa"/>
            <w:tcBorders>
              <w:top w:val="single" w:sz="4" w:space="0" w:color="auto"/>
              <w:bottom w:val="single" w:sz="4" w:space="0" w:color="auto"/>
            </w:tcBorders>
          </w:tcPr>
          <w:p w14:paraId="16B8F33F" w14:textId="0DE89557" w:rsidR="00AA0DCC" w:rsidRPr="00B077C7" w:rsidRDefault="00AA0DCC" w:rsidP="00EB7B26">
            <w:pPr>
              <w:pStyle w:val="Tabletext"/>
            </w:pPr>
            <w:r w:rsidRPr="003008DE">
              <w:t>Continuing resolution 6 establishes requirements in relation to the declaration of the private interests of members</w:t>
            </w:r>
            <w:r>
              <w:t>, which are published on the Assembly website</w:t>
            </w:r>
            <w:r w:rsidRPr="003008DE">
              <w:t>.</w:t>
            </w:r>
            <w:r>
              <w:t xml:space="preserve"> </w:t>
            </w:r>
            <w:hyperlink r:id="rId49" w:history="1">
              <w:r w:rsidRPr="00501287">
                <w:rPr>
                  <w:rStyle w:val="Hyperlink"/>
                </w:rPr>
                <w:t>https://www.parliament.act.gov.au/members/declarations-of-interest</w:t>
              </w:r>
            </w:hyperlink>
            <w:r>
              <w:t xml:space="preserve"> </w:t>
            </w:r>
          </w:p>
        </w:tc>
      </w:tr>
      <w:tr w:rsidR="00AA0DCC" w14:paraId="26C0BF00" w14:textId="77777777" w:rsidTr="00C30366">
        <w:tc>
          <w:tcPr>
            <w:tcW w:w="5098" w:type="dxa"/>
            <w:tcBorders>
              <w:top w:val="single" w:sz="4" w:space="0" w:color="auto"/>
              <w:bottom w:val="single" w:sz="4" w:space="0" w:color="auto"/>
            </w:tcBorders>
            <w:shd w:val="clear" w:color="auto" w:fill="FFFFFF" w:themeFill="background1"/>
          </w:tcPr>
          <w:p w14:paraId="04B0967D" w14:textId="77777777" w:rsidR="00AA0DCC" w:rsidRPr="00B077C7" w:rsidRDefault="00AA0DCC" w:rsidP="00EB7B26">
            <w:pPr>
              <w:pStyle w:val="Tabletextnumbered"/>
            </w:pPr>
            <w:r>
              <w:t>11.1.4 There shall be mechanisms to prevent, detect, and bring to justice legislators and staff engaged in corrupt practices.</w:t>
            </w:r>
          </w:p>
        </w:tc>
        <w:tc>
          <w:tcPr>
            <w:tcW w:w="1276" w:type="dxa"/>
            <w:tcBorders>
              <w:top w:val="single" w:sz="4" w:space="0" w:color="auto"/>
              <w:bottom w:val="single" w:sz="4" w:space="0" w:color="auto"/>
            </w:tcBorders>
            <w:shd w:val="clear" w:color="auto" w:fill="E2EFD9" w:themeFill="accent6" w:themeFillTint="33"/>
          </w:tcPr>
          <w:p w14:paraId="0589DC08" w14:textId="77777777" w:rsidR="00AA0DCC" w:rsidRPr="00B077C7" w:rsidRDefault="00AA0DCC" w:rsidP="00EB7B26">
            <w:pPr>
              <w:pStyle w:val="Tabletext"/>
            </w:pPr>
            <w:r>
              <w:t>2</w:t>
            </w:r>
          </w:p>
        </w:tc>
        <w:tc>
          <w:tcPr>
            <w:tcW w:w="8505" w:type="dxa"/>
            <w:tcBorders>
              <w:top w:val="single" w:sz="4" w:space="0" w:color="auto"/>
              <w:bottom w:val="single" w:sz="4" w:space="0" w:color="auto"/>
            </w:tcBorders>
          </w:tcPr>
          <w:p w14:paraId="14CACF3D" w14:textId="77777777" w:rsidR="00AA0DCC" w:rsidRPr="00B077C7" w:rsidRDefault="00AA0DCC" w:rsidP="00EB7B26">
            <w:pPr>
              <w:pStyle w:val="Tabletext"/>
            </w:pPr>
            <w:r>
              <w:t xml:space="preserve">Upon commencement of the </w:t>
            </w:r>
            <w:r w:rsidRPr="001B0DD5">
              <w:rPr>
                <w:i/>
              </w:rPr>
              <w:t>Integrity Commission Act 2018</w:t>
            </w:r>
            <w:r>
              <w:t xml:space="preserve">, all MLAs, staff of the Office, staff of Members will be subject to the jurisdiction Integrity Commission, which is charged with investigating and reporting on corruption. The Commission has substantial powers, including compulsory questioning and search and seizure powers. </w:t>
            </w:r>
          </w:p>
        </w:tc>
      </w:tr>
      <w:tr w:rsidR="00AA0DCC" w14:paraId="711E40C1" w14:textId="77777777" w:rsidTr="00C30366">
        <w:tc>
          <w:tcPr>
            <w:tcW w:w="5098" w:type="dxa"/>
            <w:tcBorders>
              <w:top w:val="single" w:sz="4" w:space="0" w:color="auto"/>
              <w:bottom w:val="single" w:sz="4" w:space="0" w:color="auto"/>
            </w:tcBorders>
            <w:shd w:val="clear" w:color="auto" w:fill="FFFFFF" w:themeFill="background1"/>
          </w:tcPr>
          <w:p w14:paraId="37ED4EAD" w14:textId="777CC8A5" w:rsidR="00AA0DCC" w:rsidRPr="00B077C7" w:rsidRDefault="00AA0DCC" w:rsidP="00EB7B26">
            <w:pPr>
              <w:pStyle w:val="Tabletextnumbered"/>
            </w:pPr>
            <w:r>
              <w:t>11.2.1 There shall be an effective FOI regime to give the public access to information held by public authorities.</w:t>
            </w:r>
          </w:p>
        </w:tc>
        <w:tc>
          <w:tcPr>
            <w:tcW w:w="1276" w:type="dxa"/>
            <w:tcBorders>
              <w:top w:val="single" w:sz="4" w:space="0" w:color="auto"/>
              <w:bottom w:val="single" w:sz="4" w:space="0" w:color="auto"/>
            </w:tcBorders>
            <w:shd w:val="clear" w:color="auto" w:fill="E2EFD9" w:themeFill="accent6" w:themeFillTint="33"/>
          </w:tcPr>
          <w:p w14:paraId="25F0108D" w14:textId="77777777" w:rsidR="00AA0DCC" w:rsidRPr="00B077C7" w:rsidRDefault="00AA0DCC" w:rsidP="00EB7B26">
            <w:pPr>
              <w:pStyle w:val="Tabletext"/>
            </w:pPr>
            <w:r>
              <w:t>2</w:t>
            </w:r>
          </w:p>
        </w:tc>
        <w:tc>
          <w:tcPr>
            <w:tcW w:w="8505" w:type="dxa"/>
            <w:tcBorders>
              <w:top w:val="single" w:sz="4" w:space="0" w:color="auto"/>
              <w:bottom w:val="single" w:sz="4" w:space="0" w:color="auto"/>
            </w:tcBorders>
          </w:tcPr>
          <w:p w14:paraId="05B7B290" w14:textId="77777777" w:rsidR="00AA0DCC" w:rsidRPr="00B077C7" w:rsidRDefault="00AA0DCC" w:rsidP="00EB7B26">
            <w:pPr>
              <w:pStyle w:val="Tabletext"/>
            </w:pPr>
            <w:r>
              <w:t xml:space="preserve">The </w:t>
            </w:r>
            <w:r w:rsidRPr="001B0DD5">
              <w:rPr>
                <w:i/>
              </w:rPr>
              <w:t>Freedom of Information Act 2016</w:t>
            </w:r>
            <w:r>
              <w:t xml:space="preserve"> provides a statutory basis for FOI in the ACT. </w:t>
            </w:r>
          </w:p>
        </w:tc>
      </w:tr>
    </w:tbl>
    <w:p w14:paraId="30A72CEB" w14:textId="77777777" w:rsidR="00A441C0" w:rsidRDefault="00A441C0" w:rsidP="005C772E"/>
    <w:p w14:paraId="171B9FC4" w14:textId="77777777" w:rsidR="00251155" w:rsidRDefault="00251155" w:rsidP="005C772E"/>
    <w:p w14:paraId="19CCE2DE" w14:textId="77777777" w:rsidR="00251155" w:rsidRDefault="00251155" w:rsidP="005C772E"/>
    <w:p w14:paraId="64282F1F" w14:textId="74A4953F" w:rsidR="00251155" w:rsidRDefault="00251155">
      <w:r>
        <w:br w:type="page"/>
      </w:r>
    </w:p>
    <w:p w14:paraId="6F3626EC" w14:textId="77777777" w:rsidR="00251155" w:rsidRDefault="00251155" w:rsidP="005C772E">
      <w:pPr>
        <w:sectPr w:rsidR="00251155" w:rsidSect="004F67F1">
          <w:headerReference w:type="even" r:id="rId50"/>
          <w:headerReference w:type="default" r:id="rId51"/>
          <w:footerReference w:type="even" r:id="rId52"/>
          <w:footerReference w:type="default" r:id="rId53"/>
          <w:headerReference w:type="first" r:id="rId54"/>
          <w:footerReference w:type="first" r:id="rId55"/>
          <w:pgSz w:w="16838" w:h="11906" w:orient="landscape" w:code="9"/>
          <w:pgMar w:top="1361" w:right="1134" w:bottom="1361" w:left="1134" w:header="567" w:footer="567" w:gutter="0"/>
          <w:pgNumType w:start="1"/>
          <w:cols w:space="708"/>
          <w:docGrid w:linePitch="360"/>
        </w:sectPr>
      </w:pPr>
    </w:p>
    <w:p w14:paraId="13C6DD21" w14:textId="0E571856" w:rsidR="00251155" w:rsidRPr="00EB7B26" w:rsidRDefault="00251155" w:rsidP="00F74670">
      <w:pPr>
        <w:pStyle w:val="Heading2"/>
      </w:pPr>
      <w:r w:rsidRPr="00EB7B26">
        <w:lastRenderedPageBreak/>
        <w:t>Attachment A: consolidated committee statistics 2017-2018</w:t>
      </w:r>
    </w:p>
    <w:tbl>
      <w:tblPr>
        <w:tblW w:w="0" w:type="auto"/>
        <w:tblBorders>
          <w:top w:val="single" w:sz="8" w:space="0" w:color="7098D0"/>
          <w:left w:val="single" w:sz="8" w:space="0" w:color="7098D0"/>
          <w:bottom w:val="single" w:sz="8" w:space="0" w:color="7098D0"/>
          <w:right w:val="single" w:sz="8" w:space="0" w:color="7098D0"/>
          <w:insideH w:val="single" w:sz="8" w:space="0" w:color="7098D0"/>
          <w:insideV w:val="single" w:sz="8" w:space="0" w:color="7098D0"/>
        </w:tblBorders>
        <w:tblLayout w:type="fixed"/>
        <w:tblCellMar>
          <w:left w:w="0" w:type="dxa"/>
          <w:right w:w="0" w:type="dxa"/>
        </w:tblCellMar>
        <w:tblLook w:val="01E0" w:firstRow="1" w:lastRow="1" w:firstColumn="1" w:lastColumn="1" w:noHBand="0" w:noVBand="0"/>
      </w:tblPr>
      <w:tblGrid>
        <w:gridCol w:w="1672"/>
        <w:gridCol w:w="1187"/>
        <w:gridCol w:w="1173"/>
        <w:gridCol w:w="1141"/>
        <w:gridCol w:w="1134"/>
        <w:gridCol w:w="1137"/>
        <w:gridCol w:w="1165"/>
        <w:gridCol w:w="1032"/>
      </w:tblGrid>
      <w:tr w:rsidR="00664A3F" w14:paraId="3FCEFE81" w14:textId="77777777" w:rsidTr="00C872FD">
        <w:trPr>
          <w:trHeight w:val="875"/>
        </w:trPr>
        <w:tc>
          <w:tcPr>
            <w:tcW w:w="1672" w:type="dxa"/>
            <w:tcBorders>
              <w:top w:val="nil"/>
              <w:left w:val="nil"/>
              <w:bottom w:val="nil"/>
            </w:tcBorders>
            <w:shd w:val="clear" w:color="auto" w:fill="89A7D7"/>
            <w:vAlign w:val="bottom"/>
          </w:tcPr>
          <w:p w14:paraId="75D97F9E" w14:textId="77777777" w:rsidR="00664A3F" w:rsidRDefault="00664A3F" w:rsidP="00C872FD">
            <w:pPr>
              <w:pStyle w:val="TableParagraph"/>
              <w:jc w:val="left"/>
              <w:rPr>
                <w:b/>
                <w:sz w:val="18"/>
              </w:rPr>
            </w:pPr>
            <w:r>
              <w:rPr>
                <w:b/>
                <w:sz w:val="18"/>
              </w:rPr>
              <w:t>Financial year</w:t>
            </w:r>
          </w:p>
        </w:tc>
        <w:tc>
          <w:tcPr>
            <w:tcW w:w="1187" w:type="dxa"/>
            <w:tcBorders>
              <w:top w:val="nil"/>
              <w:bottom w:val="nil"/>
            </w:tcBorders>
            <w:shd w:val="clear" w:color="auto" w:fill="89A7D7"/>
            <w:vAlign w:val="bottom"/>
          </w:tcPr>
          <w:p w14:paraId="6CEC79E6" w14:textId="77777777" w:rsidR="00664A3F" w:rsidRDefault="00664A3F" w:rsidP="0088225B">
            <w:pPr>
              <w:pStyle w:val="TableParagraph"/>
              <w:ind w:right="65"/>
              <w:rPr>
                <w:b/>
                <w:sz w:val="18"/>
              </w:rPr>
            </w:pPr>
            <w:r>
              <w:rPr>
                <w:b/>
                <w:sz w:val="18"/>
              </w:rPr>
              <w:t>Meetings</w:t>
            </w:r>
          </w:p>
        </w:tc>
        <w:tc>
          <w:tcPr>
            <w:tcW w:w="1173" w:type="dxa"/>
            <w:tcBorders>
              <w:top w:val="nil"/>
              <w:bottom w:val="nil"/>
            </w:tcBorders>
            <w:shd w:val="clear" w:color="auto" w:fill="89A7D7"/>
            <w:vAlign w:val="bottom"/>
          </w:tcPr>
          <w:p w14:paraId="64C531AE" w14:textId="0F7A5BB5" w:rsidR="00664A3F" w:rsidRDefault="00664A3F" w:rsidP="0088225B">
            <w:pPr>
              <w:pStyle w:val="TableParagraph"/>
              <w:spacing w:before="88" w:line="184" w:lineRule="auto"/>
              <w:ind w:left="171" w:right="65" w:firstLine="201"/>
              <w:rPr>
                <w:b/>
                <w:sz w:val="18"/>
              </w:rPr>
            </w:pPr>
            <w:r>
              <w:rPr>
                <w:b/>
                <w:sz w:val="18"/>
              </w:rPr>
              <w:t>Meetings supported by Chamber</w:t>
            </w:r>
            <w:r w:rsidR="0088225B">
              <w:rPr>
                <w:b/>
                <w:sz w:val="18"/>
              </w:rPr>
              <w:t xml:space="preserve"> </w:t>
            </w:r>
            <w:r>
              <w:rPr>
                <w:b/>
                <w:sz w:val="18"/>
              </w:rPr>
              <w:t>Support</w:t>
            </w:r>
          </w:p>
        </w:tc>
        <w:tc>
          <w:tcPr>
            <w:tcW w:w="1141" w:type="dxa"/>
            <w:tcBorders>
              <w:top w:val="nil"/>
              <w:bottom w:val="nil"/>
            </w:tcBorders>
            <w:shd w:val="clear" w:color="auto" w:fill="89A7D7"/>
            <w:vAlign w:val="bottom"/>
          </w:tcPr>
          <w:p w14:paraId="0321EDBC" w14:textId="77777777" w:rsidR="00664A3F" w:rsidRDefault="00664A3F" w:rsidP="0088225B">
            <w:pPr>
              <w:pStyle w:val="TableParagraph"/>
              <w:spacing w:line="184" w:lineRule="auto"/>
              <w:ind w:left="256" w:right="67" w:firstLine="415"/>
              <w:rPr>
                <w:b/>
                <w:sz w:val="18"/>
              </w:rPr>
            </w:pPr>
            <w:r>
              <w:rPr>
                <w:b/>
                <w:sz w:val="18"/>
              </w:rPr>
              <w:t>Total number of meetings</w:t>
            </w:r>
          </w:p>
        </w:tc>
        <w:tc>
          <w:tcPr>
            <w:tcW w:w="1134" w:type="dxa"/>
            <w:tcBorders>
              <w:top w:val="nil"/>
              <w:bottom w:val="nil"/>
            </w:tcBorders>
            <w:shd w:val="clear" w:color="auto" w:fill="89A7D7"/>
            <w:vAlign w:val="bottom"/>
          </w:tcPr>
          <w:p w14:paraId="67854CED" w14:textId="77777777" w:rsidR="00664A3F" w:rsidRDefault="00664A3F" w:rsidP="0088225B">
            <w:pPr>
              <w:pStyle w:val="TableParagraph"/>
              <w:spacing w:line="184" w:lineRule="auto"/>
              <w:ind w:left="393" w:right="59" w:firstLine="189"/>
              <w:rPr>
                <w:b/>
                <w:sz w:val="18"/>
              </w:rPr>
            </w:pPr>
            <w:r>
              <w:rPr>
                <w:b/>
                <w:sz w:val="18"/>
              </w:rPr>
              <w:t>Public hearings</w:t>
            </w:r>
          </w:p>
        </w:tc>
        <w:tc>
          <w:tcPr>
            <w:tcW w:w="1137" w:type="dxa"/>
            <w:tcBorders>
              <w:top w:val="nil"/>
              <w:bottom w:val="nil"/>
            </w:tcBorders>
            <w:shd w:val="clear" w:color="auto" w:fill="89A7D7"/>
            <w:vAlign w:val="bottom"/>
          </w:tcPr>
          <w:p w14:paraId="48B5E97E" w14:textId="77777777" w:rsidR="00664A3F" w:rsidRDefault="00664A3F" w:rsidP="0088225B">
            <w:pPr>
              <w:pStyle w:val="TableParagraph"/>
              <w:ind w:right="67"/>
              <w:rPr>
                <w:b/>
                <w:sz w:val="18"/>
              </w:rPr>
            </w:pPr>
            <w:r>
              <w:rPr>
                <w:b/>
                <w:sz w:val="18"/>
              </w:rPr>
              <w:t>Reports</w:t>
            </w:r>
          </w:p>
        </w:tc>
        <w:tc>
          <w:tcPr>
            <w:tcW w:w="1165" w:type="dxa"/>
            <w:tcBorders>
              <w:top w:val="nil"/>
              <w:bottom w:val="nil"/>
            </w:tcBorders>
            <w:shd w:val="clear" w:color="auto" w:fill="89A7D7"/>
            <w:vAlign w:val="bottom"/>
          </w:tcPr>
          <w:p w14:paraId="641891CB" w14:textId="42DAC636" w:rsidR="00664A3F" w:rsidRDefault="00664A3F" w:rsidP="0088225B">
            <w:pPr>
              <w:pStyle w:val="TableParagraph"/>
              <w:spacing w:before="88" w:line="184" w:lineRule="auto"/>
              <w:ind w:left="164" w:right="66" w:firstLine="312"/>
              <w:rPr>
                <w:b/>
                <w:sz w:val="18"/>
              </w:rPr>
            </w:pPr>
            <w:r>
              <w:rPr>
                <w:b/>
                <w:sz w:val="18"/>
              </w:rPr>
              <w:t>Reports produced by</w:t>
            </w:r>
            <w:r>
              <w:rPr>
                <w:b/>
                <w:spacing w:val="5"/>
                <w:sz w:val="18"/>
              </w:rPr>
              <w:t xml:space="preserve"> </w:t>
            </w:r>
            <w:r>
              <w:rPr>
                <w:b/>
                <w:sz w:val="18"/>
              </w:rPr>
              <w:t>Chamber</w:t>
            </w:r>
            <w:r w:rsidR="0088225B">
              <w:rPr>
                <w:b/>
                <w:sz w:val="18"/>
              </w:rPr>
              <w:t xml:space="preserve"> </w:t>
            </w:r>
            <w:r>
              <w:rPr>
                <w:b/>
                <w:sz w:val="18"/>
              </w:rPr>
              <w:t>Support</w:t>
            </w:r>
          </w:p>
        </w:tc>
        <w:tc>
          <w:tcPr>
            <w:tcW w:w="1032" w:type="dxa"/>
            <w:tcBorders>
              <w:top w:val="nil"/>
              <w:bottom w:val="nil"/>
              <w:right w:val="nil"/>
            </w:tcBorders>
            <w:shd w:val="clear" w:color="auto" w:fill="89A7D7"/>
            <w:vAlign w:val="bottom"/>
          </w:tcPr>
          <w:p w14:paraId="437A244A" w14:textId="77777777" w:rsidR="00664A3F" w:rsidRDefault="00664A3F" w:rsidP="0088225B">
            <w:pPr>
              <w:pStyle w:val="TableParagraph"/>
              <w:spacing w:line="184" w:lineRule="auto"/>
              <w:ind w:right="57"/>
              <w:rPr>
                <w:b/>
                <w:sz w:val="18"/>
              </w:rPr>
            </w:pPr>
            <w:r>
              <w:rPr>
                <w:b/>
                <w:sz w:val="18"/>
              </w:rPr>
              <w:t>Total reports</w:t>
            </w:r>
          </w:p>
        </w:tc>
      </w:tr>
      <w:tr w:rsidR="00664A3F" w14:paraId="63136BD3" w14:textId="77777777" w:rsidTr="0088225B">
        <w:trPr>
          <w:trHeight w:val="352"/>
        </w:trPr>
        <w:tc>
          <w:tcPr>
            <w:tcW w:w="1672" w:type="dxa"/>
            <w:tcBorders>
              <w:top w:val="nil"/>
              <w:left w:val="nil"/>
              <w:bottom w:val="single" w:sz="4" w:space="0" w:color="000000"/>
              <w:right w:val="single" w:sz="4" w:space="0" w:color="DADADA"/>
            </w:tcBorders>
          </w:tcPr>
          <w:p w14:paraId="0306699E" w14:textId="77777777" w:rsidR="00664A3F" w:rsidRDefault="00664A3F" w:rsidP="00B0263F">
            <w:pPr>
              <w:pStyle w:val="TableParagraph"/>
              <w:spacing w:before="33"/>
              <w:ind w:left="79"/>
              <w:jc w:val="left"/>
              <w:rPr>
                <w:sz w:val="18"/>
              </w:rPr>
            </w:pPr>
            <w:r>
              <w:rPr>
                <w:sz w:val="18"/>
              </w:rPr>
              <w:t>1989-1990</w:t>
            </w:r>
          </w:p>
        </w:tc>
        <w:tc>
          <w:tcPr>
            <w:tcW w:w="1187" w:type="dxa"/>
            <w:tcBorders>
              <w:top w:val="nil"/>
              <w:left w:val="single" w:sz="4" w:space="0" w:color="DADADA"/>
              <w:bottom w:val="single" w:sz="4" w:space="0" w:color="000000"/>
              <w:right w:val="dashed" w:sz="4" w:space="0" w:color="DADADA"/>
            </w:tcBorders>
          </w:tcPr>
          <w:p w14:paraId="280E8234" w14:textId="77777777" w:rsidR="00664A3F" w:rsidRDefault="00664A3F" w:rsidP="00B0263F">
            <w:pPr>
              <w:pStyle w:val="TableParagraph"/>
              <w:spacing w:before="33"/>
              <w:ind w:right="72"/>
              <w:rPr>
                <w:sz w:val="18"/>
              </w:rPr>
            </w:pPr>
            <w:r>
              <w:rPr>
                <w:sz w:val="18"/>
              </w:rPr>
              <w:t>165</w:t>
            </w:r>
          </w:p>
        </w:tc>
        <w:tc>
          <w:tcPr>
            <w:tcW w:w="1173" w:type="dxa"/>
            <w:tcBorders>
              <w:top w:val="nil"/>
              <w:left w:val="dashed" w:sz="4" w:space="0" w:color="DADADA"/>
              <w:bottom w:val="single" w:sz="4" w:space="0" w:color="000000"/>
              <w:right w:val="dashed" w:sz="4" w:space="0" w:color="DADADA"/>
            </w:tcBorders>
          </w:tcPr>
          <w:p w14:paraId="4FA5DA63" w14:textId="77777777" w:rsidR="00664A3F" w:rsidRDefault="00664A3F" w:rsidP="00B0263F">
            <w:pPr>
              <w:pStyle w:val="TableParagraph"/>
              <w:spacing w:before="33"/>
              <w:ind w:right="72"/>
              <w:rPr>
                <w:sz w:val="18"/>
              </w:rPr>
            </w:pPr>
            <w:r>
              <w:rPr>
                <w:sz w:val="18"/>
              </w:rPr>
              <w:t>45</w:t>
            </w:r>
          </w:p>
        </w:tc>
        <w:tc>
          <w:tcPr>
            <w:tcW w:w="1141" w:type="dxa"/>
            <w:tcBorders>
              <w:top w:val="nil"/>
              <w:left w:val="dashed" w:sz="4" w:space="0" w:color="DADADA"/>
              <w:bottom w:val="single" w:sz="4" w:space="0" w:color="000000"/>
              <w:right w:val="dashed" w:sz="4" w:space="0" w:color="DADADA"/>
            </w:tcBorders>
          </w:tcPr>
          <w:p w14:paraId="28B7DC1C" w14:textId="77777777" w:rsidR="00664A3F" w:rsidRDefault="00664A3F" w:rsidP="00B0263F">
            <w:pPr>
              <w:pStyle w:val="TableParagraph"/>
              <w:spacing w:before="33"/>
              <w:ind w:right="72"/>
              <w:rPr>
                <w:sz w:val="18"/>
              </w:rPr>
            </w:pPr>
            <w:r>
              <w:rPr>
                <w:sz w:val="18"/>
              </w:rPr>
              <w:t>210</w:t>
            </w:r>
          </w:p>
        </w:tc>
        <w:tc>
          <w:tcPr>
            <w:tcW w:w="1134" w:type="dxa"/>
            <w:tcBorders>
              <w:top w:val="nil"/>
              <w:left w:val="dashed" w:sz="4" w:space="0" w:color="DADADA"/>
              <w:bottom w:val="single" w:sz="4" w:space="0" w:color="000000"/>
              <w:right w:val="dashed" w:sz="4" w:space="0" w:color="DADADA"/>
            </w:tcBorders>
          </w:tcPr>
          <w:p w14:paraId="3083F756" w14:textId="77777777" w:rsidR="00664A3F" w:rsidRDefault="00664A3F" w:rsidP="00B0263F">
            <w:pPr>
              <w:pStyle w:val="TableParagraph"/>
              <w:spacing w:before="33"/>
              <w:ind w:right="72"/>
              <w:rPr>
                <w:sz w:val="18"/>
              </w:rPr>
            </w:pPr>
            <w:r>
              <w:rPr>
                <w:sz w:val="18"/>
              </w:rPr>
              <w:t>57</w:t>
            </w:r>
          </w:p>
        </w:tc>
        <w:tc>
          <w:tcPr>
            <w:tcW w:w="1137" w:type="dxa"/>
            <w:tcBorders>
              <w:top w:val="nil"/>
              <w:left w:val="dashed" w:sz="4" w:space="0" w:color="DADADA"/>
              <w:bottom w:val="single" w:sz="4" w:space="0" w:color="000000"/>
              <w:right w:val="dashed" w:sz="4" w:space="0" w:color="DADADA"/>
            </w:tcBorders>
          </w:tcPr>
          <w:p w14:paraId="51B47DED" w14:textId="77777777" w:rsidR="00664A3F" w:rsidRDefault="00664A3F" w:rsidP="00B0263F">
            <w:pPr>
              <w:pStyle w:val="TableParagraph"/>
              <w:spacing w:before="33"/>
              <w:ind w:right="72"/>
              <w:rPr>
                <w:sz w:val="18"/>
              </w:rPr>
            </w:pPr>
            <w:r>
              <w:rPr>
                <w:sz w:val="18"/>
              </w:rPr>
              <w:t>18</w:t>
            </w:r>
          </w:p>
        </w:tc>
        <w:tc>
          <w:tcPr>
            <w:tcW w:w="1165" w:type="dxa"/>
            <w:tcBorders>
              <w:top w:val="nil"/>
              <w:left w:val="dashed" w:sz="4" w:space="0" w:color="DADADA"/>
              <w:bottom w:val="single" w:sz="4" w:space="0" w:color="000000"/>
              <w:right w:val="dashed" w:sz="4" w:space="0" w:color="DADADA"/>
            </w:tcBorders>
          </w:tcPr>
          <w:p w14:paraId="144FC537" w14:textId="77777777" w:rsidR="00664A3F" w:rsidRDefault="00664A3F" w:rsidP="00B0263F">
            <w:pPr>
              <w:pStyle w:val="TableParagraph"/>
              <w:spacing w:before="33"/>
              <w:ind w:right="71"/>
              <w:rPr>
                <w:sz w:val="18"/>
              </w:rPr>
            </w:pPr>
            <w:r>
              <w:rPr>
                <w:sz w:val="18"/>
              </w:rPr>
              <w:t>11</w:t>
            </w:r>
          </w:p>
        </w:tc>
        <w:tc>
          <w:tcPr>
            <w:tcW w:w="1032" w:type="dxa"/>
            <w:tcBorders>
              <w:top w:val="nil"/>
              <w:left w:val="dashed" w:sz="4" w:space="0" w:color="DADADA"/>
              <w:bottom w:val="single" w:sz="4" w:space="0" w:color="000000"/>
              <w:right w:val="nil"/>
            </w:tcBorders>
          </w:tcPr>
          <w:p w14:paraId="534D99D5" w14:textId="77777777" w:rsidR="00664A3F" w:rsidRDefault="00664A3F" w:rsidP="00B0263F">
            <w:pPr>
              <w:pStyle w:val="TableParagraph"/>
              <w:spacing w:before="33"/>
              <w:ind w:right="76"/>
              <w:rPr>
                <w:sz w:val="18"/>
              </w:rPr>
            </w:pPr>
            <w:r>
              <w:rPr>
                <w:sz w:val="18"/>
              </w:rPr>
              <w:t>29</w:t>
            </w:r>
          </w:p>
        </w:tc>
      </w:tr>
      <w:tr w:rsidR="00664A3F" w14:paraId="794F55E3"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7B1C699F" w14:textId="77777777" w:rsidR="00664A3F" w:rsidRDefault="00664A3F" w:rsidP="00B0263F">
            <w:pPr>
              <w:pStyle w:val="TableParagraph"/>
              <w:spacing w:before="33"/>
              <w:ind w:left="79"/>
              <w:jc w:val="left"/>
              <w:rPr>
                <w:sz w:val="18"/>
              </w:rPr>
            </w:pPr>
            <w:r>
              <w:rPr>
                <w:sz w:val="18"/>
              </w:rPr>
              <w:t>1990-1991</w:t>
            </w:r>
          </w:p>
        </w:tc>
        <w:tc>
          <w:tcPr>
            <w:tcW w:w="1187" w:type="dxa"/>
            <w:tcBorders>
              <w:top w:val="single" w:sz="4" w:space="0" w:color="000000"/>
              <w:left w:val="single" w:sz="4" w:space="0" w:color="DADADA"/>
              <w:bottom w:val="single" w:sz="4" w:space="0" w:color="000000"/>
              <w:right w:val="dashed" w:sz="4" w:space="0" w:color="DADADA"/>
            </w:tcBorders>
          </w:tcPr>
          <w:p w14:paraId="0C0CEF27" w14:textId="77777777" w:rsidR="00664A3F" w:rsidRDefault="00664A3F" w:rsidP="00B0263F">
            <w:pPr>
              <w:pStyle w:val="TableParagraph"/>
              <w:spacing w:before="33"/>
              <w:ind w:right="72"/>
              <w:rPr>
                <w:sz w:val="18"/>
              </w:rPr>
            </w:pPr>
            <w:r>
              <w:rPr>
                <w:sz w:val="18"/>
              </w:rPr>
              <w:t>185</w:t>
            </w:r>
          </w:p>
        </w:tc>
        <w:tc>
          <w:tcPr>
            <w:tcW w:w="1173" w:type="dxa"/>
            <w:tcBorders>
              <w:top w:val="single" w:sz="4" w:space="0" w:color="000000"/>
              <w:left w:val="dashed" w:sz="4" w:space="0" w:color="DADADA"/>
              <w:bottom w:val="single" w:sz="4" w:space="0" w:color="000000"/>
              <w:right w:val="dashed" w:sz="4" w:space="0" w:color="DADADA"/>
            </w:tcBorders>
          </w:tcPr>
          <w:p w14:paraId="673F5E58" w14:textId="77777777" w:rsidR="00664A3F" w:rsidRDefault="00664A3F" w:rsidP="00B0263F">
            <w:pPr>
              <w:pStyle w:val="TableParagraph"/>
              <w:spacing w:before="33"/>
              <w:ind w:right="72"/>
              <w:rPr>
                <w:sz w:val="18"/>
              </w:rPr>
            </w:pPr>
            <w:r>
              <w:rPr>
                <w:sz w:val="18"/>
              </w:rPr>
              <w:t>54</w:t>
            </w:r>
          </w:p>
        </w:tc>
        <w:tc>
          <w:tcPr>
            <w:tcW w:w="1141" w:type="dxa"/>
            <w:tcBorders>
              <w:top w:val="single" w:sz="4" w:space="0" w:color="000000"/>
              <w:left w:val="dashed" w:sz="4" w:space="0" w:color="DADADA"/>
              <w:bottom w:val="single" w:sz="4" w:space="0" w:color="000000"/>
              <w:right w:val="dashed" w:sz="4" w:space="0" w:color="DADADA"/>
            </w:tcBorders>
          </w:tcPr>
          <w:p w14:paraId="05133222" w14:textId="77777777" w:rsidR="00664A3F" w:rsidRDefault="00664A3F" w:rsidP="00B0263F">
            <w:pPr>
              <w:pStyle w:val="TableParagraph"/>
              <w:spacing w:before="33"/>
              <w:ind w:right="72"/>
              <w:rPr>
                <w:sz w:val="18"/>
              </w:rPr>
            </w:pPr>
            <w:r>
              <w:rPr>
                <w:sz w:val="18"/>
              </w:rPr>
              <w:t>239</w:t>
            </w:r>
          </w:p>
        </w:tc>
        <w:tc>
          <w:tcPr>
            <w:tcW w:w="1134" w:type="dxa"/>
            <w:tcBorders>
              <w:top w:val="single" w:sz="4" w:space="0" w:color="000000"/>
              <w:left w:val="dashed" w:sz="4" w:space="0" w:color="DADADA"/>
              <w:bottom w:val="single" w:sz="4" w:space="0" w:color="000000"/>
              <w:right w:val="dashed" w:sz="4" w:space="0" w:color="DADADA"/>
            </w:tcBorders>
          </w:tcPr>
          <w:p w14:paraId="4C7705DD" w14:textId="77777777" w:rsidR="00664A3F" w:rsidRDefault="00664A3F" w:rsidP="00B0263F">
            <w:pPr>
              <w:pStyle w:val="TableParagraph"/>
              <w:spacing w:before="33"/>
              <w:ind w:right="72"/>
              <w:rPr>
                <w:sz w:val="18"/>
              </w:rPr>
            </w:pPr>
            <w:r>
              <w:rPr>
                <w:sz w:val="18"/>
              </w:rPr>
              <w:t>45</w:t>
            </w:r>
          </w:p>
        </w:tc>
        <w:tc>
          <w:tcPr>
            <w:tcW w:w="1137" w:type="dxa"/>
            <w:tcBorders>
              <w:top w:val="single" w:sz="4" w:space="0" w:color="000000"/>
              <w:left w:val="dashed" w:sz="4" w:space="0" w:color="DADADA"/>
              <w:bottom w:val="single" w:sz="4" w:space="0" w:color="000000"/>
              <w:right w:val="dashed" w:sz="4" w:space="0" w:color="DADADA"/>
            </w:tcBorders>
          </w:tcPr>
          <w:p w14:paraId="0D28BC04" w14:textId="77777777" w:rsidR="00664A3F" w:rsidRDefault="00664A3F" w:rsidP="00B0263F">
            <w:pPr>
              <w:pStyle w:val="TableParagraph"/>
              <w:spacing w:before="33"/>
              <w:ind w:right="72"/>
              <w:rPr>
                <w:sz w:val="18"/>
              </w:rPr>
            </w:pPr>
            <w:r>
              <w:rPr>
                <w:sz w:val="18"/>
              </w:rPr>
              <w:t>16</w:t>
            </w:r>
          </w:p>
        </w:tc>
        <w:tc>
          <w:tcPr>
            <w:tcW w:w="1165" w:type="dxa"/>
            <w:tcBorders>
              <w:top w:val="single" w:sz="4" w:space="0" w:color="000000"/>
              <w:left w:val="dashed" w:sz="4" w:space="0" w:color="DADADA"/>
              <w:bottom w:val="single" w:sz="4" w:space="0" w:color="000000"/>
              <w:right w:val="dashed" w:sz="4" w:space="0" w:color="DADADA"/>
            </w:tcBorders>
          </w:tcPr>
          <w:p w14:paraId="6EC198ED" w14:textId="77777777" w:rsidR="00664A3F" w:rsidRDefault="00664A3F" w:rsidP="00B0263F">
            <w:pPr>
              <w:pStyle w:val="TableParagraph"/>
              <w:spacing w:before="33"/>
              <w:ind w:right="71"/>
              <w:rPr>
                <w:sz w:val="18"/>
              </w:rPr>
            </w:pPr>
            <w:r>
              <w:rPr>
                <w:sz w:val="18"/>
              </w:rPr>
              <w:t>24</w:t>
            </w:r>
          </w:p>
        </w:tc>
        <w:tc>
          <w:tcPr>
            <w:tcW w:w="1032" w:type="dxa"/>
            <w:tcBorders>
              <w:top w:val="single" w:sz="4" w:space="0" w:color="000000"/>
              <w:left w:val="dashed" w:sz="4" w:space="0" w:color="DADADA"/>
              <w:bottom w:val="single" w:sz="4" w:space="0" w:color="000000"/>
              <w:right w:val="nil"/>
            </w:tcBorders>
          </w:tcPr>
          <w:p w14:paraId="1414B423" w14:textId="77777777" w:rsidR="00664A3F" w:rsidRDefault="00664A3F" w:rsidP="00B0263F">
            <w:pPr>
              <w:pStyle w:val="TableParagraph"/>
              <w:spacing w:before="33"/>
              <w:ind w:right="76"/>
              <w:rPr>
                <w:sz w:val="18"/>
              </w:rPr>
            </w:pPr>
            <w:r>
              <w:rPr>
                <w:sz w:val="18"/>
              </w:rPr>
              <w:t>40</w:t>
            </w:r>
          </w:p>
        </w:tc>
      </w:tr>
      <w:tr w:rsidR="00664A3F" w14:paraId="55ECF950"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739EE7FD" w14:textId="77777777" w:rsidR="00664A3F" w:rsidRDefault="00664A3F" w:rsidP="00B0263F">
            <w:pPr>
              <w:pStyle w:val="TableParagraph"/>
              <w:spacing w:before="33"/>
              <w:ind w:left="79"/>
              <w:jc w:val="left"/>
              <w:rPr>
                <w:sz w:val="18"/>
              </w:rPr>
            </w:pPr>
            <w:r>
              <w:rPr>
                <w:sz w:val="18"/>
              </w:rPr>
              <w:t>1991-1992</w:t>
            </w:r>
          </w:p>
        </w:tc>
        <w:tc>
          <w:tcPr>
            <w:tcW w:w="1187" w:type="dxa"/>
            <w:tcBorders>
              <w:top w:val="single" w:sz="4" w:space="0" w:color="000000"/>
              <w:left w:val="single" w:sz="4" w:space="0" w:color="DADADA"/>
              <w:bottom w:val="single" w:sz="4" w:space="0" w:color="000000"/>
              <w:right w:val="dashed" w:sz="4" w:space="0" w:color="DADADA"/>
            </w:tcBorders>
          </w:tcPr>
          <w:p w14:paraId="3236BEEF" w14:textId="77777777" w:rsidR="00664A3F" w:rsidRDefault="00664A3F" w:rsidP="00B0263F">
            <w:pPr>
              <w:pStyle w:val="TableParagraph"/>
              <w:spacing w:before="33"/>
              <w:ind w:right="72"/>
              <w:rPr>
                <w:sz w:val="18"/>
              </w:rPr>
            </w:pPr>
            <w:r>
              <w:rPr>
                <w:sz w:val="18"/>
              </w:rPr>
              <w:t>90</w:t>
            </w:r>
          </w:p>
        </w:tc>
        <w:tc>
          <w:tcPr>
            <w:tcW w:w="1173" w:type="dxa"/>
            <w:tcBorders>
              <w:top w:val="single" w:sz="4" w:space="0" w:color="000000"/>
              <w:left w:val="dashed" w:sz="4" w:space="0" w:color="DADADA"/>
              <w:bottom w:val="single" w:sz="4" w:space="0" w:color="000000"/>
              <w:right w:val="dashed" w:sz="4" w:space="0" w:color="DADADA"/>
            </w:tcBorders>
          </w:tcPr>
          <w:p w14:paraId="7947B18F" w14:textId="77777777" w:rsidR="00664A3F" w:rsidRDefault="00664A3F" w:rsidP="00B0263F">
            <w:pPr>
              <w:pStyle w:val="TableParagraph"/>
              <w:spacing w:before="33"/>
              <w:ind w:right="72"/>
              <w:rPr>
                <w:sz w:val="18"/>
              </w:rPr>
            </w:pPr>
            <w:r>
              <w:rPr>
                <w:sz w:val="18"/>
              </w:rPr>
              <w:t>29</w:t>
            </w:r>
          </w:p>
        </w:tc>
        <w:tc>
          <w:tcPr>
            <w:tcW w:w="1141" w:type="dxa"/>
            <w:tcBorders>
              <w:top w:val="single" w:sz="4" w:space="0" w:color="000000"/>
              <w:left w:val="dashed" w:sz="4" w:space="0" w:color="DADADA"/>
              <w:bottom w:val="single" w:sz="4" w:space="0" w:color="000000"/>
              <w:right w:val="dashed" w:sz="4" w:space="0" w:color="DADADA"/>
            </w:tcBorders>
          </w:tcPr>
          <w:p w14:paraId="4E73B9E1" w14:textId="77777777" w:rsidR="00664A3F" w:rsidRDefault="00664A3F" w:rsidP="00B0263F">
            <w:pPr>
              <w:pStyle w:val="TableParagraph"/>
              <w:spacing w:before="33"/>
              <w:ind w:right="72"/>
              <w:rPr>
                <w:sz w:val="18"/>
              </w:rPr>
            </w:pPr>
            <w:r>
              <w:rPr>
                <w:sz w:val="18"/>
              </w:rPr>
              <w:t>119</w:t>
            </w:r>
          </w:p>
        </w:tc>
        <w:tc>
          <w:tcPr>
            <w:tcW w:w="1134" w:type="dxa"/>
            <w:tcBorders>
              <w:top w:val="single" w:sz="4" w:space="0" w:color="000000"/>
              <w:left w:val="dashed" w:sz="4" w:space="0" w:color="DADADA"/>
              <w:bottom w:val="single" w:sz="4" w:space="0" w:color="000000"/>
              <w:right w:val="dashed" w:sz="4" w:space="0" w:color="DADADA"/>
            </w:tcBorders>
          </w:tcPr>
          <w:p w14:paraId="48AEBB30" w14:textId="77777777" w:rsidR="00664A3F" w:rsidRDefault="00664A3F" w:rsidP="00B0263F">
            <w:pPr>
              <w:pStyle w:val="TableParagraph"/>
              <w:spacing w:before="33"/>
              <w:ind w:right="72"/>
              <w:rPr>
                <w:sz w:val="18"/>
              </w:rPr>
            </w:pPr>
            <w:r>
              <w:rPr>
                <w:sz w:val="18"/>
              </w:rPr>
              <w:t>23</w:t>
            </w:r>
          </w:p>
        </w:tc>
        <w:tc>
          <w:tcPr>
            <w:tcW w:w="1137" w:type="dxa"/>
            <w:tcBorders>
              <w:top w:val="single" w:sz="4" w:space="0" w:color="000000"/>
              <w:left w:val="dashed" w:sz="4" w:space="0" w:color="DADADA"/>
              <w:bottom w:val="single" w:sz="4" w:space="0" w:color="000000"/>
              <w:right w:val="dashed" w:sz="4" w:space="0" w:color="DADADA"/>
            </w:tcBorders>
          </w:tcPr>
          <w:p w14:paraId="72500118" w14:textId="77777777" w:rsidR="00664A3F" w:rsidRDefault="00664A3F" w:rsidP="00B0263F">
            <w:pPr>
              <w:pStyle w:val="TableParagraph"/>
              <w:spacing w:before="33"/>
              <w:ind w:right="72"/>
              <w:rPr>
                <w:sz w:val="18"/>
              </w:rPr>
            </w:pPr>
            <w:r>
              <w:rPr>
                <w:sz w:val="18"/>
              </w:rPr>
              <w:t>12</w:t>
            </w:r>
          </w:p>
        </w:tc>
        <w:tc>
          <w:tcPr>
            <w:tcW w:w="1165" w:type="dxa"/>
            <w:tcBorders>
              <w:top w:val="single" w:sz="4" w:space="0" w:color="000000"/>
              <w:left w:val="dashed" w:sz="4" w:space="0" w:color="DADADA"/>
              <w:bottom w:val="single" w:sz="4" w:space="0" w:color="000000"/>
              <w:right w:val="dashed" w:sz="4" w:space="0" w:color="DADADA"/>
            </w:tcBorders>
          </w:tcPr>
          <w:p w14:paraId="0246DBB3" w14:textId="77777777" w:rsidR="00664A3F" w:rsidRDefault="00664A3F" w:rsidP="00B0263F">
            <w:pPr>
              <w:pStyle w:val="TableParagraph"/>
              <w:spacing w:before="33"/>
              <w:ind w:right="71"/>
              <w:rPr>
                <w:sz w:val="18"/>
              </w:rPr>
            </w:pPr>
            <w:r>
              <w:rPr>
                <w:sz w:val="18"/>
              </w:rPr>
              <w:t>12</w:t>
            </w:r>
          </w:p>
        </w:tc>
        <w:tc>
          <w:tcPr>
            <w:tcW w:w="1032" w:type="dxa"/>
            <w:tcBorders>
              <w:top w:val="single" w:sz="4" w:space="0" w:color="000000"/>
              <w:left w:val="dashed" w:sz="4" w:space="0" w:color="DADADA"/>
              <w:bottom w:val="single" w:sz="4" w:space="0" w:color="000000"/>
              <w:right w:val="nil"/>
            </w:tcBorders>
          </w:tcPr>
          <w:p w14:paraId="73671DBE" w14:textId="77777777" w:rsidR="00664A3F" w:rsidRDefault="00664A3F" w:rsidP="00B0263F">
            <w:pPr>
              <w:pStyle w:val="TableParagraph"/>
              <w:spacing w:before="33"/>
              <w:ind w:right="76"/>
              <w:rPr>
                <w:sz w:val="18"/>
              </w:rPr>
            </w:pPr>
            <w:r>
              <w:rPr>
                <w:sz w:val="18"/>
              </w:rPr>
              <w:t>24</w:t>
            </w:r>
          </w:p>
        </w:tc>
      </w:tr>
      <w:tr w:rsidR="00664A3F" w14:paraId="24EDA856"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7F254335" w14:textId="77777777" w:rsidR="00664A3F" w:rsidRDefault="00664A3F" w:rsidP="00B0263F">
            <w:pPr>
              <w:pStyle w:val="TableParagraph"/>
              <w:spacing w:before="33"/>
              <w:ind w:left="79"/>
              <w:jc w:val="left"/>
              <w:rPr>
                <w:sz w:val="18"/>
              </w:rPr>
            </w:pPr>
            <w:r>
              <w:rPr>
                <w:sz w:val="18"/>
              </w:rPr>
              <w:t>1992-1993</w:t>
            </w:r>
          </w:p>
        </w:tc>
        <w:tc>
          <w:tcPr>
            <w:tcW w:w="1187" w:type="dxa"/>
            <w:tcBorders>
              <w:top w:val="single" w:sz="4" w:space="0" w:color="000000"/>
              <w:left w:val="single" w:sz="4" w:space="0" w:color="DADADA"/>
              <w:bottom w:val="single" w:sz="4" w:space="0" w:color="000000"/>
              <w:right w:val="dashed" w:sz="4" w:space="0" w:color="DADADA"/>
            </w:tcBorders>
          </w:tcPr>
          <w:p w14:paraId="53903D97" w14:textId="77777777" w:rsidR="00664A3F" w:rsidRDefault="00664A3F" w:rsidP="00B0263F">
            <w:pPr>
              <w:pStyle w:val="TableParagraph"/>
              <w:spacing w:before="33"/>
              <w:ind w:right="72"/>
              <w:rPr>
                <w:sz w:val="18"/>
              </w:rPr>
            </w:pPr>
            <w:r>
              <w:rPr>
                <w:sz w:val="18"/>
              </w:rPr>
              <w:t>141</w:t>
            </w:r>
          </w:p>
        </w:tc>
        <w:tc>
          <w:tcPr>
            <w:tcW w:w="1173" w:type="dxa"/>
            <w:tcBorders>
              <w:top w:val="single" w:sz="4" w:space="0" w:color="000000"/>
              <w:left w:val="dashed" w:sz="4" w:space="0" w:color="DADADA"/>
              <w:bottom w:val="single" w:sz="4" w:space="0" w:color="000000"/>
              <w:right w:val="dashed" w:sz="4" w:space="0" w:color="DADADA"/>
            </w:tcBorders>
          </w:tcPr>
          <w:p w14:paraId="5F97B514" w14:textId="77777777" w:rsidR="00664A3F" w:rsidRDefault="00664A3F" w:rsidP="00B0263F">
            <w:pPr>
              <w:pStyle w:val="TableParagraph"/>
              <w:spacing w:before="33"/>
              <w:ind w:right="72"/>
              <w:rPr>
                <w:sz w:val="18"/>
              </w:rPr>
            </w:pPr>
            <w:r>
              <w:rPr>
                <w:sz w:val="18"/>
              </w:rPr>
              <w:t>52</w:t>
            </w:r>
          </w:p>
        </w:tc>
        <w:tc>
          <w:tcPr>
            <w:tcW w:w="1141" w:type="dxa"/>
            <w:tcBorders>
              <w:top w:val="single" w:sz="4" w:space="0" w:color="000000"/>
              <w:left w:val="dashed" w:sz="4" w:space="0" w:color="DADADA"/>
              <w:bottom w:val="single" w:sz="4" w:space="0" w:color="000000"/>
              <w:right w:val="dashed" w:sz="4" w:space="0" w:color="DADADA"/>
            </w:tcBorders>
          </w:tcPr>
          <w:p w14:paraId="5A0A9755" w14:textId="77777777" w:rsidR="00664A3F" w:rsidRDefault="00664A3F" w:rsidP="00B0263F">
            <w:pPr>
              <w:pStyle w:val="TableParagraph"/>
              <w:spacing w:before="33"/>
              <w:ind w:right="72"/>
              <w:rPr>
                <w:sz w:val="18"/>
              </w:rPr>
            </w:pPr>
            <w:r>
              <w:rPr>
                <w:sz w:val="18"/>
              </w:rPr>
              <w:t>193</w:t>
            </w:r>
          </w:p>
        </w:tc>
        <w:tc>
          <w:tcPr>
            <w:tcW w:w="1134" w:type="dxa"/>
            <w:tcBorders>
              <w:top w:val="single" w:sz="4" w:space="0" w:color="000000"/>
              <w:left w:val="dashed" w:sz="4" w:space="0" w:color="DADADA"/>
              <w:bottom w:val="single" w:sz="4" w:space="0" w:color="000000"/>
              <w:right w:val="dashed" w:sz="4" w:space="0" w:color="DADADA"/>
            </w:tcBorders>
          </w:tcPr>
          <w:p w14:paraId="635C7443" w14:textId="77777777" w:rsidR="00664A3F" w:rsidRDefault="00664A3F" w:rsidP="00B0263F">
            <w:pPr>
              <w:pStyle w:val="TableParagraph"/>
              <w:spacing w:before="33"/>
              <w:ind w:right="72"/>
              <w:rPr>
                <w:sz w:val="18"/>
              </w:rPr>
            </w:pPr>
            <w:r>
              <w:rPr>
                <w:sz w:val="18"/>
              </w:rPr>
              <w:t>34</w:t>
            </w:r>
          </w:p>
        </w:tc>
        <w:tc>
          <w:tcPr>
            <w:tcW w:w="1137" w:type="dxa"/>
            <w:tcBorders>
              <w:top w:val="single" w:sz="4" w:space="0" w:color="000000"/>
              <w:left w:val="dashed" w:sz="4" w:space="0" w:color="DADADA"/>
              <w:bottom w:val="single" w:sz="4" w:space="0" w:color="000000"/>
              <w:right w:val="dashed" w:sz="4" w:space="0" w:color="DADADA"/>
            </w:tcBorders>
          </w:tcPr>
          <w:p w14:paraId="6CE52D1E" w14:textId="77777777" w:rsidR="00664A3F" w:rsidRDefault="00664A3F" w:rsidP="00B0263F">
            <w:pPr>
              <w:pStyle w:val="TableParagraph"/>
              <w:spacing w:before="33"/>
              <w:ind w:right="72"/>
              <w:rPr>
                <w:sz w:val="18"/>
              </w:rPr>
            </w:pPr>
            <w:r>
              <w:rPr>
                <w:sz w:val="18"/>
              </w:rPr>
              <w:t>18</w:t>
            </w:r>
          </w:p>
        </w:tc>
        <w:tc>
          <w:tcPr>
            <w:tcW w:w="1165" w:type="dxa"/>
            <w:tcBorders>
              <w:top w:val="single" w:sz="4" w:space="0" w:color="000000"/>
              <w:left w:val="dashed" w:sz="4" w:space="0" w:color="DADADA"/>
              <w:bottom w:val="single" w:sz="4" w:space="0" w:color="000000"/>
              <w:right w:val="dashed" w:sz="4" w:space="0" w:color="DADADA"/>
            </w:tcBorders>
          </w:tcPr>
          <w:p w14:paraId="2F00BEA0" w14:textId="77777777" w:rsidR="00664A3F" w:rsidRDefault="00664A3F" w:rsidP="00B0263F">
            <w:pPr>
              <w:pStyle w:val="TableParagraph"/>
              <w:spacing w:before="33"/>
              <w:ind w:right="71"/>
              <w:rPr>
                <w:sz w:val="18"/>
              </w:rPr>
            </w:pPr>
            <w:r>
              <w:rPr>
                <w:sz w:val="18"/>
              </w:rPr>
              <w:t>28</w:t>
            </w:r>
          </w:p>
        </w:tc>
        <w:tc>
          <w:tcPr>
            <w:tcW w:w="1032" w:type="dxa"/>
            <w:tcBorders>
              <w:top w:val="single" w:sz="4" w:space="0" w:color="000000"/>
              <w:left w:val="dashed" w:sz="4" w:space="0" w:color="DADADA"/>
              <w:bottom w:val="single" w:sz="4" w:space="0" w:color="000000"/>
              <w:right w:val="nil"/>
            </w:tcBorders>
          </w:tcPr>
          <w:p w14:paraId="4A9DDB2A" w14:textId="77777777" w:rsidR="00664A3F" w:rsidRDefault="00664A3F" w:rsidP="00B0263F">
            <w:pPr>
              <w:pStyle w:val="TableParagraph"/>
              <w:spacing w:before="33"/>
              <w:ind w:right="76"/>
              <w:rPr>
                <w:sz w:val="18"/>
              </w:rPr>
            </w:pPr>
            <w:r>
              <w:rPr>
                <w:sz w:val="18"/>
              </w:rPr>
              <w:t>46</w:t>
            </w:r>
          </w:p>
        </w:tc>
      </w:tr>
      <w:tr w:rsidR="00664A3F" w14:paraId="3C24B63E"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4C5FA90F" w14:textId="77777777" w:rsidR="00664A3F" w:rsidRDefault="00664A3F" w:rsidP="00B0263F">
            <w:pPr>
              <w:pStyle w:val="TableParagraph"/>
              <w:spacing w:before="33"/>
              <w:ind w:left="79"/>
              <w:jc w:val="left"/>
              <w:rPr>
                <w:sz w:val="18"/>
              </w:rPr>
            </w:pPr>
            <w:r>
              <w:rPr>
                <w:sz w:val="18"/>
              </w:rPr>
              <w:t>1993-1994</w:t>
            </w:r>
          </w:p>
        </w:tc>
        <w:tc>
          <w:tcPr>
            <w:tcW w:w="1187" w:type="dxa"/>
            <w:tcBorders>
              <w:top w:val="single" w:sz="4" w:space="0" w:color="000000"/>
              <w:left w:val="single" w:sz="4" w:space="0" w:color="DADADA"/>
              <w:bottom w:val="single" w:sz="4" w:space="0" w:color="000000"/>
              <w:right w:val="dashed" w:sz="4" w:space="0" w:color="DADADA"/>
            </w:tcBorders>
          </w:tcPr>
          <w:p w14:paraId="0CE578AC" w14:textId="77777777" w:rsidR="00664A3F" w:rsidRDefault="00664A3F" w:rsidP="00B0263F">
            <w:pPr>
              <w:pStyle w:val="TableParagraph"/>
              <w:spacing w:before="33"/>
              <w:ind w:right="72"/>
              <w:rPr>
                <w:sz w:val="18"/>
              </w:rPr>
            </w:pPr>
            <w:r>
              <w:rPr>
                <w:sz w:val="18"/>
              </w:rPr>
              <w:t>144</w:t>
            </w:r>
          </w:p>
        </w:tc>
        <w:tc>
          <w:tcPr>
            <w:tcW w:w="1173" w:type="dxa"/>
            <w:tcBorders>
              <w:top w:val="single" w:sz="4" w:space="0" w:color="000000"/>
              <w:left w:val="dashed" w:sz="4" w:space="0" w:color="DADADA"/>
              <w:bottom w:val="single" w:sz="4" w:space="0" w:color="000000"/>
              <w:right w:val="dashed" w:sz="4" w:space="0" w:color="DADADA"/>
            </w:tcBorders>
          </w:tcPr>
          <w:p w14:paraId="5A531841" w14:textId="77777777" w:rsidR="00664A3F" w:rsidRDefault="00664A3F" w:rsidP="00B0263F">
            <w:pPr>
              <w:pStyle w:val="TableParagraph"/>
              <w:spacing w:before="33"/>
              <w:ind w:right="72"/>
              <w:rPr>
                <w:sz w:val="18"/>
              </w:rPr>
            </w:pPr>
            <w:r>
              <w:rPr>
                <w:sz w:val="18"/>
              </w:rPr>
              <w:t>48</w:t>
            </w:r>
          </w:p>
        </w:tc>
        <w:tc>
          <w:tcPr>
            <w:tcW w:w="1141" w:type="dxa"/>
            <w:tcBorders>
              <w:top w:val="single" w:sz="4" w:space="0" w:color="000000"/>
              <w:left w:val="dashed" w:sz="4" w:space="0" w:color="DADADA"/>
              <w:bottom w:val="single" w:sz="4" w:space="0" w:color="000000"/>
              <w:right w:val="dashed" w:sz="4" w:space="0" w:color="DADADA"/>
            </w:tcBorders>
          </w:tcPr>
          <w:p w14:paraId="40D6512D" w14:textId="77777777" w:rsidR="00664A3F" w:rsidRDefault="00664A3F" w:rsidP="00B0263F">
            <w:pPr>
              <w:pStyle w:val="TableParagraph"/>
              <w:spacing w:before="33"/>
              <w:ind w:right="72"/>
              <w:rPr>
                <w:sz w:val="18"/>
              </w:rPr>
            </w:pPr>
            <w:r>
              <w:rPr>
                <w:sz w:val="18"/>
              </w:rPr>
              <w:t>192</w:t>
            </w:r>
          </w:p>
        </w:tc>
        <w:tc>
          <w:tcPr>
            <w:tcW w:w="1134" w:type="dxa"/>
            <w:tcBorders>
              <w:top w:val="single" w:sz="4" w:space="0" w:color="000000"/>
              <w:left w:val="dashed" w:sz="4" w:space="0" w:color="DADADA"/>
              <w:bottom w:val="single" w:sz="4" w:space="0" w:color="000000"/>
              <w:right w:val="dashed" w:sz="4" w:space="0" w:color="DADADA"/>
            </w:tcBorders>
          </w:tcPr>
          <w:p w14:paraId="78F503D6" w14:textId="77777777" w:rsidR="00664A3F" w:rsidRDefault="00664A3F" w:rsidP="00B0263F">
            <w:pPr>
              <w:pStyle w:val="TableParagraph"/>
              <w:spacing w:before="33"/>
              <w:ind w:right="72"/>
              <w:rPr>
                <w:sz w:val="18"/>
              </w:rPr>
            </w:pPr>
            <w:r>
              <w:rPr>
                <w:sz w:val="18"/>
              </w:rPr>
              <w:t>53</w:t>
            </w:r>
          </w:p>
        </w:tc>
        <w:tc>
          <w:tcPr>
            <w:tcW w:w="1137" w:type="dxa"/>
            <w:tcBorders>
              <w:top w:val="single" w:sz="4" w:space="0" w:color="000000"/>
              <w:left w:val="dashed" w:sz="4" w:space="0" w:color="DADADA"/>
              <w:bottom w:val="single" w:sz="4" w:space="0" w:color="000000"/>
              <w:right w:val="dashed" w:sz="4" w:space="0" w:color="DADADA"/>
            </w:tcBorders>
          </w:tcPr>
          <w:p w14:paraId="6AA1166F" w14:textId="77777777" w:rsidR="00664A3F" w:rsidRDefault="00664A3F" w:rsidP="00B0263F">
            <w:pPr>
              <w:pStyle w:val="TableParagraph"/>
              <w:spacing w:before="33"/>
              <w:ind w:right="72"/>
              <w:rPr>
                <w:sz w:val="18"/>
              </w:rPr>
            </w:pPr>
            <w:r>
              <w:rPr>
                <w:sz w:val="18"/>
              </w:rPr>
              <w:t>3</w:t>
            </w:r>
          </w:p>
        </w:tc>
        <w:tc>
          <w:tcPr>
            <w:tcW w:w="1165" w:type="dxa"/>
            <w:tcBorders>
              <w:top w:val="single" w:sz="4" w:space="0" w:color="000000"/>
              <w:left w:val="dashed" w:sz="4" w:space="0" w:color="DADADA"/>
              <w:bottom w:val="single" w:sz="4" w:space="0" w:color="000000"/>
              <w:right w:val="dashed" w:sz="4" w:space="0" w:color="DADADA"/>
            </w:tcBorders>
          </w:tcPr>
          <w:p w14:paraId="40E69D88" w14:textId="77777777" w:rsidR="00664A3F" w:rsidRDefault="00664A3F" w:rsidP="00B0263F">
            <w:pPr>
              <w:pStyle w:val="TableParagraph"/>
              <w:spacing w:before="33"/>
              <w:ind w:right="71"/>
              <w:rPr>
                <w:sz w:val="18"/>
              </w:rPr>
            </w:pPr>
            <w:r>
              <w:rPr>
                <w:sz w:val="18"/>
              </w:rPr>
              <w:t>31</w:t>
            </w:r>
          </w:p>
        </w:tc>
        <w:tc>
          <w:tcPr>
            <w:tcW w:w="1032" w:type="dxa"/>
            <w:tcBorders>
              <w:top w:val="single" w:sz="4" w:space="0" w:color="000000"/>
              <w:left w:val="dashed" w:sz="4" w:space="0" w:color="DADADA"/>
              <w:bottom w:val="single" w:sz="4" w:space="0" w:color="000000"/>
              <w:right w:val="nil"/>
            </w:tcBorders>
          </w:tcPr>
          <w:p w14:paraId="6A3631E3" w14:textId="77777777" w:rsidR="00664A3F" w:rsidRDefault="00664A3F" w:rsidP="00B0263F">
            <w:pPr>
              <w:pStyle w:val="TableParagraph"/>
              <w:spacing w:before="33"/>
              <w:ind w:right="76"/>
              <w:rPr>
                <w:sz w:val="18"/>
              </w:rPr>
            </w:pPr>
            <w:r>
              <w:rPr>
                <w:sz w:val="18"/>
              </w:rPr>
              <w:t>34</w:t>
            </w:r>
          </w:p>
        </w:tc>
      </w:tr>
      <w:tr w:rsidR="00664A3F" w14:paraId="7BAA2351"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67704E20" w14:textId="77777777" w:rsidR="00664A3F" w:rsidRDefault="00664A3F" w:rsidP="00B0263F">
            <w:pPr>
              <w:pStyle w:val="TableParagraph"/>
              <w:spacing w:before="33"/>
              <w:ind w:left="79"/>
              <w:jc w:val="left"/>
              <w:rPr>
                <w:sz w:val="18"/>
              </w:rPr>
            </w:pPr>
            <w:r>
              <w:rPr>
                <w:sz w:val="18"/>
              </w:rPr>
              <w:t>1994-1995</w:t>
            </w:r>
          </w:p>
        </w:tc>
        <w:tc>
          <w:tcPr>
            <w:tcW w:w="1187" w:type="dxa"/>
            <w:tcBorders>
              <w:top w:val="single" w:sz="4" w:space="0" w:color="000000"/>
              <w:left w:val="single" w:sz="4" w:space="0" w:color="DADADA"/>
              <w:bottom w:val="single" w:sz="4" w:space="0" w:color="000000"/>
              <w:right w:val="dashed" w:sz="4" w:space="0" w:color="DADADA"/>
            </w:tcBorders>
          </w:tcPr>
          <w:p w14:paraId="5A720727" w14:textId="77777777" w:rsidR="00664A3F" w:rsidRDefault="00664A3F" w:rsidP="00B0263F">
            <w:pPr>
              <w:pStyle w:val="TableParagraph"/>
              <w:spacing w:before="33"/>
              <w:ind w:right="72"/>
              <w:rPr>
                <w:sz w:val="18"/>
              </w:rPr>
            </w:pPr>
            <w:r>
              <w:rPr>
                <w:sz w:val="18"/>
              </w:rPr>
              <w:t>126</w:t>
            </w:r>
          </w:p>
        </w:tc>
        <w:tc>
          <w:tcPr>
            <w:tcW w:w="1173" w:type="dxa"/>
            <w:tcBorders>
              <w:top w:val="single" w:sz="4" w:space="0" w:color="000000"/>
              <w:left w:val="dashed" w:sz="4" w:space="0" w:color="DADADA"/>
              <w:bottom w:val="single" w:sz="4" w:space="0" w:color="000000"/>
              <w:right w:val="dashed" w:sz="4" w:space="0" w:color="DADADA"/>
            </w:tcBorders>
          </w:tcPr>
          <w:p w14:paraId="638941BA" w14:textId="77777777" w:rsidR="00664A3F" w:rsidRDefault="00664A3F" w:rsidP="00B0263F">
            <w:pPr>
              <w:pStyle w:val="TableParagraph"/>
              <w:spacing w:before="33"/>
              <w:ind w:right="72"/>
              <w:rPr>
                <w:sz w:val="18"/>
              </w:rPr>
            </w:pPr>
            <w:r>
              <w:rPr>
                <w:sz w:val="18"/>
              </w:rPr>
              <w:t>37</w:t>
            </w:r>
          </w:p>
        </w:tc>
        <w:tc>
          <w:tcPr>
            <w:tcW w:w="1141" w:type="dxa"/>
            <w:tcBorders>
              <w:top w:val="single" w:sz="4" w:space="0" w:color="000000"/>
              <w:left w:val="dashed" w:sz="4" w:space="0" w:color="DADADA"/>
              <w:bottom w:val="single" w:sz="4" w:space="0" w:color="000000"/>
              <w:right w:val="dashed" w:sz="4" w:space="0" w:color="DADADA"/>
            </w:tcBorders>
          </w:tcPr>
          <w:p w14:paraId="23AB5F41" w14:textId="77777777" w:rsidR="00664A3F" w:rsidRDefault="00664A3F" w:rsidP="00B0263F">
            <w:pPr>
              <w:pStyle w:val="TableParagraph"/>
              <w:spacing w:before="33"/>
              <w:ind w:right="72"/>
              <w:rPr>
                <w:sz w:val="18"/>
              </w:rPr>
            </w:pPr>
            <w:r>
              <w:rPr>
                <w:sz w:val="18"/>
              </w:rPr>
              <w:t>163</w:t>
            </w:r>
          </w:p>
        </w:tc>
        <w:tc>
          <w:tcPr>
            <w:tcW w:w="1134" w:type="dxa"/>
            <w:tcBorders>
              <w:top w:val="single" w:sz="4" w:space="0" w:color="000000"/>
              <w:left w:val="dashed" w:sz="4" w:space="0" w:color="DADADA"/>
              <w:bottom w:val="single" w:sz="4" w:space="0" w:color="000000"/>
              <w:right w:val="dashed" w:sz="4" w:space="0" w:color="DADADA"/>
            </w:tcBorders>
          </w:tcPr>
          <w:p w14:paraId="0071FC8F" w14:textId="77777777" w:rsidR="00664A3F" w:rsidRDefault="00664A3F" w:rsidP="00B0263F">
            <w:pPr>
              <w:pStyle w:val="TableParagraph"/>
              <w:spacing w:before="33"/>
              <w:ind w:right="72"/>
              <w:rPr>
                <w:sz w:val="18"/>
              </w:rPr>
            </w:pPr>
            <w:r>
              <w:rPr>
                <w:sz w:val="18"/>
              </w:rPr>
              <w:t>36</w:t>
            </w:r>
          </w:p>
        </w:tc>
        <w:tc>
          <w:tcPr>
            <w:tcW w:w="1137" w:type="dxa"/>
            <w:tcBorders>
              <w:top w:val="single" w:sz="4" w:space="0" w:color="000000"/>
              <w:left w:val="dashed" w:sz="4" w:space="0" w:color="DADADA"/>
              <w:bottom w:val="single" w:sz="4" w:space="0" w:color="000000"/>
              <w:right w:val="dashed" w:sz="4" w:space="0" w:color="DADADA"/>
            </w:tcBorders>
          </w:tcPr>
          <w:p w14:paraId="2FF2B96A" w14:textId="77777777" w:rsidR="00664A3F" w:rsidRDefault="00664A3F" w:rsidP="00B0263F">
            <w:pPr>
              <w:pStyle w:val="TableParagraph"/>
              <w:spacing w:before="33"/>
              <w:ind w:right="72"/>
              <w:rPr>
                <w:sz w:val="18"/>
              </w:rPr>
            </w:pPr>
            <w:r>
              <w:rPr>
                <w:sz w:val="18"/>
              </w:rPr>
              <w:t>16</w:t>
            </w:r>
          </w:p>
        </w:tc>
        <w:tc>
          <w:tcPr>
            <w:tcW w:w="1165" w:type="dxa"/>
            <w:tcBorders>
              <w:top w:val="single" w:sz="4" w:space="0" w:color="000000"/>
              <w:left w:val="dashed" w:sz="4" w:space="0" w:color="DADADA"/>
              <w:bottom w:val="single" w:sz="4" w:space="0" w:color="000000"/>
              <w:right w:val="dashed" w:sz="4" w:space="0" w:color="DADADA"/>
            </w:tcBorders>
          </w:tcPr>
          <w:p w14:paraId="0DBFEB95" w14:textId="77777777" w:rsidR="00664A3F" w:rsidRDefault="00664A3F" w:rsidP="00B0263F">
            <w:pPr>
              <w:pStyle w:val="TableParagraph"/>
              <w:spacing w:before="33"/>
              <w:ind w:right="71"/>
              <w:rPr>
                <w:sz w:val="18"/>
              </w:rPr>
            </w:pPr>
            <w:r>
              <w:rPr>
                <w:sz w:val="18"/>
              </w:rPr>
              <w:t>18</w:t>
            </w:r>
          </w:p>
        </w:tc>
        <w:tc>
          <w:tcPr>
            <w:tcW w:w="1032" w:type="dxa"/>
            <w:tcBorders>
              <w:top w:val="single" w:sz="4" w:space="0" w:color="000000"/>
              <w:left w:val="dashed" w:sz="4" w:space="0" w:color="DADADA"/>
              <w:bottom w:val="single" w:sz="4" w:space="0" w:color="000000"/>
              <w:right w:val="nil"/>
            </w:tcBorders>
          </w:tcPr>
          <w:p w14:paraId="16BD6A77" w14:textId="77777777" w:rsidR="00664A3F" w:rsidRDefault="00664A3F" w:rsidP="00B0263F">
            <w:pPr>
              <w:pStyle w:val="TableParagraph"/>
              <w:spacing w:before="33"/>
              <w:ind w:right="76"/>
              <w:rPr>
                <w:sz w:val="18"/>
              </w:rPr>
            </w:pPr>
            <w:r>
              <w:rPr>
                <w:sz w:val="18"/>
              </w:rPr>
              <w:t>34</w:t>
            </w:r>
          </w:p>
        </w:tc>
      </w:tr>
      <w:tr w:rsidR="00664A3F" w14:paraId="55F7F26C"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4919D8F1" w14:textId="77777777" w:rsidR="00664A3F" w:rsidRDefault="00664A3F" w:rsidP="00B0263F">
            <w:pPr>
              <w:pStyle w:val="TableParagraph"/>
              <w:spacing w:before="33"/>
              <w:ind w:left="79"/>
              <w:jc w:val="left"/>
              <w:rPr>
                <w:sz w:val="18"/>
              </w:rPr>
            </w:pPr>
            <w:r>
              <w:rPr>
                <w:sz w:val="18"/>
              </w:rPr>
              <w:t>1995-1996</w:t>
            </w:r>
          </w:p>
        </w:tc>
        <w:tc>
          <w:tcPr>
            <w:tcW w:w="1187" w:type="dxa"/>
            <w:tcBorders>
              <w:top w:val="single" w:sz="4" w:space="0" w:color="000000"/>
              <w:left w:val="single" w:sz="4" w:space="0" w:color="DADADA"/>
              <w:bottom w:val="single" w:sz="4" w:space="0" w:color="000000"/>
              <w:right w:val="dashed" w:sz="4" w:space="0" w:color="DADADA"/>
            </w:tcBorders>
          </w:tcPr>
          <w:p w14:paraId="7FA4772E" w14:textId="77777777" w:rsidR="00664A3F" w:rsidRDefault="00664A3F" w:rsidP="00B0263F">
            <w:pPr>
              <w:pStyle w:val="TableParagraph"/>
              <w:spacing w:before="33"/>
              <w:ind w:right="72"/>
              <w:rPr>
                <w:sz w:val="18"/>
              </w:rPr>
            </w:pPr>
            <w:r>
              <w:rPr>
                <w:sz w:val="18"/>
              </w:rPr>
              <w:t>113</w:t>
            </w:r>
          </w:p>
        </w:tc>
        <w:tc>
          <w:tcPr>
            <w:tcW w:w="1173" w:type="dxa"/>
            <w:tcBorders>
              <w:top w:val="single" w:sz="4" w:space="0" w:color="000000"/>
              <w:left w:val="dashed" w:sz="4" w:space="0" w:color="DADADA"/>
              <w:bottom w:val="single" w:sz="4" w:space="0" w:color="000000"/>
              <w:right w:val="dashed" w:sz="4" w:space="0" w:color="DADADA"/>
            </w:tcBorders>
          </w:tcPr>
          <w:p w14:paraId="637D138C" w14:textId="77777777" w:rsidR="00664A3F" w:rsidRDefault="00664A3F" w:rsidP="00B0263F">
            <w:pPr>
              <w:pStyle w:val="TableParagraph"/>
              <w:spacing w:before="33"/>
              <w:ind w:right="72"/>
              <w:rPr>
                <w:sz w:val="18"/>
              </w:rPr>
            </w:pPr>
            <w:r>
              <w:rPr>
                <w:sz w:val="18"/>
              </w:rPr>
              <w:t>48</w:t>
            </w:r>
          </w:p>
        </w:tc>
        <w:tc>
          <w:tcPr>
            <w:tcW w:w="1141" w:type="dxa"/>
            <w:tcBorders>
              <w:top w:val="single" w:sz="4" w:space="0" w:color="000000"/>
              <w:left w:val="dashed" w:sz="4" w:space="0" w:color="DADADA"/>
              <w:bottom w:val="single" w:sz="4" w:space="0" w:color="000000"/>
              <w:right w:val="dashed" w:sz="4" w:space="0" w:color="DADADA"/>
            </w:tcBorders>
          </w:tcPr>
          <w:p w14:paraId="5063DB2B" w14:textId="77777777" w:rsidR="00664A3F" w:rsidRDefault="00664A3F" w:rsidP="00B0263F">
            <w:pPr>
              <w:pStyle w:val="TableParagraph"/>
              <w:spacing w:before="33"/>
              <w:ind w:right="72"/>
              <w:rPr>
                <w:sz w:val="18"/>
              </w:rPr>
            </w:pPr>
            <w:r>
              <w:rPr>
                <w:sz w:val="18"/>
              </w:rPr>
              <w:t>161</w:t>
            </w:r>
          </w:p>
        </w:tc>
        <w:tc>
          <w:tcPr>
            <w:tcW w:w="1134" w:type="dxa"/>
            <w:tcBorders>
              <w:top w:val="single" w:sz="4" w:space="0" w:color="000000"/>
              <w:left w:val="dashed" w:sz="4" w:space="0" w:color="DADADA"/>
              <w:bottom w:val="single" w:sz="4" w:space="0" w:color="000000"/>
              <w:right w:val="dashed" w:sz="4" w:space="0" w:color="DADADA"/>
            </w:tcBorders>
          </w:tcPr>
          <w:p w14:paraId="21DBDD62" w14:textId="77777777" w:rsidR="00664A3F" w:rsidRDefault="00664A3F" w:rsidP="00B0263F">
            <w:pPr>
              <w:pStyle w:val="TableParagraph"/>
              <w:spacing w:before="33"/>
              <w:ind w:right="72"/>
              <w:rPr>
                <w:sz w:val="18"/>
              </w:rPr>
            </w:pPr>
            <w:r>
              <w:rPr>
                <w:sz w:val="18"/>
              </w:rPr>
              <w:t>61</w:t>
            </w:r>
          </w:p>
        </w:tc>
        <w:tc>
          <w:tcPr>
            <w:tcW w:w="1137" w:type="dxa"/>
            <w:tcBorders>
              <w:top w:val="single" w:sz="4" w:space="0" w:color="000000"/>
              <w:left w:val="dashed" w:sz="4" w:space="0" w:color="DADADA"/>
              <w:bottom w:val="single" w:sz="4" w:space="0" w:color="000000"/>
              <w:right w:val="dashed" w:sz="4" w:space="0" w:color="DADADA"/>
            </w:tcBorders>
          </w:tcPr>
          <w:p w14:paraId="0AC8CD80" w14:textId="77777777" w:rsidR="00664A3F" w:rsidRDefault="00664A3F" w:rsidP="00B0263F">
            <w:pPr>
              <w:pStyle w:val="TableParagraph"/>
              <w:spacing w:before="33"/>
              <w:ind w:right="72"/>
              <w:rPr>
                <w:sz w:val="18"/>
              </w:rPr>
            </w:pPr>
            <w:r>
              <w:rPr>
                <w:sz w:val="18"/>
              </w:rPr>
              <w:t>12</w:t>
            </w:r>
          </w:p>
        </w:tc>
        <w:tc>
          <w:tcPr>
            <w:tcW w:w="1165" w:type="dxa"/>
            <w:tcBorders>
              <w:top w:val="single" w:sz="4" w:space="0" w:color="000000"/>
              <w:left w:val="dashed" w:sz="4" w:space="0" w:color="DADADA"/>
              <w:bottom w:val="single" w:sz="4" w:space="0" w:color="000000"/>
              <w:right w:val="dashed" w:sz="4" w:space="0" w:color="DADADA"/>
            </w:tcBorders>
          </w:tcPr>
          <w:p w14:paraId="54805342" w14:textId="77777777" w:rsidR="00664A3F" w:rsidRDefault="00664A3F" w:rsidP="00B0263F">
            <w:pPr>
              <w:pStyle w:val="TableParagraph"/>
              <w:spacing w:before="33"/>
              <w:ind w:right="71"/>
              <w:rPr>
                <w:sz w:val="18"/>
              </w:rPr>
            </w:pPr>
            <w:r>
              <w:rPr>
                <w:sz w:val="18"/>
              </w:rPr>
              <w:t>25</w:t>
            </w:r>
          </w:p>
        </w:tc>
        <w:tc>
          <w:tcPr>
            <w:tcW w:w="1032" w:type="dxa"/>
            <w:tcBorders>
              <w:top w:val="single" w:sz="4" w:space="0" w:color="000000"/>
              <w:left w:val="dashed" w:sz="4" w:space="0" w:color="DADADA"/>
              <w:bottom w:val="single" w:sz="4" w:space="0" w:color="000000"/>
              <w:right w:val="nil"/>
            </w:tcBorders>
          </w:tcPr>
          <w:p w14:paraId="5A06E7D0" w14:textId="77777777" w:rsidR="00664A3F" w:rsidRDefault="00664A3F" w:rsidP="00B0263F">
            <w:pPr>
              <w:pStyle w:val="TableParagraph"/>
              <w:spacing w:before="33"/>
              <w:ind w:right="76"/>
              <w:rPr>
                <w:sz w:val="18"/>
              </w:rPr>
            </w:pPr>
            <w:r>
              <w:rPr>
                <w:sz w:val="18"/>
              </w:rPr>
              <w:t>37</w:t>
            </w:r>
          </w:p>
        </w:tc>
      </w:tr>
      <w:tr w:rsidR="00664A3F" w14:paraId="37CA4FAD"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241C0D9A" w14:textId="77777777" w:rsidR="00664A3F" w:rsidRDefault="00664A3F" w:rsidP="00B0263F">
            <w:pPr>
              <w:pStyle w:val="TableParagraph"/>
              <w:spacing w:before="33"/>
              <w:ind w:left="79"/>
              <w:jc w:val="left"/>
              <w:rPr>
                <w:sz w:val="18"/>
              </w:rPr>
            </w:pPr>
            <w:r>
              <w:rPr>
                <w:sz w:val="18"/>
              </w:rPr>
              <w:t>1996-1997</w:t>
            </w:r>
          </w:p>
        </w:tc>
        <w:tc>
          <w:tcPr>
            <w:tcW w:w="1187" w:type="dxa"/>
            <w:tcBorders>
              <w:top w:val="single" w:sz="4" w:space="0" w:color="000000"/>
              <w:left w:val="single" w:sz="4" w:space="0" w:color="DADADA"/>
              <w:bottom w:val="single" w:sz="4" w:space="0" w:color="000000"/>
              <w:right w:val="dashed" w:sz="4" w:space="0" w:color="DADADA"/>
            </w:tcBorders>
          </w:tcPr>
          <w:p w14:paraId="634283CA" w14:textId="77777777" w:rsidR="00664A3F" w:rsidRDefault="00664A3F" w:rsidP="00B0263F">
            <w:pPr>
              <w:pStyle w:val="TableParagraph"/>
              <w:spacing w:before="33"/>
              <w:ind w:right="72"/>
              <w:rPr>
                <w:sz w:val="18"/>
              </w:rPr>
            </w:pPr>
            <w:r>
              <w:rPr>
                <w:sz w:val="18"/>
              </w:rPr>
              <w:t>129</w:t>
            </w:r>
          </w:p>
        </w:tc>
        <w:tc>
          <w:tcPr>
            <w:tcW w:w="1173" w:type="dxa"/>
            <w:tcBorders>
              <w:top w:val="single" w:sz="4" w:space="0" w:color="000000"/>
              <w:left w:val="dashed" w:sz="4" w:space="0" w:color="DADADA"/>
              <w:bottom w:val="single" w:sz="4" w:space="0" w:color="000000"/>
              <w:right w:val="dashed" w:sz="4" w:space="0" w:color="DADADA"/>
            </w:tcBorders>
          </w:tcPr>
          <w:p w14:paraId="09C6DB17" w14:textId="77777777" w:rsidR="00664A3F" w:rsidRDefault="00664A3F" w:rsidP="00B0263F">
            <w:pPr>
              <w:pStyle w:val="TableParagraph"/>
              <w:spacing w:before="33"/>
              <w:ind w:right="72"/>
              <w:rPr>
                <w:sz w:val="18"/>
              </w:rPr>
            </w:pPr>
            <w:r>
              <w:rPr>
                <w:sz w:val="18"/>
              </w:rPr>
              <w:t>40</w:t>
            </w:r>
          </w:p>
        </w:tc>
        <w:tc>
          <w:tcPr>
            <w:tcW w:w="1141" w:type="dxa"/>
            <w:tcBorders>
              <w:top w:val="single" w:sz="4" w:space="0" w:color="000000"/>
              <w:left w:val="dashed" w:sz="4" w:space="0" w:color="DADADA"/>
              <w:bottom w:val="single" w:sz="4" w:space="0" w:color="000000"/>
              <w:right w:val="dashed" w:sz="4" w:space="0" w:color="DADADA"/>
            </w:tcBorders>
          </w:tcPr>
          <w:p w14:paraId="2CCFBAC1" w14:textId="77777777" w:rsidR="00664A3F" w:rsidRDefault="00664A3F" w:rsidP="00B0263F">
            <w:pPr>
              <w:pStyle w:val="TableParagraph"/>
              <w:spacing w:before="33"/>
              <w:ind w:right="72"/>
              <w:rPr>
                <w:sz w:val="18"/>
              </w:rPr>
            </w:pPr>
            <w:r>
              <w:rPr>
                <w:sz w:val="18"/>
              </w:rPr>
              <w:t>169</w:t>
            </w:r>
          </w:p>
        </w:tc>
        <w:tc>
          <w:tcPr>
            <w:tcW w:w="1134" w:type="dxa"/>
            <w:tcBorders>
              <w:top w:val="single" w:sz="4" w:space="0" w:color="000000"/>
              <w:left w:val="dashed" w:sz="4" w:space="0" w:color="DADADA"/>
              <w:bottom w:val="single" w:sz="4" w:space="0" w:color="000000"/>
              <w:right w:val="dashed" w:sz="4" w:space="0" w:color="DADADA"/>
            </w:tcBorders>
          </w:tcPr>
          <w:p w14:paraId="383C36D6" w14:textId="77777777" w:rsidR="00664A3F" w:rsidRDefault="00664A3F" w:rsidP="00B0263F">
            <w:pPr>
              <w:pStyle w:val="TableParagraph"/>
              <w:spacing w:before="33"/>
              <w:ind w:right="72"/>
              <w:rPr>
                <w:sz w:val="18"/>
              </w:rPr>
            </w:pPr>
            <w:r>
              <w:rPr>
                <w:sz w:val="18"/>
              </w:rPr>
              <w:t>59</w:t>
            </w:r>
          </w:p>
        </w:tc>
        <w:tc>
          <w:tcPr>
            <w:tcW w:w="1137" w:type="dxa"/>
            <w:tcBorders>
              <w:top w:val="single" w:sz="4" w:space="0" w:color="000000"/>
              <w:left w:val="dashed" w:sz="4" w:space="0" w:color="DADADA"/>
              <w:bottom w:val="single" w:sz="4" w:space="0" w:color="000000"/>
              <w:right w:val="dashed" w:sz="4" w:space="0" w:color="DADADA"/>
            </w:tcBorders>
          </w:tcPr>
          <w:p w14:paraId="79107679" w14:textId="77777777" w:rsidR="00664A3F" w:rsidRDefault="00664A3F" w:rsidP="00B0263F">
            <w:pPr>
              <w:pStyle w:val="TableParagraph"/>
              <w:spacing w:before="33"/>
              <w:ind w:right="72"/>
              <w:rPr>
                <w:sz w:val="18"/>
              </w:rPr>
            </w:pPr>
            <w:r>
              <w:rPr>
                <w:sz w:val="18"/>
              </w:rPr>
              <w:t>11</w:t>
            </w:r>
          </w:p>
        </w:tc>
        <w:tc>
          <w:tcPr>
            <w:tcW w:w="1165" w:type="dxa"/>
            <w:tcBorders>
              <w:top w:val="single" w:sz="4" w:space="0" w:color="000000"/>
              <w:left w:val="dashed" w:sz="4" w:space="0" w:color="DADADA"/>
              <w:bottom w:val="single" w:sz="4" w:space="0" w:color="000000"/>
              <w:right w:val="dashed" w:sz="4" w:space="0" w:color="DADADA"/>
            </w:tcBorders>
          </w:tcPr>
          <w:p w14:paraId="079DEBC8" w14:textId="77777777" w:rsidR="00664A3F" w:rsidRDefault="00664A3F" w:rsidP="00B0263F">
            <w:pPr>
              <w:pStyle w:val="TableParagraph"/>
              <w:spacing w:before="33"/>
              <w:ind w:right="71"/>
              <w:rPr>
                <w:sz w:val="18"/>
              </w:rPr>
            </w:pPr>
            <w:r>
              <w:rPr>
                <w:sz w:val="18"/>
              </w:rPr>
              <w:t>21</w:t>
            </w:r>
          </w:p>
        </w:tc>
        <w:tc>
          <w:tcPr>
            <w:tcW w:w="1032" w:type="dxa"/>
            <w:tcBorders>
              <w:top w:val="single" w:sz="4" w:space="0" w:color="000000"/>
              <w:left w:val="dashed" w:sz="4" w:space="0" w:color="DADADA"/>
              <w:bottom w:val="single" w:sz="4" w:space="0" w:color="000000"/>
              <w:right w:val="nil"/>
            </w:tcBorders>
          </w:tcPr>
          <w:p w14:paraId="506B19D1" w14:textId="77777777" w:rsidR="00664A3F" w:rsidRDefault="00664A3F" w:rsidP="00B0263F">
            <w:pPr>
              <w:pStyle w:val="TableParagraph"/>
              <w:spacing w:before="33"/>
              <w:ind w:right="76"/>
              <w:rPr>
                <w:sz w:val="18"/>
              </w:rPr>
            </w:pPr>
            <w:r>
              <w:rPr>
                <w:sz w:val="18"/>
              </w:rPr>
              <w:t>32</w:t>
            </w:r>
          </w:p>
        </w:tc>
      </w:tr>
      <w:tr w:rsidR="00664A3F" w14:paraId="619F26EE"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675F7723" w14:textId="77777777" w:rsidR="00664A3F" w:rsidRDefault="00664A3F" w:rsidP="00B0263F">
            <w:pPr>
              <w:pStyle w:val="TableParagraph"/>
              <w:spacing w:before="33"/>
              <w:ind w:left="79"/>
              <w:jc w:val="left"/>
              <w:rPr>
                <w:sz w:val="18"/>
              </w:rPr>
            </w:pPr>
            <w:r>
              <w:rPr>
                <w:sz w:val="18"/>
              </w:rPr>
              <w:t>1997-1998</w:t>
            </w:r>
          </w:p>
        </w:tc>
        <w:tc>
          <w:tcPr>
            <w:tcW w:w="1187" w:type="dxa"/>
            <w:tcBorders>
              <w:top w:val="single" w:sz="4" w:space="0" w:color="000000"/>
              <w:left w:val="single" w:sz="4" w:space="0" w:color="DADADA"/>
              <w:bottom w:val="single" w:sz="4" w:space="0" w:color="000000"/>
              <w:right w:val="dashed" w:sz="4" w:space="0" w:color="DADADA"/>
            </w:tcBorders>
          </w:tcPr>
          <w:p w14:paraId="546A6B01" w14:textId="77777777" w:rsidR="00664A3F" w:rsidRDefault="00664A3F" w:rsidP="00B0263F">
            <w:pPr>
              <w:pStyle w:val="TableParagraph"/>
              <w:spacing w:before="33"/>
              <w:ind w:right="72"/>
              <w:rPr>
                <w:sz w:val="18"/>
              </w:rPr>
            </w:pPr>
            <w:r>
              <w:rPr>
                <w:sz w:val="18"/>
              </w:rPr>
              <w:t>109</w:t>
            </w:r>
          </w:p>
        </w:tc>
        <w:tc>
          <w:tcPr>
            <w:tcW w:w="1173" w:type="dxa"/>
            <w:tcBorders>
              <w:top w:val="single" w:sz="4" w:space="0" w:color="000000"/>
              <w:left w:val="dashed" w:sz="4" w:space="0" w:color="DADADA"/>
              <w:bottom w:val="single" w:sz="4" w:space="0" w:color="000000"/>
              <w:right w:val="dashed" w:sz="4" w:space="0" w:color="DADADA"/>
            </w:tcBorders>
          </w:tcPr>
          <w:p w14:paraId="1197F7C8" w14:textId="77777777" w:rsidR="00664A3F" w:rsidRDefault="00664A3F" w:rsidP="00B0263F">
            <w:pPr>
              <w:pStyle w:val="TableParagraph"/>
              <w:spacing w:before="33"/>
              <w:ind w:right="72"/>
              <w:rPr>
                <w:sz w:val="18"/>
              </w:rPr>
            </w:pPr>
            <w:r>
              <w:rPr>
                <w:sz w:val="18"/>
              </w:rPr>
              <w:t>45</w:t>
            </w:r>
          </w:p>
        </w:tc>
        <w:tc>
          <w:tcPr>
            <w:tcW w:w="1141" w:type="dxa"/>
            <w:tcBorders>
              <w:top w:val="single" w:sz="4" w:space="0" w:color="000000"/>
              <w:left w:val="dashed" w:sz="4" w:space="0" w:color="DADADA"/>
              <w:bottom w:val="single" w:sz="4" w:space="0" w:color="000000"/>
              <w:right w:val="dashed" w:sz="4" w:space="0" w:color="DADADA"/>
            </w:tcBorders>
          </w:tcPr>
          <w:p w14:paraId="0E097526" w14:textId="77777777" w:rsidR="00664A3F" w:rsidRDefault="00664A3F" w:rsidP="00B0263F">
            <w:pPr>
              <w:pStyle w:val="TableParagraph"/>
              <w:spacing w:before="33"/>
              <w:ind w:right="72"/>
              <w:rPr>
                <w:sz w:val="18"/>
              </w:rPr>
            </w:pPr>
            <w:r>
              <w:rPr>
                <w:sz w:val="18"/>
              </w:rPr>
              <w:t>154</w:t>
            </w:r>
          </w:p>
        </w:tc>
        <w:tc>
          <w:tcPr>
            <w:tcW w:w="1134" w:type="dxa"/>
            <w:tcBorders>
              <w:top w:val="single" w:sz="4" w:space="0" w:color="000000"/>
              <w:left w:val="dashed" w:sz="4" w:space="0" w:color="DADADA"/>
              <w:bottom w:val="single" w:sz="4" w:space="0" w:color="000000"/>
              <w:right w:val="dashed" w:sz="4" w:space="0" w:color="DADADA"/>
            </w:tcBorders>
          </w:tcPr>
          <w:p w14:paraId="1BDFDCD8" w14:textId="77777777" w:rsidR="00664A3F" w:rsidRDefault="00664A3F" w:rsidP="00B0263F">
            <w:pPr>
              <w:pStyle w:val="TableParagraph"/>
              <w:spacing w:before="33"/>
              <w:ind w:right="72"/>
              <w:rPr>
                <w:sz w:val="18"/>
              </w:rPr>
            </w:pPr>
            <w:r>
              <w:rPr>
                <w:sz w:val="18"/>
              </w:rPr>
              <w:t>45</w:t>
            </w:r>
          </w:p>
        </w:tc>
        <w:tc>
          <w:tcPr>
            <w:tcW w:w="1137" w:type="dxa"/>
            <w:tcBorders>
              <w:top w:val="single" w:sz="4" w:space="0" w:color="000000"/>
              <w:left w:val="dashed" w:sz="4" w:space="0" w:color="DADADA"/>
              <w:bottom w:val="single" w:sz="4" w:space="0" w:color="000000"/>
              <w:right w:val="dashed" w:sz="4" w:space="0" w:color="DADADA"/>
            </w:tcBorders>
          </w:tcPr>
          <w:p w14:paraId="7627FA1F" w14:textId="77777777" w:rsidR="00664A3F" w:rsidRDefault="00664A3F" w:rsidP="00B0263F">
            <w:pPr>
              <w:pStyle w:val="TableParagraph"/>
              <w:spacing w:before="33"/>
              <w:ind w:right="72"/>
              <w:rPr>
                <w:sz w:val="18"/>
              </w:rPr>
            </w:pPr>
            <w:r>
              <w:rPr>
                <w:sz w:val="18"/>
              </w:rPr>
              <w:t>35</w:t>
            </w:r>
          </w:p>
        </w:tc>
        <w:tc>
          <w:tcPr>
            <w:tcW w:w="1165" w:type="dxa"/>
            <w:tcBorders>
              <w:top w:val="single" w:sz="4" w:space="0" w:color="000000"/>
              <w:left w:val="dashed" w:sz="4" w:space="0" w:color="DADADA"/>
              <w:bottom w:val="single" w:sz="4" w:space="0" w:color="000000"/>
              <w:right w:val="dashed" w:sz="4" w:space="0" w:color="DADADA"/>
            </w:tcBorders>
          </w:tcPr>
          <w:p w14:paraId="76B3652E" w14:textId="77777777" w:rsidR="00664A3F" w:rsidRDefault="00664A3F" w:rsidP="00B0263F">
            <w:pPr>
              <w:pStyle w:val="TableParagraph"/>
              <w:spacing w:before="33"/>
              <w:ind w:right="71"/>
              <w:rPr>
                <w:sz w:val="18"/>
              </w:rPr>
            </w:pPr>
            <w:r>
              <w:rPr>
                <w:sz w:val="18"/>
              </w:rPr>
              <w:t>19</w:t>
            </w:r>
          </w:p>
        </w:tc>
        <w:tc>
          <w:tcPr>
            <w:tcW w:w="1032" w:type="dxa"/>
            <w:tcBorders>
              <w:top w:val="single" w:sz="4" w:space="0" w:color="000000"/>
              <w:left w:val="dashed" w:sz="4" w:space="0" w:color="DADADA"/>
              <w:bottom w:val="single" w:sz="4" w:space="0" w:color="000000"/>
              <w:right w:val="nil"/>
            </w:tcBorders>
          </w:tcPr>
          <w:p w14:paraId="5B3D8188" w14:textId="77777777" w:rsidR="00664A3F" w:rsidRDefault="00664A3F" w:rsidP="00B0263F">
            <w:pPr>
              <w:pStyle w:val="TableParagraph"/>
              <w:spacing w:before="33"/>
              <w:ind w:right="76"/>
              <w:rPr>
                <w:sz w:val="18"/>
              </w:rPr>
            </w:pPr>
            <w:r>
              <w:rPr>
                <w:sz w:val="18"/>
              </w:rPr>
              <w:t>54</w:t>
            </w:r>
          </w:p>
        </w:tc>
      </w:tr>
      <w:tr w:rsidR="00664A3F" w14:paraId="7CA3BD94"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31A56136" w14:textId="77777777" w:rsidR="00664A3F" w:rsidRDefault="00664A3F" w:rsidP="00B0263F">
            <w:pPr>
              <w:pStyle w:val="TableParagraph"/>
              <w:spacing w:before="33"/>
              <w:ind w:left="79"/>
              <w:jc w:val="left"/>
              <w:rPr>
                <w:sz w:val="18"/>
              </w:rPr>
            </w:pPr>
            <w:r>
              <w:rPr>
                <w:sz w:val="18"/>
              </w:rPr>
              <w:t>1998-1999</w:t>
            </w:r>
          </w:p>
        </w:tc>
        <w:tc>
          <w:tcPr>
            <w:tcW w:w="1187" w:type="dxa"/>
            <w:tcBorders>
              <w:top w:val="single" w:sz="4" w:space="0" w:color="000000"/>
              <w:left w:val="single" w:sz="4" w:space="0" w:color="DADADA"/>
              <w:bottom w:val="single" w:sz="4" w:space="0" w:color="000000"/>
              <w:right w:val="dashed" w:sz="4" w:space="0" w:color="DADADA"/>
            </w:tcBorders>
          </w:tcPr>
          <w:p w14:paraId="308F2BE9" w14:textId="77777777" w:rsidR="00664A3F" w:rsidRDefault="00664A3F" w:rsidP="00B0263F">
            <w:pPr>
              <w:pStyle w:val="TableParagraph"/>
              <w:spacing w:before="33"/>
              <w:ind w:right="72"/>
              <w:rPr>
                <w:sz w:val="18"/>
              </w:rPr>
            </w:pPr>
            <w:r>
              <w:rPr>
                <w:sz w:val="18"/>
              </w:rPr>
              <w:t>-</w:t>
            </w:r>
          </w:p>
        </w:tc>
        <w:tc>
          <w:tcPr>
            <w:tcW w:w="1173" w:type="dxa"/>
            <w:tcBorders>
              <w:top w:val="single" w:sz="4" w:space="0" w:color="000000"/>
              <w:left w:val="dashed" w:sz="4" w:space="0" w:color="DADADA"/>
              <w:bottom w:val="single" w:sz="4" w:space="0" w:color="000000"/>
              <w:right w:val="dashed" w:sz="4" w:space="0" w:color="DADADA"/>
            </w:tcBorders>
          </w:tcPr>
          <w:p w14:paraId="7F945492" w14:textId="77777777" w:rsidR="00664A3F" w:rsidRDefault="00664A3F" w:rsidP="00B0263F">
            <w:pPr>
              <w:pStyle w:val="TableParagraph"/>
              <w:spacing w:before="33"/>
              <w:ind w:right="72"/>
              <w:rPr>
                <w:sz w:val="18"/>
              </w:rPr>
            </w:pPr>
            <w:r>
              <w:rPr>
                <w:sz w:val="18"/>
              </w:rPr>
              <w:t>-</w:t>
            </w:r>
          </w:p>
        </w:tc>
        <w:tc>
          <w:tcPr>
            <w:tcW w:w="1141" w:type="dxa"/>
            <w:tcBorders>
              <w:top w:val="single" w:sz="4" w:space="0" w:color="000000"/>
              <w:left w:val="dashed" w:sz="4" w:space="0" w:color="DADADA"/>
              <w:bottom w:val="single" w:sz="4" w:space="0" w:color="000000"/>
              <w:right w:val="dashed" w:sz="4" w:space="0" w:color="DADADA"/>
            </w:tcBorders>
          </w:tcPr>
          <w:p w14:paraId="787D5774" w14:textId="77777777" w:rsidR="00664A3F" w:rsidRDefault="00664A3F" w:rsidP="00B0263F">
            <w:pPr>
              <w:pStyle w:val="TableParagraph"/>
              <w:spacing w:before="33"/>
              <w:ind w:right="72"/>
              <w:rPr>
                <w:sz w:val="18"/>
              </w:rPr>
            </w:pPr>
            <w:r>
              <w:rPr>
                <w:sz w:val="18"/>
              </w:rPr>
              <w:t>327</w:t>
            </w:r>
          </w:p>
        </w:tc>
        <w:tc>
          <w:tcPr>
            <w:tcW w:w="1134" w:type="dxa"/>
            <w:tcBorders>
              <w:top w:val="single" w:sz="4" w:space="0" w:color="000000"/>
              <w:left w:val="dashed" w:sz="4" w:space="0" w:color="DADADA"/>
              <w:bottom w:val="single" w:sz="4" w:space="0" w:color="000000"/>
              <w:right w:val="dashed" w:sz="4" w:space="0" w:color="DADADA"/>
            </w:tcBorders>
          </w:tcPr>
          <w:p w14:paraId="7B90E510" w14:textId="77777777" w:rsidR="00664A3F" w:rsidRDefault="00664A3F" w:rsidP="00B0263F">
            <w:pPr>
              <w:pStyle w:val="TableParagraph"/>
              <w:spacing w:before="33"/>
              <w:ind w:right="72"/>
              <w:rPr>
                <w:sz w:val="18"/>
              </w:rPr>
            </w:pPr>
            <w:r>
              <w:rPr>
                <w:sz w:val="18"/>
              </w:rPr>
              <w:t>-</w:t>
            </w:r>
          </w:p>
        </w:tc>
        <w:tc>
          <w:tcPr>
            <w:tcW w:w="1137" w:type="dxa"/>
            <w:tcBorders>
              <w:top w:val="single" w:sz="4" w:space="0" w:color="000000"/>
              <w:left w:val="dashed" w:sz="4" w:space="0" w:color="DADADA"/>
              <w:bottom w:val="single" w:sz="4" w:space="0" w:color="000000"/>
              <w:right w:val="dashed" w:sz="4" w:space="0" w:color="DADADA"/>
            </w:tcBorders>
          </w:tcPr>
          <w:p w14:paraId="00B0949F" w14:textId="77777777" w:rsidR="00664A3F" w:rsidRDefault="00664A3F" w:rsidP="00B0263F">
            <w:pPr>
              <w:pStyle w:val="TableParagraph"/>
              <w:spacing w:before="33"/>
              <w:ind w:right="72"/>
              <w:rPr>
                <w:sz w:val="18"/>
              </w:rPr>
            </w:pPr>
            <w:r>
              <w:rPr>
                <w:sz w:val="18"/>
              </w:rPr>
              <w:t>61</w:t>
            </w:r>
          </w:p>
        </w:tc>
        <w:tc>
          <w:tcPr>
            <w:tcW w:w="1165" w:type="dxa"/>
            <w:tcBorders>
              <w:top w:val="single" w:sz="4" w:space="0" w:color="000000"/>
              <w:left w:val="dashed" w:sz="4" w:space="0" w:color="DADADA"/>
              <w:bottom w:val="single" w:sz="4" w:space="0" w:color="000000"/>
              <w:right w:val="dashed" w:sz="4" w:space="0" w:color="DADADA"/>
            </w:tcBorders>
          </w:tcPr>
          <w:p w14:paraId="11424A57" w14:textId="77777777" w:rsidR="00664A3F" w:rsidRDefault="00664A3F" w:rsidP="00B0263F">
            <w:pPr>
              <w:pStyle w:val="TableParagraph"/>
              <w:spacing w:before="33"/>
              <w:ind w:right="71"/>
              <w:rPr>
                <w:sz w:val="18"/>
              </w:rPr>
            </w:pPr>
            <w:r>
              <w:rPr>
                <w:sz w:val="18"/>
              </w:rPr>
              <w:t>20</w:t>
            </w:r>
          </w:p>
        </w:tc>
        <w:tc>
          <w:tcPr>
            <w:tcW w:w="1032" w:type="dxa"/>
            <w:tcBorders>
              <w:top w:val="single" w:sz="4" w:space="0" w:color="000000"/>
              <w:left w:val="dashed" w:sz="4" w:space="0" w:color="DADADA"/>
              <w:bottom w:val="single" w:sz="4" w:space="0" w:color="000000"/>
              <w:right w:val="nil"/>
            </w:tcBorders>
          </w:tcPr>
          <w:p w14:paraId="372AB663" w14:textId="77777777" w:rsidR="00664A3F" w:rsidRDefault="00664A3F" w:rsidP="00B0263F">
            <w:pPr>
              <w:pStyle w:val="TableParagraph"/>
              <w:spacing w:before="33"/>
              <w:ind w:right="76"/>
              <w:rPr>
                <w:sz w:val="18"/>
              </w:rPr>
            </w:pPr>
            <w:r>
              <w:rPr>
                <w:sz w:val="18"/>
              </w:rPr>
              <w:t>81</w:t>
            </w:r>
          </w:p>
        </w:tc>
      </w:tr>
      <w:tr w:rsidR="00664A3F" w14:paraId="663EAE0C"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30ACD58C" w14:textId="77777777" w:rsidR="00664A3F" w:rsidRDefault="00664A3F" w:rsidP="00B0263F">
            <w:pPr>
              <w:pStyle w:val="TableParagraph"/>
              <w:spacing w:before="33"/>
              <w:ind w:left="79"/>
              <w:jc w:val="left"/>
              <w:rPr>
                <w:sz w:val="18"/>
              </w:rPr>
            </w:pPr>
            <w:r>
              <w:rPr>
                <w:sz w:val="18"/>
              </w:rPr>
              <w:t>1999-2000</w:t>
            </w:r>
          </w:p>
        </w:tc>
        <w:tc>
          <w:tcPr>
            <w:tcW w:w="1187" w:type="dxa"/>
            <w:tcBorders>
              <w:top w:val="single" w:sz="4" w:space="0" w:color="000000"/>
              <w:left w:val="single" w:sz="4" w:space="0" w:color="DADADA"/>
              <w:bottom w:val="single" w:sz="4" w:space="0" w:color="000000"/>
              <w:right w:val="dashed" w:sz="4" w:space="0" w:color="DADADA"/>
            </w:tcBorders>
          </w:tcPr>
          <w:p w14:paraId="71891C38" w14:textId="77777777" w:rsidR="00664A3F" w:rsidRDefault="00664A3F" w:rsidP="00B0263F">
            <w:pPr>
              <w:pStyle w:val="TableParagraph"/>
              <w:spacing w:before="33"/>
              <w:ind w:right="72"/>
              <w:rPr>
                <w:sz w:val="18"/>
              </w:rPr>
            </w:pPr>
            <w:r>
              <w:rPr>
                <w:sz w:val="18"/>
              </w:rPr>
              <w:t>-</w:t>
            </w:r>
          </w:p>
        </w:tc>
        <w:tc>
          <w:tcPr>
            <w:tcW w:w="1173" w:type="dxa"/>
            <w:tcBorders>
              <w:top w:val="single" w:sz="4" w:space="0" w:color="000000"/>
              <w:left w:val="dashed" w:sz="4" w:space="0" w:color="DADADA"/>
              <w:bottom w:val="single" w:sz="4" w:space="0" w:color="000000"/>
              <w:right w:val="dashed" w:sz="4" w:space="0" w:color="DADADA"/>
            </w:tcBorders>
          </w:tcPr>
          <w:p w14:paraId="340C91AC" w14:textId="77777777" w:rsidR="00664A3F" w:rsidRDefault="00664A3F" w:rsidP="00B0263F">
            <w:pPr>
              <w:pStyle w:val="TableParagraph"/>
              <w:spacing w:before="33"/>
              <w:ind w:right="72"/>
              <w:rPr>
                <w:sz w:val="18"/>
              </w:rPr>
            </w:pPr>
            <w:r>
              <w:rPr>
                <w:sz w:val="18"/>
              </w:rPr>
              <w:t>-</w:t>
            </w:r>
          </w:p>
        </w:tc>
        <w:tc>
          <w:tcPr>
            <w:tcW w:w="1141" w:type="dxa"/>
            <w:tcBorders>
              <w:top w:val="single" w:sz="4" w:space="0" w:color="000000"/>
              <w:left w:val="dashed" w:sz="4" w:space="0" w:color="DADADA"/>
              <w:bottom w:val="single" w:sz="4" w:space="0" w:color="000000"/>
              <w:right w:val="dashed" w:sz="4" w:space="0" w:color="DADADA"/>
            </w:tcBorders>
          </w:tcPr>
          <w:p w14:paraId="613D3ABD" w14:textId="77777777" w:rsidR="00664A3F" w:rsidRDefault="00664A3F" w:rsidP="00B0263F">
            <w:pPr>
              <w:pStyle w:val="TableParagraph"/>
              <w:spacing w:before="33"/>
              <w:ind w:right="72"/>
              <w:rPr>
                <w:sz w:val="18"/>
              </w:rPr>
            </w:pPr>
            <w:r>
              <w:rPr>
                <w:sz w:val="18"/>
              </w:rPr>
              <w:t>293</w:t>
            </w:r>
          </w:p>
        </w:tc>
        <w:tc>
          <w:tcPr>
            <w:tcW w:w="1134" w:type="dxa"/>
            <w:tcBorders>
              <w:top w:val="single" w:sz="4" w:space="0" w:color="000000"/>
              <w:left w:val="dashed" w:sz="4" w:space="0" w:color="DADADA"/>
              <w:bottom w:val="single" w:sz="4" w:space="0" w:color="000000"/>
              <w:right w:val="dashed" w:sz="4" w:space="0" w:color="DADADA"/>
            </w:tcBorders>
          </w:tcPr>
          <w:p w14:paraId="05035AE7" w14:textId="77777777" w:rsidR="00664A3F" w:rsidRDefault="00664A3F" w:rsidP="00B0263F">
            <w:pPr>
              <w:pStyle w:val="TableParagraph"/>
              <w:spacing w:before="33"/>
              <w:ind w:right="72"/>
              <w:rPr>
                <w:sz w:val="18"/>
              </w:rPr>
            </w:pPr>
            <w:r>
              <w:rPr>
                <w:sz w:val="18"/>
              </w:rPr>
              <w:t>-</w:t>
            </w:r>
          </w:p>
        </w:tc>
        <w:tc>
          <w:tcPr>
            <w:tcW w:w="1137" w:type="dxa"/>
            <w:tcBorders>
              <w:top w:val="single" w:sz="4" w:space="0" w:color="000000"/>
              <w:left w:val="dashed" w:sz="4" w:space="0" w:color="DADADA"/>
              <w:bottom w:val="single" w:sz="4" w:space="0" w:color="000000"/>
              <w:right w:val="dashed" w:sz="4" w:space="0" w:color="DADADA"/>
            </w:tcBorders>
          </w:tcPr>
          <w:p w14:paraId="6CC2F528" w14:textId="77777777" w:rsidR="00664A3F" w:rsidRDefault="00664A3F" w:rsidP="00B0263F">
            <w:pPr>
              <w:pStyle w:val="TableParagraph"/>
              <w:spacing w:before="33"/>
              <w:ind w:right="72"/>
              <w:rPr>
                <w:sz w:val="18"/>
              </w:rPr>
            </w:pPr>
            <w:r>
              <w:rPr>
                <w:sz w:val="18"/>
              </w:rPr>
              <w:t>57</w:t>
            </w:r>
          </w:p>
        </w:tc>
        <w:tc>
          <w:tcPr>
            <w:tcW w:w="1165" w:type="dxa"/>
            <w:tcBorders>
              <w:top w:val="single" w:sz="4" w:space="0" w:color="000000"/>
              <w:left w:val="dashed" w:sz="4" w:space="0" w:color="DADADA"/>
              <w:bottom w:val="single" w:sz="4" w:space="0" w:color="000000"/>
              <w:right w:val="dashed" w:sz="4" w:space="0" w:color="DADADA"/>
            </w:tcBorders>
          </w:tcPr>
          <w:p w14:paraId="0E43E3F0" w14:textId="77777777" w:rsidR="00664A3F" w:rsidRDefault="00664A3F" w:rsidP="00B0263F">
            <w:pPr>
              <w:pStyle w:val="TableParagraph"/>
              <w:spacing w:before="33"/>
              <w:ind w:right="71"/>
              <w:rPr>
                <w:sz w:val="18"/>
              </w:rPr>
            </w:pPr>
            <w:r>
              <w:rPr>
                <w:sz w:val="18"/>
              </w:rPr>
              <w:t>21</w:t>
            </w:r>
          </w:p>
        </w:tc>
        <w:tc>
          <w:tcPr>
            <w:tcW w:w="1032" w:type="dxa"/>
            <w:tcBorders>
              <w:top w:val="single" w:sz="4" w:space="0" w:color="000000"/>
              <w:left w:val="dashed" w:sz="4" w:space="0" w:color="DADADA"/>
              <w:bottom w:val="single" w:sz="4" w:space="0" w:color="000000"/>
              <w:right w:val="nil"/>
            </w:tcBorders>
          </w:tcPr>
          <w:p w14:paraId="5D8C30F2" w14:textId="77777777" w:rsidR="00664A3F" w:rsidRDefault="00664A3F" w:rsidP="00B0263F">
            <w:pPr>
              <w:pStyle w:val="TableParagraph"/>
              <w:spacing w:before="33"/>
              <w:ind w:right="76"/>
              <w:rPr>
                <w:sz w:val="18"/>
              </w:rPr>
            </w:pPr>
            <w:r>
              <w:rPr>
                <w:sz w:val="18"/>
              </w:rPr>
              <w:t>78</w:t>
            </w:r>
          </w:p>
        </w:tc>
      </w:tr>
      <w:tr w:rsidR="00664A3F" w14:paraId="4752A7B9"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0DA7DF0D" w14:textId="77777777" w:rsidR="00664A3F" w:rsidRDefault="00664A3F" w:rsidP="00B0263F">
            <w:pPr>
              <w:pStyle w:val="TableParagraph"/>
              <w:spacing w:before="33"/>
              <w:ind w:left="79"/>
              <w:jc w:val="left"/>
              <w:rPr>
                <w:sz w:val="18"/>
              </w:rPr>
            </w:pPr>
            <w:r>
              <w:rPr>
                <w:sz w:val="18"/>
              </w:rPr>
              <w:t>2000-2001</w:t>
            </w:r>
          </w:p>
        </w:tc>
        <w:tc>
          <w:tcPr>
            <w:tcW w:w="1187" w:type="dxa"/>
            <w:tcBorders>
              <w:top w:val="single" w:sz="4" w:space="0" w:color="000000"/>
              <w:left w:val="single" w:sz="4" w:space="0" w:color="DADADA"/>
              <w:bottom w:val="single" w:sz="4" w:space="0" w:color="000000"/>
              <w:right w:val="dashed" w:sz="4" w:space="0" w:color="DADADA"/>
            </w:tcBorders>
          </w:tcPr>
          <w:p w14:paraId="7C249D48" w14:textId="77777777" w:rsidR="00664A3F" w:rsidRDefault="00664A3F" w:rsidP="00B0263F">
            <w:pPr>
              <w:pStyle w:val="TableParagraph"/>
              <w:spacing w:before="33"/>
              <w:ind w:right="72"/>
              <w:rPr>
                <w:sz w:val="18"/>
              </w:rPr>
            </w:pPr>
            <w:r>
              <w:rPr>
                <w:sz w:val="18"/>
              </w:rPr>
              <w:t>-</w:t>
            </w:r>
          </w:p>
        </w:tc>
        <w:tc>
          <w:tcPr>
            <w:tcW w:w="1173" w:type="dxa"/>
            <w:tcBorders>
              <w:top w:val="single" w:sz="4" w:space="0" w:color="000000"/>
              <w:left w:val="dashed" w:sz="4" w:space="0" w:color="DADADA"/>
              <w:bottom w:val="single" w:sz="4" w:space="0" w:color="000000"/>
              <w:right w:val="dashed" w:sz="4" w:space="0" w:color="DADADA"/>
            </w:tcBorders>
          </w:tcPr>
          <w:p w14:paraId="23B2CFC4" w14:textId="77777777" w:rsidR="00664A3F" w:rsidRDefault="00664A3F" w:rsidP="00B0263F">
            <w:pPr>
              <w:pStyle w:val="TableParagraph"/>
              <w:spacing w:before="33"/>
              <w:ind w:right="72"/>
              <w:rPr>
                <w:sz w:val="18"/>
              </w:rPr>
            </w:pPr>
            <w:r>
              <w:rPr>
                <w:sz w:val="18"/>
              </w:rPr>
              <w:t>-</w:t>
            </w:r>
          </w:p>
        </w:tc>
        <w:tc>
          <w:tcPr>
            <w:tcW w:w="1141" w:type="dxa"/>
            <w:tcBorders>
              <w:top w:val="single" w:sz="4" w:space="0" w:color="000000"/>
              <w:left w:val="dashed" w:sz="4" w:space="0" w:color="DADADA"/>
              <w:bottom w:val="single" w:sz="4" w:space="0" w:color="000000"/>
              <w:right w:val="dashed" w:sz="4" w:space="0" w:color="DADADA"/>
            </w:tcBorders>
          </w:tcPr>
          <w:p w14:paraId="1DD94861" w14:textId="77777777" w:rsidR="00664A3F" w:rsidRDefault="00664A3F" w:rsidP="00B0263F">
            <w:pPr>
              <w:pStyle w:val="TableParagraph"/>
              <w:spacing w:before="33"/>
              <w:ind w:right="72"/>
              <w:rPr>
                <w:sz w:val="18"/>
              </w:rPr>
            </w:pPr>
            <w:r>
              <w:rPr>
                <w:sz w:val="18"/>
              </w:rPr>
              <w:t>228</w:t>
            </w:r>
          </w:p>
        </w:tc>
        <w:tc>
          <w:tcPr>
            <w:tcW w:w="1134" w:type="dxa"/>
            <w:tcBorders>
              <w:top w:val="single" w:sz="4" w:space="0" w:color="000000"/>
              <w:left w:val="dashed" w:sz="4" w:space="0" w:color="DADADA"/>
              <w:bottom w:val="single" w:sz="4" w:space="0" w:color="000000"/>
              <w:right w:val="dashed" w:sz="4" w:space="0" w:color="DADADA"/>
            </w:tcBorders>
          </w:tcPr>
          <w:p w14:paraId="33BA713A" w14:textId="77777777" w:rsidR="00664A3F" w:rsidRDefault="00664A3F" w:rsidP="00B0263F">
            <w:pPr>
              <w:pStyle w:val="TableParagraph"/>
              <w:spacing w:before="33"/>
              <w:ind w:right="72"/>
              <w:rPr>
                <w:sz w:val="18"/>
              </w:rPr>
            </w:pPr>
            <w:r>
              <w:rPr>
                <w:sz w:val="18"/>
              </w:rPr>
              <w:t>-</w:t>
            </w:r>
          </w:p>
        </w:tc>
        <w:tc>
          <w:tcPr>
            <w:tcW w:w="1137" w:type="dxa"/>
            <w:tcBorders>
              <w:top w:val="single" w:sz="4" w:space="0" w:color="000000"/>
              <w:left w:val="dashed" w:sz="4" w:space="0" w:color="DADADA"/>
              <w:bottom w:val="single" w:sz="4" w:space="0" w:color="000000"/>
              <w:right w:val="dashed" w:sz="4" w:space="0" w:color="DADADA"/>
            </w:tcBorders>
          </w:tcPr>
          <w:p w14:paraId="12969C8F" w14:textId="77777777" w:rsidR="00664A3F" w:rsidRDefault="00664A3F" w:rsidP="00B0263F">
            <w:pPr>
              <w:pStyle w:val="TableParagraph"/>
              <w:spacing w:before="33"/>
              <w:ind w:right="72"/>
              <w:rPr>
                <w:sz w:val="18"/>
              </w:rPr>
            </w:pPr>
            <w:r>
              <w:rPr>
                <w:sz w:val="18"/>
              </w:rPr>
              <w:t>41</w:t>
            </w:r>
          </w:p>
        </w:tc>
        <w:tc>
          <w:tcPr>
            <w:tcW w:w="1165" w:type="dxa"/>
            <w:tcBorders>
              <w:top w:val="single" w:sz="4" w:space="0" w:color="000000"/>
              <w:left w:val="dashed" w:sz="4" w:space="0" w:color="DADADA"/>
              <w:bottom w:val="single" w:sz="4" w:space="0" w:color="000000"/>
              <w:right w:val="dashed" w:sz="4" w:space="0" w:color="DADADA"/>
            </w:tcBorders>
          </w:tcPr>
          <w:p w14:paraId="3700CF4D" w14:textId="77777777" w:rsidR="00664A3F" w:rsidRDefault="00664A3F" w:rsidP="00B0263F">
            <w:pPr>
              <w:pStyle w:val="TableParagraph"/>
              <w:spacing w:before="33"/>
              <w:ind w:right="71"/>
              <w:rPr>
                <w:sz w:val="18"/>
              </w:rPr>
            </w:pPr>
            <w:r>
              <w:rPr>
                <w:sz w:val="18"/>
              </w:rPr>
              <w:t>15</w:t>
            </w:r>
          </w:p>
        </w:tc>
        <w:tc>
          <w:tcPr>
            <w:tcW w:w="1032" w:type="dxa"/>
            <w:tcBorders>
              <w:top w:val="single" w:sz="4" w:space="0" w:color="000000"/>
              <w:left w:val="dashed" w:sz="4" w:space="0" w:color="DADADA"/>
              <w:bottom w:val="single" w:sz="4" w:space="0" w:color="000000"/>
              <w:right w:val="nil"/>
            </w:tcBorders>
          </w:tcPr>
          <w:p w14:paraId="351D7D0A" w14:textId="77777777" w:rsidR="00664A3F" w:rsidRDefault="00664A3F" w:rsidP="00B0263F">
            <w:pPr>
              <w:pStyle w:val="TableParagraph"/>
              <w:spacing w:before="33"/>
              <w:ind w:right="76"/>
              <w:rPr>
                <w:sz w:val="18"/>
              </w:rPr>
            </w:pPr>
            <w:r>
              <w:rPr>
                <w:sz w:val="18"/>
              </w:rPr>
              <w:t>56</w:t>
            </w:r>
          </w:p>
        </w:tc>
      </w:tr>
      <w:tr w:rsidR="00664A3F" w14:paraId="4A6DFC09"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48F93BCC" w14:textId="77777777" w:rsidR="00664A3F" w:rsidRDefault="00664A3F" w:rsidP="00B0263F">
            <w:pPr>
              <w:pStyle w:val="TableParagraph"/>
              <w:spacing w:before="33"/>
              <w:ind w:left="79"/>
              <w:jc w:val="left"/>
              <w:rPr>
                <w:sz w:val="18"/>
              </w:rPr>
            </w:pPr>
            <w:r>
              <w:rPr>
                <w:sz w:val="18"/>
              </w:rPr>
              <w:t>2001-2002</w:t>
            </w:r>
          </w:p>
        </w:tc>
        <w:tc>
          <w:tcPr>
            <w:tcW w:w="1187" w:type="dxa"/>
            <w:tcBorders>
              <w:top w:val="single" w:sz="4" w:space="0" w:color="000000"/>
              <w:left w:val="single" w:sz="4" w:space="0" w:color="DADADA"/>
              <w:bottom w:val="single" w:sz="4" w:space="0" w:color="000000"/>
              <w:right w:val="dashed" w:sz="4" w:space="0" w:color="DADADA"/>
            </w:tcBorders>
          </w:tcPr>
          <w:p w14:paraId="1C77E7EA" w14:textId="77777777" w:rsidR="00664A3F" w:rsidRDefault="00664A3F" w:rsidP="00B0263F">
            <w:pPr>
              <w:pStyle w:val="TableParagraph"/>
              <w:spacing w:before="33"/>
              <w:ind w:right="72"/>
              <w:rPr>
                <w:sz w:val="18"/>
              </w:rPr>
            </w:pPr>
            <w:r>
              <w:rPr>
                <w:sz w:val="18"/>
              </w:rPr>
              <w:t>-</w:t>
            </w:r>
          </w:p>
        </w:tc>
        <w:tc>
          <w:tcPr>
            <w:tcW w:w="1173" w:type="dxa"/>
            <w:tcBorders>
              <w:top w:val="single" w:sz="4" w:space="0" w:color="000000"/>
              <w:left w:val="dashed" w:sz="4" w:space="0" w:color="DADADA"/>
              <w:bottom w:val="single" w:sz="4" w:space="0" w:color="000000"/>
              <w:right w:val="dashed" w:sz="4" w:space="0" w:color="DADADA"/>
            </w:tcBorders>
          </w:tcPr>
          <w:p w14:paraId="3F08B794" w14:textId="77777777" w:rsidR="00664A3F" w:rsidRDefault="00664A3F" w:rsidP="00B0263F">
            <w:pPr>
              <w:pStyle w:val="TableParagraph"/>
              <w:spacing w:before="33"/>
              <w:ind w:right="72"/>
              <w:rPr>
                <w:sz w:val="18"/>
              </w:rPr>
            </w:pPr>
            <w:r>
              <w:rPr>
                <w:sz w:val="18"/>
              </w:rPr>
              <w:t>-</w:t>
            </w:r>
          </w:p>
        </w:tc>
        <w:tc>
          <w:tcPr>
            <w:tcW w:w="1141" w:type="dxa"/>
            <w:tcBorders>
              <w:top w:val="single" w:sz="4" w:space="0" w:color="000000"/>
              <w:left w:val="dashed" w:sz="4" w:space="0" w:color="DADADA"/>
              <w:bottom w:val="single" w:sz="4" w:space="0" w:color="000000"/>
              <w:right w:val="dashed" w:sz="4" w:space="0" w:color="DADADA"/>
            </w:tcBorders>
          </w:tcPr>
          <w:p w14:paraId="4C776BC0" w14:textId="77777777" w:rsidR="00664A3F" w:rsidRDefault="00664A3F" w:rsidP="00B0263F">
            <w:pPr>
              <w:pStyle w:val="TableParagraph"/>
              <w:spacing w:before="33"/>
              <w:ind w:right="72"/>
              <w:rPr>
                <w:sz w:val="18"/>
              </w:rPr>
            </w:pPr>
            <w:r>
              <w:rPr>
                <w:sz w:val="18"/>
              </w:rPr>
              <w:t>126</w:t>
            </w:r>
          </w:p>
        </w:tc>
        <w:tc>
          <w:tcPr>
            <w:tcW w:w="1134" w:type="dxa"/>
            <w:tcBorders>
              <w:top w:val="single" w:sz="4" w:space="0" w:color="000000"/>
              <w:left w:val="dashed" w:sz="4" w:space="0" w:color="DADADA"/>
              <w:bottom w:val="single" w:sz="4" w:space="0" w:color="000000"/>
              <w:right w:val="dashed" w:sz="4" w:space="0" w:color="DADADA"/>
            </w:tcBorders>
          </w:tcPr>
          <w:p w14:paraId="1C6D8D6D" w14:textId="77777777" w:rsidR="00664A3F" w:rsidRDefault="00664A3F" w:rsidP="00B0263F">
            <w:pPr>
              <w:pStyle w:val="TableParagraph"/>
              <w:spacing w:before="33"/>
              <w:ind w:right="72"/>
              <w:rPr>
                <w:sz w:val="18"/>
              </w:rPr>
            </w:pPr>
            <w:r>
              <w:rPr>
                <w:sz w:val="18"/>
              </w:rPr>
              <w:t>-</w:t>
            </w:r>
          </w:p>
        </w:tc>
        <w:tc>
          <w:tcPr>
            <w:tcW w:w="1137" w:type="dxa"/>
            <w:tcBorders>
              <w:top w:val="single" w:sz="4" w:space="0" w:color="000000"/>
              <w:left w:val="dashed" w:sz="4" w:space="0" w:color="DADADA"/>
              <w:bottom w:val="single" w:sz="4" w:space="0" w:color="000000"/>
              <w:right w:val="dashed" w:sz="4" w:space="0" w:color="DADADA"/>
            </w:tcBorders>
          </w:tcPr>
          <w:p w14:paraId="31D75EEC" w14:textId="77777777" w:rsidR="00664A3F" w:rsidRDefault="00664A3F" w:rsidP="00B0263F">
            <w:pPr>
              <w:pStyle w:val="TableParagraph"/>
              <w:spacing w:before="33"/>
              <w:ind w:right="72"/>
              <w:rPr>
                <w:sz w:val="18"/>
              </w:rPr>
            </w:pPr>
            <w:r>
              <w:rPr>
                <w:sz w:val="18"/>
              </w:rPr>
              <w:t>38</w:t>
            </w:r>
          </w:p>
        </w:tc>
        <w:tc>
          <w:tcPr>
            <w:tcW w:w="1165" w:type="dxa"/>
            <w:tcBorders>
              <w:top w:val="single" w:sz="4" w:space="0" w:color="000000"/>
              <w:left w:val="dashed" w:sz="4" w:space="0" w:color="DADADA"/>
              <w:bottom w:val="single" w:sz="4" w:space="0" w:color="000000"/>
              <w:right w:val="dashed" w:sz="4" w:space="0" w:color="DADADA"/>
            </w:tcBorders>
          </w:tcPr>
          <w:p w14:paraId="2E6152C9" w14:textId="77777777" w:rsidR="00664A3F" w:rsidRDefault="00664A3F" w:rsidP="00B0263F">
            <w:pPr>
              <w:pStyle w:val="TableParagraph"/>
              <w:spacing w:before="33"/>
              <w:ind w:right="71"/>
              <w:rPr>
                <w:sz w:val="18"/>
              </w:rPr>
            </w:pPr>
            <w:r>
              <w:rPr>
                <w:sz w:val="18"/>
              </w:rPr>
              <w:t>19</w:t>
            </w:r>
          </w:p>
        </w:tc>
        <w:tc>
          <w:tcPr>
            <w:tcW w:w="1032" w:type="dxa"/>
            <w:tcBorders>
              <w:top w:val="single" w:sz="4" w:space="0" w:color="000000"/>
              <w:left w:val="dashed" w:sz="4" w:space="0" w:color="DADADA"/>
              <w:bottom w:val="single" w:sz="4" w:space="0" w:color="000000"/>
              <w:right w:val="nil"/>
            </w:tcBorders>
          </w:tcPr>
          <w:p w14:paraId="66B1B4B2" w14:textId="77777777" w:rsidR="00664A3F" w:rsidRDefault="00664A3F" w:rsidP="00B0263F">
            <w:pPr>
              <w:pStyle w:val="TableParagraph"/>
              <w:spacing w:before="33"/>
              <w:ind w:right="76"/>
              <w:rPr>
                <w:sz w:val="18"/>
              </w:rPr>
            </w:pPr>
            <w:r>
              <w:rPr>
                <w:sz w:val="18"/>
              </w:rPr>
              <w:t>57</w:t>
            </w:r>
          </w:p>
        </w:tc>
      </w:tr>
      <w:tr w:rsidR="00664A3F" w14:paraId="30EB042A"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786ACA45" w14:textId="77777777" w:rsidR="00664A3F" w:rsidRDefault="00664A3F" w:rsidP="00B0263F">
            <w:pPr>
              <w:pStyle w:val="TableParagraph"/>
              <w:spacing w:before="33"/>
              <w:ind w:left="79"/>
              <w:jc w:val="left"/>
              <w:rPr>
                <w:sz w:val="18"/>
              </w:rPr>
            </w:pPr>
            <w:r>
              <w:rPr>
                <w:sz w:val="18"/>
              </w:rPr>
              <w:t>2002-2003</w:t>
            </w:r>
          </w:p>
        </w:tc>
        <w:tc>
          <w:tcPr>
            <w:tcW w:w="1187" w:type="dxa"/>
            <w:tcBorders>
              <w:top w:val="single" w:sz="4" w:space="0" w:color="000000"/>
              <w:left w:val="single" w:sz="4" w:space="0" w:color="DADADA"/>
              <w:bottom w:val="single" w:sz="4" w:space="0" w:color="000000"/>
              <w:right w:val="dashed" w:sz="4" w:space="0" w:color="DADADA"/>
            </w:tcBorders>
          </w:tcPr>
          <w:p w14:paraId="33DEB393" w14:textId="77777777" w:rsidR="00664A3F" w:rsidRDefault="00664A3F" w:rsidP="00B0263F">
            <w:pPr>
              <w:pStyle w:val="TableParagraph"/>
              <w:spacing w:before="33"/>
              <w:ind w:right="72"/>
              <w:rPr>
                <w:sz w:val="18"/>
              </w:rPr>
            </w:pPr>
            <w:r>
              <w:rPr>
                <w:sz w:val="18"/>
              </w:rPr>
              <w:t>230</w:t>
            </w:r>
          </w:p>
        </w:tc>
        <w:tc>
          <w:tcPr>
            <w:tcW w:w="1173" w:type="dxa"/>
            <w:tcBorders>
              <w:top w:val="single" w:sz="4" w:space="0" w:color="000000"/>
              <w:left w:val="dashed" w:sz="4" w:space="0" w:color="DADADA"/>
              <w:bottom w:val="single" w:sz="4" w:space="0" w:color="000000"/>
              <w:right w:val="dashed" w:sz="4" w:space="0" w:color="DADADA"/>
            </w:tcBorders>
          </w:tcPr>
          <w:p w14:paraId="019BE7A5" w14:textId="77777777" w:rsidR="00664A3F" w:rsidRDefault="00664A3F" w:rsidP="00B0263F">
            <w:pPr>
              <w:pStyle w:val="TableParagraph"/>
              <w:spacing w:before="33"/>
              <w:ind w:right="72"/>
              <w:rPr>
                <w:sz w:val="18"/>
              </w:rPr>
            </w:pPr>
            <w:r>
              <w:rPr>
                <w:sz w:val="18"/>
              </w:rPr>
              <w:t>38</w:t>
            </w:r>
          </w:p>
        </w:tc>
        <w:tc>
          <w:tcPr>
            <w:tcW w:w="1141" w:type="dxa"/>
            <w:tcBorders>
              <w:top w:val="single" w:sz="4" w:space="0" w:color="000000"/>
              <w:left w:val="dashed" w:sz="4" w:space="0" w:color="DADADA"/>
              <w:bottom w:val="single" w:sz="4" w:space="0" w:color="000000"/>
              <w:right w:val="dashed" w:sz="4" w:space="0" w:color="DADADA"/>
            </w:tcBorders>
          </w:tcPr>
          <w:p w14:paraId="5512653B" w14:textId="77777777" w:rsidR="00664A3F" w:rsidRDefault="00664A3F" w:rsidP="00B0263F">
            <w:pPr>
              <w:pStyle w:val="TableParagraph"/>
              <w:spacing w:before="33"/>
              <w:ind w:right="72"/>
              <w:rPr>
                <w:sz w:val="18"/>
              </w:rPr>
            </w:pPr>
            <w:r>
              <w:rPr>
                <w:sz w:val="18"/>
              </w:rPr>
              <w:t>268</w:t>
            </w:r>
          </w:p>
        </w:tc>
        <w:tc>
          <w:tcPr>
            <w:tcW w:w="1134" w:type="dxa"/>
            <w:tcBorders>
              <w:top w:val="single" w:sz="4" w:space="0" w:color="000000"/>
              <w:left w:val="dashed" w:sz="4" w:space="0" w:color="DADADA"/>
              <w:bottom w:val="single" w:sz="4" w:space="0" w:color="000000"/>
              <w:right w:val="dashed" w:sz="4" w:space="0" w:color="DADADA"/>
            </w:tcBorders>
          </w:tcPr>
          <w:p w14:paraId="3DC25C6E" w14:textId="77777777" w:rsidR="00664A3F" w:rsidRDefault="00664A3F" w:rsidP="00B0263F">
            <w:pPr>
              <w:pStyle w:val="TableParagraph"/>
              <w:spacing w:before="33"/>
              <w:ind w:right="72"/>
              <w:rPr>
                <w:sz w:val="18"/>
              </w:rPr>
            </w:pPr>
            <w:r>
              <w:rPr>
                <w:sz w:val="18"/>
              </w:rPr>
              <w:t>81</w:t>
            </w:r>
          </w:p>
        </w:tc>
        <w:tc>
          <w:tcPr>
            <w:tcW w:w="1137" w:type="dxa"/>
            <w:tcBorders>
              <w:top w:val="single" w:sz="4" w:space="0" w:color="000000"/>
              <w:left w:val="dashed" w:sz="4" w:space="0" w:color="DADADA"/>
              <w:bottom w:val="single" w:sz="4" w:space="0" w:color="000000"/>
              <w:right w:val="dashed" w:sz="4" w:space="0" w:color="DADADA"/>
            </w:tcBorders>
          </w:tcPr>
          <w:p w14:paraId="6460BEA7" w14:textId="77777777" w:rsidR="00664A3F" w:rsidRDefault="00664A3F" w:rsidP="00B0263F">
            <w:pPr>
              <w:pStyle w:val="TableParagraph"/>
              <w:spacing w:before="33"/>
              <w:ind w:right="72"/>
              <w:rPr>
                <w:sz w:val="18"/>
              </w:rPr>
            </w:pPr>
            <w:r>
              <w:rPr>
                <w:sz w:val="18"/>
              </w:rPr>
              <w:t>31</w:t>
            </w:r>
          </w:p>
        </w:tc>
        <w:tc>
          <w:tcPr>
            <w:tcW w:w="1165" w:type="dxa"/>
            <w:tcBorders>
              <w:top w:val="single" w:sz="4" w:space="0" w:color="000000"/>
              <w:left w:val="dashed" w:sz="4" w:space="0" w:color="DADADA"/>
              <w:bottom w:val="single" w:sz="4" w:space="0" w:color="000000"/>
              <w:right w:val="dashed" w:sz="4" w:space="0" w:color="DADADA"/>
            </w:tcBorders>
          </w:tcPr>
          <w:p w14:paraId="6E7EEC93" w14:textId="77777777" w:rsidR="00664A3F" w:rsidRDefault="00664A3F" w:rsidP="00B0263F">
            <w:pPr>
              <w:pStyle w:val="TableParagraph"/>
              <w:spacing w:before="33"/>
              <w:ind w:right="71"/>
              <w:rPr>
                <w:sz w:val="18"/>
              </w:rPr>
            </w:pPr>
            <w:r>
              <w:rPr>
                <w:sz w:val="18"/>
              </w:rPr>
              <w:t>19</w:t>
            </w:r>
          </w:p>
        </w:tc>
        <w:tc>
          <w:tcPr>
            <w:tcW w:w="1032" w:type="dxa"/>
            <w:tcBorders>
              <w:top w:val="single" w:sz="4" w:space="0" w:color="000000"/>
              <w:left w:val="dashed" w:sz="4" w:space="0" w:color="DADADA"/>
              <w:bottom w:val="single" w:sz="4" w:space="0" w:color="000000"/>
              <w:right w:val="nil"/>
            </w:tcBorders>
          </w:tcPr>
          <w:p w14:paraId="1646B06D" w14:textId="77777777" w:rsidR="00664A3F" w:rsidRDefault="00664A3F" w:rsidP="00B0263F">
            <w:pPr>
              <w:pStyle w:val="TableParagraph"/>
              <w:spacing w:before="33"/>
              <w:ind w:right="76"/>
              <w:rPr>
                <w:sz w:val="18"/>
              </w:rPr>
            </w:pPr>
            <w:r>
              <w:rPr>
                <w:sz w:val="18"/>
              </w:rPr>
              <w:t>50</w:t>
            </w:r>
          </w:p>
        </w:tc>
      </w:tr>
      <w:tr w:rsidR="00664A3F" w14:paraId="138148B0"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430B8C6F" w14:textId="77777777" w:rsidR="00664A3F" w:rsidRDefault="00664A3F" w:rsidP="00B0263F">
            <w:pPr>
              <w:pStyle w:val="TableParagraph"/>
              <w:spacing w:before="33"/>
              <w:ind w:left="79"/>
              <w:jc w:val="left"/>
              <w:rPr>
                <w:sz w:val="18"/>
              </w:rPr>
            </w:pPr>
            <w:r>
              <w:rPr>
                <w:sz w:val="18"/>
              </w:rPr>
              <w:t>2003-2004</w:t>
            </w:r>
          </w:p>
        </w:tc>
        <w:tc>
          <w:tcPr>
            <w:tcW w:w="1187" w:type="dxa"/>
            <w:tcBorders>
              <w:top w:val="single" w:sz="4" w:space="0" w:color="000000"/>
              <w:left w:val="single" w:sz="4" w:space="0" w:color="DADADA"/>
              <w:bottom w:val="single" w:sz="4" w:space="0" w:color="000000"/>
              <w:right w:val="dashed" w:sz="4" w:space="0" w:color="DADADA"/>
            </w:tcBorders>
          </w:tcPr>
          <w:p w14:paraId="2D175B9D" w14:textId="77777777" w:rsidR="00664A3F" w:rsidRDefault="00664A3F" w:rsidP="00B0263F">
            <w:pPr>
              <w:pStyle w:val="TableParagraph"/>
              <w:spacing w:before="33"/>
              <w:ind w:right="72"/>
              <w:rPr>
                <w:sz w:val="18"/>
              </w:rPr>
            </w:pPr>
            <w:r>
              <w:rPr>
                <w:sz w:val="18"/>
              </w:rPr>
              <w:t>222</w:t>
            </w:r>
          </w:p>
        </w:tc>
        <w:tc>
          <w:tcPr>
            <w:tcW w:w="1173" w:type="dxa"/>
            <w:tcBorders>
              <w:top w:val="single" w:sz="4" w:space="0" w:color="000000"/>
              <w:left w:val="dashed" w:sz="4" w:space="0" w:color="DADADA"/>
              <w:bottom w:val="single" w:sz="4" w:space="0" w:color="000000"/>
              <w:right w:val="dashed" w:sz="4" w:space="0" w:color="DADADA"/>
            </w:tcBorders>
          </w:tcPr>
          <w:p w14:paraId="74224EFA" w14:textId="77777777" w:rsidR="00664A3F" w:rsidRDefault="00664A3F" w:rsidP="00B0263F">
            <w:pPr>
              <w:pStyle w:val="TableParagraph"/>
              <w:spacing w:before="33"/>
              <w:ind w:right="72"/>
              <w:rPr>
                <w:sz w:val="18"/>
              </w:rPr>
            </w:pPr>
            <w:r>
              <w:rPr>
                <w:sz w:val="18"/>
              </w:rPr>
              <w:t>41</w:t>
            </w:r>
          </w:p>
        </w:tc>
        <w:tc>
          <w:tcPr>
            <w:tcW w:w="1141" w:type="dxa"/>
            <w:tcBorders>
              <w:top w:val="single" w:sz="4" w:space="0" w:color="000000"/>
              <w:left w:val="dashed" w:sz="4" w:space="0" w:color="DADADA"/>
              <w:bottom w:val="single" w:sz="4" w:space="0" w:color="000000"/>
              <w:right w:val="dashed" w:sz="4" w:space="0" w:color="DADADA"/>
            </w:tcBorders>
          </w:tcPr>
          <w:p w14:paraId="633CCED2" w14:textId="77777777" w:rsidR="00664A3F" w:rsidRDefault="00664A3F" w:rsidP="00B0263F">
            <w:pPr>
              <w:pStyle w:val="TableParagraph"/>
              <w:spacing w:before="33"/>
              <w:ind w:right="72"/>
              <w:rPr>
                <w:sz w:val="18"/>
              </w:rPr>
            </w:pPr>
            <w:r>
              <w:rPr>
                <w:sz w:val="18"/>
              </w:rPr>
              <w:t>263</w:t>
            </w:r>
          </w:p>
        </w:tc>
        <w:tc>
          <w:tcPr>
            <w:tcW w:w="1134" w:type="dxa"/>
            <w:tcBorders>
              <w:top w:val="single" w:sz="4" w:space="0" w:color="000000"/>
              <w:left w:val="dashed" w:sz="4" w:space="0" w:color="DADADA"/>
              <w:bottom w:val="single" w:sz="4" w:space="0" w:color="000000"/>
              <w:right w:val="dashed" w:sz="4" w:space="0" w:color="DADADA"/>
            </w:tcBorders>
          </w:tcPr>
          <w:p w14:paraId="2ED72DD3" w14:textId="77777777" w:rsidR="00664A3F" w:rsidRDefault="00664A3F" w:rsidP="00B0263F">
            <w:pPr>
              <w:pStyle w:val="TableParagraph"/>
              <w:spacing w:before="33"/>
              <w:ind w:right="72"/>
              <w:rPr>
                <w:sz w:val="18"/>
              </w:rPr>
            </w:pPr>
            <w:r>
              <w:rPr>
                <w:sz w:val="18"/>
              </w:rPr>
              <w:t>62</w:t>
            </w:r>
          </w:p>
        </w:tc>
        <w:tc>
          <w:tcPr>
            <w:tcW w:w="1137" w:type="dxa"/>
            <w:tcBorders>
              <w:top w:val="single" w:sz="4" w:space="0" w:color="000000"/>
              <w:left w:val="dashed" w:sz="4" w:space="0" w:color="DADADA"/>
              <w:bottom w:val="single" w:sz="4" w:space="0" w:color="000000"/>
              <w:right w:val="dashed" w:sz="4" w:space="0" w:color="DADADA"/>
            </w:tcBorders>
          </w:tcPr>
          <w:p w14:paraId="1005C1D6" w14:textId="77777777" w:rsidR="00664A3F" w:rsidRDefault="00664A3F" w:rsidP="00B0263F">
            <w:pPr>
              <w:pStyle w:val="TableParagraph"/>
              <w:spacing w:before="33"/>
              <w:ind w:right="72"/>
              <w:rPr>
                <w:sz w:val="18"/>
              </w:rPr>
            </w:pPr>
            <w:r>
              <w:rPr>
                <w:sz w:val="18"/>
              </w:rPr>
              <w:t>40</w:t>
            </w:r>
          </w:p>
        </w:tc>
        <w:tc>
          <w:tcPr>
            <w:tcW w:w="1165" w:type="dxa"/>
            <w:tcBorders>
              <w:top w:val="single" w:sz="4" w:space="0" w:color="000000"/>
              <w:left w:val="dashed" w:sz="4" w:space="0" w:color="DADADA"/>
              <w:bottom w:val="single" w:sz="4" w:space="0" w:color="000000"/>
              <w:right w:val="dashed" w:sz="4" w:space="0" w:color="DADADA"/>
            </w:tcBorders>
          </w:tcPr>
          <w:p w14:paraId="47E9DB79" w14:textId="77777777" w:rsidR="00664A3F" w:rsidRDefault="00664A3F" w:rsidP="00B0263F">
            <w:pPr>
              <w:pStyle w:val="TableParagraph"/>
              <w:spacing w:before="33"/>
              <w:ind w:right="71"/>
              <w:rPr>
                <w:sz w:val="18"/>
              </w:rPr>
            </w:pPr>
            <w:r>
              <w:rPr>
                <w:sz w:val="18"/>
              </w:rPr>
              <w:t>20</w:t>
            </w:r>
          </w:p>
        </w:tc>
        <w:tc>
          <w:tcPr>
            <w:tcW w:w="1032" w:type="dxa"/>
            <w:tcBorders>
              <w:top w:val="single" w:sz="4" w:space="0" w:color="000000"/>
              <w:left w:val="dashed" w:sz="4" w:space="0" w:color="DADADA"/>
              <w:bottom w:val="single" w:sz="4" w:space="0" w:color="000000"/>
              <w:right w:val="nil"/>
            </w:tcBorders>
          </w:tcPr>
          <w:p w14:paraId="71959BA7" w14:textId="77777777" w:rsidR="00664A3F" w:rsidRDefault="00664A3F" w:rsidP="00B0263F">
            <w:pPr>
              <w:pStyle w:val="TableParagraph"/>
              <w:spacing w:before="33"/>
              <w:ind w:right="76"/>
              <w:rPr>
                <w:sz w:val="18"/>
              </w:rPr>
            </w:pPr>
            <w:r>
              <w:rPr>
                <w:sz w:val="18"/>
              </w:rPr>
              <w:t>60</w:t>
            </w:r>
          </w:p>
        </w:tc>
      </w:tr>
      <w:tr w:rsidR="00664A3F" w14:paraId="2F56FCB1"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61CE3485" w14:textId="77777777" w:rsidR="00664A3F" w:rsidRDefault="00664A3F" w:rsidP="00B0263F">
            <w:pPr>
              <w:pStyle w:val="TableParagraph"/>
              <w:spacing w:before="33"/>
              <w:ind w:left="79"/>
              <w:jc w:val="left"/>
              <w:rPr>
                <w:sz w:val="18"/>
              </w:rPr>
            </w:pPr>
            <w:r>
              <w:rPr>
                <w:sz w:val="18"/>
              </w:rPr>
              <w:t>2004-2005</w:t>
            </w:r>
          </w:p>
        </w:tc>
        <w:tc>
          <w:tcPr>
            <w:tcW w:w="1187" w:type="dxa"/>
            <w:tcBorders>
              <w:top w:val="single" w:sz="4" w:space="0" w:color="000000"/>
              <w:left w:val="single" w:sz="4" w:space="0" w:color="DADADA"/>
              <w:bottom w:val="single" w:sz="4" w:space="0" w:color="000000"/>
              <w:right w:val="dashed" w:sz="4" w:space="0" w:color="DADADA"/>
            </w:tcBorders>
          </w:tcPr>
          <w:p w14:paraId="3EC1AF14" w14:textId="77777777" w:rsidR="00664A3F" w:rsidRDefault="00664A3F" w:rsidP="00B0263F">
            <w:pPr>
              <w:pStyle w:val="TableParagraph"/>
              <w:spacing w:before="33"/>
              <w:ind w:right="72"/>
              <w:rPr>
                <w:sz w:val="18"/>
              </w:rPr>
            </w:pPr>
            <w:r>
              <w:rPr>
                <w:sz w:val="18"/>
              </w:rPr>
              <w:t>152</w:t>
            </w:r>
          </w:p>
        </w:tc>
        <w:tc>
          <w:tcPr>
            <w:tcW w:w="1173" w:type="dxa"/>
            <w:tcBorders>
              <w:top w:val="single" w:sz="4" w:space="0" w:color="000000"/>
              <w:left w:val="dashed" w:sz="4" w:space="0" w:color="DADADA"/>
              <w:bottom w:val="single" w:sz="4" w:space="0" w:color="000000"/>
              <w:right w:val="dashed" w:sz="4" w:space="0" w:color="DADADA"/>
            </w:tcBorders>
          </w:tcPr>
          <w:p w14:paraId="27666729" w14:textId="77777777" w:rsidR="00664A3F" w:rsidRDefault="00664A3F" w:rsidP="00B0263F">
            <w:pPr>
              <w:pStyle w:val="TableParagraph"/>
              <w:spacing w:before="33"/>
              <w:ind w:right="72"/>
              <w:rPr>
                <w:sz w:val="18"/>
              </w:rPr>
            </w:pPr>
            <w:r>
              <w:rPr>
                <w:sz w:val="18"/>
              </w:rPr>
              <w:t>35</w:t>
            </w:r>
          </w:p>
        </w:tc>
        <w:tc>
          <w:tcPr>
            <w:tcW w:w="1141" w:type="dxa"/>
            <w:tcBorders>
              <w:top w:val="single" w:sz="4" w:space="0" w:color="000000"/>
              <w:left w:val="dashed" w:sz="4" w:space="0" w:color="DADADA"/>
              <w:bottom w:val="single" w:sz="4" w:space="0" w:color="000000"/>
              <w:right w:val="dashed" w:sz="4" w:space="0" w:color="DADADA"/>
            </w:tcBorders>
          </w:tcPr>
          <w:p w14:paraId="1E906205" w14:textId="77777777" w:rsidR="00664A3F" w:rsidRDefault="00664A3F" w:rsidP="00B0263F">
            <w:pPr>
              <w:pStyle w:val="TableParagraph"/>
              <w:spacing w:before="33"/>
              <w:ind w:right="72"/>
              <w:rPr>
                <w:sz w:val="18"/>
              </w:rPr>
            </w:pPr>
            <w:r>
              <w:rPr>
                <w:sz w:val="18"/>
              </w:rPr>
              <w:t>187</w:t>
            </w:r>
          </w:p>
        </w:tc>
        <w:tc>
          <w:tcPr>
            <w:tcW w:w="1134" w:type="dxa"/>
            <w:tcBorders>
              <w:top w:val="single" w:sz="4" w:space="0" w:color="000000"/>
              <w:left w:val="dashed" w:sz="4" w:space="0" w:color="DADADA"/>
              <w:bottom w:val="single" w:sz="4" w:space="0" w:color="000000"/>
              <w:right w:val="dashed" w:sz="4" w:space="0" w:color="DADADA"/>
            </w:tcBorders>
          </w:tcPr>
          <w:p w14:paraId="240D104B" w14:textId="77777777" w:rsidR="00664A3F" w:rsidRDefault="00664A3F" w:rsidP="00B0263F">
            <w:pPr>
              <w:pStyle w:val="TableParagraph"/>
              <w:spacing w:before="33"/>
              <w:ind w:right="72"/>
              <w:rPr>
                <w:sz w:val="18"/>
              </w:rPr>
            </w:pPr>
            <w:r>
              <w:rPr>
                <w:sz w:val="18"/>
              </w:rPr>
              <w:t>38</w:t>
            </w:r>
          </w:p>
        </w:tc>
        <w:tc>
          <w:tcPr>
            <w:tcW w:w="1137" w:type="dxa"/>
            <w:tcBorders>
              <w:top w:val="single" w:sz="4" w:space="0" w:color="000000"/>
              <w:left w:val="dashed" w:sz="4" w:space="0" w:color="DADADA"/>
              <w:bottom w:val="single" w:sz="4" w:space="0" w:color="000000"/>
              <w:right w:val="dashed" w:sz="4" w:space="0" w:color="DADADA"/>
            </w:tcBorders>
          </w:tcPr>
          <w:p w14:paraId="2436C2BF" w14:textId="77777777" w:rsidR="00664A3F" w:rsidRDefault="00664A3F" w:rsidP="00B0263F">
            <w:pPr>
              <w:pStyle w:val="TableParagraph"/>
              <w:spacing w:before="33"/>
              <w:ind w:right="72"/>
              <w:rPr>
                <w:sz w:val="18"/>
              </w:rPr>
            </w:pPr>
            <w:r>
              <w:rPr>
                <w:sz w:val="18"/>
              </w:rPr>
              <w:t>27</w:t>
            </w:r>
          </w:p>
        </w:tc>
        <w:tc>
          <w:tcPr>
            <w:tcW w:w="1165" w:type="dxa"/>
            <w:tcBorders>
              <w:top w:val="single" w:sz="4" w:space="0" w:color="000000"/>
              <w:left w:val="dashed" w:sz="4" w:space="0" w:color="DADADA"/>
              <w:bottom w:val="single" w:sz="4" w:space="0" w:color="000000"/>
              <w:right w:val="dashed" w:sz="4" w:space="0" w:color="DADADA"/>
            </w:tcBorders>
          </w:tcPr>
          <w:p w14:paraId="63D9E763" w14:textId="77777777" w:rsidR="00664A3F" w:rsidRDefault="00664A3F" w:rsidP="00B0263F">
            <w:pPr>
              <w:pStyle w:val="TableParagraph"/>
              <w:spacing w:before="33"/>
              <w:ind w:right="71"/>
              <w:rPr>
                <w:sz w:val="18"/>
              </w:rPr>
            </w:pPr>
            <w:r>
              <w:rPr>
                <w:sz w:val="18"/>
              </w:rPr>
              <w:t>20</w:t>
            </w:r>
          </w:p>
        </w:tc>
        <w:tc>
          <w:tcPr>
            <w:tcW w:w="1032" w:type="dxa"/>
            <w:tcBorders>
              <w:top w:val="single" w:sz="4" w:space="0" w:color="000000"/>
              <w:left w:val="dashed" w:sz="4" w:space="0" w:color="DADADA"/>
              <w:bottom w:val="single" w:sz="4" w:space="0" w:color="000000"/>
              <w:right w:val="nil"/>
            </w:tcBorders>
          </w:tcPr>
          <w:p w14:paraId="398E9E2D" w14:textId="77777777" w:rsidR="00664A3F" w:rsidRDefault="00664A3F" w:rsidP="00B0263F">
            <w:pPr>
              <w:pStyle w:val="TableParagraph"/>
              <w:spacing w:before="33"/>
              <w:ind w:right="76"/>
              <w:rPr>
                <w:sz w:val="18"/>
              </w:rPr>
            </w:pPr>
            <w:r>
              <w:rPr>
                <w:sz w:val="18"/>
              </w:rPr>
              <w:t>47</w:t>
            </w:r>
          </w:p>
        </w:tc>
      </w:tr>
      <w:tr w:rsidR="00664A3F" w14:paraId="6568F8AE"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3728CBB2" w14:textId="77777777" w:rsidR="00664A3F" w:rsidRDefault="00664A3F" w:rsidP="00B0263F">
            <w:pPr>
              <w:pStyle w:val="TableParagraph"/>
              <w:spacing w:before="33"/>
              <w:ind w:left="79"/>
              <w:jc w:val="left"/>
              <w:rPr>
                <w:sz w:val="18"/>
              </w:rPr>
            </w:pPr>
            <w:r>
              <w:rPr>
                <w:sz w:val="18"/>
              </w:rPr>
              <w:t>2005-2006</w:t>
            </w:r>
          </w:p>
        </w:tc>
        <w:tc>
          <w:tcPr>
            <w:tcW w:w="1187" w:type="dxa"/>
            <w:tcBorders>
              <w:top w:val="single" w:sz="4" w:space="0" w:color="000000"/>
              <w:left w:val="single" w:sz="4" w:space="0" w:color="DADADA"/>
              <w:bottom w:val="single" w:sz="4" w:space="0" w:color="000000"/>
              <w:right w:val="dashed" w:sz="4" w:space="0" w:color="DADADA"/>
            </w:tcBorders>
          </w:tcPr>
          <w:p w14:paraId="331B4AC0" w14:textId="77777777" w:rsidR="00664A3F" w:rsidRDefault="00664A3F" w:rsidP="00B0263F">
            <w:pPr>
              <w:pStyle w:val="TableParagraph"/>
              <w:spacing w:before="33"/>
              <w:ind w:right="72"/>
              <w:rPr>
                <w:sz w:val="18"/>
              </w:rPr>
            </w:pPr>
            <w:r>
              <w:rPr>
                <w:sz w:val="18"/>
              </w:rPr>
              <w:t>231</w:t>
            </w:r>
          </w:p>
        </w:tc>
        <w:tc>
          <w:tcPr>
            <w:tcW w:w="1173" w:type="dxa"/>
            <w:tcBorders>
              <w:top w:val="single" w:sz="4" w:space="0" w:color="000000"/>
              <w:left w:val="dashed" w:sz="4" w:space="0" w:color="DADADA"/>
              <w:bottom w:val="single" w:sz="4" w:space="0" w:color="000000"/>
              <w:right w:val="dashed" w:sz="4" w:space="0" w:color="DADADA"/>
            </w:tcBorders>
          </w:tcPr>
          <w:p w14:paraId="390F6E7C" w14:textId="77777777" w:rsidR="00664A3F" w:rsidRDefault="00664A3F" w:rsidP="00B0263F">
            <w:pPr>
              <w:pStyle w:val="TableParagraph"/>
              <w:spacing w:before="33"/>
              <w:ind w:right="72"/>
              <w:rPr>
                <w:sz w:val="18"/>
              </w:rPr>
            </w:pPr>
            <w:r>
              <w:rPr>
                <w:sz w:val="18"/>
              </w:rPr>
              <w:t>34</w:t>
            </w:r>
          </w:p>
        </w:tc>
        <w:tc>
          <w:tcPr>
            <w:tcW w:w="1141" w:type="dxa"/>
            <w:tcBorders>
              <w:top w:val="single" w:sz="4" w:space="0" w:color="000000"/>
              <w:left w:val="dashed" w:sz="4" w:space="0" w:color="DADADA"/>
              <w:bottom w:val="single" w:sz="4" w:space="0" w:color="000000"/>
              <w:right w:val="dashed" w:sz="4" w:space="0" w:color="DADADA"/>
            </w:tcBorders>
          </w:tcPr>
          <w:p w14:paraId="200E5082" w14:textId="77777777" w:rsidR="00664A3F" w:rsidRDefault="00664A3F" w:rsidP="00B0263F">
            <w:pPr>
              <w:pStyle w:val="TableParagraph"/>
              <w:spacing w:before="33"/>
              <w:ind w:right="72"/>
              <w:rPr>
                <w:sz w:val="18"/>
              </w:rPr>
            </w:pPr>
            <w:r>
              <w:rPr>
                <w:sz w:val="18"/>
              </w:rPr>
              <w:t>265</w:t>
            </w:r>
          </w:p>
        </w:tc>
        <w:tc>
          <w:tcPr>
            <w:tcW w:w="1134" w:type="dxa"/>
            <w:tcBorders>
              <w:top w:val="single" w:sz="4" w:space="0" w:color="000000"/>
              <w:left w:val="dashed" w:sz="4" w:space="0" w:color="DADADA"/>
              <w:bottom w:val="single" w:sz="4" w:space="0" w:color="000000"/>
              <w:right w:val="dashed" w:sz="4" w:space="0" w:color="DADADA"/>
            </w:tcBorders>
          </w:tcPr>
          <w:p w14:paraId="60334D50" w14:textId="77777777" w:rsidR="00664A3F" w:rsidRDefault="00664A3F" w:rsidP="00B0263F">
            <w:pPr>
              <w:pStyle w:val="TableParagraph"/>
              <w:spacing w:before="33"/>
              <w:ind w:right="72"/>
              <w:rPr>
                <w:sz w:val="18"/>
              </w:rPr>
            </w:pPr>
            <w:r>
              <w:rPr>
                <w:sz w:val="18"/>
              </w:rPr>
              <w:t>61</w:t>
            </w:r>
          </w:p>
        </w:tc>
        <w:tc>
          <w:tcPr>
            <w:tcW w:w="1137" w:type="dxa"/>
            <w:tcBorders>
              <w:top w:val="single" w:sz="4" w:space="0" w:color="000000"/>
              <w:left w:val="dashed" w:sz="4" w:space="0" w:color="DADADA"/>
              <w:bottom w:val="single" w:sz="4" w:space="0" w:color="000000"/>
              <w:right w:val="dashed" w:sz="4" w:space="0" w:color="DADADA"/>
            </w:tcBorders>
          </w:tcPr>
          <w:p w14:paraId="2B29D7D8" w14:textId="77777777" w:rsidR="00664A3F" w:rsidRDefault="00664A3F" w:rsidP="00B0263F">
            <w:pPr>
              <w:pStyle w:val="TableParagraph"/>
              <w:spacing w:before="33"/>
              <w:ind w:right="72"/>
              <w:rPr>
                <w:sz w:val="18"/>
              </w:rPr>
            </w:pPr>
            <w:r>
              <w:rPr>
                <w:sz w:val="18"/>
              </w:rPr>
              <w:t>18</w:t>
            </w:r>
          </w:p>
        </w:tc>
        <w:tc>
          <w:tcPr>
            <w:tcW w:w="1165" w:type="dxa"/>
            <w:tcBorders>
              <w:top w:val="single" w:sz="4" w:space="0" w:color="000000"/>
              <w:left w:val="dashed" w:sz="4" w:space="0" w:color="DADADA"/>
              <w:bottom w:val="single" w:sz="4" w:space="0" w:color="000000"/>
              <w:right w:val="dashed" w:sz="4" w:space="0" w:color="DADADA"/>
            </w:tcBorders>
          </w:tcPr>
          <w:p w14:paraId="7F4A54E1" w14:textId="77777777" w:rsidR="00664A3F" w:rsidRDefault="00664A3F" w:rsidP="00B0263F">
            <w:pPr>
              <w:pStyle w:val="TableParagraph"/>
              <w:spacing w:before="33"/>
              <w:ind w:right="71"/>
              <w:rPr>
                <w:sz w:val="18"/>
              </w:rPr>
            </w:pPr>
            <w:r>
              <w:rPr>
                <w:sz w:val="18"/>
              </w:rPr>
              <w:t>15</w:t>
            </w:r>
          </w:p>
        </w:tc>
        <w:tc>
          <w:tcPr>
            <w:tcW w:w="1032" w:type="dxa"/>
            <w:tcBorders>
              <w:top w:val="single" w:sz="4" w:space="0" w:color="000000"/>
              <w:left w:val="dashed" w:sz="4" w:space="0" w:color="DADADA"/>
              <w:bottom w:val="single" w:sz="4" w:space="0" w:color="000000"/>
              <w:right w:val="nil"/>
            </w:tcBorders>
          </w:tcPr>
          <w:p w14:paraId="61A72CA7" w14:textId="77777777" w:rsidR="00664A3F" w:rsidRDefault="00664A3F" w:rsidP="00B0263F">
            <w:pPr>
              <w:pStyle w:val="TableParagraph"/>
              <w:spacing w:before="33"/>
              <w:ind w:right="76"/>
              <w:rPr>
                <w:sz w:val="18"/>
              </w:rPr>
            </w:pPr>
            <w:r>
              <w:rPr>
                <w:sz w:val="18"/>
              </w:rPr>
              <w:t>33</w:t>
            </w:r>
          </w:p>
        </w:tc>
      </w:tr>
      <w:tr w:rsidR="00664A3F" w14:paraId="50572E0E"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07190847" w14:textId="77777777" w:rsidR="00664A3F" w:rsidRDefault="00664A3F" w:rsidP="00B0263F">
            <w:pPr>
              <w:pStyle w:val="TableParagraph"/>
              <w:spacing w:before="33"/>
              <w:ind w:left="79"/>
              <w:jc w:val="left"/>
              <w:rPr>
                <w:sz w:val="18"/>
              </w:rPr>
            </w:pPr>
            <w:r>
              <w:rPr>
                <w:sz w:val="18"/>
              </w:rPr>
              <w:t>2006-2007</w:t>
            </w:r>
          </w:p>
        </w:tc>
        <w:tc>
          <w:tcPr>
            <w:tcW w:w="1187" w:type="dxa"/>
            <w:tcBorders>
              <w:top w:val="single" w:sz="4" w:space="0" w:color="000000"/>
              <w:left w:val="single" w:sz="4" w:space="0" w:color="DADADA"/>
              <w:bottom w:val="single" w:sz="4" w:space="0" w:color="000000"/>
              <w:right w:val="dashed" w:sz="4" w:space="0" w:color="DADADA"/>
            </w:tcBorders>
          </w:tcPr>
          <w:p w14:paraId="665F2FD5" w14:textId="77777777" w:rsidR="00664A3F" w:rsidRDefault="00664A3F" w:rsidP="00B0263F">
            <w:pPr>
              <w:pStyle w:val="TableParagraph"/>
              <w:spacing w:before="33"/>
              <w:ind w:right="72"/>
              <w:rPr>
                <w:sz w:val="18"/>
              </w:rPr>
            </w:pPr>
            <w:r>
              <w:rPr>
                <w:sz w:val="18"/>
              </w:rPr>
              <w:t>232</w:t>
            </w:r>
          </w:p>
        </w:tc>
        <w:tc>
          <w:tcPr>
            <w:tcW w:w="1173" w:type="dxa"/>
            <w:tcBorders>
              <w:top w:val="single" w:sz="4" w:space="0" w:color="000000"/>
              <w:left w:val="dashed" w:sz="4" w:space="0" w:color="DADADA"/>
              <w:bottom w:val="single" w:sz="4" w:space="0" w:color="000000"/>
              <w:right w:val="dashed" w:sz="4" w:space="0" w:color="DADADA"/>
            </w:tcBorders>
          </w:tcPr>
          <w:p w14:paraId="6CBAE661" w14:textId="77777777" w:rsidR="00664A3F" w:rsidRDefault="00664A3F" w:rsidP="00B0263F">
            <w:pPr>
              <w:pStyle w:val="TableParagraph"/>
              <w:spacing w:before="33"/>
              <w:ind w:right="72"/>
              <w:rPr>
                <w:sz w:val="18"/>
              </w:rPr>
            </w:pPr>
            <w:r>
              <w:rPr>
                <w:sz w:val="18"/>
              </w:rPr>
              <w:t>36</w:t>
            </w:r>
          </w:p>
        </w:tc>
        <w:tc>
          <w:tcPr>
            <w:tcW w:w="1141" w:type="dxa"/>
            <w:tcBorders>
              <w:top w:val="single" w:sz="4" w:space="0" w:color="000000"/>
              <w:left w:val="dashed" w:sz="4" w:space="0" w:color="DADADA"/>
              <w:bottom w:val="single" w:sz="4" w:space="0" w:color="000000"/>
              <w:right w:val="dashed" w:sz="4" w:space="0" w:color="DADADA"/>
            </w:tcBorders>
          </w:tcPr>
          <w:p w14:paraId="5924F592" w14:textId="77777777" w:rsidR="00664A3F" w:rsidRDefault="00664A3F" w:rsidP="00B0263F">
            <w:pPr>
              <w:pStyle w:val="TableParagraph"/>
              <w:spacing w:before="33"/>
              <w:ind w:right="72"/>
              <w:rPr>
                <w:sz w:val="18"/>
              </w:rPr>
            </w:pPr>
            <w:r>
              <w:rPr>
                <w:sz w:val="18"/>
              </w:rPr>
              <w:t>268</w:t>
            </w:r>
          </w:p>
        </w:tc>
        <w:tc>
          <w:tcPr>
            <w:tcW w:w="1134" w:type="dxa"/>
            <w:tcBorders>
              <w:top w:val="single" w:sz="4" w:space="0" w:color="000000"/>
              <w:left w:val="dashed" w:sz="4" w:space="0" w:color="DADADA"/>
              <w:bottom w:val="single" w:sz="4" w:space="0" w:color="000000"/>
              <w:right w:val="dashed" w:sz="4" w:space="0" w:color="DADADA"/>
            </w:tcBorders>
          </w:tcPr>
          <w:p w14:paraId="79EDD640" w14:textId="77777777" w:rsidR="00664A3F" w:rsidRDefault="00664A3F" w:rsidP="00B0263F">
            <w:pPr>
              <w:pStyle w:val="TableParagraph"/>
              <w:spacing w:before="33"/>
              <w:ind w:right="72"/>
              <w:rPr>
                <w:sz w:val="18"/>
              </w:rPr>
            </w:pPr>
            <w:r>
              <w:rPr>
                <w:sz w:val="18"/>
              </w:rPr>
              <w:t>69</w:t>
            </w:r>
          </w:p>
        </w:tc>
        <w:tc>
          <w:tcPr>
            <w:tcW w:w="1137" w:type="dxa"/>
            <w:tcBorders>
              <w:top w:val="single" w:sz="4" w:space="0" w:color="000000"/>
              <w:left w:val="dashed" w:sz="4" w:space="0" w:color="DADADA"/>
              <w:bottom w:val="single" w:sz="4" w:space="0" w:color="000000"/>
              <w:right w:val="dashed" w:sz="4" w:space="0" w:color="DADADA"/>
            </w:tcBorders>
          </w:tcPr>
          <w:p w14:paraId="34414AE3" w14:textId="77777777" w:rsidR="00664A3F" w:rsidRDefault="00664A3F" w:rsidP="00B0263F">
            <w:pPr>
              <w:pStyle w:val="TableParagraph"/>
              <w:spacing w:before="33"/>
              <w:ind w:right="72"/>
              <w:rPr>
                <w:sz w:val="18"/>
              </w:rPr>
            </w:pPr>
            <w:r>
              <w:rPr>
                <w:sz w:val="18"/>
              </w:rPr>
              <w:t>21</w:t>
            </w:r>
          </w:p>
        </w:tc>
        <w:tc>
          <w:tcPr>
            <w:tcW w:w="1165" w:type="dxa"/>
            <w:tcBorders>
              <w:top w:val="single" w:sz="4" w:space="0" w:color="000000"/>
              <w:left w:val="dashed" w:sz="4" w:space="0" w:color="DADADA"/>
              <w:bottom w:val="single" w:sz="4" w:space="0" w:color="000000"/>
              <w:right w:val="dashed" w:sz="4" w:space="0" w:color="DADADA"/>
            </w:tcBorders>
          </w:tcPr>
          <w:p w14:paraId="47E2C732" w14:textId="77777777" w:rsidR="00664A3F" w:rsidRDefault="00664A3F" w:rsidP="00B0263F">
            <w:pPr>
              <w:pStyle w:val="TableParagraph"/>
              <w:spacing w:before="33"/>
              <w:ind w:right="71"/>
              <w:rPr>
                <w:sz w:val="18"/>
              </w:rPr>
            </w:pPr>
            <w:r>
              <w:rPr>
                <w:sz w:val="18"/>
              </w:rPr>
              <w:t>16</w:t>
            </w:r>
          </w:p>
        </w:tc>
        <w:tc>
          <w:tcPr>
            <w:tcW w:w="1032" w:type="dxa"/>
            <w:tcBorders>
              <w:top w:val="single" w:sz="4" w:space="0" w:color="000000"/>
              <w:left w:val="dashed" w:sz="4" w:space="0" w:color="DADADA"/>
              <w:bottom w:val="single" w:sz="4" w:space="0" w:color="000000"/>
              <w:right w:val="nil"/>
            </w:tcBorders>
          </w:tcPr>
          <w:p w14:paraId="6200B61C" w14:textId="77777777" w:rsidR="00664A3F" w:rsidRDefault="00664A3F" w:rsidP="00B0263F">
            <w:pPr>
              <w:pStyle w:val="TableParagraph"/>
              <w:spacing w:before="33"/>
              <w:ind w:right="76"/>
              <w:rPr>
                <w:sz w:val="18"/>
              </w:rPr>
            </w:pPr>
            <w:r>
              <w:rPr>
                <w:sz w:val="18"/>
              </w:rPr>
              <w:t>37</w:t>
            </w:r>
          </w:p>
        </w:tc>
      </w:tr>
      <w:tr w:rsidR="00664A3F" w14:paraId="4CCB1EFF"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3B8EBFC7" w14:textId="77777777" w:rsidR="00664A3F" w:rsidRDefault="00664A3F" w:rsidP="00B0263F">
            <w:pPr>
              <w:pStyle w:val="TableParagraph"/>
              <w:spacing w:before="33"/>
              <w:ind w:left="79"/>
              <w:jc w:val="left"/>
              <w:rPr>
                <w:sz w:val="18"/>
              </w:rPr>
            </w:pPr>
            <w:r>
              <w:rPr>
                <w:sz w:val="18"/>
              </w:rPr>
              <w:t>2007-2008</w:t>
            </w:r>
          </w:p>
        </w:tc>
        <w:tc>
          <w:tcPr>
            <w:tcW w:w="1187" w:type="dxa"/>
            <w:tcBorders>
              <w:top w:val="single" w:sz="4" w:space="0" w:color="000000"/>
              <w:left w:val="single" w:sz="4" w:space="0" w:color="DADADA"/>
              <w:bottom w:val="single" w:sz="4" w:space="0" w:color="000000"/>
              <w:right w:val="dashed" w:sz="4" w:space="0" w:color="DADADA"/>
            </w:tcBorders>
          </w:tcPr>
          <w:p w14:paraId="6E601653" w14:textId="77777777" w:rsidR="00664A3F" w:rsidRDefault="00664A3F" w:rsidP="00B0263F">
            <w:pPr>
              <w:pStyle w:val="TableParagraph"/>
              <w:spacing w:before="33"/>
              <w:ind w:right="72"/>
              <w:rPr>
                <w:sz w:val="18"/>
              </w:rPr>
            </w:pPr>
            <w:r>
              <w:rPr>
                <w:sz w:val="18"/>
              </w:rPr>
              <w:t>206</w:t>
            </w:r>
          </w:p>
        </w:tc>
        <w:tc>
          <w:tcPr>
            <w:tcW w:w="1173" w:type="dxa"/>
            <w:tcBorders>
              <w:top w:val="single" w:sz="4" w:space="0" w:color="000000"/>
              <w:left w:val="dashed" w:sz="4" w:space="0" w:color="DADADA"/>
              <w:bottom w:val="single" w:sz="4" w:space="0" w:color="000000"/>
              <w:right w:val="dashed" w:sz="4" w:space="0" w:color="DADADA"/>
            </w:tcBorders>
          </w:tcPr>
          <w:p w14:paraId="7745509B" w14:textId="77777777" w:rsidR="00664A3F" w:rsidRDefault="00664A3F" w:rsidP="00B0263F">
            <w:pPr>
              <w:pStyle w:val="TableParagraph"/>
              <w:spacing w:before="33"/>
              <w:ind w:right="72"/>
              <w:rPr>
                <w:sz w:val="18"/>
              </w:rPr>
            </w:pPr>
            <w:r>
              <w:rPr>
                <w:sz w:val="18"/>
              </w:rPr>
              <w:t>36</w:t>
            </w:r>
          </w:p>
        </w:tc>
        <w:tc>
          <w:tcPr>
            <w:tcW w:w="1141" w:type="dxa"/>
            <w:tcBorders>
              <w:top w:val="single" w:sz="4" w:space="0" w:color="000000"/>
              <w:left w:val="dashed" w:sz="4" w:space="0" w:color="DADADA"/>
              <w:bottom w:val="single" w:sz="4" w:space="0" w:color="000000"/>
              <w:right w:val="dashed" w:sz="4" w:space="0" w:color="DADADA"/>
            </w:tcBorders>
          </w:tcPr>
          <w:p w14:paraId="39323E39" w14:textId="77777777" w:rsidR="00664A3F" w:rsidRDefault="00664A3F" w:rsidP="00B0263F">
            <w:pPr>
              <w:pStyle w:val="TableParagraph"/>
              <w:spacing w:before="33"/>
              <w:ind w:right="72"/>
              <w:rPr>
                <w:sz w:val="18"/>
              </w:rPr>
            </w:pPr>
            <w:r>
              <w:rPr>
                <w:sz w:val="18"/>
              </w:rPr>
              <w:t>242</w:t>
            </w:r>
          </w:p>
        </w:tc>
        <w:tc>
          <w:tcPr>
            <w:tcW w:w="1134" w:type="dxa"/>
            <w:tcBorders>
              <w:top w:val="single" w:sz="4" w:space="0" w:color="000000"/>
              <w:left w:val="dashed" w:sz="4" w:space="0" w:color="DADADA"/>
              <w:bottom w:val="single" w:sz="4" w:space="0" w:color="000000"/>
              <w:right w:val="dashed" w:sz="4" w:space="0" w:color="DADADA"/>
            </w:tcBorders>
          </w:tcPr>
          <w:p w14:paraId="5789EA8C" w14:textId="77777777" w:rsidR="00664A3F" w:rsidRDefault="00664A3F" w:rsidP="00B0263F">
            <w:pPr>
              <w:pStyle w:val="TableParagraph"/>
              <w:spacing w:before="33"/>
              <w:ind w:right="72"/>
              <w:rPr>
                <w:sz w:val="18"/>
              </w:rPr>
            </w:pPr>
            <w:r>
              <w:rPr>
                <w:sz w:val="18"/>
              </w:rPr>
              <w:t>59</w:t>
            </w:r>
          </w:p>
        </w:tc>
        <w:tc>
          <w:tcPr>
            <w:tcW w:w="1137" w:type="dxa"/>
            <w:tcBorders>
              <w:top w:val="single" w:sz="4" w:space="0" w:color="000000"/>
              <w:left w:val="dashed" w:sz="4" w:space="0" w:color="DADADA"/>
              <w:bottom w:val="single" w:sz="4" w:space="0" w:color="000000"/>
              <w:right w:val="dashed" w:sz="4" w:space="0" w:color="DADADA"/>
            </w:tcBorders>
          </w:tcPr>
          <w:p w14:paraId="60F7CE88" w14:textId="77777777" w:rsidR="00664A3F" w:rsidRDefault="00664A3F" w:rsidP="00B0263F">
            <w:pPr>
              <w:pStyle w:val="TableParagraph"/>
              <w:spacing w:before="33"/>
              <w:ind w:right="72"/>
              <w:rPr>
                <w:sz w:val="18"/>
              </w:rPr>
            </w:pPr>
            <w:r>
              <w:rPr>
                <w:sz w:val="18"/>
              </w:rPr>
              <w:t>15</w:t>
            </w:r>
          </w:p>
        </w:tc>
        <w:tc>
          <w:tcPr>
            <w:tcW w:w="1165" w:type="dxa"/>
            <w:tcBorders>
              <w:top w:val="single" w:sz="4" w:space="0" w:color="000000"/>
              <w:left w:val="dashed" w:sz="4" w:space="0" w:color="DADADA"/>
              <w:bottom w:val="single" w:sz="4" w:space="0" w:color="000000"/>
              <w:right w:val="dashed" w:sz="4" w:space="0" w:color="DADADA"/>
            </w:tcBorders>
          </w:tcPr>
          <w:p w14:paraId="1DBB10CC" w14:textId="77777777" w:rsidR="00664A3F" w:rsidRDefault="00664A3F" w:rsidP="00B0263F">
            <w:pPr>
              <w:pStyle w:val="TableParagraph"/>
              <w:spacing w:before="33"/>
              <w:ind w:right="71"/>
              <w:rPr>
                <w:sz w:val="18"/>
              </w:rPr>
            </w:pPr>
            <w:r>
              <w:rPr>
                <w:sz w:val="18"/>
              </w:rPr>
              <w:t>17</w:t>
            </w:r>
          </w:p>
        </w:tc>
        <w:tc>
          <w:tcPr>
            <w:tcW w:w="1032" w:type="dxa"/>
            <w:tcBorders>
              <w:top w:val="single" w:sz="4" w:space="0" w:color="000000"/>
              <w:left w:val="dashed" w:sz="4" w:space="0" w:color="DADADA"/>
              <w:bottom w:val="single" w:sz="4" w:space="0" w:color="000000"/>
              <w:right w:val="nil"/>
            </w:tcBorders>
          </w:tcPr>
          <w:p w14:paraId="2C803056" w14:textId="77777777" w:rsidR="00664A3F" w:rsidRDefault="00664A3F" w:rsidP="00B0263F">
            <w:pPr>
              <w:pStyle w:val="TableParagraph"/>
              <w:spacing w:before="33"/>
              <w:ind w:right="76"/>
              <w:rPr>
                <w:sz w:val="18"/>
              </w:rPr>
            </w:pPr>
            <w:r>
              <w:rPr>
                <w:sz w:val="18"/>
              </w:rPr>
              <w:t>32</w:t>
            </w:r>
          </w:p>
        </w:tc>
      </w:tr>
      <w:tr w:rsidR="00664A3F" w14:paraId="559B1071"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2770E89E" w14:textId="77777777" w:rsidR="00664A3F" w:rsidRDefault="00664A3F" w:rsidP="00B0263F">
            <w:pPr>
              <w:pStyle w:val="TableParagraph"/>
              <w:spacing w:before="33"/>
              <w:ind w:left="79"/>
              <w:jc w:val="left"/>
              <w:rPr>
                <w:sz w:val="18"/>
              </w:rPr>
            </w:pPr>
            <w:r>
              <w:rPr>
                <w:sz w:val="18"/>
              </w:rPr>
              <w:t>2008-2009</w:t>
            </w:r>
          </w:p>
        </w:tc>
        <w:tc>
          <w:tcPr>
            <w:tcW w:w="1187" w:type="dxa"/>
            <w:tcBorders>
              <w:top w:val="single" w:sz="4" w:space="0" w:color="000000"/>
              <w:left w:val="single" w:sz="4" w:space="0" w:color="DADADA"/>
              <w:bottom w:val="single" w:sz="4" w:space="0" w:color="000000"/>
              <w:right w:val="dashed" w:sz="4" w:space="0" w:color="DADADA"/>
            </w:tcBorders>
          </w:tcPr>
          <w:p w14:paraId="3198AFEB" w14:textId="77777777" w:rsidR="00664A3F" w:rsidRDefault="00664A3F" w:rsidP="00B0263F">
            <w:pPr>
              <w:pStyle w:val="TableParagraph"/>
              <w:spacing w:before="33"/>
              <w:ind w:right="72"/>
              <w:rPr>
                <w:sz w:val="18"/>
              </w:rPr>
            </w:pPr>
            <w:r>
              <w:rPr>
                <w:sz w:val="18"/>
              </w:rPr>
              <w:t>221</w:t>
            </w:r>
          </w:p>
        </w:tc>
        <w:tc>
          <w:tcPr>
            <w:tcW w:w="1173" w:type="dxa"/>
            <w:tcBorders>
              <w:top w:val="single" w:sz="4" w:space="0" w:color="000000"/>
              <w:left w:val="dashed" w:sz="4" w:space="0" w:color="DADADA"/>
              <w:bottom w:val="single" w:sz="4" w:space="0" w:color="000000"/>
              <w:right w:val="dashed" w:sz="4" w:space="0" w:color="DADADA"/>
            </w:tcBorders>
          </w:tcPr>
          <w:p w14:paraId="49A19EE4" w14:textId="77777777" w:rsidR="00664A3F" w:rsidRDefault="00664A3F" w:rsidP="00B0263F">
            <w:pPr>
              <w:pStyle w:val="TableParagraph"/>
              <w:spacing w:before="33"/>
              <w:ind w:right="72"/>
              <w:rPr>
                <w:sz w:val="18"/>
              </w:rPr>
            </w:pPr>
            <w:r>
              <w:rPr>
                <w:sz w:val="18"/>
              </w:rPr>
              <w:t>31</w:t>
            </w:r>
          </w:p>
        </w:tc>
        <w:tc>
          <w:tcPr>
            <w:tcW w:w="1141" w:type="dxa"/>
            <w:tcBorders>
              <w:top w:val="single" w:sz="4" w:space="0" w:color="000000"/>
              <w:left w:val="dashed" w:sz="4" w:space="0" w:color="DADADA"/>
              <w:bottom w:val="single" w:sz="4" w:space="0" w:color="000000"/>
              <w:right w:val="dashed" w:sz="4" w:space="0" w:color="DADADA"/>
            </w:tcBorders>
          </w:tcPr>
          <w:p w14:paraId="58596678" w14:textId="77777777" w:rsidR="00664A3F" w:rsidRDefault="00664A3F" w:rsidP="00B0263F">
            <w:pPr>
              <w:pStyle w:val="TableParagraph"/>
              <w:spacing w:before="33"/>
              <w:ind w:right="72"/>
              <w:rPr>
                <w:sz w:val="18"/>
              </w:rPr>
            </w:pPr>
            <w:r>
              <w:rPr>
                <w:sz w:val="18"/>
              </w:rPr>
              <w:t>252</w:t>
            </w:r>
          </w:p>
        </w:tc>
        <w:tc>
          <w:tcPr>
            <w:tcW w:w="1134" w:type="dxa"/>
            <w:tcBorders>
              <w:top w:val="single" w:sz="4" w:space="0" w:color="000000"/>
              <w:left w:val="dashed" w:sz="4" w:space="0" w:color="DADADA"/>
              <w:bottom w:val="single" w:sz="4" w:space="0" w:color="000000"/>
              <w:right w:val="dashed" w:sz="4" w:space="0" w:color="DADADA"/>
            </w:tcBorders>
          </w:tcPr>
          <w:p w14:paraId="78BCFB08" w14:textId="77777777" w:rsidR="00664A3F" w:rsidRDefault="00664A3F" w:rsidP="00B0263F">
            <w:pPr>
              <w:pStyle w:val="TableParagraph"/>
              <w:spacing w:before="33"/>
              <w:ind w:right="72"/>
              <w:rPr>
                <w:sz w:val="18"/>
              </w:rPr>
            </w:pPr>
            <w:r>
              <w:rPr>
                <w:sz w:val="18"/>
              </w:rPr>
              <w:t>61</w:t>
            </w:r>
          </w:p>
        </w:tc>
        <w:tc>
          <w:tcPr>
            <w:tcW w:w="1137" w:type="dxa"/>
            <w:tcBorders>
              <w:top w:val="single" w:sz="4" w:space="0" w:color="000000"/>
              <w:left w:val="dashed" w:sz="4" w:space="0" w:color="DADADA"/>
              <w:bottom w:val="single" w:sz="4" w:space="0" w:color="000000"/>
              <w:right w:val="dashed" w:sz="4" w:space="0" w:color="DADADA"/>
            </w:tcBorders>
          </w:tcPr>
          <w:p w14:paraId="04F76243" w14:textId="77777777" w:rsidR="00664A3F" w:rsidRDefault="00664A3F" w:rsidP="00B0263F">
            <w:pPr>
              <w:pStyle w:val="TableParagraph"/>
              <w:spacing w:before="33"/>
              <w:ind w:right="72"/>
              <w:rPr>
                <w:sz w:val="18"/>
              </w:rPr>
            </w:pPr>
            <w:r>
              <w:rPr>
                <w:sz w:val="18"/>
              </w:rPr>
              <w:t>23</w:t>
            </w:r>
          </w:p>
        </w:tc>
        <w:tc>
          <w:tcPr>
            <w:tcW w:w="1165" w:type="dxa"/>
            <w:tcBorders>
              <w:top w:val="single" w:sz="4" w:space="0" w:color="000000"/>
              <w:left w:val="dashed" w:sz="4" w:space="0" w:color="DADADA"/>
              <w:bottom w:val="single" w:sz="4" w:space="0" w:color="000000"/>
              <w:right w:val="dashed" w:sz="4" w:space="0" w:color="DADADA"/>
            </w:tcBorders>
          </w:tcPr>
          <w:p w14:paraId="21815DAA" w14:textId="77777777" w:rsidR="00664A3F" w:rsidRDefault="00664A3F" w:rsidP="00B0263F">
            <w:pPr>
              <w:pStyle w:val="TableParagraph"/>
              <w:spacing w:before="33"/>
              <w:ind w:right="71"/>
              <w:rPr>
                <w:sz w:val="18"/>
              </w:rPr>
            </w:pPr>
            <w:r>
              <w:rPr>
                <w:sz w:val="18"/>
              </w:rPr>
              <w:t>13</w:t>
            </w:r>
          </w:p>
        </w:tc>
        <w:tc>
          <w:tcPr>
            <w:tcW w:w="1032" w:type="dxa"/>
            <w:tcBorders>
              <w:top w:val="single" w:sz="4" w:space="0" w:color="000000"/>
              <w:left w:val="dashed" w:sz="4" w:space="0" w:color="DADADA"/>
              <w:bottom w:val="single" w:sz="4" w:space="0" w:color="000000"/>
              <w:right w:val="nil"/>
            </w:tcBorders>
          </w:tcPr>
          <w:p w14:paraId="7AF2F482" w14:textId="77777777" w:rsidR="00664A3F" w:rsidRDefault="00664A3F" w:rsidP="00B0263F">
            <w:pPr>
              <w:pStyle w:val="TableParagraph"/>
              <w:spacing w:before="33"/>
              <w:ind w:right="76"/>
              <w:rPr>
                <w:sz w:val="18"/>
              </w:rPr>
            </w:pPr>
            <w:r>
              <w:rPr>
                <w:sz w:val="18"/>
              </w:rPr>
              <w:t>36</w:t>
            </w:r>
          </w:p>
        </w:tc>
      </w:tr>
      <w:tr w:rsidR="00664A3F" w14:paraId="1465241B"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38D2AA93" w14:textId="77777777" w:rsidR="00664A3F" w:rsidRDefault="00664A3F" w:rsidP="00B0263F">
            <w:pPr>
              <w:pStyle w:val="TableParagraph"/>
              <w:spacing w:before="33"/>
              <w:ind w:left="79"/>
              <w:jc w:val="left"/>
              <w:rPr>
                <w:sz w:val="18"/>
              </w:rPr>
            </w:pPr>
            <w:r>
              <w:rPr>
                <w:sz w:val="18"/>
              </w:rPr>
              <w:t>2009-2010</w:t>
            </w:r>
          </w:p>
        </w:tc>
        <w:tc>
          <w:tcPr>
            <w:tcW w:w="1187" w:type="dxa"/>
            <w:tcBorders>
              <w:top w:val="single" w:sz="4" w:space="0" w:color="000000"/>
              <w:left w:val="single" w:sz="4" w:space="0" w:color="DADADA"/>
              <w:bottom w:val="single" w:sz="4" w:space="0" w:color="000000"/>
              <w:right w:val="dashed" w:sz="4" w:space="0" w:color="DADADA"/>
            </w:tcBorders>
          </w:tcPr>
          <w:p w14:paraId="04E695FC" w14:textId="77777777" w:rsidR="00664A3F" w:rsidRDefault="00664A3F" w:rsidP="00B0263F">
            <w:pPr>
              <w:pStyle w:val="TableParagraph"/>
              <w:spacing w:before="33"/>
              <w:ind w:right="72"/>
              <w:rPr>
                <w:sz w:val="18"/>
              </w:rPr>
            </w:pPr>
            <w:r>
              <w:rPr>
                <w:sz w:val="18"/>
              </w:rPr>
              <w:t>264</w:t>
            </w:r>
          </w:p>
        </w:tc>
        <w:tc>
          <w:tcPr>
            <w:tcW w:w="1173" w:type="dxa"/>
            <w:tcBorders>
              <w:top w:val="single" w:sz="4" w:space="0" w:color="000000"/>
              <w:left w:val="dashed" w:sz="4" w:space="0" w:color="DADADA"/>
              <w:bottom w:val="single" w:sz="4" w:space="0" w:color="000000"/>
              <w:right w:val="dashed" w:sz="4" w:space="0" w:color="DADADA"/>
            </w:tcBorders>
          </w:tcPr>
          <w:p w14:paraId="1D148A17" w14:textId="77777777" w:rsidR="00664A3F" w:rsidRDefault="00664A3F" w:rsidP="00B0263F">
            <w:pPr>
              <w:pStyle w:val="TableParagraph"/>
              <w:spacing w:before="33"/>
              <w:ind w:right="72"/>
              <w:rPr>
                <w:sz w:val="18"/>
              </w:rPr>
            </w:pPr>
            <w:r>
              <w:rPr>
                <w:sz w:val="18"/>
              </w:rPr>
              <w:t>47</w:t>
            </w:r>
          </w:p>
        </w:tc>
        <w:tc>
          <w:tcPr>
            <w:tcW w:w="1141" w:type="dxa"/>
            <w:tcBorders>
              <w:top w:val="single" w:sz="4" w:space="0" w:color="000000"/>
              <w:left w:val="dashed" w:sz="4" w:space="0" w:color="DADADA"/>
              <w:bottom w:val="single" w:sz="4" w:space="0" w:color="000000"/>
              <w:right w:val="dashed" w:sz="4" w:space="0" w:color="DADADA"/>
            </w:tcBorders>
          </w:tcPr>
          <w:p w14:paraId="380247E8" w14:textId="77777777" w:rsidR="00664A3F" w:rsidRDefault="00664A3F" w:rsidP="00B0263F">
            <w:pPr>
              <w:pStyle w:val="TableParagraph"/>
              <w:spacing w:before="33"/>
              <w:ind w:right="72"/>
              <w:rPr>
                <w:sz w:val="18"/>
              </w:rPr>
            </w:pPr>
            <w:r>
              <w:rPr>
                <w:sz w:val="18"/>
              </w:rPr>
              <w:t>311</w:t>
            </w:r>
          </w:p>
        </w:tc>
        <w:tc>
          <w:tcPr>
            <w:tcW w:w="1134" w:type="dxa"/>
            <w:tcBorders>
              <w:top w:val="single" w:sz="4" w:space="0" w:color="000000"/>
              <w:left w:val="dashed" w:sz="4" w:space="0" w:color="DADADA"/>
              <w:bottom w:val="single" w:sz="4" w:space="0" w:color="000000"/>
              <w:right w:val="dashed" w:sz="4" w:space="0" w:color="DADADA"/>
            </w:tcBorders>
          </w:tcPr>
          <w:p w14:paraId="4A8D67EC" w14:textId="77777777" w:rsidR="00664A3F" w:rsidRDefault="00664A3F" w:rsidP="00B0263F">
            <w:pPr>
              <w:pStyle w:val="TableParagraph"/>
              <w:spacing w:before="33"/>
              <w:ind w:right="72"/>
              <w:rPr>
                <w:sz w:val="18"/>
              </w:rPr>
            </w:pPr>
            <w:r>
              <w:rPr>
                <w:sz w:val="18"/>
              </w:rPr>
              <w:t>74</w:t>
            </w:r>
          </w:p>
        </w:tc>
        <w:tc>
          <w:tcPr>
            <w:tcW w:w="1137" w:type="dxa"/>
            <w:tcBorders>
              <w:top w:val="single" w:sz="4" w:space="0" w:color="000000"/>
              <w:left w:val="dashed" w:sz="4" w:space="0" w:color="DADADA"/>
              <w:bottom w:val="single" w:sz="4" w:space="0" w:color="000000"/>
              <w:right w:val="dashed" w:sz="4" w:space="0" w:color="DADADA"/>
            </w:tcBorders>
          </w:tcPr>
          <w:p w14:paraId="2DD89E01" w14:textId="77777777" w:rsidR="00664A3F" w:rsidRDefault="00664A3F" w:rsidP="00B0263F">
            <w:pPr>
              <w:pStyle w:val="TableParagraph"/>
              <w:spacing w:before="33"/>
              <w:ind w:right="72"/>
              <w:rPr>
                <w:sz w:val="18"/>
              </w:rPr>
            </w:pPr>
            <w:r>
              <w:rPr>
                <w:sz w:val="18"/>
              </w:rPr>
              <w:t>21</w:t>
            </w:r>
          </w:p>
        </w:tc>
        <w:tc>
          <w:tcPr>
            <w:tcW w:w="1165" w:type="dxa"/>
            <w:tcBorders>
              <w:top w:val="single" w:sz="4" w:space="0" w:color="000000"/>
              <w:left w:val="dashed" w:sz="4" w:space="0" w:color="DADADA"/>
              <w:bottom w:val="single" w:sz="4" w:space="0" w:color="000000"/>
              <w:right w:val="dashed" w:sz="4" w:space="0" w:color="DADADA"/>
            </w:tcBorders>
          </w:tcPr>
          <w:p w14:paraId="6A325AF6" w14:textId="77777777" w:rsidR="00664A3F" w:rsidRDefault="00664A3F" w:rsidP="00B0263F">
            <w:pPr>
              <w:pStyle w:val="TableParagraph"/>
              <w:spacing w:before="33"/>
              <w:ind w:right="71"/>
              <w:rPr>
                <w:sz w:val="18"/>
              </w:rPr>
            </w:pPr>
            <w:r>
              <w:rPr>
                <w:sz w:val="18"/>
              </w:rPr>
              <w:t>20</w:t>
            </w:r>
          </w:p>
        </w:tc>
        <w:tc>
          <w:tcPr>
            <w:tcW w:w="1032" w:type="dxa"/>
            <w:tcBorders>
              <w:top w:val="single" w:sz="4" w:space="0" w:color="000000"/>
              <w:left w:val="dashed" w:sz="4" w:space="0" w:color="DADADA"/>
              <w:bottom w:val="single" w:sz="4" w:space="0" w:color="000000"/>
              <w:right w:val="nil"/>
            </w:tcBorders>
          </w:tcPr>
          <w:p w14:paraId="28D87DF7" w14:textId="77777777" w:rsidR="00664A3F" w:rsidRDefault="00664A3F" w:rsidP="00B0263F">
            <w:pPr>
              <w:pStyle w:val="TableParagraph"/>
              <w:spacing w:before="33"/>
              <w:ind w:right="76"/>
              <w:rPr>
                <w:sz w:val="18"/>
              </w:rPr>
            </w:pPr>
            <w:r>
              <w:rPr>
                <w:sz w:val="18"/>
              </w:rPr>
              <w:t>41</w:t>
            </w:r>
          </w:p>
        </w:tc>
      </w:tr>
      <w:tr w:rsidR="00664A3F" w14:paraId="54EBE6A5"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0726DC34" w14:textId="77777777" w:rsidR="00664A3F" w:rsidRDefault="00664A3F" w:rsidP="00B0263F">
            <w:pPr>
              <w:pStyle w:val="TableParagraph"/>
              <w:spacing w:before="33"/>
              <w:ind w:left="79"/>
              <w:jc w:val="left"/>
              <w:rPr>
                <w:sz w:val="18"/>
              </w:rPr>
            </w:pPr>
            <w:r>
              <w:rPr>
                <w:sz w:val="18"/>
              </w:rPr>
              <w:t>2010-2011</w:t>
            </w:r>
          </w:p>
        </w:tc>
        <w:tc>
          <w:tcPr>
            <w:tcW w:w="1187" w:type="dxa"/>
            <w:tcBorders>
              <w:top w:val="single" w:sz="4" w:space="0" w:color="000000"/>
              <w:left w:val="single" w:sz="4" w:space="0" w:color="DADADA"/>
              <w:bottom w:val="single" w:sz="4" w:space="0" w:color="000000"/>
              <w:right w:val="dashed" w:sz="4" w:space="0" w:color="DADADA"/>
            </w:tcBorders>
          </w:tcPr>
          <w:p w14:paraId="78DA79CC" w14:textId="77777777" w:rsidR="00664A3F" w:rsidRDefault="00664A3F" w:rsidP="00B0263F">
            <w:pPr>
              <w:pStyle w:val="TableParagraph"/>
              <w:spacing w:before="33"/>
              <w:ind w:right="72"/>
              <w:rPr>
                <w:sz w:val="18"/>
              </w:rPr>
            </w:pPr>
            <w:r>
              <w:rPr>
                <w:sz w:val="18"/>
              </w:rPr>
              <w:t>230</w:t>
            </w:r>
          </w:p>
        </w:tc>
        <w:tc>
          <w:tcPr>
            <w:tcW w:w="1173" w:type="dxa"/>
            <w:tcBorders>
              <w:top w:val="single" w:sz="4" w:space="0" w:color="000000"/>
              <w:left w:val="dashed" w:sz="4" w:space="0" w:color="DADADA"/>
              <w:bottom w:val="single" w:sz="4" w:space="0" w:color="000000"/>
              <w:right w:val="dashed" w:sz="4" w:space="0" w:color="DADADA"/>
            </w:tcBorders>
          </w:tcPr>
          <w:p w14:paraId="707F8F2D" w14:textId="77777777" w:rsidR="00664A3F" w:rsidRDefault="00664A3F" w:rsidP="00B0263F">
            <w:pPr>
              <w:pStyle w:val="TableParagraph"/>
              <w:spacing w:before="33"/>
              <w:ind w:right="72"/>
              <w:rPr>
                <w:sz w:val="18"/>
              </w:rPr>
            </w:pPr>
            <w:r>
              <w:rPr>
                <w:sz w:val="18"/>
              </w:rPr>
              <w:t>37</w:t>
            </w:r>
          </w:p>
        </w:tc>
        <w:tc>
          <w:tcPr>
            <w:tcW w:w="1141" w:type="dxa"/>
            <w:tcBorders>
              <w:top w:val="single" w:sz="4" w:space="0" w:color="000000"/>
              <w:left w:val="dashed" w:sz="4" w:space="0" w:color="DADADA"/>
              <w:bottom w:val="single" w:sz="4" w:space="0" w:color="000000"/>
              <w:right w:val="dashed" w:sz="4" w:space="0" w:color="DADADA"/>
            </w:tcBorders>
          </w:tcPr>
          <w:p w14:paraId="68A4AC27" w14:textId="77777777" w:rsidR="00664A3F" w:rsidRDefault="00664A3F" w:rsidP="00B0263F">
            <w:pPr>
              <w:pStyle w:val="TableParagraph"/>
              <w:spacing w:before="33"/>
              <w:ind w:right="72"/>
              <w:rPr>
                <w:sz w:val="18"/>
              </w:rPr>
            </w:pPr>
            <w:r>
              <w:rPr>
                <w:sz w:val="18"/>
              </w:rPr>
              <w:t>267</w:t>
            </w:r>
          </w:p>
        </w:tc>
        <w:tc>
          <w:tcPr>
            <w:tcW w:w="1134" w:type="dxa"/>
            <w:tcBorders>
              <w:top w:val="single" w:sz="4" w:space="0" w:color="000000"/>
              <w:left w:val="dashed" w:sz="4" w:space="0" w:color="DADADA"/>
              <w:bottom w:val="single" w:sz="4" w:space="0" w:color="000000"/>
              <w:right w:val="dashed" w:sz="4" w:space="0" w:color="DADADA"/>
            </w:tcBorders>
          </w:tcPr>
          <w:p w14:paraId="106D4949" w14:textId="77777777" w:rsidR="00664A3F" w:rsidRDefault="00664A3F" w:rsidP="00B0263F">
            <w:pPr>
              <w:pStyle w:val="TableParagraph"/>
              <w:spacing w:before="33"/>
              <w:ind w:right="72"/>
              <w:rPr>
                <w:sz w:val="18"/>
              </w:rPr>
            </w:pPr>
            <w:r>
              <w:rPr>
                <w:sz w:val="18"/>
              </w:rPr>
              <w:t>57</w:t>
            </w:r>
          </w:p>
        </w:tc>
        <w:tc>
          <w:tcPr>
            <w:tcW w:w="1137" w:type="dxa"/>
            <w:tcBorders>
              <w:top w:val="single" w:sz="4" w:space="0" w:color="000000"/>
              <w:left w:val="dashed" w:sz="4" w:space="0" w:color="DADADA"/>
              <w:bottom w:val="single" w:sz="4" w:space="0" w:color="000000"/>
              <w:right w:val="dashed" w:sz="4" w:space="0" w:color="DADADA"/>
            </w:tcBorders>
          </w:tcPr>
          <w:p w14:paraId="4BA12553" w14:textId="77777777" w:rsidR="00664A3F" w:rsidRDefault="00664A3F" w:rsidP="00B0263F">
            <w:pPr>
              <w:pStyle w:val="TableParagraph"/>
              <w:spacing w:before="33"/>
              <w:ind w:right="72"/>
              <w:rPr>
                <w:sz w:val="18"/>
              </w:rPr>
            </w:pPr>
            <w:r>
              <w:rPr>
                <w:sz w:val="18"/>
              </w:rPr>
              <w:t>25</w:t>
            </w:r>
          </w:p>
        </w:tc>
        <w:tc>
          <w:tcPr>
            <w:tcW w:w="1165" w:type="dxa"/>
            <w:tcBorders>
              <w:top w:val="single" w:sz="4" w:space="0" w:color="000000"/>
              <w:left w:val="dashed" w:sz="4" w:space="0" w:color="DADADA"/>
              <w:bottom w:val="single" w:sz="4" w:space="0" w:color="000000"/>
              <w:right w:val="dashed" w:sz="4" w:space="0" w:color="DADADA"/>
            </w:tcBorders>
          </w:tcPr>
          <w:p w14:paraId="0021B6A6" w14:textId="77777777" w:rsidR="00664A3F" w:rsidRDefault="00664A3F" w:rsidP="00B0263F">
            <w:pPr>
              <w:pStyle w:val="TableParagraph"/>
              <w:spacing w:before="33"/>
              <w:ind w:right="71"/>
              <w:rPr>
                <w:sz w:val="18"/>
              </w:rPr>
            </w:pPr>
            <w:r>
              <w:rPr>
                <w:sz w:val="18"/>
              </w:rPr>
              <w:t>16</w:t>
            </w:r>
          </w:p>
        </w:tc>
        <w:tc>
          <w:tcPr>
            <w:tcW w:w="1032" w:type="dxa"/>
            <w:tcBorders>
              <w:top w:val="single" w:sz="4" w:space="0" w:color="000000"/>
              <w:left w:val="dashed" w:sz="4" w:space="0" w:color="DADADA"/>
              <w:bottom w:val="single" w:sz="4" w:space="0" w:color="000000"/>
              <w:right w:val="nil"/>
            </w:tcBorders>
          </w:tcPr>
          <w:p w14:paraId="2868BB73" w14:textId="77777777" w:rsidR="00664A3F" w:rsidRDefault="00664A3F" w:rsidP="00B0263F">
            <w:pPr>
              <w:pStyle w:val="TableParagraph"/>
              <w:spacing w:before="33"/>
              <w:ind w:right="76"/>
              <w:rPr>
                <w:sz w:val="18"/>
              </w:rPr>
            </w:pPr>
            <w:r>
              <w:rPr>
                <w:sz w:val="18"/>
              </w:rPr>
              <w:t>41</w:t>
            </w:r>
          </w:p>
        </w:tc>
      </w:tr>
      <w:tr w:rsidR="00664A3F" w14:paraId="212203A6"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78FC352F" w14:textId="77777777" w:rsidR="00664A3F" w:rsidRDefault="00664A3F" w:rsidP="00B0263F">
            <w:pPr>
              <w:pStyle w:val="TableParagraph"/>
              <w:spacing w:before="33"/>
              <w:ind w:left="79"/>
              <w:jc w:val="left"/>
              <w:rPr>
                <w:sz w:val="18"/>
              </w:rPr>
            </w:pPr>
            <w:r>
              <w:rPr>
                <w:sz w:val="18"/>
              </w:rPr>
              <w:t>2011-2012</w:t>
            </w:r>
          </w:p>
        </w:tc>
        <w:tc>
          <w:tcPr>
            <w:tcW w:w="1187" w:type="dxa"/>
            <w:tcBorders>
              <w:top w:val="single" w:sz="4" w:space="0" w:color="000000"/>
              <w:left w:val="single" w:sz="4" w:space="0" w:color="DADADA"/>
              <w:bottom w:val="single" w:sz="4" w:space="0" w:color="000000"/>
              <w:right w:val="dashed" w:sz="4" w:space="0" w:color="DADADA"/>
            </w:tcBorders>
          </w:tcPr>
          <w:p w14:paraId="7E9145D4" w14:textId="77777777" w:rsidR="00664A3F" w:rsidRDefault="00664A3F" w:rsidP="00B0263F">
            <w:pPr>
              <w:pStyle w:val="TableParagraph"/>
              <w:spacing w:before="33"/>
              <w:ind w:right="72"/>
              <w:rPr>
                <w:sz w:val="18"/>
              </w:rPr>
            </w:pPr>
            <w:r>
              <w:rPr>
                <w:sz w:val="18"/>
              </w:rPr>
              <w:t>287</w:t>
            </w:r>
          </w:p>
        </w:tc>
        <w:tc>
          <w:tcPr>
            <w:tcW w:w="1173" w:type="dxa"/>
            <w:tcBorders>
              <w:top w:val="single" w:sz="4" w:space="0" w:color="000000"/>
              <w:left w:val="dashed" w:sz="4" w:space="0" w:color="DADADA"/>
              <w:bottom w:val="single" w:sz="4" w:space="0" w:color="000000"/>
              <w:right w:val="dashed" w:sz="4" w:space="0" w:color="DADADA"/>
            </w:tcBorders>
          </w:tcPr>
          <w:p w14:paraId="2630DCAA" w14:textId="77777777" w:rsidR="00664A3F" w:rsidRDefault="00664A3F" w:rsidP="00B0263F">
            <w:pPr>
              <w:pStyle w:val="TableParagraph"/>
              <w:spacing w:before="33"/>
              <w:ind w:right="72"/>
              <w:rPr>
                <w:sz w:val="18"/>
              </w:rPr>
            </w:pPr>
            <w:r>
              <w:rPr>
                <w:sz w:val="18"/>
              </w:rPr>
              <w:t>46</w:t>
            </w:r>
          </w:p>
        </w:tc>
        <w:tc>
          <w:tcPr>
            <w:tcW w:w="1141" w:type="dxa"/>
            <w:tcBorders>
              <w:top w:val="single" w:sz="4" w:space="0" w:color="000000"/>
              <w:left w:val="dashed" w:sz="4" w:space="0" w:color="DADADA"/>
              <w:bottom w:val="single" w:sz="4" w:space="0" w:color="000000"/>
              <w:right w:val="dashed" w:sz="4" w:space="0" w:color="DADADA"/>
            </w:tcBorders>
          </w:tcPr>
          <w:p w14:paraId="3B8E28F8" w14:textId="77777777" w:rsidR="00664A3F" w:rsidRDefault="00664A3F" w:rsidP="00B0263F">
            <w:pPr>
              <w:pStyle w:val="TableParagraph"/>
              <w:spacing w:before="33"/>
              <w:ind w:right="72"/>
              <w:rPr>
                <w:sz w:val="18"/>
              </w:rPr>
            </w:pPr>
            <w:r>
              <w:rPr>
                <w:sz w:val="18"/>
              </w:rPr>
              <w:t>333</w:t>
            </w:r>
          </w:p>
        </w:tc>
        <w:tc>
          <w:tcPr>
            <w:tcW w:w="1134" w:type="dxa"/>
            <w:tcBorders>
              <w:top w:val="single" w:sz="4" w:space="0" w:color="000000"/>
              <w:left w:val="dashed" w:sz="4" w:space="0" w:color="DADADA"/>
              <w:bottom w:val="single" w:sz="4" w:space="0" w:color="000000"/>
              <w:right w:val="dashed" w:sz="4" w:space="0" w:color="DADADA"/>
            </w:tcBorders>
          </w:tcPr>
          <w:p w14:paraId="57C6894F" w14:textId="77777777" w:rsidR="00664A3F" w:rsidRDefault="00664A3F" w:rsidP="00B0263F">
            <w:pPr>
              <w:pStyle w:val="TableParagraph"/>
              <w:spacing w:before="33"/>
              <w:ind w:right="72"/>
              <w:rPr>
                <w:sz w:val="18"/>
              </w:rPr>
            </w:pPr>
            <w:r>
              <w:rPr>
                <w:sz w:val="18"/>
              </w:rPr>
              <w:t>95</w:t>
            </w:r>
          </w:p>
        </w:tc>
        <w:tc>
          <w:tcPr>
            <w:tcW w:w="1137" w:type="dxa"/>
            <w:tcBorders>
              <w:top w:val="single" w:sz="4" w:space="0" w:color="000000"/>
              <w:left w:val="dashed" w:sz="4" w:space="0" w:color="DADADA"/>
              <w:bottom w:val="single" w:sz="4" w:space="0" w:color="000000"/>
              <w:right w:val="dashed" w:sz="4" w:space="0" w:color="DADADA"/>
            </w:tcBorders>
          </w:tcPr>
          <w:p w14:paraId="768E8605" w14:textId="77777777" w:rsidR="00664A3F" w:rsidRDefault="00664A3F" w:rsidP="00B0263F">
            <w:pPr>
              <w:pStyle w:val="TableParagraph"/>
              <w:spacing w:before="33"/>
              <w:ind w:right="72"/>
              <w:rPr>
                <w:sz w:val="18"/>
              </w:rPr>
            </w:pPr>
            <w:r>
              <w:rPr>
                <w:sz w:val="18"/>
              </w:rPr>
              <w:t>23</w:t>
            </w:r>
          </w:p>
        </w:tc>
        <w:tc>
          <w:tcPr>
            <w:tcW w:w="1165" w:type="dxa"/>
            <w:tcBorders>
              <w:top w:val="single" w:sz="4" w:space="0" w:color="000000"/>
              <w:left w:val="dashed" w:sz="4" w:space="0" w:color="DADADA"/>
              <w:bottom w:val="single" w:sz="4" w:space="0" w:color="000000"/>
              <w:right w:val="dashed" w:sz="4" w:space="0" w:color="DADADA"/>
            </w:tcBorders>
          </w:tcPr>
          <w:p w14:paraId="54B8645A" w14:textId="77777777" w:rsidR="00664A3F" w:rsidRDefault="00664A3F" w:rsidP="00B0263F">
            <w:pPr>
              <w:pStyle w:val="TableParagraph"/>
              <w:spacing w:before="33"/>
              <w:ind w:right="71"/>
              <w:rPr>
                <w:sz w:val="18"/>
              </w:rPr>
            </w:pPr>
            <w:r>
              <w:rPr>
                <w:sz w:val="18"/>
              </w:rPr>
              <w:t>16</w:t>
            </w:r>
          </w:p>
        </w:tc>
        <w:tc>
          <w:tcPr>
            <w:tcW w:w="1032" w:type="dxa"/>
            <w:tcBorders>
              <w:top w:val="single" w:sz="4" w:space="0" w:color="000000"/>
              <w:left w:val="dashed" w:sz="4" w:space="0" w:color="DADADA"/>
              <w:bottom w:val="single" w:sz="4" w:space="0" w:color="000000"/>
              <w:right w:val="nil"/>
            </w:tcBorders>
          </w:tcPr>
          <w:p w14:paraId="40EEB852" w14:textId="77777777" w:rsidR="00664A3F" w:rsidRDefault="00664A3F" w:rsidP="00B0263F">
            <w:pPr>
              <w:pStyle w:val="TableParagraph"/>
              <w:spacing w:before="33"/>
              <w:ind w:right="76"/>
              <w:rPr>
                <w:sz w:val="18"/>
              </w:rPr>
            </w:pPr>
            <w:r>
              <w:rPr>
                <w:sz w:val="18"/>
              </w:rPr>
              <w:t>39</w:t>
            </w:r>
          </w:p>
        </w:tc>
      </w:tr>
      <w:tr w:rsidR="00664A3F" w14:paraId="6AF3915C"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30F2B353" w14:textId="77777777" w:rsidR="00664A3F" w:rsidRDefault="00664A3F" w:rsidP="00B0263F">
            <w:pPr>
              <w:pStyle w:val="TableParagraph"/>
              <w:spacing w:before="33"/>
              <w:ind w:left="79"/>
              <w:jc w:val="left"/>
              <w:rPr>
                <w:sz w:val="18"/>
              </w:rPr>
            </w:pPr>
            <w:r>
              <w:rPr>
                <w:sz w:val="18"/>
              </w:rPr>
              <w:t>2012-2013</w:t>
            </w:r>
          </w:p>
        </w:tc>
        <w:tc>
          <w:tcPr>
            <w:tcW w:w="1187" w:type="dxa"/>
            <w:tcBorders>
              <w:top w:val="single" w:sz="4" w:space="0" w:color="000000"/>
              <w:left w:val="single" w:sz="4" w:space="0" w:color="DADADA"/>
              <w:bottom w:val="single" w:sz="4" w:space="0" w:color="000000"/>
              <w:right w:val="dashed" w:sz="4" w:space="0" w:color="DADADA"/>
            </w:tcBorders>
          </w:tcPr>
          <w:p w14:paraId="69D63D95" w14:textId="77777777" w:rsidR="00664A3F" w:rsidRDefault="00664A3F" w:rsidP="00B0263F">
            <w:pPr>
              <w:pStyle w:val="TableParagraph"/>
              <w:spacing w:before="33"/>
              <w:ind w:right="72"/>
              <w:rPr>
                <w:sz w:val="18"/>
              </w:rPr>
            </w:pPr>
            <w:r>
              <w:rPr>
                <w:sz w:val="18"/>
              </w:rPr>
              <w:t>182</w:t>
            </w:r>
          </w:p>
        </w:tc>
        <w:tc>
          <w:tcPr>
            <w:tcW w:w="1173" w:type="dxa"/>
            <w:tcBorders>
              <w:top w:val="single" w:sz="4" w:space="0" w:color="000000"/>
              <w:left w:val="dashed" w:sz="4" w:space="0" w:color="DADADA"/>
              <w:bottom w:val="single" w:sz="4" w:space="0" w:color="000000"/>
              <w:right w:val="dashed" w:sz="4" w:space="0" w:color="DADADA"/>
            </w:tcBorders>
          </w:tcPr>
          <w:p w14:paraId="5B057370" w14:textId="77777777" w:rsidR="00664A3F" w:rsidRDefault="00664A3F" w:rsidP="00B0263F">
            <w:pPr>
              <w:pStyle w:val="TableParagraph"/>
              <w:spacing w:before="33"/>
              <w:ind w:right="72"/>
              <w:rPr>
                <w:sz w:val="18"/>
              </w:rPr>
            </w:pPr>
            <w:r>
              <w:rPr>
                <w:sz w:val="18"/>
              </w:rPr>
              <w:t>28</w:t>
            </w:r>
          </w:p>
        </w:tc>
        <w:tc>
          <w:tcPr>
            <w:tcW w:w="1141" w:type="dxa"/>
            <w:tcBorders>
              <w:top w:val="single" w:sz="4" w:space="0" w:color="000000"/>
              <w:left w:val="dashed" w:sz="4" w:space="0" w:color="DADADA"/>
              <w:bottom w:val="single" w:sz="4" w:space="0" w:color="000000"/>
              <w:right w:val="dashed" w:sz="4" w:space="0" w:color="DADADA"/>
            </w:tcBorders>
          </w:tcPr>
          <w:p w14:paraId="7B2A889E" w14:textId="77777777" w:rsidR="00664A3F" w:rsidRDefault="00664A3F" w:rsidP="00B0263F">
            <w:pPr>
              <w:pStyle w:val="TableParagraph"/>
              <w:spacing w:before="33"/>
              <w:ind w:right="72"/>
              <w:rPr>
                <w:sz w:val="18"/>
              </w:rPr>
            </w:pPr>
            <w:r>
              <w:rPr>
                <w:sz w:val="18"/>
              </w:rPr>
              <w:t>210</w:t>
            </w:r>
          </w:p>
        </w:tc>
        <w:tc>
          <w:tcPr>
            <w:tcW w:w="1134" w:type="dxa"/>
            <w:tcBorders>
              <w:top w:val="single" w:sz="4" w:space="0" w:color="000000"/>
              <w:left w:val="dashed" w:sz="4" w:space="0" w:color="DADADA"/>
              <w:bottom w:val="single" w:sz="4" w:space="0" w:color="000000"/>
              <w:right w:val="dashed" w:sz="4" w:space="0" w:color="DADADA"/>
            </w:tcBorders>
          </w:tcPr>
          <w:p w14:paraId="29C81C0C" w14:textId="77777777" w:rsidR="00664A3F" w:rsidRDefault="00664A3F" w:rsidP="00B0263F">
            <w:pPr>
              <w:pStyle w:val="TableParagraph"/>
              <w:spacing w:before="33"/>
              <w:ind w:right="72"/>
              <w:rPr>
                <w:sz w:val="18"/>
              </w:rPr>
            </w:pPr>
            <w:r>
              <w:rPr>
                <w:sz w:val="18"/>
              </w:rPr>
              <w:t>54</w:t>
            </w:r>
          </w:p>
        </w:tc>
        <w:tc>
          <w:tcPr>
            <w:tcW w:w="1137" w:type="dxa"/>
            <w:tcBorders>
              <w:top w:val="single" w:sz="4" w:space="0" w:color="000000"/>
              <w:left w:val="dashed" w:sz="4" w:space="0" w:color="DADADA"/>
              <w:bottom w:val="single" w:sz="4" w:space="0" w:color="000000"/>
              <w:right w:val="dashed" w:sz="4" w:space="0" w:color="DADADA"/>
            </w:tcBorders>
          </w:tcPr>
          <w:p w14:paraId="7CE8BB91" w14:textId="77777777" w:rsidR="00664A3F" w:rsidRDefault="00664A3F" w:rsidP="00B0263F">
            <w:pPr>
              <w:pStyle w:val="TableParagraph"/>
              <w:spacing w:before="33"/>
              <w:ind w:right="72"/>
              <w:rPr>
                <w:sz w:val="18"/>
              </w:rPr>
            </w:pPr>
            <w:r>
              <w:rPr>
                <w:sz w:val="18"/>
              </w:rPr>
              <w:t>21</w:t>
            </w:r>
          </w:p>
        </w:tc>
        <w:tc>
          <w:tcPr>
            <w:tcW w:w="1165" w:type="dxa"/>
            <w:tcBorders>
              <w:top w:val="single" w:sz="4" w:space="0" w:color="000000"/>
              <w:left w:val="dashed" w:sz="4" w:space="0" w:color="DADADA"/>
              <w:bottom w:val="single" w:sz="4" w:space="0" w:color="000000"/>
              <w:right w:val="dashed" w:sz="4" w:space="0" w:color="DADADA"/>
            </w:tcBorders>
          </w:tcPr>
          <w:p w14:paraId="0770A742" w14:textId="77777777" w:rsidR="00664A3F" w:rsidRDefault="00664A3F" w:rsidP="00B0263F">
            <w:pPr>
              <w:pStyle w:val="TableParagraph"/>
              <w:spacing w:before="33"/>
              <w:ind w:right="71"/>
              <w:rPr>
                <w:sz w:val="18"/>
              </w:rPr>
            </w:pPr>
            <w:r>
              <w:rPr>
                <w:sz w:val="18"/>
              </w:rPr>
              <w:t>11</w:t>
            </w:r>
          </w:p>
        </w:tc>
        <w:tc>
          <w:tcPr>
            <w:tcW w:w="1032" w:type="dxa"/>
            <w:tcBorders>
              <w:top w:val="single" w:sz="4" w:space="0" w:color="000000"/>
              <w:left w:val="dashed" w:sz="4" w:space="0" w:color="DADADA"/>
              <w:bottom w:val="single" w:sz="4" w:space="0" w:color="000000"/>
              <w:right w:val="nil"/>
            </w:tcBorders>
          </w:tcPr>
          <w:p w14:paraId="07CD52F1" w14:textId="77777777" w:rsidR="00664A3F" w:rsidRDefault="00664A3F" w:rsidP="00B0263F">
            <w:pPr>
              <w:pStyle w:val="TableParagraph"/>
              <w:spacing w:before="33"/>
              <w:ind w:right="76"/>
              <w:rPr>
                <w:sz w:val="18"/>
              </w:rPr>
            </w:pPr>
            <w:r>
              <w:rPr>
                <w:sz w:val="18"/>
              </w:rPr>
              <w:t>32</w:t>
            </w:r>
          </w:p>
        </w:tc>
      </w:tr>
      <w:tr w:rsidR="00664A3F" w14:paraId="303E3C95"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1D1C5DE6" w14:textId="77777777" w:rsidR="00664A3F" w:rsidRDefault="00664A3F" w:rsidP="00B0263F">
            <w:pPr>
              <w:pStyle w:val="TableParagraph"/>
              <w:spacing w:before="33"/>
              <w:ind w:left="79"/>
              <w:jc w:val="left"/>
              <w:rPr>
                <w:sz w:val="18"/>
              </w:rPr>
            </w:pPr>
            <w:r>
              <w:rPr>
                <w:sz w:val="18"/>
              </w:rPr>
              <w:t>2013-2014</w:t>
            </w:r>
          </w:p>
        </w:tc>
        <w:tc>
          <w:tcPr>
            <w:tcW w:w="1187" w:type="dxa"/>
            <w:tcBorders>
              <w:top w:val="single" w:sz="4" w:space="0" w:color="000000"/>
              <w:left w:val="single" w:sz="4" w:space="0" w:color="DADADA"/>
              <w:bottom w:val="single" w:sz="4" w:space="0" w:color="000000"/>
              <w:right w:val="dashed" w:sz="4" w:space="0" w:color="DADADA"/>
            </w:tcBorders>
          </w:tcPr>
          <w:p w14:paraId="644B148C" w14:textId="77777777" w:rsidR="00664A3F" w:rsidRDefault="00664A3F" w:rsidP="00B0263F">
            <w:pPr>
              <w:pStyle w:val="TableParagraph"/>
              <w:spacing w:before="33"/>
              <w:ind w:right="72"/>
              <w:rPr>
                <w:sz w:val="18"/>
              </w:rPr>
            </w:pPr>
            <w:r>
              <w:rPr>
                <w:sz w:val="18"/>
              </w:rPr>
              <w:t>191</w:t>
            </w:r>
          </w:p>
        </w:tc>
        <w:tc>
          <w:tcPr>
            <w:tcW w:w="1173" w:type="dxa"/>
            <w:tcBorders>
              <w:top w:val="single" w:sz="4" w:space="0" w:color="000000"/>
              <w:left w:val="dashed" w:sz="4" w:space="0" w:color="DADADA"/>
              <w:bottom w:val="single" w:sz="4" w:space="0" w:color="000000"/>
              <w:right w:val="dashed" w:sz="4" w:space="0" w:color="DADADA"/>
            </w:tcBorders>
          </w:tcPr>
          <w:p w14:paraId="2F603074" w14:textId="77777777" w:rsidR="00664A3F" w:rsidRDefault="00664A3F" w:rsidP="00B0263F">
            <w:pPr>
              <w:pStyle w:val="TableParagraph"/>
              <w:spacing w:before="33"/>
              <w:ind w:right="72"/>
              <w:rPr>
                <w:sz w:val="18"/>
              </w:rPr>
            </w:pPr>
            <w:r>
              <w:rPr>
                <w:sz w:val="18"/>
              </w:rPr>
              <w:t>32</w:t>
            </w:r>
          </w:p>
        </w:tc>
        <w:tc>
          <w:tcPr>
            <w:tcW w:w="1141" w:type="dxa"/>
            <w:tcBorders>
              <w:top w:val="single" w:sz="4" w:space="0" w:color="000000"/>
              <w:left w:val="dashed" w:sz="4" w:space="0" w:color="DADADA"/>
              <w:bottom w:val="single" w:sz="4" w:space="0" w:color="000000"/>
              <w:right w:val="dashed" w:sz="4" w:space="0" w:color="DADADA"/>
            </w:tcBorders>
          </w:tcPr>
          <w:p w14:paraId="182F93B5" w14:textId="77777777" w:rsidR="00664A3F" w:rsidRDefault="00664A3F" w:rsidP="00B0263F">
            <w:pPr>
              <w:pStyle w:val="TableParagraph"/>
              <w:spacing w:before="33"/>
              <w:ind w:right="72"/>
              <w:rPr>
                <w:sz w:val="18"/>
              </w:rPr>
            </w:pPr>
            <w:r>
              <w:rPr>
                <w:sz w:val="18"/>
              </w:rPr>
              <w:t>223</w:t>
            </w:r>
          </w:p>
        </w:tc>
        <w:tc>
          <w:tcPr>
            <w:tcW w:w="1134" w:type="dxa"/>
            <w:tcBorders>
              <w:top w:val="single" w:sz="4" w:space="0" w:color="000000"/>
              <w:left w:val="dashed" w:sz="4" w:space="0" w:color="DADADA"/>
              <w:bottom w:val="single" w:sz="4" w:space="0" w:color="000000"/>
              <w:right w:val="dashed" w:sz="4" w:space="0" w:color="DADADA"/>
            </w:tcBorders>
          </w:tcPr>
          <w:p w14:paraId="744237C1" w14:textId="77777777" w:rsidR="00664A3F" w:rsidRDefault="00664A3F" w:rsidP="00B0263F">
            <w:pPr>
              <w:pStyle w:val="TableParagraph"/>
              <w:spacing w:before="33"/>
              <w:ind w:right="72"/>
              <w:rPr>
                <w:sz w:val="18"/>
              </w:rPr>
            </w:pPr>
            <w:r>
              <w:rPr>
                <w:sz w:val="18"/>
              </w:rPr>
              <w:t>57</w:t>
            </w:r>
          </w:p>
        </w:tc>
        <w:tc>
          <w:tcPr>
            <w:tcW w:w="1137" w:type="dxa"/>
            <w:tcBorders>
              <w:top w:val="single" w:sz="4" w:space="0" w:color="000000"/>
              <w:left w:val="dashed" w:sz="4" w:space="0" w:color="DADADA"/>
              <w:bottom w:val="single" w:sz="4" w:space="0" w:color="000000"/>
              <w:right w:val="dashed" w:sz="4" w:space="0" w:color="DADADA"/>
            </w:tcBorders>
          </w:tcPr>
          <w:p w14:paraId="2B61DF60" w14:textId="77777777" w:rsidR="00664A3F" w:rsidRDefault="00664A3F" w:rsidP="00B0263F">
            <w:pPr>
              <w:pStyle w:val="TableParagraph"/>
              <w:spacing w:before="33"/>
              <w:ind w:right="72"/>
              <w:rPr>
                <w:sz w:val="18"/>
              </w:rPr>
            </w:pPr>
            <w:r>
              <w:rPr>
                <w:sz w:val="18"/>
              </w:rPr>
              <w:t>13</w:t>
            </w:r>
          </w:p>
        </w:tc>
        <w:tc>
          <w:tcPr>
            <w:tcW w:w="1165" w:type="dxa"/>
            <w:tcBorders>
              <w:top w:val="single" w:sz="4" w:space="0" w:color="000000"/>
              <w:left w:val="dashed" w:sz="4" w:space="0" w:color="DADADA"/>
              <w:bottom w:val="single" w:sz="4" w:space="0" w:color="000000"/>
              <w:right w:val="dashed" w:sz="4" w:space="0" w:color="DADADA"/>
            </w:tcBorders>
          </w:tcPr>
          <w:p w14:paraId="64C32DE1" w14:textId="77777777" w:rsidR="00664A3F" w:rsidRDefault="00664A3F" w:rsidP="00B0263F">
            <w:pPr>
              <w:pStyle w:val="TableParagraph"/>
              <w:spacing w:before="33"/>
              <w:ind w:right="71"/>
              <w:rPr>
                <w:sz w:val="18"/>
              </w:rPr>
            </w:pPr>
            <w:r>
              <w:rPr>
                <w:sz w:val="18"/>
              </w:rPr>
              <w:t>14</w:t>
            </w:r>
          </w:p>
        </w:tc>
        <w:tc>
          <w:tcPr>
            <w:tcW w:w="1032" w:type="dxa"/>
            <w:tcBorders>
              <w:top w:val="single" w:sz="4" w:space="0" w:color="000000"/>
              <w:left w:val="dashed" w:sz="4" w:space="0" w:color="DADADA"/>
              <w:bottom w:val="single" w:sz="4" w:space="0" w:color="000000"/>
              <w:right w:val="nil"/>
            </w:tcBorders>
          </w:tcPr>
          <w:p w14:paraId="2EC3FFEF" w14:textId="77777777" w:rsidR="00664A3F" w:rsidRDefault="00664A3F" w:rsidP="00B0263F">
            <w:pPr>
              <w:pStyle w:val="TableParagraph"/>
              <w:spacing w:before="33"/>
              <w:ind w:right="76"/>
              <w:rPr>
                <w:sz w:val="18"/>
              </w:rPr>
            </w:pPr>
            <w:r>
              <w:rPr>
                <w:sz w:val="18"/>
              </w:rPr>
              <w:t>27</w:t>
            </w:r>
          </w:p>
        </w:tc>
      </w:tr>
      <w:tr w:rsidR="00664A3F" w14:paraId="4153EBA9"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5EA6E1EA" w14:textId="77777777" w:rsidR="00664A3F" w:rsidRDefault="00664A3F" w:rsidP="00B0263F">
            <w:pPr>
              <w:pStyle w:val="TableParagraph"/>
              <w:spacing w:before="33"/>
              <w:ind w:left="79"/>
              <w:jc w:val="left"/>
              <w:rPr>
                <w:sz w:val="18"/>
              </w:rPr>
            </w:pPr>
            <w:r>
              <w:rPr>
                <w:sz w:val="18"/>
              </w:rPr>
              <w:t>2014-2015</w:t>
            </w:r>
          </w:p>
        </w:tc>
        <w:tc>
          <w:tcPr>
            <w:tcW w:w="1187" w:type="dxa"/>
            <w:tcBorders>
              <w:top w:val="single" w:sz="4" w:space="0" w:color="000000"/>
              <w:left w:val="single" w:sz="4" w:space="0" w:color="DADADA"/>
              <w:bottom w:val="single" w:sz="4" w:space="0" w:color="000000"/>
              <w:right w:val="dashed" w:sz="4" w:space="0" w:color="DADADA"/>
            </w:tcBorders>
          </w:tcPr>
          <w:p w14:paraId="4335BA48" w14:textId="77777777" w:rsidR="00664A3F" w:rsidRDefault="00664A3F" w:rsidP="00B0263F">
            <w:pPr>
              <w:pStyle w:val="TableParagraph"/>
              <w:spacing w:before="33"/>
              <w:ind w:right="72"/>
              <w:rPr>
                <w:sz w:val="18"/>
              </w:rPr>
            </w:pPr>
            <w:r>
              <w:rPr>
                <w:sz w:val="18"/>
              </w:rPr>
              <w:t>178</w:t>
            </w:r>
          </w:p>
        </w:tc>
        <w:tc>
          <w:tcPr>
            <w:tcW w:w="1173" w:type="dxa"/>
            <w:tcBorders>
              <w:top w:val="single" w:sz="4" w:space="0" w:color="000000"/>
              <w:left w:val="dashed" w:sz="4" w:space="0" w:color="DADADA"/>
              <w:bottom w:val="single" w:sz="4" w:space="0" w:color="000000"/>
              <w:right w:val="dashed" w:sz="4" w:space="0" w:color="DADADA"/>
            </w:tcBorders>
          </w:tcPr>
          <w:p w14:paraId="7F3821B0" w14:textId="77777777" w:rsidR="00664A3F" w:rsidRDefault="00664A3F" w:rsidP="00B0263F">
            <w:pPr>
              <w:pStyle w:val="TableParagraph"/>
              <w:spacing w:before="33"/>
              <w:ind w:right="72"/>
              <w:rPr>
                <w:sz w:val="18"/>
              </w:rPr>
            </w:pPr>
            <w:r>
              <w:rPr>
                <w:sz w:val="18"/>
              </w:rPr>
              <w:t>34</w:t>
            </w:r>
          </w:p>
        </w:tc>
        <w:tc>
          <w:tcPr>
            <w:tcW w:w="1141" w:type="dxa"/>
            <w:tcBorders>
              <w:top w:val="single" w:sz="4" w:space="0" w:color="000000"/>
              <w:left w:val="dashed" w:sz="4" w:space="0" w:color="DADADA"/>
              <w:bottom w:val="single" w:sz="4" w:space="0" w:color="000000"/>
              <w:right w:val="dashed" w:sz="4" w:space="0" w:color="DADADA"/>
            </w:tcBorders>
          </w:tcPr>
          <w:p w14:paraId="27714C5C" w14:textId="77777777" w:rsidR="00664A3F" w:rsidRDefault="00664A3F" w:rsidP="00B0263F">
            <w:pPr>
              <w:pStyle w:val="TableParagraph"/>
              <w:spacing w:before="33"/>
              <w:ind w:right="72"/>
              <w:rPr>
                <w:sz w:val="18"/>
              </w:rPr>
            </w:pPr>
            <w:r>
              <w:rPr>
                <w:sz w:val="18"/>
              </w:rPr>
              <w:t>212</w:t>
            </w:r>
          </w:p>
        </w:tc>
        <w:tc>
          <w:tcPr>
            <w:tcW w:w="1134" w:type="dxa"/>
            <w:tcBorders>
              <w:top w:val="single" w:sz="4" w:space="0" w:color="000000"/>
              <w:left w:val="dashed" w:sz="4" w:space="0" w:color="DADADA"/>
              <w:bottom w:val="single" w:sz="4" w:space="0" w:color="000000"/>
              <w:right w:val="dashed" w:sz="4" w:space="0" w:color="DADADA"/>
            </w:tcBorders>
          </w:tcPr>
          <w:p w14:paraId="408B1CCB" w14:textId="77777777" w:rsidR="00664A3F" w:rsidRDefault="00664A3F" w:rsidP="00B0263F">
            <w:pPr>
              <w:pStyle w:val="TableParagraph"/>
              <w:spacing w:before="33"/>
              <w:ind w:right="72"/>
              <w:rPr>
                <w:sz w:val="18"/>
              </w:rPr>
            </w:pPr>
            <w:r>
              <w:rPr>
                <w:sz w:val="18"/>
              </w:rPr>
              <w:t>60</w:t>
            </w:r>
          </w:p>
        </w:tc>
        <w:tc>
          <w:tcPr>
            <w:tcW w:w="1137" w:type="dxa"/>
            <w:tcBorders>
              <w:top w:val="single" w:sz="4" w:space="0" w:color="000000"/>
              <w:left w:val="dashed" w:sz="4" w:space="0" w:color="DADADA"/>
              <w:bottom w:val="single" w:sz="4" w:space="0" w:color="000000"/>
              <w:right w:val="dashed" w:sz="4" w:space="0" w:color="DADADA"/>
            </w:tcBorders>
          </w:tcPr>
          <w:p w14:paraId="33DC7A81" w14:textId="77777777" w:rsidR="00664A3F" w:rsidRDefault="00664A3F" w:rsidP="00B0263F">
            <w:pPr>
              <w:pStyle w:val="TableParagraph"/>
              <w:spacing w:before="33"/>
              <w:ind w:right="72"/>
              <w:rPr>
                <w:sz w:val="18"/>
              </w:rPr>
            </w:pPr>
            <w:r>
              <w:rPr>
                <w:sz w:val="18"/>
              </w:rPr>
              <w:t>17</w:t>
            </w:r>
          </w:p>
        </w:tc>
        <w:tc>
          <w:tcPr>
            <w:tcW w:w="1165" w:type="dxa"/>
            <w:tcBorders>
              <w:top w:val="single" w:sz="4" w:space="0" w:color="000000"/>
              <w:left w:val="dashed" w:sz="4" w:space="0" w:color="DADADA"/>
              <w:bottom w:val="single" w:sz="4" w:space="0" w:color="000000"/>
              <w:right w:val="dashed" w:sz="4" w:space="0" w:color="DADADA"/>
            </w:tcBorders>
          </w:tcPr>
          <w:p w14:paraId="2C5469C7" w14:textId="77777777" w:rsidR="00664A3F" w:rsidRDefault="00664A3F" w:rsidP="00B0263F">
            <w:pPr>
              <w:pStyle w:val="TableParagraph"/>
              <w:spacing w:before="33"/>
              <w:ind w:right="71"/>
              <w:rPr>
                <w:sz w:val="18"/>
              </w:rPr>
            </w:pPr>
            <w:r>
              <w:rPr>
                <w:sz w:val="18"/>
              </w:rPr>
              <w:t>19</w:t>
            </w:r>
          </w:p>
        </w:tc>
        <w:tc>
          <w:tcPr>
            <w:tcW w:w="1032" w:type="dxa"/>
            <w:tcBorders>
              <w:top w:val="single" w:sz="4" w:space="0" w:color="000000"/>
              <w:left w:val="dashed" w:sz="4" w:space="0" w:color="DADADA"/>
              <w:bottom w:val="single" w:sz="4" w:space="0" w:color="000000"/>
              <w:right w:val="nil"/>
            </w:tcBorders>
          </w:tcPr>
          <w:p w14:paraId="3D6AB2A3" w14:textId="77777777" w:rsidR="00664A3F" w:rsidRDefault="00664A3F" w:rsidP="00B0263F">
            <w:pPr>
              <w:pStyle w:val="TableParagraph"/>
              <w:spacing w:before="33"/>
              <w:ind w:right="76"/>
              <w:rPr>
                <w:sz w:val="18"/>
              </w:rPr>
            </w:pPr>
            <w:r>
              <w:rPr>
                <w:sz w:val="18"/>
              </w:rPr>
              <w:t>36</w:t>
            </w:r>
          </w:p>
        </w:tc>
      </w:tr>
      <w:tr w:rsidR="00664A3F" w14:paraId="1983D649"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4B848112" w14:textId="77777777" w:rsidR="00664A3F" w:rsidRDefault="00664A3F" w:rsidP="00B0263F">
            <w:pPr>
              <w:pStyle w:val="TableParagraph"/>
              <w:spacing w:before="33"/>
              <w:ind w:left="79"/>
              <w:jc w:val="left"/>
              <w:rPr>
                <w:sz w:val="18"/>
              </w:rPr>
            </w:pPr>
            <w:r>
              <w:rPr>
                <w:sz w:val="18"/>
              </w:rPr>
              <w:t>2015-2016</w:t>
            </w:r>
          </w:p>
        </w:tc>
        <w:tc>
          <w:tcPr>
            <w:tcW w:w="1187" w:type="dxa"/>
            <w:tcBorders>
              <w:top w:val="single" w:sz="4" w:space="0" w:color="000000"/>
              <w:left w:val="single" w:sz="4" w:space="0" w:color="DADADA"/>
              <w:bottom w:val="single" w:sz="4" w:space="0" w:color="000000"/>
              <w:right w:val="dashed" w:sz="4" w:space="0" w:color="DADADA"/>
            </w:tcBorders>
          </w:tcPr>
          <w:p w14:paraId="35585EBD" w14:textId="77777777" w:rsidR="00664A3F" w:rsidRDefault="00664A3F" w:rsidP="00B0263F">
            <w:pPr>
              <w:pStyle w:val="TableParagraph"/>
              <w:spacing w:before="33"/>
              <w:ind w:right="72"/>
              <w:rPr>
                <w:sz w:val="18"/>
              </w:rPr>
            </w:pPr>
            <w:r>
              <w:rPr>
                <w:sz w:val="18"/>
              </w:rPr>
              <w:t>159</w:t>
            </w:r>
          </w:p>
        </w:tc>
        <w:tc>
          <w:tcPr>
            <w:tcW w:w="1173" w:type="dxa"/>
            <w:tcBorders>
              <w:top w:val="single" w:sz="4" w:space="0" w:color="000000"/>
              <w:left w:val="dashed" w:sz="4" w:space="0" w:color="DADADA"/>
              <w:bottom w:val="single" w:sz="4" w:space="0" w:color="000000"/>
              <w:right w:val="dashed" w:sz="4" w:space="0" w:color="DADADA"/>
            </w:tcBorders>
          </w:tcPr>
          <w:p w14:paraId="1A375247" w14:textId="77777777" w:rsidR="00664A3F" w:rsidRDefault="00664A3F" w:rsidP="00B0263F">
            <w:pPr>
              <w:pStyle w:val="TableParagraph"/>
              <w:spacing w:before="33"/>
              <w:ind w:right="72"/>
              <w:rPr>
                <w:sz w:val="18"/>
              </w:rPr>
            </w:pPr>
            <w:r>
              <w:rPr>
                <w:sz w:val="18"/>
              </w:rPr>
              <w:t>29</w:t>
            </w:r>
          </w:p>
        </w:tc>
        <w:tc>
          <w:tcPr>
            <w:tcW w:w="1141" w:type="dxa"/>
            <w:tcBorders>
              <w:top w:val="single" w:sz="4" w:space="0" w:color="000000"/>
              <w:left w:val="dashed" w:sz="4" w:space="0" w:color="DADADA"/>
              <w:bottom w:val="single" w:sz="4" w:space="0" w:color="000000"/>
              <w:right w:val="dashed" w:sz="4" w:space="0" w:color="DADADA"/>
            </w:tcBorders>
          </w:tcPr>
          <w:p w14:paraId="575C2A8F" w14:textId="77777777" w:rsidR="00664A3F" w:rsidRDefault="00664A3F" w:rsidP="00B0263F">
            <w:pPr>
              <w:pStyle w:val="TableParagraph"/>
              <w:spacing w:before="33"/>
              <w:ind w:right="72"/>
              <w:rPr>
                <w:sz w:val="18"/>
              </w:rPr>
            </w:pPr>
            <w:r>
              <w:rPr>
                <w:sz w:val="18"/>
              </w:rPr>
              <w:t>188</w:t>
            </w:r>
          </w:p>
        </w:tc>
        <w:tc>
          <w:tcPr>
            <w:tcW w:w="1134" w:type="dxa"/>
            <w:tcBorders>
              <w:top w:val="single" w:sz="4" w:space="0" w:color="000000"/>
              <w:left w:val="dashed" w:sz="4" w:space="0" w:color="DADADA"/>
              <w:bottom w:val="single" w:sz="4" w:space="0" w:color="000000"/>
              <w:right w:val="dashed" w:sz="4" w:space="0" w:color="DADADA"/>
            </w:tcBorders>
          </w:tcPr>
          <w:p w14:paraId="05D995B5" w14:textId="77777777" w:rsidR="00664A3F" w:rsidRDefault="00664A3F" w:rsidP="00B0263F">
            <w:pPr>
              <w:pStyle w:val="TableParagraph"/>
              <w:spacing w:before="33"/>
              <w:ind w:right="72"/>
              <w:rPr>
                <w:sz w:val="18"/>
              </w:rPr>
            </w:pPr>
            <w:r>
              <w:rPr>
                <w:sz w:val="18"/>
              </w:rPr>
              <w:t>47</w:t>
            </w:r>
          </w:p>
        </w:tc>
        <w:tc>
          <w:tcPr>
            <w:tcW w:w="1137" w:type="dxa"/>
            <w:tcBorders>
              <w:top w:val="single" w:sz="4" w:space="0" w:color="000000"/>
              <w:left w:val="dashed" w:sz="4" w:space="0" w:color="DADADA"/>
              <w:bottom w:val="single" w:sz="4" w:space="0" w:color="000000"/>
              <w:right w:val="dashed" w:sz="4" w:space="0" w:color="DADADA"/>
            </w:tcBorders>
          </w:tcPr>
          <w:p w14:paraId="0750E77F" w14:textId="77777777" w:rsidR="00664A3F" w:rsidRDefault="00664A3F" w:rsidP="00B0263F">
            <w:pPr>
              <w:pStyle w:val="TableParagraph"/>
              <w:spacing w:before="33"/>
              <w:ind w:right="72"/>
              <w:rPr>
                <w:sz w:val="18"/>
              </w:rPr>
            </w:pPr>
            <w:r>
              <w:rPr>
                <w:sz w:val="18"/>
              </w:rPr>
              <w:t>26</w:t>
            </w:r>
          </w:p>
        </w:tc>
        <w:tc>
          <w:tcPr>
            <w:tcW w:w="1165" w:type="dxa"/>
            <w:tcBorders>
              <w:top w:val="single" w:sz="4" w:space="0" w:color="000000"/>
              <w:left w:val="dashed" w:sz="4" w:space="0" w:color="DADADA"/>
              <w:bottom w:val="single" w:sz="4" w:space="0" w:color="000000"/>
              <w:right w:val="dashed" w:sz="4" w:space="0" w:color="DADADA"/>
            </w:tcBorders>
          </w:tcPr>
          <w:p w14:paraId="45CDA317" w14:textId="77777777" w:rsidR="00664A3F" w:rsidRDefault="00664A3F" w:rsidP="00B0263F">
            <w:pPr>
              <w:pStyle w:val="TableParagraph"/>
              <w:spacing w:before="33"/>
              <w:ind w:right="71"/>
              <w:rPr>
                <w:sz w:val="18"/>
              </w:rPr>
            </w:pPr>
            <w:r>
              <w:rPr>
                <w:sz w:val="18"/>
              </w:rPr>
              <w:t>14</w:t>
            </w:r>
          </w:p>
        </w:tc>
        <w:tc>
          <w:tcPr>
            <w:tcW w:w="1032" w:type="dxa"/>
            <w:tcBorders>
              <w:top w:val="single" w:sz="4" w:space="0" w:color="000000"/>
              <w:left w:val="dashed" w:sz="4" w:space="0" w:color="DADADA"/>
              <w:bottom w:val="single" w:sz="4" w:space="0" w:color="000000"/>
              <w:right w:val="nil"/>
            </w:tcBorders>
          </w:tcPr>
          <w:p w14:paraId="7CF68CC8" w14:textId="77777777" w:rsidR="00664A3F" w:rsidRDefault="00664A3F" w:rsidP="00B0263F">
            <w:pPr>
              <w:pStyle w:val="TableParagraph"/>
              <w:spacing w:before="33"/>
              <w:ind w:right="76"/>
              <w:rPr>
                <w:sz w:val="18"/>
              </w:rPr>
            </w:pPr>
            <w:r>
              <w:rPr>
                <w:sz w:val="18"/>
              </w:rPr>
              <w:t>40</w:t>
            </w:r>
          </w:p>
        </w:tc>
      </w:tr>
      <w:tr w:rsidR="00664A3F" w14:paraId="48ED9FF1"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71C06B49" w14:textId="77777777" w:rsidR="00664A3F" w:rsidRDefault="00664A3F" w:rsidP="00B0263F">
            <w:pPr>
              <w:pStyle w:val="TableParagraph"/>
              <w:spacing w:before="33"/>
              <w:ind w:left="79"/>
              <w:jc w:val="left"/>
              <w:rPr>
                <w:sz w:val="18"/>
              </w:rPr>
            </w:pPr>
            <w:r>
              <w:rPr>
                <w:sz w:val="18"/>
              </w:rPr>
              <w:t>2016-2017</w:t>
            </w:r>
          </w:p>
        </w:tc>
        <w:tc>
          <w:tcPr>
            <w:tcW w:w="1187" w:type="dxa"/>
            <w:tcBorders>
              <w:top w:val="single" w:sz="4" w:space="0" w:color="000000"/>
              <w:left w:val="single" w:sz="4" w:space="0" w:color="DADADA"/>
              <w:bottom w:val="single" w:sz="4" w:space="0" w:color="000000"/>
              <w:right w:val="dashed" w:sz="4" w:space="0" w:color="DADADA"/>
            </w:tcBorders>
          </w:tcPr>
          <w:p w14:paraId="7DE0B545" w14:textId="77777777" w:rsidR="00664A3F" w:rsidRDefault="00664A3F" w:rsidP="00B0263F">
            <w:pPr>
              <w:pStyle w:val="TableParagraph"/>
              <w:spacing w:before="33"/>
              <w:ind w:right="72"/>
              <w:rPr>
                <w:sz w:val="18"/>
              </w:rPr>
            </w:pPr>
            <w:r>
              <w:rPr>
                <w:sz w:val="18"/>
              </w:rPr>
              <w:t>161</w:t>
            </w:r>
          </w:p>
        </w:tc>
        <w:tc>
          <w:tcPr>
            <w:tcW w:w="1173" w:type="dxa"/>
            <w:tcBorders>
              <w:top w:val="single" w:sz="4" w:space="0" w:color="000000"/>
              <w:left w:val="dashed" w:sz="4" w:space="0" w:color="DADADA"/>
              <w:bottom w:val="single" w:sz="4" w:space="0" w:color="000000"/>
              <w:right w:val="dashed" w:sz="4" w:space="0" w:color="DADADA"/>
            </w:tcBorders>
          </w:tcPr>
          <w:p w14:paraId="30970BAF" w14:textId="77777777" w:rsidR="00664A3F" w:rsidRDefault="00664A3F" w:rsidP="00B0263F">
            <w:pPr>
              <w:pStyle w:val="TableParagraph"/>
              <w:spacing w:before="33"/>
              <w:ind w:right="72"/>
              <w:rPr>
                <w:sz w:val="18"/>
              </w:rPr>
            </w:pPr>
            <w:r>
              <w:rPr>
                <w:sz w:val="18"/>
              </w:rPr>
              <w:t>26</w:t>
            </w:r>
          </w:p>
        </w:tc>
        <w:tc>
          <w:tcPr>
            <w:tcW w:w="1141" w:type="dxa"/>
            <w:tcBorders>
              <w:top w:val="single" w:sz="4" w:space="0" w:color="000000"/>
              <w:left w:val="dashed" w:sz="4" w:space="0" w:color="DADADA"/>
              <w:bottom w:val="single" w:sz="4" w:space="0" w:color="000000"/>
              <w:right w:val="dashed" w:sz="4" w:space="0" w:color="DADADA"/>
            </w:tcBorders>
          </w:tcPr>
          <w:p w14:paraId="2DA7F68B" w14:textId="77777777" w:rsidR="00664A3F" w:rsidRDefault="00664A3F" w:rsidP="00B0263F">
            <w:pPr>
              <w:pStyle w:val="TableParagraph"/>
              <w:spacing w:before="33"/>
              <w:ind w:right="72"/>
              <w:rPr>
                <w:sz w:val="18"/>
              </w:rPr>
            </w:pPr>
            <w:r>
              <w:rPr>
                <w:sz w:val="18"/>
              </w:rPr>
              <w:t>187</w:t>
            </w:r>
          </w:p>
        </w:tc>
        <w:tc>
          <w:tcPr>
            <w:tcW w:w="1134" w:type="dxa"/>
            <w:tcBorders>
              <w:top w:val="single" w:sz="4" w:space="0" w:color="000000"/>
              <w:left w:val="dashed" w:sz="4" w:space="0" w:color="DADADA"/>
              <w:bottom w:val="single" w:sz="4" w:space="0" w:color="000000"/>
              <w:right w:val="dashed" w:sz="4" w:space="0" w:color="DADADA"/>
            </w:tcBorders>
          </w:tcPr>
          <w:p w14:paraId="1FA9EE4B" w14:textId="77777777" w:rsidR="00664A3F" w:rsidRDefault="00664A3F" w:rsidP="00B0263F">
            <w:pPr>
              <w:pStyle w:val="TableParagraph"/>
              <w:spacing w:before="33"/>
              <w:ind w:right="72"/>
              <w:rPr>
                <w:sz w:val="18"/>
              </w:rPr>
            </w:pPr>
            <w:r>
              <w:rPr>
                <w:sz w:val="18"/>
              </w:rPr>
              <w:t>32</w:t>
            </w:r>
          </w:p>
        </w:tc>
        <w:tc>
          <w:tcPr>
            <w:tcW w:w="1137" w:type="dxa"/>
            <w:tcBorders>
              <w:top w:val="single" w:sz="4" w:space="0" w:color="000000"/>
              <w:left w:val="dashed" w:sz="4" w:space="0" w:color="DADADA"/>
              <w:bottom w:val="single" w:sz="4" w:space="0" w:color="000000"/>
              <w:right w:val="dashed" w:sz="4" w:space="0" w:color="DADADA"/>
            </w:tcBorders>
          </w:tcPr>
          <w:p w14:paraId="552764C6" w14:textId="77777777" w:rsidR="00664A3F" w:rsidRDefault="00664A3F" w:rsidP="00B0263F">
            <w:pPr>
              <w:pStyle w:val="TableParagraph"/>
              <w:spacing w:before="33"/>
              <w:ind w:right="72"/>
              <w:rPr>
                <w:sz w:val="18"/>
              </w:rPr>
            </w:pPr>
            <w:r>
              <w:rPr>
                <w:sz w:val="18"/>
              </w:rPr>
              <w:t>16</w:t>
            </w:r>
          </w:p>
        </w:tc>
        <w:tc>
          <w:tcPr>
            <w:tcW w:w="1165" w:type="dxa"/>
            <w:tcBorders>
              <w:top w:val="single" w:sz="4" w:space="0" w:color="000000"/>
              <w:left w:val="dashed" w:sz="4" w:space="0" w:color="DADADA"/>
              <w:bottom w:val="single" w:sz="4" w:space="0" w:color="000000"/>
              <w:right w:val="dashed" w:sz="4" w:space="0" w:color="DADADA"/>
            </w:tcBorders>
          </w:tcPr>
          <w:p w14:paraId="6351DC3D" w14:textId="77777777" w:rsidR="00664A3F" w:rsidRDefault="00664A3F" w:rsidP="00B0263F">
            <w:pPr>
              <w:pStyle w:val="TableParagraph"/>
              <w:spacing w:before="33"/>
              <w:ind w:right="71"/>
              <w:rPr>
                <w:sz w:val="18"/>
              </w:rPr>
            </w:pPr>
            <w:r>
              <w:rPr>
                <w:sz w:val="18"/>
              </w:rPr>
              <w:t>17</w:t>
            </w:r>
          </w:p>
        </w:tc>
        <w:tc>
          <w:tcPr>
            <w:tcW w:w="1032" w:type="dxa"/>
            <w:tcBorders>
              <w:top w:val="single" w:sz="4" w:space="0" w:color="000000"/>
              <w:left w:val="dashed" w:sz="4" w:space="0" w:color="DADADA"/>
              <w:bottom w:val="single" w:sz="4" w:space="0" w:color="000000"/>
              <w:right w:val="nil"/>
            </w:tcBorders>
          </w:tcPr>
          <w:p w14:paraId="567B07F8" w14:textId="77777777" w:rsidR="00664A3F" w:rsidRDefault="00664A3F" w:rsidP="00B0263F">
            <w:pPr>
              <w:pStyle w:val="TableParagraph"/>
              <w:spacing w:before="33"/>
              <w:ind w:right="76"/>
              <w:rPr>
                <w:sz w:val="18"/>
              </w:rPr>
            </w:pPr>
            <w:r>
              <w:rPr>
                <w:sz w:val="18"/>
              </w:rPr>
              <w:t>36</w:t>
            </w:r>
          </w:p>
        </w:tc>
      </w:tr>
      <w:tr w:rsidR="00664A3F" w14:paraId="31665772" w14:textId="77777777" w:rsidTr="0088225B">
        <w:trPr>
          <w:trHeight w:val="352"/>
        </w:trPr>
        <w:tc>
          <w:tcPr>
            <w:tcW w:w="1672" w:type="dxa"/>
            <w:tcBorders>
              <w:top w:val="single" w:sz="4" w:space="0" w:color="000000"/>
              <w:left w:val="nil"/>
              <w:bottom w:val="single" w:sz="4" w:space="0" w:color="000000"/>
              <w:right w:val="single" w:sz="4" w:space="0" w:color="DADADA"/>
            </w:tcBorders>
          </w:tcPr>
          <w:p w14:paraId="5F1DBB23" w14:textId="77777777" w:rsidR="00664A3F" w:rsidRDefault="00664A3F" w:rsidP="00B0263F">
            <w:pPr>
              <w:pStyle w:val="TableParagraph"/>
              <w:spacing w:before="33"/>
              <w:ind w:left="79"/>
              <w:jc w:val="left"/>
              <w:rPr>
                <w:sz w:val="18"/>
              </w:rPr>
            </w:pPr>
            <w:r>
              <w:rPr>
                <w:sz w:val="18"/>
              </w:rPr>
              <w:t>2017-2018</w:t>
            </w:r>
          </w:p>
        </w:tc>
        <w:tc>
          <w:tcPr>
            <w:tcW w:w="1187" w:type="dxa"/>
            <w:tcBorders>
              <w:top w:val="single" w:sz="4" w:space="0" w:color="000000"/>
              <w:left w:val="single" w:sz="4" w:space="0" w:color="DADADA"/>
              <w:bottom w:val="single" w:sz="4" w:space="0" w:color="000000"/>
              <w:right w:val="dashed" w:sz="4" w:space="0" w:color="DADADA"/>
            </w:tcBorders>
          </w:tcPr>
          <w:p w14:paraId="12A11EB6" w14:textId="77777777" w:rsidR="00664A3F" w:rsidRDefault="00664A3F" w:rsidP="00B0263F">
            <w:pPr>
              <w:pStyle w:val="TableParagraph"/>
              <w:spacing w:before="33"/>
              <w:ind w:right="72"/>
              <w:rPr>
                <w:sz w:val="18"/>
              </w:rPr>
            </w:pPr>
            <w:r>
              <w:rPr>
                <w:sz w:val="18"/>
              </w:rPr>
              <w:t>289</w:t>
            </w:r>
          </w:p>
        </w:tc>
        <w:tc>
          <w:tcPr>
            <w:tcW w:w="1173" w:type="dxa"/>
            <w:tcBorders>
              <w:top w:val="single" w:sz="4" w:space="0" w:color="000000"/>
              <w:left w:val="dashed" w:sz="4" w:space="0" w:color="DADADA"/>
              <w:bottom w:val="single" w:sz="4" w:space="0" w:color="000000"/>
              <w:right w:val="dashed" w:sz="4" w:space="0" w:color="DADADA"/>
            </w:tcBorders>
          </w:tcPr>
          <w:p w14:paraId="4A23DC4C" w14:textId="77777777" w:rsidR="00664A3F" w:rsidRDefault="00664A3F" w:rsidP="00B0263F">
            <w:pPr>
              <w:pStyle w:val="TableParagraph"/>
              <w:spacing w:before="33"/>
              <w:ind w:right="72"/>
              <w:rPr>
                <w:sz w:val="18"/>
              </w:rPr>
            </w:pPr>
            <w:r>
              <w:rPr>
                <w:sz w:val="18"/>
              </w:rPr>
              <w:t>34</w:t>
            </w:r>
          </w:p>
        </w:tc>
        <w:tc>
          <w:tcPr>
            <w:tcW w:w="1141" w:type="dxa"/>
            <w:tcBorders>
              <w:top w:val="single" w:sz="4" w:space="0" w:color="000000"/>
              <w:left w:val="dashed" w:sz="4" w:space="0" w:color="DADADA"/>
              <w:bottom w:val="single" w:sz="4" w:space="0" w:color="000000"/>
              <w:right w:val="dashed" w:sz="4" w:space="0" w:color="DADADA"/>
            </w:tcBorders>
          </w:tcPr>
          <w:p w14:paraId="5CC72194" w14:textId="77777777" w:rsidR="00664A3F" w:rsidRDefault="00664A3F" w:rsidP="00B0263F">
            <w:pPr>
              <w:pStyle w:val="TableParagraph"/>
              <w:spacing w:before="33"/>
              <w:ind w:right="72"/>
              <w:rPr>
                <w:sz w:val="18"/>
              </w:rPr>
            </w:pPr>
            <w:r>
              <w:rPr>
                <w:sz w:val="18"/>
              </w:rPr>
              <w:t>323</w:t>
            </w:r>
          </w:p>
        </w:tc>
        <w:tc>
          <w:tcPr>
            <w:tcW w:w="1134" w:type="dxa"/>
            <w:tcBorders>
              <w:top w:val="single" w:sz="4" w:space="0" w:color="000000"/>
              <w:left w:val="dashed" w:sz="4" w:space="0" w:color="DADADA"/>
              <w:bottom w:val="single" w:sz="4" w:space="0" w:color="000000"/>
              <w:right w:val="dashed" w:sz="4" w:space="0" w:color="DADADA"/>
            </w:tcBorders>
          </w:tcPr>
          <w:p w14:paraId="5E602007" w14:textId="77777777" w:rsidR="00664A3F" w:rsidRDefault="00664A3F" w:rsidP="00B0263F">
            <w:pPr>
              <w:pStyle w:val="TableParagraph"/>
              <w:spacing w:before="33"/>
              <w:ind w:right="72"/>
              <w:rPr>
                <w:sz w:val="18"/>
              </w:rPr>
            </w:pPr>
            <w:r>
              <w:rPr>
                <w:sz w:val="18"/>
              </w:rPr>
              <w:t>84</w:t>
            </w:r>
          </w:p>
        </w:tc>
        <w:tc>
          <w:tcPr>
            <w:tcW w:w="1137" w:type="dxa"/>
            <w:tcBorders>
              <w:top w:val="single" w:sz="4" w:space="0" w:color="000000"/>
              <w:left w:val="dashed" w:sz="4" w:space="0" w:color="DADADA"/>
              <w:bottom w:val="single" w:sz="4" w:space="0" w:color="000000"/>
              <w:right w:val="dashed" w:sz="4" w:space="0" w:color="DADADA"/>
            </w:tcBorders>
          </w:tcPr>
          <w:p w14:paraId="28B990A6" w14:textId="77777777" w:rsidR="00664A3F" w:rsidRDefault="00664A3F" w:rsidP="00B0263F">
            <w:pPr>
              <w:pStyle w:val="TableParagraph"/>
              <w:spacing w:before="33"/>
              <w:ind w:right="72"/>
              <w:rPr>
                <w:sz w:val="18"/>
              </w:rPr>
            </w:pPr>
            <w:r>
              <w:rPr>
                <w:sz w:val="18"/>
              </w:rPr>
              <w:t>22</w:t>
            </w:r>
          </w:p>
        </w:tc>
        <w:tc>
          <w:tcPr>
            <w:tcW w:w="1165" w:type="dxa"/>
            <w:tcBorders>
              <w:top w:val="single" w:sz="4" w:space="0" w:color="000000"/>
              <w:left w:val="dashed" w:sz="4" w:space="0" w:color="DADADA"/>
              <w:bottom w:val="single" w:sz="4" w:space="0" w:color="000000"/>
              <w:right w:val="dashed" w:sz="4" w:space="0" w:color="DADADA"/>
            </w:tcBorders>
          </w:tcPr>
          <w:p w14:paraId="71EEFD8E" w14:textId="77777777" w:rsidR="00664A3F" w:rsidRDefault="00664A3F" w:rsidP="00B0263F">
            <w:pPr>
              <w:pStyle w:val="TableParagraph"/>
              <w:spacing w:before="33"/>
              <w:ind w:right="71"/>
              <w:rPr>
                <w:sz w:val="18"/>
              </w:rPr>
            </w:pPr>
            <w:r>
              <w:rPr>
                <w:sz w:val="18"/>
              </w:rPr>
              <w:t>14</w:t>
            </w:r>
          </w:p>
        </w:tc>
        <w:tc>
          <w:tcPr>
            <w:tcW w:w="1032" w:type="dxa"/>
            <w:tcBorders>
              <w:top w:val="single" w:sz="4" w:space="0" w:color="000000"/>
              <w:left w:val="dashed" w:sz="4" w:space="0" w:color="DADADA"/>
              <w:bottom w:val="single" w:sz="4" w:space="0" w:color="000000"/>
              <w:right w:val="nil"/>
            </w:tcBorders>
          </w:tcPr>
          <w:p w14:paraId="788214D6" w14:textId="77777777" w:rsidR="00664A3F" w:rsidRDefault="00664A3F" w:rsidP="00B0263F">
            <w:pPr>
              <w:pStyle w:val="TableParagraph"/>
              <w:spacing w:before="33"/>
              <w:ind w:right="76"/>
              <w:rPr>
                <w:sz w:val="18"/>
              </w:rPr>
            </w:pPr>
            <w:r>
              <w:rPr>
                <w:sz w:val="18"/>
              </w:rPr>
              <w:t>36</w:t>
            </w:r>
          </w:p>
        </w:tc>
      </w:tr>
    </w:tbl>
    <w:p w14:paraId="6EA80E2F" w14:textId="48BA8D02" w:rsidR="0088225B" w:rsidRDefault="0088225B" w:rsidP="00251155">
      <w:pPr>
        <w:spacing w:before="269"/>
        <w:ind w:left="153"/>
        <w:rPr>
          <w:rFonts w:ascii="Montserrat-SemiBoldItalic" w:hAnsi="Montserrat-SemiBoldItalic"/>
          <w:b/>
          <w:i/>
          <w:sz w:val="20"/>
        </w:rPr>
      </w:pPr>
    </w:p>
    <w:p w14:paraId="37C073DF" w14:textId="77777777" w:rsidR="0088225B" w:rsidRDefault="0088225B">
      <w:pPr>
        <w:rPr>
          <w:rFonts w:ascii="Montserrat-SemiBoldItalic" w:hAnsi="Montserrat-SemiBoldItalic"/>
          <w:b/>
          <w:i/>
          <w:sz w:val="20"/>
        </w:rPr>
      </w:pPr>
      <w:r>
        <w:rPr>
          <w:rFonts w:ascii="Montserrat-SemiBoldItalic" w:hAnsi="Montserrat-SemiBoldItalic"/>
          <w:b/>
          <w:i/>
          <w:sz w:val="20"/>
        </w:rPr>
        <w:br w:type="page"/>
      </w:r>
    </w:p>
    <w:p w14:paraId="4F1DEA7E" w14:textId="77777777" w:rsidR="00251155" w:rsidRDefault="00251155" w:rsidP="00F74670">
      <w:pPr>
        <w:pStyle w:val="Heading3"/>
      </w:pPr>
      <w:r>
        <w:lastRenderedPageBreak/>
        <w:t>Types of meetings – activity</w:t>
      </w:r>
    </w:p>
    <w:tbl>
      <w:tblPr>
        <w:tblW w:w="0" w:type="auto"/>
        <w:tblBorders>
          <w:top w:val="single" w:sz="8" w:space="0" w:color="7098D0"/>
          <w:left w:val="single" w:sz="8" w:space="0" w:color="7098D0"/>
          <w:bottom w:val="single" w:sz="8" w:space="0" w:color="7098D0"/>
          <w:right w:val="single" w:sz="8" w:space="0" w:color="7098D0"/>
          <w:insideH w:val="single" w:sz="8" w:space="0" w:color="7098D0"/>
          <w:insideV w:val="single" w:sz="8" w:space="0" w:color="7098D0"/>
        </w:tblBorders>
        <w:tblLayout w:type="fixed"/>
        <w:tblCellMar>
          <w:left w:w="0" w:type="dxa"/>
          <w:right w:w="0" w:type="dxa"/>
        </w:tblCellMar>
        <w:tblLook w:val="01E0" w:firstRow="1" w:lastRow="1" w:firstColumn="1" w:lastColumn="1" w:noHBand="0" w:noVBand="0"/>
      </w:tblPr>
      <w:tblGrid>
        <w:gridCol w:w="8561"/>
        <w:gridCol w:w="1072"/>
      </w:tblGrid>
      <w:tr w:rsidR="00251155" w14:paraId="15C9485F" w14:textId="77777777" w:rsidTr="0088225B">
        <w:trPr>
          <w:trHeight w:val="396"/>
        </w:trPr>
        <w:tc>
          <w:tcPr>
            <w:tcW w:w="8561" w:type="dxa"/>
            <w:tcBorders>
              <w:top w:val="nil"/>
              <w:left w:val="nil"/>
              <w:bottom w:val="nil"/>
            </w:tcBorders>
            <w:shd w:val="clear" w:color="auto" w:fill="89A7D7"/>
          </w:tcPr>
          <w:p w14:paraId="7697B719" w14:textId="77777777" w:rsidR="00251155" w:rsidRDefault="00251155" w:rsidP="0047706A">
            <w:pPr>
              <w:pStyle w:val="TableParagraph"/>
              <w:spacing w:before="72"/>
              <w:ind w:left="79"/>
              <w:jc w:val="left"/>
              <w:rPr>
                <w:b/>
                <w:sz w:val="18"/>
              </w:rPr>
            </w:pPr>
            <w:r>
              <w:rPr>
                <w:b/>
                <w:sz w:val="18"/>
              </w:rPr>
              <w:t>Consolidated statistical return</w:t>
            </w:r>
          </w:p>
        </w:tc>
        <w:tc>
          <w:tcPr>
            <w:tcW w:w="1072" w:type="dxa"/>
            <w:tcBorders>
              <w:top w:val="nil"/>
              <w:bottom w:val="nil"/>
              <w:right w:val="nil"/>
            </w:tcBorders>
            <w:shd w:val="clear" w:color="auto" w:fill="89A7D7"/>
          </w:tcPr>
          <w:p w14:paraId="3558412E" w14:textId="77777777" w:rsidR="00251155" w:rsidRDefault="00251155" w:rsidP="0047706A">
            <w:pPr>
              <w:pStyle w:val="TableParagraph"/>
              <w:spacing w:before="72"/>
              <w:ind w:right="78"/>
              <w:rPr>
                <w:b/>
                <w:sz w:val="18"/>
              </w:rPr>
            </w:pPr>
            <w:r>
              <w:rPr>
                <w:b/>
                <w:sz w:val="18"/>
              </w:rPr>
              <w:t>Total</w:t>
            </w:r>
          </w:p>
        </w:tc>
      </w:tr>
      <w:tr w:rsidR="00251155" w14:paraId="5788F972" w14:textId="77777777" w:rsidTr="0088225B">
        <w:trPr>
          <w:trHeight w:val="386"/>
        </w:trPr>
        <w:tc>
          <w:tcPr>
            <w:tcW w:w="8561" w:type="dxa"/>
            <w:tcBorders>
              <w:top w:val="nil"/>
              <w:left w:val="nil"/>
              <w:bottom w:val="single" w:sz="4" w:space="0" w:color="000000"/>
              <w:right w:val="single" w:sz="4" w:space="0" w:color="DADADA"/>
            </w:tcBorders>
          </w:tcPr>
          <w:p w14:paraId="65EA2300" w14:textId="77777777" w:rsidR="00251155" w:rsidRDefault="00251155" w:rsidP="0047706A">
            <w:pPr>
              <w:pStyle w:val="TableParagraph"/>
              <w:spacing w:before="50"/>
              <w:ind w:left="79"/>
              <w:jc w:val="left"/>
              <w:rPr>
                <w:sz w:val="18"/>
              </w:rPr>
            </w:pPr>
            <w:r>
              <w:rPr>
                <w:sz w:val="18"/>
              </w:rPr>
              <w:t>Total number of meetings</w:t>
            </w:r>
          </w:p>
        </w:tc>
        <w:tc>
          <w:tcPr>
            <w:tcW w:w="1072" w:type="dxa"/>
            <w:tcBorders>
              <w:top w:val="nil"/>
              <w:left w:val="single" w:sz="4" w:space="0" w:color="DADADA"/>
              <w:bottom w:val="single" w:sz="4" w:space="0" w:color="000000"/>
              <w:right w:val="nil"/>
            </w:tcBorders>
          </w:tcPr>
          <w:p w14:paraId="624DA392" w14:textId="77777777" w:rsidR="00251155" w:rsidRDefault="00251155" w:rsidP="0047706A">
            <w:pPr>
              <w:pStyle w:val="TableParagraph"/>
              <w:spacing w:before="50"/>
              <w:ind w:right="78"/>
              <w:rPr>
                <w:b/>
                <w:sz w:val="18"/>
              </w:rPr>
            </w:pPr>
            <w:r>
              <w:rPr>
                <w:b/>
                <w:sz w:val="18"/>
              </w:rPr>
              <w:t>323</w:t>
            </w:r>
          </w:p>
        </w:tc>
      </w:tr>
      <w:tr w:rsidR="00251155" w14:paraId="3E606179"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3CD66959" w14:textId="77777777" w:rsidR="00251155" w:rsidRDefault="00251155" w:rsidP="0047706A">
            <w:pPr>
              <w:pStyle w:val="TableParagraph"/>
              <w:spacing w:before="50"/>
              <w:ind w:left="79"/>
              <w:jc w:val="left"/>
              <w:rPr>
                <w:sz w:val="18"/>
              </w:rPr>
            </w:pPr>
            <w:r>
              <w:rPr>
                <w:sz w:val="18"/>
              </w:rPr>
              <w:t>Number of private meetings</w:t>
            </w:r>
          </w:p>
        </w:tc>
        <w:tc>
          <w:tcPr>
            <w:tcW w:w="1072" w:type="dxa"/>
            <w:tcBorders>
              <w:top w:val="single" w:sz="4" w:space="0" w:color="000000"/>
              <w:left w:val="single" w:sz="4" w:space="0" w:color="DADADA"/>
              <w:bottom w:val="single" w:sz="4" w:space="0" w:color="000000"/>
              <w:right w:val="nil"/>
            </w:tcBorders>
          </w:tcPr>
          <w:p w14:paraId="08945A7F" w14:textId="77777777" w:rsidR="00251155" w:rsidRDefault="00251155" w:rsidP="0047706A">
            <w:pPr>
              <w:pStyle w:val="TableParagraph"/>
              <w:spacing w:before="50"/>
              <w:ind w:right="78"/>
              <w:rPr>
                <w:b/>
                <w:sz w:val="18"/>
              </w:rPr>
            </w:pPr>
            <w:r>
              <w:rPr>
                <w:b/>
                <w:sz w:val="18"/>
              </w:rPr>
              <w:t>226</w:t>
            </w:r>
          </w:p>
        </w:tc>
      </w:tr>
      <w:tr w:rsidR="00251155" w14:paraId="01CE46D3"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128846A9" w14:textId="77777777" w:rsidR="00251155" w:rsidRDefault="00251155" w:rsidP="0047706A">
            <w:pPr>
              <w:pStyle w:val="TableParagraph"/>
              <w:spacing w:before="50"/>
              <w:ind w:left="79"/>
              <w:jc w:val="left"/>
              <w:rPr>
                <w:sz w:val="18"/>
              </w:rPr>
            </w:pPr>
            <w:r>
              <w:rPr>
                <w:sz w:val="18"/>
              </w:rPr>
              <w:t>Number of private meetings with full attendance by committee members</w:t>
            </w:r>
          </w:p>
        </w:tc>
        <w:tc>
          <w:tcPr>
            <w:tcW w:w="1072" w:type="dxa"/>
            <w:tcBorders>
              <w:top w:val="single" w:sz="4" w:space="0" w:color="000000"/>
              <w:left w:val="single" w:sz="4" w:space="0" w:color="DADADA"/>
              <w:bottom w:val="single" w:sz="4" w:space="0" w:color="000000"/>
              <w:right w:val="nil"/>
            </w:tcBorders>
          </w:tcPr>
          <w:p w14:paraId="110B83DC" w14:textId="77777777" w:rsidR="00251155" w:rsidRDefault="00251155" w:rsidP="0047706A">
            <w:pPr>
              <w:pStyle w:val="TableParagraph"/>
              <w:spacing w:before="50"/>
              <w:ind w:right="78"/>
              <w:rPr>
                <w:b/>
                <w:sz w:val="18"/>
              </w:rPr>
            </w:pPr>
            <w:r>
              <w:rPr>
                <w:b/>
                <w:sz w:val="18"/>
              </w:rPr>
              <w:t>158</w:t>
            </w:r>
          </w:p>
        </w:tc>
      </w:tr>
      <w:tr w:rsidR="00251155" w14:paraId="47BCCA8F"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617FAD18" w14:textId="77777777" w:rsidR="00251155" w:rsidRDefault="00251155" w:rsidP="0047706A">
            <w:pPr>
              <w:pStyle w:val="TableParagraph"/>
              <w:spacing w:before="50"/>
              <w:ind w:left="79"/>
              <w:jc w:val="left"/>
              <w:rPr>
                <w:sz w:val="18"/>
              </w:rPr>
            </w:pPr>
            <w:r>
              <w:rPr>
                <w:sz w:val="18"/>
              </w:rPr>
              <w:t>Number of public hearings</w:t>
            </w:r>
          </w:p>
        </w:tc>
        <w:tc>
          <w:tcPr>
            <w:tcW w:w="1072" w:type="dxa"/>
            <w:tcBorders>
              <w:top w:val="single" w:sz="4" w:space="0" w:color="000000"/>
              <w:left w:val="single" w:sz="4" w:space="0" w:color="DADADA"/>
              <w:bottom w:val="single" w:sz="4" w:space="0" w:color="000000"/>
              <w:right w:val="nil"/>
            </w:tcBorders>
          </w:tcPr>
          <w:p w14:paraId="7A206482" w14:textId="77777777" w:rsidR="00251155" w:rsidRDefault="00251155" w:rsidP="0047706A">
            <w:pPr>
              <w:pStyle w:val="TableParagraph"/>
              <w:spacing w:before="50"/>
              <w:ind w:right="78"/>
              <w:rPr>
                <w:b/>
                <w:sz w:val="18"/>
              </w:rPr>
            </w:pPr>
            <w:r>
              <w:rPr>
                <w:b/>
                <w:sz w:val="18"/>
              </w:rPr>
              <w:t>84</w:t>
            </w:r>
          </w:p>
        </w:tc>
      </w:tr>
      <w:tr w:rsidR="00251155" w14:paraId="64C1AF59"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30B3A931" w14:textId="77777777" w:rsidR="00251155" w:rsidRDefault="00251155" w:rsidP="0047706A">
            <w:pPr>
              <w:pStyle w:val="TableParagraph"/>
              <w:spacing w:before="50"/>
              <w:ind w:left="79"/>
              <w:jc w:val="left"/>
              <w:rPr>
                <w:sz w:val="18"/>
              </w:rPr>
            </w:pPr>
            <w:r>
              <w:rPr>
                <w:sz w:val="18"/>
              </w:rPr>
              <w:t>Number of public hearings with full attendance by committee members</w:t>
            </w:r>
          </w:p>
        </w:tc>
        <w:tc>
          <w:tcPr>
            <w:tcW w:w="1072" w:type="dxa"/>
            <w:tcBorders>
              <w:top w:val="single" w:sz="4" w:space="0" w:color="000000"/>
              <w:left w:val="single" w:sz="4" w:space="0" w:color="DADADA"/>
              <w:bottom w:val="single" w:sz="4" w:space="0" w:color="000000"/>
              <w:right w:val="nil"/>
            </w:tcBorders>
          </w:tcPr>
          <w:p w14:paraId="776E7D16" w14:textId="77777777" w:rsidR="00251155" w:rsidRDefault="00251155" w:rsidP="0047706A">
            <w:pPr>
              <w:pStyle w:val="TableParagraph"/>
              <w:spacing w:before="50"/>
              <w:ind w:right="78"/>
              <w:rPr>
                <w:b/>
                <w:sz w:val="18"/>
              </w:rPr>
            </w:pPr>
            <w:r>
              <w:rPr>
                <w:b/>
                <w:sz w:val="18"/>
              </w:rPr>
              <w:t>59</w:t>
            </w:r>
          </w:p>
        </w:tc>
      </w:tr>
      <w:tr w:rsidR="00251155" w14:paraId="40C0CFA7"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7570DAFF" w14:textId="77777777" w:rsidR="00251155" w:rsidRDefault="00251155" w:rsidP="0047706A">
            <w:pPr>
              <w:pStyle w:val="TableParagraph"/>
              <w:spacing w:before="50"/>
              <w:ind w:left="79"/>
              <w:jc w:val="left"/>
              <w:rPr>
                <w:sz w:val="18"/>
              </w:rPr>
            </w:pPr>
            <w:r>
              <w:rPr>
                <w:sz w:val="18"/>
              </w:rPr>
              <w:t>Number of site visits/study tours</w:t>
            </w:r>
          </w:p>
        </w:tc>
        <w:tc>
          <w:tcPr>
            <w:tcW w:w="1072" w:type="dxa"/>
            <w:tcBorders>
              <w:top w:val="single" w:sz="4" w:space="0" w:color="000000"/>
              <w:left w:val="single" w:sz="4" w:space="0" w:color="DADADA"/>
              <w:bottom w:val="single" w:sz="4" w:space="0" w:color="000000"/>
              <w:right w:val="nil"/>
            </w:tcBorders>
          </w:tcPr>
          <w:p w14:paraId="058E5789" w14:textId="77777777" w:rsidR="00251155" w:rsidRDefault="00251155" w:rsidP="0047706A">
            <w:pPr>
              <w:pStyle w:val="TableParagraph"/>
              <w:spacing w:before="50"/>
              <w:ind w:right="78"/>
              <w:rPr>
                <w:b/>
                <w:sz w:val="18"/>
              </w:rPr>
            </w:pPr>
            <w:r>
              <w:rPr>
                <w:b/>
                <w:sz w:val="18"/>
              </w:rPr>
              <w:t>12</w:t>
            </w:r>
          </w:p>
        </w:tc>
      </w:tr>
      <w:tr w:rsidR="00251155" w14:paraId="290410FD"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3FEB0BF1" w14:textId="77777777" w:rsidR="00251155" w:rsidRDefault="00251155" w:rsidP="0047706A">
            <w:pPr>
              <w:pStyle w:val="TableParagraph"/>
              <w:spacing w:before="50"/>
              <w:ind w:left="79"/>
              <w:jc w:val="left"/>
              <w:rPr>
                <w:sz w:val="18"/>
              </w:rPr>
            </w:pPr>
            <w:r>
              <w:rPr>
                <w:sz w:val="18"/>
              </w:rPr>
              <w:t>Number of other kinds of meetings (briefings, round tables, workshops)</w:t>
            </w:r>
          </w:p>
        </w:tc>
        <w:tc>
          <w:tcPr>
            <w:tcW w:w="1072" w:type="dxa"/>
            <w:tcBorders>
              <w:top w:val="single" w:sz="4" w:space="0" w:color="000000"/>
              <w:left w:val="single" w:sz="4" w:space="0" w:color="DADADA"/>
              <w:bottom w:val="single" w:sz="4" w:space="0" w:color="000000"/>
              <w:right w:val="nil"/>
            </w:tcBorders>
          </w:tcPr>
          <w:p w14:paraId="3735E0F6" w14:textId="77777777" w:rsidR="00251155" w:rsidRDefault="00251155" w:rsidP="0047706A">
            <w:pPr>
              <w:pStyle w:val="TableParagraph"/>
              <w:spacing w:before="50"/>
              <w:ind w:right="78"/>
              <w:rPr>
                <w:b/>
                <w:sz w:val="18"/>
              </w:rPr>
            </w:pPr>
            <w:r>
              <w:rPr>
                <w:b/>
                <w:sz w:val="18"/>
              </w:rPr>
              <w:t>1</w:t>
            </w:r>
          </w:p>
        </w:tc>
      </w:tr>
    </w:tbl>
    <w:p w14:paraId="1C0C88AA" w14:textId="77777777" w:rsidR="00251155" w:rsidRPr="0088225B" w:rsidRDefault="00251155" w:rsidP="00F74670">
      <w:pPr>
        <w:pStyle w:val="Heading3"/>
      </w:pPr>
      <w:r w:rsidRPr="0088225B">
        <w:t>Hours of meetings</w:t>
      </w:r>
    </w:p>
    <w:tbl>
      <w:tblPr>
        <w:tblW w:w="0" w:type="auto"/>
        <w:tblBorders>
          <w:top w:val="single" w:sz="8" w:space="0" w:color="7098D0"/>
          <w:left w:val="single" w:sz="8" w:space="0" w:color="7098D0"/>
          <w:bottom w:val="single" w:sz="8" w:space="0" w:color="7098D0"/>
          <w:right w:val="single" w:sz="8" w:space="0" w:color="7098D0"/>
          <w:insideH w:val="single" w:sz="8" w:space="0" w:color="7098D0"/>
          <w:insideV w:val="single" w:sz="8" w:space="0" w:color="7098D0"/>
        </w:tblBorders>
        <w:tblLayout w:type="fixed"/>
        <w:tblCellMar>
          <w:left w:w="0" w:type="dxa"/>
          <w:right w:w="0" w:type="dxa"/>
        </w:tblCellMar>
        <w:tblLook w:val="01E0" w:firstRow="1" w:lastRow="1" w:firstColumn="1" w:lastColumn="1" w:noHBand="0" w:noVBand="0"/>
      </w:tblPr>
      <w:tblGrid>
        <w:gridCol w:w="8561"/>
        <w:gridCol w:w="1073"/>
      </w:tblGrid>
      <w:tr w:rsidR="00251155" w14:paraId="190EABD7" w14:textId="77777777" w:rsidTr="0088225B">
        <w:trPr>
          <w:trHeight w:val="396"/>
        </w:trPr>
        <w:tc>
          <w:tcPr>
            <w:tcW w:w="8561" w:type="dxa"/>
            <w:tcBorders>
              <w:top w:val="nil"/>
              <w:left w:val="nil"/>
              <w:bottom w:val="nil"/>
            </w:tcBorders>
            <w:shd w:val="clear" w:color="auto" w:fill="89A7D7"/>
          </w:tcPr>
          <w:p w14:paraId="605416CE" w14:textId="77777777" w:rsidR="00251155" w:rsidRDefault="00251155" w:rsidP="0047706A">
            <w:pPr>
              <w:pStyle w:val="TableParagraph"/>
              <w:spacing w:before="72"/>
              <w:ind w:left="79"/>
              <w:jc w:val="left"/>
              <w:rPr>
                <w:b/>
                <w:sz w:val="18"/>
              </w:rPr>
            </w:pPr>
            <w:r>
              <w:rPr>
                <w:b/>
                <w:sz w:val="18"/>
              </w:rPr>
              <w:t>Consolidated statistical return</w:t>
            </w:r>
          </w:p>
        </w:tc>
        <w:tc>
          <w:tcPr>
            <w:tcW w:w="1073" w:type="dxa"/>
            <w:tcBorders>
              <w:top w:val="nil"/>
              <w:bottom w:val="nil"/>
              <w:right w:val="nil"/>
            </w:tcBorders>
            <w:shd w:val="clear" w:color="auto" w:fill="89A7D7"/>
          </w:tcPr>
          <w:p w14:paraId="14FBC058" w14:textId="77777777" w:rsidR="00251155" w:rsidRDefault="00251155" w:rsidP="0047706A">
            <w:pPr>
              <w:pStyle w:val="TableParagraph"/>
              <w:spacing w:before="72"/>
              <w:ind w:right="79"/>
              <w:rPr>
                <w:b/>
                <w:sz w:val="18"/>
              </w:rPr>
            </w:pPr>
            <w:r>
              <w:rPr>
                <w:b/>
                <w:sz w:val="18"/>
              </w:rPr>
              <w:t>Total</w:t>
            </w:r>
          </w:p>
        </w:tc>
      </w:tr>
      <w:tr w:rsidR="00251155" w14:paraId="43809389" w14:textId="77777777" w:rsidTr="0088225B">
        <w:trPr>
          <w:trHeight w:val="386"/>
        </w:trPr>
        <w:tc>
          <w:tcPr>
            <w:tcW w:w="8561" w:type="dxa"/>
            <w:tcBorders>
              <w:top w:val="nil"/>
              <w:left w:val="nil"/>
              <w:bottom w:val="single" w:sz="4" w:space="0" w:color="000000"/>
              <w:right w:val="single" w:sz="4" w:space="0" w:color="DADADA"/>
            </w:tcBorders>
          </w:tcPr>
          <w:p w14:paraId="62E30F99" w14:textId="77777777" w:rsidR="00251155" w:rsidRDefault="00251155" w:rsidP="0047706A">
            <w:pPr>
              <w:pStyle w:val="TableParagraph"/>
              <w:spacing w:before="49"/>
              <w:ind w:left="79"/>
              <w:jc w:val="left"/>
              <w:rPr>
                <w:sz w:val="18"/>
              </w:rPr>
            </w:pPr>
            <w:r>
              <w:rPr>
                <w:sz w:val="18"/>
              </w:rPr>
              <w:t>Hours of committee meetings [total]</w:t>
            </w:r>
          </w:p>
        </w:tc>
        <w:tc>
          <w:tcPr>
            <w:tcW w:w="1073" w:type="dxa"/>
            <w:tcBorders>
              <w:top w:val="nil"/>
              <w:left w:val="single" w:sz="4" w:space="0" w:color="DADADA"/>
              <w:bottom w:val="single" w:sz="4" w:space="0" w:color="000000"/>
              <w:right w:val="nil"/>
            </w:tcBorders>
          </w:tcPr>
          <w:p w14:paraId="3BDA5F23" w14:textId="77777777" w:rsidR="00251155" w:rsidRDefault="00251155" w:rsidP="0047706A">
            <w:pPr>
              <w:pStyle w:val="TableParagraph"/>
              <w:spacing w:before="49"/>
              <w:ind w:right="79"/>
              <w:rPr>
                <w:b/>
                <w:sz w:val="18"/>
              </w:rPr>
            </w:pPr>
            <w:r>
              <w:rPr>
                <w:b/>
                <w:sz w:val="18"/>
              </w:rPr>
              <w:t>474:31</w:t>
            </w:r>
          </w:p>
        </w:tc>
      </w:tr>
      <w:tr w:rsidR="00251155" w14:paraId="1E5BAFAE"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36A8D619" w14:textId="77777777" w:rsidR="00251155" w:rsidRDefault="00251155" w:rsidP="0047706A">
            <w:pPr>
              <w:pStyle w:val="TableParagraph"/>
              <w:spacing w:before="50"/>
              <w:ind w:left="79"/>
              <w:jc w:val="left"/>
              <w:rPr>
                <w:sz w:val="18"/>
              </w:rPr>
            </w:pPr>
            <w:r>
              <w:rPr>
                <w:sz w:val="18"/>
              </w:rPr>
              <w:t>Hours of private meetings</w:t>
            </w:r>
          </w:p>
        </w:tc>
        <w:tc>
          <w:tcPr>
            <w:tcW w:w="1073" w:type="dxa"/>
            <w:tcBorders>
              <w:top w:val="single" w:sz="4" w:space="0" w:color="000000"/>
              <w:left w:val="single" w:sz="4" w:space="0" w:color="DADADA"/>
              <w:bottom w:val="single" w:sz="4" w:space="0" w:color="000000"/>
              <w:right w:val="nil"/>
            </w:tcBorders>
          </w:tcPr>
          <w:p w14:paraId="062A4312" w14:textId="77777777" w:rsidR="00251155" w:rsidRDefault="00251155" w:rsidP="0047706A">
            <w:pPr>
              <w:pStyle w:val="TableParagraph"/>
              <w:spacing w:before="50"/>
              <w:ind w:right="79"/>
              <w:rPr>
                <w:b/>
                <w:sz w:val="18"/>
              </w:rPr>
            </w:pPr>
            <w:r>
              <w:rPr>
                <w:b/>
                <w:sz w:val="18"/>
              </w:rPr>
              <w:t>142:22</w:t>
            </w:r>
          </w:p>
        </w:tc>
      </w:tr>
      <w:tr w:rsidR="00251155" w14:paraId="48DF4896"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3E6F6B25" w14:textId="77777777" w:rsidR="00251155" w:rsidRDefault="00251155" w:rsidP="0047706A">
            <w:pPr>
              <w:pStyle w:val="TableParagraph"/>
              <w:spacing w:before="50"/>
              <w:ind w:left="79"/>
              <w:jc w:val="left"/>
              <w:rPr>
                <w:sz w:val="18"/>
              </w:rPr>
            </w:pPr>
            <w:r>
              <w:rPr>
                <w:sz w:val="18"/>
              </w:rPr>
              <w:t>Hours of public hearings</w:t>
            </w:r>
          </w:p>
        </w:tc>
        <w:tc>
          <w:tcPr>
            <w:tcW w:w="1073" w:type="dxa"/>
            <w:tcBorders>
              <w:top w:val="single" w:sz="4" w:space="0" w:color="000000"/>
              <w:left w:val="single" w:sz="4" w:space="0" w:color="DADADA"/>
              <w:bottom w:val="single" w:sz="4" w:space="0" w:color="000000"/>
              <w:right w:val="nil"/>
            </w:tcBorders>
          </w:tcPr>
          <w:p w14:paraId="536E487A" w14:textId="77777777" w:rsidR="00251155" w:rsidRDefault="00251155" w:rsidP="0047706A">
            <w:pPr>
              <w:pStyle w:val="TableParagraph"/>
              <w:spacing w:before="50"/>
              <w:ind w:right="79"/>
              <w:rPr>
                <w:b/>
                <w:sz w:val="18"/>
              </w:rPr>
            </w:pPr>
            <w:r>
              <w:rPr>
                <w:b/>
                <w:sz w:val="18"/>
              </w:rPr>
              <w:t>310:31</w:t>
            </w:r>
          </w:p>
        </w:tc>
      </w:tr>
      <w:tr w:rsidR="00251155" w14:paraId="7B022224"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38F07B48" w14:textId="77777777" w:rsidR="00251155" w:rsidRDefault="00251155" w:rsidP="0047706A">
            <w:pPr>
              <w:pStyle w:val="TableParagraph"/>
              <w:spacing w:before="50"/>
              <w:ind w:left="79"/>
              <w:jc w:val="left"/>
              <w:rPr>
                <w:sz w:val="18"/>
              </w:rPr>
            </w:pPr>
            <w:r>
              <w:rPr>
                <w:sz w:val="18"/>
              </w:rPr>
              <w:t>Hours of site visits/study tours</w:t>
            </w:r>
          </w:p>
        </w:tc>
        <w:tc>
          <w:tcPr>
            <w:tcW w:w="1073" w:type="dxa"/>
            <w:tcBorders>
              <w:top w:val="single" w:sz="4" w:space="0" w:color="000000"/>
              <w:left w:val="single" w:sz="4" w:space="0" w:color="DADADA"/>
              <w:bottom w:val="single" w:sz="4" w:space="0" w:color="000000"/>
              <w:right w:val="nil"/>
            </w:tcBorders>
          </w:tcPr>
          <w:p w14:paraId="7CB65C5C" w14:textId="77777777" w:rsidR="00251155" w:rsidRDefault="00251155" w:rsidP="0047706A">
            <w:pPr>
              <w:pStyle w:val="TableParagraph"/>
              <w:spacing w:before="50"/>
              <w:ind w:right="79"/>
              <w:rPr>
                <w:b/>
                <w:sz w:val="18"/>
              </w:rPr>
            </w:pPr>
            <w:r>
              <w:rPr>
                <w:b/>
                <w:sz w:val="18"/>
              </w:rPr>
              <w:t>19:47</w:t>
            </w:r>
          </w:p>
        </w:tc>
      </w:tr>
      <w:tr w:rsidR="00251155" w14:paraId="3EC51CC5" w14:textId="77777777" w:rsidTr="0088225B">
        <w:trPr>
          <w:trHeight w:val="386"/>
        </w:trPr>
        <w:tc>
          <w:tcPr>
            <w:tcW w:w="8561" w:type="dxa"/>
            <w:tcBorders>
              <w:top w:val="single" w:sz="4" w:space="0" w:color="000000"/>
              <w:left w:val="nil"/>
              <w:bottom w:val="single" w:sz="4" w:space="0" w:color="000000"/>
              <w:right w:val="single" w:sz="4" w:space="0" w:color="DADADA"/>
            </w:tcBorders>
          </w:tcPr>
          <w:p w14:paraId="1BE4AE80" w14:textId="77777777" w:rsidR="00251155" w:rsidRDefault="00251155" w:rsidP="0047706A">
            <w:pPr>
              <w:pStyle w:val="TableParagraph"/>
              <w:spacing w:before="50"/>
              <w:ind w:left="79"/>
              <w:jc w:val="left"/>
              <w:rPr>
                <w:sz w:val="18"/>
              </w:rPr>
            </w:pPr>
            <w:r>
              <w:rPr>
                <w:sz w:val="18"/>
              </w:rPr>
              <w:t>Hours of other kinds of meetings</w:t>
            </w:r>
          </w:p>
        </w:tc>
        <w:tc>
          <w:tcPr>
            <w:tcW w:w="1073" w:type="dxa"/>
            <w:tcBorders>
              <w:top w:val="single" w:sz="4" w:space="0" w:color="000000"/>
              <w:left w:val="single" w:sz="4" w:space="0" w:color="DADADA"/>
              <w:bottom w:val="single" w:sz="4" w:space="0" w:color="000000"/>
              <w:right w:val="nil"/>
            </w:tcBorders>
          </w:tcPr>
          <w:p w14:paraId="2F071BE0" w14:textId="77777777" w:rsidR="00251155" w:rsidRDefault="00251155" w:rsidP="0047706A">
            <w:pPr>
              <w:pStyle w:val="TableParagraph"/>
              <w:spacing w:before="50"/>
              <w:ind w:right="79"/>
              <w:rPr>
                <w:b/>
                <w:sz w:val="18"/>
              </w:rPr>
            </w:pPr>
            <w:r>
              <w:rPr>
                <w:b/>
                <w:sz w:val="18"/>
              </w:rPr>
              <w:t>1:51</w:t>
            </w:r>
          </w:p>
        </w:tc>
      </w:tr>
    </w:tbl>
    <w:p w14:paraId="2AED747B" w14:textId="77777777" w:rsidR="00251155" w:rsidRDefault="00251155" w:rsidP="00F74670">
      <w:pPr>
        <w:pStyle w:val="Heading3"/>
      </w:pPr>
      <w:r>
        <w:t>Inquiry outcomes</w:t>
      </w:r>
    </w:p>
    <w:tbl>
      <w:tblPr>
        <w:tblW w:w="0" w:type="auto"/>
        <w:tblBorders>
          <w:top w:val="single" w:sz="8" w:space="0" w:color="7098D0"/>
          <w:left w:val="single" w:sz="8" w:space="0" w:color="7098D0"/>
          <w:bottom w:val="single" w:sz="8" w:space="0" w:color="7098D0"/>
          <w:right w:val="single" w:sz="8" w:space="0" w:color="7098D0"/>
          <w:insideH w:val="single" w:sz="8" w:space="0" w:color="7098D0"/>
          <w:insideV w:val="single" w:sz="8" w:space="0" w:color="7098D0"/>
        </w:tblBorders>
        <w:tblLayout w:type="fixed"/>
        <w:tblCellMar>
          <w:left w:w="0" w:type="dxa"/>
          <w:right w:w="0" w:type="dxa"/>
        </w:tblCellMar>
        <w:tblLook w:val="01E0" w:firstRow="1" w:lastRow="1" w:firstColumn="1" w:lastColumn="1" w:noHBand="0" w:noVBand="0"/>
      </w:tblPr>
      <w:tblGrid>
        <w:gridCol w:w="8527"/>
        <w:gridCol w:w="1066"/>
      </w:tblGrid>
      <w:tr w:rsidR="00251155" w14:paraId="341B6790" w14:textId="77777777" w:rsidTr="0088225B">
        <w:trPr>
          <w:trHeight w:val="396"/>
        </w:trPr>
        <w:tc>
          <w:tcPr>
            <w:tcW w:w="8527" w:type="dxa"/>
            <w:tcBorders>
              <w:top w:val="nil"/>
              <w:left w:val="nil"/>
              <w:bottom w:val="nil"/>
            </w:tcBorders>
            <w:shd w:val="clear" w:color="auto" w:fill="89A7D7"/>
          </w:tcPr>
          <w:p w14:paraId="24B036FD" w14:textId="77777777" w:rsidR="00251155" w:rsidRDefault="00251155" w:rsidP="0047706A">
            <w:pPr>
              <w:pStyle w:val="TableParagraph"/>
              <w:spacing w:before="72"/>
              <w:ind w:left="79"/>
              <w:jc w:val="left"/>
              <w:rPr>
                <w:b/>
                <w:sz w:val="18"/>
              </w:rPr>
            </w:pPr>
            <w:r>
              <w:rPr>
                <w:b/>
                <w:sz w:val="18"/>
              </w:rPr>
              <w:t>Consolidated statistical return</w:t>
            </w:r>
          </w:p>
        </w:tc>
        <w:tc>
          <w:tcPr>
            <w:tcW w:w="1066" w:type="dxa"/>
            <w:tcBorders>
              <w:top w:val="nil"/>
              <w:bottom w:val="nil"/>
              <w:right w:val="nil"/>
            </w:tcBorders>
            <w:shd w:val="clear" w:color="auto" w:fill="89A7D7"/>
          </w:tcPr>
          <w:p w14:paraId="173A56AA" w14:textId="77777777" w:rsidR="00251155" w:rsidRDefault="00251155" w:rsidP="0047706A">
            <w:pPr>
              <w:pStyle w:val="TableParagraph"/>
              <w:spacing w:before="72"/>
              <w:ind w:right="78"/>
              <w:rPr>
                <w:b/>
                <w:sz w:val="18"/>
              </w:rPr>
            </w:pPr>
            <w:r>
              <w:rPr>
                <w:b/>
                <w:sz w:val="18"/>
              </w:rPr>
              <w:t>Total</w:t>
            </w:r>
          </w:p>
        </w:tc>
      </w:tr>
      <w:tr w:rsidR="00251155" w14:paraId="5755D9D6" w14:textId="77777777" w:rsidTr="0088225B">
        <w:trPr>
          <w:trHeight w:val="386"/>
        </w:trPr>
        <w:tc>
          <w:tcPr>
            <w:tcW w:w="8527" w:type="dxa"/>
            <w:tcBorders>
              <w:top w:val="nil"/>
              <w:left w:val="nil"/>
              <w:bottom w:val="single" w:sz="4" w:space="0" w:color="000000"/>
              <w:right w:val="single" w:sz="4" w:space="0" w:color="DADADA"/>
            </w:tcBorders>
          </w:tcPr>
          <w:p w14:paraId="1A60D4CF" w14:textId="77777777" w:rsidR="00251155" w:rsidRDefault="00251155" w:rsidP="0047706A">
            <w:pPr>
              <w:pStyle w:val="TableParagraph"/>
              <w:spacing w:before="50"/>
              <w:ind w:left="79"/>
              <w:jc w:val="left"/>
              <w:rPr>
                <w:sz w:val="18"/>
              </w:rPr>
            </w:pPr>
            <w:r>
              <w:rPr>
                <w:sz w:val="18"/>
              </w:rPr>
              <w:t>Number of witnesses</w:t>
            </w:r>
          </w:p>
        </w:tc>
        <w:tc>
          <w:tcPr>
            <w:tcW w:w="1066" w:type="dxa"/>
            <w:tcBorders>
              <w:top w:val="nil"/>
              <w:left w:val="single" w:sz="4" w:space="0" w:color="DADADA"/>
              <w:bottom w:val="single" w:sz="4" w:space="0" w:color="000000"/>
              <w:right w:val="nil"/>
            </w:tcBorders>
          </w:tcPr>
          <w:p w14:paraId="0FD0C658" w14:textId="77777777" w:rsidR="00251155" w:rsidRDefault="00251155" w:rsidP="0047706A">
            <w:pPr>
              <w:pStyle w:val="TableParagraph"/>
              <w:spacing w:before="50"/>
              <w:ind w:right="78"/>
              <w:rPr>
                <w:b/>
                <w:sz w:val="18"/>
              </w:rPr>
            </w:pPr>
            <w:r>
              <w:rPr>
                <w:b/>
                <w:sz w:val="18"/>
              </w:rPr>
              <w:t>817</w:t>
            </w:r>
          </w:p>
        </w:tc>
      </w:tr>
      <w:tr w:rsidR="00251155" w14:paraId="00D4798A" w14:textId="77777777" w:rsidTr="0088225B">
        <w:trPr>
          <w:trHeight w:val="386"/>
        </w:trPr>
        <w:tc>
          <w:tcPr>
            <w:tcW w:w="8527" w:type="dxa"/>
            <w:tcBorders>
              <w:top w:val="single" w:sz="4" w:space="0" w:color="000000"/>
              <w:left w:val="nil"/>
              <w:bottom w:val="single" w:sz="4" w:space="0" w:color="000000"/>
              <w:right w:val="single" w:sz="4" w:space="0" w:color="DADADA"/>
            </w:tcBorders>
          </w:tcPr>
          <w:p w14:paraId="1392C59B" w14:textId="77777777" w:rsidR="00251155" w:rsidRDefault="00251155" w:rsidP="0047706A">
            <w:pPr>
              <w:pStyle w:val="TableParagraph"/>
              <w:spacing w:before="50"/>
              <w:ind w:left="79"/>
              <w:jc w:val="left"/>
              <w:rPr>
                <w:sz w:val="18"/>
              </w:rPr>
            </w:pPr>
            <w:r>
              <w:rPr>
                <w:sz w:val="18"/>
              </w:rPr>
              <w:t>Number of submissions</w:t>
            </w:r>
          </w:p>
        </w:tc>
        <w:tc>
          <w:tcPr>
            <w:tcW w:w="1066" w:type="dxa"/>
            <w:tcBorders>
              <w:top w:val="single" w:sz="4" w:space="0" w:color="000000"/>
              <w:left w:val="single" w:sz="4" w:space="0" w:color="DADADA"/>
              <w:bottom w:val="single" w:sz="4" w:space="0" w:color="000000"/>
              <w:right w:val="nil"/>
            </w:tcBorders>
          </w:tcPr>
          <w:p w14:paraId="00B37D24" w14:textId="77777777" w:rsidR="00251155" w:rsidRDefault="00251155" w:rsidP="0047706A">
            <w:pPr>
              <w:pStyle w:val="TableParagraph"/>
              <w:spacing w:before="50"/>
              <w:ind w:right="78"/>
              <w:rPr>
                <w:b/>
                <w:sz w:val="18"/>
              </w:rPr>
            </w:pPr>
            <w:r>
              <w:rPr>
                <w:b/>
                <w:sz w:val="18"/>
              </w:rPr>
              <w:t>898</w:t>
            </w:r>
          </w:p>
        </w:tc>
      </w:tr>
      <w:tr w:rsidR="00251155" w14:paraId="706852EF" w14:textId="77777777" w:rsidTr="0088225B">
        <w:trPr>
          <w:trHeight w:val="386"/>
        </w:trPr>
        <w:tc>
          <w:tcPr>
            <w:tcW w:w="8527" w:type="dxa"/>
            <w:tcBorders>
              <w:top w:val="single" w:sz="4" w:space="0" w:color="000000"/>
              <w:left w:val="nil"/>
              <w:bottom w:val="single" w:sz="4" w:space="0" w:color="000000"/>
              <w:right w:val="single" w:sz="4" w:space="0" w:color="DADADA"/>
            </w:tcBorders>
          </w:tcPr>
          <w:p w14:paraId="72476418" w14:textId="77777777" w:rsidR="00251155" w:rsidRDefault="00251155" w:rsidP="0047706A">
            <w:pPr>
              <w:pStyle w:val="TableParagraph"/>
              <w:spacing w:before="50"/>
              <w:ind w:left="79"/>
              <w:jc w:val="left"/>
              <w:rPr>
                <w:sz w:val="18"/>
              </w:rPr>
            </w:pPr>
            <w:r>
              <w:rPr>
                <w:sz w:val="18"/>
              </w:rPr>
              <w:t>Number of referrals</w:t>
            </w:r>
          </w:p>
        </w:tc>
        <w:tc>
          <w:tcPr>
            <w:tcW w:w="1066" w:type="dxa"/>
            <w:tcBorders>
              <w:top w:val="single" w:sz="4" w:space="0" w:color="000000"/>
              <w:left w:val="single" w:sz="4" w:space="0" w:color="DADADA"/>
              <w:bottom w:val="single" w:sz="4" w:space="0" w:color="000000"/>
              <w:right w:val="nil"/>
            </w:tcBorders>
          </w:tcPr>
          <w:p w14:paraId="37D7E491" w14:textId="77777777" w:rsidR="00251155" w:rsidRDefault="00251155" w:rsidP="0047706A">
            <w:pPr>
              <w:pStyle w:val="TableParagraph"/>
              <w:spacing w:before="50"/>
              <w:ind w:right="78"/>
              <w:rPr>
                <w:b/>
                <w:sz w:val="18"/>
              </w:rPr>
            </w:pPr>
            <w:r>
              <w:rPr>
                <w:b/>
                <w:sz w:val="18"/>
              </w:rPr>
              <w:t>29</w:t>
            </w:r>
          </w:p>
        </w:tc>
      </w:tr>
      <w:tr w:rsidR="00251155" w14:paraId="38D5EB99" w14:textId="77777777" w:rsidTr="0088225B">
        <w:trPr>
          <w:trHeight w:val="386"/>
        </w:trPr>
        <w:tc>
          <w:tcPr>
            <w:tcW w:w="8527" w:type="dxa"/>
            <w:tcBorders>
              <w:top w:val="single" w:sz="4" w:space="0" w:color="000000"/>
              <w:left w:val="nil"/>
              <w:bottom w:val="single" w:sz="4" w:space="0" w:color="000000"/>
              <w:right w:val="single" w:sz="4" w:space="0" w:color="DADADA"/>
            </w:tcBorders>
          </w:tcPr>
          <w:p w14:paraId="6D4286DE" w14:textId="77777777" w:rsidR="00251155" w:rsidRDefault="00251155" w:rsidP="0047706A">
            <w:pPr>
              <w:pStyle w:val="TableParagraph"/>
              <w:spacing w:before="50"/>
              <w:ind w:left="79"/>
              <w:jc w:val="left"/>
              <w:rPr>
                <w:sz w:val="18"/>
              </w:rPr>
            </w:pPr>
            <w:r>
              <w:rPr>
                <w:sz w:val="18"/>
              </w:rPr>
              <w:t>Number of reports presented</w:t>
            </w:r>
          </w:p>
        </w:tc>
        <w:tc>
          <w:tcPr>
            <w:tcW w:w="1066" w:type="dxa"/>
            <w:tcBorders>
              <w:top w:val="single" w:sz="4" w:space="0" w:color="000000"/>
              <w:left w:val="single" w:sz="4" w:space="0" w:color="DADADA"/>
              <w:bottom w:val="single" w:sz="4" w:space="0" w:color="000000"/>
              <w:right w:val="nil"/>
            </w:tcBorders>
          </w:tcPr>
          <w:p w14:paraId="2C3CF028" w14:textId="77777777" w:rsidR="00251155" w:rsidRDefault="00251155" w:rsidP="0047706A">
            <w:pPr>
              <w:pStyle w:val="TableParagraph"/>
              <w:spacing w:before="50"/>
              <w:ind w:right="78"/>
              <w:rPr>
                <w:b/>
                <w:sz w:val="18"/>
              </w:rPr>
            </w:pPr>
            <w:r>
              <w:rPr>
                <w:b/>
                <w:sz w:val="18"/>
              </w:rPr>
              <w:t>36</w:t>
            </w:r>
          </w:p>
        </w:tc>
      </w:tr>
      <w:tr w:rsidR="00251155" w14:paraId="10BA4F99" w14:textId="77777777" w:rsidTr="0088225B">
        <w:trPr>
          <w:trHeight w:val="386"/>
        </w:trPr>
        <w:tc>
          <w:tcPr>
            <w:tcW w:w="8527" w:type="dxa"/>
            <w:tcBorders>
              <w:top w:val="single" w:sz="4" w:space="0" w:color="000000"/>
              <w:left w:val="nil"/>
              <w:bottom w:val="single" w:sz="4" w:space="0" w:color="000000"/>
              <w:right w:val="single" w:sz="4" w:space="0" w:color="DADADA"/>
            </w:tcBorders>
          </w:tcPr>
          <w:p w14:paraId="01BC27D9" w14:textId="77777777" w:rsidR="00251155" w:rsidRDefault="00251155" w:rsidP="0047706A">
            <w:pPr>
              <w:pStyle w:val="TableParagraph"/>
              <w:spacing w:before="50"/>
              <w:ind w:left="79"/>
              <w:jc w:val="left"/>
              <w:rPr>
                <w:sz w:val="18"/>
              </w:rPr>
            </w:pPr>
            <w:r>
              <w:rPr>
                <w:sz w:val="18"/>
              </w:rPr>
              <w:t>Number of statements made under SO246A</w:t>
            </w:r>
          </w:p>
        </w:tc>
        <w:tc>
          <w:tcPr>
            <w:tcW w:w="1066" w:type="dxa"/>
            <w:tcBorders>
              <w:top w:val="single" w:sz="4" w:space="0" w:color="000000"/>
              <w:left w:val="single" w:sz="4" w:space="0" w:color="DADADA"/>
              <w:bottom w:val="single" w:sz="4" w:space="0" w:color="000000"/>
              <w:right w:val="nil"/>
            </w:tcBorders>
          </w:tcPr>
          <w:p w14:paraId="2A516C73" w14:textId="77777777" w:rsidR="00251155" w:rsidRDefault="00251155" w:rsidP="0047706A">
            <w:pPr>
              <w:pStyle w:val="TableParagraph"/>
              <w:spacing w:before="50"/>
              <w:ind w:right="78"/>
              <w:rPr>
                <w:b/>
                <w:sz w:val="18"/>
              </w:rPr>
            </w:pPr>
            <w:r>
              <w:rPr>
                <w:b/>
                <w:sz w:val="18"/>
              </w:rPr>
              <w:t>44</w:t>
            </w:r>
          </w:p>
        </w:tc>
      </w:tr>
      <w:tr w:rsidR="00251155" w14:paraId="4C32CAA5" w14:textId="77777777" w:rsidTr="0088225B">
        <w:trPr>
          <w:trHeight w:val="386"/>
        </w:trPr>
        <w:tc>
          <w:tcPr>
            <w:tcW w:w="8527" w:type="dxa"/>
            <w:tcBorders>
              <w:top w:val="single" w:sz="4" w:space="0" w:color="000000"/>
              <w:left w:val="nil"/>
              <w:bottom w:val="single" w:sz="4" w:space="0" w:color="000000"/>
              <w:right w:val="single" w:sz="4" w:space="0" w:color="DADADA"/>
            </w:tcBorders>
          </w:tcPr>
          <w:p w14:paraId="568C6690" w14:textId="77777777" w:rsidR="00251155" w:rsidRDefault="00251155" w:rsidP="0047706A">
            <w:pPr>
              <w:pStyle w:val="TableParagraph"/>
              <w:spacing w:before="50"/>
              <w:ind w:left="79"/>
              <w:jc w:val="left"/>
              <w:rPr>
                <w:sz w:val="18"/>
              </w:rPr>
            </w:pPr>
            <w:r>
              <w:rPr>
                <w:sz w:val="18"/>
              </w:rPr>
              <w:t>Number of statutory appointments considered</w:t>
            </w:r>
          </w:p>
        </w:tc>
        <w:tc>
          <w:tcPr>
            <w:tcW w:w="1066" w:type="dxa"/>
            <w:tcBorders>
              <w:top w:val="single" w:sz="4" w:space="0" w:color="000000"/>
              <w:left w:val="single" w:sz="4" w:space="0" w:color="DADADA"/>
              <w:bottom w:val="single" w:sz="4" w:space="0" w:color="000000"/>
              <w:right w:val="nil"/>
            </w:tcBorders>
          </w:tcPr>
          <w:p w14:paraId="6347952D" w14:textId="77777777" w:rsidR="00251155" w:rsidRDefault="00251155" w:rsidP="0047706A">
            <w:pPr>
              <w:pStyle w:val="TableParagraph"/>
              <w:spacing w:before="50"/>
              <w:ind w:right="78"/>
              <w:rPr>
                <w:b/>
                <w:sz w:val="18"/>
              </w:rPr>
            </w:pPr>
            <w:r>
              <w:rPr>
                <w:b/>
                <w:sz w:val="18"/>
              </w:rPr>
              <w:t>136</w:t>
            </w:r>
          </w:p>
        </w:tc>
      </w:tr>
      <w:tr w:rsidR="00251155" w14:paraId="56DD58C8" w14:textId="77777777" w:rsidTr="0088225B">
        <w:trPr>
          <w:trHeight w:val="386"/>
        </w:trPr>
        <w:tc>
          <w:tcPr>
            <w:tcW w:w="8527" w:type="dxa"/>
            <w:tcBorders>
              <w:top w:val="single" w:sz="4" w:space="0" w:color="000000"/>
              <w:left w:val="nil"/>
              <w:bottom w:val="single" w:sz="4" w:space="0" w:color="000000"/>
              <w:right w:val="single" w:sz="4" w:space="0" w:color="DADADA"/>
            </w:tcBorders>
          </w:tcPr>
          <w:p w14:paraId="5394F9FA" w14:textId="77777777" w:rsidR="00251155" w:rsidRDefault="00251155" w:rsidP="0047706A">
            <w:pPr>
              <w:pStyle w:val="TableParagraph"/>
              <w:spacing w:before="50"/>
              <w:ind w:left="79"/>
              <w:jc w:val="left"/>
              <w:rPr>
                <w:sz w:val="18"/>
              </w:rPr>
            </w:pPr>
            <w:r>
              <w:rPr>
                <w:sz w:val="18"/>
              </w:rPr>
              <w:t>Number of bills considered</w:t>
            </w:r>
          </w:p>
        </w:tc>
        <w:tc>
          <w:tcPr>
            <w:tcW w:w="1066" w:type="dxa"/>
            <w:tcBorders>
              <w:top w:val="single" w:sz="4" w:space="0" w:color="000000"/>
              <w:left w:val="single" w:sz="4" w:space="0" w:color="DADADA"/>
              <w:bottom w:val="single" w:sz="4" w:space="0" w:color="000000"/>
              <w:right w:val="nil"/>
            </w:tcBorders>
          </w:tcPr>
          <w:p w14:paraId="1546C417" w14:textId="77777777" w:rsidR="00251155" w:rsidRDefault="00251155" w:rsidP="0047706A">
            <w:pPr>
              <w:pStyle w:val="TableParagraph"/>
              <w:spacing w:before="50"/>
              <w:ind w:right="78"/>
              <w:rPr>
                <w:b/>
                <w:sz w:val="18"/>
              </w:rPr>
            </w:pPr>
            <w:r>
              <w:rPr>
                <w:b/>
                <w:sz w:val="18"/>
              </w:rPr>
              <w:t>61</w:t>
            </w:r>
          </w:p>
        </w:tc>
      </w:tr>
      <w:tr w:rsidR="00251155" w14:paraId="4F1101EC" w14:textId="77777777" w:rsidTr="0088225B">
        <w:trPr>
          <w:trHeight w:val="386"/>
        </w:trPr>
        <w:tc>
          <w:tcPr>
            <w:tcW w:w="8527" w:type="dxa"/>
            <w:tcBorders>
              <w:top w:val="single" w:sz="4" w:space="0" w:color="000000"/>
              <w:left w:val="nil"/>
              <w:bottom w:val="single" w:sz="4" w:space="0" w:color="000000"/>
              <w:right w:val="single" w:sz="4" w:space="0" w:color="DADADA"/>
            </w:tcBorders>
          </w:tcPr>
          <w:p w14:paraId="04A3D3DE" w14:textId="77777777" w:rsidR="00251155" w:rsidRDefault="00251155" w:rsidP="0047706A">
            <w:pPr>
              <w:pStyle w:val="TableParagraph"/>
              <w:spacing w:before="50"/>
              <w:ind w:left="79"/>
              <w:jc w:val="left"/>
              <w:rPr>
                <w:sz w:val="18"/>
              </w:rPr>
            </w:pPr>
            <w:r>
              <w:rPr>
                <w:sz w:val="18"/>
              </w:rPr>
              <w:t>Items of subordinate legislation considered</w:t>
            </w:r>
          </w:p>
        </w:tc>
        <w:tc>
          <w:tcPr>
            <w:tcW w:w="1066" w:type="dxa"/>
            <w:tcBorders>
              <w:top w:val="single" w:sz="4" w:space="0" w:color="000000"/>
              <w:left w:val="single" w:sz="4" w:space="0" w:color="DADADA"/>
              <w:bottom w:val="single" w:sz="4" w:space="0" w:color="000000"/>
              <w:right w:val="nil"/>
            </w:tcBorders>
          </w:tcPr>
          <w:p w14:paraId="1C038BA5" w14:textId="77777777" w:rsidR="00251155" w:rsidRDefault="00251155" w:rsidP="0047706A">
            <w:pPr>
              <w:pStyle w:val="TableParagraph"/>
              <w:spacing w:before="50"/>
              <w:ind w:right="78"/>
              <w:rPr>
                <w:b/>
                <w:sz w:val="18"/>
              </w:rPr>
            </w:pPr>
            <w:r>
              <w:rPr>
                <w:b/>
                <w:sz w:val="18"/>
              </w:rPr>
              <w:t>398</w:t>
            </w:r>
          </w:p>
        </w:tc>
      </w:tr>
    </w:tbl>
    <w:p w14:paraId="5A83916D" w14:textId="77777777" w:rsidR="00251155" w:rsidRDefault="00251155" w:rsidP="00251155">
      <w:pPr>
        <w:rPr>
          <w:sz w:val="18"/>
        </w:rPr>
        <w:sectPr w:rsidR="00251155" w:rsidSect="001E220A">
          <w:headerReference w:type="default" r:id="rId56"/>
          <w:pgSz w:w="11910" w:h="16840"/>
          <w:pgMar w:top="1580" w:right="1278" w:bottom="740" w:left="980" w:header="567" w:footer="551" w:gutter="0"/>
          <w:cols w:space="720"/>
          <w:docGrid w:linePitch="299"/>
        </w:sectPr>
      </w:pPr>
    </w:p>
    <w:p w14:paraId="04046A37" w14:textId="77777777" w:rsidR="00251155" w:rsidRDefault="00251155" w:rsidP="00F74670">
      <w:pPr>
        <w:pStyle w:val="Heading3"/>
      </w:pPr>
      <w:r>
        <w:t>Standing Committees</w:t>
      </w:r>
    </w:p>
    <w:tbl>
      <w:tblPr>
        <w:tblW w:w="0" w:type="auto"/>
        <w:tblBorders>
          <w:top w:val="single" w:sz="8" w:space="0" w:color="7098D0"/>
          <w:left w:val="single" w:sz="8" w:space="0" w:color="7098D0"/>
          <w:bottom w:val="single" w:sz="8" w:space="0" w:color="7098D0"/>
          <w:right w:val="single" w:sz="8" w:space="0" w:color="7098D0"/>
          <w:insideH w:val="single" w:sz="8" w:space="0" w:color="7098D0"/>
          <w:insideV w:val="single" w:sz="8" w:space="0" w:color="7098D0"/>
        </w:tblBorders>
        <w:tblLayout w:type="fixed"/>
        <w:tblCellMar>
          <w:left w:w="0" w:type="dxa"/>
          <w:right w:w="0" w:type="dxa"/>
        </w:tblCellMar>
        <w:tblLook w:val="01E0" w:firstRow="1" w:lastRow="1" w:firstColumn="1" w:lastColumn="1" w:noHBand="0" w:noVBand="0"/>
      </w:tblPr>
      <w:tblGrid>
        <w:gridCol w:w="1332"/>
        <w:gridCol w:w="1119"/>
        <w:gridCol w:w="1006"/>
        <w:gridCol w:w="978"/>
        <w:gridCol w:w="1049"/>
        <w:gridCol w:w="907"/>
        <w:gridCol w:w="893"/>
        <w:gridCol w:w="850"/>
        <w:gridCol w:w="765"/>
        <w:gridCol w:w="737"/>
      </w:tblGrid>
      <w:tr w:rsidR="00251155" w14:paraId="7A176BDE" w14:textId="77777777" w:rsidTr="00BF1EBD">
        <w:trPr>
          <w:trHeight w:val="963"/>
        </w:trPr>
        <w:tc>
          <w:tcPr>
            <w:tcW w:w="1332" w:type="dxa"/>
            <w:tcBorders>
              <w:top w:val="nil"/>
              <w:left w:val="nil"/>
              <w:bottom w:val="nil"/>
            </w:tcBorders>
            <w:shd w:val="clear" w:color="auto" w:fill="89A7D7"/>
            <w:vAlign w:val="bottom"/>
          </w:tcPr>
          <w:p w14:paraId="2A169C7D" w14:textId="77777777" w:rsidR="00251155" w:rsidRDefault="00251155" w:rsidP="00C872FD">
            <w:pPr>
              <w:pStyle w:val="TableParagraph"/>
              <w:jc w:val="left"/>
              <w:rPr>
                <w:b/>
                <w:sz w:val="16"/>
              </w:rPr>
            </w:pPr>
            <w:r>
              <w:rPr>
                <w:b/>
                <w:sz w:val="16"/>
              </w:rPr>
              <w:t>Activity</w:t>
            </w:r>
          </w:p>
        </w:tc>
        <w:tc>
          <w:tcPr>
            <w:tcW w:w="1119" w:type="dxa"/>
            <w:tcBorders>
              <w:top w:val="nil"/>
              <w:bottom w:val="nil"/>
            </w:tcBorders>
            <w:shd w:val="clear" w:color="auto" w:fill="89A7D7"/>
            <w:vAlign w:val="bottom"/>
          </w:tcPr>
          <w:p w14:paraId="3810FA3D" w14:textId="29631ABC" w:rsidR="00251155" w:rsidRDefault="00251155" w:rsidP="0088225B">
            <w:pPr>
              <w:pStyle w:val="TableParagraph"/>
              <w:spacing w:before="107" w:line="205" w:lineRule="exact"/>
              <w:rPr>
                <w:b/>
                <w:sz w:val="16"/>
              </w:rPr>
            </w:pPr>
            <w:r>
              <w:rPr>
                <w:b/>
                <w:sz w:val="16"/>
              </w:rPr>
              <w:t>Administration</w:t>
            </w:r>
            <w:r w:rsidR="0088225B">
              <w:rPr>
                <w:b/>
                <w:sz w:val="16"/>
              </w:rPr>
              <w:t xml:space="preserve"> a</w:t>
            </w:r>
            <w:r>
              <w:rPr>
                <w:b/>
                <w:w w:val="95"/>
                <w:sz w:val="16"/>
              </w:rPr>
              <w:t>nd Procedure*</w:t>
            </w:r>
          </w:p>
        </w:tc>
        <w:tc>
          <w:tcPr>
            <w:tcW w:w="1006" w:type="dxa"/>
            <w:tcBorders>
              <w:top w:val="nil"/>
              <w:bottom w:val="nil"/>
            </w:tcBorders>
            <w:shd w:val="clear" w:color="auto" w:fill="89A7D7"/>
            <w:vAlign w:val="bottom"/>
          </w:tcPr>
          <w:p w14:paraId="2707D286" w14:textId="77777777" w:rsidR="00251155" w:rsidRDefault="00251155" w:rsidP="0088225B">
            <w:pPr>
              <w:pStyle w:val="TableParagraph"/>
              <w:spacing w:line="187" w:lineRule="auto"/>
              <w:ind w:right="66"/>
              <w:rPr>
                <w:b/>
                <w:sz w:val="16"/>
              </w:rPr>
            </w:pPr>
            <w:r>
              <w:rPr>
                <w:b/>
                <w:w w:val="95"/>
                <w:sz w:val="16"/>
              </w:rPr>
              <w:t xml:space="preserve">Economic Development </w:t>
            </w:r>
            <w:r>
              <w:rPr>
                <w:b/>
                <w:sz w:val="16"/>
              </w:rPr>
              <w:t>and Tourism</w:t>
            </w:r>
          </w:p>
        </w:tc>
        <w:tc>
          <w:tcPr>
            <w:tcW w:w="978" w:type="dxa"/>
            <w:tcBorders>
              <w:top w:val="nil"/>
              <w:bottom w:val="nil"/>
            </w:tcBorders>
            <w:shd w:val="clear" w:color="auto" w:fill="89A7D7"/>
            <w:vAlign w:val="bottom"/>
          </w:tcPr>
          <w:p w14:paraId="45D40D08" w14:textId="1C9442C6" w:rsidR="00251155" w:rsidRDefault="00251155" w:rsidP="0088225B">
            <w:pPr>
              <w:pStyle w:val="TableParagraph"/>
              <w:spacing w:line="187" w:lineRule="auto"/>
              <w:ind w:right="66"/>
              <w:rPr>
                <w:b/>
                <w:sz w:val="16"/>
              </w:rPr>
            </w:pPr>
            <w:r>
              <w:rPr>
                <w:b/>
                <w:w w:val="95"/>
                <w:sz w:val="16"/>
              </w:rPr>
              <w:t xml:space="preserve">Education, Employment </w:t>
            </w:r>
            <w:r>
              <w:rPr>
                <w:b/>
                <w:sz w:val="16"/>
              </w:rPr>
              <w:t>and Youth</w:t>
            </w:r>
            <w:r w:rsidR="0088225B">
              <w:rPr>
                <w:b/>
                <w:sz w:val="16"/>
              </w:rPr>
              <w:t xml:space="preserve"> </w:t>
            </w:r>
            <w:r>
              <w:rPr>
                <w:b/>
                <w:w w:val="95"/>
                <w:sz w:val="16"/>
              </w:rPr>
              <w:t>Affairs</w:t>
            </w:r>
          </w:p>
        </w:tc>
        <w:tc>
          <w:tcPr>
            <w:tcW w:w="1049" w:type="dxa"/>
            <w:tcBorders>
              <w:top w:val="nil"/>
              <w:bottom w:val="nil"/>
            </w:tcBorders>
            <w:shd w:val="clear" w:color="auto" w:fill="89A7D7"/>
            <w:vAlign w:val="bottom"/>
          </w:tcPr>
          <w:p w14:paraId="1676E0D7" w14:textId="662D02EB" w:rsidR="00251155" w:rsidRDefault="00251155" w:rsidP="0088225B">
            <w:pPr>
              <w:pStyle w:val="TableParagraph"/>
              <w:spacing w:before="122" w:line="205" w:lineRule="exact"/>
              <w:ind w:left="107"/>
              <w:rPr>
                <w:b/>
                <w:sz w:val="16"/>
              </w:rPr>
            </w:pPr>
            <w:r>
              <w:rPr>
                <w:b/>
                <w:sz w:val="16"/>
              </w:rPr>
              <w:t>Environment</w:t>
            </w:r>
            <w:r w:rsidR="0088225B">
              <w:rPr>
                <w:b/>
                <w:sz w:val="16"/>
              </w:rPr>
              <w:t xml:space="preserve"> </w:t>
            </w:r>
            <w:r>
              <w:rPr>
                <w:b/>
                <w:w w:val="95"/>
                <w:sz w:val="16"/>
              </w:rPr>
              <w:t xml:space="preserve">and </w:t>
            </w:r>
            <w:r>
              <w:rPr>
                <w:b/>
                <w:sz w:val="16"/>
              </w:rPr>
              <w:t>Transport</w:t>
            </w:r>
            <w:r>
              <w:rPr>
                <w:b/>
                <w:spacing w:val="-14"/>
                <w:sz w:val="16"/>
              </w:rPr>
              <w:t xml:space="preserve"> </w:t>
            </w:r>
            <w:r>
              <w:rPr>
                <w:b/>
                <w:sz w:val="16"/>
              </w:rPr>
              <w:t>and City</w:t>
            </w:r>
            <w:r>
              <w:rPr>
                <w:b/>
                <w:spacing w:val="-2"/>
                <w:sz w:val="16"/>
              </w:rPr>
              <w:t xml:space="preserve"> </w:t>
            </w:r>
            <w:r>
              <w:rPr>
                <w:b/>
                <w:sz w:val="16"/>
              </w:rPr>
              <w:t>Services</w:t>
            </w:r>
          </w:p>
        </w:tc>
        <w:tc>
          <w:tcPr>
            <w:tcW w:w="907" w:type="dxa"/>
            <w:tcBorders>
              <w:top w:val="nil"/>
              <w:bottom w:val="nil"/>
            </w:tcBorders>
            <w:shd w:val="clear" w:color="auto" w:fill="89A7D7"/>
            <w:vAlign w:val="bottom"/>
          </w:tcPr>
          <w:p w14:paraId="2F3CC013" w14:textId="77777777" w:rsidR="00251155" w:rsidRDefault="00251155" w:rsidP="0088225B">
            <w:pPr>
              <w:pStyle w:val="TableParagraph"/>
              <w:spacing w:line="187" w:lineRule="auto"/>
              <w:ind w:right="66"/>
              <w:rPr>
                <w:b/>
                <w:sz w:val="16"/>
              </w:rPr>
            </w:pPr>
            <w:r>
              <w:rPr>
                <w:b/>
                <w:w w:val="95"/>
                <w:sz w:val="16"/>
              </w:rPr>
              <w:t xml:space="preserve">Health, </w:t>
            </w:r>
            <w:r>
              <w:rPr>
                <w:b/>
                <w:sz w:val="16"/>
              </w:rPr>
              <w:t>Ageing and</w:t>
            </w:r>
            <w:r>
              <w:rPr>
                <w:b/>
                <w:w w:val="97"/>
                <w:sz w:val="16"/>
              </w:rPr>
              <w:t xml:space="preserve"> </w:t>
            </w:r>
            <w:r>
              <w:rPr>
                <w:b/>
                <w:w w:val="95"/>
                <w:sz w:val="16"/>
              </w:rPr>
              <w:t xml:space="preserve">Community </w:t>
            </w:r>
            <w:r>
              <w:rPr>
                <w:b/>
                <w:sz w:val="16"/>
              </w:rPr>
              <w:t>Services</w:t>
            </w:r>
          </w:p>
        </w:tc>
        <w:tc>
          <w:tcPr>
            <w:tcW w:w="893" w:type="dxa"/>
            <w:tcBorders>
              <w:top w:val="nil"/>
              <w:bottom w:val="nil"/>
            </w:tcBorders>
            <w:shd w:val="clear" w:color="auto" w:fill="89A7D7"/>
            <w:vAlign w:val="bottom"/>
          </w:tcPr>
          <w:p w14:paraId="4AE5E323" w14:textId="11F2907F" w:rsidR="00251155" w:rsidRDefault="00251155" w:rsidP="0088225B">
            <w:pPr>
              <w:pStyle w:val="TableParagraph"/>
              <w:spacing w:line="187" w:lineRule="auto"/>
              <w:rPr>
                <w:b/>
                <w:sz w:val="16"/>
              </w:rPr>
            </w:pPr>
            <w:r>
              <w:rPr>
                <w:b/>
                <w:sz w:val="16"/>
              </w:rPr>
              <w:t xml:space="preserve">Justice and </w:t>
            </w:r>
            <w:r>
              <w:rPr>
                <w:b/>
                <w:w w:val="95"/>
                <w:sz w:val="16"/>
              </w:rPr>
              <w:t>Community</w:t>
            </w:r>
            <w:r w:rsidR="0088225B">
              <w:rPr>
                <w:b/>
                <w:sz w:val="16"/>
              </w:rPr>
              <w:t xml:space="preserve"> </w:t>
            </w:r>
            <w:r>
              <w:rPr>
                <w:b/>
                <w:sz w:val="16"/>
              </w:rPr>
              <w:t xml:space="preserve">Safety </w:t>
            </w:r>
            <w:r>
              <w:rPr>
                <w:b/>
                <w:w w:val="95"/>
                <w:sz w:val="16"/>
              </w:rPr>
              <w:t>(JACS)</w:t>
            </w:r>
          </w:p>
        </w:tc>
        <w:tc>
          <w:tcPr>
            <w:tcW w:w="850" w:type="dxa"/>
            <w:tcBorders>
              <w:top w:val="nil"/>
              <w:bottom w:val="nil"/>
            </w:tcBorders>
            <w:shd w:val="clear" w:color="auto" w:fill="89A7D7"/>
            <w:vAlign w:val="bottom"/>
          </w:tcPr>
          <w:p w14:paraId="04F08589" w14:textId="487808F7" w:rsidR="00251155" w:rsidRDefault="00251155" w:rsidP="0088225B">
            <w:pPr>
              <w:pStyle w:val="TableParagraph"/>
              <w:spacing w:before="122" w:line="205" w:lineRule="exact"/>
              <w:ind w:left="74"/>
              <w:rPr>
                <w:b/>
                <w:sz w:val="16"/>
              </w:rPr>
            </w:pPr>
            <w:r>
              <w:rPr>
                <w:b/>
                <w:sz w:val="16"/>
              </w:rPr>
              <w:t>JACS</w:t>
            </w:r>
            <w:r w:rsidR="0088225B">
              <w:rPr>
                <w:b/>
                <w:sz w:val="16"/>
              </w:rPr>
              <w:t xml:space="preserve"> </w:t>
            </w:r>
            <w:r>
              <w:rPr>
                <w:b/>
                <w:w w:val="95"/>
                <w:sz w:val="16"/>
              </w:rPr>
              <w:t xml:space="preserve">(legislative scrutiny </w:t>
            </w:r>
            <w:proofErr w:type="gramStart"/>
            <w:r>
              <w:rPr>
                <w:b/>
                <w:w w:val="95"/>
                <w:sz w:val="16"/>
              </w:rPr>
              <w:t>role)*</w:t>
            </w:r>
            <w:proofErr w:type="gramEnd"/>
          </w:p>
        </w:tc>
        <w:tc>
          <w:tcPr>
            <w:tcW w:w="765" w:type="dxa"/>
            <w:tcBorders>
              <w:top w:val="nil"/>
              <w:bottom w:val="nil"/>
            </w:tcBorders>
            <w:shd w:val="clear" w:color="auto" w:fill="89A7D7"/>
            <w:vAlign w:val="bottom"/>
          </w:tcPr>
          <w:p w14:paraId="154A03A9" w14:textId="3FFCBBAE" w:rsidR="00251155" w:rsidRDefault="00251155" w:rsidP="0088225B">
            <w:pPr>
              <w:pStyle w:val="TableParagraph"/>
              <w:spacing w:before="122" w:line="205" w:lineRule="exact"/>
              <w:ind w:left="104"/>
              <w:rPr>
                <w:b/>
                <w:sz w:val="16"/>
              </w:rPr>
            </w:pPr>
            <w:proofErr w:type="spellStart"/>
            <w:r>
              <w:rPr>
                <w:b/>
                <w:sz w:val="16"/>
              </w:rPr>
              <w:t>Planning</w:t>
            </w:r>
            <w:r>
              <w:rPr>
                <w:b/>
                <w:w w:val="95"/>
                <w:sz w:val="16"/>
              </w:rPr>
              <w:t>and</w:t>
            </w:r>
            <w:proofErr w:type="spellEnd"/>
            <w:r>
              <w:rPr>
                <w:b/>
                <w:w w:val="95"/>
                <w:sz w:val="16"/>
              </w:rPr>
              <w:t xml:space="preserve"> Urban Renewal</w:t>
            </w:r>
          </w:p>
        </w:tc>
        <w:tc>
          <w:tcPr>
            <w:tcW w:w="737" w:type="dxa"/>
            <w:tcBorders>
              <w:top w:val="nil"/>
              <w:bottom w:val="nil"/>
              <w:right w:val="nil"/>
            </w:tcBorders>
            <w:shd w:val="clear" w:color="auto" w:fill="89A7D7"/>
            <w:vAlign w:val="bottom"/>
          </w:tcPr>
          <w:p w14:paraId="11B223E3" w14:textId="77777777" w:rsidR="00251155" w:rsidRDefault="00251155" w:rsidP="0088225B">
            <w:pPr>
              <w:pStyle w:val="TableParagraph"/>
              <w:spacing w:before="134" w:line="187" w:lineRule="auto"/>
              <w:rPr>
                <w:b/>
                <w:sz w:val="16"/>
              </w:rPr>
            </w:pPr>
            <w:r>
              <w:rPr>
                <w:b/>
                <w:w w:val="95"/>
                <w:sz w:val="16"/>
              </w:rPr>
              <w:t>Public Accounts</w:t>
            </w:r>
          </w:p>
        </w:tc>
      </w:tr>
      <w:tr w:rsidR="00251155" w14:paraId="71791B72" w14:textId="77777777" w:rsidTr="00BF1EBD">
        <w:trPr>
          <w:trHeight w:val="749"/>
        </w:trPr>
        <w:tc>
          <w:tcPr>
            <w:tcW w:w="1332" w:type="dxa"/>
            <w:tcBorders>
              <w:top w:val="nil"/>
              <w:left w:val="nil"/>
              <w:bottom w:val="single" w:sz="4" w:space="0" w:color="000000"/>
              <w:right w:val="single" w:sz="4" w:space="0" w:color="DADADA"/>
            </w:tcBorders>
          </w:tcPr>
          <w:p w14:paraId="6F920A86" w14:textId="77777777" w:rsidR="00251155" w:rsidRDefault="00251155" w:rsidP="0047706A">
            <w:pPr>
              <w:pStyle w:val="TableParagraph"/>
              <w:spacing w:before="47" w:line="184" w:lineRule="auto"/>
              <w:ind w:left="80" w:right="14"/>
              <w:jc w:val="left"/>
              <w:rPr>
                <w:sz w:val="18"/>
              </w:rPr>
            </w:pPr>
            <w:r>
              <w:rPr>
                <w:sz w:val="18"/>
              </w:rPr>
              <w:t xml:space="preserve">Number of committee </w:t>
            </w:r>
            <w:r>
              <w:rPr>
                <w:w w:val="90"/>
                <w:sz w:val="18"/>
              </w:rPr>
              <w:t>meetings (total)</w:t>
            </w:r>
          </w:p>
        </w:tc>
        <w:tc>
          <w:tcPr>
            <w:tcW w:w="1119" w:type="dxa"/>
            <w:tcBorders>
              <w:top w:val="nil"/>
              <w:left w:val="single" w:sz="4" w:space="0" w:color="DADADA"/>
              <w:bottom w:val="single" w:sz="4" w:space="0" w:color="000000"/>
              <w:right w:val="single" w:sz="4" w:space="0" w:color="DADADA"/>
            </w:tcBorders>
          </w:tcPr>
          <w:p w14:paraId="50AA9FA7" w14:textId="77777777" w:rsidR="00251155" w:rsidRDefault="00251155" w:rsidP="0047706A">
            <w:pPr>
              <w:pStyle w:val="TableParagraph"/>
              <w:spacing w:line="258" w:lineRule="exact"/>
              <w:ind w:right="71"/>
              <w:rPr>
                <w:sz w:val="18"/>
              </w:rPr>
            </w:pPr>
            <w:r>
              <w:rPr>
                <w:sz w:val="18"/>
              </w:rPr>
              <w:t>20</w:t>
            </w:r>
          </w:p>
        </w:tc>
        <w:tc>
          <w:tcPr>
            <w:tcW w:w="1006" w:type="dxa"/>
            <w:tcBorders>
              <w:top w:val="nil"/>
              <w:left w:val="single" w:sz="4" w:space="0" w:color="DADADA"/>
              <w:bottom w:val="single" w:sz="4" w:space="0" w:color="000000"/>
              <w:right w:val="single" w:sz="4" w:space="0" w:color="DADADA"/>
            </w:tcBorders>
          </w:tcPr>
          <w:p w14:paraId="3CBBB5F1" w14:textId="77777777" w:rsidR="00251155" w:rsidRDefault="00251155" w:rsidP="0047706A">
            <w:pPr>
              <w:pStyle w:val="TableParagraph"/>
              <w:spacing w:line="258" w:lineRule="exact"/>
              <w:ind w:right="71"/>
              <w:rPr>
                <w:sz w:val="18"/>
              </w:rPr>
            </w:pPr>
            <w:r>
              <w:rPr>
                <w:sz w:val="18"/>
              </w:rPr>
              <w:t>19</w:t>
            </w:r>
          </w:p>
        </w:tc>
        <w:tc>
          <w:tcPr>
            <w:tcW w:w="978" w:type="dxa"/>
            <w:tcBorders>
              <w:top w:val="nil"/>
              <w:left w:val="single" w:sz="4" w:space="0" w:color="DADADA"/>
              <w:bottom w:val="single" w:sz="4" w:space="0" w:color="000000"/>
              <w:right w:val="single" w:sz="4" w:space="0" w:color="DADADA"/>
            </w:tcBorders>
          </w:tcPr>
          <w:p w14:paraId="083FA417" w14:textId="77777777" w:rsidR="00251155" w:rsidRDefault="00251155" w:rsidP="0047706A">
            <w:pPr>
              <w:pStyle w:val="TableParagraph"/>
              <w:spacing w:line="258" w:lineRule="exact"/>
              <w:ind w:right="71"/>
              <w:rPr>
                <w:sz w:val="18"/>
              </w:rPr>
            </w:pPr>
            <w:r>
              <w:rPr>
                <w:sz w:val="18"/>
              </w:rPr>
              <w:t>27</w:t>
            </w:r>
          </w:p>
        </w:tc>
        <w:tc>
          <w:tcPr>
            <w:tcW w:w="1049" w:type="dxa"/>
            <w:tcBorders>
              <w:top w:val="nil"/>
              <w:left w:val="single" w:sz="4" w:space="0" w:color="DADADA"/>
              <w:bottom w:val="single" w:sz="4" w:space="0" w:color="000000"/>
              <w:right w:val="single" w:sz="4" w:space="0" w:color="DADADA"/>
            </w:tcBorders>
          </w:tcPr>
          <w:p w14:paraId="0C86A90D" w14:textId="77777777" w:rsidR="00251155" w:rsidRDefault="00251155" w:rsidP="0047706A">
            <w:pPr>
              <w:pStyle w:val="TableParagraph"/>
              <w:spacing w:line="258" w:lineRule="exact"/>
              <w:ind w:right="71"/>
              <w:rPr>
                <w:sz w:val="18"/>
              </w:rPr>
            </w:pPr>
            <w:r>
              <w:rPr>
                <w:sz w:val="18"/>
              </w:rPr>
              <w:t>29</w:t>
            </w:r>
          </w:p>
        </w:tc>
        <w:tc>
          <w:tcPr>
            <w:tcW w:w="907" w:type="dxa"/>
            <w:tcBorders>
              <w:top w:val="nil"/>
              <w:left w:val="single" w:sz="4" w:space="0" w:color="DADADA"/>
              <w:bottom w:val="single" w:sz="4" w:space="0" w:color="000000"/>
              <w:right w:val="single" w:sz="4" w:space="0" w:color="DADADA"/>
            </w:tcBorders>
          </w:tcPr>
          <w:p w14:paraId="25100F06" w14:textId="77777777" w:rsidR="00251155" w:rsidRDefault="00251155" w:rsidP="0047706A">
            <w:pPr>
              <w:pStyle w:val="TableParagraph"/>
              <w:spacing w:line="258" w:lineRule="exact"/>
              <w:ind w:right="71"/>
              <w:rPr>
                <w:sz w:val="18"/>
              </w:rPr>
            </w:pPr>
            <w:r>
              <w:rPr>
                <w:sz w:val="18"/>
              </w:rPr>
              <w:t>23</w:t>
            </w:r>
          </w:p>
        </w:tc>
        <w:tc>
          <w:tcPr>
            <w:tcW w:w="893" w:type="dxa"/>
            <w:tcBorders>
              <w:top w:val="nil"/>
              <w:left w:val="single" w:sz="4" w:space="0" w:color="DADADA"/>
              <w:bottom w:val="single" w:sz="4" w:space="0" w:color="000000"/>
              <w:right w:val="single" w:sz="4" w:space="0" w:color="DADADA"/>
            </w:tcBorders>
          </w:tcPr>
          <w:p w14:paraId="741D0E9A" w14:textId="77777777" w:rsidR="00251155" w:rsidRDefault="00251155" w:rsidP="0047706A">
            <w:pPr>
              <w:pStyle w:val="TableParagraph"/>
              <w:spacing w:line="258" w:lineRule="exact"/>
              <w:ind w:right="71"/>
              <w:rPr>
                <w:sz w:val="18"/>
              </w:rPr>
            </w:pPr>
            <w:r>
              <w:rPr>
                <w:sz w:val="18"/>
              </w:rPr>
              <w:t>38</w:t>
            </w:r>
          </w:p>
        </w:tc>
        <w:tc>
          <w:tcPr>
            <w:tcW w:w="850" w:type="dxa"/>
            <w:tcBorders>
              <w:top w:val="nil"/>
              <w:left w:val="single" w:sz="4" w:space="0" w:color="DADADA"/>
              <w:bottom w:val="single" w:sz="4" w:space="0" w:color="000000"/>
              <w:right w:val="single" w:sz="4" w:space="0" w:color="DADADA"/>
            </w:tcBorders>
          </w:tcPr>
          <w:p w14:paraId="19C61758" w14:textId="77777777" w:rsidR="00251155" w:rsidRDefault="00251155" w:rsidP="0047706A">
            <w:pPr>
              <w:pStyle w:val="TableParagraph"/>
              <w:spacing w:line="258" w:lineRule="exact"/>
              <w:ind w:right="71"/>
              <w:rPr>
                <w:sz w:val="18"/>
              </w:rPr>
            </w:pPr>
            <w:r>
              <w:rPr>
                <w:sz w:val="18"/>
              </w:rPr>
              <w:t>14</w:t>
            </w:r>
          </w:p>
        </w:tc>
        <w:tc>
          <w:tcPr>
            <w:tcW w:w="765" w:type="dxa"/>
            <w:tcBorders>
              <w:top w:val="nil"/>
              <w:left w:val="single" w:sz="4" w:space="0" w:color="DADADA"/>
              <w:bottom w:val="single" w:sz="4" w:space="0" w:color="000000"/>
              <w:right w:val="single" w:sz="4" w:space="0" w:color="DADADA"/>
            </w:tcBorders>
          </w:tcPr>
          <w:p w14:paraId="5F7A45F0" w14:textId="77777777" w:rsidR="00251155" w:rsidRDefault="00251155" w:rsidP="0047706A">
            <w:pPr>
              <w:pStyle w:val="TableParagraph"/>
              <w:spacing w:line="258" w:lineRule="exact"/>
              <w:ind w:right="71"/>
              <w:rPr>
                <w:sz w:val="18"/>
              </w:rPr>
            </w:pPr>
            <w:r>
              <w:rPr>
                <w:sz w:val="18"/>
              </w:rPr>
              <w:t>30</w:t>
            </w:r>
          </w:p>
        </w:tc>
        <w:tc>
          <w:tcPr>
            <w:tcW w:w="737" w:type="dxa"/>
            <w:tcBorders>
              <w:top w:val="nil"/>
              <w:left w:val="single" w:sz="4" w:space="0" w:color="DADADA"/>
              <w:bottom w:val="single" w:sz="4" w:space="0" w:color="000000"/>
              <w:right w:val="nil"/>
            </w:tcBorders>
          </w:tcPr>
          <w:p w14:paraId="70D9E027" w14:textId="77777777" w:rsidR="00251155" w:rsidRDefault="00251155" w:rsidP="0047706A">
            <w:pPr>
              <w:pStyle w:val="TableParagraph"/>
              <w:spacing w:line="258" w:lineRule="exact"/>
              <w:ind w:right="76"/>
              <w:rPr>
                <w:sz w:val="18"/>
              </w:rPr>
            </w:pPr>
            <w:r>
              <w:rPr>
                <w:sz w:val="18"/>
              </w:rPr>
              <w:t>38</w:t>
            </w:r>
          </w:p>
        </w:tc>
      </w:tr>
      <w:tr w:rsidR="00251155" w14:paraId="22B11F19" w14:textId="77777777" w:rsidTr="00BF1EBD">
        <w:trPr>
          <w:trHeight w:val="521"/>
        </w:trPr>
        <w:tc>
          <w:tcPr>
            <w:tcW w:w="1332" w:type="dxa"/>
            <w:tcBorders>
              <w:top w:val="single" w:sz="4" w:space="0" w:color="000000"/>
              <w:left w:val="nil"/>
              <w:bottom w:val="single" w:sz="4" w:space="0" w:color="000000"/>
              <w:right w:val="single" w:sz="4" w:space="0" w:color="DADADA"/>
            </w:tcBorders>
          </w:tcPr>
          <w:p w14:paraId="4E1ED82E" w14:textId="77777777" w:rsidR="00251155" w:rsidRDefault="00251155" w:rsidP="0047706A">
            <w:pPr>
              <w:pStyle w:val="TableParagraph"/>
              <w:spacing w:before="47" w:line="184" w:lineRule="auto"/>
              <w:ind w:left="79" w:right="14"/>
              <w:jc w:val="left"/>
              <w:rPr>
                <w:sz w:val="18"/>
              </w:rPr>
            </w:pPr>
            <w:r>
              <w:rPr>
                <w:w w:val="90"/>
                <w:sz w:val="18"/>
              </w:rPr>
              <w:t xml:space="preserve">Number of private </w:t>
            </w:r>
            <w:r>
              <w:rPr>
                <w:sz w:val="18"/>
              </w:rPr>
              <w:t>meetings</w:t>
            </w:r>
          </w:p>
        </w:tc>
        <w:tc>
          <w:tcPr>
            <w:tcW w:w="1119" w:type="dxa"/>
            <w:tcBorders>
              <w:top w:val="single" w:sz="4" w:space="0" w:color="000000"/>
              <w:left w:val="single" w:sz="4" w:space="0" w:color="DADADA"/>
              <w:bottom w:val="single" w:sz="4" w:space="0" w:color="000000"/>
              <w:right w:val="single" w:sz="4" w:space="0" w:color="DADADA"/>
            </w:tcBorders>
          </w:tcPr>
          <w:p w14:paraId="1058289E" w14:textId="77777777" w:rsidR="00251155" w:rsidRDefault="00251155" w:rsidP="0047706A">
            <w:pPr>
              <w:pStyle w:val="TableParagraph"/>
              <w:spacing w:line="258" w:lineRule="exact"/>
              <w:ind w:right="71"/>
              <w:rPr>
                <w:sz w:val="18"/>
              </w:rPr>
            </w:pPr>
            <w:r>
              <w:rPr>
                <w:sz w:val="18"/>
              </w:rPr>
              <w:t>20</w:t>
            </w:r>
          </w:p>
        </w:tc>
        <w:tc>
          <w:tcPr>
            <w:tcW w:w="1006" w:type="dxa"/>
            <w:tcBorders>
              <w:top w:val="single" w:sz="4" w:space="0" w:color="000000"/>
              <w:left w:val="single" w:sz="4" w:space="0" w:color="DADADA"/>
              <w:bottom w:val="single" w:sz="4" w:space="0" w:color="000000"/>
              <w:right w:val="single" w:sz="4" w:space="0" w:color="DADADA"/>
            </w:tcBorders>
          </w:tcPr>
          <w:p w14:paraId="211AE8F4" w14:textId="77777777" w:rsidR="00251155" w:rsidRDefault="00251155" w:rsidP="0047706A">
            <w:pPr>
              <w:pStyle w:val="TableParagraph"/>
              <w:spacing w:line="258" w:lineRule="exact"/>
              <w:ind w:right="71"/>
              <w:rPr>
                <w:sz w:val="18"/>
              </w:rPr>
            </w:pPr>
            <w:r>
              <w:rPr>
                <w:sz w:val="18"/>
              </w:rPr>
              <w:t>13</w:t>
            </w:r>
          </w:p>
        </w:tc>
        <w:tc>
          <w:tcPr>
            <w:tcW w:w="978" w:type="dxa"/>
            <w:tcBorders>
              <w:top w:val="single" w:sz="4" w:space="0" w:color="000000"/>
              <w:left w:val="single" w:sz="4" w:space="0" w:color="DADADA"/>
              <w:bottom w:val="single" w:sz="4" w:space="0" w:color="000000"/>
              <w:right w:val="single" w:sz="4" w:space="0" w:color="DADADA"/>
            </w:tcBorders>
          </w:tcPr>
          <w:p w14:paraId="20678AEB" w14:textId="77777777" w:rsidR="00251155" w:rsidRDefault="00251155" w:rsidP="0047706A">
            <w:pPr>
              <w:pStyle w:val="TableParagraph"/>
              <w:spacing w:line="258" w:lineRule="exact"/>
              <w:ind w:right="71"/>
              <w:rPr>
                <w:sz w:val="18"/>
              </w:rPr>
            </w:pPr>
            <w:r>
              <w:rPr>
                <w:sz w:val="18"/>
              </w:rPr>
              <w:t>21</w:t>
            </w:r>
          </w:p>
        </w:tc>
        <w:tc>
          <w:tcPr>
            <w:tcW w:w="1049" w:type="dxa"/>
            <w:tcBorders>
              <w:top w:val="single" w:sz="4" w:space="0" w:color="000000"/>
              <w:left w:val="single" w:sz="4" w:space="0" w:color="DADADA"/>
              <w:bottom w:val="single" w:sz="4" w:space="0" w:color="000000"/>
              <w:right w:val="single" w:sz="4" w:space="0" w:color="DADADA"/>
            </w:tcBorders>
          </w:tcPr>
          <w:p w14:paraId="3F492EA4" w14:textId="77777777" w:rsidR="00251155" w:rsidRDefault="00251155" w:rsidP="0047706A">
            <w:pPr>
              <w:pStyle w:val="TableParagraph"/>
              <w:spacing w:line="258" w:lineRule="exact"/>
              <w:ind w:right="71"/>
              <w:rPr>
                <w:sz w:val="18"/>
              </w:rPr>
            </w:pPr>
            <w:r>
              <w:rPr>
                <w:sz w:val="18"/>
              </w:rPr>
              <w:t>21</w:t>
            </w:r>
          </w:p>
        </w:tc>
        <w:tc>
          <w:tcPr>
            <w:tcW w:w="907" w:type="dxa"/>
            <w:tcBorders>
              <w:top w:val="single" w:sz="4" w:space="0" w:color="000000"/>
              <w:left w:val="single" w:sz="4" w:space="0" w:color="DADADA"/>
              <w:bottom w:val="single" w:sz="4" w:space="0" w:color="000000"/>
              <w:right w:val="single" w:sz="4" w:space="0" w:color="DADADA"/>
            </w:tcBorders>
          </w:tcPr>
          <w:p w14:paraId="758F182D" w14:textId="77777777" w:rsidR="00251155" w:rsidRDefault="00251155" w:rsidP="0047706A">
            <w:pPr>
              <w:pStyle w:val="TableParagraph"/>
              <w:spacing w:line="258" w:lineRule="exact"/>
              <w:ind w:right="71"/>
              <w:rPr>
                <w:sz w:val="18"/>
              </w:rPr>
            </w:pPr>
            <w:r>
              <w:rPr>
                <w:sz w:val="18"/>
              </w:rPr>
              <w:t>14</w:t>
            </w:r>
          </w:p>
        </w:tc>
        <w:tc>
          <w:tcPr>
            <w:tcW w:w="893" w:type="dxa"/>
            <w:tcBorders>
              <w:top w:val="single" w:sz="4" w:space="0" w:color="000000"/>
              <w:left w:val="single" w:sz="4" w:space="0" w:color="DADADA"/>
              <w:bottom w:val="single" w:sz="4" w:space="0" w:color="000000"/>
              <w:right w:val="single" w:sz="4" w:space="0" w:color="DADADA"/>
            </w:tcBorders>
          </w:tcPr>
          <w:p w14:paraId="0D9F64F2" w14:textId="77777777" w:rsidR="00251155" w:rsidRDefault="00251155" w:rsidP="0047706A">
            <w:pPr>
              <w:pStyle w:val="TableParagraph"/>
              <w:spacing w:line="258" w:lineRule="exact"/>
              <w:ind w:right="71"/>
              <w:rPr>
                <w:sz w:val="18"/>
              </w:rPr>
            </w:pPr>
            <w:r>
              <w:rPr>
                <w:sz w:val="18"/>
              </w:rPr>
              <w:t>23</w:t>
            </w:r>
          </w:p>
        </w:tc>
        <w:tc>
          <w:tcPr>
            <w:tcW w:w="850" w:type="dxa"/>
            <w:tcBorders>
              <w:top w:val="single" w:sz="4" w:space="0" w:color="000000"/>
              <w:left w:val="single" w:sz="4" w:space="0" w:color="DADADA"/>
              <w:bottom w:val="single" w:sz="4" w:space="0" w:color="000000"/>
              <w:right w:val="single" w:sz="4" w:space="0" w:color="DADADA"/>
            </w:tcBorders>
          </w:tcPr>
          <w:p w14:paraId="36F04F49" w14:textId="77777777" w:rsidR="00251155" w:rsidRDefault="00251155" w:rsidP="0047706A">
            <w:pPr>
              <w:pStyle w:val="TableParagraph"/>
              <w:spacing w:line="258" w:lineRule="exact"/>
              <w:ind w:right="71"/>
              <w:rPr>
                <w:sz w:val="18"/>
              </w:rPr>
            </w:pPr>
            <w:r>
              <w:rPr>
                <w:sz w:val="18"/>
              </w:rPr>
              <w:t>14</w:t>
            </w:r>
          </w:p>
        </w:tc>
        <w:tc>
          <w:tcPr>
            <w:tcW w:w="765" w:type="dxa"/>
            <w:tcBorders>
              <w:top w:val="single" w:sz="4" w:space="0" w:color="000000"/>
              <w:left w:val="single" w:sz="4" w:space="0" w:color="DADADA"/>
              <w:bottom w:val="single" w:sz="4" w:space="0" w:color="000000"/>
              <w:right w:val="single" w:sz="4" w:space="0" w:color="DADADA"/>
            </w:tcBorders>
          </w:tcPr>
          <w:p w14:paraId="3C1E8647" w14:textId="77777777" w:rsidR="00251155" w:rsidRDefault="00251155" w:rsidP="0047706A">
            <w:pPr>
              <w:pStyle w:val="TableParagraph"/>
              <w:spacing w:line="258" w:lineRule="exact"/>
              <w:ind w:right="71"/>
              <w:rPr>
                <w:sz w:val="18"/>
              </w:rPr>
            </w:pPr>
            <w:r>
              <w:rPr>
                <w:sz w:val="18"/>
              </w:rPr>
              <w:t>23</w:t>
            </w:r>
          </w:p>
        </w:tc>
        <w:tc>
          <w:tcPr>
            <w:tcW w:w="737" w:type="dxa"/>
            <w:tcBorders>
              <w:top w:val="single" w:sz="4" w:space="0" w:color="000000"/>
              <w:left w:val="single" w:sz="4" w:space="0" w:color="DADADA"/>
              <w:bottom w:val="single" w:sz="4" w:space="0" w:color="000000"/>
              <w:right w:val="nil"/>
            </w:tcBorders>
          </w:tcPr>
          <w:p w14:paraId="7A1214B3" w14:textId="77777777" w:rsidR="00251155" w:rsidRDefault="00251155" w:rsidP="0047706A">
            <w:pPr>
              <w:pStyle w:val="TableParagraph"/>
              <w:spacing w:line="258" w:lineRule="exact"/>
              <w:ind w:right="76"/>
              <w:rPr>
                <w:sz w:val="18"/>
              </w:rPr>
            </w:pPr>
            <w:r>
              <w:rPr>
                <w:sz w:val="18"/>
              </w:rPr>
              <w:t>23</w:t>
            </w:r>
          </w:p>
        </w:tc>
      </w:tr>
      <w:tr w:rsidR="00251155" w14:paraId="5BB35222" w14:textId="77777777" w:rsidTr="00BF1EBD">
        <w:trPr>
          <w:trHeight w:val="542"/>
        </w:trPr>
        <w:tc>
          <w:tcPr>
            <w:tcW w:w="1332" w:type="dxa"/>
            <w:tcBorders>
              <w:top w:val="single" w:sz="4" w:space="0" w:color="000000"/>
              <w:left w:val="nil"/>
              <w:bottom w:val="single" w:sz="4" w:space="0" w:color="000000"/>
              <w:right w:val="single" w:sz="4" w:space="0" w:color="DADADA"/>
            </w:tcBorders>
          </w:tcPr>
          <w:p w14:paraId="0002D688" w14:textId="77777777" w:rsidR="00251155" w:rsidRDefault="00251155" w:rsidP="0047706A">
            <w:pPr>
              <w:pStyle w:val="TableParagraph"/>
              <w:spacing w:before="47" w:line="184" w:lineRule="auto"/>
              <w:ind w:left="79" w:right="80"/>
              <w:jc w:val="left"/>
              <w:rPr>
                <w:sz w:val="18"/>
              </w:rPr>
            </w:pPr>
            <w:r>
              <w:rPr>
                <w:w w:val="90"/>
                <w:sz w:val="18"/>
              </w:rPr>
              <w:t xml:space="preserve">Number of public </w:t>
            </w:r>
            <w:r>
              <w:rPr>
                <w:sz w:val="18"/>
              </w:rPr>
              <w:t>hearings</w:t>
            </w:r>
          </w:p>
        </w:tc>
        <w:tc>
          <w:tcPr>
            <w:tcW w:w="1119" w:type="dxa"/>
            <w:tcBorders>
              <w:top w:val="single" w:sz="4" w:space="0" w:color="000000"/>
              <w:left w:val="single" w:sz="4" w:space="0" w:color="DADADA"/>
              <w:bottom w:val="single" w:sz="4" w:space="0" w:color="000000"/>
              <w:right w:val="single" w:sz="4" w:space="0" w:color="DADADA"/>
            </w:tcBorders>
          </w:tcPr>
          <w:p w14:paraId="07ECC7B9"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21B6AD0C" w14:textId="77777777" w:rsidR="00251155" w:rsidRDefault="00251155" w:rsidP="0047706A">
            <w:pPr>
              <w:pStyle w:val="TableParagraph"/>
              <w:spacing w:line="258" w:lineRule="exact"/>
              <w:ind w:right="71"/>
              <w:rPr>
                <w:sz w:val="18"/>
              </w:rPr>
            </w:pPr>
            <w:r>
              <w:rPr>
                <w:sz w:val="18"/>
              </w:rPr>
              <w:t>6</w:t>
            </w:r>
          </w:p>
        </w:tc>
        <w:tc>
          <w:tcPr>
            <w:tcW w:w="978" w:type="dxa"/>
            <w:tcBorders>
              <w:top w:val="single" w:sz="4" w:space="0" w:color="000000"/>
              <w:left w:val="single" w:sz="4" w:space="0" w:color="DADADA"/>
              <w:bottom w:val="single" w:sz="4" w:space="0" w:color="000000"/>
              <w:right w:val="single" w:sz="4" w:space="0" w:color="DADADA"/>
            </w:tcBorders>
          </w:tcPr>
          <w:p w14:paraId="78196671" w14:textId="77777777" w:rsidR="00251155" w:rsidRDefault="00251155" w:rsidP="0047706A">
            <w:pPr>
              <w:pStyle w:val="TableParagraph"/>
              <w:spacing w:line="258" w:lineRule="exact"/>
              <w:ind w:right="71"/>
              <w:rPr>
                <w:sz w:val="18"/>
              </w:rPr>
            </w:pPr>
            <w:r>
              <w:rPr>
                <w:sz w:val="18"/>
              </w:rPr>
              <w:t>6</w:t>
            </w:r>
          </w:p>
        </w:tc>
        <w:tc>
          <w:tcPr>
            <w:tcW w:w="1049" w:type="dxa"/>
            <w:tcBorders>
              <w:top w:val="single" w:sz="4" w:space="0" w:color="000000"/>
              <w:left w:val="single" w:sz="4" w:space="0" w:color="DADADA"/>
              <w:bottom w:val="single" w:sz="4" w:space="0" w:color="000000"/>
              <w:right w:val="single" w:sz="4" w:space="0" w:color="DADADA"/>
            </w:tcBorders>
          </w:tcPr>
          <w:p w14:paraId="017BEFEC" w14:textId="77777777" w:rsidR="00251155" w:rsidRDefault="00251155" w:rsidP="0047706A">
            <w:pPr>
              <w:pStyle w:val="TableParagraph"/>
              <w:spacing w:line="258" w:lineRule="exact"/>
              <w:ind w:right="71"/>
              <w:rPr>
                <w:sz w:val="18"/>
              </w:rPr>
            </w:pPr>
            <w:r>
              <w:rPr>
                <w:sz w:val="18"/>
              </w:rPr>
              <w:t>6</w:t>
            </w:r>
          </w:p>
        </w:tc>
        <w:tc>
          <w:tcPr>
            <w:tcW w:w="907" w:type="dxa"/>
            <w:tcBorders>
              <w:top w:val="single" w:sz="4" w:space="0" w:color="000000"/>
              <w:left w:val="single" w:sz="4" w:space="0" w:color="DADADA"/>
              <w:bottom w:val="single" w:sz="4" w:space="0" w:color="000000"/>
              <w:right w:val="single" w:sz="4" w:space="0" w:color="DADADA"/>
            </w:tcBorders>
          </w:tcPr>
          <w:p w14:paraId="0AAFCF62" w14:textId="77777777" w:rsidR="00251155" w:rsidRDefault="00251155" w:rsidP="0047706A">
            <w:pPr>
              <w:pStyle w:val="TableParagraph"/>
              <w:spacing w:line="258" w:lineRule="exact"/>
              <w:ind w:right="71"/>
              <w:rPr>
                <w:sz w:val="18"/>
              </w:rPr>
            </w:pPr>
            <w:r>
              <w:rPr>
                <w:sz w:val="18"/>
              </w:rPr>
              <w:t>9</w:t>
            </w:r>
          </w:p>
        </w:tc>
        <w:tc>
          <w:tcPr>
            <w:tcW w:w="893" w:type="dxa"/>
            <w:tcBorders>
              <w:top w:val="single" w:sz="4" w:space="0" w:color="000000"/>
              <w:left w:val="single" w:sz="4" w:space="0" w:color="DADADA"/>
              <w:bottom w:val="single" w:sz="4" w:space="0" w:color="000000"/>
              <w:right w:val="single" w:sz="4" w:space="0" w:color="DADADA"/>
            </w:tcBorders>
          </w:tcPr>
          <w:p w14:paraId="15B3A13F" w14:textId="77777777" w:rsidR="00251155" w:rsidRDefault="00251155" w:rsidP="0047706A">
            <w:pPr>
              <w:pStyle w:val="TableParagraph"/>
              <w:spacing w:line="258" w:lineRule="exact"/>
              <w:ind w:right="71"/>
              <w:rPr>
                <w:sz w:val="18"/>
              </w:rPr>
            </w:pPr>
            <w:r>
              <w:rPr>
                <w:sz w:val="18"/>
              </w:rPr>
              <w:t>11</w:t>
            </w:r>
          </w:p>
        </w:tc>
        <w:tc>
          <w:tcPr>
            <w:tcW w:w="850" w:type="dxa"/>
            <w:tcBorders>
              <w:top w:val="single" w:sz="4" w:space="0" w:color="000000"/>
              <w:left w:val="single" w:sz="4" w:space="0" w:color="DADADA"/>
              <w:bottom w:val="single" w:sz="4" w:space="0" w:color="000000"/>
              <w:right w:val="single" w:sz="4" w:space="0" w:color="DADADA"/>
            </w:tcBorders>
          </w:tcPr>
          <w:p w14:paraId="273DA72C"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03430470" w14:textId="77777777" w:rsidR="00251155" w:rsidRDefault="00251155" w:rsidP="0047706A">
            <w:pPr>
              <w:pStyle w:val="TableParagraph"/>
              <w:spacing w:line="258" w:lineRule="exact"/>
              <w:ind w:right="71"/>
              <w:rPr>
                <w:sz w:val="18"/>
              </w:rPr>
            </w:pPr>
            <w:r>
              <w:rPr>
                <w:sz w:val="18"/>
              </w:rPr>
              <w:t>7</w:t>
            </w:r>
          </w:p>
        </w:tc>
        <w:tc>
          <w:tcPr>
            <w:tcW w:w="737" w:type="dxa"/>
            <w:tcBorders>
              <w:top w:val="single" w:sz="4" w:space="0" w:color="000000"/>
              <w:left w:val="single" w:sz="4" w:space="0" w:color="DADADA"/>
              <w:bottom w:val="single" w:sz="4" w:space="0" w:color="000000"/>
              <w:right w:val="nil"/>
            </w:tcBorders>
          </w:tcPr>
          <w:p w14:paraId="3D0DF66C" w14:textId="77777777" w:rsidR="00251155" w:rsidRDefault="00251155" w:rsidP="0047706A">
            <w:pPr>
              <w:pStyle w:val="TableParagraph"/>
              <w:spacing w:line="258" w:lineRule="exact"/>
              <w:ind w:right="76"/>
              <w:rPr>
                <w:sz w:val="18"/>
              </w:rPr>
            </w:pPr>
            <w:r>
              <w:rPr>
                <w:sz w:val="18"/>
              </w:rPr>
              <w:t>14</w:t>
            </w:r>
          </w:p>
        </w:tc>
      </w:tr>
      <w:tr w:rsidR="00251155" w14:paraId="62E5DA4D" w14:textId="77777777" w:rsidTr="00BF1EBD">
        <w:trPr>
          <w:trHeight w:val="500"/>
        </w:trPr>
        <w:tc>
          <w:tcPr>
            <w:tcW w:w="1332" w:type="dxa"/>
            <w:tcBorders>
              <w:top w:val="single" w:sz="4" w:space="0" w:color="000000"/>
              <w:left w:val="nil"/>
              <w:bottom w:val="single" w:sz="4" w:space="0" w:color="000000"/>
              <w:right w:val="single" w:sz="4" w:space="0" w:color="DADADA"/>
            </w:tcBorders>
          </w:tcPr>
          <w:p w14:paraId="0962C0B1" w14:textId="77777777" w:rsidR="00251155" w:rsidRDefault="00251155" w:rsidP="0047706A">
            <w:pPr>
              <w:pStyle w:val="TableParagraph"/>
              <w:spacing w:before="47" w:line="184" w:lineRule="auto"/>
              <w:ind w:left="79" w:right="14"/>
              <w:jc w:val="left"/>
              <w:rPr>
                <w:sz w:val="18"/>
              </w:rPr>
            </w:pPr>
            <w:r>
              <w:rPr>
                <w:sz w:val="18"/>
              </w:rPr>
              <w:t xml:space="preserve">Number of site </w:t>
            </w:r>
            <w:r>
              <w:rPr>
                <w:w w:val="90"/>
                <w:sz w:val="18"/>
              </w:rPr>
              <w:t>visits/study tours</w:t>
            </w:r>
          </w:p>
        </w:tc>
        <w:tc>
          <w:tcPr>
            <w:tcW w:w="1119" w:type="dxa"/>
            <w:tcBorders>
              <w:top w:val="single" w:sz="4" w:space="0" w:color="000000"/>
              <w:left w:val="single" w:sz="4" w:space="0" w:color="DADADA"/>
              <w:bottom w:val="single" w:sz="4" w:space="0" w:color="000000"/>
              <w:right w:val="single" w:sz="4" w:space="0" w:color="DADADA"/>
            </w:tcBorders>
          </w:tcPr>
          <w:p w14:paraId="2C86EDB7"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4F5A4DC9" w14:textId="77777777" w:rsidR="00251155" w:rsidRDefault="00251155" w:rsidP="0047706A">
            <w:pPr>
              <w:pStyle w:val="TableParagraph"/>
              <w:spacing w:line="258" w:lineRule="exact"/>
              <w:ind w:right="71"/>
              <w:rPr>
                <w:sz w:val="18"/>
              </w:rPr>
            </w:pPr>
            <w:r>
              <w:rPr>
                <w:sz w:val="18"/>
              </w:rPr>
              <w:t>0</w:t>
            </w:r>
          </w:p>
        </w:tc>
        <w:tc>
          <w:tcPr>
            <w:tcW w:w="978" w:type="dxa"/>
            <w:tcBorders>
              <w:top w:val="single" w:sz="4" w:space="0" w:color="000000"/>
              <w:left w:val="single" w:sz="4" w:space="0" w:color="DADADA"/>
              <w:bottom w:val="single" w:sz="4" w:space="0" w:color="000000"/>
              <w:right w:val="single" w:sz="4" w:space="0" w:color="DADADA"/>
            </w:tcBorders>
          </w:tcPr>
          <w:p w14:paraId="5666FCB9" w14:textId="77777777" w:rsidR="00251155" w:rsidRDefault="00251155" w:rsidP="0047706A">
            <w:pPr>
              <w:pStyle w:val="TableParagraph"/>
              <w:spacing w:line="258" w:lineRule="exact"/>
              <w:ind w:right="71"/>
              <w:rPr>
                <w:sz w:val="18"/>
              </w:rPr>
            </w:pPr>
            <w:r>
              <w:rPr>
                <w:sz w:val="18"/>
              </w:rPr>
              <w:t>0</w:t>
            </w:r>
          </w:p>
        </w:tc>
        <w:tc>
          <w:tcPr>
            <w:tcW w:w="1049" w:type="dxa"/>
            <w:tcBorders>
              <w:top w:val="single" w:sz="4" w:space="0" w:color="000000"/>
              <w:left w:val="single" w:sz="4" w:space="0" w:color="DADADA"/>
              <w:bottom w:val="single" w:sz="4" w:space="0" w:color="000000"/>
              <w:right w:val="single" w:sz="4" w:space="0" w:color="DADADA"/>
            </w:tcBorders>
          </w:tcPr>
          <w:p w14:paraId="47FA23D7" w14:textId="77777777" w:rsidR="00251155" w:rsidRDefault="00251155" w:rsidP="0047706A">
            <w:pPr>
              <w:pStyle w:val="TableParagraph"/>
              <w:spacing w:line="258" w:lineRule="exact"/>
              <w:ind w:right="71"/>
              <w:rPr>
                <w:sz w:val="18"/>
              </w:rPr>
            </w:pPr>
            <w:r>
              <w:rPr>
                <w:sz w:val="18"/>
              </w:rPr>
              <w:t>2</w:t>
            </w:r>
          </w:p>
        </w:tc>
        <w:tc>
          <w:tcPr>
            <w:tcW w:w="907" w:type="dxa"/>
            <w:tcBorders>
              <w:top w:val="single" w:sz="4" w:space="0" w:color="000000"/>
              <w:left w:val="single" w:sz="4" w:space="0" w:color="DADADA"/>
              <w:bottom w:val="single" w:sz="4" w:space="0" w:color="000000"/>
              <w:right w:val="single" w:sz="4" w:space="0" w:color="DADADA"/>
            </w:tcBorders>
          </w:tcPr>
          <w:p w14:paraId="623DD8C1" w14:textId="77777777" w:rsidR="00251155" w:rsidRDefault="00251155" w:rsidP="0047706A">
            <w:pPr>
              <w:pStyle w:val="TableParagraph"/>
              <w:spacing w:line="258" w:lineRule="exact"/>
              <w:ind w:right="71"/>
              <w:rPr>
                <w:sz w:val="18"/>
              </w:rPr>
            </w:pPr>
            <w:r>
              <w:rPr>
                <w:sz w:val="18"/>
              </w:rPr>
              <w:t>0</w:t>
            </w:r>
          </w:p>
        </w:tc>
        <w:tc>
          <w:tcPr>
            <w:tcW w:w="893" w:type="dxa"/>
            <w:tcBorders>
              <w:top w:val="single" w:sz="4" w:space="0" w:color="000000"/>
              <w:left w:val="single" w:sz="4" w:space="0" w:color="DADADA"/>
              <w:bottom w:val="single" w:sz="4" w:space="0" w:color="000000"/>
              <w:right w:val="single" w:sz="4" w:space="0" w:color="DADADA"/>
            </w:tcBorders>
          </w:tcPr>
          <w:p w14:paraId="79B1424C" w14:textId="77777777" w:rsidR="00251155" w:rsidRDefault="00251155" w:rsidP="0047706A">
            <w:pPr>
              <w:pStyle w:val="TableParagraph"/>
              <w:spacing w:line="258" w:lineRule="exact"/>
              <w:ind w:right="71"/>
              <w:rPr>
                <w:sz w:val="18"/>
              </w:rPr>
            </w:pPr>
            <w:r>
              <w:rPr>
                <w:sz w:val="18"/>
              </w:rPr>
              <w:t>4</w:t>
            </w:r>
          </w:p>
        </w:tc>
        <w:tc>
          <w:tcPr>
            <w:tcW w:w="850" w:type="dxa"/>
            <w:tcBorders>
              <w:top w:val="single" w:sz="4" w:space="0" w:color="000000"/>
              <w:left w:val="single" w:sz="4" w:space="0" w:color="DADADA"/>
              <w:bottom w:val="single" w:sz="4" w:space="0" w:color="000000"/>
              <w:right w:val="single" w:sz="4" w:space="0" w:color="DADADA"/>
            </w:tcBorders>
          </w:tcPr>
          <w:p w14:paraId="204943D0"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35BB531D" w14:textId="77777777" w:rsidR="00251155" w:rsidRDefault="00251155" w:rsidP="0047706A">
            <w:pPr>
              <w:pStyle w:val="TableParagraph"/>
              <w:spacing w:line="258" w:lineRule="exact"/>
              <w:ind w:right="71"/>
              <w:rPr>
                <w:sz w:val="18"/>
              </w:rPr>
            </w:pPr>
            <w:r>
              <w:rPr>
                <w:sz w:val="18"/>
              </w:rPr>
              <w:t>0</w:t>
            </w:r>
          </w:p>
        </w:tc>
        <w:tc>
          <w:tcPr>
            <w:tcW w:w="737" w:type="dxa"/>
            <w:tcBorders>
              <w:top w:val="single" w:sz="4" w:space="0" w:color="000000"/>
              <w:left w:val="single" w:sz="4" w:space="0" w:color="DADADA"/>
              <w:bottom w:val="single" w:sz="4" w:space="0" w:color="000000"/>
              <w:right w:val="nil"/>
            </w:tcBorders>
          </w:tcPr>
          <w:p w14:paraId="6E703D20" w14:textId="77777777" w:rsidR="00251155" w:rsidRDefault="00251155" w:rsidP="0047706A">
            <w:pPr>
              <w:pStyle w:val="TableParagraph"/>
              <w:spacing w:line="258" w:lineRule="exact"/>
              <w:ind w:right="76"/>
              <w:rPr>
                <w:sz w:val="18"/>
              </w:rPr>
            </w:pPr>
            <w:r>
              <w:rPr>
                <w:sz w:val="18"/>
              </w:rPr>
              <w:t>0</w:t>
            </w:r>
          </w:p>
        </w:tc>
      </w:tr>
      <w:tr w:rsidR="00251155" w14:paraId="495AEC77" w14:textId="77777777" w:rsidTr="00BF1EBD">
        <w:trPr>
          <w:trHeight w:val="528"/>
        </w:trPr>
        <w:tc>
          <w:tcPr>
            <w:tcW w:w="1332" w:type="dxa"/>
            <w:tcBorders>
              <w:top w:val="single" w:sz="4" w:space="0" w:color="000000"/>
              <w:left w:val="nil"/>
              <w:bottom w:val="single" w:sz="4" w:space="0" w:color="000000"/>
              <w:right w:val="single" w:sz="4" w:space="0" w:color="DADADA"/>
            </w:tcBorders>
          </w:tcPr>
          <w:p w14:paraId="26F4A88C" w14:textId="77777777" w:rsidR="00251155" w:rsidRDefault="00251155" w:rsidP="0047706A">
            <w:pPr>
              <w:pStyle w:val="TableParagraph"/>
              <w:spacing w:before="47" w:line="184" w:lineRule="auto"/>
              <w:ind w:left="79" w:right="14"/>
              <w:jc w:val="left"/>
              <w:rPr>
                <w:sz w:val="18"/>
              </w:rPr>
            </w:pPr>
            <w:r>
              <w:rPr>
                <w:w w:val="95"/>
                <w:sz w:val="18"/>
              </w:rPr>
              <w:t xml:space="preserve">Number of other </w:t>
            </w:r>
            <w:r>
              <w:rPr>
                <w:w w:val="90"/>
                <w:sz w:val="18"/>
              </w:rPr>
              <w:t>kinds of meetings</w:t>
            </w:r>
          </w:p>
        </w:tc>
        <w:tc>
          <w:tcPr>
            <w:tcW w:w="1119" w:type="dxa"/>
            <w:tcBorders>
              <w:top w:val="single" w:sz="4" w:space="0" w:color="000000"/>
              <w:left w:val="single" w:sz="4" w:space="0" w:color="DADADA"/>
              <w:bottom w:val="single" w:sz="4" w:space="0" w:color="000000"/>
              <w:right w:val="single" w:sz="4" w:space="0" w:color="DADADA"/>
            </w:tcBorders>
          </w:tcPr>
          <w:p w14:paraId="12F2BDE8"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056C25DB" w14:textId="77777777" w:rsidR="00251155" w:rsidRDefault="00251155" w:rsidP="0047706A">
            <w:pPr>
              <w:pStyle w:val="TableParagraph"/>
              <w:spacing w:line="258" w:lineRule="exact"/>
              <w:ind w:right="71"/>
              <w:rPr>
                <w:sz w:val="18"/>
              </w:rPr>
            </w:pPr>
            <w:r>
              <w:rPr>
                <w:sz w:val="18"/>
              </w:rPr>
              <w:t>0</w:t>
            </w:r>
          </w:p>
        </w:tc>
        <w:tc>
          <w:tcPr>
            <w:tcW w:w="978" w:type="dxa"/>
            <w:tcBorders>
              <w:top w:val="single" w:sz="4" w:space="0" w:color="000000"/>
              <w:left w:val="single" w:sz="4" w:space="0" w:color="DADADA"/>
              <w:bottom w:val="single" w:sz="4" w:space="0" w:color="000000"/>
              <w:right w:val="single" w:sz="4" w:space="0" w:color="DADADA"/>
            </w:tcBorders>
          </w:tcPr>
          <w:p w14:paraId="20F4FB5B" w14:textId="77777777" w:rsidR="00251155" w:rsidRDefault="00251155" w:rsidP="0047706A">
            <w:pPr>
              <w:pStyle w:val="TableParagraph"/>
              <w:spacing w:line="258" w:lineRule="exact"/>
              <w:ind w:right="71"/>
              <w:rPr>
                <w:sz w:val="18"/>
              </w:rPr>
            </w:pPr>
            <w:r>
              <w:rPr>
                <w:sz w:val="18"/>
              </w:rPr>
              <w:t>0</w:t>
            </w:r>
          </w:p>
        </w:tc>
        <w:tc>
          <w:tcPr>
            <w:tcW w:w="1049" w:type="dxa"/>
            <w:tcBorders>
              <w:top w:val="single" w:sz="4" w:space="0" w:color="000000"/>
              <w:left w:val="single" w:sz="4" w:space="0" w:color="DADADA"/>
              <w:bottom w:val="single" w:sz="4" w:space="0" w:color="000000"/>
              <w:right w:val="single" w:sz="4" w:space="0" w:color="DADADA"/>
            </w:tcBorders>
          </w:tcPr>
          <w:p w14:paraId="715B9FC2" w14:textId="77777777" w:rsidR="00251155" w:rsidRDefault="00251155" w:rsidP="0047706A">
            <w:pPr>
              <w:pStyle w:val="TableParagraph"/>
              <w:spacing w:line="258" w:lineRule="exact"/>
              <w:ind w:right="71"/>
              <w:rPr>
                <w:sz w:val="18"/>
              </w:rPr>
            </w:pPr>
            <w:r>
              <w:rPr>
                <w:sz w:val="18"/>
              </w:rPr>
              <w:t>0</w:t>
            </w:r>
          </w:p>
        </w:tc>
        <w:tc>
          <w:tcPr>
            <w:tcW w:w="907" w:type="dxa"/>
            <w:tcBorders>
              <w:top w:val="single" w:sz="4" w:space="0" w:color="000000"/>
              <w:left w:val="single" w:sz="4" w:space="0" w:color="DADADA"/>
              <w:bottom w:val="single" w:sz="4" w:space="0" w:color="000000"/>
              <w:right w:val="single" w:sz="4" w:space="0" w:color="DADADA"/>
            </w:tcBorders>
          </w:tcPr>
          <w:p w14:paraId="630CBD2D" w14:textId="77777777" w:rsidR="00251155" w:rsidRDefault="00251155" w:rsidP="0047706A">
            <w:pPr>
              <w:pStyle w:val="TableParagraph"/>
              <w:spacing w:line="258" w:lineRule="exact"/>
              <w:ind w:right="71"/>
              <w:rPr>
                <w:sz w:val="18"/>
              </w:rPr>
            </w:pPr>
            <w:r>
              <w:rPr>
                <w:sz w:val="18"/>
              </w:rPr>
              <w:t>0</w:t>
            </w:r>
          </w:p>
        </w:tc>
        <w:tc>
          <w:tcPr>
            <w:tcW w:w="893" w:type="dxa"/>
            <w:tcBorders>
              <w:top w:val="single" w:sz="4" w:space="0" w:color="000000"/>
              <w:left w:val="single" w:sz="4" w:space="0" w:color="DADADA"/>
              <w:bottom w:val="single" w:sz="4" w:space="0" w:color="000000"/>
              <w:right w:val="single" w:sz="4" w:space="0" w:color="DADADA"/>
            </w:tcBorders>
          </w:tcPr>
          <w:p w14:paraId="7AC2502B" w14:textId="77777777" w:rsidR="00251155" w:rsidRDefault="00251155" w:rsidP="0047706A">
            <w:pPr>
              <w:pStyle w:val="TableParagraph"/>
              <w:spacing w:line="258" w:lineRule="exact"/>
              <w:ind w:right="71"/>
              <w:rPr>
                <w:sz w:val="18"/>
              </w:rPr>
            </w:pPr>
            <w:r>
              <w:rPr>
                <w:sz w:val="18"/>
              </w:rPr>
              <w:t>0</w:t>
            </w:r>
          </w:p>
        </w:tc>
        <w:tc>
          <w:tcPr>
            <w:tcW w:w="850" w:type="dxa"/>
            <w:tcBorders>
              <w:top w:val="single" w:sz="4" w:space="0" w:color="000000"/>
              <w:left w:val="single" w:sz="4" w:space="0" w:color="DADADA"/>
              <w:bottom w:val="single" w:sz="4" w:space="0" w:color="000000"/>
              <w:right w:val="single" w:sz="4" w:space="0" w:color="DADADA"/>
            </w:tcBorders>
          </w:tcPr>
          <w:p w14:paraId="0B8A863F"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5C4CE5D8" w14:textId="77777777" w:rsidR="00251155" w:rsidRDefault="00251155" w:rsidP="0047706A">
            <w:pPr>
              <w:pStyle w:val="TableParagraph"/>
              <w:spacing w:line="258" w:lineRule="exact"/>
              <w:ind w:right="71"/>
              <w:rPr>
                <w:sz w:val="18"/>
              </w:rPr>
            </w:pPr>
            <w:r>
              <w:rPr>
                <w:sz w:val="18"/>
              </w:rPr>
              <w:t>0</w:t>
            </w:r>
          </w:p>
        </w:tc>
        <w:tc>
          <w:tcPr>
            <w:tcW w:w="737" w:type="dxa"/>
            <w:tcBorders>
              <w:top w:val="single" w:sz="4" w:space="0" w:color="000000"/>
              <w:left w:val="single" w:sz="4" w:space="0" w:color="DADADA"/>
              <w:bottom w:val="single" w:sz="4" w:space="0" w:color="000000"/>
              <w:right w:val="nil"/>
            </w:tcBorders>
          </w:tcPr>
          <w:p w14:paraId="0D1A69D6" w14:textId="77777777" w:rsidR="00251155" w:rsidRDefault="00251155" w:rsidP="0047706A">
            <w:pPr>
              <w:pStyle w:val="TableParagraph"/>
              <w:spacing w:line="258" w:lineRule="exact"/>
              <w:ind w:right="76"/>
              <w:rPr>
                <w:sz w:val="18"/>
              </w:rPr>
            </w:pPr>
            <w:r>
              <w:rPr>
                <w:sz w:val="18"/>
              </w:rPr>
              <w:t>1</w:t>
            </w:r>
          </w:p>
        </w:tc>
      </w:tr>
      <w:tr w:rsidR="00251155" w14:paraId="3DF3135C" w14:textId="77777777" w:rsidTr="00BF1EBD">
        <w:trPr>
          <w:trHeight w:val="698"/>
        </w:trPr>
        <w:tc>
          <w:tcPr>
            <w:tcW w:w="1332" w:type="dxa"/>
            <w:tcBorders>
              <w:top w:val="single" w:sz="4" w:space="0" w:color="000000"/>
              <w:left w:val="nil"/>
              <w:bottom w:val="single" w:sz="4" w:space="0" w:color="000000"/>
              <w:right w:val="single" w:sz="4" w:space="0" w:color="DADADA"/>
            </w:tcBorders>
          </w:tcPr>
          <w:p w14:paraId="402E7423" w14:textId="77777777" w:rsidR="00251155" w:rsidRDefault="00251155" w:rsidP="0047706A">
            <w:pPr>
              <w:pStyle w:val="TableParagraph"/>
              <w:spacing w:before="47" w:line="184" w:lineRule="auto"/>
              <w:ind w:left="79" w:right="14"/>
              <w:jc w:val="left"/>
              <w:rPr>
                <w:sz w:val="18"/>
              </w:rPr>
            </w:pPr>
            <w:r>
              <w:rPr>
                <w:sz w:val="18"/>
              </w:rPr>
              <w:t xml:space="preserve">Hours of committee </w:t>
            </w:r>
            <w:r>
              <w:rPr>
                <w:w w:val="90"/>
                <w:sz w:val="18"/>
              </w:rPr>
              <w:t>meetings (total)</w:t>
            </w:r>
          </w:p>
        </w:tc>
        <w:tc>
          <w:tcPr>
            <w:tcW w:w="1119" w:type="dxa"/>
            <w:tcBorders>
              <w:top w:val="single" w:sz="4" w:space="0" w:color="000000"/>
              <w:left w:val="single" w:sz="4" w:space="0" w:color="DADADA"/>
              <w:bottom w:val="single" w:sz="4" w:space="0" w:color="000000"/>
              <w:right w:val="single" w:sz="4" w:space="0" w:color="DADADA"/>
            </w:tcBorders>
          </w:tcPr>
          <w:p w14:paraId="512A3390" w14:textId="77777777" w:rsidR="00251155" w:rsidRDefault="00251155" w:rsidP="0047706A">
            <w:pPr>
              <w:pStyle w:val="TableParagraph"/>
              <w:spacing w:line="258" w:lineRule="exact"/>
              <w:ind w:right="71"/>
              <w:rPr>
                <w:sz w:val="18"/>
              </w:rPr>
            </w:pPr>
            <w:r>
              <w:rPr>
                <w:sz w:val="18"/>
              </w:rPr>
              <w:t>9:43</w:t>
            </w:r>
          </w:p>
        </w:tc>
        <w:tc>
          <w:tcPr>
            <w:tcW w:w="1006" w:type="dxa"/>
            <w:tcBorders>
              <w:top w:val="single" w:sz="4" w:space="0" w:color="000000"/>
              <w:left w:val="single" w:sz="4" w:space="0" w:color="DADADA"/>
              <w:bottom w:val="single" w:sz="4" w:space="0" w:color="000000"/>
              <w:right w:val="single" w:sz="4" w:space="0" w:color="DADADA"/>
            </w:tcBorders>
          </w:tcPr>
          <w:p w14:paraId="5B08F4C7" w14:textId="77777777" w:rsidR="00251155" w:rsidRDefault="00251155" w:rsidP="0047706A">
            <w:pPr>
              <w:pStyle w:val="TableParagraph"/>
              <w:spacing w:line="258" w:lineRule="exact"/>
              <w:ind w:right="71"/>
              <w:rPr>
                <w:sz w:val="18"/>
              </w:rPr>
            </w:pPr>
            <w:r>
              <w:rPr>
                <w:sz w:val="18"/>
              </w:rPr>
              <w:t>19:46</w:t>
            </w:r>
          </w:p>
        </w:tc>
        <w:tc>
          <w:tcPr>
            <w:tcW w:w="978" w:type="dxa"/>
            <w:tcBorders>
              <w:top w:val="single" w:sz="4" w:space="0" w:color="000000"/>
              <w:left w:val="single" w:sz="4" w:space="0" w:color="DADADA"/>
              <w:bottom w:val="single" w:sz="4" w:space="0" w:color="000000"/>
              <w:right w:val="single" w:sz="4" w:space="0" w:color="DADADA"/>
            </w:tcBorders>
          </w:tcPr>
          <w:p w14:paraId="01A34B7E" w14:textId="77777777" w:rsidR="00251155" w:rsidRDefault="00251155" w:rsidP="0047706A">
            <w:pPr>
              <w:pStyle w:val="TableParagraph"/>
              <w:spacing w:line="258" w:lineRule="exact"/>
              <w:ind w:right="71"/>
              <w:rPr>
                <w:sz w:val="18"/>
              </w:rPr>
            </w:pPr>
            <w:r>
              <w:rPr>
                <w:sz w:val="18"/>
              </w:rPr>
              <w:t>28:46</w:t>
            </w:r>
          </w:p>
        </w:tc>
        <w:tc>
          <w:tcPr>
            <w:tcW w:w="1049" w:type="dxa"/>
            <w:tcBorders>
              <w:top w:val="single" w:sz="4" w:space="0" w:color="000000"/>
              <w:left w:val="single" w:sz="4" w:space="0" w:color="DADADA"/>
              <w:bottom w:val="single" w:sz="4" w:space="0" w:color="000000"/>
              <w:right w:val="single" w:sz="4" w:space="0" w:color="DADADA"/>
            </w:tcBorders>
          </w:tcPr>
          <w:p w14:paraId="7093C20A" w14:textId="77777777" w:rsidR="00251155" w:rsidRDefault="00251155" w:rsidP="0047706A">
            <w:pPr>
              <w:pStyle w:val="TableParagraph"/>
              <w:spacing w:line="258" w:lineRule="exact"/>
              <w:ind w:right="71"/>
              <w:rPr>
                <w:sz w:val="18"/>
              </w:rPr>
            </w:pPr>
            <w:r>
              <w:rPr>
                <w:sz w:val="18"/>
              </w:rPr>
              <w:t>30:23</w:t>
            </w:r>
          </w:p>
        </w:tc>
        <w:tc>
          <w:tcPr>
            <w:tcW w:w="907" w:type="dxa"/>
            <w:tcBorders>
              <w:top w:val="single" w:sz="4" w:space="0" w:color="000000"/>
              <w:left w:val="single" w:sz="4" w:space="0" w:color="DADADA"/>
              <w:bottom w:val="single" w:sz="4" w:space="0" w:color="000000"/>
              <w:right w:val="single" w:sz="4" w:space="0" w:color="DADADA"/>
            </w:tcBorders>
          </w:tcPr>
          <w:p w14:paraId="6F87EC59" w14:textId="77777777" w:rsidR="00251155" w:rsidRDefault="00251155" w:rsidP="0047706A">
            <w:pPr>
              <w:pStyle w:val="TableParagraph"/>
              <w:spacing w:line="258" w:lineRule="exact"/>
              <w:ind w:right="71"/>
              <w:rPr>
                <w:sz w:val="18"/>
              </w:rPr>
            </w:pPr>
            <w:r>
              <w:rPr>
                <w:sz w:val="18"/>
              </w:rPr>
              <w:t>37:45</w:t>
            </w:r>
          </w:p>
        </w:tc>
        <w:tc>
          <w:tcPr>
            <w:tcW w:w="893" w:type="dxa"/>
            <w:tcBorders>
              <w:top w:val="single" w:sz="4" w:space="0" w:color="000000"/>
              <w:left w:val="single" w:sz="4" w:space="0" w:color="DADADA"/>
              <w:bottom w:val="single" w:sz="4" w:space="0" w:color="000000"/>
              <w:right w:val="single" w:sz="4" w:space="0" w:color="DADADA"/>
            </w:tcBorders>
          </w:tcPr>
          <w:p w14:paraId="4C82FB4E" w14:textId="77777777" w:rsidR="00251155" w:rsidRDefault="00251155" w:rsidP="0047706A">
            <w:pPr>
              <w:pStyle w:val="TableParagraph"/>
              <w:spacing w:line="258" w:lineRule="exact"/>
              <w:ind w:right="71"/>
              <w:rPr>
                <w:sz w:val="18"/>
              </w:rPr>
            </w:pPr>
            <w:r>
              <w:rPr>
                <w:sz w:val="18"/>
              </w:rPr>
              <w:t>45:17</w:t>
            </w:r>
          </w:p>
        </w:tc>
        <w:tc>
          <w:tcPr>
            <w:tcW w:w="850" w:type="dxa"/>
            <w:tcBorders>
              <w:top w:val="single" w:sz="4" w:space="0" w:color="000000"/>
              <w:left w:val="single" w:sz="4" w:space="0" w:color="DADADA"/>
              <w:bottom w:val="single" w:sz="4" w:space="0" w:color="000000"/>
              <w:right w:val="single" w:sz="4" w:space="0" w:color="DADADA"/>
            </w:tcBorders>
          </w:tcPr>
          <w:p w14:paraId="57EFCB9B" w14:textId="77777777" w:rsidR="00251155" w:rsidRDefault="00251155" w:rsidP="0047706A">
            <w:pPr>
              <w:pStyle w:val="TableParagraph"/>
              <w:spacing w:line="258" w:lineRule="exact"/>
              <w:ind w:right="71"/>
              <w:rPr>
                <w:sz w:val="18"/>
              </w:rPr>
            </w:pPr>
            <w:r>
              <w:rPr>
                <w:sz w:val="18"/>
              </w:rPr>
              <w:t>10:48</w:t>
            </w:r>
          </w:p>
        </w:tc>
        <w:tc>
          <w:tcPr>
            <w:tcW w:w="765" w:type="dxa"/>
            <w:tcBorders>
              <w:top w:val="single" w:sz="4" w:space="0" w:color="000000"/>
              <w:left w:val="single" w:sz="4" w:space="0" w:color="DADADA"/>
              <w:bottom w:val="single" w:sz="4" w:space="0" w:color="000000"/>
              <w:right w:val="single" w:sz="4" w:space="0" w:color="DADADA"/>
            </w:tcBorders>
          </w:tcPr>
          <w:p w14:paraId="2562E535" w14:textId="77777777" w:rsidR="00251155" w:rsidRDefault="00251155" w:rsidP="0047706A">
            <w:pPr>
              <w:pStyle w:val="TableParagraph"/>
              <w:spacing w:line="258" w:lineRule="exact"/>
              <w:ind w:right="71"/>
              <w:rPr>
                <w:sz w:val="18"/>
              </w:rPr>
            </w:pPr>
            <w:r>
              <w:rPr>
                <w:sz w:val="18"/>
              </w:rPr>
              <w:t>47:11</w:t>
            </w:r>
          </w:p>
        </w:tc>
        <w:tc>
          <w:tcPr>
            <w:tcW w:w="737" w:type="dxa"/>
            <w:tcBorders>
              <w:top w:val="single" w:sz="4" w:space="0" w:color="000000"/>
              <w:left w:val="single" w:sz="4" w:space="0" w:color="DADADA"/>
              <w:bottom w:val="single" w:sz="4" w:space="0" w:color="000000"/>
              <w:right w:val="nil"/>
            </w:tcBorders>
          </w:tcPr>
          <w:p w14:paraId="5DFFEB4F" w14:textId="77777777" w:rsidR="00251155" w:rsidRDefault="00251155" w:rsidP="0047706A">
            <w:pPr>
              <w:pStyle w:val="TableParagraph"/>
              <w:spacing w:line="258" w:lineRule="exact"/>
              <w:ind w:right="76"/>
              <w:rPr>
                <w:sz w:val="18"/>
              </w:rPr>
            </w:pPr>
            <w:r>
              <w:rPr>
                <w:sz w:val="18"/>
              </w:rPr>
              <w:t>54:42</w:t>
            </w:r>
          </w:p>
        </w:tc>
      </w:tr>
      <w:tr w:rsidR="00251155" w14:paraId="5F48E675" w14:textId="77777777" w:rsidTr="00BF1EBD">
        <w:trPr>
          <w:trHeight w:val="500"/>
        </w:trPr>
        <w:tc>
          <w:tcPr>
            <w:tcW w:w="1332" w:type="dxa"/>
            <w:tcBorders>
              <w:top w:val="single" w:sz="4" w:space="0" w:color="000000"/>
              <w:left w:val="nil"/>
              <w:bottom w:val="single" w:sz="4" w:space="0" w:color="000000"/>
              <w:right w:val="single" w:sz="4" w:space="0" w:color="DADADA"/>
            </w:tcBorders>
          </w:tcPr>
          <w:p w14:paraId="313A8C36" w14:textId="77777777" w:rsidR="00251155" w:rsidRDefault="00251155" w:rsidP="0047706A">
            <w:pPr>
              <w:pStyle w:val="TableParagraph"/>
              <w:spacing w:before="47" w:line="184" w:lineRule="auto"/>
              <w:ind w:left="79" w:right="14"/>
              <w:jc w:val="left"/>
              <w:rPr>
                <w:sz w:val="18"/>
              </w:rPr>
            </w:pPr>
            <w:r>
              <w:rPr>
                <w:w w:val="90"/>
                <w:sz w:val="18"/>
              </w:rPr>
              <w:t xml:space="preserve">Hours of private </w:t>
            </w:r>
            <w:r>
              <w:rPr>
                <w:sz w:val="18"/>
              </w:rPr>
              <w:t>meetings</w:t>
            </w:r>
          </w:p>
        </w:tc>
        <w:tc>
          <w:tcPr>
            <w:tcW w:w="1119" w:type="dxa"/>
            <w:tcBorders>
              <w:top w:val="single" w:sz="4" w:space="0" w:color="000000"/>
              <w:left w:val="single" w:sz="4" w:space="0" w:color="DADADA"/>
              <w:bottom w:val="single" w:sz="4" w:space="0" w:color="000000"/>
              <w:right w:val="single" w:sz="4" w:space="0" w:color="DADADA"/>
            </w:tcBorders>
          </w:tcPr>
          <w:p w14:paraId="2E21BAA7" w14:textId="77777777" w:rsidR="00251155" w:rsidRDefault="00251155" w:rsidP="0047706A">
            <w:pPr>
              <w:pStyle w:val="TableParagraph"/>
              <w:spacing w:line="258" w:lineRule="exact"/>
              <w:ind w:right="71"/>
              <w:rPr>
                <w:sz w:val="18"/>
              </w:rPr>
            </w:pPr>
            <w:r>
              <w:rPr>
                <w:sz w:val="18"/>
              </w:rPr>
              <w:t>9:43</w:t>
            </w:r>
          </w:p>
        </w:tc>
        <w:tc>
          <w:tcPr>
            <w:tcW w:w="1006" w:type="dxa"/>
            <w:tcBorders>
              <w:top w:val="single" w:sz="4" w:space="0" w:color="000000"/>
              <w:left w:val="single" w:sz="4" w:space="0" w:color="DADADA"/>
              <w:bottom w:val="single" w:sz="4" w:space="0" w:color="000000"/>
              <w:right w:val="single" w:sz="4" w:space="0" w:color="DADADA"/>
            </w:tcBorders>
          </w:tcPr>
          <w:p w14:paraId="5F0253A3" w14:textId="77777777" w:rsidR="00251155" w:rsidRDefault="00251155" w:rsidP="0047706A">
            <w:pPr>
              <w:pStyle w:val="TableParagraph"/>
              <w:spacing w:line="258" w:lineRule="exact"/>
              <w:ind w:right="71"/>
              <w:rPr>
                <w:sz w:val="18"/>
              </w:rPr>
            </w:pPr>
            <w:r>
              <w:rPr>
                <w:sz w:val="18"/>
              </w:rPr>
              <w:t>4:47</w:t>
            </w:r>
          </w:p>
        </w:tc>
        <w:tc>
          <w:tcPr>
            <w:tcW w:w="978" w:type="dxa"/>
            <w:tcBorders>
              <w:top w:val="single" w:sz="4" w:space="0" w:color="000000"/>
              <w:left w:val="single" w:sz="4" w:space="0" w:color="DADADA"/>
              <w:bottom w:val="single" w:sz="4" w:space="0" w:color="000000"/>
              <w:right w:val="single" w:sz="4" w:space="0" w:color="DADADA"/>
            </w:tcBorders>
          </w:tcPr>
          <w:p w14:paraId="774F6C2D" w14:textId="77777777" w:rsidR="00251155" w:rsidRDefault="00251155" w:rsidP="0047706A">
            <w:pPr>
              <w:pStyle w:val="TableParagraph"/>
              <w:spacing w:line="258" w:lineRule="exact"/>
              <w:ind w:right="71"/>
              <w:rPr>
                <w:sz w:val="18"/>
              </w:rPr>
            </w:pPr>
            <w:r>
              <w:rPr>
                <w:sz w:val="18"/>
              </w:rPr>
              <w:t>5:29</w:t>
            </w:r>
          </w:p>
        </w:tc>
        <w:tc>
          <w:tcPr>
            <w:tcW w:w="1049" w:type="dxa"/>
            <w:tcBorders>
              <w:top w:val="single" w:sz="4" w:space="0" w:color="000000"/>
              <w:left w:val="single" w:sz="4" w:space="0" w:color="DADADA"/>
              <w:bottom w:val="single" w:sz="4" w:space="0" w:color="000000"/>
              <w:right w:val="single" w:sz="4" w:space="0" w:color="DADADA"/>
            </w:tcBorders>
          </w:tcPr>
          <w:p w14:paraId="3CF603FE" w14:textId="77777777" w:rsidR="00251155" w:rsidRDefault="00251155" w:rsidP="0047706A">
            <w:pPr>
              <w:pStyle w:val="TableParagraph"/>
              <w:spacing w:line="258" w:lineRule="exact"/>
              <w:ind w:right="71"/>
              <w:rPr>
                <w:sz w:val="18"/>
              </w:rPr>
            </w:pPr>
            <w:r>
              <w:rPr>
                <w:sz w:val="18"/>
              </w:rPr>
              <w:t>10:59</w:t>
            </w:r>
          </w:p>
        </w:tc>
        <w:tc>
          <w:tcPr>
            <w:tcW w:w="907" w:type="dxa"/>
            <w:tcBorders>
              <w:top w:val="single" w:sz="4" w:space="0" w:color="000000"/>
              <w:left w:val="single" w:sz="4" w:space="0" w:color="DADADA"/>
              <w:bottom w:val="single" w:sz="4" w:space="0" w:color="000000"/>
              <w:right w:val="single" w:sz="4" w:space="0" w:color="DADADA"/>
            </w:tcBorders>
          </w:tcPr>
          <w:p w14:paraId="4503F4AD" w14:textId="77777777" w:rsidR="00251155" w:rsidRDefault="00251155" w:rsidP="0047706A">
            <w:pPr>
              <w:pStyle w:val="TableParagraph"/>
              <w:spacing w:line="258" w:lineRule="exact"/>
              <w:ind w:right="71"/>
              <w:rPr>
                <w:sz w:val="18"/>
              </w:rPr>
            </w:pPr>
            <w:r>
              <w:rPr>
                <w:sz w:val="18"/>
              </w:rPr>
              <w:t>7:58</w:t>
            </w:r>
          </w:p>
        </w:tc>
        <w:tc>
          <w:tcPr>
            <w:tcW w:w="893" w:type="dxa"/>
            <w:tcBorders>
              <w:top w:val="single" w:sz="4" w:space="0" w:color="000000"/>
              <w:left w:val="single" w:sz="4" w:space="0" w:color="DADADA"/>
              <w:bottom w:val="single" w:sz="4" w:space="0" w:color="000000"/>
              <w:right w:val="single" w:sz="4" w:space="0" w:color="DADADA"/>
            </w:tcBorders>
          </w:tcPr>
          <w:p w14:paraId="43CE5CAD" w14:textId="77777777" w:rsidR="00251155" w:rsidRDefault="00251155" w:rsidP="0047706A">
            <w:pPr>
              <w:pStyle w:val="TableParagraph"/>
              <w:spacing w:line="258" w:lineRule="exact"/>
              <w:ind w:right="71"/>
              <w:rPr>
                <w:sz w:val="18"/>
              </w:rPr>
            </w:pPr>
            <w:r>
              <w:rPr>
                <w:sz w:val="18"/>
              </w:rPr>
              <w:t>9:52</w:t>
            </w:r>
          </w:p>
        </w:tc>
        <w:tc>
          <w:tcPr>
            <w:tcW w:w="850" w:type="dxa"/>
            <w:tcBorders>
              <w:top w:val="single" w:sz="4" w:space="0" w:color="000000"/>
              <w:left w:val="single" w:sz="4" w:space="0" w:color="DADADA"/>
              <w:bottom w:val="single" w:sz="4" w:space="0" w:color="000000"/>
              <w:right w:val="single" w:sz="4" w:space="0" w:color="DADADA"/>
            </w:tcBorders>
          </w:tcPr>
          <w:p w14:paraId="5EC62BCB" w14:textId="77777777" w:rsidR="00251155" w:rsidRDefault="00251155" w:rsidP="0047706A">
            <w:pPr>
              <w:pStyle w:val="TableParagraph"/>
              <w:spacing w:line="258" w:lineRule="exact"/>
              <w:ind w:right="71"/>
              <w:rPr>
                <w:sz w:val="18"/>
              </w:rPr>
            </w:pPr>
            <w:r>
              <w:rPr>
                <w:sz w:val="18"/>
              </w:rPr>
              <w:t>10:48</w:t>
            </w:r>
          </w:p>
        </w:tc>
        <w:tc>
          <w:tcPr>
            <w:tcW w:w="765" w:type="dxa"/>
            <w:tcBorders>
              <w:top w:val="single" w:sz="4" w:space="0" w:color="000000"/>
              <w:left w:val="single" w:sz="4" w:space="0" w:color="DADADA"/>
              <w:bottom w:val="single" w:sz="4" w:space="0" w:color="000000"/>
              <w:right w:val="single" w:sz="4" w:space="0" w:color="DADADA"/>
            </w:tcBorders>
          </w:tcPr>
          <w:p w14:paraId="738AE781" w14:textId="77777777" w:rsidR="00251155" w:rsidRDefault="00251155" w:rsidP="0047706A">
            <w:pPr>
              <w:pStyle w:val="TableParagraph"/>
              <w:spacing w:line="258" w:lineRule="exact"/>
              <w:ind w:right="71"/>
              <w:rPr>
                <w:sz w:val="18"/>
              </w:rPr>
            </w:pPr>
            <w:r>
              <w:rPr>
                <w:sz w:val="18"/>
              </w:rPr>
              <w:t>21:42</w:t>
            </w:r>
          </w:p>
        </w:tc>
        <w:tc>
          <w:tcPr>
            <w:tcW w:w="737" w:type="dxa"/>
            <w:tcBorders>
              <w:top w:val="single" w:sz="4" w:space="0" w:color="000000"/>
              <w:left w:val="single" w:sz="4" w:space="0" w:color="DADADA"/>
              <w:bottom w:val="single" w:sz="4" w:space="0" w:color="000000"/>
              <w:right w:val="nil"/>
            </w:tcBorders>
          </w:tcPr>
          <w:p w14:paraId="32E03B1F" w14:textId="77777777" w:rsidR="00251155" w:rsidRDefault="00251155" w:rsidP="0047706A">
            <w:pPr>
              <w:pStyle w:val="TableParagraph"/>
              <w:spacing w:line="258" w:lineRule="exact"/>
              <w:ind w:right="76"/>
              <w:rPr>
                <w:sz w:val="18"/>
              </w:rPr>
            </w:pPr>
            <w:r>
              <w:rPr>
                <w:sz w:val="18"/>
              </w:rPr>
              <w:t>15:13</w:t>
            </w:r>
          </w:p>
        </w:tc>
      </w:tr>
      <w:tr w:rsidR="00251155" w14:paraId="77E20EA2" w14:textId="77777777" w:rsidTr="00BF1EBD">
        <w:trPr>
          <w:trHeight w:val="528"/>
        </w:trPr>
        <w:tc>
          <w:tcPr>
            <w:tcW w:w="1332" w:type="dxa"/>
            <w:tcBorders>
              <w:top w:val="single" w:sz="4" w:space="0" w:color="000000"/>
              <w:left w:val="nil"/>
              <w:bottom w:val="single" w:sz="4" w:space="0" w:color="000000"/>
              <w:right w:val="single" w:sz="4" w:space="0" w:color="DADADA"/>
            </w:tcBorders>
          </w:tcPr>
          <w:p w14:paraId="0ABDFA50" w14:textId="77777777" w:rsidR="00251155" w:rsidRDefault="00251155" w:rsidP="0047706A">
            <w:pPr>
              <w:pStyle w:val="TableParagraph"/>
              <w:spacing w:before="47" w:line="184" w:lineRule="auto"/>
              <w:ind w:left="79" w:right="230"/>
              <w:jc w:val="left"/>
              <w:rPr>
                <w:sz w:val="18"/>
              </w:rPr>
            </w:pPr>
            <w:r>
              <w:rPr>
                <w:w w:val="90"/>
                <w:sz w:val="18"/>
              </w:rPr>
              <w:t xml:space="preserve">Hours of public </w:t>
            </w:r>
            <w:r>
              <w:rPr>
                <w:sz w:val="18"/>
              </w:rPr>
              <w:t>hearings</w:t>
            </w:r>
          </w:p>
        </w:tc>
        <w:tc>
          <w:tcPr>
            <w:tcW w:w="1119" w:type="dxa"/>
            <w:tcBorders>
              <w:top w:val="single" w:sz="4" w:space="0" w:color="000000"/>
              <w:left w:val="single" w:sz="4" w:space="0" w:color="DADADA"/>
              <w:bottom w:val="single" w:sz="4" w:space="0" w:color="000000"/>
              <w:right w:val="single" w:sz="4" w:space="0" w:color="DADADA"/>
            </w:tcBorders>
          </w:tcPr>
          <w:p w14:paraId="35388071"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53A43D6D" w14:textId="77777777" w:rsidR="00251155" w:rsidRDefault="00251155" w:rsidP="0047706A">
            <w:pPr>
              <w:pStyle w:val="TableParagraph"/>
              <w:spacing w:line="258" w:lineRule="exact"/>
              <w:ind w:right="71"/>
              <w:rPr>
                <w:sz w:val="18"/>
              </w:rPr>
            </w:pPr>
            <w:r>
              <w:rPr>
                <w:sz w:val="18"/>
              </w:rPr>
              <w:t>14:59</w:t>
            </w:r>
          </w:p>
        </w:tc>
        <w:tc>
          <w:tcPr>
            <w:tcW w:w="978" w:type="dxa"/>
            <w:tcBorders>
              <w:top w:val="single" w:sz="4" w:space="0" w:color="000000"/>
              <w:left w:val="single" w:sz="4" w:space="0" w:color="DADADA"/>
              <w:bottom w:val="single" w:sz="4" w:space="0" w:color="000000"/>
              <w:right w:val="single" w:sz="4" w:space="0" w:color="DADADA"/>
            </w:tcBorders>
          </w:tcPr>
          <w:p w14:paraId="5ED55849" w14:textId="77777777" w:rsidR="00251155" w:rsidRDefault="00251155" w:rsidP="0047706A">
            <w:pPr>
              <w:pStyle w:val="TableParagraph"/>
              <w:spacing w:line="258" w:lineRule="exact"/>
              <w:ind w:right="71"/>
              <w:rPr>
                <w:sz w:val="18"/>
              </w:rPr>
            </w:pPr>
            <w:r>
              <w:rPr>
                <w:sz w:val="18"/>
              </w:rPr>
              <w:t>23:17</w:t>
            </w:r>
          </w:p>
        </w:tc>
        <w:tc>
          <w:tcPr>
            <w:tcW w:w="1049" w:type="dxa"/>
            <w:tcBorders>
              <w:top w:val="single" w:sz="4" w:space="0" w:color="000000"/>
              <w:left w:val="single" w:sz="4" w:space="0" w:color="DADADA"/>
              <w:bottom w:val="single" w:sz="4" w:space="0" w:color="000000"/>
              <w:right w:val="single" w:sz="4" w:space="0" w:color="DADADA"/>
            </w:tcBorders>
          </w:tcPr>
          <w:p w14:paraId="39A8D29E" w14:textId="77777777" w:rsidR="00251155" w:rsidRDefault="00251155" w:rsidP="0047706A">
            <w:pPr>
              <w:pStyle w:val="TableParagraph"/>
              <w:spacing w:line="258" w:lineRule="exact"/>
              <w:ind w:right="71"/>
              <w:rPr>
                <w:sz w:val="18"/>
              </w:rPr>
            </w:pPr>
            <w:r>
              <w:rPr>
                <w:sz w:val="18"/>
              </w:rPr>
              <w:t>17:14</w:t>
            </w:r>
          </w:p>
        </w:tc>
        <w:tc>
          <w:tcPr>
            <w:tcW w:w="907" w:type="dxa"/>
            <w:tcBorders>
              <w:top w:val="single" w:sz="4" w:space="0" w:color="000000"/>
              <w:left w:val="single" w:sz="4" w:space="0" w:color="DADADA"/>
              <w:bottom w:val="single" w:sz="4" w:space="0" w:color="000000"/>
              <w:right w:val="single" w:sz="4" w:space="0" w:color="DADADA"/>
            </w:tcBorders>
          </w:tcPr>
          <w:p w14:paraId="1CA4D908" w14:textId="77777777" w:rsidR="00251155" w:rsidRDefault="00251155" w:rsidP="0047706A">
            <w:pPr>
              <w:pStyle w:val="TableParagraph"/>
              <w:spacing w:line="258" w:lineRule="exact"/>
              <w:ind w:right="71"/>
              <w:rPr>
                <w:sz w:val="18"/>
              </w:rPr>
            </w:pPr>
            <w:r>
              <w:rPr>
                <w:sz w:val="18"/>
              </w:rPr>
              <w:t>29:47</w:t>
            </w:r>
          </w:p>
        </w:tc>
        <w:tc>
          <w:tcPr>
            <w:tcW w:w="893" w:type="dxa"/>
            <w:tcBorders>
              <w:top w:val="single" w:sz="4" w:space="0" w:color="000000"/>
              <w:left w:val="single" w:sz="4" w:space="0" w:color="DADADA"/>
              <w:bottom w:val="single" w:sz="4" w:space="0" w:color="000000"/>
              <w:right w:val="single" w:sz="4" w:space="0" w:color="DADADA"/>
            </w:tcBorders>
          </w:tcPr>
          <w:p w14:paraId="7B26D561" w14:textId="77777777" w:rsidR="00251155" w:rsidRDefault="00251155" w:rsidP="0047706A">
            <w:pPr>
              <w:pStyle w:val="TableParagraph"/>
              <w:spacing w:line="258" w:lineRule="exact"/>
              <w:ind w:right="71"/>
              <w:rPr>
                <w:sz w:val="18"/>
              </w:rPr>
            </w:pPr>
            <w:r>
              <w:rPr>
                <w:sz w:val="18"/>
              </w:rPr>
              <w:t>30:33</w:t>
            </w:r>
          </w:p>
        </w:tc>
        <w:tc>
          <w:tcPr>
            <w:tcW w:w="850" w:type="dxa"/>
            <w:tcBorders>
              <w:top w:val="single" w:sz="4" w:space="0" w:color="000000"/>
              <w:left w:val="single" w:sz="4" w:space="0" w:color="DADADA"/>
              <w:bottom w:val="single" w:sz="4" w:space="0" w:color="000000"/>
              <w:right w:val="single" w:sz="4" w:space="0" w:color="DADADA"/>
            </w:tcBorders>
          </w:tcPr>
          <w:p w14:paraId="1BD4E366"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51248EF4" w14:textId="77777777" w:rsidR="00251155" w:rsidRDefault="00251155" w:rsidP="0047706A">
            <w:pPr>
              <w:pStyle w:val="TableParagraph"/>
              <w:spacing w:line="258" w:lineRule="exact"/>
              <w:ind w:right="71"/>
              <w:rPr>
                <w:sz w:val="18"/>
              </w:rPr>
            </w:pPr>
            <w:r>
              <w:rPr>
                <w:sz w:val="18"/>
              </w:rPr>
              <w:t>25:29</w:t>
            </w:r>
          </w:p>
        </w:tc>
        <w:tc>
          <w:tcPr>
            <w:tcW w:w="737" w:type="dxa"/>
            <w:tcBorders>
              <w:top w:val="single" w:sz="4" w:space="0" w:color="000000"/>
              <w:left w:val="single" w:sz="4" w:space="0" w:color="DADADA"/>
              <w:bottom w:val="single" w:sz="4" w:space="0" w:color="000000"/>
              <w:right w:val="nil"/>
            </w:tcBorders>
          </w:tcPr>
          <w:p w14:paraId="028D0AC0" w14:textId="77777777" w:rsidR="00251155" w:rsidRDefault="00251155" w:rsidP="0047706A">
            <w:pPr>
              <w:pStyle w:val="TableParagraph"/>
              <w:spacing w:line="258" w:lineRule="exact"/>
              <w:ind w:right="76"/>
              <w:rPr>
                <w:sz w:val="18"/>
              </w:rPr>
            </w:pPr>
            <w:r>
              <w:rPr>
                <w:sz w:val="18"/>
              </w:rPr>
              <w:t>37:38</w:t>
            </w:r>
          </w:p>
        </w:tc>
      </w:tr>
      <w:tr w:rsidR="00251155" w14:paraId="36D915DC" w14:textId="77777777" w:rsidTr="00BF1EBD">
        <w:trPr>
          <w:trHeight w:val="500"/>
        </w:trPr>
        <w:tc>
          <w:tcPr>
            <w:tcW w:w="1332" w:type="dxa"/>
            <w:tcBorders>
              <w:top w:val="single" w:sz="4" w:space="0" w:color="000000"/>
              <w:left w:val="nil"/>
              <w:bottom w:val="single" w:sz="4" w:space="0" w:color="000000"/>
              <w:right w:val="single" w:sz="4" w:space="0" w:color="DADADA"/>
            </w:tcBorders>
          </w:tcPr>
          <w:p w14:paraId="36586779" w14:textId="77777777" w:rsidR="00251155" w:rsidRDefault="00251155" w:rsidP="0047706A">
            <w:pPr>
              <w:pStyle w:val="TableParagraph"/>
              <w:spacing w:before="47" w:line="184" w:lineRule="auto"/>
              <w:ind w:left="79" w:right="14"/>
              <w:jc w:val="left"/>
              <w:rPr>
                <w:sz w:val="18"/>
              </w:rPr>
            </w:pPr>
            <w:r>
              <w:rPr>
                <w:sz w:val="18"/>
              </w:rPr>
              <w:t xml:space="preserve">Hours of site </w:t>
            </w:r>
            <w:r>
              <w:rPr>
                <w:w w:val="90"/>
                <w:sz w:val="18"/>
              </w:rPr>
              <w:t>visits/study tours</w:t>
            </w:r>
          </w:p>
        </w:tc>
        <w:tc>
          <w:tcPr>
            <w:tcW w:w="1119" w:type="dxa"/>
            <w:tcBorders>
              <w:top w:val="single" w:sz="4" w:space="0" w:color="000000"/>
              <w:left w:val="single" w:sz="4" w:space="0" w:color="DADADA"/>
              <w:bottom w:val="single" w:sz="4" w:space="0" w:color="000000"/>
              <w:right w:val="single" w:sz="4" w:space="0" w:color="DADADA"/>
            </w:tcBorders>
          </w:tcPr>
          <w:p w14:paraId="788658DB"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550BC9D6" w14:textId="77777777" w:rsidR="00251155" w:rsidRDefault="00251155" w:rsidP="0047706A">
            <w:pPr>
              <w:pStyle w:val="TableParagraph"/>
              <w:spacing w:line="258" w:lineRule="exact"/>
              <w:ind w:right="71"/>
              <w:rPr>
                <w:sz w:val="18"/>
              </w:rPr>
            </w:pPr>
            <w:r>
              <w:rPr>
                <w:sz w:val="18"/>
              </w:rPr>
              <w:t>0</w:t>
            </w:r>
          </w:p>
        </w:tc>
        <w:tc>
          <w:tcPr>
            <w:tcW w:w="978" w:type="dxa"/>
            <w:tcBorders>
              <w:top w:val="single" w:sz="4" w:space="0" w:color="000000"/>
              <w:left w:val="single" w:sz="4" w:space="0" w:color="DADADA"/>
              <w:bottom w:val="single" w:sz="4" w:space="0" w:color="000000"/>
              <w:right w:val="single" w:sz="4" w:space="0" w:color="DADADA"/>
            </w:tcBorders>
          </w:tcPr>
          <w:p w14:paraId="404AEF62" w14:textId="77777777" w:rsidR="00251155" w:rsidRDefault="00251155" w:rsidP="0047706A">
            <w:pPr>
              <w:pStyle w:val="TableParagraph"/>
              <w:spacing w:line="258" w:lineRule="exact"/>
              <w:ind w:right="71"/>
              <w:rPr>
                <w:sz w:val="18"/>
              </w:rPr>
            </w:pPr>
            <w:r>
              <w:rPr>
                <w:sz w:val="18"/>
              </w:rPr>
              <w:t>0</w:t>
            </w:r>
          </w:p>
        </w:tc>
        <w:tc>
          <w:tcPr>
            <w:tcW w:w="1049" w:type="dxa"/>
            <w:tcBorders>
              <w:top w:val="single" w:sz="4" w:space="0" w:color="000000"/>
              <w:left w:val="single" w:sz="4" w:space="0" w:color="DADADA"/>
              <w:bottom w:val="single" w:sz="4" w:space="0" w:color="000000"/>
              <w:right w:val="single" w:sz="4" w:space="0" w:color="DADADA"/>
            </w:tcBorders>
          </w:tcPr>
          <w:p w14:paraId="15CE57DF" w14:textId="77777777" w:rsidR="00251155" w:rsidRDefault="00251155" w:rsidP="0047706A">
            <w:pPr>
              <w:pStyle w:val="TableParagraph"/>
              <w:spacing w:line="258" w:lineRule="exact"/>
              <w:ind w:right="71"/>
              <w:rPr>
                <w:sz w:val="18"/>
              </w:rPr>
            </w:pPr>
            <w:r>
              <w:rPr>
                <w:sz w:val="18"/>
              </w:rPr>
              <w:t>2:10</w:t>
            </w:r>
          </w:p>
        </w:tc>
        <w:tc>
          <w:tcPr>
            <w:tcW w:w="907" w:type="dxa"/>
            <w:tcBorders>
              <w:top w:val="single" w:sz="4" w:space="0" w:color="000000"/>
              <w:left w:val="single" w:sz="4" w:space="0" w:color="DADADA"/>
              <w:bottom w:val="single" w:sz="4" w:space="0" w:color="000000"/>
              <w:right w:val="single" w:sz="4" w:space="0" w:color="DADADA"/>
            </w:tcBorders>
          </w:tcPr>
          <w:p w14:paraId="280DD49D" w14:textId="77777777" w:rsidR="00251155" w:rsidRDefault="00251155" w:rsidP="0047706A">
            <w:pPr>
              <w:pStyle w:val="TableParagraph"/>
              <w:spacing w:line="258" w:lineRule="exact"/>
              <w:ind w:right="71"/>
              <w:rPr>
                <w:sz w:val="18"/>
              </w:rPr>
            </w:pPr>
            <w:r>
              <w:rPr>
                <w:sz w:val="18"/>
              </w:rPr>
              <w:t>0</w:t>
            </w:r>
          </w:p>
        </w:tc>
        <w:tc>
          <w:tcPr>
            <w:tcW w:w="893" w:type="dxa"/>
            <w:tcBorders>
              <w:top w:val="single" w:sz="4" w:space="0" w:color="000000"/>
              <w:left w:val="single" w:sz="4" w:space="0" w:color="DADADA"/>
              <w:bottom w:val="single" w:sz="4" w:space="0" w:color="000000"/>
              <w:right w:val="single" w:sz="4" w:space="0" w:color="DADADA"/>
            </w:tcBorders>
          </w:tcPr>
          <w:p w14:paraId="35A25344" w14:textId="77777777" w:rsidR="00251155" w:rsidRDefault="00251155" w:rsidP="0047706A">
            <w:pPr>
              <w:pStyle w:val="TableParagraph"/>
              <w:spacing w:line="258" w:lineRule="exact"/>
              <w:ind w:right="71"/>
              <w:rPr>
                <w:sz w:val="18"/>
              </w:rPr>
            </w:pPr>
            <w:r>
              <w:rPr>
                <w:sz w:val="18"/>
              </w:rPr>
              <w:t>4:52</w:t>
            </w:r>
          </w:p>
        </w:tc>
        <w:tc>
          <w:tcPr>
            <w:tcW w:w="850" w:type="dxa"/>
            <w:tcBorders>
              <w:top w:val="single" w:sz="4" w:space="0" w:color="000000"/>
              <w:left w:val="single" w:sz="4" w:space="0" w:color="DADADA"/>
              <w:bottom w:val="single" w:sz="4" w:space="0" w:color="000000"/>
              <w:right w:val="single" w:sz="4" w:space="0" w:color="DADADA"/>
            </w:tcBorders>
          </w:tcPr>
          <w:p w14:paraId="2F613571"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3F4BEC71" w14:textId="77777777" w:rsidR="00251155" w:rsidRDefault="00251155" w:rsidP="0047706A">
            <w:pPr>
              <w:pStyle w:val="TableParagraph"/>
              <w:spacing w:line="258" w:lineRule="exact"/>
              <w:ind w:right="71"/>
              <w:rPr>
                <w:sz w:val="18"/>
              </w:rPr>
            </w:pPr>
            <w:r>
              <w:rPr>
                <w:sz w:val="18"/>
              </w:rPr>
              <w:t>0</w:t>
            </w:r>
          </w:p>
        </w:tc>
        <w:tc>
          <w:tcPr>
            <w:tcW w:w="737" w:type="dxa"/>
            <w:tcBorders>
              <w:top w:val="single" w:sz="4" w:space="0" w:color="000000"/>
              <w:left w:val="single" w:sz="4" w:space="0" w:color="DADADA"/>
              <w:bottom w:val="single" w:sz="4" w:space="0" w:color="000000"/>
              <w:right w:val="nil"/>
            </w:tcBorders>
          </w:tcPr>
          <w:p w14:paraId="5EBA9453" w14:textId="77777777" w:rsidR="00251155" w:rsidRDefault="00251155" w:rsidP="0047706A">
            <w:pPr>
              <w:pStyle w:val="TableParagraph"/>
              <w:spacing w:line="258" w:lineRule="exact"/>
              <w:ind w:right="76"/>
              <w:rPr>
                <w:sz w:val="18"/>
              </w:rPr>
            </w:pPr>
            <w:r>
              <w:rPr>
                <w:sz w:val="18"/>
              </w:rPr>
              <w:t>0</w:t>
            </w:r>
          </w:p>
        </w:tc>
      </w:tr>
      <w:tr w:rsidR="00251155" w14:paraId="7062B3BB" w14:textId="77777777" w:rsidTr="00BF1EBD">
        <w:trPr>
          <w:trHeight w:val="514"/>
        </w:trPr>
        <w:tc>
          <w:tcPr>
            <w:tcW w:w="1332" w:type="dxa"/>
            <w:tcBorders>
              <w:top w:val="single" w:sz="4" w:space="0" w:color="000000"/>
              <w:left w:val="nil"/>
              <w:bottom w:val="single" w:sz="4" w:space="0" w:color="000000"/>
              <w:right w:val="single" w:sz="4" w:space="0" w:color="DADADA"/>
            </w:tcBorders>
          </w:tcPr>
          <w:p w14:paraId="41286D5E" w14:textId="77777777" w:rsidR="00251155" w:rsidRDefault="00251155" w:rsidP="0047706A">
            <w:pPr>
              <w:pStyle w:val="TableParagraph"/>
              <w:spacing w:before="47" w:line="184" w:lineRule="auto"/>
              <w:ind w:left="79" w:right="68"/>
              <w:jc w:val="left"/>
              <w:rPr>
                <w:sz w:val="18"/>
              </w:rPr>
            </w:pPr>
            <w:r>
              <w:rPr>
                <w:sz w:val="18"/>
              </w:rPr>
              <w:t xml:space="preserve">Hours of other </w:t>
            </w:r>
            <w:r>
              <w:rPr>
                <w:w w:val="90"/>
                <w:sz w:val="18"/>
              </w:rPr>
              <w:t>kinds of meetings</w:t>
            </w:r>
          </w:p>
        </w:tc>
        <w:tc>
          <w:tcPr>
            <w:tcW w:w="1119" w:type="dxa"/>
            <w:tcBorders>
              <w:top w:val="single" w:sz="4" w:space="0" w:color="000000"/>
              <w:left w:val="single" w:sz="4" w:space="0" w:color="DADADA"/>
              <w:bottom w:val="single" w:sz="4" w:space="0" w:color="000000"/>
              <w:right w:val="single" w:sz="4" w:space="0" w:color="DADADA"/>
            </w:tcBorders>
          </w:tcPr>
          <w:p w14:paraId="46F87DD3"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45FFD6DA" w14:textId="77777777" w:rsidR="00251155" w:rsidRDefault="00251155" w:rsidP="0047706A">
            <w:pPr>
              <w:pStyle w:val="TableParagraph"/>
              <w:spacing w:line="258" w:lineRule="exact"/>
              <w:ind w:right="71"/>
              <w:rPr>
                <w:sz w:val="18"/>
              </w:rPr>
            </w:pPr>
            <w:r>
              <w:rPr>
                <w:sz w:val="18"/>
              </w:rPr>
              <w:t>0</w:t>
            </w:r>
          </w:p>
        </w:tc>
        <w:tc>
          <w:tcPr>
            <w:tcW w:w="978" w:type="dxa"/>
            <w:tcBorders>
              <w:top w:val="single" w:sz="4" w:space="0" w:color="000000"/>
              <w:left w:val="single" w:sz="4" w:space="0" w:color="DADADA"/>
              <w:bottom w:val="single" w:sz="4" w:space="0" w:color="000000"/>
              <w:right w:val="single" w:sz="4" w:space="0" w:color="DADADA"/>
            </w:tcBorders>
          </w:tcPr>
          <w:p w14:paraId="02E242D0" w14:textId="77777777" w:rsidR="00251155" w:rsidRDefault="00251155" w:rsidP="0047706A">
            <w:pPr>
              <w:pStyle w:val="TableParagraph"/>
              <w:spacing w:line="258" w:lineRule="exact"/>
              <w:ind w:right="71"/>
              <w:rPr>
                <w:sz w:val="18"/>
              </w:rPr>
            </w:pPr>
            <w:r>
              <w:rPr>
                <w:sz w:val="18"/>
              </w:rPr>
              <w:t>0</w:t>
            </w:r>
          </w:p>
        </w:tc>
        <w:tc>
          <w:tcPr>
            <w:tcW w:w="1049" w:type="dxa"/>
            <w:tcBorders>
              <w:top w:val="single" w:sz="4" w:space="0" w:color="000000"/>
              <w:left w:val="single" w:sz="4" w:space="0" w:color="DADADA"/>
              <w:bottom w:val="single" w:sz="4" w:space="0" w:color="000000"/>
              <w:right w:val="single" w:sz="4" w:space="0" w:color="DADADA"/>
            </w:tcBorders>
          </w:tcPr>
          <w:p w14:paraId="3D29E254" w14:textId="77777777" w:rsidR="00251155" w:rsidRDefault="00251155" w:rsidP="0047706A">
            <w:pPr>
              <w:pStyle w:val="TableParagraph"/>
              <w:spacing w:line="258" w:lineRule="exact"/>
              <w:ind w:right="71"/>
              <w:rPr>
                <w:sz w:val="18"/>
              </w:rPr>
            </w:pPr>
            <w:r>
              <w:rPr>
                <w:sz w:val="18"/>
              </w:rPr>
              <w:t>0</w:t>
            </w:r>
          </w:p>
        </w:tc>
        <w:tc>
          <w:tcPr>
            <w:tcW w:w="907" w:type="dxa"/>
            <w:tcBorders>
              <w:top w:val="single" w:sz="4" w:space="0" w:color="000000"/>
              <w:left w:val="single" w:sz="4" w:space="0" w:color="DADADA"/>
              <w:bottom w:val="single" w:sz="4" w:space="0" w:color="000000"/>
              <w:right w:val="single" w:sz="4" w:space="0" w:color="DADADA"/>
            </w:tcBorders>
          </w:tcPr>
          <w:p w14:paraId="0ADC9646" w14:textId="77777777" w:rsidR="00251155" w:rsidRDefault="00251155" w:rsidP="0047706A">
            <w:pPr>
              <w:pStyle w:val="TableParagraph"/>
              <w:spacing w:line="258" w:lineRule="exact"/>
              <w:ind w:right="71"/>
              <w:rPr>
                <w:sz w:val="18"/>
              </w:rPr>
            </w:pPr>
            <w:r>
              <w:rPr>
                <w:sz w:val="18"/>
              </w:rPr>
              <w:t>0</w:t>
            </w:r>
          </w:p>
        </w:tc>
        <w:tc>
          <w:tcPr>
            <w:tcW w:w="893" w:type="dxa"/>
            <w:tcBorders>
              <w:top w:val="single" w:sz="4" w:space="0" w:color="000000"/>
              <w:left w:val="single" w:sz="4" w:space="0" w:color="DADADA"/>
              <w:bottom w:val="single" w:sz="4" w:space="0" w:color="000000"/>
              <w:right w:val="single" w:sz="4" w:space="0" w:color="DADADA"/>
            </w:tcBorders>
          </w:tcPr>
          <w:p w14:paraId="4B7DB92C" w14:textId="77777777" w:rsidR="00251155" w:rsidRDefault="00251155" w:rsidP="0047706A">
            <w:pPr>
              <w:pStyle w:val="TableParagraph"/>
              <w:spacing w:line="258" w:lineRule="exact"/>
              <w:ind w:right="71"/>
              <w:rPr>
                <w:sz w:val="18"/>
              </w:rPr>
            </w:pPr>
            <w:r>
              <w:rPr>
                <w:sz w:val="18"/>
              </w:rPr>
              <w:t>0</w:t>
            </w:r>
          </w:p>
        </w:tc>
        <w:tc>
          <w:tcPr>
            <w:tcW w:w="850" w:type="dxa"/>
            <w:tcBorders>
              <w:top w:val="single" w:sz="4" w:space="0" w:color="000000"/>
              <w:left w:val="single" w:sz="4" w:space="0" w:color="DADADA"/>
              <w:bottom w:val="single" w:sz="4" w:space="0" w:color="000000"/>
              <w:right w:val="single" w:sz="4" w:space="0" w:color="DADADA"/>
            </w:tcBorders>
          </w:tcPr>
          <w:p w14:paraId="31359A3D"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706AD40C" w14:textId="77777777" w:rsidR="00251155" w:rsidRDefault="00251155" w:rsidP="0047706A">
            <w:pPr>
              <w:pStyle w:val="TableParagraph"/>
              <w:spacing w:line="258" w:lineRule="exact"/>
              <w:ind w:right="71"/>
              <w:rPr>
                <w:sz w:val="18"/>
              </w:rPr>
            </w:pPr>
            <w:r>
              <w:rPr>
                <w:sz w:val="18"/>
              </w:rPr>
              <w:t>0</w:t>
            </w:r>
          </w:p>
        </w:tc>
        <w:tc>
          <w:tcPr>
            <w:tcW w:w="737" w:type="dxa"/>
            <w:tcBorders>
              <w:top w:val="single" w:sz="4" w:space="0" w:color="000000"/>
              <w:left w:val="single" w:sz="4" w:space="0" w:color="DADADA"/>
              <w:bottom w:val="single" w:sz="4" w:space="0" w:color="000000"/>
              <w:right w:val="nil"/>
            </w:tcBorders>
          </w:tcPr>
          <w:p w14:paraId="4D55D1E9" w14:textId="77777777" w:rsidR="00251155" w:rsidRDefault="00251155" w:rsidP="0047706A">
            <w:pPr>
              <w:pStyle w:val="TableParagraph"/>
              <w:spacing w:line="258" w:lineRule="exact"/>
              <w:ind w:right="76"/>
              <w:rPr>
                <w:sz w:val="18"/>
              </w:rPr>
            </w:pPr>
            <w:r>
              <w:rPr>
                <w:sz w:val="18"/>
              </w:rPr>
              <w:t>1:51</w:t>
            </w:r>
          </w:p>
        </w:tc>
      </w:tr>
      <w:tr w:rsidR="00251155" w14:paraId="7B3280CF" w14:textId="77777777" w:rsidTr="00BF1EBD">
        <w:trPr>
          <w:trHeight w:val="485"/>
        </w:trPr>
        <w:tc>
          <w:tcPr>
            <w:tcW w:w="1332" w:type="dxa"/>
            <w:tcBorders>
              <w:top w:val="single" w:sz="4" w:space="0" w:color="000000"/>
              <w:left w:val="nil"/>
              <w:bottom w:val="single" w:sz="4" w:space="0" w:color="000000"/>
              <w:right w:val="single" w:sz="4" w:space="0" w:color="DADADA"/>
            </w:tcBorders>
          </w:tcPr>
          <w:p w14:paraId="1595EFD8" w14:textId="77777777" w:rsidR="00251155" w:rsidRDefault="00251155" w:rsidP="0047706A">
            <w:pPr>
              <w:pStyle w:val="TableParagraph"/>
              <w:spacing w:before="47" w:line="184" w:lineRule="auto"/>
              <w:ind w:left="79" w:right="515"/>
              <w:jc w:val="left"/>
              <w:rPr>
                <w:sz w:val="18"/>
              </w:rPr>
            </w:pPr>
            <w:r>
              <w:rPr>
                <w:w w:val="90"/>
                <w:sz w:val="18"/>
              </w:rPr>
              <w:t xml:space="preserve">Number of </w:t>
            </w:r>
            <w:r>
              <w:rPr>
                <w:w w:val="95"/>
                <w:sz w:val="18"/>
              </w:rPr>
              <w:t>witnesses</w:t>
            </w:r>
          </w:p>
        </w:tc>
        <w:tc>
          <w:tcPr>
            <w:tcW w:w="1119" w:type="dxa"/>
            <w:tcBorders>
              <w:top w:val="single" w:sz="4" w:space="0" w:color="000000"/>
              <w:left w:val="single" w:sz="4" w:space="0" w:color="DADADA"/>
              <w:bottom w:val="single" w:sz="4" w:space="0" w:color="000000"/>
              <w:right w:val="single" w:sz="4" w:space="0" w:color="DADADA"/>
            </w:tcBorders>
          </w:tcPr>
          <w:p w14:paraId="341EDBF4"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1EE8F91B" w14:textId="77777777" w:rsidR="00251155" w:rsidRDefault="00251155" w:rsidP="0047706A">
            <w:pPr>
              <w:pStyle w:val="TableParagraph"/>
              <w:spacing w:line="258" w:lineRule="exact"/>
              <w:ind w:right="71"/>
              <w:rPr>
                <w:sz w:val="18"/>
              </w:rPr>
            </w:pPr>
            <w:r>
              <w:rPr>
                <w:sz w:val="18"/>
              </w:rPr>
              <w:t>34</w:t>
            </w:r>
          </w:p>
        </w:tc>
        <w:tc>
          <w:tcPr>
            <w:tcW w:w="978" w:type="dxa"/>
            <w:tcBorders>
              <w:top w:val="single" w:sz="4" w:space="0" w:color="000000"/>
              <w:left w:val="single" w:sz="4" w:space="0" w:color="DADADA"/>
              <w:bottom w:val="single" w:sz="4" w:space="0" w:color="000000"/>
              <w:right w:val="single" w:sz="4" w:space="0" w:color="DADADA"/>
            </w:tcBorders>
          </w:tcPr>
          <w:p w14:paraId="6AA95600" w14:textId="77777777" w:rsidR="00251155" w:rsidRDefault="00251155" w:rsidP="0047706A">
            <w:pPr>
              <w:pStyle w:val="TableParagraph"/>
              <w:spacing w:line="258" w:lineRule="exact"/>
              <w:ind w:right="71"/>
              <w:rPr>
                <w:sz w:val="18"/>
              </w:rPr>
            </w:pPr>
            <w:r>
              <w:rPr>
                <w:sz w:val="18"/>
              </w:rPr>
              <w:t>74</w:t>
            </w:r>
          </w:p>
        </w:tc>
        <w:tc>
          <w:tcPr>
            <w:tcW w:w="1049" w:type="dxa"/>
            <w:tcBorders>
              <w:top w:val="single" w:sz="4" w:space="0" w:color="000000"/>
              <w:left w:val="single" w:sz="4" w:space="0" w:color="DADADA"/>
              <w:bottom w:val="single" w:sz="4" w:space="0" w:color="000000"/>
              <w:right w:val="single" w:sz="4" w:space="0" w:color="DADADA"/>
            </w:tcBorders>
          </w:tcPr>
          <w:p w14:paraId="7D552BFE" w14:textId="77777777" w:rsidR="00251155" w:rsidRDefault="00251155" w:rsidP="0047706A">
            <w:pPr>
              <w:pStyle w:val="TableParagraph"/>
              <w:spacing w:line="258" w:lineRule="exact"/>
              <w:ind w:right="71"/>
              <w:rPr>
                <w:sz w:val="18"/>
              </w:rPr>
            </w:pPr>
            <w:r>
              <w:rPr>
                <w:sz w:val="18"/>
              </w:rPr>
              <w:t>44</w:t>
            </w:r>
          </w:p>
        </w:tc>
        <w:tc>
          <w:tcPr>
            <w:tcW w:w="907" w:type="dxa"/>
            <w:tcBorders>
              <w:top w:val="single" w:sz="4" w:space="0" w:color="000000"/>
              <w:left w:val="single" w:sz="4" w:space="0" w:color="DADADA"/>
              <w:bottom w:val="single" w:sz="4" w:space="0" w:color="000000"/>
              <w:right w:val="single" w:sz="4" w:space="0" w:color="DADADA"/>
            </w:tcBorders>
          </w:tcPr>
          <w:p w14:paraId="4785A1FD" w14:textId="77777777" w:rsidR="00251155" w:rsidRDefault="00251155" w:rsidP="0047706A">
            <w:pPr>
              <w:pStyle w:val="TableParagraph"/>
              <w:spacing w:line="258" w:lineRule="exact"/>
              <w:ind w:right="71"/>
              <w:rPr>
                <w:sz w:val="18"/>
              </w:rPr>
            </w:pPr>
            <w:r>
              <w:rPr>
                <w:sz w:val="18"/>
              </w:rPr>
              <w:t>82</w:t>
            </w:r>
          </w:p>
        </w:tc>
        <w:tc>
          <w:tcPr>
            <w:tcW w:w="893" w:type="dxa"/>
            <w:tcBorders>
              <w:top w:val="single" w:sz="4" w:space="0" w:color="000000"/>
              <w:left w:val="single" w:sz="4" w:space="0" w:color="DADADA"/>
              <w:bottom w:val="single" w:sz="4" w:space="0" w:color="000000"/>
              <w:right w:val="single" w:sz="4" w:space="0" w:color="DADADA"/>
            </w:tcBorders>
          </w:tcPr>
          <w:p w14:paraId="6CA44458" w14:textId="77777777" w:rsidR="00251155" w:rsidRDefault="00251155" w:rsidP="0047706A">
            <w:pPr>
              <w:pStyle w:val="TableParagraph"/>
              <w:spacing w:line="258" w:lineRule="exact"/>
              <w:ind w:right="71"/>
              <w:rPr>
                <w:sz w:val="18"/>
              </w:rPr>
            </w:pPr>
            <w:r>
              <w:rPr>
                <w:sz w:val="18"/>
              </w:rPr>
              <w:t>80</w:t>
            </w:r>
          </w:p>
        </w:tc>
        <w:tc>
          <w:tcPr>
            <w:tcW w:w="850" w:type="dxa"/>
            <w:tcBorders>
              <w:top w:val="single" w:sz="4" w:space="0" w:color="000000"/>
              <w:left w:val="single" w:sz="4" w:space="0" w:color="DADADA"/>
              <w:bottom w:val="single" w:sz="4" w:space="0" w:color="000000"/>
              <w:right w:val="single" w:sz="4" w:space="0" w:color="DADADA"/>
            </w:tcBorders>
          </w:tcPr>
          <w:p w14:paraId="74DED136"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230CFE87" w14:textId="77777777" w:rsidR="00251155" w:rsidRDefault="00251155" w:rsidP="0047706A">
            <w:pPr>
              <w:pStyle w:val="TableParagraph"/>
              <w:spacing w:line="258" w:lineRule="exact"/>
              <w:ind w:right="71"/>
              <w:rPr>
                <w:sz w:val="18"/>
              </w:rPr>
            </w:pPr>
            <w:r>
              <w:rPr>
                <w:sz w:val="18"/>
              </w:rPr>
              <w:t>57</w:t>
            </w:r>
          </w:p>
        </w:tc>
        <w:tc>
          <w:tcPr>
            <w:tcW w:w="737" w:type="dxa"/>
            <w:tcBorders>
              <w:top w:val="single" w:sz="4" w:space="0" w:color="000000"/>
              <w:left w:val="single" w:sz="4" w:space="0" w:color="DADADA"/>
              <w:bottom w:val="single" w:sz="4" w:space="0" w:color="000000"/>
              <w:right w:val="nil"/>
            </w:tcBorders>
          </w:tcPr>
          <w:p w14:paraId="448D48E6" w14:textId="77777777" w:rsidR="00251155" w:rsidRDefault="00251155" w:rsidP="0047706A">
            <w:pPr>
              <w:pStyle w:val="TableParagraph"/>
              <w:spacing w:line="258" w:lineRule="exact"/>
              <w:ind w:right="76"/>
              <w:rPr>
                <w:sz w:val="18"/>
              </w:rPr>
            </w:pPr>
            <w:r>
              <w:rPr>
                <w:sz w:val="18"/>
              </w:rPr>
              <w:t>81</w:t>
            </w:r>
          </w:p>
        </w:tc>
      </w:tr>
      <w:tr w:rsidR="00251155" w14:paraId="18F78CD6" w14:textId="77777777" w:rsidTr="00BF1EBD">
        <w:trPr>
          <w:trHeight w:val="515"/>
        </w:trPr>
        <w:tc>
          <w:tcPr>
            <w:tcW w:w="1332" w:type="dxa"/>
            <w:tcBorders>
              <w:top w:val="single" w:sz="4" w:space="0" w:color="000000"/>
              <w:left w:val="nil"/>
              <w:bottom w:val="single" w:sz="4" w:space="0" w:color="000000"/>
              <w:right w:val="single" w:sz="4" w:space="0" w:color="DADADA"/>
            </w:tcBorders>
          </w:tcPr>
          <w:p w14:paraId="5B847C8F" w14:textId="77777777" w:rsidR="00251155" w:rsidRDefault="00251155" w:rsidP="0047706A">
            <w:pPr>
              <w:pStyle w:val="TableParagraph"/>
              <w:spacing w:before="47" w:line="184" w:lineRule="auto"/>
              <w:ind w:left="79" w:right="430"/>
              <w:jc w:val="left"/>
              <w:rPr>
                <w:sz w:val="18"/>
              </w:rPr>
            </w:pPr>
            <w:r>
              <w:rPr>
                <w:sz w:val="18"/>
              </w:rPr>
              <w:t xml:space="preserve">Number of </w:t>
            </w:r>
            <w:r>
              <w:rPr>
                <w:w w:val="90"/>
                <w:sz w:val="18"/>
              </w:rPr>
              <w:t>submissions</w:t>
            </w:r>
          </w:p>
        </w:tc>
        <w:tc>
          <w:tcPr>
            <w:tcW w:w="1119" w:type="dxa"/>
            <w:tcBorders>
              <w:top w:val="single" w:sz="4" w:space="0" w:color="000000"/>
              <w:left w:val="single" w:sz="4" w:space="0" w:color="DADADA"/>
              <w:bottom w:val="single" w:sz="4" w:space="0" w:color="000000"/>
              <w:right w:val="single" w:sz="4" w:space="0" w:color="DADADA"/>
            </w:tcBorders>
          </w:tcPr>
          <w:p w14:paraId="04AB616E" w14:textId="77777777" w:rsidR="00251155" w:rsidRDefault="00251155" w:rsidP="0047706A">
            <w:pPr>
              <w:pStyle w:val="TableParagraph"/>
              <w:spacing w:line="258" w:lineRule="exact"/>
              <w:ind w:right="71"/>
              <w:rPr>
                <w:sz w:val="18"/>
              </w:rPr>
            </w:pPr>
            <w:r>
              <w:rPr>
                <w:sz w:val="18"/>
              </w:rPr>
              <w:t>11</w:t>
            </w:r>
          </w:p>
        </w:tc>
        <w:tc>
          <w:tcPr>
            <w:tcW w:w="1006" w:type="dxa"/>
            <w:tcBorders>
              <w:top w:val="single" w:sz="4" w:space="0" w:color="000000"/>
              <w:left w:val="single" w:sz="4" w:space="0" w:color="DADADA"/>
              <w:bottom w:val="single" w:sz="4" w:space="0" w:color="000000"/>
              <w:right w:val="single" w:sz="4" w:space="0" w:color="DADADA"/>
            </w:tcBorders>
          </w:tcPr>
          <w:p w14:paraId="3DC56685" w14:textId="77777777" w:rsidR="00251155" w:rsidRDefault="00251155" w:rsidP="0047706A">
            <w:pPr>
              <w:pStyle w:val="TableParagraph"/>
              <w:spacing w:line="258" w:lineRule="exact"/>
              <w:ind w:right="71"/>
              <w:rPr>
                <w:sz w:val="18"/>
              </w:rPr>
            </w:pPr>
            <w:r>
              <w:rPr>
                <w:sz w:val="18"/>
              </w:rPr>
              <w:t>5</w:t>
            </w:r>
          </w:p>
        </w:tc>
        <w:tc>
          <w:tcPr>
            <w:tcW w:w="978" w:type="dxa"/>
            <w:tcBorders>
              <w:top w:val="single" w:sz="4" w:space="0" w:color="000000"/>
              <w:left w:val="single" w:sz="4" w:space="0" w:color="DADADA"/>
              <w:bottom w:val="single" w:sz="4" w:space="0" w:color="000000"/>
              <w:right w:val="single" w:sz="4" w:space="0" w:color="DADADA"/>
            </w:tcBorders>
          </w:tcPr>
          <w:p w14:paraId="58FAC093" w14:textId="77777777" w:rsidR="00251155" w:rsidRDefault="00251155" w:rsidP="0047706A">
            <w:pPr>
              <w:pStyle w:val="TableParagraph"/>
              <w:spacing w:line="258" w:lineRule="exact"/>
              <w:ind w:right="71"/>
              <w:rPr>
                <w:sz w:val="18"/>
              </w:rPr>
            </w:pPr>
            <w:r>
              <w:rPr>
                <w:sz w:val="18"/>
              </w:rPr>
              <w:t>39</w:t>
            </w:r>
          </w:p>
        </w:tc>
        <w:tc>
          <w:tcPr>
            <w:tcW w:w="1049" w:type="dxa"/>
            <w:tcBorders>
              <w:top w:val="single" w:sz="4" w:space="0" w:color="000000"/>
              <w:left w:val="single" w:sz="4" w:space="0" w:color="DADADA"/>
              <w:bottom w:val="single" w:sz="4" w:space="0" w:color="000000"/>
              <w:right w:val="single" w:sz="4" w:space="0" w:color="DADADA"/>
            </w:tcBorders>
          </w:tcPr>
          <w:p w14:paraId="26BAB373" w14:textId="77777777" w:rsidR="00251155" w:rsidRDefault="00251155" w:rsidP="0047706A">
            <w:pPr>
              <w:pStyle w:val="TableParagraph"/>
              <w:spacing w:line="258" w:lineRule="exact"/>
              <w:ind w:right="71"/>
              <w:rPr>
                <w:sz w:val="18"/>
              </w:rPr>
            </w:pPr>
            <w:r>
              <w:rPr>
                <w:sz w:val="18"/>
              </w:rPr>
              <w:t>45</w:t>
            </w:r>
          </w:p>
        </w:tc>
        <w:tc>
          <w:tcPr>
            <w:tcW w:w="907" w:type="dxa"/>
            <w:tcBorders>
              <w:top w:val="single" w:sz="4" w:space="0" w:color="000000"/>
              <w:left w:val="single" w:sz="4" w:space="0" w:color="DADADA"/>
              <w:bottom w:val="single" w:sz="4" w:space="0" w:color="000000"/>
              <w:right w:val="single" w:sz="4" w:space="0" w:color="DADADA"/>
            </w:tcBorders>
          </w:tcPr>
          <w:p w14:paraId="638319C4" w14:textId="77777777" w:rsidR="00251155" w:rsidRDefault="00251155" w:rsidP="0047706A">
            <w:pPr>
              <w:pStyle w:val="TableParagraph"/>
              <w:spacing w:line="258" w:lineRule="exact"/>
              <w:ind w:right="71"/>
              <w:rPr>
                <w:sz w:val="18"/>
              </w:rPr>
            </w:pPr>
            <w:r>
              <w:rPr>
                <w:sz w:val="18"/>
              </w:rPr>
              <w:t>87</w:t>
            </w:r>
          </w:p>
        </w:tc>
        <w:tc>
          <w:tcPr>
            <w:tcW w:w="893" w:type="dxa"/>
            <w:tcBorders>
              <w:top w:val="single" w:sz="4" w:space="0" w:color="000000"/>
              <w:left w:val="single" w:sz="4" w:space="0" w:color="DADADA"/>
              <w:bottom w:val="single" w:sz="4" w:space="0" w:color="000000"/>
              <w:right w:val="single" w:sz="4" w:space="0" w:color="DADADA"/>
            </w:tcBorders>
          </w:tcPr>
          <w:p w14:paraId="37806FFC" w14:textId="77777777" w:rsidR="00251155" w:rsidRDefault="00251155" w:rsidP="0047706A">
            <w:pPr>
              <w:pStyle w:val="TableParagraph"/>
              <w:spacing w:line="258" w:lineRule="exact"/>
              <w:ind w:right="71"/>
              <w:rPr>
                <w:sz w:val="18"/>
              </w:rPr>
            </w:pPr>
            <w:r>
              <w:rPr>
                <w:sz w:val="18"/>
              </w:rPr>
              <w:t>32</w:t>
            </w:r>
          </w:p>
        </w:tc>
        <w:tc>
          <w:tcPr>
            <w:tcW w:w="850" w:type="dxa"/>
            <w:tcBorders>
              <w:top w:val="single" w:sz="4" w:space="0" w:color="000000"/>
              <w:left w:val="single" w:sz="4" w:space="0" w:color="DADADA"/>
              <w:bottom w:val="single" w:sz="4" w:space="0" w:color="000000"/>
              <w:right w:val="single" w:sz="4" w:space="0" w:color="DADADA"/>
            </w:tcBorders>
          </w:tcPr>
          <w:p w14:paraId="5554F315"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36FE52FB" w14:textId="77777777" w:rsidR="00251155" w:rsidRDefault="00251155" w:rsidP="0047706A">
            <w:pPr>
              <w:pStyle w:val="TableParagraph"/>
              <w:spacing w:line="258" w:lineRule="exact"/>
              <w:ind w:right="71"/>
              <w:rPr>
                <w:sz w:val="18"/>
              </w:rPr>
            </w:pPr>
            <w:r>
              <w:rPr>
                <w:sz w:val="18"/>
              </w:rPr>
              <w:t>36</w:t>
            </w:r>
          </w:p>
        </w:tc>
        <w:tc>
          <w:tcPr>
            <w:tcW w:w="737" w:type="dxa"/>
            <w:tcBorders>
              <w:top w:val="single" w:sz="4" w:space="0" w:color="000000"/>
              <w:left w:val="single" w:sz="4" w:space="0" w:color="DADADA"/>
              <w:bottom w:val="single" w:sz="4" w:space="0" w:color="000000"/>
              <w:right w:val="nil"/>
            </w:tcBorders>
          </w:tcPr>
          <w:p w14:paraId="55C245AB" w14:textId="77777777" w:rsidR="00251155" w:rsidRDefault="00251155" w:rsidP="0047706A">
            <w:pPr>
              <w:pStyle w:val="TableParagraph"/>
              <w:spacing w:line="258" w:lineRule="exact"/>
              <w:ind w:right="76"/>
              <w:rPr>
                <w:sz w:val="18"/>
              </w:rPr>
            </w:pPr>
            <w:r>
              <w:rPr>
                <w:sz w:val="18"/>
              </w:rPr>
              <w:t>100</w:t>
            </w:r>
          </w:p>
        </w:tc>
      </w:tr>
      <w:tr w:rsidR="00251155" w14:paraId="325B745B" w14:textId="77777777" w:rsidTr="00BF1EBD">
        <w:trPr>
          <w:trHeight w:val="514"/>
        </w:trPr>
        <w:tc>
          <w:tcPr>
            <w:tcW w:w="1332" w:type="dxa"/>
            <w:tcBorders>
              <w:top w:val="single" w:sz="4" w:space="0" w:color="000000"/>
              <w:left w:val="nil"/>
              <w:bottom w:val="single" w:sz="4" w:space="0" w:color="000000"/>
              <w:right w:val="single" w:sz="4" w:space="0" w:color="DADADA"/>
            </w:tcBorders>
          </w:tcPr>
          <w:p w14:paraId="6BE2ADCE" w14:textId="77777777" w:rsidR="00251155" w:rsidRDefault="00251155" w:rsidP="0047706A">
            <w:pPr>
              <w:pStyle w:val="TableParagraph"/>
              <w:spacing w:before="47" w:line="184" w:lineRule="auto"/>
              <w:ind w:left="79" w:right="515"/>
              <w:jc w:val="left"/>
              <w:rPr>
                <w:sz w:val="18"/>
              </w:rPr>
            </w:pPr>
            <w:r>
              <w:rPr>
                <w:w w:val="90"/>
                <w:sz w:val="18"/>
              </w:rPr>
              <w:t xml:space="preserve">Number of </w:t>
            </w:r>
            <w:r>
              <w:rPr>
                <w:sz w:val="18"/>
              </w:rPr>
              <w:t>referrals</w:t>
            </w:r>
          </w:p>
        </w:tc>
        <w:tc>
          <w:tcPr>
            <w:tcW w:w="1119" w:type="dxa"/>
            <w:tcBorders>
              <w:top w:val="single" w:sz="4" w:space="0" w:color="000000"/>
              <w:left w:val="single" w:sz="4" w:space="0" w:color="DADADA"/>
              <w:bottom w:val="single" w:sz="4" w:space="0" w:color="000000"/>
              <w:right w:val="single" w:sz="4" w:space="0" w:color="DADADA"/>
            </w:tcBorders>
          </w:tcPr>
          <w:p w14:paraId="72329D49" w14:textId="77777777" w:rsidR="00251155" w:rsidRDefault="00251155" w:rsidP="0047706A">
            <w:pPr>
              <w:pStyle w:val="TableParagraph"/>
              <w:spacing w:line="258" w:lineRule="exact"/>
              <w:ind w:right="72"/>
              <w:rPr>
                <w:sz w:val="18"/>
              </w:rPr>
            </w:pPr>
            <w:r>
              <w:rPr>
                <w:sz w:val="18"/>
              </w:rPr>
              <w:t>3</w:t>
            </w:r>
          </w:p>
        </w:tc>
        <w:tc>
          <w:tcPr>
            <w:tcW w:w="1006" w:type="dxa"/>
            <w:tcBorders>
              <w:top w:val="single" w:sz="4" w:space="0" w:color="000000"/>
              <w:left w:val="single" w:sz="4" w:space="0" w:color="DADADA"/>
              <w:bottom w:val="single" w:sz="4" w:space="0" w:color="000000"/>
              <w:right w:val="single" w:sz="4" w:space="0" w:color="DADADA"/>
            </w:tcBorders>
          </w:tcPr>
          <w:p w14:paraId="1AC8F7A0" w14:textId="77777777" w:rsidR="00251155" w:rsidRDefault="00251155" w:rsidP="0047706A">
            <w:pPr>
              <w:pStyle w:val="TableParagraph"/>
              <w:spacing w:line="258" w:lineRule="exact"/>
              <w:ind w:right="71"/>
              <w:rPr>
                <w:sz w:val="18"/>
              </w:rPr>
            </w:pPr>
            <w:r>
              <w:rPr>
                <w:sz w:val="18"/>
              </w:rPr>
              <w:t>2</w:t>
            </w:r>
          </w:p>
        </w:tc>
        <w:tc>
          <w:tcPr>
            <w:tcW w:w="978" w:type="dxa"/>
            <w:tcBorders>
              <w:top w:val="single" w:sz="4" w:space="0" w:color="000000"/>
              <w:left w:val="single" w:sz="4" w:space="0" w:color="DADADA"/>
              <w:bottom w:val="single" w:sz="4" w:space="0" w:color="000000"/>
              <w:right w:val="single" w:sz="4" w:space="0" w:color="DADADA"/>
            </w:tcBorders>
          </w:tcPr>
          <w:p w14:paraId="2AD08394" w14:textId="77777777" w:rsidR="00251155" w:rsidRDefault="00251155" w:rsidP="0047706A">
            <w:pPr>
              <w:pStyle w:val="TableParagraph"/>
              <w:spacing w:line="258" w:lineRule="exact"/>
              <w:ind w:right="71"/>
              <w:rPr>
                <w:sz w:val="18"/>
              </w:rPr>
            </w:pPr>
            <w:r>
              <w:rPr>
                <w:sz w:val="18"/>
              </w:rPr>
              <w:t>3</w:t>
            </w:r>
          </w:p>
        </w:tc>
        <w:tc>
          <w:tcPr>
            <w:tcW w:w="1049" w:type="dxa"/>
            <w:tcBorders>
              <w:top w:val="single" w:sz="4" w:space="0" w:color="000000"/>
              <w:left w:val="single" w:sz="4" w:space="0" w:color="DADADA"/>
              <w:bottom w:val="single" w:sz="4" w:space="0" w:color="000000"/>
              <w:right w:val="single" w:sz="4" w:space="0" w:color="DADADA"/>
            </w:tcBorders>
          </w:tcPr>
          <w:p w14:paraId="1C547F10" w14:textId="77777777" w:rsidR="00251155" w:rsidRDefault="00251155" w:rsidP="0047706A">
            <w:pPr>
              <w:pStyle w:val="TableParagraph"/>
              <w:spacing w:line="258" w:lineRule="exact"/>
              <w:ind w:right="71"/>
              <w:rPr>
                <w:sz w:val="18"/>
              </w:rPr>
            </w:pPr>
            <w:r>
              <w:rPr>
                <w:sz w:val="18"/>
              </w:rPr>
              <w:t>5</w:t>
            </w:r>
          </w:p>
        </w:tc>
        <w:tc>
          <w:tcPr>
            <w:tcW w:w="907" w:type="dxa"/>
            <w:tcBorders>
              <w:top w:val="single" w:sz="4" w:space="0" w:color="000000"/>
              <w:left w:val="single" w:sz="4" w:space="0" w:color="DADADA"/>
              <w:bottom w:val="single" w:sz="4" w:space="0" w:color="000000"/>
              <w:right w:val="single" w:sz="4" w:space="0" w:color="DADADA"/>
            </w:tcBorders>
          </w:tcPr>
          <w:p w14:paraId="709B486D" w14:textId="77777777" w:rsidR="00251155" w:rsidRDefault="00251155" w:rsidP="0047706A">
            <w:pPr>
              <w:pStyle w:val="TableParagraph"/>
              <w:spacing w:line="258" w:lineRule="exact"/>
              <w:ind w:right="71"/>
              <w:rPr>
                <w:sz w:val="18"/>
              </w:rPr>
            </w:pPr>
            <w:r>
              <w:rPr>
                <w:sz w:val="18"/>
              </w:rPr>
              <w:t>3</w:t>
            </w:r>
          </w:p>
        </w:tc>
        <w:tc>
          <w:tcPr>
            <w:tcW w:w="893" w:type="dxa"/>
            <w:tcBorders>
              <w:top w:val="single" w:sz="4" w:space="0" w:color="000000"/>
              <w:left w:val="single" w:sz="4" w:space="0" w:color="DADADA"/>
              <w:bottom w:val="single" w:sz="4" w:space="0" w:color="000000"/>
              <w:right w:val="single" w:sz="4" w:space="0" w:color="DADADA"/>
            </w:tcBorders>
          </w:tcPr>
          <w:p w14:paraId="10365F9B" w14:textId="77777777" w:rsidR="00251155" w:rsidRDefault="00251155" w:rsidP="0047706A">
            <w:pPr>
              <w:pStyle w:val="TableParagraph"/>
              <w:spacing w:line="258" w:lineRule="exact"/>
              <w:ind w:right="71"/>
              <w:rPr>
                <w:sz w:val="18"/>
              </w:rPr>
            </w:pPr>
            <w:r>
              <w:rPr>
                <w:sz w:val="18"/>
              </w:rPr>
              <w:t>2</w:t>
            </w:r>
          </w:p>
        </w:tc>
        <w:tc>
          <w:tcPr>
            <w:tcW w:w="850" w:type="dxa"/>
            <w:tcBorders>
              <w:top w:val="single" w:sz="4" w:space="0" w:color="000000"/>
              <w:left w:val="single" w:sz="4" w:space="0" w:color="DADADA"/>
              <w:bottom w:val="single" w:sz="4" w:space="0" w:color="000000"/>
              <w:right w:val="single" w:sz="4" w:space="0" w:color="DADADA"/>
            </w:tcBorders>
          </w:tcPr>
          <w:p w14:paraId="10FE8744"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0F97F9E6" w14:textId="77777777" w:rsidR="00251155" w:rsidRDefault="00251155" w:rsidP="0047706A">
            <w:pPr>
              <w:pStyle w:val="TableParagraph"/>
              <w:spacing w:line="258" w:lineRule="exact"/>
              <w:ind w:right="71"/>
              <w:rPr>
                <w:sz w:val="18"/>
              </w:rPr>
            </w:pPr>
            <w:r>
              <w:rPr>
                <w:sz w:val="18"/>
              </w:rPr>
              <w:t>5</w:t>
            </w:r>
          </w:p>
        </w:tc>
        <w:tc>
          <w:tcPr>
            <w:tcW w:w="737" w:type="dxa"/>
            <w:tcBorders>
              <w:top w:val="single" w:sz="4" w:space="0" w:color="000000"/>
              <w:left w:val="single" w:sz="4" w:space="0" w:color="DADADA"/>
              <w:bottom w:val="single" w:sz="4" w:space="0" w:color="000000"/>
              <w:right w:val="nil"/>
            </w:tcBorders>
          </w:tcPr>
          <w:p w14:paraId="545A96E3" w14:textId="77777777" w:rsidR="00251155" w:rsidRDefault="00251155" w:rsidP="0047706A">
            <w:pPr>
              <w:pStyle w:val="TableParagraph"/>
              <w:spacing w:line="258" w:lineRule="exact"/>
              <w:ind w:right="76"/>
              <w:rPr>
                <w:sz w:val="18"/>
              </w:rPr>
            </w:pPr>
            <w:r>
              <w:rPr>
                <w:sz w:val="18"/>
              </w:rPr>
              <w:t>3</w:t>
            </w:r>
          </w:p>
        </w:tc>
      </w:tr>
      <w:tr w:rsidR="00251155" w14:paraId="0A549034" w14:textId="77777777" w:rsidTr="00BF1EBD">
        <w:trPr>
          <w:trHeight w:val="542"/>
        </w:trPr>
        <w:tc>
          <w:tcPr>
            <w:tcW w:w="1332" w:type="dxa"/>
            <w:tcBorders>
              <w:top w:val="single" w:sz="4" w:space="0" w:color="000000"/>
              <w:left w:val="nil"/>
              <w:bottom w:val="single" w:sz="4" w:space="0" w:color="000000"/>
              <w:right w:val="single" w:sz="4" w:space="0" w:color="DADADA"/>
            </w:tcBorders>
          </w:tcPr>
          <w:p w14:paraId="798BA47E" w14:textId="77777777" w:rsidR="00251155" w:rsidRDefault="00251155" w:rsidP="0047706A">
            <w:pPr>
              <w:pStyle w:val="TableParagraph"/>
              <w:spacing w:before="47" w:line="184" w:lineRule="auto"/>
              <w:ind w:left="79" w:right="-4"/>
              <w:jc w:val="left"/>
              <w:rPr>
                <w:sz w:val="18"/>
              </w:rPr>
            </w:pPr>
            <w:r>
              <w:rPr>
                <w:w w:val="90"/>
                <w:sz w:val="18"/>
              </w:rPr>
              <w:t xml:space="preserve">Number of reports </w:t>
            </w:r>
            <w:r>
              <w:rPr>
                <w:sz w:val="18"/>
              </w:rPr>
              <w:t>presented</w:t>
            </w:r>
          </w:p>
        </w:tc>
        <w:tc>
          <w:tcPr>
            <w:tcW w:w="1119" w:type="dxa"/>
            <w:tcBorders>
              <w:top w:val="single" w:sz="4" w:space="0" w:color="000000"/>
              <w:left w:val="single" w:sz="4" w:space="0" w:color="DADADA"/>
              <w:bottom w:val="single" w:sz="4" w:space="0" w:color="000000"/>
              <w:right w:val="single" w:sz="4" w:space="0" w:color="DADADA"/>
            </w:tcBorders>
          </w:tcPr>
          <w:p w14:paraId="7D326304" w14:textId="77777777" w:rsidR="00251155" w:rsidRDefault="00251155" w:rsidP="0047706A">
            <w:pPr>
              <w:pStyle w:val="TableParagraph"/>
              <w:spacing w:line="258" w:lineRule="exact"/>
              <w:ind w:right="72"/>
              <w:rPr>
                <w:sz w:val="18"/>
              </w:rPr>
            </w:pPr>
            <w:r>
              <w:rPr>
                <w:sz w:val="18"/>
              </w:rPr>
              <w:t>2</w:t>
            </w:r>
          </w:p>
        </w:tc>
        <w:tc>
          <w:tcPr>
            <w:tcW w:w="1006" w:type="dxa"/>
            <w:tcBorders>
              <w:top w:val="single" w:sz="4" w:space="0" w:color="000000"/>
              <w:left w:val="single" w:sz="4" w:space="0" w:color="DADADA"/>
              <w:bottom w:val="single" w:sz="4" w:space="0" w:color="000000"/>
              <w:right w:val="single" w:sz="4" w:space="0" w:color="DADADA"/>
            </w:tcBorders>
          </w:tcPr>
          <w:p w14:paraId="110D8A5D" w14:textId="77777777" w:rsidR="00251155" w:rsidRDefault="00251155" w:rsidP="0047706A">
            <w:pPr>
              <w:pStyle w:val="TableParagraph"/>
              <w:spacing w:line="258" w:lineRule="exact"/>
              <w:ind w:right="71"/>
              <w:rPr>
                <w:sz w:val="18"/>
              </w:rPr>
            </w:pPr>
            <w:r>
              <w:rPr>
                <w:sz w:val="18"/>
              </w:rPr>
              <w:t>2</w:t>
            </w:r>
          </w:p>
        </w:tc>
        <w:tc>
          <w:tcPr>
            <w:tcW w:w="978" w:type="dxa"/>
            <w:tcBorders>
              <w:top w:val="single" w:sz="4" w:space="0" w:color="000000"/>
              <w:left w:val="single" w:sz="4" w:space="0" w:color="DADADA"/>
              <w:bottom w:val="single" w:sz="4" w:space="0" w:color="000000"/>
              <w:right w:val="single" w:sz="4" w:space="0" w:color="DADADA"/>
            </w:tcBorders>
          </w:tcPr>
          <w:p w14:paraId="4F81D9A4" w14:textId="77777777" w:rsidR="00251155" w:rsidRDefault="00251155" w:rsidP="0047706A">
            <w:pPr>
              <w:pStyle w:val="TableParagraph"/>
              <w:spacing w:line="258" w:lineRule="exact"/>
              <w:ind w:right="71"/>
              <w:rPr>
                <w:sz w:val="18"/>
              </w:rPr>
            </w:pPr>
            <w:r>
              <w:rPr>
                <w:sz w:val="18"/>
              </w:rPr>
              <w:t>2</w:t>
            </w:r>
          </w:p>
        </w:tc>
        <w:tc>
          <w:tcPr>
            <w:tcW w:w="1049" w:type="dxa"/>
            <w:tcBorders>
              <w:top w:val="single" w:sz="4" w:space="0" w:color="000000"/>
              <w:left w:val="single" w:sz="4" w:space="0" w:color="DADADA"/>
              <w:bottom w:val="single" w:sz="4" w:space="0" w:color="000000"/>
              <w:right w:val="single" w:sz="4" w:space="0" w:color="DADADA"/>
            </w:tcBorders>
          </w:tcPr>
          <w:p w14:paraId="438749D6" w14:textId="77777777" w:rsidR="00251155" w:rsidRDefault="00251155" w:rsidP="0047706A">
            <w:pPr>
              <w:pStyle w:val="TableParagraph"/>
              <w:spacing w:line="258" w:lineRule="exact"/>
              <w:ind w:right="71"/>
              <w:rPr>
                <w:sz w:val="18"/>
              </w:rPr>
            </w:pPr>
            <w:r>
              <w:rPr>
                <w:sz w:val="18"/>
              </w:rPr>
              <w:t>4</w:t>
            </w:r>
          </w:p>
        </w:tc>
        <w:tc>
          <w:tcPr>
            <w:tcW w:w="907" w:type="dxa"/>
            <w:tcBorders>
              <w:top w:val="single" w:sz="4" w:space="0" w:color="000000"/>
              <w:left w:val="single" w:sz="4" w:space="0" w:color="DADADA"/>
              <w:bottom w:val="single" w:sz="4" w:space="0" w:color="000000"/>
              <w:right w:val="single" w:sz="4" w:space="0" w:color="DADADA"/>
            </w:tcBorders>
          </w:tcPr>
          <w:p w14:paraId="382867BE" w14:textId="77777777" w:rsidR="00251155" w:rsidRDefault="00251155" w:rsidP="0047706A">
            <w:pPr>
              <w:pStyle w:val="TableParagraph"/>
              <w:spacing w:line="258" w:lineRule="exact"/>
              <w:ind w:right="71"/>
              <w:rPr>
                <w:sz w:val="18"/>
              </w:rPr>
            </w:pPr>
            <w:r>
              <w:rPr>
                <w:sz w:val="18"/>
              </w:rPr>
              <w:t>2</w:t>
            </w:r>
          </w:p>
        </w:tc>
        <w:tc>
          <w:tcPr>
            <w:tcW w:w="893" w:type="dxa"/>
            <w:tcBorders>
              <w:top w:val="single" w:sz="4" w:space="0" w:color="000000"/>
              <w:left w:val="single" w:sz="4" w:space="0" w:color="DADADA"/>
              <w:bottom w:val="single" w:sz="4" w:space="0" w:color="000000"/>
              <w:right w:val="single" w:sz="4" w:space="0" w:color="DADADA"/>
            </w:tcBorders>
          </w:tcPr>
          <w:p w14:paraId="0120A511" w14:textId="77777777" w:rsidR="00251155" w:rsidRDefault="00251155" w:rsidP="0047706A">
            <w:pPr>
              <w:pStyle w:val="TableParagraph"/>
              <w:spacing w:line="258" w:lineRule="exact"/>
              <w:ind w:right="71"/>
              <w:rPr>
                <w:sz w:val="18"/>
              </w:rPr>
            </w:pPr>
            <w:r>
              <w:rPr>
                <w:sz w:val="18"/>
              </w:rPr>
              <w:t>1</w:t>
            </w:r>
          </w:p>
        </w:tc>
        <w:tc>
          <w:tcPr>
            <w:tcW w:w="850" w:type="dxa"/>
            <w:tcBorders>
              <w:top w:val="single" w:sz="4" w:space="0" w:color="000000"/>
              <w:left w:val="single" w:sz="4" w:space="0" w:color="DADADA"/>
              <w:bottom w:val="single" w:sz="4" w:space="0" w:color="000000"/>
              <w:right w:val="single" w:sz="4" w:space="0" w:color="DADADA"/>
            </w:tcBorders>
          </w:tcPr>
          <w:p w14:paraId="5C6923C3" w14:textId="77777777" w:rsidR="00251155" w:rsidRDefault="00251155" w:rsidP="0047706A">
            <w:pPr>
              <w:pStyle w:val="TableParagraph"/>
              <w:spacing w:line="258" w:lineRule="exact"/>
              <w:ind w:right="71"/>
              <w:rPr>
                <w:sz w:val="18"/>
              </w:rPr>
            </w:pPr>
            <w:r>
              <w:rPr>
                <w:sz w:val="18"/>
              </w:rPr>
              <w:t>12</w:t>
            </w:r>
          </w:p>
        </w:tc>
        <w:tc>
          <w:tcPr>
            <w:tcW w:w="765" w:type="dxa"/>
            <w:tcBorders>
              <w:top w:val="single" w:sz="4" w:space="0" w:color="000000"/>
              <w:left w:val="single" w:sz="4" w:space="0" w:color="DADADA"/>
              <w:bottom w:val="single" w:sz="4" w:space="0" w:color="000000"/>
              <w:right w:val="single" w:sz="4" w:space="0" w:color="DADADA"/>
            </w:tcBorders>
          </w:tcPr>
          <w:p w14:paraId="488DDE96" w14:textId="77777777" w:rsidR="00251155" w:rsidRDefault="00251155" w:rsidP="0047706A">
            <w:pPr>
              <w:pStyle w:val="TableParagraph"/>
              <w:spacing w:line="258" w:lineRule="exact"/>
              <w:ind w:right="71"/>
              <w:rPr>
                <w:sz w:val="18"/>
              </w:rPr>
            </w:pPr>
            <w:r>
              <w:rPr>
                <w:sz w:val="18"/>
              </w:rPr>
              <w:t>4</w:t>
            </w:r>
          </w:p>
        </w:tc>
        <w:tc>
          <w:tcPr>
            <w:tcW w:w="737" w:type="dxa"/>
            <w:tcBorders>
              <w:top w:val="single" w:sz="4" w:space="0" w:color="000000"/>
              <w:left w:val="single" w:sz="4" w:space="0" w:color="DADADA"/>
              <w:bottom w:val="single" w:sz="4" w:space="0" w:color="000000"/>
              <w:right w:val="nil"/>
            </w:tcBorders>
          </w:tcPr>
          <w:p w14:paraId="05A0F145" w14:textId="77777777" w:rsidR="00251155" w:rsidRDefault="00251155" w:rsidP="0047706A">
            <w:pPr>
              <w:pStyle w:val="TableParagraph"/>
              <w:spacing w:line="258" w:lineRule="exact"/>
              <w:ind w:right="76"/>
              <w:rPr>
                <w:sz w:val="18"/>
              </w:rPr>
            </w:pPr>
            <w:r>
              <w:rPr>
                <w:sz w:val="18"/>
              </w:rPr>
              <w:t>2</w:t>
            </w:r>
          </w:p>
        </w:tc>
      </w:tr>
      <w:tr w:rsidR="00251155" w14:paraId="456F1432" w14:textId="77777777" w:rsidTr="00BF1EBD">
        <w:trPr>
          <w:trHeight w:val="727"/>
        </w:trPr>
        <w:tc>
          <w:tcPr>
            <w:tcW w:w="1332" w:type="dxa"/>
            <w:tcBorders>
              <w:top w:val="single" w:sz="4" w:space="0" w:color="000000"/>
              <w:left w:val="nil"/>
              <w:bottom w:val="single" w:sz="4" w:space="0" w:color="000000"/>
              <w:right w:val="single" w:sz="4" w:space="0" w:color="DADADA"/>
            </w:tcBorders>
          </w:tcPr>
          <w:p w14:paraId="692CCDD7" w14:textId="77777777" w:rsidR="00251155" w:rsidRDefault="00251155" w:rsidP="0047706A">
            <w:pPr>
              <w:pStyle w:val="TableParagraph"/>
              <w:spacing w:before="47" w:line="184" w:lineRule="auto"/>
              <w:ind w:left="79" w:right="14"/>
              <w:jc w:val="left"/>
              <w:rPr>
                <w:sz w:val="18"/>
              </w:rPr>
            </w:pPr>
            <w:r>
              <w:rPr>
                <w:sz w:val="18"/>
              </w:rPr>
              <w:t xml:space="preserve">Number of </w:t>
            </w:r>
            <w:r>
              <w:rPr>
                <w:w w:val="90"/>
                <w:sz w:val="18"/>
              </w:rPr>
              <w:t xml:space="preserve">statements made </w:t>
            </w:r>
            <w:r>
              <w:rPr>
                <w:sz w:val="18"/>
              </w:rPr>
              <w:t>under SO246A</w:t>
            </w:r>
          </w:p>
        </w:tc>
        <w:tc>
          <w:tcPr>
            <w:tcW w:w="1119" w:type="dxa"/>
            <w:tcBorders>
              <w:top w:val="single" w:sz="4" w:space="0" w:color="000000"/>
              <w:left w:val="single" w:sz="4" w:space="0" w:color="DADADA"/>
              <w:bottom w:val="single" w:sz="4" w:space="0" w:color="000000"/>
              <w:right w:val="single" w:sz="4" w:space="0" w:color="DADADA"/>
            </w:tcBorders>
          </w:tcPr>
          <w:p w14:paraId="76E19EB9" w14:textId="77777777" w:rsidR="00251155" w:rsidRDefault="00251155" w:rsidP="0047706A">
            <w:pPr>
              <w:pStyle w:val="TableParagraph"/>
              <w:spacing w:line="258" w:lineRule="exact"/>
              <w:ind w:right="72"/>
              <w:rPr>
                <w:sz w:val="18"/>
              </w:rPr>
            </w:pPr>
            <w:r>
              <w:rPr>
                <w:sz w:val="18"/>
              </w:rPr>
              <w:t>2</w:t>
            </w:r>
          </w:p>
        </w:tc>
        <w:tc>
          <w:tcPr>
            <w:tcW w:w="1006" w:type="dxa"/>
            <w:tcBorders>
              <w:top w:val="single" w:sz="4" w:space="0" w:color="000000"/>
              <w:left w:val="single" w:sz="4" w:space="0" w:color="DADADA"/>
              <w:bottom w:val="single" w:sz="4" w:space="0" w:color="000000"/>
              <w:right w:val="single" w:sz="4" w:space="0" w:color="DADADA"/>
            </w:tcBorders>
          </w:tcPr>
          <w:p w14:paraId="48931572" w14:textId="77777777" w:rsidR="00251155" w:rsidRDefault="00251155" w:rsidP="0047706A">
            <w:pPr>
              <w:pStyle w:val="TableParagraph"/>
              <w:spacing w:line="258" w:lineRule="exact"/>
              <w:ind w:right="71"/>
              <w:rPr>
                <w:sz w:val="18"/>
              </w:rPr>
            </w:pPr>
            <w:r>
              <w:rPr>
                <w:sz w:val="18"/>
              </w:rPr>
              <w:t>4</w:t>
            </w:r>
          </w:p>
        </w:tc>
        <w:tc>
          <w:tcPr>
            <w:tcW w:w="978" w:type="dxa"/>
            <w:tcBorders>
              <w:top w:val="single" w:sz="4" w:space="0" w:color="000000"/>
              <w:left w:val="single" w:sz="4" w:space="0" w:color="DADADA"/>
              <w:bottom w:val="single" w:sz="4" w:space="0" w:color="000000"/>
              <w:right w:val="single" w:sz="4" w:space="0" w:color="DADADA"/>
            </w:tcBorders>
          </w:tcPr>
          <w:p w14:paraId="4DAA822B" w14:textId="77777777" w:rsidR="00251155" w:rsidRDefault="00251155" w:rsidP="0047706A">
            <w:pPr>
              <w:pStyle w:val="TableParagraph"/>
              <w:spacing w:line="258" w:lineRule="exact"/>
              <w:ind w:right="71"/>
              <w:rPr>
                <w:sz w:val="18"/>
              </w:rPr>
            </w:pPr>
            <w:r>
              <w:rPr>
                <w:sz w:val="18"/>
              </w:rPr>
              <w:t>8</w:t>
            </w:r>
          </w:p>
        </w:tc>
        <w:tc>
          <w:tcPr>
            <w:tcW w:w="1049" w:type="dxa"/>
            <w:tcBorders>
              <w:top w:val="single" w:sz="4" w:space="0" w:color="000000"/>
              <w:left w:val="single" w:sz="4" w:space="0" w:color="DADADA"/>
              <w:bottom w:val="single" w:sz="4" w:space="0" w:color="000000"/>
              <w:right w:val="single" w:sz="4" w:space="0" w:color="DADADA"/>
            </w:tcBorders>
          </w:tcPr>
          <w:p w14:paraId="2150779A" w14:textId="77777777" w:rsidR="00251155" w:rsidRDefault="00251155" w:rsidP="0047706A">
            <w:pPr>
              <w:pStyle w:val="TableParagraph"/>
              <w:spacing w:line="258" w:lineRule="exact"/>
              <w:ind w:right="71"/>
              <w:rPr>
                <w:sz w:val="18"/>
              </w:rPr>
            </w:pPr>
            <w:r>
              <w:rPr>
                <w:sz w:val="18"/>
              </w:rPr>
              <w:t>7</w:t>
            </w:r>
          </w:p>
        </w:tc>
        <w:tc>
          <w:tcPr>
            <w:tcW w:w="907" w:type="dxa"/>
            <w:tcBorders>
              <w:top w:val="single" w:sz="4" w:space="0" w:color="000000"/>
              <w:left w:val="single" w:sz="4" w:space="0" w:color="DADADA"/>
              <w:bottom w:val="single" w:sz="4" w:space="0" w:color="000000"/>
              <w:right w:val="single" w:sz="4" w:space="0" w:color="DADADA"/>
            </w:tcBorders>
          </w:tcPr>
          <w:p w14:paraId="27090977" w14:textId="77777777" w:rsidR="00251155" w:rsidRDefault="00251155" w:rsidP="0047706A">
            <w:pPr>
              <w:pStyle w:val="TableParagraph"/>
              <w:spacing w:line="258" w:lineRule="exact"/>
              <w:ind w:right="71"/>
              <w:rPr>
                <w:sz w:val="18"/>
              </w:rPr>
            </w:pPr>
            <w:r>
              <w:rPr>
                <w:sz w:val="18"/>
              </w:rPr>
              <w:t>5</w:t>
            </w:r>
          </w:p>
        </w:tc>
        <w:tc>
          <w:tcPr>
            <w:tcW w:w="893" w:type="dxa"/>
            <w:tcBorders>
              <w:top w:val="single" w:sz="4" w:space="0" w:color="000000"/>
              <w:left w:val="single" w:sz="4" w:space="0" w:color="DADADA"/>
              <w:bottom w:val="single" w:sz="4" w:space="0" w:color="000000"/>
              <w:right w:val="single" w:sz="4" w:space="0" w:color="DADADA"/>
            </w:tcBorders>
          </w:tcPr>
          <w:p w14:paraId="20BCEEC0" w14:textId="77777777" w:rsidR="00251155" w:rsidRDefault="00251155" w:rsidP="0047706A">
            <w:pPr>
              <w:pStyle w:val="TableParagraph"/>
              <w:spacing w:line="258" w:lineRule="exact"/>
              <w:ind w:right="71"/>
              <w:rPr>
                <w:sz w:val="18"/>
              </w:rPr>
            </w:pPr>
            <w:r>
              <w:rPr>
                <w:sz w:val="18"/>
              </w:rPr>
              <w:t>5</w:t>
            </w:r>
          </w:p>
        </w:tc>
        <w:tc>
          <w:tcPr>
            <w:tcW w:w="850" w:type="dxa"/>
            <w:tcBorders>
              <w:top w:val="single" w:sz="4" w:space="0" w:color="000000"/>
              <w:left w:val="single" w:sz="4" w:space="0" w:color="DADADA"/>
              <w:bottom w:val="single" w:sz="4" w:space="0" w:color="000000"/>
              <w:right w:val="single" w:sz="4" w:space="0" w:color="DADADA"/>
            </w:tcBorders>
          </w:tcPr>
          <w:p w14:paraId="0B201166"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68481AC4" w14:textId="77777777" w:rsidR="00251155" w:rsidRDefault="00251155" w:rsidP="0047706A">
            <w:pPr>
              <w:pStyle w:val="TableParagraph"/>
              <w:spacing w:line="258" w:lineRule="exact"/>
              <w:ind w:right="71"/>
              <w:rPr>
                <w:sz w:val="18"/>
              </w:rPr>
            </w:pPr>
            <w:r>
              <w:rPr>
                <w:sz w:val="18"/>
              </w:rPr>
              <w:t>11</w:t>
            </w:r>
          </w:p>
        </w:tc>
        <w:tc>
          <w:tcPr>
            <w:tcW w:w="737" w:type="dxa"/>
            <w:tcBorders>
              <w:top w:val="single" w:sz="4" w:space="0" w:color="000000"/>
              <w:left w:val="single" w:sz="4" w:space="0" w:color="DADADA"/>
              <w:bottom w:val="single" w:sz="4" w:space="0" w:color="000000"/>
              <w:right w:val="nil"/>
            </w:tcBorders>
          </w:tcPr>
          <w:p w14:paraId="3137D18E" w14:textId="77777777" w:rsidR="00251155" w:rsidRDefault="00251155" w:rsidP="0047706A">
            <w:pPr>
              <w:pStyle w:val="TableParagraph"/>
              <w:spacing w:line="258" w:lineRule="exact"/>
              <w:ind w:right="76"/>
              <w:rPr>
                <w:sz w:val="18"/>
              </w:rPr>
            </w:pPr>
            <w:r>
              <w:rPr>
                <w:sz w:val="18"/>
              </w:rPr>
              <w:t>2</w:t>
            </w:r>
          </w:p>
        </w:tc>
      </w:tr>
      <w:tr w:rsidR="00251155" w14:paraId="47639446" w14:textId="77777777" w:rsidTr="00BF1EBD">
        <w:trPr>
          <w:trHeight w:val="885"/>
        </w:trPr>
        <w:tc>
          <w:tcPr>
            <w:tcW w:w="1332" w:type="dxa"/>
            <w:tcBorders>
              <w:top w:val="single" w:sz="4" w:space="0" w:color="000000"/>
              <w:left w:val="nil"/>
              <w:bottom w:val="single" w:sz="4" w:space="0" w:color="000000"/>
              <w:right w:val="single" w:sz="4" w:space="0" w:color="DADADA"/>
            </w:tcBorders>
          </w:tcPr>
          <w:p w14:paraId="51669350" w14:textId="77777777" w:rsidR="00251155" w:rsidRDefault="00251155" w:rsidP="0047706A">
            <w:pPr>
              <w:pStyle w:val="TableParagraph"/>
              <w:spacing w:before="47" w:line="184" w:lineRule="auto"/>
              <w:ind w:left="79" w:right="305"/>
              <w:jc w:val="left"/>
              <w:rPr>
                <w:sz w:val="18"/>
              </w:rPr>
            </w:pPr>
            <w:r>
              <w:rPr>
                <w:sz w:val="18"/>
              </w:rPr>
              <w:t xml:space="preserve">Number of statutory </w:t>
            </w:r>
            <w:r>
              <w:rPr>
                <w:w w:val="90"/>
                <w:sz w:val="18"/>
              </w:rPr>
              <w:t xml:space="preserve">appointments </w:t>
            </w:r>
            <w:r>
              <w:rPr>
                <w:sz w:val="18"/>
              </w:rPr>
              <w:t>considered</w:t>
            </w:r>
          </w:p>
        </w:tc>
        <w:tc>
          <w:tcPr>
            <w:tcW w:w="1119" w:type="dxa"/>
            <w:tcBorders>
              <w:top w:val="single" w:sz="4" w:space="0" w:color="000000"/>
              <w:left w:val="single" w:sz="4" w:space="0" w:color="DADADA"/>
              <w:bottom w:val="single" w:sz="4" w:space="0" w:color="000000"/>
              <w:right w:val="single" w:sz="4" w:space="0" w:color="DADADA"/>
            </w:tcBorders>
          </w:tcPr>
          <w:p w14:paraId="672E3309"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7268CB57" w14:textId="77777777" w:rsidR="00251155" w:rsidRDefault="00251155" w:rsidP="0047706A">
            <w:pPr>
              <w:pStyle w:val="TableParagraph"/>
              <w:spacing w:line="258" w:lineRule="exact"/>
              <w:ind w:right="71"/>
              <w:rPr>
                <w:sz w:val="18"/>
              </w:rPr>
            </w:pPr>
            <w:r>
              <w:rPr>
                <w:sz w:val="18"/>
              </w:rPr>
              <w:t>3</w:t>
            </w:r>
          </w:p>
        </w:tc>
        <w:tc>
          <w:tcPr>
            <w:tcW w:w="978" w:type="dxa"/>
            <w:tcBorders>
              <w:top w:val="single" w:sz="4" w:space="0" w:color="000000"/>
              <w:left w:val="single" w:sz="4" w:space="0" w:color="DADADA"/>
              <w:bottom w:val="single" w:sz="4" w:space="0" w:color="000000"/>
              <w:right w:val="single" w:sz="4" w:space="0" w:color="DADADA"/>
            </w:tcBorders>
          </w:tcPr>
          <w:p w14:paraId="394DB819" w14:textId="77777777" w:rsidR="00251155" w:rsidRDefault="00251155" w:rsidP="0047706A">
            <w:pPr>
              <w:pStyle w:val="TableParagraph"/>
              <w:spacing w:line="258" w:lineRule="exact"/>
              <w:ind w:right="71"/>
              <w:rPr>
                <w:sz w:val="18"/>
              </w:rPr>
            </w:pPr>
            <w:r>
              <w:rPr>
                <w:sz w:val="18"/>
              </w:rPr>
              <w:t>33</w:t>
            </w:r>
          </w:p>
        </w:tc>
        <w:tc>
          <w:tcPr>
            <w:tcW w:w="1049" w:type="dxa"/>
            <w:tcBorders>
              <w:top w:val="single" w:sz="4" w:space="0" w:color="000000"/>
              <w:left w:val="single" w:sz="4" w:space="0" w:color="DADADA"/>
              <w:bottom w:val="single" w:sz="4" w:space="0" w:color="000000"/>
              <w:right w:val="single" w:sz="4" w:space="0" w:color="DADADA"/>
            </w:tcBorders>
          </w:tcPr>
          <w:p w14:paraId="759C7BB5" w14:textId="77777777" w:rsidR="00251155" w:rsidRDefault="00251155" w:rsidP="0047706A">
            <w:pPr>
              <w:pStyle w:val="TableParagraph"/>
              <w:spacing w:line="258" w:lineRule="exact"/>
              <w:ind w:right="71"/>
              <w:rPr>
                <w:sz w:val="18"/>
              </w:rPr>
            </w:pPr>
            <w:r>
              <w:rPr>
                <w:sz w:val="18"/>
              </w:rPr>
              <w:t>24</w:t>
            </w:r>
          </w:p>
        </w:tc>
        <w:tc>
          <w:tcPr>
            <w:tcW w:w="907" w:type="dxa"/>
            <w:tcBorders>
              <w:top w:val="single" w:sz="4" w:space="0" w:color="000000"/>
              <w:left w:val="single" w:sz="4" w:space="0" w:color="DADADA"/>
              <w:bottom w:val="single" w:sz="4" w:space="0" w:color="000000"/>
              <w:right w:val="single" w:sz="4" w:space="0" w:color="DADADA"/>
            </w:tcBorders>
          </w:tcPr>
          <w:p w14:paraId="0F42CCC9" w14:textId="77777777" w:rsidR="00251155" w:rsidRDefault="00251155" w:rsidP="0047706A">
            <w:pPr>
              <w:pStyle w:val="TableParagraph"/>
              <w:spacing w:line="258" w:lineRule="exact"/>
              <w:ind w:right="71"/>
              <w:rPr>
                <w:sz w:val="18"/>
              </w:rPr>
            </w:pPr>
            <w:r>
              <w:rPr>
                <w:sz w:val="18"/>
              </w:rPr>
              <w:t>3</w:t>
            </w:r>
          </w:p>
        </w:tc>
        <w:tc>
          <w:tcPr>
            <w:tcW w:w="893" w:type="dxa"/>
            <w:tcBorders>
              <w:top w:val="single" w:sz="4" w:space="0" w:color="000000"/>
              <w:left w:val="single" w:sz="4" w:space="0" w:color="DADADA"/>
              <w:bottom w:val="single" w:sz="4" w:space="0" w:color="000000"/>
              <w:right w:val="single" w:sz="4" w:space="0" w:color="DADADA"/>
            </w:tcBorders>
          </w:tcPr>
          <w:p w14:paraId="10B70294" w14:textId="77777777" w:rsidR="00251155" w:rsidRDefault="00251155" w:rsidP="0047706A">
            <w:pPr>
              <w:pStyle w:val="TableParagraph"/>
              <w:spacing w:line="258" w:lineRule="exact"/>
              <w:ind w:right="71"/>
              <w:rPr>
                <w:sz w:val="18"/>
              </w:rPr>
            </w:pPr>
            <w:r>
              <w:rPr>
                <w:sz w:val="18"/>
              </w:rPr>
              <w:t>59</w:t>
            </w:r>
          </w:p>
        </w:tc>
        <w:tc>
          <w:tcPr>
            <w:tcW w:w="850" w:type="dxa"/>
            <w:tcBorders>
              <w:top w:val="single" w:sz="4" w:space="0" w:color="000000"/>
              <w:left w:val="single" w:sz="4" w:space="0" w:color="DADADA"/>
              <w:bottom w:val="single" w:sz="4" w:space="0" w:color="000000"/>
              <w:right w:val="single" w:sz="4" w:space="0" w:color="DADADA"/>
            </w:tcBorders>
          </w:tcPr>
          <w:p w14:paraId="57EAAD26" w14:textId="77777777" w:rsidR="00251155" w:rsidRDefault="00251155" w:rsidP="0047706A">
            <w:pPr>
              <w:pStyle w:val="TableParagraph"/>
              <w:spacing w:line="258" w:lineRule="exact"/>
              <w:ind w:right="71"/>
              <w:rPr>
                <w:sz w:val="18"/>
              </w:rPr>
            </w:pPr>
            <w:r>
              <w:rPr>
                <w:sz w:val="18"/>
              </w:rPr>
              <w:t>0</w:t>
            </w:r>
          </w:p>
        </w:tc>
        <w:tc>
          <w:tcPr>
            <w:tcW w:w="765" w:type="dxa"/>
            <w:tcBorders>
              <w:top w:val="single" w:sz="4" w:space="0" w:color="000000"/>
              <w:left w:val="single" w:sz="4" w:space="0" w:color="DADADA"/>
              <w:bottom w:val="single" w:sz="4" w:space="0" w:color="000000"/>
              <w:right w:val="single" w:sz="4" w:space="0" w:color="DADADA"/>
            </w:tcBorders>
          </w:tcPr>
          <w:p w14:paraId="61016C49" w14:textId="77777777" w:rsidR="00251155" w:rsidRDefault="00251155" w:rsidP="0047706A">
            <w:pPr>
              <w:pStyle w:val="TableParagraph"/>
              <w:spacing w:line="258" w:lineRule="exact"/>
              <w:ind w:right="71"/>
              <w:rPr>
                <w:sz w:val="18"/>
              </w:rPr>
            </w:pPr>
            <w:r>
              <w:rPr>
                <w:sz w:val="18"/>
              </w:rPr>
              <w:t>1</w:t>
            </w:r>
          </w:p>
        </w:tc>
        <w:tc>
          <w:tcPr>
            <w:tcW w:w="737" w:type="dxa"/>
            <w:tcBorders>
              <w:top w:val="single" w:sz="4" w:space="0" w:color="000000"/>
              <w:left w:val="single" w:sz="4" w:space="0" w:color="DADADA"/>
              <w:bottom w:val="single" w:sz="4" w:space="0" w:color="000000"/>
              <w:right w:val="nil"/>
            </w:tcBorders>
          </w:tcPr>
          <w:p w14:paraId="0EA4126D" w14:textId="77777777" w:rsidR="00251155" w:rsidRDefault="00251155" w:rsidP="0047706A">
            <w:pPr>
              <w:pStyle w:val="TableParagraph"/>
              <w:spacing w:line="258" w:lineRule="exact"/>
              <w:ind w:right="76"/>
              <w:rPr>
                <w:sz w:val="18"/>
              </w:rPr>
            </w:pPr>
            <w:r>
              <w:rPr>
                <w:sz w:val="18"/>
              </w:rPr>
              <w:t>13</w:t>
            </w:r>
          </w:p>
        </w:tc>
      </w:tr>
      <w:tr w:rsidR="00251155" w14:paraId="1EA7632D" w14:textId="77777777" w:rsidTr="00BF1EBD">
        <w:trPr>
          <w:trHeight w:val="498"/>
        </w:trPr>
        <w:tc>
          <w:tcPr>
            <w:tcW w:w="1332" w:type="dxa"/>
            <w:tcBorders>
              <w:top w:val="single" w:sz="4" w:space="0" w:color="000000"/>
              <w:left w:val="nil"/>
              <w:bottom w:val="single" w:sz="4" w:space="0" w:color="000000"/>
              <w:right w:val="single" w:sz="4" w:space="0" w:color="DADADA"/>
            </w:tcBorders>
          </w:tcPr>
          <w:p w14:paraId="523C0F81" w14:textId="77777777" w:rsidR="00251155" w:rsidRDefault="00251155" w:rsidP="0047706A">
            <w:pPr>
              <w:pStyle w:val="TableParagraph"/>
              <w:spacing w:before="47" w:line="184" w:lineRule="auto"/>
              <w:ind w:left="79" w:right="218"/>
              <w:jc w:val="left"/>
              <w:rPr>
                <w:sz w:val="18"/>
              </w:rPr>
            </w:pPr>
            <w:r>
              <w:rPr>
                <w:w w:val="90"/>
                <w:sz w:val="18"/>
              </w:rPr>
              <w:t xml:space="preserve">Number of bills </w:t>
            </w:r>
            <w:r>
              <w:rPr>
                <w:sz w:val="18"/>
              </w:rPr>
              <w:t>considered</w:t>
            </w:r>
          </w:p>
        </w:tc>
        <w:tc>
          <w:tcPr>
            <w:tcW w:w="1119" w:type="dxa"/>
            <w:tcBorders>
              <w:top w:val="single" w:sz="4" w:space="0" w:color="000000"/>
              <w:left w:val="single" w:sz="4" w:space="0" w:color="DADADA"/>
              <w:bottom w:val="single" w:sz="4" w:space="0" w:color="000000"/>
              <w:right w:val="single" w:sz="4" w:space="0" w:color="DADADA"/>
            </w:tcBorders>
          </w:tcPr>
          <w:p w14:paraId="652BAC0A"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5773F637" w14:textId="77777777" w:rsidR="00251155" w:rsidRDefault="00251155" w:rsidP="0047706A">
            <w:pPr>
              <w:pStyle w:val="TableParagraph"/>
              <w:spacing w:line="258" w:lineRule="exact"/>
              <w:ind w:right="71"/>
              <w:rPr>
                <w:sz w:val="18"/>
              </w:rPr>
            </w:pPr>
            <w:r>
              <w:rPr>
                <w:sz w:val="18"/>
              </w:rPr>
              <w:t>0</w:t>
            </w:r>
          </w:p>
        </w:tc>
        <w:tc>
          <w:tcPr>
            <w:tcW w:w="978" w:type="dxa"/>
            <w:tcBorders>
              <w:top w:val="single" w:sz="4" w:space="0" w:color="000000"/>
              <w:left w:val="single" w:sz="4" w:space="0" w:color="DADADA"/>
              <w:bottom w:val="single" w:sz="4" w:space="0" w:color="000000"/>
              <w:right w:val="single" w:sz="4" w:space="0" w:color="DADADA"/>
            </w:tcBorders>
          </w:tcPr>
          <w:p w14:paraId="16B97C1E" w14:textId="77777777" w:rsidR="00251155" w:rsidRDefault="00251155" w:rsidP="0047706A">
            <w:pPr>
              <w:pStyle w:val="TableParagraph"/>
              <w:spacing w:line="258" w:lineRule="exact"/>
              <w:ind w:right="71"/>
              <w:rPr>
                <w:sz w:val="18"/>
              </w:rPr>
            </w:pPr>
            <w:r>
              <w:rPr>
                <w:sz w:val="18"/>
              </w:rPr>
              <w:t>0</w:t>
            </w:r>
          </w:p>
        </w:tc>
        <w:tc>
          <w:tcPr>
            <w:tcW w:w="1049" w:type="dxa"/>
            <w:tcBorders>
              <w:top w:val="single" w:sz="4" w:space="0" w:color="000000"/>
              <w:left w:val="single" w:sz="4" w:space="0" w:color="DADADA"/>
              <w:bottom w:val="single" w:sz="4" w:space="0" w:color="000000"/>
              <w:right w:val="single" w:sz="4" w:space="0" w:color="DADADA"/>
            </w:tcBorders>
          </w:tcPr>
          <w:p w14:paraId="64DB4018" w14:textId="77777777" w:rsidR="00251155" w:rsidRDefault="00251155" w:rsidP="0047706A">
            <w:pPr>
              <w:pStyle w:val="TableParagraph"/>
              <w:spacing w:line="258" w:lineRule="exact"/>
              <w:ind w:right="71"/>
              <w:rPr>
                <w:sz w:val="18"/>
              </w:rPr>
            </w:pPr>
            <w:r>
              <w:rPr>
                <w:sz w:val="18"/>
              </w:rPr>
              <w:t>0</w:t>
            </w:r>
          </w:p>
        </w:tc>
        <w:tc>
          <w:tcPr>
            <w:tcW w:w="907" w:type="dxa"/>
            <w:tcBorders>
              <w:top w:val="single" w:sz="4" w:space="0" w:color="000000"/>
              <w:left w:val="single" w:sz="4" w:space="0" w:color="DADADA"/>
              <w:bottom w:val="single" w:sz="4" w:space="0" w:color="000000"/>
              <w:right w:val="single" w:sz="4" w:space="0" w:color="DADADA"/>
            </w:tcBorders>
          </w:tcPr>
          <w:p w14:paraId="4A36D792" w14:textId="77777777" w:rsidR="00251155" w:rsidRDefault="00251155" w:rsidP="0047706A">
            <w:pPr>
              <w:pStyle w:val="TableParagraph"/>
              <w:spacing w:line="258" w:lineRule="exact"/>
              <w:ind w:right="71"/>
              <w:rPr>
                <w:sz w:val="18"/>
              </w:rPr>
            </w:pPr>
            <w:r>
              <w:rPr>
                <w:sz w:val="18"/>
              </w:rPr>
              <w:t>0</w:t>
            </w:r>
          </w:p>
        </w:tc>
        <w:tc>
          <w:tcPr>
            <w:tcW w:w="893" w:type="dxa"/>
            <w:tcBorders>
              <w:top w:val="single" w:sz="4" w:space="0" w:color="000000"/>
              <w:left w:val="single" w:sz="4" w:space="0" w:color="DADADA"/>
              <w:bottom w:val="single" w:sz="4" w:space="0" w:color="000000"/>
              <w:right w:val="single" w:sz="4" w:space="0" w:color="DADADA"/>
            </w:tcBorders>
          </w:tcPr>
          <w:p w14:paraId="34F8E9BC" w14:textId="77777777" w:rsidR="00251155" w:rsidRDefault="00251155" w:rsidP="0047706A">
            <w:pPr>
              <w:pStyle w:val="TableParagraph"/>
              <w:spacing w:line="258" w:lineRule="exact"/>
              <w:ind w:right="71"/>
              <w:rPr>
                <w:sz w:val="18"/>
              </w:rPr>
            </w:pPr>
            <w:r>
              <w:rPr>
                <w:sz w:val="18"/>
              </w:rPr>
              <w:t>0</w:t>
            </w:r>
          </w:p>
        </w:tc>
        <w:tc>
          <w:tcPr>
            <w:tcW w:w="850" w:type="dxa"/>
            <w:tcBorders>
              <w:top w:val="single" w:sz="4" w:space="0" w:color="000000"/>
              <w:left w:val="single" w:sz="4" w:space="0" w:color="DADADA"/>
              <w:bottom w:val="single" w:sz="4" w:space="0" w:color="000000"/>
              <w:right w:val="single" w:sz="4" w:space="0" w:color="DADADA"/>
            </w:tcBorders>
          </w:tcPr>
          <w:p w14:paraId="4C2BA823" w14:textId="77777777" w:rsidR="00251155" w:rsidRDefault="00251155" w:rsidP="0047706A">
            <w:pPr>
              <w:pStyle w:val="TableParagraph"/>
              <w:spacing w:line="258" w:lineRule="exact"/>
              <w:ind w:right="71"/>
              <w:rPr>
                <w:sz w:val="18"/>
              </w:rPr>
            </w:pPr>
            <w:r>
              <w:rPr>
                <w:sz w:val="18"/>
              </w:rPr>
              <w:t>61</w:t>
            </w:r>
          </w:p>
        </w:tc>
        <w:tc>
          <w:tcPr>
            <w:tcW w:w="765" w:type="dxa"/>
            <w:tcBorders>
              <w:top w:val="single" w:sz="4" w:space="0" w:color="000000"/>
              <w:left w:val="single" w:sz="4" w:space="0" w:color="DADADA"/>
              <w:bottom w:val="single" w:sz="4" w:space="0" w:color="000000"/>
              <w:right w:val="single" w:sz="4" w:space="0" w:color="DADADA"/>
            </w:tcBorders>
          </w:tcPr>
          <w:p w14:paraId="41DE348F" w14:textId="77777777" w:rsidR="00251155" w:rsidRDefault="00251155" w:rsidP="0047706A">
            <w:pPr>
              <w:pStyle w:val="TableParagraph"/>
              <w:spacing w:line="258" w:lineRule="exact"/>
              <w:ind w:right="71"/>
              <w:rPr>
                <w:sz w:val="18"/>
              </w:rPr>
            </w:pPr>
            <w:r>
              <w:rPr>
                <w:sz w:val="18"/>
              </w:rPr>
              <w:t>0</w:t>
            </w:r>
          </w:p>
        </w:tc>
        <w:tc>
          <w:tcPr>
            <w:tcW w:w="737" w:type="dxa"/>
            <w:tcBorders>
              <w:top w:val="single" w:sz="4" w:space="0" w:color="000000"/>
              <w:left w:val="single" w:sz="4" w:space="0" w:color="DADADA"/>
              <w:bottom w:val="single" w:sz="4" w:space="0" w:color="000000"/>
              <w:right w:val="nil"/>
            </w:tcBorders>
          </w:tcPr>
          <w:p w14:paraId="049336BB" w14:textId="77777777" w:rsidR="00251155" w:rsidRDefault="00251155" w:rsidP="0047706A">
            <w:pPr>
              <w:pStyle w:val="TableParagraph"/>
              <w:spacing w:line="258" w:lineRule="exact"/>
              <w:ind w:right="76"/>
              <w:rPr>
                <w:sz w:val="18"/>
              </w:rPr>
            </w:pPr>
            <w:r>
              <w:rPr>
                <w:sz w:val="18"/>
              </w:rPr>
              <w:t>0</w:t>
            </w:r>
          </w:p>
        </w:tc>
      </w:tr>
      <w:tr w:rsidR="00251155" w14:paraId="7497AF35" w14:textId="77777777" w:rsidTr="00BF1EBD">
        <w:trPr>
          <w:trHeight w:val="884"/>
        </w:trPr>
        <w:tc>
          <w:tcPr>
            <w:tcW w:w="1332" w:type="dxa"/>
            <w:tcBorders>
              <w:top w:val="single" w:sz="4" w:space="0" w:color="000000"/>
              <w:left w:val="nil"/>
              <w:bottom w:val="single" w:sz="4" w:space="0" w:color="000000"/>
              <w:right w:val="single" w:sz="4" w:space="0" w:color="DADADA"/>
            </w:tcBorders>
          </w:tcPr>
          <w:p w14:paraId="16947484" w14:textId="77777777" w:rsidR="00251155" w:rsidRDefault="00251155" w:rsidP="0047706A">
            <w:pPr>
              <w:pStyle w:val="TableParagraph"/>
              <w:spacing w:before="47" w:line="184" w:lineRule="auto"/>
              <w:ind w:left="79" w:right="14"/>
              <w:jc w:val="left"/>
              <w:rPr>
                <w:sz w:val="18"/>
              </w:rPr>
            </w:pPr>
            <w:r>
              <w:rPr>
                <w:sz w:val="18"/>
              </w:rPr>
              <w:t xml:space="preserve">Items of </w:t>
            </w:r>
            <w:r>
              <w:rPr>
                <w:w w:val="90"/>
                <w:sz w:val="18"/>
              </w:rPr>
              <w:t xml:space="preserve">subordinate </w:t>
            </w:r>
            <w:r>
              <w:rPr>
                <w:sz w:val="18"/>
              </w:rPr>
              <w:t xml:space="preserve">legislation </w:t>
            </w:r>
            <w:r>
              <w:rPr>
                <w:w w:val="90"/>
                <w:sz w:val="18"/>
              </w:rPr>
              <w:t>considered</w:t>
            </w:r>
          </w:p>
        </w:tc>
        <w:tc>
          <w:tcPr>
            <w:tcW w:w="1119" w:type="dxa"/>
            <w:tcBorders>
              <w:top w:val="single" w:sz="4" w:space="0" w:color="000000"/>
              <w:left w:val="single" w:sz="4" w:space="0" w:color="DADADA"/>
              <w:bottom w:val="single" w:sz="4" w:space="0" w:color="000000"/>
              <w:right w:val="single" w:sz="4" w:space="0" w:color="DADADA"/>
            </w:tcBorders>
          </w:tcPr>
          <w:p w14:paraId="5846A426" w14:textId="77777777" w:rsidR="00251155" w:rsidRDefault="00251155" w:rsidP="0047706A">
            <w:pPr>
              <w:pStyle w:val="TableParagraph"/>
              <w:spacing w:line="258" w:lineRule="exact"/>
              <w:ind w:right="72"/>
              <w:rPr>
                <w:sz w:val="18"/>
              </w:rPr>
            </w:pPr>
            <w:r>
              <w:rPr>
                <w:sz w:val="18"/>
              </w:rPr>
              <w:t>0</w:t>
            </w:r>
          </w:p>
        </w:tc>
        <w:tc>
          <w:tcPr>
            <w:tcW w:w="1006" w:type="dxa"/>
            <w:tcBorders>
              <w:top w:val="single" w:sz="4" w:space="0" w:color="000000"/>
              <w:left w:val="single" w:sz="4" w:space="0" w:color="DADADA"/>
              <w:bottom w:val="single" w:sz="4" w:space="0" w:color="000000"/>
              <w:right w:val="single" w:sz="4" w:space="0" w:color="DADADA"/>
            </w:tcBorders>
          </w:tcPr>
          <w:p w14:paraId="2914287D" w14:textId="77777777" w:rsidR="00251155" w:rsidRDefault="00251155" w:rsidP="0047706A">
            <w:pPr>
              <w:pStyle w:val="TableParagraph"/>
              <w:spacing w:line="258" w:lineRule="exact"/>
              <w:ind w:right="71"/>
              <w:rPr>
                <w:sz w:val="18"/>
              </w:rPr>
            </w:pPr>
            <w:r>
              <w:rPr>
                <w:sz w:val="18"/>
              </w:rPr>
              <w:t>0</w:t>
            </w:r>
          </w:p>
        </w:tc>
        <w:tc>
          <w:tcPr>
            <w:tcW w:w="978" w:type="dxa"/>
            <w:tcBorders>
              <w:top w:val="single" w:sz="4" w:space="0" w:color="000000"/>
              <w:left w:val="single" w:sz="4" w:space="0" w:color="DADADA"/>
              <w:bottom w:val="single" w:sz="4" w:space="0" w:color="000000"/>
              <w:right w:val="single" w:sz="4" w:space="0" w:color="DADADA"/>
            </w:tcBorders>
          </w:tcPr>
          <w:p w14:paraId="0561FF5B" w14:textId="77777777" w:rsidR="00251155" w:rsidRDefault="00251155" w:rsidP="0047706A">
            <w:pPr>
              <w:pStyle w:val="TableParagraph"/>
              <w:spacing w:line="258" w:lineRule="exact"/>
              <w:ind w:right="71"/>
              <w:rPr>
                <w:sz w:val="18"/>
              </w:rPr>
            </w:pPr>
            <w:r>
              <w:rPr>
                <w:sz w:val="18"/>
              </w:rPr>
              <w:t>0</w:t>
            </w:r>
          </w:p>
        </w:tc>
        <w:tc>
          <w:tcPr>
            <w:tcW w:w="1049" w:type="dxa"/>
            <w:tcBorders>
              <w:top w:val="single" w:sz="4" w:space="0" w:color="000000"/>
              <w:left w:val="single" w:sz="4" w:space="0" w:color="DADADA"/>
              <w:bottom w:val="single" w:sz="4" w:space="0" w:color="000000"/>
              <w:right w:val="single" w:sz="4" w:space="0" w:color="DADADA"/>
            </w:tcBorders>
          </w:tcPr>
          <w:p w14:paraId="1B8E0587" w14:textId="77777777" w:rsidR="00251155" w:rsidRDefault="00251155" w:rsidP="0047706A">
            <w:pPr>
              <w:pStyle w:val="TableParagraph"/>
              <w:spacing w:line="258" w:lineRule="exact"/>
              <w:ind w:right="71"/>
              <w:rPr>
                <w:sz w:val="18"/>
              </w:rPr>
            </w:pPr>
            <w:r>
              <w:rPr>
                <w:sz w:val="18"/>
              </w:rPr>
              <w:t>0</w:t>
            </w:r>
          </w:p>
        </w:tc>
        <w:tc>
          <w:tcPr>
            <w:tcW w:w="907" w:type="dxa"/>
            <w:tcBorders>
              <w:top w:val="single" w:sz="4" w:space="0" w:color="000000"/>
              <w:left w:val="single" w:sz="4" w:space="0" w:color="DADADA"/>
              <w:bottom w:val="single" w:sz="4" w:space="0" w:color="000000"/>
              <w:right w:val="single" w:sz="4" w:space="0" w:color="DADADA"/>
            </w:tcBorders>
          </w:tcPr>
          <w:p w14:paraId="3276B9C0" w14:textId="77777777" w:rsidR="00251155" w:rsidRDefault="00251155" w:rsidP="0047706A">
            <w:pPr>
              <w:pStyle w:val="TableParagraph"/>
              <w:spacing w:line="258" w:lineRule="exact"/>
              <w:ind w:right="71"/>
              <w:rPr>
                <w:sz w:val="18"/>
              </w:rPr>
            </w:pPr>
            <w:r>
              <w:rPr>
                <w:sz w:val="18"/>
              </w:rPr>
              <w:t>0</w:t>
            </w:r>
          </w:p>
        </w:tc>
        <w:tc>
          <w:tcPr>
            <w:tcW w:w="893" w:type="dxa"/>
            <w:tcBorders>
              <w:top w:val="single" w:sz="4" w:space="0" w:color="000000"/>
              <w:left w:val="single" w:sz="4" w:space="0" w:color="DADADA"/>
              <w:bottom w:val="single" w:sz="4" w:space="0" w:color="000000"/>
              <w:right w:val="single" w:sz="4" w:space="0" w:color="DADADA"/>
            </w:tcBorders>
          </w:tcPr>
          <w:p w14:paraId="0FC0CCF3" w14:textId="77777777" w:rsidR="00251155" w:rsidRDefault="00251155" w:rsidP="0047706A">
            <w:pPr>
              <w:pStyle w:val="TableParagraph"/>
              <w:spacing w:line="258" w:lineRule="exact"/>
              <w:ind w:right="71"/>
              <w:rPr>
                <w:sz w:val="18"/>
              </w:rPr>
            </w:pPr>
            <w:r>
              <w:rPr>
                <w:sz w:val="18"/>
              </w:rPr>
              <w:t>0</w:t>
            </w:r>
          </w:p>
        </w:tc>
        <w:tc>
          <w:tcPr>
            <w:tcW w:w="850" w:type="dxa"/>
            <w:tcBorders>
              <w:top w:val="single" w:sz="4" w:space="0" w:color="000000"/>
              <w:left w:val="single" w:sz="4" w:space="0" w:color="DADADA"/>
              <w:bottom w:val="single" w:sz="4" w:space="0" w:color="000000"/>
              <w:right w:val="single" w:sz="4" w:space="0" w:color="DADADA"/>
            </w:tcBorders>
          </w:tcPr>
          <w:p w14:paraId="728343B7" w14:textId="77777777" w:rsidR="00251155" w:rsidRDefault="00251155" w:rsidP="0047706A">
            <w:pPr>
              <w:pStyle w:val="TableParagraph"/>
              <w:spacing w:line="258" w:lineRule="exact"/>
              <w:ind w:right="71"/>
              <w:rPr>
                <w:sz w:val="18"/>
              </w:rPr>
            </w:pPr>
            <w:r>
              <w:rPr>
                <w:sz w:val="18"/>
              </w:rPr>
              <w:t>398</w:t>
            </w:r>
          </w:p>
        </w:tc>
        <w:tc>
          <w:tcPr>
            <w:tcW w:w="765" w:type="dxa"/>
            <w:tcBorders>
              <w:top w:val="single" w:sz="4" w:space="0" w:color="000000"/>
              <w:left w:val="single" w:sz="4" w:space="0" w:color="DADADA"/>
              <w:bottom w:val="single" w:sz="4" w:space="0" w:color="000000"/>
              <w:right w:val="single" w:sz="4" w:space="0" w:color="DADADA"/>
            </w:tcBorders>
          </w:tcPr>
          <w:p w14:paraId="30C9C196" w14:textId="77777777" w:rsidR="00251155" w:rsidRDefault="00251155" w:rsidP="0047706A">
            <w:pPr>
              <w:pStyle w:val="TableParagraph"/>
              <w:spacing w:line="258" w:lineRule="exact"/>
              <w:ind w:right="71"/>
              <w:rPr>
                <w:sz w:val="18"/>
              </w:rPr>
            </w:pPr>
            <w:r>
              <w:rPr>
                <w:sz w:val="18"/>
              </w:rPr>
              <w:t>0</w:t>
            </w:r>
          </w:p>
        </w:tc>
        <w:tc>
          <w:tcPr>
            <w:tcW w:w="737" w:type="dxa"/>
            <w:tcBorders>
              <w:top w:val="single" w:sz="4" w:space="0" w:color="000000"/>
              <w:left w:val="single" w:sz="4" w:space="0" w:color="DADADA"/>
              <w:bottom w:val="single" w:sz="4" w:space="0" w:color="000000"/>
              <w:right w:val="nil"/>
            </w:tcBorders>
          </w:tcPr>
          <w:p w14:paraId="471465F1" w14:textId="77777777" w:rsidR="00251155" w:rsidRDefault="00251155" w:rsidP="0047706A">
            <w:pPr>
              <w:pStyle w:val="TableParagraph"/>
              <w:spacing w:line="258" w:lineRule="exact"/>
              <w:ind w:right="76"/>
              <w:rPr>
                <w:sz w:val="18"/>
              </w:rPr>
            </w:pPr>
            <w:r>
              <w:rPr>
                <w:sz w:val="18"/>
              </w:rPr>
              <w:t>0</w:t>
            </w:r>
          </w:p>
        </w:tc>
      </w:tr>
    </w:tbl>
    <w:p w14:paraId="7A296A3A" w14:textId="77777777" w:rsidR="00251155" w:rsidRPr="00BF1EBD" w:rsidRDefault="00251155" w:rsidP="00BF1EBD">
      <w:pPr>
        <w:pStyle w:val="BodyText"/>
      </w:pPr>
    </w:p>
    <w:p w14:paraId="21DD3B84" w14:textId="77777777" w:rsidR="00251155" w:rsidRDefault="00251155" w:rsidP="00BF1EBD">
      <w:pPr>
        <w:spacing w:before="1"/>
        <w:rPr>
          <w:rFonts w:ascii="Calibri"/>
          <w:sz w:val="18"/>
        </w:rPr>
      </w:pPr>
      <w:r>
        <w:rPr>
          <w:rFonts w:ascii="Calibri"/>
          <w:sz w:val="18"/>
        </w:rPr>
        <w:t>* Committees supported by Chamber Support.</w:t>
      </w:r>
    </w:p>
    <w:p w14:paraId="3F4107F3" w14:textId="77777777" w:rsidR="00251155" w:rsidRDefault="00251155" w:rsidP="00BF1EBD">
      <w:pPr>
        <w:rPr>
          <w:rFonts w:ascii="Calibri"/>
          <w:sz w:val="18"/>
        </w:rPr>
        <w:sectPr w:rsidR="00251155" w:rsidSect="00262156">
          <w:headerReference w:type="even" r:id="rId57"/>
          <w:footerReference w:type="even" r:id="rId58"/>
          <w:pgSz w:w="11910" w:h="16840"/>
          <w:pgMar w:top="1580" w:right="0" w:bottom="720" w:left="980" w:header="567" w:footer="567" w:gutter="0"/>
          <w:pgNumType w:start="66"/>
          <w:cols w:space="720"/>
          <w:docGrid w:linePitch="299"/>
        </w:sectPr>
      </w:pPr>
    </w:p>
    <w:p w14:paraId="6AF16BE2" w14:textId="77777777" w:rsidR="00251155" w:rsidRDefault="00251155" w:rsidP="00F74670">
      <w:pPr>
        <w:pStyle w:val="Heading3"/>
      </w:pPr>
      <w:r>
        <w:lastRenderedPageBreak/>
        <w:t>Select Committees</w:t>
      </w:r>
    </w:p>
    <w:tbl>
      <w:tblPr>
        <w:tblW w:w="0" w:type="auto"/>
        <w:tblBorders>
          <w:top w:val="single" w:sz="8" w:space="0" w:color="7098D0"/>
          <w:left w:val="single" w:sz="8" w:space="0" w:color="7098D0"/>
          <w:bottom w:val="single" w:sz="8" w:space="0" w:color="7098D0"/>
          <w:right w:val="single" w:sz="8" w:space="0" w:color="7098D0"/>
          <w:insideH w:val="single" w:sz="8" w:space="0" w:color="7098D0"/>
          <w:insideV w:val="single" w:sz="8" w:space="0" w:color="7098D0"/>
        </w:tblBorders>
        <w:tblLayout w:type="fixed"/>
        <w:tblCellMar>
          <w:left w:w="0" w:type="dxa"/>
          <w:right w:w="0" w:type="dxa"/>
        </w:tblCellMar>
        <w:tblLook w:val="01E0" w:firstRow="1" w:lastRow="1" w:firstColumn="1" w:lastColumn="1" w:noHBand="0" w:noVBand="0"/>
      </w:tblPr>
      <w:tblGrid>
        <w:gridCol w:w="3076"/>
        <w:gridCol w:w="1063"/>
        <w:gridCol w:w="1020"/>
        <w:gridCol w:w="992"/>
        <w:gridCol w:w="1219"/>
        <w:gridCol w:w="1219"/>
        <w:gridCol w:w="1054"/>
      </w:tblGrid>
      <w:tr w:rsidR="00251155" w14:paraId="2398903D" w14:textId="77777777" w:rsidTr="00BF1EBD">
        <w:trPr>
          <w:trHeight w:val="963"/>
        </w:trPr>
        <w:tc>
          <w:tcPr>
            <w:tcW w:w="3076" w:type="dxa"/>
            <w:tcBorders>
              <w:top w:val="nil"/>
              <w:left w:val="nil"/>
              <w:bottom w:val="nil"/>
            </w:tcBorders>
            <w:shd w:val="clear" w:color="auto" w:fill="89A7D7"/>
            <w:vAlign w:val="bottom"/>
          </w:tcPr>
          <w:p w14:paraId="2F8A8F84" w14:textId="77777777" w:rsidR="00251155" w:rsidRDefault="00251155" w:rsidP="0088225B">
            <w:pPr>
              <w:pStyle w:val="TableParagraph"/>
              <w:jc w:val="left"/>
              <w:rPr>
                <w:b/>
                <w:sz w:val="16"/>
              </w:rPr>
            </w:pPr>
            <w:r>
              <w:rPr>
                <w:b/>
                <w:sz w:val="16"/>
              </w:rPr>
              <w:t>Activity</w:t>
            </w:r>
          </w:p>
        </w:tc>
        <w:tc>
          <w:tcPr>
            <w:tcW w:w="1063" w:type="dxa"/>
            <w:tcBorders>
              <w:top w:val="nil"/>
              <w:bottom w:val="nil"/>
            </w:tcBorders>
            <w:shd w:val="clear" w:color="auto" w:fill="89A7D7"/>
            <w:vAlign w:val="bottom"/>
          </w:tcPr>
          <w:p w14:paraId="0B99DA22" w14:textId="08163C72" w:rsidR="00251155" w:rsidRDefault="00251155" w:rsidP="0088225B">
            <w:pPr>
              <w:pStyle w:val="TableParagraph"/>
              <w:spacing w:before="107" w:line="205" w:lineRule="exact"/>
              <w:rPr>
                <w:b/>
                <w:sz w:val="16"/>
              </w:rPr>
            </w:pPr>
            <w:r>
              <w:rPr>
                <w:b/>
                <w:sz w:val="16"/>
              </w:rPr>
              <w:t>2016 ACT</w:t>
            </w:r>
            <w:r w:rsidR="0088225B">
              <w:rPr>
                <w:b/>
                <w:sz w:val="16"/>
              </w:rPr>
              <w:t xml:space="preserve"> </w:t>
            </w:r>
            <w:r>
              <w:rPr>
                <w:b/>
                <w:sz w:val="16"/>
              </w:rPr>
              <w:t>Election and Electoral Act</w:t>
            </w:r>
          </w:p>
        </w:tc>
        <w:tc>
          <w:tcPr>
            <w:tcW w:w="1020" w:type="dxa"/>
            <w:tcBorders>
              <w:top w:val="nil"/>
              <w:bottom w:val="nil"/>
            </w:tcBorders>
            <w:shd w:val="clear" w:color="auto" w:fill="89A7D7"/>
            <w:vAlign w:val="bottom"/>
          </w:tcPr>
          <w:p w14:paraId="64A48516" w14:textId="77777777" w:rsidR="00251155" w:rsidRDefault="00251155" w:rsidP="0088225B">
            <w:pPr>
              <w:pStyle w:val="TableParagraph"/>
              <w:spacing w:before="134" w:line="187" w:lineRule="auto"/>
              <w:ind w:right="67"/>
              <w:rPr>
                <w:b/>
                <w:sz w:val="16"/>
              </w:rPr>
            </w:pPr>
            <w:r>
              <w:rPr>
                <w:b/>
                <w:w w:val="95"/>
                <w:sz w:val="16"/>
              </w:rPr>
              <w:t>Estimates 2017-2018</w:t>
            </w:r>
          </w:p>
        </w:tc>
        <w:tc>
          <w:tcPr>
            <w:tcW w:w="992" w:type="dxa"/>
            <w:tcBorders>
              <w:top w:val="nil"/>
              <w:bottom w:val="nil"/>
            </w:tcBorders>
            <w:shd w:val="clear" w:color="auto" w:fill="89A7D7"/>
            <w:vAlign w:val="bottom"/>
          </w:tcPr>
          <w:p w14:paraId="70632DAE" w14:textId="77777777" w:rsidR="00251155" w:rsidRDefault="00251155" w:rsidP="0088225B">
            <w:pPr>
              <w:pStyle w:val="TableParagraph"/>
              <w:spacing w:before="134" w:line="187" w:lineRule="auto"/>
              <w:ind w:right="67"/>
              <w:rPr>
                <w:b/>
                <w:sz w:val="16"/>
              </w:rPr>
            </w:pPr>
            <w:r>
              <w:rPr>
                <w:b/>
                <w:w w:val="95"/>
                <w:sz w:val="16"/>
              </w:rPr>
              <w:t>Estimates 2018-2019</w:t>
            </w:r>
          </w:p>
        </w:tc>
        <w:tc>
          <w:tcPr>
            <w:tcW w:w="1219" w:type="dxa"/>
            <w:tcBorders>
              <w:top w:val="nil"/>
              <w:bottom w:val="nil"/>
            </w:tcBorders>
            <w:shd w:val="clear" w:color="auto" w:fill="89A7D7"/>
            <w:vAlign w:val="bottom"/>
          </w:tcPr>
          <w:p w14:paraId="1A499DDC" w14:textId="6ADEA490" w:rsidR="00251155" w:rsidRDefault="00251155" w:rsidP="0088225B">
            <w:pPr>
              <w:pStyle w:val="TableParagraph"/>
              <w:spacing w:before="107" w:line="205" w:lineRule="exact"/>
              <w:rPr>
                <w:b/>
                <w:sz w:val="16"/>
              </w:rPr>
            </w:pPr>
            <w:r>
              <w:rPr>
                <w:b/>
                <w:sz w:val="16"/>
              </w:rPr>
              <w:t>Independent</w:t>
            </w:r>
            <w:r w:rsidR="0088225B">
              <w:rPr>
                <w:b/>
                <w:sz w:val="16"/>
              </w:rPr>
              <w:t xml:space="preserve"> </w:t>
            </w:r>
            <w:r>
              <w:rPr>
                <w:b/>
                <w:sz w:val="16"/>
              </w:rPr>
              <w:t xml:space="preserve">Integrity </w:t>
            </w:r>
            <w:r>
              <w:rPr>
                <w:b/>
                <w:w w:val="95"/>
                <w:sz w:val="16"/>
              </w:rPr>
              <w:t>Commission</w:t>
            </w:r>
          </w:p>
        </w:tc>
        <w:tc>
          <w:tcPr>
            <w:tcW w:w="1219" w:type="dxa"/>
            <w:tcBorders>
              <w:top w:val="nil"/>
              <w:bottom w:val="nil"/>
            </w:tcBorders>
            <w:shd w:val="clear" w:color="auto" w:fill="89A7D7"/>
            <w:vAlign w:val="bottom"/>
          </w:tcPr>
          <w:p w14:paraId="769828C1" w14:textId="24D3338F" w:rsidR="00251155" w:rsidRDefault="00251155" w:rsidP="0088225B">
            <w:pPr>
              <w:pStyle w:val="TableParagraph"/>
              <w:spacing w:before="122" w:line="205" w:lineRule="exact"/>
              <w:ind w:left="278"/>
              <w:rPr>
                <w:b/>
                <w:sz w:val="16"/>
              </w:rPr>
            </w:pPr>
            <w:r>
              <w:rPr>
                <w:b/>
                <w:sz w:val="16"/>
              </w:rPr>
              <w:t>Independent</w:t>
            </w:r>
            <w:r w:rsidR="0088225B">
              <w:rPr>
                <w:b/>
                <w:sz w:val="16"/>
              </w:rPr>
              <w:t xml:space="preserve"> </w:t>
            </w:r>
            <w:r>
              <w:rPr>
                <w:b/>
                <w:w w:val="95"/>
                <w:sz w:val="16"/>
              </w:rPr>
              <w:t>Integrit</w:t>
            </w:r>
            <w:r w:rsidR="0088225B">
              <w:rPr>
                <w:b/>
                <w:w w:val="95"/>
                <w:sz w:val="16"/>
              </w:rPr>
              <w:t xml:space="preserve">y </w:t>
            </w:r>
            <w:r>
              <w:rPr>
                <w:b/>
                <w:w w:val="95"/>
                <w:sz w:val="16"/>
              </w:rPr>
              <w:t>Commission</w:t>
            </w:r>
            <w:r w:rsidR="0088225B">
              <w:rPr>
                <w:b/>
                <w:w w:val="95"/>
                <w:sz w:val="16"/>
              </w:rPr>
              <w:t xml:space="preserve"> </w:t>
            </w:r>
            <w:r>
              <w:rPr>
                <w:b/>
                <w:w w:val="95"/>
                <w:sz w:val="16"/>
              </w:rPr>
              <w:t>2018</w:t>
            </w:r>
          </w:p>
        </w:tc>
        <w:tc>
          <w:tcPr>
            <w:tcW w:w="1054" w:type="dxa"/>
            <w:tcBorders>
              <w:top w:val="nil"/>
              <w:bottom w:val="nil"/>
              <w:right w:val="nil"/>
            </w:tcBorders>
            <w:shd w:val="clear" w:color="auto" w:fill="89A7D7"/>
            <w:vAlign w:val="bottom"/>
          </w:tcPr>
          <w:p w14:paraId="13DD15C3" w14:textId="32E5A9E3" w:rsidR="00251155" w:rsidRPr="0088225B" w:rsidRDefault="00251155" w:rsidP="0088225B">
            <w:pPr>
              <w:pStyle w:val="TableParagraph"/>
              <w:spacing w:line="205" w:lineRule="exact"/>
              <w:rPr>
                <w:b/>
                <w:sz w:val="16"/>
              </w:rPr>
            </w:pPr>
            <w:r>
              <w:rPr>
                <w:b/>
                <w:sz w:val="16"/>
              </w:rPr>
              <w:t>Privileges</w:t>
            </w:r>
            <w:r w:rsidR="0088225B">
              <w:rPr>
                <w:b/>
                <w:sz w:val="16"/>
              </w:rPr>
              <w:t xml:space="preserve"> </w:t>
            </w:r>
            <w:r>
              <w:rPr>
                <w:b/>
                <w:sz w:val="16"/>
              </w:rPr>
              <w:t>2018</w:t>
            </w:r>
            <w:r>
              <w:rPr>
                <w:b/>
                <w:position w:val="5"/>
                <w:sz w:val="9"/>
              </w:rPr>
              <w:t>#</w:t>
            </w:r>
          </w:p>
        </w:tc>
      </w:tr>
      <w:tr w:rsidR="00251155" w14:paraId="2369E8A6" w14:textId="77777777" w:rsidTr="00BF1EBD">
        <w:trPr>
          <w:trHeight w:val="386"/>
        </w:trPr>
        <w:tc>
          <w:tcPr>
            <w:tcW w:w="3076" w:type="dxa"/>
            <w:tcBorders>
              <w:top w:val="nil"/>
              <w:left w:val="nil"/>
              <w:bottom w:val="single" w:sz="4" w:space="0" w:color="000000"/>
              <w:right w:val="single" w:sz="4" w:space="0" w:color="DADADA"/>
            </w:tcBorders>
          </w:tcPr>
          <w:p w14:paraId="2EE2490E" w14:textId="77777777" w:rsidR="00251155" w:rsidRDefault="00251155" w:rsidP="0047706A">
            <w:pPr>
              <w:pStyle w:val="TableParagraph"/>
              <w:spacing w:before="50"/>
              <w:ind w:left="79"/>
              <w:jc w:val="left"/>
              <w:rPr>
                <w:sz w:val="18"/>
              </w:rPr>
            </w:pPr>
            <w:r>
              <w:rPr>
                <w:sz w:val="18"/>
              </w:rPr>
              <w:t>Number of committee meetings (total)</w:t>
            </w:r>
          </w:p>
        </w:tc>
        <w:tc>
          <w:tcPr>
            <w:tcW w:w="1063" w:type="dxa"/>
            <w:tcBorders>
              <w:top w:val="nil"/>
              <w:left w:val="single" w:sz="4" w:space="0" w:color="DADADA"/>
              <w:bottom w:val="single" w:sz="4" w:space="0" w:color="000000"/>
              <w:right w:val="dashed" w:sz="4" w:space="0" w:color="DADADA"/>
            </w:tcBorders>
          </w:tcPr>
          <w:p w14:paraId="3A197035" w14:textId="77777777" w:rsidR="00251155" w:rsidRDefault="00251155" w:rsidP="0047706A">
            <w:pPr>
              <w:pStyle w:val="TableParagraph"/>
              <w:spacing w:before="50"/>
              <w:ind w:right="73"/>
              <w:rPr>
                <w:sz w:val="18"/>
              </w:rPr>
            </w:pPr>
            <w:r>
              <w:rPr>
                <w:sz w:val="18"/>
              </w:rPr>
              <w:t>13</w:t>
            </w:r>
          </w:p>
        </w:tc>
        <w:tc>
          <w:tcPr>
            <w:tcW w:w="1020" w:type="dxa"/>
            <w:tcBorders>
              <w:top w:val="nil"/>
              <w:left w:val="dashed" w:sz="4" w:space="0" w:color="DADADA"/>
              <w:bottom w:val="single" w:sz="4" w:space="0" w:color="000000"/>
              <w:right w:val="dashed" w:sz="4" w:space="0" w:color="DADADA"/>
            </w:tcBorders>
          </w:tcPr>
          <w:p w14:paraId="7CF27E16" w14:textId="77777777" w:rsidR="00251155" w:rsidRDefault="00251155" w:rsidP="0047706A">
            <w:pPr>
              <w:pStyle w:val="TableParagraph"/>
              <w:spacing w:before="50"/>
              <w:ind w:right="72"/>
              <w:rPr>
                <w:sz w:val="18"/>
              </w:rPr>
            </w:pPr>
            <w:r>
              <w:rPr>
                <w:sz w:val="18"/>
              </w:rPr>
              <w:t>20</w:t>
            </w:r>
          </w:p>
        </w:tc>
        <w:tc>
          <w:tcPr>
            <w:tcW w:w="992" w:type="dxa"/>
            <w:tcBorders>
              <w:top w:val="nil"/>
              <w:left w:val="dashed" w:sz="4" w:space="0" w:color="DADADA"/>
              <w:bottom w:val="single" w:sz="4" w:space="0" w:color="000000"/>
              <w:right w:val="dashed" w:sz="4" w:space="0" w:color="DADADA"/>
            </w:tcBorders>
          </w:tcPr>
          <w:p w14:paraId="7DDC1437" w14:textId="77777777" w:rsidR="00251155" w:rsidRDefault="00251155" w:rsidP="0047706A">
            <w:pPr>
              <w:pStyle w:val="TableParagraph"/>
              <w:spacing w:before="50"/>
              <w:ind w:right="72"/>
              <w:rPr>
                <w:sz w:val="18"/>
              </w:rPr>
            </w:pPr>
            <w:r>
              <w:rPr>
                <w:sz w:val="18"/>
              </w:rPr>
              <w:t>7</w:t>
            </w:r>
          </w:p>
        </w:tc>
        <w:tc>
          <w:tcPr>
            <w:tcW w:w="1219" w:type="dxa"/>
            <w:tcBorders>
              <w:top w:val="nil"/>
              <w:left w:val="dashed" w:sz="4" w:space="0" w:color="DADADA"/>
              <w:bottom w:val="single" w:sz="4" w:space="0" w:color="000000"/>
              <w:right w:val="dashed" w:sz="4" w:space="0" w:color="DADADA"/>
            </w:tcBorders>
          </w:tcPr>
          <w:p w14:paraId="7F00767E" w14:textId="77777777" w:rsidR="00251155" w:rsidRDefault="00251155" w:rsidP="0047706A">
            <w:pPr>
              <w:pStyle w:val="TableParagraph"/>
              <w:spacing w:before="50"/>
              <w:ind w:right="72"/>
              <w:rPr>
                <w:sz w:val="18"/>
              </w:rPr>
            </w:pPr>
            <w:r>
              <w:rPr>
                <w:sz w:val="18"/>
              </w:rPr>
              <w:t>20</w:t>
            </w:r>
          </w:p>
        </w:tc>
        <w:tc>
          <w:tcPr>
            <w:tcW w:w="1219" w:type="dxa"/>
            <w:tcBorders>
              <w:top w:val="nil"/>
              <w:left w:val="dashed" w:sz="4" w:space="0" w:color="DADADA"/>
              <w:bottom w:val="single" w:sz="4" w:space="0" w:color="000000"/>
              <w:right w:val="dashed" w:sz="4" w:space="0" w:color="DADADA"/>
            </w:tcBorders>
          </w:tcPr>
          <w:p w14:paraId="4FCEAAFF" w14:textId="77777777" w:rsidR="00251155" w:rsidRDefault="00251155" w:rsidP="0047706A">
            <w:pPr>
              <w:pStyle w:val="TableParagraph"/>
              <w:spacing w:before="50"/>
              <w:ind w:right="72"/>
              <w:rPr>
                <w:sz w:val="18"/>
              </w:rPr>
            </w:pPr>
            <w:r>
              <w:rPr>
                <w:sz w:val="18"/>
              </w:rPr>
              <w:t>18</w:t>
            </w:r>
          </w:p>
        </w:tc>
        <w:tc>
          <w:tcPr>
            <w:tcW w:w="1054" w:type="dxa"/>
            <w:tcBorders>
              <w:top w:val="nil"/>
              <w:left w:val="dashed" w:sz="4" w:space="0" w:color="DADADA"/>
              <w:bottom w:val="single" w:sz="4" w:space="0" w:color="000000"/>
              <w:right w:val="nil"/>
            </w:tcBorders>
          </w:tcPr>
          <w:p w14:paraId="4682CFC7" w14:textId="77777777" w:rsidR="00251155" w:rsidRDefault="00251155" w:rsidP="0047706A">
            <w:pPr>
              <w:pStyle w:val="TableParagraph"/>
              <w:spacing w:before="50"/>
              <w:ind w:right="78"/>
              <w:rPr>
                <w:sz w:val="18"/>
              </w:rPr>
            </w:pPr>
            <w:r>
              <w:rPr>
                <w:sz w:val="18"/>
              </w:rPr>
              <w:t>2</w:t>
            </w:r>
          </w:p>
        </w:tc>
      </w:tr>
      <w:tr w:rsidR="00251155" w14:paraId="4ECCC921"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310EFC9A" w14:textId="77777777" w:rsidR="00251155" w:rsidRDefault="00251155" w:rsidP="0047706A">
            <w:pPr>
              <w:pStyle w:val="TableParagraph"/>
              <w:spacing w:before="50"/>
              <w:ind w:left="79"/>
              <w:jc w:val="left"/>
              <w:rPr>
                <w:sz w:val="18"/>
              </w:rPr>
            </w:pPr>
            <w:r>
              <w:rPr>
                <w:sz w:val="18"/>
              </w:rPr>
              <w:t>Number of private meetings</w:t>
            </w:r>
          </w:p>
        </w:tc>
        <w:tc>
          <w:tcPr>
            <w:tcW w:w="1063" w:type="dxa"/>
            <w:tcBorders>
              <w:top w:val="single" w:sz="4" w:space="0" w:color="000000"/>
              <w:left w:val="single" w:sz="4" w:space="0" w:color="DADADA"/>
              <w:bottom w:val="single" w:sz="4" w:space="0" w:color="000000"/>
              <w:right w:val="dashed" w:sz="4" w:space="0" w:color="DADADA"/>
            </w:tcBorders>
          </w:tcPr>
          <w:p w14:paraId="26FD60AF" w14:textId="77777777" w:rsidR="00251155" w:rsidRDefault="00251155" w:rsidP="0047706A">
            <w:pPr>
              <w:pStyle w:val="TableParagraph"/>
              <w:spacing w:before="50"/>
              <w:ind w:right="73"/>
              <w:rPr>
                <w:sz w:val="18"/>
              </w:rPr>
            </w:pPr>
            <w:r>
              <w:rPr>
                <w:sz w:val="18"/>
              </w:rPr>
              <w:t>7</w:t>
            </w:r>
          </w:p>
        </w:tc>
        <w:tc>
          <w:tcPr>
            <w:tcW w:w="1020" w:type="dxa"/>
            <w:tcBorders>
              <w:top w:val="single" w:sz="4" w:space="0" w:color="000000"/>
              <w:left w:val="dashed" w:sz="4" w:space="0" w:color="DADADA"/>
              <w:bottom w:val="single" w:sz="4" w:space="0" w:color="000000"/>
              <w:right w:val="dashed" w:sz="4" w:space="0" w:color="DADADA"/>
            </w:tcBorders>
          </w:tcPr>
          <w:p w14:paraId="6172F104" w14:textId="77777777" w:rsidR="00251155" w:rsidRDefault="00251155" w:rsidP="0047706A">
            <w:pPr>
              <w:pStyle w:val="TableParagraph"/>
              <w:spacing w:before="50"/>
              <w:ind w:right="72"/>
              <w:rPr>
                <w:sz w:val="18"/>
              </w:rPr>
            </w:pPr>
            <w:r>
              <w:rPr>
                <w:sz w:val="18"/>
              </w:rPr>
              <w:t>11</w:t>
            </w:r>
          </w:p>
        </w:tc>
        <w:tc>
          <w:tcPr>
            <w:tcW w:w="992" w:type="dxa"/>
            <w:tcBorders>
              <w:top w:val="single" w:sz="4" w:space="0" w:color="000000"/>
              <w:left w:val="dashed" w:sz="4" w:space="0" w:color="DADADA"/>
              <w:bottom w:val="single" w:sz="4" w:space="0" w:color="000000"/>
              <w:right w:val="dashed" w:sz="4" w:space="0" w:color="DADADA"/>
            </w:tcBorders>
          </w:tcPr>
          <w:p w14:paraId="1194FF52" w14:textId="77777777" w:rsidR="00251155" w:rsidRDefault="00251155" w:rsidP="0047706A">
            <w:pPr>
              <w:pStyle w:val="TableParagraph"/>
              <w:spacing w:before="50"/>
              <w:ind w:right="72"/>
              <w:rPr>
                <w:sz w:val="18"/>
              </w:rPr>
            </w:pPr>
            <w:r>
              <w:rPr>
                <w:sz w:val="18"/>
              </w:rPr>
              <w:t>6</w:t>
            </w:r>
          </w:p>
        </w:tc>
        <w:tc>
          <w:tcPr>
            <w:tcW w:w="1219" w:type="dxa"/>
            <w:tcBorders>
              <w:top w:val="single" w:sz="4" w:space="0" w:color="000000"/>
              <w:left w:val="dashed" w:sz="4" w:space="0" w:color="DADADA"/>
              <w:bottom w:val="single" w:sz="4" w:space="0" w:color="000000"/>
              <w:right w:val="dashed" w:sz="4" w:space="0" w:color="DADADA"/>
            </w:tcBorders>
          </w:tcPr>
          <w:p w14:paraId="1C13B09A" w14:textId="77777777" w:rsidR="00251155" w:rsidRDefault="00251155" w:rsidP="0047706A">
            <w:pPr>
              <w:pStyle w:val="TableParagraph"/>
              <w:spacing w:before="50"/>
              <w:ind w:right="72"/>
              <w:rPr>
                <w:sz w:val="18"/>
              </w:rPr>
            </w:pPr>
            <w:r>
              <w:rPr>
                <w:sz w:val="18"/>
              </w:rPr>
              <w:t>11</w:t>
            </w:r>
          </w:p>
        </w:tc>
        <w:tc>
          <w:tcPr>
            <w:tcW w:w="1219" w:type="dxa"/>
            <w:tcBorders>
              <w:top w:val="single" w:sz="4" w:space="0" w:color="000000"/>
              <w:left w:val="dashed" w:sz="4" w:space="0" w:color="DADADA"/>
              <w:bottom w:val="single" w:sz="4" w:space="0" w:color="000000"/>
              <w:right w:val="dashed" w:sz="4" w:space="0" w:color="DADADA"/>
            </w:tcBorders>
          </w:tcPr>
          <w:p w14:paraId="3A6AC62F" w14:textId="77777777" w:rsidR="00251155" w:rsidRDefault="00251155" w:rsidP="0047706A">
            <w:pPr>
              <w:pStyle w:val="TableParagraph"/>
              <w:spacing w:before="50"/>
              <w:ind w:right="72"/>
              <w:rPr>
                <w:sz w:val="18"/>
              </w:rPr>
            </w:pPr>
            <w:r>
              <w:rPr>
                <w:sz w:val="18"/>
              </w:rPr>
              <w:t>14</w:t>
            </w:r>
          </w:p>
        </w:tc>
        <w:tc>
          <w:tcPr>
            <w:tcW w:w="1054" w:type="dxa"/>
            <w:tcBorders>
              <w:top w:val="single" w:sz="4" w:space="0" w:color="000000"/>
              <w:left w:val="dashed" w:sz="4" w:space="0" w:color="DADADA"/>
              <w:bottom w:val="single" w:sz="4" w:space="0" w:color="000000"/>
              <w:right w:val="nil"/>
            </w:tcBorders>
          </w:tcPr>
          <w:p w14:paraId="2D41C26E" w14:textId="77777777" w:rsidR="00251155" w:rsidRDefault="00251155" w:rsidP="0047706A">
            <w:pPr>
              <w:pStyle w:val="TableParagraph"/>
              <w:spacing w:before="50"/>
              <w:ind w:right="78"/>
              <w:rPr>
                <w:sz w:val="18"/>
              </w:rPr>
            </w:pPr>
            <w:r>
              <w:rPr>
                <w:sz w:val="18"/>
              </w:rPr>
              <w:t>2</w:t>
            </w:r>
          </w:p>
        </w:tc>
      </w:tr>
      <w:tr w:rsidR="00251155" w14:paraId="65278857"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214CE8A8" w14:textId="77777777" w:rsidR="00251155" w:rsidRDefault="00251155" w:rsidP="0047706A">
            <w:pPr>
              <w:pStyle w:val="TableParagraph"/>
              <w:spacing w:before="50"/>
              <w:ind w:left="80"/>
              <w:jc w:val="left"/>
              <w:rPr>
                <w:sz w:val="18"/>
              </w:rPr>
            </w:pPr>
            <w:r>
              <w:rPr>
                <w:sz w:val="18"/>
              </w:rPr>
              <w:t>Number of public hearings</w:t>
            </w:r>
          </w:p>
        </w:tc>
        <w:tc>
          <w:tcPr>
            <w:tcW w:w="1063" w:type="dxa"/>
            <w:tcBorders>
              <w:top w:val="single" w:sz="4" w:space="0" w:color="000000"/>
              <w:left w:val="single" w:sz="4" w:space="0" w:color="DADADA"/>
              <w:bottom w:val="single" w:sz="4" w:space="0" w:color="000000"/>
              <w:right w:val="dashed" w:sz="4" w:space="0" w:color="DADADA"/>
            </w:tcBorders>
          </w:tcPr>
          <w:p w14:paraId="1E863D90" w14:textId="77777777" w:rsidR="00251155" w:rsidRDefault="00251155" w:rsidP="0047706A">
            <w:pPr>
              <w:pStyle w:val="TableParagraph"/>
              <w:spacing w:before="50"/>
              <w:ind w:right="73"/>
              <w:rPr>
                <w:sz w:val="18"/>
              </w:rPr>
            </w:pPr>
            <w:r>
              <w:rPr>
                <w:sz w:val="18"/>
              </w:rPr>
              <w:t>3</w:t>
            </w:r>
          </w:p>
        </w:tc>
        <w:tc>
          <w:tcPr>
            <w:tcW w:w="1020" w:type="dxa"/>
            <w:tcBorders>
              <w:top w:val="single" w:sz="4" w:space="0" w:color="000000"/>
              <w:left w:val="dashed" w:sz="4" w:space="0" w:color="DADADA"/>
              <w:bottom w:val="single" w:sz="4" w:space="0" w:color="000000"/>
              <w:right w:val="dashed" w:sz="4" w:space="0" w:color="DADADA"/>
            </w:tcBorders>
          </w:tcPr>
          <w:p w14:paraId="1EF4908F" w14:textId="77777777" w:rsidR="00251155" w:rsidRDefault="00251155" w:rsidP="0047706A">
            <w:pPr>
              <w:pStyle w:val="TableParagraph"/>
              <w:spacing w:before="50"/>
              <w:ind w:right="72"/>
              <w:rPr>
                <w:sz w:val="18"/>
              </w:rPr>
            </w:pPr>
            <w:r>
              <w:rPr>
                <w:sz w:val="18"/>
              </w:rPr>
              <w:t>6</w:t>
            </w:r>
          </w:p>
        </w:tc>
        <w:tc>
          <w:tcPr>
            <w:tcW w:w="992" w:type="dxa"/>
            <w:tcBorders>
              <w:top w:val="single" w:sz="4" w:space="0" w:color="000000"/>
              <w:left w:val="dashed" w:sz="4" w:space="0" w:color="DADADA"/>
              <w:bottom w:val="single" w:sz="4" w:space="0" w:color="000000"/>
              <w:right w:val="dashed" w:sz="4" w:space="0" w:color="DADADA"/>
            </w:tcBorders>
          </w:tcPr>
          <w:p w14:paraId="275A9039" w14:textId="77777777" w:rsidR="00251155" w:rsidRDefault="00251155" w:rsidP="0047706A">
            <w:pPr>
              <w:pStyle w:val="TableParagraph"/>
              <w:spacing w:before="50"/>
              <w:ind w:right="72"/>
              <w:rPr>
                <w:sz w:val="18"/>
              </w:rPr>
            </w:pPr>
            <w:r>
              <w:rPr>
                <w:sz w:val="18"/>
              </w:rPr>
              <w:t>1</w:t>
            </w:r>
          </w:p>
        </w:tc>
        <w:tc>
          <w:tcPr>
            <w:tcW w:w="1219" w:type="dxa"/>
            <w:tcBorders>
              <w:top w:val="single" w:sz="4" w:space="0" w:color="000000"/>
              <w:left w:val="dashed" w:sz="4" w:space="0" w:color="DADADA"/>
              <w:bottom w:val="single" w:sz="4" w:space="0" w:color="000000"/>
              <w:right w:val="dashed" w:sz="4" w:space="0" w:color="DADADA"/>
            </w:tcBorders>
          </w:tcPr>
          <w:p w14:paraId="585B9F1E" w14:textId="77777777" w:rsidR="00251155" w:rsidRDefault="00251155" w:rsidP="0047706A">
            <w:pPr>
              <w:pStyle w:val="TableParagraph"/>
              <w:spacing w:before="50"/>
              <w:ind w:right="72"/>
              <w:rPr>
                <w:sz w:val="18"/>
              </w:rPr>
            </w:pPr>
            <w:r>
              <w:rPr>
                <w:sz w:val="18"/>
              </w:rPr>
              <w:t>11</w:t>
            </w:r>
          </w:p>
        </w:tc>
        <w:tc>
          <w:tcPr>
            <w:tcW w:w="1219" w:type="dxa"/>
            <w:tcBorders>
              <w:top w:val="single" w:sz="4" w:space="0" w:color="000000"/>
              <w:left w:val="dashed" w:sz="4" w:space="0" w:color="DADADA"/>
              <w:bottom w:val="single" w:sz="4" w:space="0" w:color="000000"/>
              <w:right w:val="dashed" w:sz="4" w:space="0" w:color="DADADA"/>
            </w:tcBorders>
          </w:tcPr>
          <w:p w14:paraId="4DF41585" w14:textId="77777777" w:rsidR="00251155" w:rsidRDefault="00251155" w:rsidP="0047706A">
            <w:pPr>
              <w:pStyle w:val="TableParagraph"/>
              <w:spacing w:before="50"/>
              <w:ind w:right="73"/>
              <w:rPr>
                <w:sz w:val="18"/>
              </w:rPr>
            </w:pPr>
            <w:r>
              <w:rPr>
                <w:sz w:val="18"/>
              </w:rPr>
              <w:t>4</w:t>
            </w:r>
          </w:p>
        </w:tc>
        <w:tc>
          <w:tcPr>
            <w:tcW w:w="1054" w:type="dxa"/>
            <w:tcBorders>
              <w:top w:val="single" w:sz="4" w:space="0" w:color="000000"/>
              <w:left w:val="dashed" w:sz="4" w:space="0" w:color="DADADA"/>
              <w:bottom w:val="single" w:sz="4" w:space="0" w:color="000000"/>
              <w:right w:val="nil"/>
            </w:tcBorders>
          </w:tcPr>
          <w:p w14:paraId="27EA5E11" w14:textId="77777777" w:rsidR="00251155" w:rsidRDefault="00251155" w:rsidP="0047706A">
            <w:pPr>
              <w:pStyle w:val="TableParagraph"/>
              <w:spacing w:before="50"/>
              <w:ind w:right="78"/>
              <w:rPr>
                <w:sz w:val="18"/>
              </w:rPr>
            </w:pPr>
            <w:r>
              <w:rPr>
                <w:sz w:val="18"/>
              </w:rPr>
              <w:t>0</w:t>
            </w:r>
          </w:p>
        </w:tc>
      </w:tr>
      <w:tr w:rsidR="00251155" w14:paraId="69A936D8"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38A66D76" w14:textId="77777777" w:rsidR="00251155" w:rsidRDefault="00251155" w:rsidP="0047706A">
            <w:pPr>
              <w:pStyle w:val="TableParagraph"/>
              <w:spacing w:before="50"/>
              <w:ind w:left="80"/>
              <w:jc w:val="left"/>
              <w:rPr>
                <w:sz w:val="18"/>
              </w:rPr>
            </w:pPr>
            <w:r>
              <w:rPr>
                <w:sz w:val="18"/>
              </w:rPr>
              <w:t>Number of site visits/study tours</w:t>
            </w:r>
          </w:p>
        </w:tc>
        <w:tc>
          <w:tcPr>
            <w:tcW w:w="1063" w:type="dxa"/>
            <w:tcBorders>
              <w:top w:val="single" w:sz="4" w:space="0" w:color="000000"/>
              <w:left w:val="single" w:sz="4" w:space="0" w:color="DADADA"/>
              <w:bottom w:val="single" w:sz="4" w:space="0" w:color="000000"/>
              <w:right w:val="dashed" w:sz="4" w:space="0" w:color="DADADA"/>
            </w:tcBorders>
          </w:tcPr>
          <w:p w14:paraId="63C22B5F" w14:textId="77777777" w:rsidR="00251155" w:rsidRDefault="00251155" w:rsidP="0047706A">
            <w:pPr>
              <w:pStyle w:val="TableParagraph"/>
              <w:spacing w:before="50"/>
              <w:ind w:right="73"/>
              <w:rPr>
                <w:sz w:val="18"/>
              </w:rPr>
            </w:pPr>
            <w:r>
              <w:rPr>
                <w:sz w:val="18"/>
              </w:rPr>
              <w:t>3</w:t>
            </w:r>
          </w:p>
        </w:tc>
        <w:tc>
          <w:tcPr>
            <w:tcW w:w="1020" w:type="dxa"/>
            <w:tcBorders>
              <w:top w:val="single" w:sz="4" w:space="0" w:color="000000"/>
              <w:left w:val="dashed" w:sz="4" w:space="0" w:color="DADADA"/>
              <w:bottom w:val="single" w:sz="4" w:space="0" w:color="000000"/>
              <w:right w:val="dashed" w:sz="4" w:space="0" w:color="DADADA"/>
            </w:tcBorders>
          </w:tcPr>
          <w:p w14:paraId="2B06BDBF" w14:textId="77777777" w:rsidR="00251155" w:rsidRDefault="00251155" w:rsidP="0047706A">
            <w:pPr>
              <w:pStyle w:val="TableParagraph"/>
              <w:spacing w:before="50"/>
              <w:ind w:right="72"/>
              <w:rPr>
                <w:sz w:val="18"/>
              </w:rPr>
            </w:pPr>
            <w:r>
              <w:rPr>
                <w:sz w:val="18"/>
              </w:rPr>
              <w:t>3</w:t>
            </w:r>
          </w:p>
        </w:tc>
        <w:tc>
          <w:tcPr>
            <w:tcW w:w="992" w:type="dxa"/>
            <w:tcBorders>
              <w:top w:val="single" w:sz="4" w:space="0" w:color="000000"/>
              <w:left w:val="dashed" w:sz="4" w:space="0" w:color="DADADA"/>
              <w:bottom w:val="single" w:sz="4" w:space="0" w:color="000000"/>
              <w:right w:val="dashed" w:sz="4" w:space="0" w:color="DADADA"/>
            </w:tcBorders>
          </w:tcPr>
          <w:p w14:paraId="3CAA00E2"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60F0B64A"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0D8E2D12" w14:textId="77777777" w:rsidR="00251155" w:rsidRDefault="00251155" w:rsidP="0047706A">
            <w:pPr>
              <w:pStyle w:val="TableParagraph"/>
              <w:spacing w:before="50"/>
              <w:ind w:right="73"/>
              <w:rPr>
                <w:sz w:val="18"/>
              </w:rPr>
            </w:pPr>
            <w:r>
              <w:rPr>
                <w:sz w:val="18"/>
              </w:rPr>
              <w:t>0</w:t>
            </w:r>
          </w:p>
        </w:tc>
        <w:tc>
          <w:tcPr>
            <w:tcW w:w="1054" w:type="dxa"/>
            <w:tcBorders>
              <w:top w:val="single" w:sz="4" w:space="0" w:color="000000"/>
              <w:left w:val="dashed" w:sz="4" w:space="0" w:color="DADADA"/>
              <w:bottom w:val="single" w:sz="4" w:space="0" w:color="000000"/>
              <w:right w:val="nil"/>
            </w:tcBorders>
          </w:tcPr>
          <w:p w14:paraId="2263CC81" w14:textId="77777777" w:rsidR="00251155" w:rsidRDefault="00251155" w:rsidP="0047706A">
            <w:pPr>
              <w:pStyle w:val="TableParagraph"/>
              <w:spacing w:before="50"/>
              <w:ind w:right="78"/>
              <w:rPr>
                <w:sz w:val="18"/>
              </w:rPr>
            </w:pPr>
            <w:r>
              <w:rPr>
                <w:sz w:val="18"/>
              </w:rPr>
              <w:t>0</w:t>
            </w:r>
          </w:p>
        </w:tc>
      </w:tr>
      <w:tr w:rsidR="00251155" w14:paraId="44F4BF34"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1BA9EF56" w14:textId="77777777" w:rsidR="00251155" w:rsidRDefault="00251155" w:rsidP="0047706A">
            <w:pPr>
              <w:pStyle w:val="TableParagraph"/>
              <w:spacing w:before="50"/>
              <w:ind w:left="80"/>
              <w:jc w:val="left"/>
              <w:rPr>
                <w:sz w:val="18"/>
              </w:rPr>
            </w:pPr>
            <w:r>
              <w:rPr>
                <w:sz w:val="18"/>
              </w:rPr>
              <w:t>Number of other kinds of meetings</w:t>
            </w:r>
          </w:p>
        </w:tc>
        <w:tc>
          <w:tcPr>
            <w:tcW w:w="1063" w:type="dxa"/>
            <w:tcBorders>
              <w:top w:val="single" w:sz="4" w:space="0" w:color="000000"/>
              <w:left w:val="single" w:sz="4" w:space="0" w:color="DADADA"/>
              <w:bottom w:val="single" w:sz="4" w:space="0" w:color="000000"/>
              <w:right w:val="dashed" w:sz="4" w:space="0" w:color="DADADA"/>
            </w:tcBorders>
          </w:tcPr>
          <w:p w14:paraId="614F7B2D" w14:textId="77777777" w:rsidR="00251155" w:rsidRDefault="00251155" w:rsidP="0047706A">
            <w:pPr>
              <w:pStyle w:val="TableParagraph"/>
              <w:spacing w:before="50"/>
              <w:ind w:right="73"/>
              <w:rPr>
                <w:sz w:val="18"/>
              </w:rPr>
            </w:pPr>
            <w:r>
              <w:rPr>
                <w:sz w:val="18"/>
              </w:rPr>
              <w:t>0</w:t>
            </w:r>
          </w:p>
        </w:tc>
        <w:tc>
          <w:tcPr>
            <w:tcW w:w="1020" w:type="dxa"/>
            <w:tcBorders>
              <w:top w:val="single" w:sz="4" w:space="0" w:color="000000"/>
              <w:left w:val="dashed" w:sz="4" w:space="0" w:color="DADADA"/>
              <w:bottom w:val="single" w:sz="4" w:space="0" w:color="000000"/>
              <w:right w:val="dashed" w:sz="4" w:space="0" w:color="DADADA"/>
            </w:tcBorders>
          </w:tcPr>
          <w:p w14:paraId="41354B62" w14:textId="77777777" w:rsidR="00251155" w:rsidRDefault="00251155" w:rsidP="0047706A">
            <w:pPr>
              <w:pStyle w:val="TableParagraph"/>
              <w:spacing w:before="50"/>
              <w:ind w:right="72"/>
              <w:rPr>
                <w:sz w:val="18"/>
              </w:rPr>
            </w:pPr>
            <w:r>
              <w:rPr>
                <w:sz w:val="18"/>
              </w:rPr>
              <w:t>0</w:t>
            </w:r>
          </w:p>
        </w:tc>
        <w:tc>
          <w:tcPr>
            <w:tcW w:w="992" w:type="dxa"/>
            <w:tcBorders>
              <w:top w:val="single" w:sz="4" w:space="0" w:color="000000"/>
              <w:left w:val="dashed" w:sz="4" w:space="0" w:color="DADADA"/>
              <w:bottom w:val="single" w:sz="4" w:space="0" w:color="000000"/>
              <w:right w:val="dashed" w:sz="4" w:space="0" w:color="DADADA"/>
            </w:tcBorders>
          </w:tcPr>
          <w:p w14:paraId="3499C6DE"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0A6F0B71"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6116AAE4" w14:textId="77777777" w:rsidR="00251155" w:rsidRDefault="00251155" w:rsidP="0047706A">
            <w:pPr>
              <w:pStyle w:val="TableParagraph"/>
              <w:spacing w:before="50"/>
              <w:ind w:right="73"/>
              <w:rPr>
                <w:sz w:val="18"/>
              </w:rPr>
            </w:pPr>
            <w:r>
              <w:rPr>
                <w:sz w:val="18"/>
              </w:rPr>
              <w:t>0</w:t>
            </w:r>
          </w:p>
        </w:tc>
        <w:tc>
          <w:tcPr>
            <w:tcW w:w="1054" w:type="dxa"/>
            <w:tcBorders>
              <w:top w:val="single" w:sz="4" w:space="0" w:color="000000"/>
              <w:left w:val="dashed" w:sz="4" w:space="0" w:color="DADADA"/>
              <w:bottom w:val="single" w:sz="4" w:space="0" w:color="000000"/>
              <w:right w:val="nil"/>
            </w:tcBorders>
          </w:tcPr>
          <w:p w14:paraId="3DA6D98D" w14:textId="77777777" w:rsidR="00251155" w:rsidRDefault="00251155" w:rsidP="0047706A">
            <w:pPr>
              <w:pStyle w:val="TableParagraph"/>
              <w:spacing w:before="50"/>
              <w:ind w:right="78"/>
              <w:rPr>
                <w:sz w:val="18"/>
              </w:rPr>
            </w:pPr>
            <w:r>
              <w:rPr>
                <w:sz w:val="18"/>
              </w:rPr>
              <w:t>0</w:t>
            </w:r>
          </w:p>
        </w:tc>
      </w:tr>
      <w:tr w:rsidR="00251155" w14:paraId="3779260D"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7C580494" w14:textId="77777777" w:rsidR="00251155" w:rsidRDefault="00251155" w:rsidP="0047706A">
            <w:pPr>
              <w:pStyle w:val="TableParagraph"/>
              <w:spacing w:before="50"/>
              <w:ind w:left="80"/>
              <w:jc w:val="left"/>
              <w:rPr>
                <w:sz w:val="18"/>
              </w:rPr>
            </w:pPr>
            <w:r>
              <w:rPr>
                <w:sz w:val="18"/>
              </w:rPr>
              <w:t>Hours of committee meetings [total]</w:t>
            </w:r>
          </w:p>
        </w:tc>
        <w:tc>
          <w:tcPr>
            <w:tcW w:w="1063" w:type="dxa"/>
            <w:tcBorders>
              <w:top w:val="single" w:sz="4" w:space="0" w:color="000000"/>
              <w:left w:val="single" w:sz="4" w:space="0" w:color="DADADA"/>
              <w:bottom w:val="single" w:sz="4" w:space="0" w:color="000000"/>
              <w:right w:val="dashed" w:sz="4" w:space="0" w:color="DADADA"/>
            </w:tcBorders>
          </w:tcPr>
          <w:p w14:paraId="57B4A809" w14:textId="77777777" w:rsidR="00251155" w:rsidRDefault="00251155" w:rsidP="0047706A">
            <w:pPr>
              <w:pStyle w:val="TableParagraph"/>
              <w:spacing w:before="50"/>
              <w:ind w:right="73"/>
              <w:rPr>
                <w:sz w:val="18"/>
              </w:rPr>
            </w:pPr>
            <w:r>
              <w:rPr>
                <w:sz w:val="18"/>
              </w:rPr>
              <w:t>21:46</w:t>
            </w:r>
          </w:p>
        </w:tc>
        <w:tc>
          <w:tcPr>
            <w:tcW w:w="1020" w:type="dxa"/>
            <w:tcBorders>
              <w:top w:val="single" w:sz="4" w:space="0" w:color="000000"/>
              <w:left w:val="dashed" w:sz="4" w:space="0" w:color="DADADA"/>
              <w:bottom w:val="single" w:sz="4" w:space="0" w:color="000000"/>
              <w:right w:val="dashed" w:sz="4" w:space="0" w:color="DADADA"/>
            </w:tcBorders>
          </w:tcPr>
          <w:p w14:paraId="489F4E4A" w14:textId="77777777" w:rsidR="00251155" w:rsidRDefault="00251155" w:rsidP="0047706A">
            <w:pPr>
              <w:pStyle w:val="TableParagraph"/>
              <w:spacing w:before="50"/>
              <w:ind w:right="72"/>
              <w:rPr>
                <w:sz w:val="18"/>
              </w:rPr>
            </w:pPr>
            <w:r>
              <w:rPr>
                <w:sz w:val="18"/>
              </w:rPr>
              <w:t>44:04</w:t>
            </w:r>
          </w:p>
        </w:tc>
        <w:tc>
          <w:tcPr>
            <w:tcW w:w="992" w:type="dxa"/>
            <w:tcBorders>
              <w:top w:val="single" w:sz="4" w:space="0" w:color="000000"/>
              <w:left w:val="dashed" w:sz="4" w:space="0" w:color="DADADA"/>
              <w:bottom w:val="single" w:sz="4" w:space="0" w:color="000000"/>
              <w:right w:val="dashed" w:sz="4" w:space="0" w:color="DADADA"/>
            </w:tcBorders>
          </w:tcPr>
          <w:p w14:paraId="228B51BD" w14:textId="77777777" w:rsidR="00251155" w:rsidRDefault="00251155" w:rsidP="0047706A">
            <w:pPr>
              <w:pStyle w:val="TableParagraph"/>
              <w:spacing w:before="50"/>
              <w:ind w:right="72"/>
              <w:rPr>
                <w:sz w:val="18"/>
              </w:rPr>
            </w:pPr>
            <w:r>
              <w:rPr>
                <w:sz w:val="18"/>
              </w:rPr>
              <w:t>8:55</w:t>
            </w:r>
          </w:p>
        </w:tc>
        <w:tc>
          <w:tcPr>
            <w:tcW w:w="1219" w:type="dxa"/>
            <w:tcBorders>
              <w:top w:val="single" w:sz="4" w:space="0" w:color="000000"/>
              <w:left w:val="dashed" w:sz="4" w:space="0" w:color="DADADA"/>
              <w:bottom w:val="single" w:sz="4" w:space="0" w:color="000000"/>
              <w:right w:val="dashed" w:sz="4" w:space="0" w:color="DADADA"/>
            </w:tcBorders>
          </w:tcPr>
          <w:p w14:paraId="55CB85DE" w14:textId="77777777" w:rsidR="00251155" w:rsidRDefault="00251155" w:rsidP="0047706A">
            <w:pPr>
              <w:pStyle w:val="TableParagraph"/>
              <w:spacing w:before="50"/>
              <w:ind w:right="72"/>
              <w:rPr>
                <w:sz w:val="18"/>
              </w:rPr>
            </w:pPr>
            <w:r>
              <w:rPr>
                <w:sz w:val="18"/>
              </w:rPr>
              <w:t>88:00</w:t>
            </w:r>
          </w:p>
        </w:tc>
        <w:tc>
          <w:tcPr>
            <w:tcW w:w="1219" w:type="dxa"/>
            <w:tcBorders>
              <w:top w:val="single" w:sz="4" w:space="0" w:color="000000"/>
              <w:left w:val="dashed" w:sz="4" w:space="0" w:color="DADADA"/>
              <w:bottom w:val="single" w:sz="4" w:space="0" w:color="000000"/>
              <w:right w:val="dashed" w:sz="4" w:space="0" w:color="DADADA"/>
            </w:tcBorders>
          </w:tcPr>
          <w:p w14:paraId="7BDB770D" w14:textId="77777777" w:rsidR="00251155" w:rsidRDefault="00251155" w:rsidP="0047706A">
            <w:pPr>
              <w:pStyle w:val="TableParagraph"/>
              <w:spacing w:before="50"/>
              <w:ind w:right="72"/>
              <w:rPr>
                <w:sz w:val="18"/>
              </w:rPr>
            </w:pPr>
            <w:r>
              <w:rPr>
                <w:sz w:val="18"/>
              </w:rPr>
              <w:t>23:24</w:t>
            </w:r>
          </w:p>
        </w:tc>
        <w:tc>
          <w:tcPr>
            <w:tcW w:w="1054" w:type="dxa"/>
            <w:tcBorders>
              <w:top w:val="single" w:sz="4" w:space="0" w:color="000000"/>
              <w:left w:val="dashed" w:sz="4" w:space="0" w:color="DADADA"/>
              <w:bottom w:val="single" w:sz="4" w:space="0" w:color="000000"/>
              <w:right w:val="nil"/>
            </w:tcBorders>
          </w:tcPr>
          <w:p w14:paraId="2D733306" w14:textId="77777777" w:rsidR="00251155" w:rsidRDefault="00251155" w:rsidP="0047706A">
            <w:pPr>
              <w:pStyle w:val="TableParagraph"/>
              <w:spacing w:before="50"/>
              <w:ind w:right="78"/>
              <w:rPr>
                <w:sz w:val="18"/>
              </w:rPr>
            </w:pPr>
            <w:r>
              <w:rPr>
                <w:sz w:val="18"/>
              </w:rPr>
              <w:t>0:33</w:t>
            </w:r>
          </w:p>
        </w:tc>
      </w:tr>
      <w:tr w:rsidR="00251155" w14:paraId="114EAF87"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3DB59564" w14:textId="77777777" w:rsidR="00251155" w:rsidRDefault="00251155" w:rsidP="0047706A">
            <w:pPr>
              <w:pStyle w:val="TableParagraph"/>
              <w:spacing w:before="50"/>
              <w:ind w:left="80"/>
              <w:jc w:val="left"/>
              <w:rPr>
                <w:sz w:val="18"/>
              </w:rPr>
            </w:pPr>
            <w:r>
              <w:rPr>
                <w:sz w:val="18"/>
              </w:rPr>
              <w:t>Hours of private meetings</w:t>
            </w:r>
          </w:p>
        </w:tc>
        <w:tc>
          <w:tcPr>
            <w:tcW w:w="1063" w:type="dxa"/>
            <w:tcBorders>
              <w:top w:val="single" w:sz="4" w:space="0" w:color="000000"/>
              <w:left w:val="single" w:sz="4" w:space="0" w:color="DADADA"/>
              <w:bottom w:val="single" w:sz="4" w:space="0" w:color="000000"/>
              <w:right w:val="dashed" w:sz="4" w:space="0" w:color="DADADA"/>
            </w:tcBorders>
          </w:tcPr>
          <w:p w14:paraId="7A3100E8" w14:textId="77777777" w:rsidR="00251155" w:rsidRDefault="00251155" w:rsidP="0047706A">
            <w:pPr>
              <w:pStyle w:val="TableParagraph"/>
              <w:spacing w:before="50"/>
              <w:ind w:right="73"/>
              <w:rPr>
                <w:sz w:val="18"/>
              </w:rPr>
            </w:pPr>
            <w:r>
              <w:rPr>
                <w:sz w:val="18"/>
              </w:rPr>
              <w:t>8:31</w:t>
            </w:r>
          </w:p>
        </w:tc>
        <w:tc>
          <w:tcPr>
            <w:tcW w:w="1020" w:type="dxa"/>
            <w:tcBorders>
              <w:top w:val="single" w:sz="4" w:space="0" w:color="000000"/>
              <w:left w:val="dashed" w:sz="4" w:space="0" w:color="DADADA"/>
              <w:bottom w:val="single" w:sz="4" w:space="0" w:color="000000"/>
              <w:right w:val="dashed" w:sz="4" w:space="0" w:color="DADADA"/>
            </w:tcBorders>
          </w:tcPr>
          <w:p w14:paraId="44FCAD7B" w14:textId="77777777" w:rsidR="00251155" w:rsidRDefault="00251155" w:rsidP="0047706A">
            <w:pPr>
              <w:pStyle w:val="TableParagraph"/>
              <w:spacing w:before="50"/>
              <w:ind w:right="72"/>
              <w:rPr>
                <w:sz w:val="18"/>
              </w:rPr>
            </w:pPr>
            <w:r>
              <w:rPr>
                <w:sz w:val="18"/>
              </w:rPr>
              <w:t>6:16</w:t>
            </w:r>
          </w:p>
        </w:tc>
        <w:tc>
          <w:tcPr>
            <w:tcW w:w="992" w:type="dxa"/>
            <w:tcBorders>
              <w:top w:val="single" w:sz="4" w:space="0" w:color="000000"/>
              <w:left w:val="dashed" w:sz="4" w:space="0" w:color="DADADA"/>
              <w:bottom w:val="single" w:sz="4" w:space="0" w:color="000000"/>
              <w:right w:val="dashed" w:sz="4" w:space="0" w:color="DADADA"/>
            </w:tcBorders>
          </w:tcPr>
          <w:p w14:paraId="2C98226C" w14:textId="77777777" w:rsidR="00251155" w:rsidRDefault="00251155" w:rsidP="0047706A">
            <w:pPr>
              <w:pStyle w:val="TableParagraph"/>
              <w:spacing w:before="50"/>
              <w:ind w:right="72"/>
              <w:rPr>
                <w:sz w:val="18"/>
              </w:rPr>
            </w:pPr>
            <w:r>
              <w:rPr>
                <w:sz w:val="18"/>
              </w:rPr>
              <w:t>8:24</w:t>
            </w:r>
          </w:p>
        </w:tc>
        <w:tc>
          <w:tcPr>
            <w:tcW w:w="1219" w:type="dxa"/>
            <w:tcBorders>
              <w:top w:val="single" w:sz="4" w:space="0" w:color="000000"/>
              <w:left w:val="dashed" w:sz="4" w:space="0" w:color="DADADA"/>
              <w:bottom w:val="single" w:sz="4" w:space="0" w:color="000000"/>
              <w:right w:val="dashed" w:sz="4" w:space="0" w:color="DADADA"/>
            </w:tcBorders>
          </w:tcPr>
          <w:p w14:paraId="636D61CC" w14:textId="77777777" w:rsidR="00251155" w:rsidRDefault="00251155" w:rsidP="0047706A">
            <w:pPr>
              <w:pStyle w:val="TableParagraph"/>
              <w:spacing w:before="50"/>
              <w:ind w:right="72"/>
              <w:rPr>
                <w:sz w:val="18"/>
              </w:rPr>
            </w:pPr>
            <w:r>
              <w:rPr>
                <w:sz w:val="18"/>
              </w:rPr>
              <w:t>3:59</w:t>
            </w:r>
          </w:p>
        </w:tc>
        <w:tc>
          <w:tcPr>
            <w:tcW w:w="1219" w:type="dxa"/>
            <w:tcBorders>
              <w:top w:val="single" w:sz="4" w:space="0" w:color="000000"/>
              <w:left w:val="dashed" w:sz="4" w:space="0" w:color="DADADA"/>
              <w:bottom w:val="single" w:sz="4" w:space="0" w:color="000000"/>
              <w:right w:val="dashed" w:sz="4" w:space="0" w:color="DADADA"/>
            </w:tcBorders>
          </w:tcPr>
          <w:p w14:paraId="764DC3C5" w14:textId="77777777" w:rsidR="00251155" w:rsidRDefault="00251155" w:rsidP="0047706A">
            <w:pPr>
              <w:pStyle w:val="TableParagraph"/>
              <w:spacing w:before="50"/>
              <w:ind w:right="72"/>
              <w:rPr>
                <w:sz w:val="18"/>
              </w:rPr>
            </w:pPr>
            <w:r>
              <w:rPr>
                <w:sz w:val="18"/>
              </w:rPr>
              <w:t>14:40</w:t>
            </w:r>
          </w:p>
        </w:tc>
        <w:tc>
          <w:tcPr>
            <w:tcW w:w="1054" w:type="dxa"/>
            <w:tcBorders>
              <w:top w:val="single" w:sz="4" w:space="0" w:color="000000"/>
              <w:left w:val="dashed" w:sz="4" w:space="0" w:color="DADADA"/>
              <w:bottom w:val="single" w:sz="4" w:space="0" w:color="000000"/>
              <w:right w:val="nil"/>
            </w:tcBorders>
          </w:tcPr>
          <w:p w14:paraId="205C55A7" w14:textId="77777777" w:rsidR="00251155" w:rsidRDefault="00251155" w:rsidP="0047706A">
            <w:pPr>
              <w:pStyle w:val="TableParagraph"/>
              <w:spacing w:before="50"/>
              <w:ind w:right="78"/>
              <w:rPr>
                <w:sz w:val="18"/>
              </w:rPr>
            </w:pPr>
            <w:r>
              <w:rPr>
                <w:sz w:val="18"/>
              </w:rPr>
              <w:t>0:33</w:t>
            </w:r>
          </w:p>
        </w:tc>
      </w:tr>
      <w:tr w:rsidR="00251155" w14:paraId="70F2B7B3"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12B088F1" w14:textId="77777777" w:rsidR="00251155" w:rsidRDefault="00251155" w:rsidP="0047706A">
            <w:pPr>
              <w:pStyle w:val="TableParagraph"/>
              <w:spacing w:before="50"/>
              <w:ind w:left="80"/>
              <w:jc w:val="left"/>
              <w:rPr>
                <w:sz w:val="18"/>
              </w:rPr>
            </w:pPr>
            <w:r>
              <w:rPr>
                <w:sz w:val="18"/>
              </w:rPr>
              <w:t>Hours of public hearings</w:t>
            </w:r>
          </w:p>
        </w:tc>
        <w:tc>
          <w:tcPr>
            <w:tcW w:w="1063" w:type="dxa"/>
            <w:tcBorders>
              <w:top w:val="single" w:sz="4" w:space="0" w:color="000000"/>
              <w:left w:val="single" w:sz="4" w:space="0" w:color="DADADA"/>
              <w:bottom w:val="single" w:sz="4" w:space="0" w:color="000000"/>
              <w:right w:val="dashed" w:sz="4" w:space="0" w:color="DADADA"/>
            </w:tcBorders>
          </w:tcPr>
          <w:p w14:paraId="19823030" w14:textId="77777777" w:rsidR="00251155" w:rsidRDefault="00251155" w:rsidP="0047706A">
            <w:pPr>
              <w:pStyle w:val="TableParagraph"/>
              <w:spacing w:before="50"/>
              <w:ind w:right="73"/>
              <w:rPr>
                <w:sz w:val="18"/>
              </w:rPr>
            </w:pPr>
            <w:r>
              <w:rPr>
                <w:sz w:val="18"/>
              </w:rPr>
              <w:t>9:25</w:t>
            </w:r>
          </w:p>
        </w:tc>
        <w:tc>
          <w:tcPr>
            <w:tcW w:w="1020" w:type="dxa"/>
            <w:tcBorders>
              <w:top w:val="single" w:sz="4" w:space="0" w:color="000000"/>
              <w:left w:val="dashed" w:sz="4" w:space="0" w:color="DADADA"/>
              <w:bottom w:val="single" w:sz="4" w:space="0" w:color="000000"/>
              <w:right w:val="dashed" w:sz="4" w:space="0" w:color="DADADA"/>
            </w:tcBorders>
          </w:tcPr>
          <w:p w14:paraId="327F627A" w14:textId="77777777" w:rsidR="00251155" w:rsidRDefault="00251155" w:rsidP="0047706A">
            <w:pPr>
              <w:pStyle w:val="TableParagraph"/>
              <w:spacing w:before="50"/>
              <w:ind w:right="72"/>
              <w:rPr>
                <w:sz w:val="18"/>
              </w:rPr>
            </w:pPr>
            <w:r>
              <w:rPr>
                <w:sz w:val="18"/>
              </w:rPr>
              <w:t>28:53</w:t>
            </w:r>
          </w:p>
        </w:tc>
        <w:tc>
          <w:tcPr>
            <w:tcW w:w="992" w:type="dxa"/>
            <w:tcBorders>
              <w:top w:val="single" w:sz="4" w:space="0" w:color="000000"/>
              <w:left w:val="dashed" w:sz="4" w:space="0" w:color="DADADA"/>
              <w:bottom w:val="single" w:sz="4" w:space="0" w:color="000000"/>
              <w:right w:val="dashed" w:sz="4" w:space="0" w:color="DADADA"/>
            </w:tcBorders>
          </w:tcPr>
          <w:p w14:paraId="5BF1AF45" w14:textId="77777777" w:rsidR="00251155" w:rsidRDefault="00251155" w:rsidP="0047706A">
            <w:pPr>
              <w:pStyle w:val="TableParagraph"/>
              <w:spacing w:before="50"/>
              <w:ind w:right="72"/>
              <w:rPr>
                <w:sz w:val="18"/>
              </w:rPr>
            </w:pPr>
            <w:r>
              <w:rPr>
                <w:sz w:val="18"/>
              </w:rPr>
              <w:t>0:31</w:t>
            </w:r>
          </w:p>
        </w:tc>
        <w:tc>
          <w:tcPr>
            <w:tcW w:w="1219" w:type="dxa"/>
            <w:tcBorders>
              <w:top w:val="single" w:sz="4" w:space="0" w:color="000000"/>
              <w:left w:val="dashed" w:sz="4" w:space="0" w:color="DADADA"/>
              <w:bottom w:val="single" w:sz="4" w:space="0" w:color="000000"/>
              <w:right w:val="dashed" w:sz="4" w:space="0" w:color="DADADA"/>
            </w:tcBorders>
          </w:tcPr>
          <w:p w14:paraId="61DDD8CF" w14:textId="77777777" w:rsidR="00251155" w:rsidRDefault="00251155" w:rsidP="0047706A">
            <w:pPr>
              <w:pStyle w:val="TableParagraph"/>
              <w:spacing w:before="50"/>
              <w:ind w:right="72"/>
              <w:rPr>
                <w:sz w:val="18"/>
              </w:rPr>
            </w:pPr>
            <w:r>
              <w:rPr>
                <w:sz w:val="18"/>
              </w:rPr>
              <w:t>84:01</w:t>
            </w:r>
          </w:p>
        </w:tc>
        <w:tc>
          <w:tcPr>
            <w:tcW w:w="1219" w:type="dxa"/>
            <w:tcBorders>
              <w:top w:val="single" w:sz="4" w:space="0" w:color="000000"/>
              <w:left w:val="dashed" w:sz="4" w:space="0" w:color="DADADA"/>
              <w:bottom w:val="single" w:sz="4" w:space="0" w:color="000000"/>
              <w:right w:val="dashed" w:sz="4" w:space="0" w:color="DADADA"/>
            </w:tcBorders>
          </w:tcPr>
          <w:p w14:paraId="16D368E0" w14:textId="77777777" w:rsidR="00251155" w:rsidRDefault="00251155" w:rsidP="0047706A">
            <w:pPr>
              <w:pStyle w:val="TableParagraph"/>
              <w:spacing w:before="50"/>
              <w:ind w:right="72"/>
              <w:rPr>
                <w:sz w:val="18"/>
              </w:rPr>
            </w:pPr>
            <w:r>
              <w:rPr>
                <w:sz w:val="18"/>
              </w:rPr>
              <w:t>8:44</w:t>
            </w:r>
          </w:p>
        </w:tc>
        <w:tc>
          <w:tcPr>
            <w:tcW w:w="1054" w:type="dxa"/>
            <w:tcBorders>
              <w:top w:val="single" w:sz="4" w:space="0" w:color="000000"/>
              <w:left w:val="dashed" w:sz="4" w:space="0" w:color="DADADA"/>
              <w:bottom w:val="single" w:sz="4" w:space="0" w:color="000000"/>
              <w:right w:val="nil"/>
            </w:tcBorders>
          </w:tcPr>
          <w:p w14:paraId="476B0D86" w14:textId="77777777" w:rsidR="00251155" w:rsidRDefault="00251155" w:rsidP="0047706A">
            <w:pPr>
              <w:pStyle w:val="TableParagraph"/>
              <w:spacing w:before="50"/>
              <w:ind w:right="78"/>
              <w:rPr>
                <w:sz w:val="18"/>
              </w:rPr>
            </w:pPr>
            <w:r>
              <w:rPr>
                <w:sz w:val="18"/>
              </w:rPr>
              <w:t>0</w:t>
            </w:r>
          </w:p>
        </w:tc>
      </w:tr>
      <w:tr w:rsidR="00251155" w14:paraId="10C6BBB6"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2A7E4F0E" w14:textId="77777777" w:rsidR="00251155" w:rsidRDefault="00251155" w:rsidP="0047706A">
            <w:pPr>
              <w:pStyle w:val="TableParagraph"/>
              <w:spacing w:before="50"/>
              <w:ind w:left="80"/>
              <w:jc w:val="left"/>
              <w:rPr>
                <w:sz w:val="18"/>
              </w:rPr>
            </w:pPr>
            <w:r>
              <w:rPr>
                <w:sz w:val="18"/>
              </w:rPr>
              <w:t>Hours of site visits/study tours</w:t>
            </w:r>
          </w:p>
        </w:tc>
        <w:tc>
          <w:tcPr>
            <w:tcW w:w="1063" w:type="dxa"/>
            <w:tcBorders>
              <w:top w:val="single" w:sz="4" w:space="0" w:color="000000"/>
              <w:left w:val="single" w:sz="4" w:space="0" w:color="DADADA"/>
              <w:bottom w:val="single" w:sz="4" w:space="0" w:color="000000"/>
              <w:right w:val="dashed" w:sz="4" w:space="0" w:color="DADADA"/>
            </w:tcBorders>
          </w:tcPr>
          <w:p w14:paraId="4AAB9DD5" w14:textId="77777777" w:rsidR="00251155" w:rsidRDefault="00251155" w:rsidP="0047706A">
            <w:pPr>
              <w:pStyle w:val="TableParagraph"/>
              <w:spacing w:before="50"/>
              <w:ind w:right="73"/>
              <w:rPr>
                <w:sz w:val="18"/>
              </w:rPr>
            </w:pPr>
            <w:r>
              <w:rPr>
                <w:sz w:val="18"/>
              </w:rPr>
              <w:t>3:50</w:t>
            </w:r>
          </w:p>
        </w:tc>
        <w:tc>
          <w:tcPr>
            <w:tcW w:w="1020" w:type="dxa"/>
            <w:tcBorders>
              <w:top w:val="single" w:sz="4" w:space="0" w:color="000000"/>
              <w:left w:val="dashed" w:sz="4" w:space="0" w:color="DADADA"/>
              <w:bottom w:val="single" w:sz="4" w:space="0" w:color="000000"/>
              <w:right w:val="dashed" w:sz="4" w:space="0" w:color="DADADA"/>
            </w:tcBorders>
          </w:tcPr>
          <w:p w14:paraId="34D2D4BD" w14:textId="77777777" w:rsidR="00251155" w:rsidRDefault="00251155" w:rsidP="0047706A">
            <w:pPr>
              <w:pStyle w:val="TableParagraph"/>
              <w:spacing w:before="50"/>
              <w:ind w:right="72"/>
              <w:rPr>
                <w:sz w:val="18"/>
              </w:rPr>
            </w:pPr>
            <w:r>
              <w:rPr>
                <w:sz w:val="18"/>
              </w:rPr>
              <w:t>8:55</w:t>
            </w:r>
          </w:p>
        </w:tc>
        <w:tc>
          <w:tcPr>
            <w:tcW w:w="992" w:type="dxa"/>
            <w:tcBorders>
              <w:top w:val="single" w:sz="4" w:space="0" w:color="000000"/>
              <w:left w:val="dashed" w:sz="4" w:space="0" w:color="DADADA"/>
              <w:bottom w:val="single" w:sz="4" w:space="0" w:color="000000"/>
              <w:right w:val="dashed" w:sz="4" w:space="0" w:color="DADADA"/>
            </w:tcBorders>
          </w:tcPr>
          <w:p w14:paraId="173820C4"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5F4DCB54"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467E4456" w14:textId="77777777" w:rsidR="00251155" w:rsidRDefault="00251155" w:rsidP="0047706A">
            <w:pPr>
              <w:pStyle w:val="TableParagraph"/>
              <w:spacing w:before="50"/>
              <w:ind w:right="73"/>
              <w:rPr>
                <w:sz w:val="18"/>
              </w:rPr>
            </w:pPr>
            <w:r>
              <w:rPr>
                <w:sz w:val="18"/>
              </w:rPr>
              <w:t>0</w:t>
            </w:r>
          </w:p>
        </w:tc>
        <w:tc>
          <w:tcPr>
            <w:tcW w:w="1054" w:type="dxa"/>
            <w:tcBorders>
              <w:top w:val="single" w:sz="4" w:space="0" w:color="000000"/>
              <w:left w:val="dashed" w:sz="4" w:space="0" w:color="DADADA"/>
              <w:bottom w:val="single" w:sz="4" w:space="0" w:color="000000"/>
              <w:right w:val="nil"/>
            </w:tcBorders>
          </w:tcPr>
          <w:p w14:paraId="75106384" w14:textId="77777777" w:rsidR="00251155" w:rsidRDefault="00251155" w:rsidP="0047706A">
            <w:pPr>
              <w:pStyle w:val="TableParagraph"/>
              <w:spacing w:before="50"/>
              <w:ind w:right="78"/>
              <w:rPr>
                <w:sz w:val="18"/>
              </w:rPr>
            </w:pPr>
            <w:r>
              <w:rPr>
                <w:sz w:val="18"/>
              </w:rPr>
              <w:t>0</w:t>
            </w:r>
          </w:p>
        </w:tc>
      </w:tr>
      <w:tr w:rsidR="00251155" w14:paraId="63991ECD"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331BF93A" w14:textId="77777777" w:rsidR="00251155" w:rsidRDefault="00251155" w:rsidP="0047706A">
            <w:pPr>
              <w:pStyle w:val="TableParagraph"/>
              <w:spacing w:before="50"/>
              <w:ind w:left="80"/>
              <w:jc w:val="left"/>
              <w:rPr>
                <w:sz w:val="18"/>
              </w:rPr>
            </w:pPr>
            <w:r>
              <w:rPr>
                <w:sz w:val="18"/>
              </w:rPr>
              <w:t>Hours of other kinds of meetings</w:t>
            </w:r>
          </w:p>
        </w:tc>
        <w:tc>
          <w:tcPr>
            <w:tcW w:w="1063" w:type="dxa"/>
            <w:tcBorders>
              <w:top w:val="single" w:sz="4" w:space="0" w:color="000000"/>
              <w:left w:val="single" w:sz="4" w:space="0" w:color="DADADA"/>
              <w:bottom w:val="single" w:sz="4" w:space="0" w:color="000000"/>
              <w:right w:val="dashed" w:sz="4" w:space="0" w:color="DADADA"/>
            </w:tcBorders>
          </w:tcPr>
          <w:p w14:paraId="5335042E" w14:textId="77777777" w:rsidR="00251155" w:rsidRDefault="00251155" w:rsidP="0047706A">
            <w:pPr>
              <w:pStyle w:val="TableParagraph"/>
              <w:spacing w:before="50"/>
              <w:ind w:right="73"/>
              <w:rPr>
                <w:sz w:val="18"/>
              </w:rPr>
            </w:pPr>
            <w:r>
              <w:rPr>
                <w:sz w:val="18"/>
              </w:rPr>
              <w:t>0</w:t>
            </w:r>
          </w:p>
        </w:tc>
        <w:tc>
          <w:tcPr>
            <w:tcW w:w="1020" w:type="dxa"/>
            <w:tcBorders>
              <w:top w:val="single" w:sz="4" w:space="0" w:color="000000"/>
              <w:left w:val="dashed" w:sz="4" w:space="0" w:color="DADADA"/>
              <w:bottom w:val="single" w:sz="4" w:space="0" w:color="000000"/>
              <w:right w:val="dashed" w:sz="4" w:space="0" w:color="DADADA"/>
            </w:tcBorders>
          </w:tcPr>
          <w:p w14:paraId="33EE37F2" w14:textId="77777777" w:rsidR="00251155" w:rsidRDefault="00251155" w:rsidP="0047706A">
            <w:pPr>
              <w:pStyle w:val="TableParagraph"/>
              <w:spacing w:before="50"/>
              <w:ind w:right="72"/>
              <w:rPr>
                <w:sz w:val="18"/>
              </w:rPr>
            </w:pPr>
            <w:r>
              <w:rPr>
                <w:sz w:val="18"/>
              </w:rPr>
              <w:t>0</w:t>
            </w:r>
          </w:p>
        </w:tc>
        <w:tc>
          <w:tcPr>
            <w:tcW w:w="992" w:type="dxa"/>
            <w:tcBorders>
              <w:top w:val="single" w:sz="4" w:space="0" w:color="000000"/>
              <w:left w:val="dashed" w:sz="4" w:space="0" w:color="DADADA"/>
              <w:bottom w:val="single" w:sz="4" w:space="0" w:color="000000"/>
              <w:right w:val="dashed" w:sz="4" w:space="0" w:color="DADADA"/>
            </w:tcBorders>
          </w:tcPr>
          <w:p w14:paraId="54E51395"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732D1EB5"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24FFEEF5" w14:textId="77777777" w:rsidR="00251155" w:rsidRDefault="00251155" w:rsidP="0047706A">
            <w:pPr>
              <w:pStyle w:val="TableParagraph"/>
              <w:spacing w:before="50"/>
              <w:ind w:right="73"/>
              <w:rPr>
                <w:sz w:val="18"/>
              </w:rPr>
            </w:pPr>
            <w:r>
              <w:rPr>
                <w:sz w:val="18"/>
              </w:rPr>
              <w:t>0</w:t>
            </w:r>
          </w:p>
        </w:tc>
        <w:tc>
          <w:tcPr>
            <w:tcW w:w="1054" w:type="dxa"/>
            <w:tcBorders>
              <w:top w:val="single" w:sz="4" w:space="0" w:color="000000"/>
              <w:left w:val="dashed" w:sz="4" w:space="0" w:color="DADADA"/>
              <w:bottom w:val="single" w:sz="4" w:space="0" w:color="000000"/>
              <w:right w:val="nil"/>
            </w:tcBorders>
          </w:tcPr>
          <w:p w14:paraId="097EE162" w14:textId="77777777" w:rsidR="00251155" w:rsidRDefault="00251155" w:rsidP="0047706A">
            <w:pPr>
              <w:pStyle w:val="TableParagraph"/>
              <w:spacing w:before="50"/>
              <w:ind w:right="78"/>
              <w:rPr>
                <w:sz w:val="18"/>
              </w:rPr>
            </w:pPr>
            <w:r>
              <w:rPr>
                <w:sz w:val="18"/>
              </w:rPr>
              <w:t>0</w:t>
            </w:r>
          </w:p>
        </w:tc>
      </w:tr>
      <w:tr w:rsidR="00251155" w14:paraId="39318E71"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043F9324" w14:textId="77777777" w:rsidR="00251155" w:rsidRDefault="00251155" w:rsidP="0047706A">
            <w:pPr>
              <w:pStyle w:val="TableParagraph"/>
              <w:spacing w:before="50"/>
              <w:ind w:left="80"/>
              <w:jc w:val="left"/>
              <w:rPr>
                <w:sz w:val="18"/>
              </w:rPr>
            </w:pPr>
            <w:r>
              <w:rPr>
                <w:sz w:val="18"/>
              </w:rPr>
              <w:t>Number of witnesses</w:t>
            </w:r>
          </w:p>
        </w:tc>
        <w:tc>
          <w:tcPr>
            <w:tcW w:w="1063" w:type="dxa"/>
            <w:tcBorders>
              <w:top w:val="single" w:sz="4" w:space="0" w:color="000000"/>
              <w:left w:val="single" w:sz="4" w:space="0" w:color="DADADA"/>
              <w:bottom w:val="single" w:sz="4" w:space="0" w:color="000000"/>
              <w:right w:val="dashed" w:sz="4" w:space="0" w:color="DADADA"/>
            </w:tcBorders>
          </w:tcPr>
          <w:p w14:paraId="15FC7870" w14:textId="77777777" w:rsidR="00251155" w:rsidRDefault="00251155" w:rsidP="0047706A">
            <w:pPr>
              <w:pStyle w:val="TableParagraph"/>
              <w:spacing w:before="50"/>
              <w:ind w:right="73"/>
              <w:rPr>
                <w:sz w:val="18"/>
              </w:rPr>
            </w:pPr>
            <w:r>
              <w:rPr>
                <w:sz w:val="18"/>
              </w:rPr>
              <w:t>30</w:t>
            </w:r>
          </w:p>
        </w:tc>
        <w:tc>
          <w:tcPr>
            <w:tcW w:w="1020" w:type="dxa"/>
            <w:tcBorders>
              <w:top w:val="single" w:sz="4" w:space="0" w:color="000000"/>
              <w:left w:val="dashed" w:sz="4" w:space="0" w:color="DADADA"/>
              <w:bottom w:val="single" w:sz="4" w:space="0" w:color="000000"/>
              <w:right w:val="dashed" w:sz="4" w:space="0" w:color="DADADA"/>
            </w:tcBorders>
          </w:tcPr>
          <w:p w14:paraId="11A5288C" w14:textId="77777777" w:rsidR="00251155" w:rsidRDefault="00251155" w:rsidP="0047706A">
            <w:pPr>
              <w:pStyle w:val="TableParagraph"/>
              <w:spacing w:before="50"/>
              <w:ind w:right="72"/>
              <w:rPr>
                <w:sz w:val="18"/>
              </w:rPr>
            </w:pPr>
            <w:r>
              <w:rPr>
                <w:sz w:val="18"/>
              </w:rPr>
              <w:t>70</w:t>
            </w:r>
          </w:p>
        </w:tc>
        <w:tc>
          <w:tcPr>
            <w:tcW w:w="992" w:type="dxa"/>
            <w:tcBorders>
              <w:top w:val="single" w:sz="4" w:space="0" w:color="000000"/>
              <w:left w:val="dashed" w:sz="4" w:space="0" w:color="DADADA"/>
              <w:bottom w:val="single" w:sz="4" w:space="0" w:color="000000"/>
              <w:right w:val="dashed" w:sz="4" w:space="0" w:color="DADADA"/>
            </w:tcBorders>
          </w:tcPr>
          <w:p w14:paraId="08113DC2" w14:textId="77777777" w:rsidR="00251155" w:rsidRDefault="00251155" w:rsidP="0047706A">
            <w:pPr>
              <w:pStyle w:val="TableParagraph"/>
              <w:spacing w:before="50"/>
              <w:ind w:right="72"/>
              <w:rPr>
                <w:sz w:val="18"/>
              </w:rPr>
            </w:pPr>
            <w:r>
              <w:rPr>
                <w:sz w:val="18"/>
              </w:rPr>
              <w:t>4</w:t>
            </w:r>
          </w:p>
        </w:tc>
        <w:tc>
          <w:tcPr>
            <w:tcW w:w="1219" w:type="dxa"/>
            <w:tcBorders>
              <w:top w:val="single" w:sz="4" w:space="0" w:color="000000"/>
              <w:left w:val="dashed" w:sz="4" w:space="0" w:color="DADADA"/>
              <w:bottom w:val="single" w:sz="4" w:space="0" w:color="000000"/>
              <w:right w:val="dashed" w:sz="4" w:space="0" w:color="DADADA"/>
            </w:tcBorders>
          </w:tcPr>
          <w:p w14:paraId="187AE61D" w14:textId="77777777" w:rsidR="00251155" w:rsidRDefault="00251155" w:rsidP="0047706A">
            <w:pPr>
              <w:pStyle w:val="TableParagraph"/>
              <w:spacing w:before="50"/>
              <w:ind w:right="72"/>
              <w:rPr>
                <w:sz w:val="18"/>
              </w:rPr>
            </w:pPr>
            <w:r>
              <w:rPr>
                <w:sz w:val="18"/>
              </w:rPr>
              <w:t>234</w:t>
            </w:r>
          </w:p>
        </w:tc>
        <w:tc>
          <w:tcPr>
            <w:tcW w:w="1219" w:type="dxa"/>
            <w:tcBorders>
              <w:top w:val="single" w:sz="4" w:space="0" w:color="000000"/>
              <w:left w:val="dashed" w:sz="4" w:space="0" w:color="DADADA"/>
              <w:bottom w:val="single" w:sz="4" w:space="0" w:color="000000"/>
              <w:right w:val="dashed" w:sz="4" w:space="0" w:color="DADADA"/>
            </w:tcBorders>
          </w:tcPr>
          <w:p w14:paraId="3DDAA793" w14:textId="77777777" w:rsidR="00251155" w:rsidRDefault="00251155" w:rsidP="0047706A">
            <w:pPr>
              <w:pStyle w:val="TableParagraph"/>
              <w:spacing w:before="50"/>
              <w:ind w:right="72"/>
              <w:rPr>
                <w:sz w:val="18"/>
              </w:rPr>
            </w:pPr>
            <w:r>
              <w:rPr>
                <w:sz w:val="18"/>
              </w:rPr>
              <w:t>24</w:t>
            </w:r>
          </w:p>
        </w:tc>
        <w:tc>
          <w:tcPr>
            <w:tcW w:w="1054" w:type="dxa"/>
            <w:tcBorders>
              <w:top w:val="single" w:sz="4" w:space="0" w:color="000000"/>
              <w:left w:val="dashed" w:sz="4" w:space="0" w:color="DADADA"/>
              <w:bottom w:val="single" w:sz="4" w:space="0" w:color="000000"/>
              <w:right w:val="nil"/>
            </w:tcBorders>
          </w:tcPr>
          <w:p w14:paraId="085B7F5C" w14:textId="77777777" w:rsidR="00251155" w:rsidRDefault="00251155" w:rsidP="0047706A">
            <w:pPr>
              <w:pStyle w:val="TableParagraph"/>
              <w:spacing w:before="50"/>
              <w:ind w:right="78"/>
              <w:rPr>
                <w:sz w:val="18"/>
              </w:rPr>
            </w:pPr>
            <w:r>
              <w:rPr>
                <w:sz w:val="18"/>
              </w:rPr>
              <w:t>0</w:t>
            </w:r>
          </w:p>
        </w:tc>
      </w:tr>
      <w:tr w:rsidR="00251155" w14:paraId="09933D2F"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3D324A5C" w14:textId="77777777" w:rsidR="00251155" w:rsidRDefault="00251155" w:rsidP="0047706A">
            <w:pPr>
              <w:pStyle w:val="TableParagraph"/>
              <w:spacing w:before="50"/>
              <w:ind w:left="80"/>
              <w:jc w:val="left"/>
              <w:rPr>
                <w:sz w:val="18"/>
              </w:rPr>
            </w:pPr>
            <w:r>
              <w:rPr>
                <w:sz w:val="18"/>
              </w:rPr>
              <w:t>Number of submissions</w:t>
            </w:r>
          </w:p>
        </w:tc>
        <w:tc>
          <w:tcPr>
            <w:tcW w:w="1063" w:type="dxa"/>
            <w:tcBorders>
              <w:top w:val="single" w:sz="4" w:space="0" w:color="000000"/>
              <w:left w:val="single" w:sz="4" w:space="0" w:color="DADADA"/>
              <w:bottom w:val="single" w:sz="4" w:space="0" w:color="000000"/>
              <w:right w:val="dashed" w:sz="4" w:space="0" w:color="DADADA"/>
            </w:tcBorders>
          </w:tcPr>
          <w:p w14:paraId="4D5B85EF" w14:textId="77777777" w:rsidR="00251155" w:rsidRDefault="00251155" w:rsidP="0047706A">
            <w:pPr>
              <w:pStyle w:val="TableParagraph"/>
              <w:spacing w:before="50"/>
              <w:ind w:right="73"/>
              <w:rPr>
                <w:sz w:val="18"/>
              </w:rPr>
            </w:pPr>
            <w:r>
              <w:rPr>
                <w:sz w:val="18"/>
              </w:rPr>
              <w:t>24</w:t>
            </w:r>
          </w:p>
        </w:tc>
        <w:tc>
          <w:tcPr>
            <w:tcW w:w="1020" w:type="dxa"/>
            <w:tcBorders>
              <w:top w:val="single" w:sz="4" w:space="0" w:color="000000"/>
              <w:left w:val="dashed" w:sz="4" w:space="0" w:color="DADADA"/>
              <w:bottom w:val="single" w:sz="4" w:space="0" w:color="000000"/>
              <w:right w:val="dashed" w:sz="4" w:space="0" w:color="DADADA"/>
            </w:tcBorders>
          </w:tcPr>
          <w:p w14:paraId="4B2E0BD9" w14:textId="77777777" w:rsidR="00251155" w:rsidRDefault="00251155" w:rsidP="0047706A">
            <w:pPr>
              <w:pStyle w:val="TableParagraph"/>
              <w:spacing w:before="50"/>
              <w:ind w:right="72"/>
              <w:rPr>
                <w:sz w:val="18"/>
              </w:rPr>
            </w:pPr>
            <w:r>
              <w:rPr>
                <w:sz w:val="18"/>
              </w:rPr>
              <w:t>487</w:t>
            </w:r>
          </w:p>
        </w:tc>
        <w:tc>
          <w:tcPr>
            <w:tcW w:w="992" w:type="dxa"/>
            <w:tcBorders>
              <w:top w:val="single" w:sz="4" w:space="0" w:color="000000"/>
              <w:left w:val="dashed" w:sz="4" w:space="0" w:color="DADADA"/>
              <w:bottom w:val="single" w:sz="4" w:space="0" w:color="000000"/>
              <w:right w:val="dashed" w:sz="4" w:space="0" w:color="DADADA"/>
            </w:tcBorders>
          </w:tcPr>
          <w:p w14:paraId="40895E7F"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70FAFFBB" w14:textId="77777777" w:rsidR="00251155" w:rsidRDefault="00251155" w:rsidP="0047706A">
            <w:pPr>
              <w:pStyle w:val="TableParagraph"/>
              <w:spacing w:before="50"/>
              <w:ind w:right="72"/>
              <w:rPr>
                <w:sz w:val="18"/>
              </w:rPr>
            </w:pPr>
            <w:r>
              <w:rPr>
                <w:sz w:val="18"/>
              </w:rPr>
              <w:t>16</w:t>
            </w:r>
          </w:p>
        </w:tc>
        <w:tc>
          <w:tcPr>
            <w:tcW w:w="1219" w:type="dxa"/>
            <w:tcBorders>
              <w:top w:val="single" w:sz="4" w:space="0" w:color="000000"/>
              <w:left w:val="dashed" w:sz="4" w:space="0" w:color="DADADA"/>
              <w:bottom w:val="single" w:sz="4" w:space="0" w:color="000000"/>
              <w:right w:val="dashed" w:sz="4" w:space="0" w:color="DADADA"/>
            </w:tcBorders>
          </w:tcPr>
          <w:p w14:paraId="6831A1B7" w14:textId="77777777" w:rsidR="00251155" w:rsidRDefault="00251155" w:rsidP="0047706A">
            <w:pPr>
              <w:pStyle w:val="TableParagraph"/>
              <w:spacing w:before="50"/>
              <w:ind w:right="73"/>
              <w:rPr>
                <w:sz w:val="18"/>
              </w:rPr>
            </w:pPr>
            <w:r>
              <w:rPr>
                <w:sz w:val="18"/>
              </w:rPr>
              <w:t>8</w:t>
            </w:r>
          </w:p>
        </w:tc>
        <w:tc>
          <w:tcPr>
            <w:tcW w:w="1054" w:type="dxa"/>
            <w:tcBorders>
              <w:top w:val="single" w:sz="4" w:space="0" w:color="000000"/>
              <w:left w:val="dashed" w:sz="4" w:space="0" w:color="DADADA"/>
              <w:bottom w:val="single" w:sz="4" w:space="0" w:color="000000"/>
              <w:right w:val="nil"/>
            </w:tcBorders>
          </w:tcPr>
          <w:p w14:paraId="5315E230" w14:textId="77777777" w:rsidR="00251155" w:rsidRDefault="00251155" w:rsidP="0047706A">
            <w:pPr>
              <w:pStyle w:val="TableParagraph"/>
              <w:spacing w:before="50"/>
              <w:ind w:right="78"/>
              <w:rPr>
                <w:sz w:val="18"/>
              </w:rPr>
            </w:pPr>
            <w:r>
              <w:rPr>
                <w:sz w:val="18"/>
              </w:rPr>
              <w:t>0</w:t>
            </w:r>
          </w:p>
        </w:tc>
      </w:tr>
      <w:tr w:rsidR="00251155" w14:paraId="057A77AA"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709EDD35" w14:textId="77777777" w:rsidR="00251155" w:rsidRDefault="00251155" w:rsidP="0047706A">
            <w:pPr>
              <w:pStyle w:val="TableParagraph"/>
              <w:spacing w:before="50"/>
              <w:ind w:left="80"/>
              <w:jc w:val="left"/>
              <w:rPr>
                <w:sz w:val="18"/>
              </w:rPr>
            </w:pPr>
            <w:r>
              <w:rPr>
                <w:sz w:val="18"/>
              </w:rPr>
              <w:t>Number of referrals</w:t>
            </w:r>
          </w:p>
        </w:tc>
        <w:tc>
          <w:tcPr>
            <w:tcW w:w="1063" w:type="dxa"/>
            <w:tcBorders>
              <w:top w:val="single" w:sz="4" w:space="0" w:color="000000"/>
              <w:left w:val="single" w:sz="4" w:space="0" w:color="DADADA"/>
              <w:bottom w:val="single" w:sz="4" w:space="0" w:color="000000"/>
              <w:right w:val="dashed" w:sz="4" w:space="0" w:color="DADADA"/>
            </w:tcBorders>
          </w:tcPr>
          <w:p w14:paraId="19992FBE" w14:textId="77777777" w:rsidR="00251155" w:rsidRDefault="00251155" w:rsidP="0047706A">
            <w:pPr>
              <w:pStyle w:val="TableParagraph"/>
              <w:spacing w:before="50"/>
              <w:ind w:right="73"/>
              <w:rPr>
                <w:sz w:val="18"/>
              </w:rPr>
            </w:pPr>
            <w:r>
              <w:rPr>
                <w:sz w:val="18"/>
              </w:rPr>
              <w:t>0</w:t>
            </w:r>
          </w:p>
        </w:tc>
        <w:tc>
          <w:tcPr>
            <w:tcW w:w="1020" w:type="dxa"/>
            <w:tcBorders>
              <w:top w:val="single" w:sz="4" w:space="0" w:color="000000"/>
              <w:left w:val="dashed" w:sz="4" w:space="0" w:color="DADADA"/>
              <w:bottom w:val="single" w:sz="4" w:space="0" w:color="000000"/>
              <w:right w:val="dashed" w:sz="4" w:space="0" w:color="DADADA"/>
            </w:tcBorders>
          </w:tcPr>
          <w:p w14:paraId="24C95EAC" w14:textId="77777777" w:rsidR="00251155" w:rsidRDefault="00251155" w:rsidP="0047706A">
            <w:pPr>
              <w:pStyle w:val="TableParagraph"/>
              <w:spacing w:before="50"/>
              <w:ind w:right="72"/>
              <w:rPr>
                <w:sz w:val="18"/>
              </w:rPr>
            </w:pPr>
            <w:r>
              <w:rPr>
                <w:sz w:val="18"/>
              </w:rPr>
              <w:t>1</w:t>
            </w:r>
          </w:p>
        </w:tc>
        <w:tc>
          <w:tcPr>
            <w:tcW w:w="992" w:type="dxa"/>
            <w:tcBorders>
              <w:top w:val="single" w:sz="4" w:space="0" w:color="000000"/>
              <w:left w:val="dashed" w:sz="4" w:space="0" w:color="DADADA"/>
              <w:bottom w:val="single" w:sz="4" w:space="0" w:color="000000"/>
              <w:right w:val="dashed" w:sz="4" w:space="0" w:color="DADADA"/>
            </w:tcBorders>
          </w:tcPr>
          <w:p w14:paraId="5C41AD5F"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5EA4FAE3" w14:textId="77777777" w:rsidR="00251155" w:rsidRDefault="00251155" w:rsidP="0047706A">
            <w:pPr>
              <w:pStyle w:val="TableParagraph"/>
              <w:spacing w:before="50"/>
              <w:ind w:right="72"/>
              <w:rPr>
                <w:sz w:val="18"/>
              </w:rPr>
            </w:pPr>
            <w:r>
              <w:rPr>
                <w:sz w:val="18"/>
              </w:rPr>
              <w:t>0</w:t>
            </w:r>
          </w:p>
        </w:tc>
        <w:tc>
          <w:tcPr>
            <w:tcW w:w="1219" w:type="dxa"/>
            <w:tcBorders>
              <w:top w:val="single" w:sz="4" w:space="0" w:color="000000"/>
              <w:left w:val="dashed" w:sz="4" w:space="0" w:color="DADADA"/>
              <w:bottom w:val="single" w:sz="4" w:space="0" w:color="000000"/>
              <w:right w:val="dashed" w:sz="4" w:space="0" w:color="DADADA"/>
            </w:tcBorders>
          </w:tcPr>
          <w:p w14:paraId="7A39CD73" w14:textId="77777777" w:rsidR="00251155" w:rsidRDefault="00251155" w:rsidP="0047706A">
            <w:pPr>
              <w:pStyle w:val="TableParagraph"/>
              <w:spacing w:before="50"/>
              <w:ind w:right="73"/>
              <w:rPr>
                <w:sz w:val="18"/>
              </w:rPr>
            </w:pPr>
            <w:r>
              <w:rPr>
                <w:sz w:val="18"/>
              </w:rPr>
              <w:t>1</w:t>
            </w:r>
          </w:p>
        </w:tc>
        <w:tc>
          <w:tcPr>
            <w:tcW w:w="1054" w:type="dxa"/>
            <w:tcBorders>
              <w:top w:val="single" w:sz="4" w:space="0" w:color="000000"/>
              <w:left w:val="dashed" w:sz="4" w:space="0" w:color="DADADA"/>
              <w:bottom w:val="single" w:sz="4" w:space="0" w:color="000000"/>
              <w:right w:val="nil"/>
            </w:tcBorders>
          </w:tcPr>
          <w:p w14:paraId="168B9FB4" w14:textId="77777777" w:rsidR="00251155" w:rsidRDefault="00251155" w:rsidP="0047706A">
            <w:pPr>
              <w:pStyle w:val="TableParagraph"/>
              <w:spacing w:before="50"/>
              <w:ind w:right="78"/>
              <w:rPr>
                <w:sz w:val="18"/>
              </w:rPr>
            </w:pPr>
            <w:r>
              <w:rPr>
                <w:sz w:val="18"/>
              </w:rPr>
              <w:t>1</w:t>
            </w:r>
          </w:p>
        </w:tc>
      </w:tr>
      <w:tr w:rsidR="00251155" w14:paraId="5A59CA04" w14:textId="77777777" w:rsidTr="00BF1EBD">
        <w:trPr>
          <w:trHeight w:val="386"/>
        </w:trPr>
        <w:tc>
          <w:tcPr>
            <w:tcW w:w="3076" w:type="dxa"/>
            <w:tcBorders>
              <w:top w:val="single" w:sz="4" w:space="0" w:color="000000"/>
              <w:left w:val="nil"/>
              <w:bottom w:val="single" w:sz="4" w:space="0" w:color="000000"/>
              <w:right w:val="single" w:sz="4" w:space="0" w:color="DADADA"/>
            </w:tcBorders>
          </w:tcPr>
          <w:p w14:paraId="464D5BDF" w14:textId="77777777" w:rsidR="00251155" w:rsidRDefault="00251155" w:rsidP="0047706A">
            <w:pPr>
              <w:pStyle w:val="TableParagraph"/>
              <w:spacing w:before="50"/>
              <w:ind w:left="80"/>
              <w:jc w:val="left"/>
              <w:rPr>
                <w:sz w:val="18"/>
              </w:rPr>
            </w:pPr>
            <w:r>
              <w:rPr>
                <w:sz w:val="18"/>
              </w:rPr>
              <w:t>Number of reports presented</w:t>
            </w:r>
          </w:p>
        </w:tc>
        <w:tc>
          <w:tcPr>
            <w:tcW w:w="1063" w:type="dxa"/>
            <w:tcBorders>
              <w:top w:val="single" w:sz="4" w:space="0" w:color="000000"/>
              <w:left w:val="single" w:sz="4" w:space="0" w:color="DADADA"/>
              <w:bottom w:val="single" w:sz="4" w:space="0" w:color="000000"/>
              <w:right w:val="dashed" w:sz="4" w:space="0" w:color="DADADA"/>
            </w:tcBorders>
          </w:tcPr>
          <w:p w14:paraId="20CA4CCF" w14:textId="77777777" w:rsidR="00251155" w:rsidRDefault="00251155" w:rsidP="0047706A">
            <w:pPr>
              <w:pStyle w:val="TableParagraph"/>
              <w:spacing w:before="50"/>
              <w:ind w:right="73"/>
              <w:rPr>
                <w:sz w:val="18"/>
              </w:rPr>
            </w:pPr>
            <w:r>
              <w:rPr>
                <w:sz w:val="18"/>
              </w:rPr>
              <w:t>1</w:t>
            </w:r>
          </w:p>
        </w:tc>
        <w:tc>
          <w:tcPr>
            <w:tcW w:w="1020" w:type="dxa"/>
            <w:tcBorders>
              <w:top w:val="single" w:sz="4" w:space="0" w:color="000000"/>
              <w:left w:val="dashed" w:sz="4" w:space="0" w:color="DADADA"/>
              <w:bottom w:val="single" w:sz="4" w:space="0" w:color="000000"/>
              <w:right w:val="dashed" w:sz="4" w:space="0" w:color="DADADA"/>
            </w:tcBorders>
          </w:tcPr>
          <w:p w14:paraId="0BF17007" w14:textId="77777777" w:rsidR="00251155" w:rsidRDefault="00251155" w:rsidP="0047706A">
            <w:pPr>
              <w:pStyle w:val="TableParagraph"/>
              <w:spacing w:before="50"/>
              <w:ind w:right="72"/>
              <w:rPr>
                <w:sz w:val="18"/>
              </w:rPr>
            </w:pPr>
            <w:r>
              <w:rPr>
                <w:sz w:val="18"/>
              </w:rPr>
              <w:t>1</w:t>
            </w:r>
          </w:p>
        </w:tc>
        <w:tc>
          <w:tcPr>
            <w:tcW w:w="992" w:type="dxa"/>
            <w:tcBorders>
              <w:top w:val="single" w:sz="4" w:space="0" w:color="000000"/>
              <w:left w:val="dashed" w:sz="4" w:space="0" w:color="DADADA"/>
              <w:bottom w:val="single" w:sz="4" w:space="0" w:color="000000"/>
              <w:right w:val="dashed" w:sz="4" w:space="0" w:color="DADADA"/>
            </w:tcBorders>
          </w:tcPr>
          <w:p w14:paraId="48637351" w14:textId="77777777" w:rsidR="00251155" w:rsidRDefault="00251155" w:rsidP="0047706A">
            <w:pPr>
              <w:pStyle w:val="TableParagraph"/>
              <w:spacing w:before="50"/>
              <w:ind w:right="72"/>
              <w:rPr>
                <w:sz w:val="18"/>
              </w:rPr>
            </w:pPr>
            <w:r>
              <w:rPr>
                <w:sz w:val="18"/>
              </w:rPr>
              <w:t>1</w:t>
            </w:r>
          </w:p>
        </w:tc>
        <w:tc>
          <w:tcPr>
            <w:tcW w:w="1219" w:type="dxa"/>
            <w:tcBorders>
              <w:top w:val="single" w:sz="4" w:space="0" w:color="000000"/>
              <w:left w:val="dashed" w:sz="4" w:space="0" w:color="DADADA"/>
              <w:bottom w:val="single" w:sz="4" w:space="0" w:color="000000"/>
              <w:right w:val="dashed" w:sz="4" w:space="0" w:color="DADADA"/>
            </w:tcBorders>
          </w:tcPr>
          <w:p w14:paraId="2A4BBBCD" w14:textId="77777777" w:rsidR="00251155" w:rsidRDefault="00251155" w:rsidP="0047706A">
            <w:pPr>
              <w:pStyle w:val="TableParagraph"/>
              <w:spacing w:before="50"/>
              <w:ind w:right="72"/>
              <w:rPr>
                <w:sz w:val="18"/>
              </w:rPr>
            </w:pPr>
            <w:r>
              <w:rPr>
                <w:sz w:val="18"/>
              </w:rPr>
              <w:t>1</w:t>
            </w:r>
          </w:p>
        </w:tc>
        <w:tc>
          <w:tcPr>
            <w:tcW w:w="1219" w:type="dxa"/>
            <w:tcBorders>
              <w:top w:val="single" w:sz="4" w:space="0" w:color="000000"/>
              <w:left w:val="dashed" w:sz="4" w:space="0" w:color="DADADA"/>
              <w:bottom w:val="single" w:sz="4" w:space="0" w:color="000000"/>
              <w:right w:val="dashed" w:sz="4" w:space="0" w:color="DADADA"/>
            </w:tcBorders>
          </w:tcPr>
          <w:p w14:paraId="367064FD" w14:textId="77777777" w:rsidR="00251155" w:rsidRDefault="00251155" w:rsidP="0047706A">
            <w:pPr>
              <w:pStyle w:val="TableParagraph"/>
              <w:spacing w:before="50"/>
              <w:ind w:right="73"/>
              <w:rPr>
                <w:sz w:val="18"/>
              </w:rPr>
            </w:pPr>
            <w:r>
              <w:rPr>
                <w:sz w:val="18"/>
              </w:rPr>
              <w:t>0</w:t>
            </w:r>
          </w:p>
        </w:tc>
        <w:tc>
          <w:tcPr>
            <w:tcW w:w="1054" w:type="dxa"/>
            <w:tcBorders>
              <w:top w:val="single" w:sz="4" w:space="0" w:color="000000"/>
              <w:left w:val="dashed" w:sz="4" w:space="0" w:color="DADADA"/>
              <w:bottom w:val="single" w:sz="4" w:space="0" w:color="000000"/>
              <w:right w:val="nil"/>
            </w:tcBorders>
          </w:tcPr>
          <w:p w14:paraId="10DF1C9F" w14:textId="77777777" w:rsidR="00251155" w:rsidRDefault="00251155" w:rsidP="0047706A">
            <w:pPr>
              <w:pStyle w:val="TableParagraph"/>
              <w:spacing w:before="50"/>
              <w:ind w:right="78"/>
              <w:rPr>
                <w:sz w:val="18"/>
              </w:rPr>
            </w:pPr>
            <w:r>
              <w:rPr>
                <w:sz w:val="18"/>
              </w:rPr>
              <w:t>0</w:t>
            </w:r>
          </w:p>
        </w:tc>
      </w:tr>
      <w:tr w:rsidR="00251155" w14:paraId="1135D855" w14:textId="77777777" w:rsidTr="00BF1EBD">
        <w:trPr>
          <w:trHeight w:val="556"/>
        </w:trPr>
        <w:tc>
          <w:tcPr>
            <w:tcW w:w="3076" w:type="dxa"/>
            <w:tcBorders>
              <w:top w:val="single" w:sz="4" w:space="0" w:color="000000"/>
              <w:left w:val="nil"/>
              <w:bottom w:val="single" w:sz="4" w:space="0" w:color="000000"/>
              <w:right w:val="single" w:sz="4" w:space="0" w:color="DADADA"/>
            </w:tcBorders>
          </w:tcPr>
          <w:p w14:paraId="41A7D584" w14:textId="77777777" w:rsidR="00251155" w:rsidRDefault="00251155" w:rsidP="0047706A">
            <w:pPr>
              <w:pStyle w:val="TableParagraph"/>
              <w:spacing w:before="30" w:line="204" w:lineRule="auto"/>
              <w:ind w:left="80"/>
              <w:jc w:val="left"/>
              <w:rPr>
                <w:sz w:val="18"/>
              </w:rPr>
            </w:pPr>
            <w:r>
              <w:rPr>
                <w:sz w:val="18"/>
              </w:rPr>
              <w:t>Number of statements made under SO246A</w:t>
            </w:r>
          </w:p>
        </w:tc>
        <w:tc>
          <w:tcPr>
            <w:tcW w:w="1063" w:type="dxa"/>
            <w:tcBorders>
              <w:top w:val="single" w:sz="4" w:space="0" w:color="000000"/>
              <w:left w:val="single" w:sz="4" w:space="0" w:color="DADADA"/>
              <w:bottom w:val="single" w:sz="4" w:space="0" w:color="000000"/>
              <w:right w:val="single" w:sz="4" w:space="0" w:color="DADADA"/>
            </w:tcBorders>
          </w:tcPr>
          <w:p w14:paraId="5EB70F87" w14:textId="77777777" w:rsidR="00251155" w:rsidRDefault="00251155" w:rsidP="0047706A">
            <w:pPr>
              <w:pStyle w:val="TableParagraph"/>
              <w:spacing w:line="258" w:lineRule="exact"/>
              <w:ind w:right="73"/>
              <w:rPr>
                <w:sz w:val="18"/>
              </w:rPr>
            </w:pPr>
            <w:r>
              <w:rPr>
                <w:sz w:val="18"/>
              </w:rPr>
              <w:t>0</w:t>
            </w:r>
          </w:p>
        </w:tc>
        <w:tc>
          <w:tcPr>
            <w:tcW w:w="1020" w:type="dxa"/>
            <w:tcBorders>
              <w:top w:val="single" w:sz="4" w:space="0" w:color="000000"/>
              <w:left w:val="single" w:sz="4" w:space="0" w:color="DADADA"/>
              <w:bottom w:val="single" w:sz="4" w:space="0" w:color="000000"/>
              <w:right w:val="single" w:sz="4" w:space="0" w:color="DADADA"/>
            </w:tcBorders>
          </w:tcPr>
          <w:p w14:paraId="2FDBA16F" w14:textId="77777777" w:rsidR="00251155" w:rsidRDefault="00251155" w:rsidP="0047706A">
            <w:pPr>
              <w:pStyle w:val="TableParagraph"/>
              <w:spacing w:line="258" w:lineRule="exact"/>
              <w:ind w:right="72"/>
              <w:rPr>
                <w:sz w:val="18"/>
              </w:rPr>
            </w:pPr>
            <w:r>
              <w:rPr>
                <w:sz w:val="18"/>
              </w:rPr>
              <w:t>0</w:t>
            </w:r>
          </w:p>
        </w:tc>
        <w:tc>
          <w:tcPr>
            <w:tcW w:w="992" w:type="dxa"/>
            <w:tcBorders>
              <w:top w:val="single" w:sz="4" w:space="0" w:color="000000"/>
              <w:left w:val="single" w:sz="4" w:space="0" w:color="DADADA"/>
              <w:bottom w:val="single" w:sz="4" w:space="0" w:color="000000"/>
              <w:right w:val="single" w:sz="4" w:space="0" w:color="DADADA"/>
            </w:tcBorders>
          </w:tcPr>
          <w:p w14:paraId="17CCEEAD" w14:textId="77777777" w:rsidR="00251155" w:rsidRDefault="00251155" w:rsidP="0047706A">
            <w:pPr>
              <w:pStyle w:val="TableParagraph"/>
              <w:spacing w:line="258" w:lineRule="exact"/>
              <w:ind w:right="72"/>
              <w:rPr>
                <w:sz w:val="18"/>
              </w:rPr>
            </w:pPr>
            <w:r>
              <w:rPr>
                <w:sz w:val="18"/>
              </w:rPr>
              <w:t>0</w:t>
            </w:r>
          </w:p>
        </w:tc>
        <w:tc>
          <w:tcPr>
            <w:tcW w:w="1219" w:type="dxa"/>
            <w:tcBorders>
              <w:top w:val="single" w:sz="4" w:space="0" w:color="000000"/>
              <w:left w:val="single" w:sz="4" w:space="0" w:color="DADADA"/>
              <w:bottom w:val="single" w:sz="4" w:space="0" w:color="000000"/>
              <w:right w:val="single" w:sz="4" w:space="0" w:color="DADADA"/>
            </w:tcBorders>
          </w:tcPr>
          <w:p w14:paraId="2BED2409" w14:textId="77777777" w:rsidR="00251155" w:rsidRDefault="00251155" w:rsidP="0047706A">
            <w:pPr>
              <w:pStyle w:val="TableParagraph"/>
              <w:spacing w:line="258" w:lineRule="exact"/>
              <w:ind w:right="72"/>
              <w:rPr>
                <w:sz w:val="18"/>
              </w:rPr>
            </w:pPr>
            <w:r>
              <w:rPr>
                <w:sz w:val="18"/>
              </w:rPr>
              <w:t>0</w:t>
            </w:r>
          </w:p>
        </w:tc>
        <w:tc>
          <w:tcPr>
            <w:tcW w:w="1219" w:type="dxa"/>
            <w:tcBorders>
              <w:top w:val="single" w:sz="4" w:space="0" w:color="000000"/>
              <w:left w:val="single" w:sz="4" w:space="0" w:color="DADADA"/>
              <w:bottom w:val="single" w:sz="4" w:space="0" w:color="000000"/>
              <w:right w:val="single" w:sz="4" w:space="0" w:color="DADADA"/>
            </w:tcBorders>
          </w:tcPr>
          <w:p w14:paraId="438C4828" w14:textId="77777777" w:rsidR="00251155" w:rsidRDefault="00251155" w:rsidP="0047706A">
            <w:pPr>
              <w:pStyle w:val="TableParagraph"/>
              <w:spacing w:line="258" w:lineRule="exact"/>
              <w:ind w:right="73"/>
              <w:rPr>
                <w:sz w:val="18"/>
              </w:rPr>
            </w:pPr>
            <w:r>
              <w:rPr>
                <w:sz w:val="18"/>
              </w:rPr>
              <w:t>0</w:t>
            </w:r>
          </w:p>
        </w:tc>
        <w:tc>
          <w:tcPr>
            <w:tcW w:w="1054" w:type="dxa"/>
            <w:tcBorders>
              <w:top w:val="single" w:sz="4" w:space="0" w:color="000000"/>
              <w:left w:val="single" w:sz="4" w:space="0" w:color="DADADA"/>
              <w:bottom w:val="single" w:sz="4" w:space="0" w:color="000000"/>
              <w:right w:val="nil"/>
            </w:tcBorders>
          </w:tcPr>
          <w:p w14:paraId="77B90D08" w14:textId="77777777" w:rsidR="00251155" w:rsidRDefault="00251155" w:rsidP="0047706A">
            <w:pPr>
              <w:pStyle w:val="TableParagraph"/>
              <w:spacing w:line="258" w:lineRule="exact"/>
              <w:ind w:right="78"/>
              <w:rPr>
                <w:sz w:val="18"/>
              </w:rPr>
            </w:pPr>
            <w:r>
              <w:rPr>
                <w:sz w:val="18"/>
              </w:rPr>
              <w:t>0</w:t>
            </w:r>
          </w:p>
        </w:tc>
      </w:tr>
      <w:tr w:rsidR="00251155" w14:paraId="652A9467" w14:textId="77777777" w:rsidTr="00BF1EBD">
        <w:trPr>
          <w:trHeight w:val="556"/>
        </w:trPr>
        <w:tc>
          <w:tcPr>
            <w:tcW w:w="3076" w:type="dxa"/>
            <w:tcBorders>
              <w:top w:val="single" w:sz="4" w:space="0" w:color="000000"/>
              <w:left w:val="nil"/>
              <w:bottom w:val="single" w:sz="4" w:space="0" w:color="000000"/>
              <w:right w:val="single" w:sz="4" w:space="0" w:color="DADADA"/>
            </w:tcBorders>
          </w:tcPr>
          <w:p w14:paraId="59B8E20F" w14:textId="77777777" w:rsidR="00251155" w:rsidRDefault="00251155" w:rsidP="0047706A">
            <w:pPr>
              <w:pStyle w:val="TableParagraph"/>
              <w:spacing w:before="30" w:line="204" w:lineRule="auto"/>
              <w:ind w:left="80"/>
              <w:jc w:val="left"/>
              <w:rPr>
                <w:sz w:val="18"/>
              </w:rPr>
            </w:pPr>
            <w:r>
              <w:rPr>
                <w:sz w:val="18"/>
              </w:rPr>
              <w:t>Number of statutory appointments considered</w:t>
            </w:r>
          </w:p>
        </w:tc>
        <w:tc>
          <w:tcPr>
            <w:tcW w:w="1063" w:type="dxa"/>
            <w:tcBorders>
              <w:top w:val="single" w:sz="4" w:space="0" w:color="000000"/>
              <w:left w:val="single" w:sz="4" w:space="0" w:color="DADADA"/>
              <w:bottom w:val="single" w:sz="4" w:space="0" w:color="000000"/>
              <w:right w:val="single" w:sz="4" w:space="0" w:color="DADADA"/>
            </w:tcBorders>
          </w:tcPr>
          <w:p w14:paraId="24C54799" w14:textId="77777777" w:rsidR="00251155" w:rsidRDefault="00251155" w:rsidP="0047706A">
            <w:pPr>
              <w:pStyle w:val="TableParagraph"/>
              <w:spacing w:line="258" w:lineRule="exact"/>
              <w:ind w:right="73"/>
              <w:rPr>
                <w:sz w:val="18"/>
              </w:rPr>
            </w:pPr>
            <w:r>
              <w:rPr>
                <w:sz w:val="18"/>
              </w:rPr>
              <w:t>0</w:t>
            </w:r>
          </w:p>
        </w:tc>
        <w:tc>
          <w:tcPr>
            <w:tcW w:w="1020" w:type="dxa"/>
            <w:tcBorders>
              <w:top w:val="single" w:sz="4" w:space="0" w:color="000000"/>
              <w:left w:val="single" w:sz="4" w:space="0" w:color="DADADA"/>
              <w:bottom w:val="single" w:sz="4" w:space="0" w:color="000000"/>
              <w:right w:val="single" w:sz="4" w:space="0" w:color="DADADA"/>
            </w:tcBorders>
          </w:tcPr>
          <w:p w14:paraId="3F586C82" w14:textId="77777777" w:rsidR="00251155" w:rsidRDefault="00251155" w:rsidP="0047706A">
            <w:pPr>
              <w:pStyle w:val="TableParagraph"/>
              <w:spacing w:line="258" w:lineRule="exact"/>
              <w:ind w:right="72"/>
              <w:rPr>
                <w:sz w:val="18"/>
              </w:rPr>
            </w:pPr>
            <w:r>
              <w:rPr>
                <w:sz w:val="18"/>
              </w:rPr>
              <w:t>0</w:t>
            </w:r>
          </w:p>
        </w:tc>
        <w:tc>
          <w:tcPr>
            <w:tcW w:w="992" w:type="dxa"/>
            <w:tcBorders>
              <w:top w:val="single" w:sz="4" w:space="0" w:color="000000"/>
              <w:left w:val="single" w:sz="4" w:space="0" w:color="DADADA"/>
              <w:bottom w:val="single" w:sz="4" w:space="0" w:color="000000"/>
              <w:right w:val="single" w:sz="4" w:space="0" w:color="DADADA"/>
            </w:tcBorders>
          </w:tcPr>
          <w:p w14:paraId="3E478C58" w14:textId="77777777" w:rsidR="00251155" w:rsidRDefault="00251155" w:rsidP="0047706A">
            <w:pPr>
              <w:pStyle w:val="TableParagraph"/>
              <w:spacing w:line="258" w:lineRule="exact"/>
              <w:ind w:right="72"/>
              <w:rPr>
                <w:sz w:val="18"/>
              </w:rPr>
            </w:pPr>
            <w:r>
              <w:rPr>
                <w:sz w:val="18"/>
              </w:rPr>
              <w:t>0</w:t>
            </w:r>
          </w:p>
        </w:tc>
        <w:tc>
          <w:tcPr>
            <w:tcW w:w="1219" w:type="dxa"/>
            <w:tcBorders>
              <w:top w:val="single" w:sz="4" w:space="0" w:color="000000"/>
              <w:left w:val="single" w:sz="4" w:space="0" w:color="DADADA"/>
              <w:bottom w:val="single" w:sz="4" w:space="0" w:color="000000"/>
              <w:right w:val="single" w:sz="4" w:space="0" w:color="DADADA"/>
            </w:tcBorders>
          </w:tcPr>
          <w:p w14:paraId="59DFF2FE" w14:textId="77777777" w:rsidR="00251155" w:rsidRDefault="00251155" w:rsidP="0047706A">
            <w:pPr>
              <w:pStyle w:val="TableParagraph"/>
              <w:spacing w:line="258" w:lineRule="exact"/>
              <w:ind w:right="72"/>
              <w:rPr>
                <w:sz w:val="18"/>
              </w:rPr>
            </w:pPr>
            <w:r>
              <w:rPr>
                <w:sz w:val="18"/>
              </w:rPr>
              <w:t>0</w:t>
            </w:r>
          </w:p>
        </w:tc>
        <w:tc>
          <w:tcPr>
            <w:tcW w:w="1219" w:type="dxa"/>
            <w:tcBorders>
              <w:top w:val="single" w:sz="4" w:space="0" w:color="000000"/>
              <w:left w:val="single" w:sz="4" w:space="0" w:color="DADADA"/>
              <w:bottom w:val="single" w:sz="4" w:space="0" w:color="000000"/>
              <w:right w:val="single" w:sz="4" w:space="0" w:color="DADADA"/>
            </w:tcBorders>
          </w:tcPr>
          <w:p w14:paraId="7F79F11B" w14:textId="77777777" w:rsidR="00251155" w:rsidRDefault="00251155" w:rsidP="0047706A">
            <w:pPr>
              <w:pStyle w:val="TableParagraph"/>
              <w:spacing w:line="258" w:lineRule="exact"/>
              <w:ind w:right="73"/>
              <w:rPr>
                <w:sz w:val="18"/>
              </w:rPr>
            </w:pPr>
            <w:r>
              <w:rPr>
                <w:sz w:val="18"/>
              </w:rPr>
              <w:t>0</w:t>
            </w:r>
          </w:p>
        </w:tc>
        <w:tc>
          <w:tcPr>
            <w:tcW w:w="1054" w:type="dxa"/>
            <w:tcBorders>
              <w:top w:val="single" w:sz="4" w:space="0" w:color="000000"/>
              <w:left w:val="single" w:sz="4" w:space="0" w:color="DADADA"/>
              <w:bottom w:val="single" w:sz="4" w:space="0" w:color="000000"/>
              <w:right w:val="nil"/>
            </w:tcBorders>
          </w:tcPr>
          <w:p w14:paraId="04239C29" w14:textId="77777777" w:rsidR="00251155" w:rsidRDefault="00251155" w:rsidP="0047706A">
            <w:pPr>
              <w:pStyle w:val="TableParagraph"/>
              <w:spacing w:line="258" w:lineRule="exact"/>
              <w:ind w:right="78"/>
              <w:rPr>
                <w:sz w:val="18"/>
              </w:rPr>
            </w:pPr>
            <w:r>
              <w:rPr>
                <w:sz w:val="18"/>
              </w:rPr>
              <w:t>0</w:t>
            </w:r>
          </w:p>
        </w:tc>
      </w:tr>
    </w:tbl>
    <w:p w14:paraId="2D8C2682" w14:textId="77777777" w:rsidR="00251155" w:rsidRPr="00BF1EBD" w:rsidRDefault="00251155" w:rsidP="00BF1EBD">
      <w:pPr>
        <w:pStyle w:val="BodyText"/>
      </w:pPr>
    </w:p>
    <w:p w14:paraId="74AE2310" w14:textId="77777777" w:rsidR="00251155" w:rsidRDefault="00251155" w:rsidP="00BF1EBD">
      <w:pPr>
        <w:spacing w:before="1"/>
        <w:rPr>
          <w:rFonts w:ascii="Calibri"/>
          <w:sz w:val="18"/>
        </w:rPr>
      </w:pPr>
      <w:r>
        <w:rPr>
          <w:rFonts w:ascii="Calibri"/>
          <w:sz w:val="18"/>
        </w:rPr>
        <w:t>* Committees supported by Chamber Support.</w:t>
      </w:r>
    </w:p>
    <w:p w14:paraId="0120A260" w14:textId="7B473453" w:rsidR="00251155" w:rsidRDefault="00251155" w:rsidP="00BF1EBD">
      <w:pPr>
        <w:spacing w:before="54"/>
        <w:rPr>
          <w:rFonts w:ascii="Calibri"/>
          <w:sz w:val="18"/>
        </w:rPr>
        <w:sectPr w:rsidR="00251155" w:rsidSect="00262156">
          <w:pgSz w:w="11910" w:h="16840"/>
          <w:pgMar w:top="1580" w:right="0" w:bottom="740" w:left="980" w:header="567" w:footer="567" w:gutter="0"/>
          <w:cols w:space="720"/>
          <w:docGrid w:linePitch="299"/>
        </w:sectPr>
      </w:pPr>
      <w:r>
        <w:rPr>
          <w:rFonts w:ascii="Calibri"/>
          <w:sz w:val="18"/>
        </w:rPr>
        <w:t># Privileges 2018 report ci</w:t>
      </w:r>
      <w:r w:rsidR="00D81734">
        <w:rPr>
          <w:rFonts w:ascii="Calibri"/>
          <w:sz w:val="18"/>
        </w:rPr>
        <w:t>rculated out of sessio</w:t>
      </w:r>
      <w:r w:rsidR="00D52313">
        <w:rPr>
          <w:rFonts w:ascii="Calibri"/>
          <w:sz w:val="18"/>
        </w:rPr>
        <w:t>n</w:t>
      </w:r>
    </w:p>
    <w:p w14:paraId="68FE7BAF" w14:textId="19A878FC" w:rsidR="00251155" w:rsidRDefault="00251155" w:rsidP="00D81734"/>
    <w:sectPr w:rsidR="00251155" w:rsidSect="00A441C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B2FB1" w14:textId="77777777" w:rsidR="0088225B" w:rsidRDefault="0088225B" w:rsidP="00A441C0">
      <w:pPr>
        <w:spacing w:after="0" w:line="240" w:lineRule="auto"/>
      </w:pPr>
      <w:r>
        <w:separator/>
      </w:r>
    </w:p>
  </w:endnote>
  <w:endnote w:type="continuationSeparator" w:id="0">
    <w:p w14:paraId="2D2F2926" w14:textId="77777777" w:rsidR="0088225B" w:rsidRDefault="0088225B" w:rsidP="00A44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ontserrat-SemiBoldItalic">
    <w:altName w:val="Montserrat"/>
    <w:panose1 w:val="00000000000000000000"/>
    <w:charset w:val="00"/>
    <w:family w:val="roman"/>
    <w:notTrueType/>
    <w:pitch w:val="variable"/>
  </w:font>
  <w:font w:name="Segoe UI">
    <w:panose1 w:val="020B0502040204020203"/>
    <w:charset w:val="00"/>
    <w:family w:val="swiss"/>
    <w:pitch w:val="variable"/>
    <w:sig w:usb0="E4002EFF" w:usb1="C000E47F" w:usb2="00000009" w:usb3="00000000" w:csb0="000001FF" w:csb1="00000000"/>
  </w:font>
  <w:font w:name="Calibri-Light">
    <w:altName w:val="Calibri"/>
    <w:charset w:val="00"/>
    <w:family w:val="swiss"/>
    <w:pitch w:val="variable"/>
  </w:font>
  <w:font w:name="Montserrat-Light">
    <w:altName w:val="Montserrat"/>
    <w:panose1 w:val="00000000000000000000"/>
    <w:charset w:val="00"/>
    <w:family w:val="roman"/>
    <w:notTrueType/>
    <w:pitch w:val="variable"/>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3A2CB" w14:textId="77777777" w:rsidR="0088225B" w:rsidRPr="009A08E4" w:rsidRDefault="0088225B" w:rsidP="009A08E4">
    <w:pPr>
      <w:pStyle w:val="Footer"/>
      <w:jc w:val="center"/>
      <w:rPr>
        <w:rFonts w:ascii="Calibri" w:hAnsi="Calibri"/>
        <w:b/>
        <w:color w:val="F00000"/>
        <w:sz w:val="24"/>
      </w:rPr>
    </w:pPr>
    <w:r>
      <w:fldChar w:fldCharType="begin" w:fldLock="1"/>
    </w:r>
    <w:r>
      <w:instrText xml:space="preserve"> DOCPROPERTY bjFooterEvenPageDocProperty \* MERGEFORMAT </w:instrText>
    </w:r>
    <w:r>
      <w:fldChar w:fldCharType="separate"/>
    </w:r>
  </w:p>
  <w:p w14:paraId="75C6FE18" w14:textId="27C927AE" w:rsidR="0088225B" w:rsidRPr="009A08E4" w:rsidRDefault="0088225B" w:rsidP="009A08E4">
    <w:pPr>
      <w:pStyle w:val="Footer"/>
      <w:jc w:val="center"/>
    </w:pPr>
    <w:r w:rsidRPr="009A08E4">
      <w:rPr>
        <w:rFonts w:ascii="Calibri" w:hAnsi="Calibri"/>
        <w:b/>
        <w:color w:val="F00000"/>
        <w:sz w:val="24"/>
      </w:rPr>
      <w:t>UNCLASSIFIED</w:t>
    </w:r>
    <w:r>
      <w:t xml:space="preserve"> </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6506" w14:textId="3BB66C3C" w:rsidR="004F67F1" w:rsidRDefault="004F67F1">
    <w:pPr>
      <w:pStyle w:val="Footer"/>
      <w:jc w:val="right"/>
    </w:pPr>
    <w:r>
      <w:t xml:space="preserve"> Page </w:t>
    </w:r>
    <w:sdt>
      <w:sdtPr>
        <w:id w:val="29009531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8679435" w14:textId="2D9B6DC2" w:rsidR="0088225B" w:rsidRPr="00CB7102" w:rsidRDefault="0088225B" w:rsidP="00262156">
    <w:pPr>
      <w:pStyle w:val="Footer"/>
      <w:ind w:right="1149"/>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79930" w14:textId="77777777" w:rsidR="0088225B" w:rsidRPr="009A08E4" w:rsidRDefault="0088225B" w:rsidP="009A08E4">
    <w:pPr>
      <w:pStyle w:val="Footer"/>
      <w:jc w:val="center"/>
      <w:rPr>
        <w:rFonts w:ascii="Calibri" w:hAnsi="Calibri"/>
        <w:b/>
        <w:color w:val="F00000"/>
        <w:sz w:val="24"/>
      </w:rPr>
    </w:pPr>
    <w:r>
      <w:fldChar w:fldCharType="begin" w:fldLock="1"/>
    </w:r>
    <w:r>
      <w:instrText xml:space="preserve"> DOCPROPERTY bjFooterFirstPageDocProperty \* MERGEFORMAT </w:instrText>
    </w:r>
    <w:r>
      <w:fldChar w:fldCharType="separate"/>
    </w:r>
  </w:p>
  <w:p w14:paraId="20DB0A72" w14:textId="4B0CAAFE" w:rsidR="0088225B" w:rsidRPr="009A08E4" w:rsidRDefault="0088225B" w:rsidP="009A08E4">
    <w:pPr>
      <w:pStyle w:val="Footer"/>
      <w:jc w:val="center"/>
    </w:pPr>
    <w:r w:rsidRPr="009A08E4">
      <w:rPr>
        <w:rFonts w:ascii="Calibri" w:hAnsi="Calibri"/>
        <w:b/>
        <w:color w:val="F00000"/>
        <w:sz w:val="24"/>
      </w:rPr>
      <w:t>UNCLASSIFIED</w:t>
    </w:r>
    <w:r>
      <w:t xml:space="preserve"> </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9BE32" w14:textId="77777777" w:rsidR="0088225B" w:rsidRPr="009A08E4" w:rsidRDefault="0088225B" w:rsidP="009A08E4">
    <w:pPr>
      <w:pStyle w:val="BodyText"/>
      <w:spacing w:line="14" w:lineRule="auto"/>
      <w:jc w:val="center"/>
      <w:rPr>
        <w:rFonts w:ascii="Calibri" w:hAnsi="Calibri"/>
        <w:b/>
        <w:color w:val="F00000"/>
        <w:sz w:val="24"/>
      </w:rPr>
    </w:pPr>
    <w:r>
      <w:rPr>
        <w:noProof/>
        <w:lang w:val="en-AU" w:eastAsia="en-AU" w:bidi="ar-SA"/>
      </w:rPr>
      <mc:AlternateContent>
        <mc:Choice Requires="wps">
          <w:drawing>
            <wp:anchor distT="0" distB="0" distL="114300" distR="114300" simplePos="0" relativeHeight="251660288" behindDoc="1" locked="0" layoutInCell="1" allowOverlap="1" wp14:anchorId="51C79A5C" wp14:editId="08BE073A">
              <wp:simplePos x="0" y="0"/>
              <wp:positionH relativeFrom="page">
                <wp:posOffset>694690</wp:posOffset>
              </wp:positionH>
              <wp:positionV relativeFrom="page">
                <wp:posOffset>10220325</wp:posOffset>
              </wp:positionV>
              <wp:extent cx="3357245" cy="178435"/>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724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6D1BE2" w14:textId="77777777" w:rsidR="0088225B" w:rsidRDefault="0088225B">
                          <w:pPr>
                            <w:spacing w:before="42"/>
                            <w:ind w:left="40"/>
                            <w:rPr>
                              <w:rFonts w:ascii="Montserrat-Light" w:hAnsi="Montserrat-Light"/>
                              <w:sz w:val="14"/>
                            </w:rPr>
                          </w:pPr>
                          <w:r>
                            <w:fldChar w:fldCharType="begin"/>
                          </w:r>
                          <w:r>
                            <w:rPr>
                              <w:rFonts w:ascii="Montserrat-Light" w:hAnsi="Montserrat-Light"/>
                              <w:sz w:val="16"/>
                            </w:rPr>
                            <w:instrText xml:space="preserve"> PAGE </w:instrText>
                          </w:r>
                          <w:r>
                            <w:fldChar w:fldCharType="separate"/>
                          </w:r>
                          <w:r>
                            <w:rPr>
                              <w:rFonts w:ascii="Montserrat-Light" w:hAnsi="Montserrat-Light"/>
                              <w:noProof/>
                              <w:sz w:val="16"/>
                            </w:rPr>
                            <w:t>66</w:t>
                          </w:r>
                          <w:r>
                            <w:fldChar w:fldCharType="end"/>
                          </w:r>
                          <w:r>
                            <w:rPr>
                              <w:rFonts w:ascii="Montserrat-Light" w:hAnsi="Montserrat-Light"/>
                              <w:sz w:val="16"/>
                            </w:rPr>
                            <w:t xml:space="preserve"> </w:t>
                          </w:r>
                          <w:r>
                            <w:rPr>
                              <w:rFonts w:ascii="Montserrat-Light" w:hAnsi="Montserrat-Light"/>
                              <w:sz w:val="14"/>
                            </w:rPr>
                            <w:t xml:space="preserve">OFFICE OF THE LEGISLATIVE ASSEMBLY </w:t>
                          </w:r>
                          <w:r>
                            <w:rPr>
                              <w:rFonts w:ascii="Montserrat" w:hAnsi="Montserrat"/>
                              <w:b/>
                              <w:sz w:val="14"/>
                            </w:rPr>
                            <w:t xml:space="preserve">ANNUAL REPORT </w:t>
                          </w:r>
                          <w:r>
                            <w:rPr>
                              <w:rFonts w:ascii="Montserrat-Light" w:hAnsi="Montserrat-Light"/>
                              <w:sz w:val="14"/>
                            </w:rPr>
                            <w:t>2017–2018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79A5C" id="_x0000_t202" coordsize="21600,21600" o:spt="202" path="m,l,21600r21600,l21600,xe">
              <v:stroke joinstyle="miter"/>
              <v:path gradientshapeok="t" o:connecttype="rect"/>
            </v:shapetype>
            <v:shape id="Text Box 5" o:spid="_x0000_s1026" type="#_x0000_t202" style="position:absolute;left:0;text-align:left;margin-left:54.7pt;margin-top:804.75pt;width:264.35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" filled="f" stroked="f">
              <v:textbox inset="0,0,0,0">
                <w:txbxContent>
                  <w:p w14:paraId="636D1BE2" w14:textId="77777777" w:rsidR="0088225B" w:rsidRDefault="0088225B">
                    <w:pPr>
                      <w:spacing w:before="42"/>
                      <w:ind w:left="40"/>
                      <w:rPr>
                        <w:rFonts w:ascii="Montserrat-Light" w:hAnsi="Montserrat-Light"/>
                        <w:sz w:val="14"/>
                      </w:rPr>
                    </w:pPr>
                    <w:r>
                      <w:fldChar w:fldCharType="begin"/>
                    </w:r>
                    <w:r>
                      <w:rPr>
                        <w:rFonts w:ascii="Montserrat-Light" w:hAnsi="Montserrat-Light"/>
                        <w:sz w:val="16"/>
                      </w:rPr>
                      <w:instrText xml:space="preserve"> PAGE </w:instrText>
                    </w:r>
                    <w:r>
                      <w:fldChar w:fldCharType="separate"/>
                    </w:r>
                    <w:r>
                      <w:rPr>
                        <w:rFonts w:ascii="Montserrat-Light" w:hAnsi="Montserrat-Light"/>
                        <w:noProof/>
                        <w:sz w:val="16"/>
                      </w:rPr>
                      <w:t>66</w:t>
                    </w:r>
                    <w:r>
                      <w:fldChar w:fldCharType="end"/>
                    </w:r>
                    <w:r>
                      <w:rPr>
                        <w:rFonts w:ascii="Montserrat-Light" w:hAnsi="Montserrat-Light"/>
                        <w:sz w:val="16"/>
                      </w:rPr>
                      <w:t xml:space="preserve"> </w:t>
                    </w:r>
                    <w:r>
                      <w:rPr>
                        <w:rFonts w:ascii="Montserrat-Light" w:hAnsi="Montserrat-Light"/>
                        <w:sz w:val="14"/>
                      </w:rPr>
                      <w:t xml:space="preserve">OFFICE OF THE LEGISLATIVE ASSEMBLY </w:t>
                    </w:r>
                    <w:r>
                      <w:rPr>
                        <w:rFonts w:ascii="Montserrat" w:hAnsi="Montserrat"/>
                        <w:b/>
                        <w:sz w:val="14"/>
                      </w:rPr>
                      <w:t xml:space="preserve">ANNUAL REPORT </w:t>
                    </w:r>
                    <w:r>
                      <w:rPr>
                        <w:rFonts w:ascii="Montserrat-Light" w:hAnsi="Montserrat-Light"/>
                        <w:sz w:val="14"/>
                      </w:rPr>
                      <w:t>2017–2018</w:t>
                    </w:r>
                  </w:p>
                </w:txbxContent>
              </v:textbox>
              <w10:wrap anchorx="page" anchory="page"/>
            </v:shape>
          </w:pict>
        </mc:Fallback>
      </mc:AlternateContent>
    </w:r>
    <w:r>
      <w:rPr>
        <w:sz w:val="20"/>
      </w:rPr>
      <w:fldChar w:fldCharType="begin" w:fldLock="1"/>
    </w:r>
    <w:r>
      <w:rPr>
        <w:sz w:val="20"/>
      </w:rPr>
      <w:instrText xml:space="preserve"> DOCPROPERTY bjFooterEvenPageDocProperty \* MERGEFORMAT </w:instrText>
    </w:r>
    <w:r>
      <w:rPr>
        <w:sz w:val="20"/>
      </w:rPr>
      <w:fldChar w:fldCharType="separate"/>
    </w:r>
  </w:p>
  <w:p w14:paraId="3EF4B917" w14:textId="427254C9" w:rsidR="0088225B" w:rsidRDefault="0088225B" w:rsidP="009A08E4">
    <w:pPr>
      <w:pStyle w:val="BodyText"/>
      <w:spacing w:line="14" w:lineRule="auto"/>
      <w:jc w:val="center"/>
      <w:rPr>
        <w:sz w:val="20"/>
      </w:rPr>
    </w:pPr>
    <w:r w:rsidRPr="009A08E4">
      <w:rPr>
        <w:rFonts w:ascii="Calibri" w:hAnsi="Calibri"/>
        <w:b/>
        <w:color w:val="F00000"/>
        <w:sz w:val="24"/>
      </w:rPr>
      <w:t>UNCLASSIFIED</w:t>
    </w:r>
    <w:r>
      <w:rPr>
        <w:sz w:val="20"/>
      </w:rPr>
      <w:t xml:space="preserve"> </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1DA80" w14:textId="77777777" w:rsidR="0088225B" w:rsidRDefault="0088225B" w:rsidP="00A441C0">
      <w:pPr>
        <w:spacing w:after="0" w:line="240" w:lineRule="auto"/>
      </w:pPr>
      <w:r>
        <w:separator/>
      </w:r>
    </w:p>
  </w:footnote>
  <w:footnote w:type="continuationSeparator" w:id="0">
    <w:p w14:paraId="21551F1C" w14:textId="77777777" w:rsidR="0088225B" w:rsidRDefault="0088225B" w:rsidP="00A441C0">
      <w:pPr>
        <w:spacing w:after="0" w:line="240" w:lineRule="auto"/>
      </w:pPr>
      <w:r>
        <w:continuationSeparator/>
      </w:r>
    </w:p>
  </w:footnote>
  <w:footnote w:id="1">
    <w:p w14:paraId="2AA95601" w14:textId="212AFE4A" w:rsidR="0088225B" w:rsidRDefault="0088225B" w:rsidP="000248FA">
      <w:pPr>
        <w:pStyle w:val="Footnote"/>
      </w:pPr>
      <w:r>
        <w:rPr>
          <w:rStyle w:val="FootnoteReference"/>
        </w:rPr>
        <w:footnoteRef/>
      </w:r>
      <w:r>
        <w:t xml:space="preserve"> Based on a paper ‘</w:t>
      </w:r>
      <w:hyperlink r:id="rId1" w:history="1">
        <w:r w:rsidRPr="0013679C">
          <w:rPr>
            <w:rStyle w:val="Hyperlink"/>
          </w:rPr>
          <w:t>Rating the ACT Legislative Assembly against CP</w:t>
        </w:r>
        <w:r>
          <w:rPr>
            <w:rStyle w:val="Hyperlink"/>
          </w:rPr>
          <w:t>A</w:t>
        </w:r>
        <w:r w:rsidRPr="0013679C">
          <w:rPr>
            <w:rStyle w:val="Hyperlink"/>
          </w:rPr>
          <w:t xml:space="preserve"> Benchmarks for Democratic Legislatures—is A minus good enough?’</w:t>
        </w:r>
      </w:hyperlink>
      <w:r>
        <w:t xml:space="preserve"> by then Speaker Wayne Berry MLA and David Skinner for the 39</w:t>
      </w:r>
      <w:r w:rsidRPr="00E311EC">
        <w:rPr>
          <w:vertAlign w:val="superscript"/>
        </w:rPr>
        <w:t>th</w:t>
      </w:r>
      <w:r>
        <w:t xml:space="preserve"> Presiding Officers and Clerk’s Conference in Adelaide, 2008.   </w:t>
      </w:r>
    </w:p>
  </w:footnote>
  <w:footnote w:id="2">
    <w:p w14:paraId="3D553BCE" w14:textId="552F238C" w:rsidR="0088225B" w:rsidRDefault="0088225B" w:rsidP="000248FA">
      <w:pPr>
        <w:pStyle w:val="Footnote"/>
      </w:pPr>
      <w:r>
        <w:rPr>
          <w:rStyle w:val="FootnoteReference"/>
        </w:rPr>
        <w:footnoteRef/>
      </w:r>
      <w:r>
        <w:t xml:space="preserve"> The Office of the Legislative Assembly is a statutory office responsible for advising on parliamentary procedure and providing administrative support to the Legislative Assembly for the ACT. </w:t>
      </w:r>
    </w:p>
  </w:footnote>
  <w:footnote w:id="3">
    <w:p w14:paraId="10AD8B34" w14:textId="77777777" w:rsidR="0088225B" w:rsidRDefault="0088225B" w:rsidP="000248FA">
      <w:pPr>
        <w:pStyle w:val="Footnote"/>
      </w:pPr>
      <w:r>
        <w:rPr>
          <w:rStyle w:val="FootnoteReference"/>
        </w:rPr>
        <w:footnoteRef/>
      </w:r>
      <w:r>
        <w:t xml:space="preserve"> </w:t>
      </w:r>
      <w:hyperlink r:id="rId2" w:history="1">
        <w:r w:rsidRPr="00D74F57">
          <w:rPr>
            <w:rStyle w:val="Hyperlink"/>
          </w:rPr>
          <w:t>http://www.abs.gov.au/ausstats/abs@.nsf/mf/6302.0</w:t>
        </w:r>
      </w:hyperlink>
      <w:r>
        <w:t xml:space="preserve"> </w:t>
      </w:r>
    </w:p>
  </w:footnote>
  <w:footnote w:id="4">
    <w:p w14:paraId="15E8CE4E" w14:textId="3CA045BA" w:rsidR="0088225B" w:rsidRPr="000248FA" w:rsidRDefault="0088225B" w:rsidP="000248FA">
      <w:pPr>
        <w:pStyle w:val="Footnote"/>
      </w:pPr>
      <w:r>
        <w:rPr>
          <w:rStyle w:val="FootnoteReference"/>
        </w:rPr>
        <w:footnoteRef/>
      </w:r>
      <w:r>
        <w:t xml:space="preserve"> </w:t>
      </w:r>
      <w:bookmarkStart w:id="0" w:name="_GoBack"/>
      <w:r w:rsidRPr="000248FA">
        <w:t>Since 1989, 84 percent of motions moved in the Assembly proposing new standing orders or amendments to existing standing orders have been agreed to (70 percent of those motions were agreed to without a vote of the Assembly being called).</w:t>
      </w:r>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7CEB" w14:textId="77777777" w:rsidR="0088225B" w:rsidRPr="009A08E4" w:rsidRDefault="0088225B" w:rsidP="009A08E4">
    <w:pPr>
      <w:pStyle w:val="Header"/>
      <w:jc w:val="center"/>
      <w:rPr>
        <w:rFonts w:ascii="Calibri" w:hAnsi="Calibri"/>
        <w:color w:val="000000"/>
      </w:rPr>
    </w:pPr>
    <w:r>
      <w:fldChar w:fldCharType="begin" w:fldLock="1"/>
    </w:r>
    <w:r>
      <w:instrText xml:space="preserve"> DOCPROPERTY bjHeaderEvenPageDocProperty \* MERGEFORMAT </w:instrText>
    </w:r>
    <w:r>
      <w:fldChar w:fldCharType="separate"/>
    </w:r>
    <w:r w:rsidRPr="009A08E4">
      <w:rPr>
        <w:rFonts w:ascii="Calibri" w:hAnsi="Calibri"/>
        <w:b/>
        <w:color w:val="F00000"/>
        <w:sz w:val="24"/>
      </w:rPr>
      <w:t>UNCLASSIFIED</w:t>
    </w:r>
  </w:p>
  <w:p w14:paraId="5A5C52F6" w14:textId="6B8A1B90" w:rsidR="0088225B" w:rsidRPr="009A08E4" w:rsidRDefault="0088225B" w:rsidP="009A08E4">
    <w:pPr>
      <w:pStyle w:val="Header"/>
      <w:jc w:val="center"/>
    </w:pPr>
    <w:r w:rsidRPr="009A08E4">
      <w:rPr>
        <w:rFonts w:ascii="Calibri" w:hAnsi="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4067" w14:textId="20C9CB23" w:rsidR="0088225B" w:rsidRPr="009A08E4" w:rsidRDefault="0088225B" w:rsidP="000A6BDB">
    <w:pPr>
      <w:pStyle w:val="Header"/>
      <w:rPr>
        <w:rFonts w:ascii="Calibri" w:hAnsi="Calibri"/>
        <w:color w:val="000000"/>
      </w:rPr>
    </w:pPr>
    <w:r>
      <w:fldChar w:fldCharType="begin" w:fldLock="1"/>
    </w:r>
    <w:r>
      <w:instrText xml:space="preserve"> DOCPROPERTY bjHeaderBothDocProperty \* MERGEFORMAT </w:instrText>
    </w:r>
    <w:r>
      <w:fldChar w:fldCharType="separate"/>
    </w:r>
  </w:p>
  <w:p w14:paraId="2C73ED31" w14:textId="73DC6AC2" w:rsidR="0088225B" w:rsidRPr="009A08E4" w:rsidRDefault="0088225B" w:rsidP="009A08E4">
    <w:pPr>
      <w:pStyle w:val="Header"/>
      <w:jc w:val="center"/>
    </w:pPr>
    <w:r w:rsidRPr="009A08E4">
      <w:rPr>
        <w:rFonts w:ascii="Calibri" w:hAnsi="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CA726" w14:textId="77777777" w:rsidR="0088225B" w:rsidRPr="009A08E4" w:rsidRDefault="0088225B" w:rsidP="009A08E4">
    <w:pPr>
      <w:pStyle w:val="Header"/>
      <w:jc w:val="center"/>
      <w:rPr>
        <w:rFonts w:ascii="Calibri" w:hAnsi="Calibri"/>
        <w:color w:val="000000"/>
      </w:rPr>
    </w:pPr>
    <w:r>
      <w:fldChar w:fldCharType="begin" w:fldLock="1"/>
    </w:r>
    <w:r>
      <w:instrText xml:space="preserve"> DOCPROPERTY bjHeaderFirstPageDocProperty \* MERGEFORMAT </w:instrText>
    </w:r>
    <w:r>
      <w:fldChar w:fldCharType="separate"/>
    </w:r>
    <w:r w:rsidRPr="009A08E4">
      <w:rPr>
        <w:rFonts w:ascii="Calibri" w:hAnsi="Calibri"/>
        <w:b/>
        <w:color w:val="F00000"/>
        <w:sz w:val="24"/>
      </w:rPr>
      <w:t>UNCLASSIFIED</w:t>
    </w:r>
  </w:p>
  <w:p w14:paraId="1C24B4C0" w14:textId="21752184" w:rsidR="0088225B" w:rsidRPr="009A08E4" w:rsidRDefault="0088225B" w:rsidP="009A08E4">
    <w:pPr>
      <w:pStyle w:val="Header"/>
      <w:jc w:val="center"/>
    </w:pPr>
    <w:r w:rsidRPr="009A08E4">
      <w:rPr>
        <w:rFonts w:ascii="Calibri" w:hAnsi="Calibri"/>
        <w:b/>
        <w:color w:val="F00000"/>
        <w:sz w:val="24"/>
      </w:rPr>
      <w:t xml:space="preserve">  </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67A5F" w14:textId="77777777" w:rsidR="0088225B" w:rsidRPr="009A08E4" w:rsidRDefault="0088225B" w:rsidP="001E220A">
    <w:pPr>
      <w:pStyle w:val="Header"/>
      <w:jc w:val="center"/>
      <w:rPr>
        <w:rFonts w:ascii="Calibri" w:hAnsi="Calibri"/>
        <w:color w:val="000000"/>
      </w:rPr>
    </w:pPr>
    <w:r>
      <w:fldChar w:fldCharType="begin" w:fldLock="1"/>
    </w:r>
    <w:r>
      <w:instrText xml:space="preserve"> DOCPROPERTY bjHeaderBothDocProperty \* MERGEFORMAT </w:instrText>
    </w:r>
    <w:r>
      <w:fldChar w:fldCharType="separate"/>
    </w:r>
    <w:r w:rsidRPr="009A08E4">
      <w:rPr>
        <w:rFonts w:ascii="Calibri" w:hAnsi="Calibri"/>
        <w:b/>
        <w:color w:val="F00000"/>
        <w:sz w:val="24"/>
      </w:rPr>
      <w:t>UNCLASSIFIED</w:t>
    </w:r>
  </w:p>
  <w:p w14:paraId="66026842" w14:textId="55D1546B" w:rsidR="0088225B" w:rsidRPr="009A08E4" w:rsidRDefault="0088225B" w:rsidP="009A08E4">
    <w:pPr>
      <w:pStyle w:val="Header"/>
      <w:jc w:val="center"/>
    </w:pPr>
    <w:r w:rsidRPr="009A08E4">
      <w:rPr>
        <w:rFonts w:ascii="Calibri" w:hAnsi="Calibri"/>
        <w:b/>
        <w:color w:val="F00000"/>
        <w:sz w:val="24"/>
      </w:rPr>
      <w:t xml:space="preserve">  </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F4229" w14:textId="77777777" w:rsidR="0088225B" w:rsidRPr="009A08E4" w:rsidRDefault="0088225B" w:rsidP="009A08E4">
    <w:pPr>
      <w:pStyle w:val="Header"/>
      <w:jc w:val="center"/>
      <w:rPr>
        <w:rFonts w:ascii="Calibri" w:hAnsi="Calibri"/>
        <w:color w:val="000000"/>
      </w:rPr>
    </w:pPr>
    <w:r>
      <w:fldChar w:fldCharType="begin" w:fldLock="1"/>
    </w:r>
    <w:r>
      <w:instrText xml:space="preserve"> DOCPROPERTY bjHeaderEvenPageDocProperty \* MERGEFORMAT </w:instrText>
    </w:r>
    <w:r>
      <w:fldChar w:fldCharType="separate"/>
    </w:r>
    <w:r w:rsidRPr="009A08E4">
      <w:rPr>
        <w:rFonts w:ascii="Calibri" w:hAnsi="Calibri"/>
        <w:b/>
        <w:color w:val="F00000"/>
        <w:sz w:val="24"/>
      </w:rPr>
      <w:t>UNCLASSIFIED</w:t>
    </w:r>
  </w:p>
  <w:p w14:paraId="4E0DBC36" w14:textId="65AA0A1D" w:rsidR="0088225B" w:rsidRPr="009A08E4" w:rsidRDefault="0088225B" w:rsidP="009A08E4">
    <w:pPr>
      <w:pStyle w:val="Header"/>
      <w:jc w:val="center"/>
    </w:pPr>
    <w:r w:rsidRPr="009A08E4">
      <w:rPr>
        <w:rFonts w:ascii="Calibri" w:hAnsi="Calibri"/>
        <w:b/>
        <w:color w:val="F00000"/>
        <w:sz w:val="24"/>
      </w:rPr>
      <w:t xml:space="preserve">  </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05F3B"/>
    <w:multiLevelType w:val="hybridMultilevel"/>
    <w:tmpl w:val="77AA31C2"/>
    <w:lvl w:ilvl="0" w:tplc="5A865556">
      <w:start w:val="1"/>
      <w:numFmt w:val="bullet"/>
      <w:pStyle w:val="Bullet"/>
      <w:lvlText w:val=""/>
      <w:lvlJc w:val="left"/>
      <w:pPr>
        <w:ind w:left="1308" w:hanging="360"/>
      </w:pPr>
      <w:rPr>
        <w:rFonts w:ascii="Symbol" w:hAnsi="Symbol" w:hint="default"/>
      </w:rPr>
    </w:lvl>
    <w:lvl w:ilvl="1" w:tplc="0C090003" w:tentative="1">
      <w:start w:val="1"/>
      <w:numFmt w:val="bullet"/>
      <w:lvlText w:val="o"/>
      <w:lvlJc w:val="left"/>
      <w:pPr>
        <w:ind w:left="2028" w:hanging="360"/>
      </w:pPr>
      <w:rPr>
        <w:rFonts w:ascii="Courier New" w:hAnsi="Courier New" w:cs="Courier New" w:hint="default"/>
      </w:rPr>
    </w:lvl>
    <w:lvl w:ilvl="2" w:tplc="0C090005" w:tentative="1">
      <w:start w:val="1"/>
      <w:numFmt w:val="bullet"/>
      <w:lvlText w:val=""/>
      <w:lvlJc w:val="left"/>
      <w:pPr>
        <w:ind w:left="2748" w:hanging="360"/>
      </w:pPr>
      <w:rPr>
        <w:rFonts w:ascii="Wingdings" w:hAnsi="Wingdings" w:hint="default"/>
      </w:rPr>
    </w:lvl>
    <w:lvl w:ilvl="3" w:tplc="0C090001" w:tentative="1">
      <w:start w:val="1"/>
      <w:numFmt w:val="bullet"/>
      <w:lvlText w:val=""/>
      <w:lvlJc w:val="left"/>
      <w:pPr>
        <w:ind w:left="3468" w:hanging="360"/>
      </w:pPr>
      <w:rPr>
        <w:rFonts w:ascii="Symbol" w:hAnsi="Symbol" w:hint="default"/>
      </w:rPr>
    </w:lvl>
    <w:lvl w:ilvl="4" w:tplc="0C090003" w:tentative="1">
      <w:start w:val="1"/>
      <w:numFmt w:val="bullet"/>
      <w:lvlText w:val="o"/>
      <w:lvlJc w:val="left"/>
      <w:pPr>
        <w:ind w:left="4188" w:hanging="360"/>
      </w:pPr>
      <w:rPr>
        <w:rFonts w:ascii="Courier New" w:hAnsi="Courier New" w:cs="Courier New" w:hint="default"/>
      </w:rPr>
    </w:lvl>
    <w:lvl w:ilvl="5" w:tplc="0C090005" w:tentative="1">
      <w:start w:val="1"/>
      <w:numFmt w:val="bullet"/>
      <w:lvlText w:val=""/>
      <w:lvlJc w:val="left"/>
      <w:pPr>
        <w:ind w:left="4908" w:hanging="360"/>
      </w:pPr>
      <w:rPr>
        <w:rFonts w:ascii="Wingdings" w:hAnsi="Wingdings" w:hint="default"/>
      </w:rPr>
    </w:lvl>
    <w:lvl w:ilvl="6" w:tplc="0C090001" w:tentative="1">
      <w:start w:val="1"/>
      <w:numFmt w:val="bullet"/>
      <w:lvlText w:val=""/>
      <w:lvlJc w:val="left"/>
      <w:pPr>
        <w:ind w:left="5628" w:hanging="360"/>
      </w:pPr>
      <w:rPr>
        <w:rFonts w:ascii="Symbol" w:hAnsi="Symbol" w:hint="default"/>
      </w:rPr>
    </w:lvl>
    <w:lvl w:ilvl="7" w:tplc="0C090003" w:tentative="1">
      <w:start w:val="1"/>
      <w:numFmt w:val="bullet"/>
      <w:lvlText w:val="o"/>
      <w:lvlJc w:val="left"/>
      <w:pPr>
        <w:ind w:left="6348" w:hanging="360"/>
      </w:pPr>
      <w:rPr>
        <w:rFonts w:ascii="Courier New" w:hAnsi="Courier New" w:cs="Courier New" w:hint="default"/>
      </w:rPr>
    </w:lvl>
    <w:lvl w:ilvl="8" w:tplc="0C090005" w:tentative="1">
      <w:start w:val="1"/>
      <w:numFmt w:val="bullet"/>
      <w:lvlText w:val=""/>
      <w:lvlJc w:val="left"/>
      <w:pPr>
        <w:ind w:left="7068" w:hanging="360"/>
      </w:pPr>
      <w:rPr>
        <w:rFonts w:ascii="Wingdings" w:hAnsi="Wingdings" w:hint="default"/>
      </w:rPr>
    </w:lvl>
  </w:abstractNum>
  <w:abstractNum w:abstractNumId="1" w15:restartNumberingAfterBreak="0">
    <w:nsid w:val="3B2D7F3B"/>
    <w:multiLevelType w:val="hybridMultilevel"/>
    <w:tmpl w:val="A5F8B4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141FC2"/>
    <w:multiLevelType w:val="hybridMultilevel"/>
    <w:tmpl w:val="FC7CB7AE"/>
    <w:lvl w:ilvl="0" w:tplc="C234C3A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EF3704"/>
    <w:multiLevelType w:val="hybridMultilevel"/>
    <w:tmpl w:val="A2922998"/>
    <w:lvl w:ilvl="0" w:tplc="FC980E02">
      <w:start w:val="1"/>
      <w:numFmt w:val="decimal"/>
      <w:pStyle w:val="numberedbody"/>
      <w:lvlText w:val="%1."/>
      <w:lvlJc w:val="left"/>
      <w:pPr>
        <w:ind w:left="720" w:hanging="360"/>
      </w:pPr>
    </w:lvl>
    <w:lvl w:ilvl="1" w:tplc="12E8D5EE">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81227A6"/>
    <w:multiLevelType w:val="hybridMultilevel"/>
    <w:tmpl w:val="AAA40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ED6CA2"/>
    <w:multiLevelType w:val="hybridMultilevel"/>
    <w:tmpl w:val="8C062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CE279E"/>
    <w:multiLevelType w:val="hybridMultilevel"/>
    <w:tmpl w:val="F75C137A"/>
    <w:lvl w:ilvl="0" w:tplc="0C090017">
      <w:start w:val="1"/>
      <w:numFmt w:val="lowerLetter"/>
      <w:lvlText w:val="%1)"/>
      <w:lvlJc w:val="left"/>
      <w:pPr>
        <w:ind w:left="1612" w:hanging="360"/>
      </w:pPr>
    </w:lvl>
    <w:lvl w:ilvl="1" w:tplc="8A3E13EC">
      <w:start w:val="1"/>
      <w:numFmt w:val="lowerLetter"/>
      <w:pStyle w:val="Tabletextindent2alphalist"/>
      <w:lvlText w:val="%2."/>
      <w:lvlJc w:val="left"/>
      <w:pPr>
        <w:ind w:left="2332" w:hanging="360"/>
      </w:pPr>
    </w:lvl>
    <w:lvl w:ilvl="2" w:tplc="0C09001B" w:tentative="1">
      <w:start w:val="1"/>
      <w:numFmt w:val="lowerRoman"/>
      <w:lvlText w:val="%3."/>
      <w:lvlJc w:val="right"/>
      <w:pPr>
        <w:ind w:left="3052" w:hanging="180"/>
      </w:pPr>
    </w:lvl>
    <w:lvl w:ilvl="3" w:tplc="0C09000F" w:tentative="1">
      <w:start w:val="1"/>
      <w:numFmt w:val="decimal"/>
      <w:lvlText w:val="%4."/>
      <w:lvlJc w:val="left"/>
      <w:pPr>
        <w:ind w:left="3772" w:hanging="360"/>
      </w:pPr>
    </w:lvl>
    <w:lvl w:ilvl="4" w:tplc="0C090019" w:tentative="1">
      <w:start w:val="1"/>
      <w:numFmt w:val="lowerLetter"/>
      <w:lvlText w:val="%5."/>
      <w:lvlJc w:val="left"/>
      <w:pPr>
        <w:ind w:left="4492" w:hanging="360"/>
      </w:pPr>
    </w:lvl>
    <w:lvl w:ilvl="5" w:tplc="0C09001B" w:tentative="1">
      <w:start w:val="1"/>
      <w:numFmt w:val="lowerRoman"/>
      <w:lvlText w:val="%6."/>
      <w:lvlJc w:val="right"/>
      <w:pPr>
        <w:ind w:left="5212" w:hanging="180"/>
      </w:pPr>
    </w:lvl>
    <w:lvl w:ilvl="6" w:tplc="0C09000F" w:tentative="1">
      <w:start w:val="1"/>
      <w:numFmt w:val="decimal"/>
      <w:lvlText w:val="%7."/>
      <w:lvlJc w:val="left"/>
      <w:pPr>
        <w:ind w:left="5932" w:hanging="360"/>
      </w:pPr>
    </w:lvl>
    <w:lvl w:ilvl="7" w:tplc="0C090019" w:tentative="1">
      <w:start w:val="1"/>
      <w:numFmt w:val="lowerLetter"/>
      <w:lvlText w:val="%8."/>
      <w:lvlJc w:val="left"/>
      <w:pPr>
        <w:ind w:left="6652" w:hanging="360"/>
      </w:pPr>
    </w:lvl>
    <w:lvl w:ilvl="8" w:tplc="0C09001B" w:tentative="1">
      <w:start w:val="1"/>
      <w:numFmt w:val="lowerRoman"/>
      <w:lvlText w:val="%9."/>
      <w:lvlJc w:val="right"/>
      <w:pPr>
        <w:ind w:left="7372" w:hanging="180"/>
      </w:pPr>
    </w:lvl>
  </w:abstractNum>
  <w:abstractNum w:abstractNumId="7" w15:restartNumberingAfterBreak="0">
    <w:nsid w:val="6A772BF4"/>
    <w:multiLevelType w:val="hybridMultilevel"/>
    <w:tmpl w:val="BFC68F4C"/>
    <w:lvl w:ilvl="0" w:tplc="DA546C56">
      <w:start w:val="1"/>
      <w:numFmt w:val="bullet"/>
      <w:pStyle w:val="Tabletex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BB427C5"/>
    <w:multiLevelType w:val="hybridMultilevel"/>
    <w:tmpl w:val="ECC01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E2A156F"/>
    <w:multiLevelType w:val="hybridMultilevel"/>
    <w:tmpl w:val="D4B4A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666C8C"/>
    <w:multiLevelType w:val="hybridMultilevel"/>
    <w:tmpl w:val="7BCA5000"/>
    <w:lvl w:ilvl="0" w:tplc="60E80312">
      <w:start w:val="1"/>
      <w:numFmt w:val="lowerLetter"/>
      <w:pStyle w:val="Tabletextalphalist"/>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66966"/>
    <w:multiLevelType w:val="hybridMultilevel"/>
    <w:tmpl w:val="6E2E3F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9"/>
  </w:num>
  <w:num w:numId="5">
    <w:abstractNumId w:val="3"/>
  </w:num>
  <w:num w:numId="6">
    <w:abstractNumId w:val="11"/>
  </w:num>
  <w:num w:numId="7">
    <w:abstractNumId w:val="5"/>
  </w:num>
  <w:num w:numId="8">
    <w:abstractNumId w:val="4"/>
  </w:num>
  <w:num w:numId="9">
    <w:abstractNumId w:val="7"/>
  </w:num>
  <w:num w:numId="10">
    <w:abstractNumId w:val="10"/>
  </w:num>
  <w:num w:numId="11">
    <w:abstractNumId w:val="6"/>
  </w:num>
  <w:num w:numId="12">
    <w:abstractNumId w:val="3"/>
    <w:lvlOverride w:ilvl="0">
      <w:startOverride w:val="1"/>
    </w:lvlOverride>
  </w:num>
  <w:num w:numId="13">
    <w:abstractNumId w:val="6"/>
    <w:lvlOverride w:ilvl="0">
      <w:startOverride w:val="1"/>
    </w:lvlOverride>
  </w:num>
  <w:num w:numId="14">
    <w:abstractNumId w:val="6"/>
    <w:lvlOverride w:ilvl="0">
      <w:lvl w:ilvl="0" w:tplc="0C090017">
        <w:start w:val="1"/>
        <w:numFmt w:val="lowerLetter"/>
        <w:lvlText w:val="%1."/>
        <w:lvlJc w:val="left"/>
        <w:pPr>
          <w:ind w:left="2332" w:hanging="360"/>
        </w:pPr>
        <w:rPr>
          <w:rFonts w:hint="default"/>
        </w:rPr>
      </w:lvl>
    </w:lvlOverride>
    <w:lvlOverride w:ilvl="1">
      <w:lvl w:ilvl="1" w:tplc="8A3E13EC">
        <w:start w:val="1"/>
        <w:numFmt w:val="lowerLetter"/>
        <w:pStyle w:val="Tabletextindent2alphalist"/>
        <w:lvlText w:val="%2."/>
        <w:lvlJc w:val="left"/>
        <w:pPr>
          <w:ind w:left="1440" w:hanging="360"/>
        </w:pPr>
      </w:lvl>
    </w:lvlOverride>
    <w:lvlOverride w:ilvl="2">
      <w:lvl w:ilvl="2" w:tplc="0C09001B"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5">
    <w:abstractNumId w:val="2"/>
  </w:num>
  <w:num w:numId="16">
    <w:abstractNumId w:val="10"/>
    <w:lvlOverride w:ilvl="0">
      <w:startOverride w:val="1"/>
    </w:lvlOverride>
  </w:num>
  <w:num w:numId="17">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1C0"/>
    <w:rsid w:val="0000159E"/>
    <w:rsid w:val="00014815"/>
    <w:rsid w:val="000248FA"/>
    <w:rsid w:val="00024995"/>
    <w:rsid w:val="000272F9"/>
    <w:rsid w:val="000342C0"/>
    <w:rsid w:val="000429A7"/>
    <w:rsid w:val="0007340D"/>
    <w:rsid w:val="0007639C"/>
    <w:rsid w:val="000817B1"/>
    <w:rsid w:val="00082F5A"/>
    <w:rsid w:val="00083B89"/>
    <w:rsid w:val="00091590"/>
    <w:rsid w:val="000A6BDB"/>
    <w:rsid w:val="000A7568"/>
    <w:rsid w:val="000E031D"/>
    <w:rsid w:val="000E0A34"/>
    <w:rsid w:val="000E4DB5"/>
    <w:rsid w:val="00104AA3"/>
    <w:rsid w:val="00106B09"/>
    <w:rsid w:val="00112449"/>
    <w:rsid w:val="00114DB8"/>
    <w:rsid w:val="00117A5D"/>
    <w:rsid w:val="00122902"/>
    <w:rsid w:val="00126138"/>
    <w:rsid w:val="00130A3F"/>
    <w:rsid w:val="00131146"/>
    <w:rsid w:val="0013679C"/>
    <w:rsid w:val="00152242"/>
    <w:rsid w:val="00165D66"/>
    <w:rsid w:val="001660E4"/>
    <w:rsid w:val="00174BC6"/>
    <w:rsid w:val="001841AB"/>
    <w:rsid w:val="0019216A"/>
    <w:rsid w:val="00197E7D"/>
    <w:rsid w:val="001A41A5"/>
    <w:rsid w:val="001B0DD5"/>
    <w:rsid w:val="001B5C33"/>
    <w:rsid w:val="001D4D90"/>
    <w:rsid w:val="001E220A"/>
    <w:rsid w:val="001E2865"/>
    <w:rsid w:val="001F0687"/>
    <w:rsid w:val="00201FA7"/>
    <w:rsid w:val="00212D8C"/>
    <w:rsid w:val="00223E9A"/>
    <w:rsid w:val="00225669"/>
    <w:rsid w:val="00251155"/>
    <w:rsid w:val="00253210"/>
    <w:rsid w:val="002605E2"/>
    <w:rsid w:val="00262156"/>
    <w:rsid w:val="002665ED"/>
    <w:rsid w:val="0027239D"/>
    <w:rsid w:val="002768E4"/>
    <w:rsid w:val="00286D33"/>
    <w:rsid w:val="00295A63"/>
    <w:rsid w:val="002C2146"/>
    <w:rsid w:val="002C7415"/>
    <w:rsid w:val="002D1CD9"/>
    <w:rsid w:val="002D2105"/>
    <w:rsid w:val="002D2967"/>
    <w:rsid w:val="002E38E2"/>
    <w:rsid w:val="002F305D"/>
    <w:rsid w:val="002F7730"/>
    <w:rsid w:val="003008DE"/>
    <w:rsid w:val="00300F85"/>
    <w:rsid w:val="00306DBB"/>
    <w:rsid w:val="00326435"/>
    <w:rsid w:val="003421FB"/>
    <w:rsid w:val="00345194"/>
    <w:rsid w:val="00354776"/>
    <w:rsid w:val="003600C9"/>
    <w:rsid w:val="0036642C"/>
    <w:rsid w:val="00380025"/>
    <w:rsid w:val="00384F57"/>
    <w:rsid w:val="003878EB"/>
    <w:rsid w:val="00387D02"/>
    <w:rsid w:val="003B5663"/>
    <w:rsid w:val="003D0563"/>
    <w:rsid w:val="003D6050"/>
    <w:rsid w:val="003E5149"/>
    <w:rsid w:val="003F2A35"/>
    <w:rsid w:val="00407A51"/>
    <w:rsid w:val="00414523"/>
    <w:rsid w:val="004652B7"/>
    <w:rsid w:val="0047706A"/>
    <w:rsid w:val="004775C0"/>
    <w:rsid w:val="00477C95"/>
    <w:rsid w:val="00477FCA"/>
    <w:rsid w:val="00482ED0"/>
    <w:rsid w:val="004845C0"/>
    <w:rsid w:val="004865DA"/>
    <w:rsid w:val="004A56CF"/>
    <w:rsid w:val="004A6315"/>
    <w:rsid w:val="004B44F0"/>
    <w:rsid w:val="004C1BE2"/>
    <w:rsid w:val="004C39FA"/>
    <w:rsid w:val="004D27AA"/>
    <w:rsid w:val="004D6DFA"/>
    <w:rsid w:val="004E0C60"/>
    <w:rsid w:val="004E2AD3"/>
    <w:rsid w:val="004F042F"/>
    <w:rsid w:val="004F186B"/>
    <w:rsid w:val="004F67F1"/>
    <w:rsid w:val="004F78E9"/>
    <w:rsid w:val="005010D4"/>
    <w:rsid w:val="0050149B"/>
    <w:rsid w:val="00501AB8"/>
    <w:rsid w:val="005022F8"/>
    <w:rsid w:val="00506C1E"/>
    <w:rsid w:val="00527CCE"/>
    <w:rsid w:val="00536D6C"/>
    <w:rsid w:val="005409B3"/>
    <w:rsid w:val="0054325B"/>
    <w:rsid w:val="00557659"/>
    <w:rsid w:val="00563EA5"/>
    <w:rsid w:val="00570E36"/>
    <w:rsid w:val="00577B81"/>
    <w:rsid w:val="00584548"/>
    <w:rsid w:val="0058523A"/>
    <w:rsid w:val="00595CC4"/>
    <w:rsid w:val="00595E1C"/>
    <w:rsid w:val="00596AE7"/>
    <w:rsid w:val="005A2732"/>
    <w:rsid w:val="005A478B"/>
    <w:rsid w:val="005B2F18"/>
    <w:rsid w:val="005B6550"/>
    <w:rsid w:val="005B7180"/>
    <w:rsid w:val="005B78B0"/>
    <w:rsid w:val="005C05E4"/>
    <w:rsid w:val="005C772E"/>
    <w:rsid w:val="005D348E"/>
    <w:rsid w:val="005F52BF"/>
    <w:rsid w:val="005F63F7"/>
    <w:rsid w:val="00607CF1"/>
    <w:rsid w:val="00624850"/>
    <w:rsid w:val="00625CFD"/>
    <w:rsid w:val="00626423"/>
    <w:rsid w:val="0063392C"/>
    <w:rsid w:val="00637AE9"/>
    <w:rsid w:val="006404B7"/>
    <w:rsid w:val="00640DEA"/>
    <w:rsid w:val="00640E4D"/>
    <w:rsid w:val="0064134D"/>
    <w:rsid w:val="00641AD8"/>
    <w:rsid w:val="006537A4"/>
    <w:rsid w:val="00653AFA"/>
    <w:rsid w:val="00664A3F"/>
    <w:rsid w:val="006877D2"/>
    <w:rsid w:val="006932DB"/>
    <w:rsid w:val="006A5F51"/>
    <w:rsid w:val="006E46DE"/>
    <w:rsid w:val="006F1C39"/>
    <w:rsid w:val="006F4774"/>
    <w:rsid w:val="006F56CE"/>
    <w:rsid w:val="007070DE"/>
    <w:rsid w:val="007077F7"/>
    <w:rsid w:val="00710891"/>
    <w:rsid w:val="007215F1"/>
    <w:rsid w:val="007316BF"/>
    <w:rsid w:val="00733DB2"/>
    <w:rsid w:val="00737737"/>
    <w:rsid w:val="00741AE1"/>
    <w:rsid w:val="0076371A"/>
    <w:rsid w:val="00773FED"/>
    <w:rsid w:val="00791FA6"/>
    <w:rsid w:val="0079283D"/>
    <w:rsid w:val="007A1357"/>
    <w:rsid w:val="007A7A61"/>
    <w:rsid w:val="007C741A"/>
    <w:rsid w:val="007C7B7D"/>
    <w:rsid w:val="007D4621"/>
    <w:rsid w:val="007E5DF5"/>
    <w:rsid w:val="007F334A"/>
    <w:rsid w:val="007F7D9B"/>
    <w:rsid w:val="0081540B"/>
    <w:rsid w:val="00821444"/>
    <w:rsid w:val="008464C1"/>
    <w:rsid w:val="00847F32"/>
    <w:rsid w:val="008814E7"/>
    <w:rsid w:val="00881B5E"/>
    <w:rsid w:val="0088225B"/>
    <w:rsid w:val="00891FF1"/>
    <w:rsid w:val="00894853"/>
    <w:rsid w:val="008970EE"/>
    <w:rsid w:val="00897CDB"/>
    <w:rsid w:val="008A61AB"/>
    <w:rsid w:val="008B0095"/>
    <w:rsid w:val="008B0EEC"/>
    <w:rsid w:val="008B7273"/>
    <w:rsid w:val="008C1DC3"/>
    <w:rsid w:val="008C5C25"/>
    <w:rsid w:val="008D64F7"/>
    <w:rsid w:val="00900EAA"/>
    <w:rsid w:val="00902848"/>
    <w:rsid w:val="00927F71"/>
    <w:rsid w:val="00943DD0"/>
    <w:rsid w:val="00951919"/>
    <w:rsid w:val="009642BF"/>
    <w:rsid w:val="00982E56"/>
    <w:rsid w:val="00990E0A"/>
    <w:rsid w:val="009918D4"/>
    <w:rsid w:val="009A08E4"/>
    <w:rsid w:val="009A496E"/>
    <w:rsid w:val="009B470B"/>
    <w:rsid w:val="009C1341"/>
    <w:rsid w:val="009E0EBE"/>
    <w:rsid w:val="009E13CA"/>
    <w:rsid w:val="00A0509F"/>
    <w:rsid w:val="00A135C1"/>
    <w:rsid w:val="00A15539"/>
    <w:rsid w:val="00A20B48"/>
    <w:rsid w:val="00A25BCF"/>
    <w:rsid w:val="00A441C0"/>
    <w:rsid w:val="00A5204E"/>
    <w:rsid w:val="00A6052B"/>
    <w:rsid w:val="00A73910"/>
    <w:rsid w:val="00A81A1E"/>
    <w:rsid w:val="00A93B7F"/>
    <w:rsid w:val="00A94A45"/>
    <w:rsid w:val="00AA0DCC"/>
    <w:rsid w:val="00AA3D3C"/>
    <w:rsid w:val="00AA58E4"/>
    <w:rsid w:val="00AB0D8D"/>
    <w:rsid w:val="00AB5D81"/>
    <w:rsid w:val="00AC3C1A"/>
    <w:rsid w:val="00AC6D96"/>
    <w:rsid w:val="00AE207B"/>
    <w:rsid w:val="00AE4276"/>
    <w:rsid w:val="00AE6213"/>
    <w:rsid w:val="00B00D73"/>
    <w:rsid w:val="00B0263F"/>
    <w:rsid w:val="00B07776"/>
    <w:rsid w:val="00B077C7"/>
    <w:rsid w:val="00B17772"/>
    <w:rsid w:val="00B207AA"/>
    <w:rsid w:val="00B37E5A"/>
    <w:rsid w:val="00B43351"/>
    <w:rsid w:val="00B45F54"/>
    <w:rsid w:val="00B51B7C"/>
    <w:rsid w:val="00B746AF"/>
    <w:rsid w:val="00B758ED"/>
    <w:rsid w:val="00B9027E"/>
    <w:rsid w:val="00B91F0A"/>
    <w:rsid w:val="00BA0612"/>
    <w:rsid w:val="00BC0019"/>
    <w:rsid w:val="00BC0E87"/>
    <w:rsid w:val="00BD4919"/>
    <w:rsid w:val="00BD555F"/>
    <w:rsid w:val="00BD7E32"/>
    <w:rsid w:val="00BF0A07"/>
    <w:rsid w:val="00BF1EBD"/>
    <w:rsid w:val="00BF4A91"/>
    <w:rsid w:val="00C02670"/>
    <w:rsid w:val="00C02C6E"/>
    <w:rsid w:val="00C05442"/>
    <w:rsid w:val="00C12B4E"/>
    <w:rsid w:val="00C276E6"/>
    <w:rsid w:val="00C30366"/>
    <w:rsid w:val="00C306CC"/>
    <w:rsid w:val="00C370D2"/>
    <w:rsid w:val="00C418C7"/>
    <w:rsid w:val="00C5249E"/>
    <w:rsid w:val="00C61A52"/>
    <w:rsid w:val="00C63313"/>
    <w:rsid w:val="00C64982"/>
    <w:rsid w:val="00C679F5"/>
    <w:rsid w:val="00C67B3A"/>
    <w:rsid w:val="00C75E13"/>
    <w:rsid w:val="00C82FB4"/>
    <w:rsid w:val="00C85B3A"/>
    <w:rsid w:val="00C872FD"/>
    <w:rsid w:val="00C91BFA"/>
    <w:rsid w:val="00CA1503"/>
    <w:rsid w:val="00CB27D9"/>
    <w:rsid w:val="00CB7102"/>
    <w:rsid w:val="00CC6CA5"/>
    <w:rsid w:val="00CD14B8"/>
    <w:rsid w:val="00D01249"/>
    <w:rsid w:val="00D4673F"/>
    <w:rsid w:val="00D4693F"/>
    <w:rsid w:val="00D50E62"/>
    <w:rsid w:val="00D51110"/>
    <w:rsid w:val="00D52313"/>
    <w:rsid w:val="00D623A8"/>
    <w:rsid w:val="00D71421"/>
    <w:rsid w:val="00D81734"/>
    <w:rsid w:val="00DA2D66"/>
    <w:rsid w:val="00DA3864"/>
    <w:rsid w:val="00DB1794"/>
    <w:rsid w:val="00DE6CD9"/>
    <w:rsid w:val="00E00725"/>
    <w:rsid w:val="00E118FB"/>
    <w:rsid w:val="00E11C97"/>
    <w:rsid w:val="00E12DA7"/>
    <w:rsid w:val="00E311EC"/>
    <w:rsid w:val="00E45B3E"/>
    <w:rsid w:val="00E6341F"/>
    <w:rsid w:val="00E756CB"/>
    <w:rsid w:val="00E778A9"/>
    <w:rsid w:val="00E90B91"/>
    <w:rsid w:val="00EA500A"/>
    <w:rsid w:val="00EB7B26"/>
    <w:rsid w:val="00ED1780"/>
    <w:rsid w:val="00EE1344"/>
    <w:rsid w:val="00EE41B0"/>
    <w:rsid w:val="00EE49AD"/>
    <w:rsid w:val="00EE5CC2"/>
    <w:rsid w:val="00F00D7B"/>
    <w:rsid w:val="00F41DDF"/>
    <w:rsid w:val="00F4322D"/>
    <w:rsid w:val="00F443AE"/>
    <w:rsid w:val="00F506EB"/>
    <w:rsid w:val="00F60684"/>
    <w:rsid w:val="00F609AA"/>
    <w:rsid w:val="00F67337"/>
    <w:rsid w:val="00F7007D"/>
    <w:rsid w:val="00F7342B"/>
    <w:rsid w:val="00F74670"/>
    <w:rsid w:val="00F80199"/>
    <w:rsid w:val="00F8181B"/>
    <w:rsid w:val="00F955FF"/>
    <w:rsid w:val="00F96242"/>
    <w:rsid w:val="00F9658C"/>
    <w:rsid w:val="00FA7799"/>
    <w:rsid w:val="00FA7F23"/>
    <w:rsid w:val="00FB35DE"/>
    <w:rsid w:val="00FC2A70"/>
    <w:rsid w:val="00FC6B52"/>
    <w:rsid w:val="00FD079A"/>
    <w:rsid w:val="00FD1C32"/>
    <w:rsid w:val="00FE374A"/>
    <w:rsid w:val="00FE7E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3FF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341F"/>
    <w:pPr>
      <w:keepNext/>
      <w:keepLines/>
      <w:spacing w:before="480" w:after="0" w:line="240" w:lineRule="auto"/>
      <w:jc w:val="center"/>
      <w:outlineLvl w:val="0"/>
    </w:pPr>
    <w:rPr>
      <w:rFonts w:ascii="Calibri Light" w:eastAsiaTheme="majorEastAsia" w:hAnsi="Calibri Light" w:cstheme="majorBidi"/>
      <w:b/>
      <w:caps/>
      <w:color w:val="2E74B5" w:themeColor="accent1" w:themeShade="BF"/>
      <w:sz w:val="36"/>
      <w:szCs w:val="44"/>
    </w:rPr>
  </w:style>
  <w:style w:type="paragraph" w:styleId="Heading2">
    <w:name w:val="heading 2"/>
    <w:basedOn w:val="Heading3"/>
    <w:next w:val="Normal"/>
    <w:link w:val="Heading2Char"/>
    <w:uiPriority w:val="9"/>
    <w:unhideWhenUsed/>
    <w:qFormat/>
    <w:rsid w:val="00F74670"/>
    <w:pPr>
      <w:outlineLvl w:val="1"/>
    </w:pPr>
  </w:style>
  <w:style w:type="paragraph" w:styleId="Heading3">
    <w:name w:val="heading 3"/>
    <w:basedOn w:val="Normal"/>
    <w:next w:val="Normal"/>
    <w:link w:val="Heading3Char"/>
    <w:uiPriority w:val="9"/>
    <w:unhideWhenUsed/>
    <w:qFormat/>
    <w:rsid w:val="0088225B"/>
    <w:pPr>
      <w:keepNext/>
      <w:keepLines/>
      <w:spacing w:before="240" w:after="240"/>
      <w:outlineLvl w:val="2"/>
    </w:pPr>
    <w:rPr>
      <w:rFonts w:asciiTheme="majorHAnsi" w:eastAsiaTheme="majorEastAsia" w:hAnsiTheme="majorHAnsi" w:cstheme="majorBidi"/>
      <w:color w:val="1F4D78" w:themeColor="accent1" w:themeShade="7F"/>
      <w:sz w:val="28"/>
      <w:szCs w:val="28"/>
    </w:rPr>
  </w:style>
  <w:style w:type="paragraph" w:styleId="Heading4">
    <w:name w:val="heading 4"/>
    <w:basedOn w:val="Normal"/>
    <w:next w:val="Normal"/>
    <w:link w:val="Heading4Char"/>
    <w:uiPriority w:val="9"/>
    <w:unhideWhenUsed/>
    <w:qFormat/>
    <w:rsid w:val="0088225B"/>
    <w:pPr>
      <w:spacing w:before="250"/>
      <w:outlineLvl w:val="3"/>
    </w:pPr>
    <w:rPr>
      <w:rFonts w:ascii="Montserrat-SemiBoldItalic"/>
      <w:b/>
      <w:i/>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1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41C0"/>
  </w:style>
  <w:style w:type="paragraph" w:styleId="Footer">
    <w:name w:val="footer"/>
    <w:basedOn w:val="Normal"/>
    <w:link w:val="FooterChar"/>
    <w:uiPriority w:val="99"/>
    <w:unhideWhenUsed/>
    <w:rsid w:val="00A441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41C0"/>
  </w:style>
  <w:style w:type="character" w:customStyle="1" w:styleId="Heading1Char">
    <w:name w:val="Heading 1 Char"/>
    <w:basedOn w:val="DefaultParagraphFont"/>
    <w:link w:val="Heading1"/>
    <w:uiPriority w:val="9"/>
    <w:rsid w:val="00E6341F"/>
    <w:rPr>
      <w:rFonts w:ascii="Calibri Light" w:eastAsiaTheme="majorEastAsia" w:hAnsi="Calibri Light" w:cstheme="majorBidi"/>
      <w:b/>
      <w:caps/>
      <w:color w:val="2E74B5" w:themeColor="accent1" w:themeShade="BF"/>
      <w:sz w:val="36"/>
      <w:szCs w:val="44"/>
    </w:rPr>
  </w:style>
  <w:style w:type="table" w:styleId="TableGrid">
    <w:name w:val="Table Grid"/>
    <w:basedOn w:val="TableNormal"/>
    <w:uiPriority w:val="39"/>
    <w:rsid w:val="00A44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74670"/>
    <w:rPr>
      <w:rFonts w:asciiTheme="majorHAnsi" w:eastAsiaTheme="majorEastAsia" w:hAnsiTheme="majorHAnsi" w:cstheme="majorBidi"/>
      <w:color w:val="1F4D78" w:themeColor="accent1" w:themeShade="7F"/>
      <w:sz w:val="28"/>
      <w:szCs w:val="28"/>
    </w:rPr>
  </w:style>
  <w:style w:type="paragraph" w:styleId="FootnoteText">
    <w:name w:val="footnote text"/>
    <w:basedOn w:val="Normal"/>
    <w:link w:val="FootnoteTextChar"/>
    <w:uiPriority w:val="99"/>
    <w:semiHidden/>
    <w:unhideWhenUsed/>
    <w:rsid w:val="009E13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13CA"/>
    <w:rPr>
      <w:sz w:val="20"/>
      <w:szCs w:val="20"/>
    </w:rPr>
  </w:style>
  <w:style w:type="character" w:styleId="FootnoteReference">
    <w:name w:val="footnote reference"/>
    <w:basedOn w:val="DefaultParagraphFont"/>
    <w:uiPriority w:val="99"/>
    <w:semiHidden/>
    <w:unhideWhenUsed/>
    <w:rsid w:val="009E13CA"/>
    <w:rPr>
      <w:vertAlign w:val="superscript"/>
    </w:rPr>
  </w:style>
  <w:style w:type="character" w:styleId="Hyperlink">
    <w:name w:val="Hyperlink"/>
    <w:basedOn w:val="DefaultParagraphFont"/>
    <w:uiPriority w:val="99"/>
    <w:unhideWhenUsed/>
    <w:rsid w:val="009E13CA"/>
    <w:rPr>
      <w:color w:val="0563C1" w:themeColor="hyperlink"/>
      <w:u w:val="single"/>
    </w:rPr>
  </w:style>
  <w:style w:type="paragraph" w:styleId="ListParagraph">
    <w:name w:val="List Paragraph"/>
    <w:basedOn w:val="Normal"/>
    <w:uiPriority w:val="34"/>
    <w:qFormat/>
    <w:rsid w:val="00477C95"/>
    <w:pPr>
      <w:ind w:left="720"/>
      <w:contextualSpacing/>
    </w:pPr>
  </w:style>
  <w:style w:type="character" w:customStyle="1" w:styleId="Heading3Char">
    <w:name w:val="Heading 3 Char"/>
    <w:basedOn w:val="DefaultParagraphFont"/>
    <w:link w:val="Heading3"/>
    <w:uiPriority w:val="9"/>
    <w:rsid w:val="0088225B"/>
    <w:rPr>
      <w:rFonts w:asciiTheme="majorHAnsi" w:eastAsiaTheme="majorEastAsia" w:hAnsiTheme="majorHAnsi" w:cstheme="majorBidi"/>
      <w:color w:val="1F4D78" w:themeColor="accent1" w:themeShade="7F"/>
      <w:sz w:val="28"/>
      <w:szCs w:val="28"/>
    </w:rPr>
  </w:style>
  <w:style w:type="paragraph" w:customStyle="1" w:styleId="numberedbody">
    <w:name w:val="numbered body"/>
    <w:basedOn w:val="ListParagraph"/>
    <w:qFormat/>
    <w:rsid w:val="00F74670"/>
    <w:pPr>
      <w:numPr>
        <w:numId w:val="5"/>
      </w:numPr>
      <w:spacing w:before="120" w:after="120"/>
      <w:ind w:left="426" w:hanging="426"/>
      <w:contextualSpacing w:val="0"/>
    </w:pPr>
  </w:style>
  <w:style w:type="paragraph" w:styleId="BalloonText">
    <w:name w:val="Balloon Text"/>
    <w:basedOn w:val="Normal"/>
    <w:link w:val="BalloonTextChar"/>
    <w:uiPriority w:val="99"/>
    <w:semiHidden/>
    <w:unhideWhenUsed/>
    <w:rsid w:val="00791F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FA6"/>
    <w:rPr>
      <w:rFonts w:ascii="Segoe UI" w:hAnsi="Segoe UI" w:cs="Segoe UI"/>
      <w:sz w:val="18"/>
      <w:szCs w:val="18"/>
    </w:rPr>
  </w:style>
  <w:style w:type="character" w:styleId="FollowedHyperlink">
    <w:name w:val="FollowedHyperlink"/>
    <w:basedOn w:val="DefaultParagraphFont"/>
    <w:uiPriority w:val="99"/>
    <w:semiHidden/>
    <w:unhideWhenUsed/>
    <w:rsid w:val="008464C1"/>
    <w:rPr>
      <w:color w:val="954F72" w:themeColor="followedHyperlink"/>
      <w:u w:val="single"/>
    </w:rPr>
  </w:style>
  <w:style w:type="character" w:styleId="CommentReference">
    <w:name w:val="annotation reference"/>
    <w:basedOn w:val="DefaultParagraphFont"/>
    <w:uiPriority w:val="99"/>
    <w:semiHidden/>
    <w:unhideWhenUsed/>
    <w:rsid w:val="008464C1"/>
    <w:rPr>
      <w:sz w:val="16"/>
      <w:szCs w:val="16"/>
    </w:rPr>
  </w:style>
  <w:style w:type="paragraph" w:styleId="CommentText">
    <w:name w:val="annotation text"/>
    <w:basedOn w:val="Normal"/>
    <w:link w:val="CommentTextChar"/>
    <w:uiPriority w:val="99"/>
    <w:semiHidden/>
    <w:unhideWhenUsed/>
    <w:rsid w:val="008464C1"/>
    <w:pPr>
      <w:spacing w:line="240" w:lineRule="auto"/>
    </w:pPr>
    <w:rPr>
      <w:sz w:val="20"/>
      <w:szCs w:val="20"/>
    </w:rPr>
  </w:style>
  <w:style w:type="character" w:customStyle="1" w:styleId="CommentTextChar">
    <w:name w:val="Comment Text Char"/>
    <w:basedOn w:val="DefaultParagraphFont"/>
    <w:link w:val="CommentText"/>
    <w:uiPriority w:val="99"/>
    <w:semiHidden/>
    <w:rsid w:val="008464C1"/>
    <w:rPr>
      <w:sz w:val="20"/>
      <w:szCs w:val="20"/>
    </w:rPr>
  </w:style>
  <w:style w:type="paragraph" w:styleId="CommentSubject">
    <w:name w:val="annotation subject"/>
    <w:basedOn w:val="CommentText"/>
    <w:next w:val="CommentText"/>
    <w:link w:val="CommentSubjectChar"/>
    <w:uiPriority w:val="99"/>
    <w:semiHidden/>
    <w:unhideWhenUsed/>
    <w:rsid w:val="008464C1"/>
    <w:rPr>
      <w:b/>
      <w:bCs/>
    </w:rPr>
  </w:style>
  <w:style w:type="character" w:customStyle="1" w:styleId="CommentSubjectChar">
    <w:name w:val="Comment Subject Char"/>
    <w:basedOn w:val="CommentTextChar"/>
    <w:link w:val="CommentSubject"/>
    <w:uiPriority w:val="99"/>
    <w:semiHidden/>
    <w:rsid w:val="008464C1"/>
    <w:rPr>
      <w:b/>
      <w:bCs/>
      <w:sz w:val="20"/>
      <w:szCs w:val="20"/>
    </w:rPr>
  </w:style>
  <w:style w:type="paragraph" w:styleId="BodyText">
    <w:name w:val="Body Text"/>
    <w:basedOn w:val="Normal"/>
    <w:link w:val="BodyTextChar"/>
    <w:uiPriority w:val="1"/>
    <w:qFormat/>
    <w:rsid w:val="00251155"/>
    <w:pPr>
      <w:widowControl w:val="0"/>
      <w:autoSpaceDE w:val="0"/>
      <w:autoSpaceDN w:val="0"/>
      <w:spacing w:after="0" w:line="240" w:lineRule="auto"/>
    </w:pPr>
    <w:rPr>
      <w:rFonts w:ascii="Calibri-Light" w:eastAsia="Calibri-Light" w:hAnsi="Calibri-Light" w:cs="Calibri-Light"/>
      <w:lang w:val="en-US" w:bidi="en-US"/>
    </w:rPr>
  </w:style>
  <w:style w:type="character" w:customStyle="1" w:styleId="BodyTextChar">
    <w:name w:val="Body Text Char"/>
    <w:basedOn w:val="DefaultParagraphFont"/>
    <w:link w:val="BodyText"/>
    <w:uiPriority w:val="1"/>
    <w:rsid w:val="00251155"/>
    <w:rPr>
      <w:rFonts w:ascii="Calibri-Light" w:eastAsia="Calibri-Light" w:hAnsi="Calibri-Light" w:cs="Calibri-Light"/>
      <w:lang w:val="en-US" w:bidi="en-US"/>
    </w:rPr>
  </w:style>
  <w:style w:type="paragraph" w:customStyle="1" w:styleId="TableParagraph">
    <w:name w:val="Table Paragraph"/>
    <w:basedOn w:val="Normal"/>
    <w:uiPriority w:val="1"/>
    <w:qFormat/>
    <w:rsid w:val="00251155"/>
    <w:pPr>
      <w:widowControl w:val="0"/>
      <w:autoSpaceDE w:val="0"/>
      <w:autoSpaceDN w:val="0"/>
      <w:spacing w:after="0" w:line="240" w:lineRule="auto"/>
      <w:jc w:val="right"/>
    </w:pPr>
    <w:rPr>
      <w:rFonts w:ascii="Calibri" w:eastAsia="Calibri" w:hAnsi="Calibri" w:cs="Calibri"/>
      <w:lang w:val="en-US" w:bidi="en-US"/>
    </w:rPr>
  </w:style>
  <w:style w:type="paragraph" w:styleId="Revision">
    <w:name w:val="Revision"/>
    <w:hidden/>
    <w:uiPriority w:val="99"/>
    <w:semiHidden/>
    <w:rsid w:val="0000159E"/>
    <w:pPr>
      <w:spacing w:after="0" w:line="240" w:lineRule="auto"/>
    </w:pPr>
  </w:style>
  <w:style w:type="paragraph" w:customStyle="1" w:styleId="Amainreturn">
    <w:name w:val="A main return"/>
    <w:basedOn w:val="Normal"/>
    <w:rsid w:val="00380025"/>
    <w:pPr>
      <w:spacing w:before="140" w:after="0" w:line="240" w:lineRule="auto"/>
      <w:ind w:left="1100"/>
      <w:jc w:val="both"/>
    </w:pPr>
    <w:rPr>
      <w:rFonts w:ascii="Times New Roman" w:eastAsia="Times New Roman" w:hAnsi="Times New Roman" w:cs="Times New Roman"/>
      <w:sz w:val="24"/>
      <w:szCs w:val="20"/>
    </w:rPr>
  </w:style>
  <w:style w:type="paragraph" w:customStyle="1" w:styleId="Apara">
    <w:name w:val="A para"/>
    <w:basedOn w:val="Normal"/>
    <w:rsid w:val="00380025"/>
    <w:pPr>
      <w:tabs>
        <w:tab w:val="right" w:pos="1400"/>
        <w:tab w:val="left" w:pos="1600"/>
      </w:tabs>
      <w:spacing w:before="140" w:after="0" w:line="240" w:lineRule="auto"/>
      <w:ind w:left="1600" w:hanging="1600"/>
      <w:jc w:val="both"/>
      <w:outlineLvl w:val="6"/>
    </w:pPr>
    <w:rPr>
      <w:rFonts w:ascii="Times New Roman" w:eastAsia="Times New Roman" w:hAnsi="Times New Roman" w:cs="Times New Roman"/>
      <w:sz w:val="24"/>
      <w:szCs w:val="20"/>
    </w:rPr>
  </w:style>
  <w:style w:type="paragraph" w:customStyle="1" w:styleId="Bullet">
    <w:name w:val="Bullet"/>
    <w:basedOn w:val="ListParagraph"/>
    <w:qFormat/>
    <w:rsid w:val="00F74670"/>
    <w:pPr>
      <w:numPr>
        <w:numId w:val="2"/>
      </w:numPr>
      <w:ind w:left="851" w:hanging="425"/>
    </w:pPr>
  </w:style>
  <w:style w:type="paragraph" w:customStyle="1" w:styleId="Tableheading1">
    <w:name w:val="Table heading 1"/>
    <w:basedOn w:val="Heading1"/>
    <w:qFormat/>
    <w:rsid w:val="003878EB"/>
    <w:pPr>
      <w:spacing w:before="120" w:after="120"/>
      <w:jc w:val="left"/>
    </w:pPr>
    <w:rPr>
      <w:color w:val="auto"/>
      <w:sz w:val="28"/>
    </w:rPr>
  </w:style>
  <w:style w:type="paragraph" w:customStyle="1" w:styleId="Tableheading2">
    <w:name w:val="Table heading 2"/>
    <w:basedOn w:val="Normal"/>
    <w:qFormat/>
    <w:rsid w:val="003878EB"/>
    <w:pPr>
      <w:spacing w:before="120" w:after="120" w:line="240" w:lineRule="auto"/>
    </w:pPr>
    <w:rPr>
      <w:rFonts w:asciiTheme="majorHAnsi" w:hAnsiTheme="majorHAnsi"/>
      <w:b/>
      <w:sz w:val="26"/>
      <w:szCs w:val="26"/>
    </w:rPr>
  </w:style>
  <w:style w:type="paragraph" w:customStyle="1" w:styleId="Tableheading3">
    <w:name w:val="Table heading 3"/>
    <w:basedOn w:val="Normal"/>
    <w:qFormat/>
    <w:rsid w:val="00C30366"/>
    <w:pPr>
      <w:spacing w:before="120" w:after="120" w:line="240" w:lineRule="auto"/>
    </w:pPr>
    <w:rPr>
      <w:rFonts w:ascii="Calibri Light" w:hAnsi="Calibri Light"/>
      <w:b/>
      <w:sz w:val="24"/>
      <w:szCs w:val="24"/>
    </w:rPr>
  </w:style>
  <w:style w:type="paragraph" w:customStyle="1" w:styleId="Tabletextnumbered">
    <w:name w:val="Table text numbered"/>
    <w:basedOn w:val="Normal"/>
    <w:qFormat/>
    <w:rsid w:val="00152242"/>
    <w:pPr>
      <w:spacing w:before="80" w:after="80" w:line="240" w:lineRule="auto"/>
    </w:pPr>
  </w:style>
  <w:style w:type="paragraph" w:customStyle="1" w:styleId="Tabletext">
    <w:name w:val="Table text"/>
    <w:basedOn w:val="Normal"/>
    <w:qFormat/>
    <w:rsid w:val="00152242"/>
    <w:pPr>
      <w:spacing w:before="80" w:after="80" w:line="240" w:lineRule="auto"/>
    </w:pPr>
  </w:style>
  <w:style w:type="paragraph" w:customStyle="1" w:styleId="Tabletextbullet">
    <w:name w:val="Table text bullet"/>
    <w:basedOn w:val="Tabletext"/>
    <w:qFormat/>
    <w:rsid w:val="0079283D"/>
    <w:pPr>
      <w:numPr>
        <w:numId w:val="9"/>
      </w:numPr>
      <w:ind w:left="714" w:hanging="357"/>
    </w:pPr>
  </w:style>
  <w:style w:type="paragraph" w:customStyle="1" w:styleId="Tabletextindent">
    <w:name w:val="Table text indent"/>
    <w:basedOn w:val="Tabletext"/>
    <w:qFormat/>
    <w:rsid w:val="00152242"/>
    <w:pPr>
      <w:ind w:left="325"/>
    </w:pPr>
  </w:style>
  <w:style w:type="paragraph" w:customStyle="1" w:styleId="Tabletextindentalphalist">
    <w:name w:val="Table text indent alpha list"/>
    <w:basedOn w:val="Tabletext"/>
    <w:qFormat/>
    <w:rsid w:val="00152242"/>
    <w:pPr>
      <w:ind w:left="892" w:hanging="567"/>
    </w:pPr>
  </w:style>
  <w:style w:type="paragraph" w:customStyle="1" w:styleId="Tabletextalphalist">
    <w:name w:val="Table text alpha list"/>
    <w:basedOn w:val="Tabletextbullet"/>
    <w:qFormat/>
    <w:rsid w:val="00E12DA7"/>
    <w:pPr>
      <w:numPr>
        <w:numId w:val="10"/>
      </w:numPr>
    </w:pPr>
  </w:style>
  <w:style w:type="paragraph" w:customStyle="1" w:styleId="Tabletextindentnumberedlist">
    <w:name w:val="Table text indent numbered list"/>
    <w:basedOn w:val="Tabletextindentalphalist"/>
    <w:qFormat/>
    <w:rsid w:val="00130A3F"/>
  </w:style>
  <w:style w:type="paragraph" w:customStyle="1" w:styleId="Tabletextindent2alphalist">
    <w:name w:val="Table text indent 2 alpha list"/>
    <w:basedOn w:val="Tabletextindentalphalist"/>
    <w:qFormat/>
    <w:rsid w:val="00130A3F"/>
    <w:pPr>
      <w:numPr>
        <w:ilvl w:val="1"/>
        <w:numId w:val="11"/>
      </w:numPr>
      <w:ind w:left="1318"/>
    </w:pPr>
  </w:style>
  <w:style w:type="character" w:customStyle="1" w:styleId="Heading4Char">
    <w:name w:val="Heading 4 Char"/>
    <w:basedOn w:val="DefaultParagraphFont"/>
    <w:link w:val="Heading4"/>
    <w:uiPriority w:val="9"/>
    <w:rsid w:val="0088225B"/>
    <w:rPr>
      <w:rFonts w:ascii="Montserrat-SemiBoldItalic"/>
      <w:b/>
      <w:i/>
      <w:sz w:val="20"/>
    </w:rPr>
  </w:style>
  <w:style w:type="paragraph" w:customStyle="1" w:styleId="Footnote">
    <w:name w:val="Footnote"/>
    <w:basedOn w:val="FootnoteText"/>
    <w:qFormat/>
    <w:rsid w:val="000248FA"/>
    <w:pPr>
      <w:ind w:left="142" w:hanging="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534007">
      <w:bodyDiv w:val="1"/>
      <w:marLeft w:val="0"/>
      <w:marRight w:val="0"/>
      <w:marTop w:val="0"/>
      <w:marBottom w:val="0"/>
      <w:divBdr>
        <w:top w:val="none" w:sz="0" w:space="0" w:color="auto"/>
        <w:left w:val="none" w:sz="0" w:space="0" w:color="auto"/>
        <w:bottom w:val="none" w:sz="0" w:space="0" w:color="auto"/>
        <w:right w:val="none" w:sz="0" w:space="0" w:color="auto"/>
      </w:divBdr>
    </w:div>
    <w:div w:id="515116528">
      <w:bodyDiv w:val="1"/>
      <w:marLeft w:val="0"/>
      <w:marRight w:val="0"/>
      <w:marTop w:val="0"/>
      <w:marBottom w:val="0"/>
      <w:divBdr>
        <w:top w:val="none" w:sz="0" w:space="0" w:color="auto"/>
        <w:left w:val="none" w:sz="0" w:space="0" w:color="auto"/>
        <w:bottom w:val="none" w:sz="0" w:space="0" w:color="auto"/>
        <w:right w:val="none" w:sz="0" w:space="0" w:color="auto"/>
      </w:divBdr>
    </w:div>
    <w:div w:id="1537621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rliament.act.gov.au/in-the-assembly/companion" TargetMode="External"/><Relationship Id="rId18" Type="http://schemas.openxmlformats.org/officeDocument/2006/relationships/hyperlink" Target="https://legislation.act.gov.au/a/2018-52/" TargetMode="External"/><Relationship Id="rId26" Type="http://schemas.openxmlformats.org/officeDocument/2006/relationships/hyperlink" Target="https://legislation.act.gov.au/a/2012-43/" TargetMode="External"/><Relationship Id="rId39" Type="http://schemas.openxmlformats.org/officeDocument/2006/relationships/hyperlink" Target="https://legislation.act.gov.au/di/2019-29/" TargetMode="External"/><Relationship Id="rId21" Type="http://schemas.openxmlformats.org/officeDocument/2006/relationships/hyperlink" Target="https://legislation.act.gov.au/a/1989-19/" TargetMode="External"/><Relationship Id="rId34" Type="http://schemas.openxmlformats.org/officeDocument/2006/relationships/hyperlink" Target="https://www.parliament.act.gov.au/" TargetMode="External"/><Relationship Id="rId42" Type="http://schemas.openxmlformats.org/officeDocument/2006/relationships/hyperlink" Target="https://www.parliament.act.gov.au/in-committees/standing-committees-current-assembly/standing-committee-on-justice-and-community-safety-legislative-scrutiny-role" TargetMode="External"/><Relationship Id="rId47" Type="http://schemas.openxmlformats.org/officeDocument/2006/relationships/hyperlink" Target="https://www.audit.act.gov.au/reports-and-publications/audit-reports" TargetMode="External"/><Relationship Id="rId50" Type="http://schemas.openxmlformats.org/officeDocument/2006/relationships/header" Target="header1.xml"/><Relationship Id="rId55"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parliament.act.gov.au/Publications/budget-protocols" TargetMode="External"/><Relationship Id="rId17" Type="http://schemas.openxmlformats.org/officeDocument/2006/relationships/hyperlink" Target="https://legislation.act.gov.au/a/2016-55/" TargetMode="External"/><Relationship Id="rId25" Type="http://schemas.openxmlformats.org/officeDocument/2006/relationships/hyperlink" Target="https://www.parliament.act.gov.au/__data/assets/pdf_file/0006/715452/Protocols-for-investigation-complaints-against-members-150817.pdf" TargetMode="External"/><Relationship Id="rId33" Type="http://schemas.openxmlformats.org/officeDocument/2006/relationships/hyperlink" Target="https://www.parliament.act.gov.au/in-the-assembly/companion" TargetMode="External"/><Relationship Id="rId38" Type="http://schemas.openxmlformats.org/officeDocument/2006/relationships/hyperlink" Target="https://legislation.act.gov.au/di/2019-30/" TargetMode="External"/><Relationship Id="rId46" Type="http://schemas.openxmlformats.org/officeDocument/2006/relationships/hyperlink" Target="https://www.legislation.act.gov.au/a/2013-47/"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egislation.act.gov.au/a/1996-22/" TargetMode="External"/><Relationship Id="rId20" Type="http://schemas.openxmlformats.org/officeDocument/2006/relationships/hyperlink" Target="https://legislation.act.gov.au/a/2012-26/" TargetMode="External"/><Relationship Id="rId29" Type="http://schemas.openxmlformats.org/officeDocument/2006/relationships/hyperlink" Target="https://www.parliament.act.gov.au/in-the-assembly/standing_orders" TargetMode="External"/><Relationship Id="rId41" Type="http://schemas.openxmlformats.org/officeDocument/2006/relationships/hyperlink" Target="https://legislation.act.gov.au/ni/2018-704/"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C2016C00802" TargetMode="External"/><Relationship Id="rId24" Type="http://schemas.openxmlformats.org/officeDocument/2006/relationships/hyperlink" Target="https://www.legislation.gov.au/Details/C2016C00951" TargetMode="External"/><Relationship Id="rId32" Type="http://schemas.openxmlformats.org/officeDocument/2006/relationships/hyperlink" Target="https://www.parliament.act.gov.au/Publications/review-of-latimer-house-principles" TargetMode="External"/><Relationship Id="rId37" Type="http://schemas.openxmlformats.org/officeDocument/2006/relationships/hyperlink" Target="https://legislation.act.gov.au/di/2019-29/" TargetMode="External"/><Relationship Id="rId40" Type="http://schemas.openxmlformats.org/officeDocument/2006/relationships/hyperlink" Target="https://www.remunerationtribunal.act.gov.au/__data/assets/pdf_file/0014/1327100/Determination-1-of-2019-MLAs.pdf" TargetMode="External"/><Relationship Id="rId45" Type="http://schemas.openxmlformats.org/officeDocument/2006/relationships/hyperlink" Target="http://www.legislation.act.gov.au" TargetMode="External"/><Relationship Id="rId53" Type="http://schemas.openxmlformats.org/officeDocument/2006/relationships/footer" Target="footer2.xml"/><Relationship Id="rId58"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legislation.act.gov.au/a/1992-71/" TargetMode="External"/><Relationship Id="rId23" Type="http://schemas.openxmlformats.org/officeDocument/2006/relationships/hyperlink" Target="https://legislation.act.gov.au/a/alt_a1989-45co/" TargetMode="External"/><Relationship Id="rId28" Type="http://schemas.openxmlformats.org/officeDocument/2006/relationships/hyperlink" Target="https://legislation.act.gov.au/a/1995-55/" TargetMode="External"/><Relationship Id="rId36" Type="http://schemas.openxmlformats.org/officeDocument/2006/relationships/hyperlink" Target="https://www.parliament.act.gov.au/__data/assets/pdf_file/0010/1348543/MoP094P.pdf" TargetMode="External"/><Relationship Id="rId49" Type="http://schemas.openxmlformats.org/officeDocument/2006/relationships/hyperlink" Target="https://www.parliament.act.gov.au/members/declarations-of-interest" TargetMode="External"/><Relationship Id="rId57" Type="http://schemas.openxmlformats.org/officeDocument/2006/relationships/header" Target="header5.xml"/><Relationship Id="rId10" Type="http://schemas.openxmlformats.org/officeDocument/2006/relationships/hyperlink" Target="https://legislation.act.gov.au/a/2004-8/" TargetMode="External"/><Relationship Id="rId19" Type="http://schemas.openxmlformats.org/officeDocument/2006/relationships/hyperlink" Target="https://www.parliament.act.gov.au/Publications/review-of-latimer-house-principles" TargetMode="External"/><Relationship Id="rId31" Type="http://schemas.openxmlformats.org/officeDocument/2006/relationships/hyperlink" Target="https://www.parliament.act.gov.au/__data/assets/pdf_file/0006/715452/Protocols-for-investigation-complaints-against-members-150817.pdf" TargetMode="External"/><Relationship Id="rId44" Type="http://schemas.openxmlformats.org/officeDocument/2006/relationships/hyperlink" Target="https://www.parliament.act.gov.au/Publications/budget-protocols" TargetMode="External"/><Relationship Id="rId52" Type="http://schemas.openxmlformats.org/officeDocument/2006/relationships/footer" Target="footer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egislation.act.gov.au/a/1996-23/" TargetMode="External"/><Relationship Id="rId14" Type="http://schemas.openxmlformats.org/officeDocument/2006/relationships/hyperlink" Target="https://www.parliament.act.gov.au/members/declarations-of-interest" TargetMode="External"/><Relationship Id="rId22" Type="http://schemas.openxmlformats.org/officeDocument/2006/relationships/hyperlink" Target="https://legislation.act.gov.au/a/1984-79/" TargetMode="External"/><Relationship Id="rId27" Type="http://schemas.openxmlformats.org/officeDocument/2006/relationships/hyperlink" Target="https://legislation.act.gov.au/a/1994-37/" TargetMode="External"/><Relationship Id="rId30" Type="http://schemas.openxmlformats.org/officeDocument/2006/relationships/hyperlink" Target="https://www.parliament.act.gov.au/__data/assets/pdf_file/0006/715452/Protocols-for-investigation-complaints-against-members-150817.pdf" TargetMode="External"/><Relationship Id="rId35" Type="http://schemas.openxmlformats.org/officeDocument/2006/relationships/hyperlink" Target="https://www.parliament.act.gov.au/in-committees/standing-committees-current-assembly/standing-committee-on-justice-and-community-safety-legislative-scrutiny-role" TargetMode="External"/><Relationship Id="rId43" Type="http://schemas.openxmlformats.org/officeDocument/2006/relationships/hyperlink" Target="https://legislation.act.gov.au" TargetMode="External"/><Relationship Id="rId48" Type="http://schemas.openxmlformats.org/officeDocument/2006/relationships/hyperlink" Target="https://www.parliament.act.gov.au/in-committees/standing-committees-current-assembly/standing-committee-on-public-accounts" TargetMode="External"/><Relationship Id="rId56" Type="http://schemas.openxmlformats.org/officeDocument/2006/relationships/header" Target="header4.xml"/><Relationship Id="rId8" Type="http://schemas.openxmlformats.org/officeDocument/2006/relationships/image" Target="media/image1.jpeg"/><Relationship Id="rId51" Type="http://schemas.openxmlformats.org/officeDocument/2006/relationships/header" Target="header2.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2" Type="http://schemas.openxmlformats.org/officeDocument/2006/relationships/hyperlink" Target="http://www.abs.gov.au/ausstats/abs@.nsf/mf/6302.0" TargetMode="External"/><Relationship Id="rId1" Type="http://schemas.openxmlformats.org/officeDocument/2006/relationships/hyperlink" Target="https://agora-parl.org/sites/default/files/Rating%20the%20ACT%20Legislative%20Assembly%20against%20CPA%20benchmarks%20for%20Democratic%20Legislatures%20-%20%20Is%20A%20minus%20good%20enoug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D3523-9CD5-46F3-89B9-DC0BEA89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14843</Words>
  <Characters>84607</Characters>
  <Application>Microsoft Office Word</Application>
  <DocSecurity>0</DocSecurity>
  <Lines>705</Lines>
  <Paragraphs>198</Paragraphs>
  <ScaleCrop>false</ScaleCrop>
  <HeadingPairs>
    <vt:vector size="2" baseType="variant">
      <vt:variant>
        <vt:lpstr>Title</vt:lpstr>
      </vt:variant>
      <vt:variant>
        <vt:i4>1</vt:i4>
      </vt:variant>
    </vt:vector>
  </HeadingPairs>
  <TitlesOfParts>
    <vt:vector size="1" baseType="lpstr">
      <vt:lpstr>Assessment of the Legislative Assembly's performance against the revised recommended benchmarks for democratic legislatures</vt:lpstr>
    </vt:vector>
  </TitlesOfParts>
  <Company/>
  <LinksUpToDate>false</LinksUpToDate>
  <CharactersWithSpaces>99252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Legislative Assembly's performance against the revised recommended benchmarks for democratic legislatures</dc:title>
  <dc:subject/>
  <dc:creator/>
  <cp:keywords/>
  <dc:description/>
  <cp:lastModifiedBy/>
  <cp:revision>1</cp:revision>
  <dcterms:created xsi:type="dcterms:W3CDTF">2019-10-17T02:40:00Z</dcterms:created>
  <dcterms:modified xsi:type="dcterms:W3CDTF">2019-10-17T02:44:00Z</dcterms:modified>
</cp:coreProperties>
</file>