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3822" w14:textId="6880145A" w:rsidR="00431F3D" w:rsidRDefault="00225BA7" w:rsidP="00431F3D">
      <w:pPr>
        <w:pStyle w:val="Committeename"/>
      </w:pPr>
      <w:r>
        <w:t>ree</w:t>
      </w:r>
      <w:r w:rsidR="00E24E15">
        <w:t>Standing Committee on Economics, Industry and Recreation</w:t>
      </w:r>
    </w:p>
    <w:p w14:paraId="07952B19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00A32126" w14:textId="42D0D904" w:rsidR="00863546" w:rsidRPr="00863546" w:rsidRDefault="00E24E15" w:rsidP="00863546">
      <w:pPr>
        <w:pStyle w:val="Heading2"/>
        <w:spacing w:after="600"/>
        <w:jc w:val="center"/>
      </w:pPr>
      <w:r>
        <w:t>Report released for the</w:t>
      </w:r>
      <w:r w:rsidR="00073D59">
        <w:t xml:space="preserve"> inquiry into </w:t>
      </w:r>
      <w:r w:rsidR="00D03292">
        <w:t>Annual and Financial Reports 2024-25</w:t>
      </w:r>
    </w:p>
    <w:p w14:paraId="2E1DA20B" w14:textId="6BABAEAA" w:rsidR="00E071AD" w:rsidRDefault="00E24E15" w:rsidP="00863546">
      <w:r w:rsidRPr="00B6329A">
        <w:rPr>
          <w:shd w:val="clear" w:color="auto" w:fill="FFFFFF"/>
        </w:rPr>
        <w:t xml:space="preserve">Today </w:t>
      </w:r>
      <w:r>
        <w:t xml:space="preserve">the </w:t>
      </w:r>
      <w:r w:rsidR="00D03292">
        <w:t xml:space="preserve">Chair of the </w:t>
      </w:r>
      <w:r>
        <w:t>Standing Committee on Economics, Industry and Recreation</w:t>
      </w:r>
      <w:r w:rsidR="00D03292">
        <w:t>,</w:t>
      </w:r>
      <w:r w:rsidR="00D03292" w:rsidRPr="00D03292">
        <w:t xml:space="preserve"> </w:t>
      </w:r>
      <w:r w:rsidR="00D03292">
        <w:t xml:space="preserve">Mr Taimus Werner-Gibbings MLA, </w:t>
      </w:r>
      <w:r w:rsidR="00DC2024">
        <w:t>published</w:t>
      </w:r>
      <w:r>
        <w:t xml:space="preserve"> </w:t>
      </w:r>
      <w:r w:rsidR="00B6329A">
        <w:t xml:space="preserve">the </w:t>
      </w:r>
      <w:r w:rsidR="00D03292">
        <w:t xml:space="preserve">Committee’s report for the Inquiry into Annual and Financial Reports 2024-25. </w:t>
      </w:r>
      <w:r>
        <w:t xml:space="preserve"> </w:t>
      </w:r>
    </w:p>
    <w:p w14:paraId="0D3B51BA" w14:textId="481A4B61" w:rsidR="00073D59" w:rsidRPr="00E24E15" w:rsidRDefault="00E24E15" w:rsidP="00863546">
      <w:pPr>
        <w:rPr>
          <w:shd w:val="clear" w:color="auto" w:fill="FFFFFF"/>
        </w:rPr>
      </w:pPr>
      <w:r>
        <w:t xml:space="preserve">The report makes </w:t>
      </w:r>
      <w:r w:rsidR="00F23536">
        <w:t>2</w:t>
      </w:r>
      <w:r w:rsidR="00D03292">
        <w:t>2</w:t>
      </w:r>
      <w:r>
        <w:t xml:space="preserve"> recommendations</w:t>
      </w:r>
      <w:r w:rsidR="003E4B7C">
        <w:t>.</w:t>
      </w:r>
    </w:p>
    <w:p w14:paraId="65B7A536" w14:textId="16C1B5AF" w:rsidR="00073D59" w:rsidRDefault="00E071AD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Committee thanks </w:t>
      </w:r>
      <w:r w:rsidR="00D03292">
        <w:rPr>
          <w:shd w:val="clear" w:color="auto" w:fill="FFFFFF"/>
        </w:rPr>
        <w:t>all Ministers</w:t>
      </w:r>
      <w:r w:rsidR="006E7D7B">
        <w:rPr>
          <w:shd w:val="clear" w:color="auto" w:fill="FFFFFF"/>
        </w:rPr>
        <w:t xml:space="preserve">, </w:t>
      </w:r>
      <w:r w:rsidR="00D03292">
        <w:rPr>
          <w:shd w:val="clear" w:color="auto" w:fill="FFFFFF"/>
        </w:rPr>
        <w:t>statutory</w:t>
      </w:r>
      <w:r w:rsidR="006E7D7B">
        <w:rPr>
          <w:shd w:val="clear" w:color="auto" w:fill="FFFFFF"/>
        </w:rPr>
        <w:t xml:space="preserve"> and government officials who participated in the inquiry.</w:t>
      </w:r>
    </w:p>
    <w:p w14:paraId="5D5AACAA" w14:textId="00F34538" w:rsidR="00D03292" w:rsidRDefault="00D03292" w:rsidP="00863546">
      <w:pPr>
        <w:rPr>
          <w:shd w:val="clear" w:color="auto" w:fill="FFFFFF"/>
        </w:rPr>
      </w:pPr>
      <w:r w:rsidRPr="00D03292">
        <w:rPr>
          <w:shd w:val="clear" w:color="auto" w:fill="FFFFFF"/>
        </w:rPr>
        <w:t>Under the Assembly’s standing orders, the ACT Government is required to respond to Committee reports within four months of tabling.</w:t>
      </w:r>
    </w:p>
    <w:p w14:paraId="5149F184" w14:textId="342597B7" w:rsidR="00073D59" w:rsidRDefault="000071CA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Committee’s report is available </w:t>
      </w:r>
      <w:r w:rsidR="00E071AD">
        <w:rPr>
          <w:shd w:val="clear" w:color="auto" w:fill="FFFFFF"/>
        </w:rPr>
        <w:t xml:space="preserve">on the Assembly’s webpage: </w:t>
      </w:r>
      <w:hyperlink r:id="rId8" w:history="1">
        <w:r w:rsidR="00E071AD" w:rsidRPr="00E071AD">
          <w:rPr>
            <w:rStyle w:val="Hyperlink"/>
            <w:shd w:val="clear" w:color="auto" w:fill="FFFFFF"/>
          </w:rPr>
          <w:t>Recent reports - ACT Legislative Assembly</w:t>
        </w:r>
      </w:hyperlink>
      <w:r w:rsidR="00E071AD">
        <w:rPr>
          <w:shd w:val="clear" w:color="auto" w:fill="FFFFFF"/>
        </w:rPr>
        <w:t>.</w:t>
      </w:r>
    </w:p>
    <w:p w14:paraId="1CC33A2F" w14:textId="77777777" w:rsidR="00863546" w:rsidRDefault="00863546" w:rsidP="00863546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089BDFC4" w14:textId="12A26944" w:rsidR="00863546" w:rsidRDefault="00F35D58" w:rsidP="00863546">
      <w:pPr>
        <w:pStyle w:val="NoSpacing"/>
        <w:rPr>
          <w:shd w:val="clear" w:color="auto" w:fill="FFFFFF"/>
        </w:rPr>
      </w:pPr>
      <w:r w:rsidRPr="00F35D58">
        <w:rPr>
          <w:shd w:val="clear" w:color="auto" w:fill="FFFFFF"/>
        </w:rPr>
        <w:t>28</w:t>
      </w:r>
      <w:r w:rsidR="005D7F3A" w:rsidRPr="00F35D58">
        <w:rPr>
          <w:shd w:val="clear" w:color="auto" w:fill="FFFFFF"/>
        </w:rPr>
        <w:t xml:space="preserve"> </w:t>
      </w:r>
      <w:r w:rsidR="00D03292" w:rsidRPr="00F35D58">
        <w:rPr>
          <w:shd w:val="clear" w:color="auto" w:fill="FFFFFF"/>
        </w:rPr>
        <w:t>April</w:t>
      </w:r>
      <w:r w:rsidR="000071CA">
        <w:rPr>
          <w:shd w:val="clear" w:color="auto" w:fill="FFFFFF"/>
        </w:rPr>
        <w:t xml:space="preserve"> 202</w:t>
      </w:r>
      <w:r w:rsidR="000B44F7">
        <w:rPr>
          <w:shd w:val="clear" w:color="auto" w:fill="FFFFFF"/>
        </w:rPr>
        <w:t>6</w:t>
      </w:r>
    </w:p>
    <w:p w14:paraId="5EE408A4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8B3816B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D2C5C62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59E10F84" w14:textId="55281312" w:rsidR="00863546" w:rsidRPr="000513FB" w:rsidRDefault="00E24E15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Taimus Werner-Gibbin</w:t>
            </w:r>
            <w:r w:rsidR="003E4B7C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 xml:space="preserve"> MLA, chair – (02) 620 </w:t>
            </w:r>
            <w:r>
              <w:rPr>
                <w:sz w:val="20"/>
                <w:szCs w:val="20"/>
              </w:rPr>
              <w:t>54466</w:t>
            </w:r>
          </w:p>
          <w:p w14:paraId="2A1D14CB" w14:textId="30B3C3EB" w:rsidR="00863546" w:rsidRPr="00863546" w:rsidRDefault="00E24E15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Ms Sophie Milne</w:t>
            </w:r>
            <w:r w:rsidR="00863546" w:rsidRPr="000513FB">
              <w:rPr>
                <w:sz w:val="20"/>
                <w:szCs w:val="20"/>
              </w:rPr>
              <w:t xml:space="preserve">, secretary – (02) 620 </w:t>
            </w:r>
            <w:r w:rsidR="000071CA">
              <w:rPr>
                <w:sz w:val="20"/>
                <w:szCs w:val="20"/>
              </w:rPr>
              <w:t>50435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r w:rsidR="00863546" w:rsidRPr="000071CA">
              <w:rPr>
                <w:sz w:val="20"/>
                <w:szCs w:val="20"/>
              </w:rPr>
              <w:t>LA</w:t>
            </w:r>
            <w:r w:rsidRPr="000071CA">
              <w:rPr>
                <w:sz w:val="20"/>
                <w:szCs w:val="20"/>
              </w:rPr>
              <w:t>C</w:t>
            </w:r>
            <w:r w:rsidR="00863546" w:rsidRPr="000071CA">
              <w:rPr>
                <w:sz w:val="20"/>
                <w:szCs w:val="20"/>
              </w:rPr>
              <w:t>ommittee</w:t>
            </w:r>
            <w:r w:rsidRPr="000071CA">
              <w:rPr>
                <w:sz w:val="20"/>
                <w:szCs w:val="20"/>
              </w:rPr>
              <w:t>Economics</w:t>
            </w:r>
            <w:r w:rsidR="00863546" w:rsidRPr="000071CA">
              <w:rPr>
                <w:sz w:val="20"/>
                <w:szCs w:val="20"/>
              </w:rPr>
              <w:t>@parliament.act.gov.au</w:t>
            </w:r>
          </w:p>
        </w:tc>
      </w:tr>
    </w:tbl>
    <w:p w14:paraId="5978BF42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9"/>
      <w:headerReference w:type="first" r:id="rId10"/>
      <w:footerReference w:type="first" r:id="rId11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03CC" w14:textId="77777777" w:rsidR="00E24E15" w:rsidRDefault="00E24E15" w:rsidP="003C03E9">
      <w:pPr>
        <w:spacing w:after="0" w:line="240" w:lineRule="auto"/>
      </w:pPr>
      <w:r>
        <w:separator/>
      </w:r>
    </w:p>
    <w:p w14:paraId="32D58319" w14:textId="77777777" w:rsidR="00E24E15" w:rsidRDefault="00E24E15"/>
  </w:endnote>
  <w:endnote w:type="continuationSeparator" w:id="0">
    <w:p w14:paraId="2FFF9873" w14:textId="77777777" w:rsidR="00E24E15" w:rsidRDefault="00E24E15" w:rsidP="003C03E9">
      <w:pPr>
        <w:spacing w:after="0" w:line="240" w:lineRule="auto"/>
      </w:pPr>
      <w:r>
        <w:continuationSeparator/>
      </w:r>
    </w:p>
    <w:p w14:paraId="7B8842C0" w14:textId="77777777" w:rsidR="00E24E15" w:rsidRDefault="00E24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﷽﷽﷽﷽﷽﷽﷽﷽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29DB" w14:textId="77777777" w:rsidR="00FA2F7D" w:rsidRDefault="00FA2F7D" w:rsidP="00110D21">
    <w:pPr>
      <w:pStyle w:val="Footer"/>
    </w:pPr>
  </w:p>
  <w:p w14:paraId="3F7DA228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7C42" w14:textId="6F92DDC8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4E3770">
      <w:rPr>
        <w:noProof/>
        <w:color w:val="1A234C"/>
        <w:sz w:val="16"/>
        <w:szCs w:val="16"/>
      </w:rPr>
      <w:t>reeStanding Committee on Economics, Industry and Recreation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E4B7C">
      <w:rPr>
        <w:rFonts w:ascii="Segoe UI Symbol" w:hAnsi="Segoe UI Symbol" w:cs="Segoe UI Symbol"/>
        <w:color w:val="1A234C"/>
        <w:sz w:val="16"/>
        <w:szCs w:val="16"/>
      </w:rPr>
      <w:t>0435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3E4B7C" w:rsidRPr="00626D2A">
        <w:rPr>
          <w:rStyle w:val="Hyperlink"/>
          <w:rFonts w:ascii="Segoe UI Symbol" w:hAnsi="Segoe UI Symbol" w:cs="Segoe UI Symbol"/>
          <w:sz w:val="16"/>
          <w:szCs w:val="16"/>
        </w:rPr>
        <w:t>LACommitteeEconomics@parliament.act.gov.au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F56E" w14:textId="77777777" w:rsidR="00E24E15" w:rsidRDefault="00E24E15" w:rsidP="00502117">
      <w:pPr>
        <w:spacing w:after="0" w:line="240" w:lineRule="auto"/>
      </w:pPr>
      <w:r>
        <w:separator/>
      </w:r>
    </w:p>
  </w:footnote>
  <w:footnote w:type="continuationSeparator" w:id="0">
    <w:p w14:paraId="7B060011" w14:textId="77777777" w:rsidR="00E24E15" w:rsidRDefault="00E24E15" w:rsidP="003C03E9">
      <w:pPr>
        <w:spacing w:after="0" w:line="240" w:lineRule="auto"/>
      </w:pPr>
      <w:r>
        <w:continuationSeparator/>
      </w:r>
    </w:p>
    <w:p w14:paraId="303D870F" w14:textId="77777777" w:rsidR="00E24E15" w:rsidRDefault="00E24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430C" w14:textId="3E9731DA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7216" behindDoc="0" locked="0" layoutInCell="1" allowOverlap="1" wp14:anchorId="5798AC6B" wp14:editId="171B6D40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628FDA7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15"/>
    <w:rsid w:val="000071CA"/>
    <w:rsid w:val="0004433C"/>
    <w:rsid w:val="000513FB"/>
    <w:rsid w:val="00073D59"/>
    <w:rsid w:val="000754C4"/>
    <w:rsid w:val="00091659"/>
    <w:rsid w:val="000B44F7"/>
    <w:rsid w:val="000D3BB9"/>
    <w:rsid w:val="000E3BE6"/>
    <w:rsid w:val="00110D21"/>
    <w:rsid w:val="0014392D"/>
    <w:rsid w:val="00156BF3"/>
    <w:rsid w:val="00166FCE"/>
    <w:rsid w:val="001A041A"/>
    <w:rsid w:val="001D38F4"/>
    <w:rsid w:val="001E1EC0"/>
    <w:rsid w:val="001E6B88"/>
    <w:rsid w:val="001F6AD4"/>
    <w:rsid w:val="00221F14"/>
    <w:rsid w:val="00225BA7"/>
    <w:rsid w:val="00273F61"/>
    <w:rsid w:val="0027673A"/>
    <w:rsid w:val="002A3D25"/>
    <w:rsid w:val="002C22E5"/>
    <w:rsid w:val="003004A0"/>
    <w:rsid w:val="003533BD"/>
    <w:rsid w:val="00376140"/>
    <w:rsid w:val="003C03E9"/>
    <w:rsid w:val="003E4B7C"/>
    <w:rsid w:val="00431F3D"/>
    <w:rsid w:val="004614F7"/>
    <w:rsid w:val="004A5AD9"/>
    <w:rsid w:val="004C44E6"/>
    <w:rsid w:val="004D2C7E"/>
    <w:rsid w:val="004E3770"/>
    <w:rsid w:val="00502117"/>
    <w:rsid w:val="005552EA"/>
    <w:rsid w:val="00560E8A"/>
    <w:rsid w:val="005A4F0B"/>
    <w:rsid w:val="005D2D97"/>
    <w:rsid w:val="005D7F3A"/>
    <w:rsid w:val="00605E20"/>
    <w:rsid w:val="006D4A0A"/>
    <w:rsid w:val="006D6584"/>
    <w:rsid w:val="006E7D7B"/>
    <w:rsid w:val="0070044E"/>
    <w:rsid w:val="007141D8"/>
    <w:rsid w:val="007370AD"/>
    <w:rsid w:val="007D003F"/>
    <w:rsid w:val="00814E8F"/>
    <w:rsid w:val="00863546"/>
    <w:rsid w:val="00872845"/>
    <w:rsid w:val="008800AE"/>
    <w:rsid w:val="008B567D"/>
    <w:rsid w:val="008C6459"/>
    <w:rsid w:val="00900B0E"/>
    <w:rsid w:val="00913885"/>
    <w:rsid w:val="009153F0"/>
    <w:rsid w:val="00983C68"/>
    <w:rsid w:val="009B150A"/>
    <w:rsid w:val="009B15D6"/>
    <w:rsid w:val="009E30E8"/>
    <w:rsid w:val="009F42E2"/>
    <w:rsid w:val="00A46180"/>
    <w:rsid w:val="00AF4939"/>
    <w:rsid w:val="00B0422E"/>
    <w:rsid w:val="00B420F1"/>
    <w:rsid w:val="00B6329A"/>
    <w:rsid w:val="00B808BF"/>
    <w:rsid w:val="00C108B4"/>
    <w:rsid w:val="00C43599"/>
    <w:rsid w:val="00CD4EFF"/>
    <w:rsid w:val="00D03292"/>
    <w:rsid w:val="00D27851"/>
    <w:rsid w:val="00D46F14"/>
    <w:rsid w:val="00D93BC7"/>
    <w:rsid w:val="00DB003D"/>
    <w:rsid w:val="00DB056E"/>
    <w:rsid w:val="00DC109A"/>
    <w:rsid w:val="00DC2024"/>
    <w:rsid w:val="00DF43D5"/>
    <w:rsid w:val="00DF4B56"/>
    <w:rsid w:val="00E071AD"/>
    <w:rsid w:val="00E24E15"/>
    <w:rsid w:val="00EC3781"/>
    <w:rsid w:val="00ED4AB6"/>
    <w:rsid w:val="00EE6040"/>
    <w:rsid w:val="00F23536"/>
    <w:rsid w:val="00F35D58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4868F"/>
  <w15:chartTrackingRefBased/>
  <w15:docId w15:val="{4F5502CA-0AEE-47F9-B699-8DB9D477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3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Economics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5DF3-AB6C-46C8-B898-F12F26B6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13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Committee Support</dc:creator>
  <cp:keywords/>
  <dc:description/>
  <cp:lastModifiedBy>Zhu, Mae</cp:lastModifiedBy>
  <cp:revision>4</cp:revision>
  <cp:lastPrinted>2026-04-27T22:27:00Z</cp:lastPrinted>
  <dcterms:created xsi:type="dcterms:W3CDTF">2026-04-23T05:19:00Z</dcterms:created>
  <dcterms:modified xsi:type="dcterms:W3CDTF">2026-04-27T22:27:00Z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