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DD" w:rsidRDefault="00CC21DD" w:rsidP="00CC21DD">
      <w:pPr>
        <w:pStyle w:val="DPSStartEndMarker"/>
        <w:jc w:val="center"/>
        <w:rPr>
          <w:b/>
          <w:bCs/>
          <w:vanish w:val="0"/>
          <w:color w:val="auto"/>
          <w:sz w:val="24"/>
        </w:rPr>
      </w:pPr>
      <w:r>
        <w:rPr>
          <w:b/>
          <w:noProof/>
          <w:vanish w:val="0"/>
          <w:color w:val="auto"/>
          <w:sz w:val="24"/>
        </w:rPr>
        <w:drawing>
          <wp:inline distT="0" distB="0" distL="0" distR="0">
            <wp:extent cx="752475" cy="752475"/>
            <wp:effectExtent l="19050" t="0" r="9525"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C21DD" w:rsidRDefault="00CC21DD" w:rsidP="00CC21DD">
      <w:pPr>
        <w:pStyle w:val="DPSMainHeadingHouse"/>
        <w:rPr>
          <w:bCs w:val="0"/>
          <w:szCs w:val="32"/>
        </w:rPr>
      </w:pPr>
      <w:r>
        <w:rPr>
          <w:bCs w:val="0"/>
          <w:szCs w:val="32"/>
        </w:rPr>
        <w:t>LEGISLATIVE ASSEMBLY FOR THE</w:t>
      </w:r>
    </w:p>
    <w:p w:rsidR="00CC21DD" w:rsidRDefault="00CC21DD" w:rsidP="00CC21DD">
      <w:pPr>
        <w:pStyle w:val="DPSMainHeadingHouse"/>
        <w:spacing w:before="0"/>
        <w:rPr>
          <w:bCs w:val="0"/>
          <w:szCs w:val="32"/>
        </w:rPr>
      </w:pPr>
      <w:smartTag w:uri="urn:schemas-microsoft-com:office:smarttags" w:element="State">
        <w:smartTag w:uri="urn:schemas-microsoft-com:office:smarttags" w:element="place">
          <w:r>
            <w:rPr>
              <w:bCs w:val="0"/>
              <w:szCs w:val="32"/>
            </w:rPr>
            <w:t>AUSTRALIAN CAPITAL TERRITORY</w:t>
          </w:r>
        </w:smartTag>
      </w:smartTag>
    </w:p>
    <w:p w:rsidR="00CC21DD" w:rsidRDefault="00CC21DD" w:rsidP="00CC21DD">
      <w:pPr>
        <w:pStyle w:val="DPSMainHeadingYear"/>
        <w:rPr>
          <w:bCs w:val="0"/>
        </w:rPr>
      </w:pPr>
      <w:r>
        <w:rPr>
          <w:bCs w:val="0"/>
        </w:rPr>
        <w:t>2016–2017–2018–2019</w:t>
      </w:r>
    </w:p>
    <w:p w:rsidR="00CC21DD" w:rsidRDefault="00CC21DD" w:rsidP="00CC21DD">
      <w:pPr>
        <w:pStyle w:val="DPSMainHeadingDoc"/>
      </w:pPr>
      <w:r>
        <w:t>MINUTES OF PROCEEDINGS</w:t>
      </w:r>
    </w:p>
    <w:p w:rsidR="00CC21DD" w:rsidRDefault="00CC21DD" w:rsidP="00CC21DD">
      <w:pPr>
        <w:pStyle w:val="DPSMainHeadingIssue"/>
      </w:pPr>
      <w:r>
        <w:t>No 92</w:t>
      </w:r>
    </w:p>
    <w:p w:rsidR="00CC21DD" w:rsidRDefault="008842D7" w:rsidP="00CC21DD">
      <w:pPr>
        <w:pStyle w:val="DPSMainHeadingDate"/>
        <w:spacing w:before="360"/>
        <w:rPr>
          <w:b/>
          <w:bCs/>
          <w:caps/>
          <w:szCs w:val="28"/>
        </w:rPr>
      </w:pPr>
      <w:hyperlink r:id="rId9" w:history="1">
        <w:r w:rsidR="00CC21DD" w:rsidRPr="00534067">
          <w:rPr>
            <w:rStyle w:val="Hyperlink"/>
            <w:b/>
            <w:bCs/>
            <w:caps/>
            <w:sz w:val="28"/>
            <w:szCs w:val="28"/>
          </w:rPr>
          <w:t>Tuesday, 2 April 2019</w:t>
        </w:r>
      </w:hyperlink>
    </w:p>
    <w:tbl>
      <w:tblPr>
        <w:tblW w:w="0" w:type="auto"/>
        <w:jc w:val="center"/>
        <w:tblLayout w:type="fixed"/>
        <w:tblLook w:val="0000"/>
      </w:tblPr>
      <w:tblGrid>
        <w:gridCol w:w="2452"/>
      </w:tblGrid>
      <w:tr w:rsidR="00CC21DD" w:rsidTr="00731B71">
        <w:trPr>
          <w:trHeight w:hRule="exact" w:val="220"/>
          <w:jc w:val="center"/>
        </w:trPr>
        <w:tc>
          <w:tcPr>
            <w:tcW w:w="2452" w:type="dxa"/>
          </w:tcPr>
          <w:p w:rsidR="00CC21DD" w:rsidRDefault="00CC21DD" w:rsidP="00731B71">
            <w:pPr>
              <w:pStyle w:val="DPSStartEndMarker"/>
            </w:pPr>
          </w:p>
        </w:tc>
      </w:tr>
      <w:tr w:rsidR="00CC21DD" w:rsidTr="00731B71">
        <w:trPr>
          <w:trHeight w:hRule="exact" w:val="60"/>
          <w:jc w:val="center"/>
        </w:trPr>
        <w:tc>
          <w:tcPr>
            <w:tcW w:w="2452" w:type="dxa"/>
            <w:tcBorders>
              <w:top w:val="single" w:sz="8" w:space="0" w:color="000000"/>
              <w:bottom w:val="single" w:sz="4" w:space="0" w:color="000000"/>
            </w:tcBorders>
          </w:tcPr>
          <w:p w:rsidR="00CC21DD" w:rsidRDefault="00CC21DD" w:rsidP="00731B71">
            <w:pPr>
              <w:pStyle w:val="DPSStartEndMarker"/>
            </w:pPr>
          </w:p>
        </w:tc>
      </w:tr>
    </w:tbl>
    <w:p w:rsidR="00CC21DD" w:rsidRPr="0015480C" w:rsidRDefault="00CC21DD" w:rsidP="00CC21DD">
      <w:pPr>
        <w:pStyle w:val="DPSEntryPrayer"/>
      </w:pPr>
      <w:r>
        <w:tab/>
      </w:r>
      <w:r w:rsidR="008842D7">
        <w:rPr>
          <w:b/>
          <w:bCs/>
        </w:rPr>
        <w:fldChar w:fldCharType="begin"/>
      </w:r>
      <w:r>
        <w:rPr>
          <w:b/>
          <w:bCs/>
        </w:rPr>
        <w:instrText xml:space="preserve"> macrobutton DPSParaNumUpdate </w:instrText>
      </w:r>
      <w:r>
        <w:rPr>
          <w:b/>
          <w:bCs/>
          <w:vanish/>
        </w:rPr>
        <w:instrText>"#",1:</w:instrText>
      </w:r>
      <w:r>
        <w:rPr>
          <w:b/>
          <w:bCs/>
        </w:rPr>
        <w:instrText>1</w:instrText>
      </w:r>
      <w:r w:rsidR="008842D7">
        <w:rPr>
          <w:b/>
          <w:bCs/>
        </w:rPr>
        <w:fldChar w:fldCharType="end"/>
      </w:r>
      <w:r>
        <w:tab/>
      </w:r>
      <w:r w:rsidRPr="00AC1F8E">
        <w:t xml:space="preserve">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AC1F8E">
            <w:t>Australian Capital Territory</w:t>
          </w:r>
        </w:smartTag>
      </w:smartTag>
      <w:r w:rsidRPr="00AC1F8E">
        <w:t>.</w:t>
      </w:r>
    </w:p>
    <w:p w:rsidR="00CC21DD" w:rsidRDefault="00CC21DD" w:rsidP="00AC1F8E">
      <w:pPr>
        <w:pStyle w:val="DPSEntryHeading"/>
        <w:rPr>
          <w:lang w:val="en-AU"/>
        </w:rPr>
      </w:pPr>
      <w:r>
        <w:rPr>
          <w:lang w:val="en-AU"/>
        </w:rPr>
        <w:tab/>
      </w:r>
      <w:r w:rsidR="008842D7">
        <w:rPr>
          <w:lang w:val="en-AU"/>
        </w:rPr>
        <w:fldChar w:fldCharType="begin"/>
      </w:r>
      <w:r>
        <w:rPr>
          <w:lang w:val="en-AU"/>
        </w:rPr>
        <w:instrText xml:space="preserve"> macrobutton DPSParaNumUpdate </w:instrText>
      </w:r>
      <w:r>
        <w:rPr>
          <w:vanish/>
          <w:lang w:val="en-AU"/>
        </w:rPr>
        <w:instrText>"#",1:</w:instrText>
      </w:r>
      <w:r>
        <w:rPr>
          <w:lang w:val="en-AU"/>
        </w:rPr>
        <w:instrText>2</w:instrText>
      </w:r>
      <w:r w:rsidR="008842D7">
        <w:rPr>
          <w:lang w:val="en-AU"/>
        </w:rPr>
        <w:fldChar w:fldCharType="end"/>
      </w:r>
      <w:r>
        <w:rPr>
          <w:lang w:val="en-AU"/>
        </w:rPr>
        <w:tab/>
        <w:t>DEATH OF Mr John Turner AM</w:t>
      </w:r>
    </w:p>
    <w:p w:rsidR="00CC21DD" w:rsidRDefault="00CC21DD" w:rsidP="00CC21DD">
      <w:pPr>
        <w:pStyle w:val="DPSEntryDetail"/>
      </w:pPr>
      <w:r>
        <w:t>Mr Barr (Chief Minister) moved—That this Assembly expresses its deep regret at the death of Mr John Turner AM, former Chief Executive of the ACT Department of Urban Services from 1989 to 1997 and tenders its profound sympathy to his family, friends and colleagues in their bereavement.</w:t>
      </w:r>
    </w:p>
    <w:p w:rsidR="00CC21DD" w:rsidRDefault="00CC21DD" w:rsidP="00CC21DD">
      <w:pPr>
        <w:pStyle w:val="DPSEntryDetail"/>
      </w:pPr>
      <w:r>
        <w:t>Mr Coe (Leader of the Opposition) and Mr Rattenbury (Leader of the ACT Greens) addressed the Assembly in support of the motion and all Members present having stood, in silence—</w:t>
      </w:r>
    </w:p>
    <w:p w:rsidR="00CC21DD" w:rsidRDefault="00CC21DD" w:rsidP="00CC21DD">
      <w:pPr>
        <w:pStyle w:val="DPSEntryDetail"/>
      </w:pPr>
      <w:r>
        <w:t>Question—passed.</w:t>
      </w:r>
    </w:p>
    <w:tbl>
      <w:tblPr>
        <w:tblW w:w="0" w:type="auto"/>
        <w:jc w:val="center"/>
        <w:tblLayout w:type="fixed"/>
        <w:tblLook w:val="0000"/>
      </w:tblPr>
      <w:tblGrid>
        <w:gridCol w:w="2452"/>
      </w:tblGrid>
      <w:tr w:rsidR="00CC21DD" w:rsidTr="00731B71">
        <w:trPr>
          <w:trHeight w:hRule="exact" w:val="220"/>
          <w:jc w:val="center"/>
        </w:trPr>
        <w:tc>
          <w:tcPr>
            <w:tcW w:w="2452" w:type="dxa"/>
          </w:tcPr>
          <w:p w:rsidR="00CC21DD" w:rsidRDefault="00CC21DD" w:rsidP="00731B71">
            <w:pPr>
              <w:pStyle w:val="DPSStartEndMarker"/>
            </w:pPr>
          </w:p>
        </w:tc>
      </w:tr>
      <w:tr w:rsidR="00CC21DD" w:rsidTr="00731B71">
        <w:trPr>
          <w:trHeight w:hRule="exact" w:val="60"/>
          <w:jc w:val="center"/>
        </w:trPr>
        <w:tc>
          <w:tcPr>
            <w:tcW w:w="2452" w:type="dxa"/>
            <w:tcBorders>
              <w:top w:val="single" w:sz="8" w:space="0" w:color="000000"/>
              <w:bottom w:val="single" w:sz="4" w:space="0" w:color="000000"/>
            </w:tcBorders>
          </w:tcPr>
          <w:p w:rsidR="00CC21DD" w:rsidRDefault="00CC21DD" w:rsidP="00731B71">
            <w:pPr>
              <w:pStyle w:val="DPSStartEndMarker"/>
            </w:pPr>
          </w:p>
        </w:tc>
      </w:tr>
    </w:tbl>
    <w:p w:rsidR="00CC21DD" w:rsidRDefault="00CC21DD" w:rsidP="001C521E">
      <w:pPr>
        <w:pStyle w:val="DPSEntryDetail"/>
        <w:keepNext/>
        <w:spacing w:before="240"/>
      </w:pPr>
      <w:r>
        <w:rPr>
          <w:i/>
          <w:iCs/>
        </w:rPr>
        <w:t xml:space="preserve">Suspension of sitting: </w:t>
      </w:r>
      <w:r>
        <w:t>The Speaker, at 10.20 am, suspended the sitting and announced that the Chair would be resumed at the ringing of the bells.</w:t>
      </w:r>
    </w:p>
    <w:p w:rsidR="00CC21DD" w:rsidRDefault="00CC21DD" w:rsidP="00CC21DD">
      <w:pPr>
        <w:pStyle w:val="DPSEntryDetail"/>
      </w:pPr>
      <w:r>
        <w:rPr>
          <w:i/>
          <w:iCs/>
        </w:rPr>
        <w:t xml:space="preserve">Resumption of sitting: </w:t>
      </w:r>
      <w:r>
        <w:t>The bells having been rung, the Spea</w:t>
      </w:r>
      <w:r w:rsidR="00926790">
        <w:t>ker resumed the Chair at 10.23 a</w:t>
      </w:r>
      <w:r>
        <w:t>m.</w:t>
      </w:r>
    </w:p>
    <w:tbl>
      <w:tblPr>
        <w:tblW w:w="0" w:type="auto"/>
        <w:jc w:val="center"/>
        <w:tblLayout w:type="fixed"/>
        <w:tblLook w:val="0000"/>
      </w:tblPr>
      <w:tblGrid>
        <w:gridCol w:w="2452"/>
      </w:tblGrid>
      <w:tr w:rsidR="00CC21DD" w:rsidTr="00731B71">
        <w:trPr>
          <w:trHeight w:hRule="exact" w:val="220"/>
          <w:jc w:val="center"/>
        </w:trPr>
        <w:tc>
          <w:tcPr>
            <w:tcW w:w="2452" w:type="dxa"/>
          </w:tcPr>
          <w:p w:rsidR="00CC21DD" w:rsidRDefault="00CC21DD" w:rsidP="00731B71">
            <w:pPr>
              <w:pStyle w:val="DPSStartEndMarker"/>
            </w:pPr>
          </w:p>
        </w:tc>
      </w:tr>
      <w:tr w:rsidR="00CC21DD" w:rsidTr="00731B71">
        <w:trPr>
          <w:trHeight w:hRule="exact" w:val="60"/>
          <w:jc w:val="center"/>
        </w:trPr>
        <w:tc>
          <w:tcPr>
            <w:tcW w:w="2452" w:type="dxa"/>
            <w:tcBorders>
              <w:top w:val="single" w:sz="8" w:space="0" w:color="000000"/>
              <w:bottom w:val="single" w:sz="4" w:space="0" w:color="000000"/>
            </w:tcBorders>
          </w:tcPr>
          <w:p w:rsidR="00CC21DD" w:rsidRDefault="00CC21DD" w:rsidP="00731B71">
            <w:pPr>
              <w:pStyle w:val="DPSStartEndMarker"/>
            </w:pPr>
          </w:p>
        </w:tc>
      </w:tr>
    </w:tbl>
    <w:p w:rsidR="00CC21DD" w:rsidRDefault="00CC21DD" w:rsidP="00AC1F8E">
      <w:pPr>
        <w:pStyle w:val="DPSEntryHeading"/>
      </w:pPr>
      <w:r>
        <w:tab/>
      </w:r>
      <w:r w:rsidR="008842D7">
        <w:fldChar w:fldCharType="begin"/>
      </w:r>
      <w:r>
        <w:instrText xml:space="preserve"> macrobutton DPSParaNumUpdate </w:instrText>
      </w:r>
      <w:r>
        <w:rPr>
          <w:vanish/>
        </w:rPr>
        <w:instrText>"#",1:</w:instrText>
      </w:r>
      <w:r>
        <w:instrText>3</w:instrText>
      </w:r>
      <w:r w:rsidR="008842D7">
        <w:fldChar w:fldCharType="end"/>
      </w:r>
      <w:r>
        <w:tab/>
        <w:t>Justice and Community Safety—Standing Committee (Legislative Scrutiny Role)—SCRUTINY REPORT 29—STATEMENT BY CHAIR</w:t>
      </w:r>
    </w:p>
    <w:p w:rsidR="00CC21DD" w:rsidRDefault="00CC21DD" w:rsidP="00AC1F8E">
      <w:pPr>
        <w:pStyle w:val="DPSEntryDetail"/>
        <w:keepLines/>
      </w:pPr>
      <w:r>
        <w:t>Mrs Jones (Chair) presented the following report:</w:t>
      </w:r>
    </w:p>
    <w:p w:rsidR="00CC21DD" w:rsidRDefault="00CC21DD" w:rsidP="00CC21DD">
      <w:pPr>
        <w:pStyle w:val="DPSEntryDetail"/>
        <w:rPr>
          <w:iCs/>
        </w:rPr>
      </w:pPr>
      <w:r>
        <w:lastRenderedPageBreak/>
        <w:t xml:space="preserve">Justice and Community Safety—Standing Committee (Legislative Scrutiny Role)—Scrutiny Report </w:t>
      </w:r>
      <w:r>
        <w:rPr>
          <w:caps/>
        </w:rPr>
        <w:t>29</w:t>
      </w:r>
      <w:r>
        <w:rPr>
          <w:i/>
          <w:iCs/>
        </w:rPr>
        <w:t>,</w:t>
      </w:r>
      <w:r>
        <w:rPr>
          <w:iCs/>
        </w:rPr>
        <w:t xml:space="preserve"> dated 1 April 2019, together with a copy of the extracts of the relevant minutes of proceedings—</w:t>
      </w:r>
    </w:p>
    <w:p w:rsidR="00CC21DD" w:rsidRDefault="00CC21DD" w:rsidP="00CC21DD">
      <w:pPr>
        <w:pStyle w:val="DPSEntryDetail"/>
        <w:rPr>
          <w:iCs/>
        </w:rPr>
      </w:pPr>
      <w:r>
        <w:rPr>
          <w:iCs/>
        </w:rPr>
        <w:t>and, by leave, made a statement in relation to the report.</w:t>
      </w:r>
    </w:p>
    <w:p w:rsidR="00CC21DD" w:rsidRDefault="00CC21DD" w:rsidP="00AC1F8E">
      <w:pPr>
        <w:pStyle w:val="DPSEntryHeading"/>
      </w:pPr>
      <w:r>
        <w:rPr>
          <w:lang w:val="en-AU"/>
        </w:rPr>
        <w:tab/>
      </w:r>
      <w:r w:rsidR="008842D7">
        <w:rPr>
          <w:lang w:val="en-AU"/>
        </w:rPr>
        <w:fldChar w:fldCharType="begin"/>
      </w:r>
      <w:r>
        <w:rPr>
          <w:lang w:val="en-AU"/>
        </w:rPr>
        <w:instrText xml:space="preserve"> macrobutton DPSParaNumUpdate </w:instrText>
      </w:r>
      <w:r>
        <w:rPr>
          <w:vanish/>
          <w:lang w:val="en-AU"/>
        </w:rPr>
        <w:instrText>"#",1:</w:instrText>
      </w:r>
      <w:r>
        <w:rPr>
          <w:lang w:val="en-AU"/>
        </w:rPr>
        <w:instrText>4</w:instrText>
      </w:r>
      <w:r w:rsidR="008842D7">
        <w:rPr>
          <w:lang w:val="en-AU"/>
        </w:rPr>
        <w:fldChar w:fldCharType="end"/>
      </w:r>
      <w:r>
        <w:rPr>
          <w:lang w:val="en-AU"/>
        </w:rPr>
        <w:tab/>
      </w:r>
      <w:r>
        <w:t>Education, Employment and Youth Affairs—Standing Committee—REPORT 5—Standardised Testing in A.C.T. Schools—report noted</w:t>
      </w:r>
    </w:p>
    <w:p w:rsidR="00CC21DD" w:rsidRDefault="00CC21DD" w:rsidP="00CC21DD">
      <w:pPr>
        <w:pStyle w:val="DPSEntryDetail"/>
      </w:pPr>
      <w:r>
        <w:t>Mr Pettersson (Chair) presented the following report:</w:t>
      </w:r>
    </w:p>
    <w:p w:rsidR="00CC21DD" w:rsidRDefault="00CC21DD" w:rsidP="00CC21DD">
      <w:pPr>
        <w:pStyle w:val="DPSEntryDetail"/>
        <w:rPr>
          <w:iCs/>
        </w:rPr>
      </w:pPr>
      <w:r>
        <w:rPr>
          <w:bCs/>
        </w:rPr>
        <w:t>Education, Employment and Youth Affairs—Standing Committee</w:t>
      </w:r>
      <w:r>
        <w:t xml:space="preserve">—Report </w:t>
      </w:r>
      <w:r>
        <w:rPr>
          <w:caps/>
        </w:rPr>
        <w:t>5</w:t>
      </w:r>
      <w:r>
        <w:t>—</w:t>
      </w:r>
      <w:r>
        <w:rPr>
          <w:i/>
          <w:iCs/>
        </w:rPr>
        <w:t>Standardised Testing in ACT Schools,</w:t>
      </w:r>
      <w:r>
        <w:rPr>
          <w:iCs/>
        </w:rPr>
        <w:t xml:space="preserve"> dated 26 March 2019, together with a copy of the extracts of the relevant minutes of proceedings—</w:t>
      </w:r>
    </w:p>
    <w:p w:rsidR="00CC21DD" w:rsidRDefault="00CC21DD" w:rsidP="00CC21DD">
      <w:pPr>
        <w:pStyle w:val="DPSEntryDetail"/>
        <w:rPr>
          <w:iCs/>
        </w:rPr>
      </w:pPr>
      <w:r>
        <w:rPr>
          <w:iCs/>
        </w:rPr>
        <w:t>and moved—That the report be noted.</w:t>
      </w:r>
    </w:p>
    <w:p w:rsidR="00CC21DD" w:rsidRDefault="00CC21DD" w:rsidP="00CC21DD">
      <w:pPr>
        <w:pStyle w:val="DPSEntryDetail"/>
        <w:rPr>
          <w:iCs/>
        </w:rPr>
      </w:pPr>
      <w:r>
        <w:rPr>
          <w:iCs/>
        </w:rPr>
        <w:t>Debate ensued.</w:t>
      </w:r>
    </w:p>
    <w:p w:rsidR="00CC21DD" w:rsidRDefault="00CC21DD" w:rsidP="00CC21DD">
      <w:pPr>
        <w:pStyle w:val="DPSEntryDetail"/>
        <w:rPr>
          <w:iCs/>
        </w:rPr>
      </w:pPr>
      <w:r>
        <w:rPr>
          <w:iCs/>
        </w:rPr>
        <w:t>Question—put and passed.</w:t>
      </w:r>
    </w:p>
    <w:p w:rsidR="00CC21DD" w:rsidRDefault="00CC21DD" w:rsidP="00AC1F8E">
      <w:pPr>
        <w:pStyle w:val="DPSEntryHeading"/>
      </w:pPr>
      <w:r>
        <w:rPr>
          <w:lang w:val="en-AU"/>
        </w:rPr>
        <w:tab/>
      </w:r>
      <w:r w:rsidR="008842D7">
        <w:rPr>
          <w:lang w:val="en-AU"/>
        </w:rPr>
        <w:fldChar w:fldCharType="begin"/>
      </w:r>
      <w:r>
        <w:rPr>
          <w:lang w:val="en-AU"/>
        </w:rPr>
        <w:instrText xml:space="preserve"> macrobutton DPSParaNumUpdate </w:instrText>
      </w:r>
      <w:r>
        <w:rPr>
          <w:vanish/>
          <w:lang w:val="en-AU"/>
        </w:rPr>
        <w:instrText>"#",1:</w:instrText>
      </w:r>
      <w:r>
        <w:rPr>
          <w:lang w:val="en-AU"/>
        </w:rPr>
        <w:instrText>5</w:instrText>
      </w:r>
      <w:r w:rsidR="008842D7">
        <w:rPr>
          <w:lang w:val="en-AU"/>
        </w:rPr>
        <w:fldChar w:fldCharType="end"/>
      </w:r>
      <w:r>
        <w:rPr>
          <w:lang w:val="en-AU"/>
        </w:rPr>
        <w:tab/>
      </w:r>
      <w:r>
        <w:t>Economic Development and Tourism—Standing Committee—Consideration of statutory appointments—STATEMENT BY CHAIR—Paper</w:t>
      </w:r>
    </w:p>
    <w:p w:rsidR="00CC21DD" w:rsidRDefault="00CC21DD" w:rsidP="00CC21DD">
      <w:pPr>
        <w:pStyle w:val="DPSEntryDetail"/>
      </w:pPr>
      <w:r>
        <w:t>Mr Hanson (Chair), pursuant to standing order 246A and Continuing Resolution 5A, made a statement concerning consideration of two statutory appointments by the Standing Committee on Economic Development and Tourism during the period 1 July to 31 December 2018.</w:t>
      </w:r>
    </w:p>
    <w:p w:rsidR="00926790" w:rsidRDefault="00926790" w:rsidP="00CC21DD">
      <w:pPr>
        <w:pStyle w:val="DPSEntryDetail"/>
      </w:pPr>
      <w:r>
        <w:rPr>
          <w:i/>
        </w:rPr>
        <w:t xml:space="preserve">Paper:  </w:t>
      </w:r>
      <w:r>
        <w:t>Mr Hanson, pursuant to Continuing Resolution 5A, presented the following paper:</w:t>
      </w:r>
    </w:p>
    <w:p w:rsidR="00926790" w:rsidRPr="00926790" w:rsidRDefault="00926790" w:rsidP="00CC21DD">
      <w:pPr>
        <w:pStyle w:val="DPSEntryDetail"/>
      </w:pPr>
      <w:r w:rsidRPr="00926790">
        <w:t>Economic Development and Tourism</w:t>
      </w:r>
      <w:r>
        <w:t>—Standing Committee—Schedule of Statutory Appointments—9</w:t>
      </w:r>
      <w:r w:rsidRPr="00926790">
        <w:rPr>
          <w:vertAlign w:val="superscript"/>
        </w:rPr>
        <w:t>th</w:t>
      </w:r>
      <w:r>
        <w:t xml:space="preserve"> Assembly—Period 1 July to 31 December 2018.</w:t>
      </w:r>
    </w:p>
    <w:p w:rsidR="00CC21DD" w:rsidRDefault="00CC21DD" w:rsidP="00AC1F8E">
      <w:pPr>
        <w:pStyle w:val="DPSEntryHeading"/>
      </w:pPr>
      <w:r>
        <w:rPr>
          <w:lang w:val="en-AU"/>
        </w:rPr>
        <w:tab/>
      </w:r>
      <w:r w:rsidR="008842D7">
        <w:rPr>
          <w:lang w:val="en-AU"/>
        </w:rPr>
        <w:fldChar w:fldCharType="begin"/>
      </w:r>
      <w:r>
        <w:rPr>
          <w:lang w:val="en-AU"/>
        </w:rPr>
        <w:instrText xml:space="preserve"> macrobutton DPSParaNumUpdate </w:instrText>
      </w:r>
      <w:r>
        <w:rPr>
          <w:vanish/>
          <w:lang w:val="en-AU"/>
        </w:rPr>
        <w:instrText>"#",1:</w:instrText>
      </w:r>
      <w:r>
        <w:rPr>
          <w:lang w:val="en-AU"/>
        </w:rPr>
        <w:instrText>6</w:instrText>
      </w:r>
      <w:r w:rsidR="008842D7">
        <w:rPr>
          <w:lang w:val="en-AU"/>
        </w:rPr>
        <w:fldChar w:fldCharType="end"/>
      </w:r>
      <w:r>
        <w:rPr>
          <w:lang w:val="en-AU"/>
        </w:rPr>
        <w:tab/>
      </w:r>
      <w:r>
        <w:t>Economic Development and Tour</w:t>
      </w:r>
      <w:r w:rsidR="0015480C">
        <w:t>ism—Standing Committee—Petition </w:t>
      </w:r>
      <w:r>
        <w:t>19</w:t>
      </w:r>
      <w:r>
        <w:noBreakHyphen/>
        <w:t>18—International students—Fair treatment—STATEMENT BY CHAIR</w:t>
      </w:r>
    </w:p>
    <w:p w:rsidR="00CC21DD" w:rsidRDefault="00CC21DD" w:rsidP="00CC21DD">
      <w:pPr>
        <w:pStyle w:val="DPSEntryDetail"/>
        <w:ind w:left="709"/>
      </w:pPr>
      <w:r>
        <w:t xml:space="preserve">Mr Hanson (Chair), pursuant to standing order 246A, informed the Assembly that, following consideration of petition 19-18 concerning fair treatment for international students, the Standing Committee on Economic Development and Tourism notes the response of the ACT Government dated 14 December 2018 and </w:t>
      </w:r>
      <w:r w:rsidR="00926790">
        <w:t>intends to take no further action</w:t>
      </w:r>
      <w:r>
        <w:t>.</w:t>
      </w:r>
    </w:p>
    <w:p w:rsidR="00CC21DD" w:rsidRDefault="00CC21DD" w:rsidP="00AC1F8E">
      <w:pPr>
        <w:pStyle w:val="DPSEntryHeading"/>
        <w:keepNext w:val="0"/>
      </w:pPr>
      <w:r>
        <w:rPr>
          <w:lang w:val="en-AU"/>
        </w:rPr>
        <w:tab/>
      </w:r>
      <w:r w:rsidR="008842D7">
        <w:rPr>
          <w:lang w:val="en-AU"/>
        </w:rPr>
        <w:fldChar w:fldCharType="begin"/>
      </w:r>
      <w:r>
        <w:rPr>
          <w:lang w:val="en-AU"/>
        </w:rPr>
        <w:instrText xml:space="preserve"> macrobutton DPSParaNumUpdate </w:instrText>
      </w:r>
      <w:r>
        <w:rPr>
          <w:vanish/>
          <w:lang w:val="en-AU"/>
        </w:rPr>
        <w:instrText>"#",1:</w:instrText>
      </w:r>
      <w:r>
        <w:rPr>
          <w:lang w:val="en-AU"/>
        </w:rPr>
        <w:instrText>7</w:instrText>
      </w:r>
      <w:r w:rsidR="008842D7">
        <w:rPr>
          <w:lang w:val="en-AU"/>
        </w:rPr>
        <w:fldChar w:fldCharType="end"/>
      </w:r>
      <w:r>
        <w:rPr>
          <w:lang w:val="en-AU"/>
        </w:rPr>
        <w:tab/>
      </w:r>
      <w:r>
        <w:t>Economic Development and Tourism—Standing Committee</w:t>
      </w:r>
      <w:r w:rsidR="003E5B2D">
        <w:t>—Inquiry—Drone delivery systems—</w:t>
      </w:r>
      <w:r>
        <w:t>Report—Possible delay—STATEMENT BY CHAIR</w:t>
      </w:r>
    </w:p>
    <w:p w:rsidR="00CC21DD" w:rsidRDefault="00CC21DD" w:rsidP="00AC1F8E">
      <w:pPr>
        <w:pStyle w:val="DPSEntryDetail"/>
        <w:keepLines/>
      </w:pPr>
      <w:r>
        <w:t>Mr Hanson (Chair), pursuant to standing order 246A, made a statement relating to the Committee’s inquiry into drone delivery systems. The Committee is required to report no later than the last sitting we</w:t>
      </w:r>
      <w:r w:rsidR="003E5B2D">
        <w:t>ek in 2019. A specific issue has</w:t>
      </w:r>
      <w:r>
        <w:t xml:space="preserve"> been brought to the Committee’s attention, requiring communication with the responsible Federal Minister. The Committee intends to wait until it has received a response from the Federal Minister before tabling its report in the Assembly.</w:t>
      </w:r>
    </w:p>
    <w:p w:rsidR="00CC21DD" w:rsidRDefault="00CC21DD" w:rsidP="00AC1F8E">
      <w:pPr>
        <w:pStyle w:val="DPSEntryHeading"/>
      </w:pPr>
      <w:r>
        <w:lastRenderedPageBreak/>
        <w:tab/>
      </w:r>
      <w:r w:rsidR="008842D7">
        <w:fldChar w:fldCharType="begin"/>
      </w:r>
      <w:r>
        <w:instrText xml:space="preserve"> macrobutton DPSParaNumUpdate </w:instrText>
      </w:r>
      <w:r>
        <w:rPr>
          <w:vanish/>
        </w:rPr>
        <w:instrText>"#",1:</w:instrText>
      </w:r>
      <w:r>
        <w:instrText>8</w:instrText>
      </w:r>
      <w:r w:rsidR="008842D7">
        <w:fldChar w:fldCharType="end"/>
      </w:r>
      <w:r>
        <w:tab/>
        <w:t>Recreational Vehicle</w:t>
      </w:r>
      <w:r w:rsidR="00926790">
        <w:t xml:space="preserve"> </w:t>
      </w:r>
      <w:r>
        <w:t>Tourism—MINISTERIAL STATEMENT—PAPER NOTED</w:t>
      </w:r>
    </w:p>
    <w:p w:rsidR="00CC21DD" w:rsidRDefault="00CC21DD" w:rsidP="00CC21DD">
      <w:pPr>
        <w:pStyle w:val="DPSEntryDetail"/>
      </w:pPr>
      <w:r>
        <w:t>Mr Barr (Minister for Tourism and Special Events) made a mi</w:t>
      </w:r>
      <w:r w:rsidR="0040729F">
        <w:t xml:space="preserve">nisterial statement concerning recreational vehicle tourism, pursuant to the resolution of the Assembly of 31 October 2018, </w:t>
      </w:r>
      <w:r>
        <w:t>and presented the following paper:</w:t>
      </w:r>
    </w:p>
    <w:p w:rsidR="00CC21DD" w:rsidRDefault="0040729F" w:rsidP="00CC21DD">
      <w:pPr>
        <w:pStyle w:val="DPSEntryDetail"/>
      </w:pPr>
      <w:r>
        <w:t>Recreational v</w:t>
      </w:r>
      <w:r w:rsidR="00CC21DD">
        <w:t>ehicle</w:t>
      </w:r>
      <w:r>
        <w:t xml:space="preserve"> t</w:t>
      </w:r>
      <w:r w:rsidR="00CC21DD">
        <w:t>ourism in the ACT—Ministerial statement, 2 April 2019.</w:t>
      </w:r>
    </w:p>
    <w:p w:rsidR="00CC21DD" w:rsidRDefault="00CC21DD" w:rsidP="00CC21DD">
      <w:pPr>
        <w:pStyle w:val="DPSEntryDetail"/>
      </w:pPr>
      <w:r>
        <w:t>Mr Barr moved—That the Assembly take note of the paper.</w:t>
      </w:r>
    </w:p>
    <w:p w:rsidR="00CC21DD" w:rsidRDefault="00CC21DD" w:rsidP="00CC21DD">
      <w:pPr>
        <w:pStyle w:val="DPSEntryDetail"/>
      </w:pPr>
      <w:r>
        <w:t>Question—put and passed.</w:t>
      </w:r>
    </w:p>
    <w:p w:rsidR="00CC21DD" w:rsidRDefault="00CC21DD" w:rsidP="00AC1F8E">
      <w:pPr>
        <w:pStyle w:val="DPSEntryHeading"/>
      </w:pPr>
      <w:r>
        <w:tab/>
      </w:r>
      <w:r w:rsidR="008842D7">
        <w:fldChar w:fldCharType="begin"/>
      </w:r>
      <w:r>
        <w:instrText xml:space="preserve"> macrobutton DPSParaNumUpdate </w:instrText>
      </w:r>
      <w:r>
        <w:rPr>
          <w:vanish/>
        </w:rPr>
        <w:instrText>"#",1:</w:instrText>
      </w:r>
      <w:r>
        <w:instrText>9</w:instrText>
      </w:r>
      <w:r w:rsidR="008842D7">
        <w:fldChar w:fldCharType="end"/>
      </w:r>
      <w:r>
        <w:tab/>
        <w:t>A Step Up for Our Kids—Out of Home Care Strategy April 2019—MINISTERIAL STATEMENT and paperS—PAPERS NOTED</w:t>
      </w:r>
    </w:p>
    <w:p w:rsidR="00CC21DD" w:rsidRDefault="00CC21DD" w:rsidP="00CC21DD">
      <w:pPr>
        <w:pStyle w:val="DPSEntryDetail"/>
      </w:pPr>
      <w:r>
        <w:t xml:space="preserve">Ms Stephen-Smith (Minister for Children, Youth and Families) made a ministerial statement concerning </w:t>
      </w:r>
      <w:r>
        <w:rPr>
          <w:i/>
        </w:rPr>
        <w:t>A Step Up for Our Kids—Out of Home Care Strategy April 2019</w:t>
      </w:r>
      <w:r>
        <w:t xml:space="preserve"> and presented the following papers:</w:t>
      </w:r>
    </w:p>
    <w:p w:rsidR="00CC21DD" w:rsidRDefault="00CC21DD" w:rsidP="00CC21DD">
      <w:pPr>
        <w:pStyle w:val="DPSEntryDetail"/>
        <w:ind w:left="851"/>
      </w:pPr>
      <w:r>
        <w:t>A Step Up for Our Kids—Out of Home Care Strategy Update—April 2019—Ministerial Statement.</w:t>
      </w:r>
    </w:p>
    <w:p w:rsidR="00CC21DD" w:rsidRDefault="00CC21DD" w:rsidP="00CC21DD">
      <w:pPr>
        <w:pStyle w:val="DPSEntryDetail"/>
        <w:ind w:left="851"/>
      </w:pPr>
      <w:r>
        <w:t>A Step Up for Our Kids—Snapshot Report, 28 February 2019.</w:t>
      </w:r>
    </w:p>
    <w:p w:rsidR="00CC21DD" w:rsidRDefault="00CC21DD" w:rsidP="00CC21DD">
      <w:pPr>
        <w:pStyle w:val="DPSEntryDetail"/>
      </w:pPr>
      <w:r>
        <w:t>Ms Stephen-Smith moved—That the Assembly take note of the papers.</w:t>
      </w:r>
    </w:p>
    <w:p w:rsidR="00CC21DD" w:rsidRDefault="00CC21DD" w:rsidP="00CC21DD">
      <w:pPr>
        <w:pStyle w:val="DPSEntryDetail"/>
      </w:pPr>
      <w:r>
        <w:t>Debate ensued.</w:t>
      </w:r>
    </w:p>
    <w:p w:rsidR="00CC21DD" w:rsidRDefault="00CC21DD" w:rsidP="00CC21DD">
      <w:pPr>
        <w:pStyle w:val="DPSEntryDetail"/>
      </w:pPr>
      <w:r>
        <w:t>Question—put and passed.</w:t>
      </w:r>
    </w:p>
    <w:p w:rsidR="00CC21DD" w:rsidRDefault="00CC21DD" w:rsidP="00AC1F8E">
      <w:pPr>
        <w:pStyle w:val="DPSEntryHeading"/>
      </w:pPr>
      <w:r>
        <w:tab/>
      </w:r>
      <w:r w:rsidR="008842D7">
        <w:fldChar w:fldCharType="begin"/>
      </w:r>
      <w:r>
        <w:instrText xml:space="preserve"> macrobutton DPSParaNumUpdate </w:instrText>
      </w:r>
      <w:r>
        <w:rPr>
          <w:vanish/>
        </w:rPr>
        <w:instrText>"#",1:</w:instrText>
      </w:r>
      <w:r>
        <w:instrText>10</w:instrText>
      </w:r>
      <w:r w:rsidR="008842D7">
        <w:fldChar w:fldCharType="end"/>
      </w:r>
      <w:r>
        <w:tab/>
        <w:t>Statement of Priorities—MINISTERIAL STATEMENT—PAPER NOTED</w:t>
      </w:r>
    </w:p>
    <w:p w:rsidR="00CC21DD" w:rsidRDefault="00CC21DD" w:rsidP="00CC21DD">
      <w:pPr>
        <w:pStyle w:val="DPSEntryDetail"/>
      </w:pPr>
      <w:r>
        <w:t>Mr Steel (Minister for City Services, Minister for Roads, Minister for Community Services and Facilities and Minister for Multicultural Affairs) made a ministerial statement concerning a Statement of Priorities and presented the following paper:</w:t>
      </w:r>
    </w:p>
    <w:p w:rsidR="00CC21DD" w:rsidRDefault="00CC21DD" w:rsidP="00CC21DD">
      <w:pPr>
        <w:pStyle w:val="DPSEntryDetail"/>
      </w:pPr>
      <w:r>
        <w:t>Statement of Priorities—Ministerial statement, 2 April 2019.</w:t>
      </w:r>
    </w:p>
    <w:p w:rsidR="00CC21DD" w:rsidRDefault="00CC21DD" w:rsidP="00CC21DD">
      <w:pPr>
        <w:pStyle w:val="DPSEntryDetail"/>
      </w:pPr>
      <w:r>
        <w:t>Mr Steel moved—That the Assembly take note of the paper.</w:t>
      </w:r>
    </w:p>
    <w:p w:rsidR="00CC21DD" w:rsidRDefault="00CC21DD" w:rsidP="00CC21DD">
      <w:pPr>
        <w:pStyle w:val="DPSEntryDetail"/>
      </w:pPr>
      <w:r>
        <w:t>Debate ensued.</w:t>
      </w:r>
    </w:p>
    <w:p w:rsidR="00CC21DD" w:rsidRDefault="00CC21DD" w:rsidP="00CC21DD">
      <w:pPr>
        <w:pStyle w:val="DPSEntryDetail"/>
      </w:pPr>
      <w:r>
        <w:t>Question—put and passed.</w:t>
      </w:r>
    </w:p>
    <w:p w:rsidR="00CC21DD" w:rsidRDefault="00CC21DD" w:rsidP="00AC1F8E">
      <w:pPr>
        <w:pStyle w:val="DPSEntryHeading"/>
      </w:pPr>
      <w:r>
        <w:tab/>
      </w:r>
      <w:r w:rsidR="008842D7">
        <w:fldChar w:fldCharType="begin"/>
      </w:r>
      <w:r>
        <w:instrText xml:space="preserve"> macrobutton DPSParaNumUpdate </w:instrText>
      </w:r>
      <w:r>
        <w:rPr>
          <w:vanish/>
        </w:rPr>
        <w:instrText>"#",1:</w:instrText>
      </w:r>
      <w:r>
        <w:instrText>11</w:instrText>
      </w:r>
      <w:r w:rsidR="008842D7">
        <w:fldChar w:fldCharType="end"/>
      </w:r>
      <w:r>
        <w:tab/>
        <w:t>Financial Management Amendment Bill 2019</w:t>
      </w:r>
    </w:p>
    <w:p w:rsidR="00CC21DD" w:rsidRDefault="00CC21DD" w:rsidP="00CC21DD">
      <w:pPr>
        <w:pStyle w:val="DPSEntryDetail"/>
      </w:pPr>
      <w:r>
        <w:t>The order of the day having been read for the resumption of the debate on the question—That this Bill be agreed to in principle—</w:t>
      </w:r>
    </w:p>
    <w:p w:rsidR="00CC21DD" w:rsidRDefault="00CC21DD" w:rsidP="00CC21DD">
      <w:pPr>
        <w:pStyle w:val="DPSEntryDetail"/>
        <w:rPr>
          <w:iCs/>
        </w:rPr>
      </w:pPr>
      <w:r>
        <w:rPr>
          <w:iCs/>
        </w:rPr>
        <w:t>Debate resumed.</w:t>
      </w:r>
    </w:p>
    <w:p w:rsidR="00CC21DD" w:rsidRDefault="00CC21DD" w:rsidP="00DB154C">
      <w:pPr>
        <w:pStyle w:val="DPSEntryDetail"/>
        <w:keepLines/>
        <w:rPr>
          <w:iCs/>
        </w:rPr>
      </w:pPr>
      <w:r>
        <w:rPr>
          <w:iCs/>
        </w:rPr>
        <w:t>Question—That this Bill be agreed to in principle—</w:t>
      </w:r>
      <w:r w:rsidR="00534067">
        <w:rPr>
          <w:iCs/>
        </w:rPr>
        <w:t>put.</w:t>
      </w:r>
    </w:p>
    <w:p w:rsidR="00CC21DD" w:rsidRDefault="00CC21DD" w:rsidP="005340A3">
      <w:pPr>
        <w:pStyle w:val="DIVIntroA"/>
      </w:pPr>
      <w:r>
        <w:t>The Assembly voted—</w:t>
      </w:r>
    </w:p>
    <w:tbl>
      <w:tblPr>
        <w:tblW w:w="8790" w:type="dxa"/>
        <w:tblInd w:w="720" w:type="dxa"/>
        <w:tblLayout w:type="fixed"/>
        <w:tblCellMar>
          <w:left w:w="56" w:type="dxa"/>
          <w:right w:w="56" w:type="dxa"/>
        </w:tblCellMar>
        <w:tblLook w:val="04A0"/>
      </w:tblPr>
      <w:tblGrid>
        <w:gridCol w:w="2042"/>
        <w:gridCol w:w="2042"/>
        <w:gridCol w:w="624"/>
        <w:gridCol w:w="2041"/>
        <w:gridCol w:w="2041"/>
      </w:tblGrid>
      <w:tr w:rsidR="00CC21DD" w:rsidTr="00CC21DD">
        <w:trPr>
          <w:trHeight w:val="240"/>
        </w:trPr>
        <w:tc>
          <w:tcPr>
            <w:tcW w:w="4082" w:type="dxa"/>
            <w:gridSpan w:val="2"/>
            <w:hideMark/>
          </w:tcPr>
          <w:p w:rsidR="00CC21DD" w:rsidRDefault="00CC21DD">
            <w:pPr>
              <w:pStyle w:val="DIVName"/>
              <w:keepNext/>
              <w:keepLines/>
              <w:tabs>
                <w:tab w:val="center" w:pos="1644"/>
              </w:tabs>
            </w:pPr>
            <w:r>
              <w:lastRenderedPageBreak/>
              <w:tab/>
              <w:t>AYES, 13</w:t>
            </w:r>
          </w:p>
        </w:tc>
        <w:tc>
          <w:tcPr>
            <w:tcW w:w="624" w:type="dxa"/>
          </w:tcPr>
          <w:p w:rsidR="00CC21DD" w:rsidRDefault="00CC21DD">
            <w:pPr>
              <w:pStyle w:val="DIVName"/>
              <w:keepNext/>
              <w:keepLines/>
            </w:pPr>
          </w:p>
        </w:tc>
        <w:tc>
          <w:tcPr>
            <w:tcW w:w="4082" w:type="dxa"/>
            <w:gridSpan w:val="2"/>
            <w:hideMark/>
          </w:tcPr>
          <w:p w:rsidR="00CC21DD" w:rsidRDefault="00CC21DD">
            <w:pPr>
              <w:pStyle w:val="DIVName"/>
              <w:keepNext/>
              <w:keepLines/>
              <w:tabs>
                <w:tab w:val="center" w:pos="1644"/>
              </w:tabs>
            </w:pPr>
            <w:r>
              <w:tab/>
              <w:t>NOES, 10</w:t>
            </w:r>
          </w:p>
        </w:tc>
      </w:tr>
      <w:tr w:rsidR="00CC21DD" w:rsidTr="00CC21DD">
        <w:trPr>
          <w:trHeight w:val="240"/>
        </w:trPr>
        <w:tc>
          <w:tcPr>
            <w:tcW w:w="2041" w:type="dxa"/>
            <w:hideMark/>
          </w:tcPr>
          <w:p w:rsidR="00CC21DD" w:rsidRDefault="00CC21DD">
            <w:pPr>
              <w:pStyle w:val="DIVName"/>
              <w:keepNext/>
              <w:keepLines/>
            </w:pPr>
            <w:r>
              <w:t>Mr Barr</w:t>
            </w:r>
          </w:p>
        </w:tc>
        <w:tc>
          <w:tcPr>
            <w:tcW w:w="2041" w:type="dxa"/>
            <w:hideMark/>
          </w:tcPr>
          <w:p w:rsidR="00CC21DD" w:rsidRDefault="00CC21DD">
            <w:pPr>
              <w:pStyle w:val="DIVName"/>
              <w:keepNext/>
              <w:keepLines/>
            </w:pPr>
            <w:r>
              <w:t>Ms Orr</w:t>
            </w:r>
          </w:p>
        </w:tc>
        <w:tc>
          <w:tcPr>
            <w:tcW w:w="624" w:type="dxa"/>
          </w:tcPr>
          <w:p w:rsidR="00CC21DD" w:rsidRDefault="00CC21DD">
            <w:pPr>
              <w:pStyle w:val="DIVName"/>
              <w:keepNext/>
              <w:keepLines/>
            </w:pPr>
          </w:p>
        </w:tc>
        <w:tc>
          <w:tcPr>
            <w:tcW w:w="2041" w:type="dxa"/>
            <w:hideMark/>
          </w:tcPr>
          <w:p w:rsidR="00CC21DD" w:rsidRDefault="00CC21DD">
            <w:pPr>
              <w:pStyle w:val="DIVName"/>
              <w:keepNext/>
              <w:keepLines/>
            </w:pPr>
            <w:r>
              <w:t>Miss C. Burch</w:t>
            </w:r>
          </w:p>
        </w:tc>
        <w:tc>
          <w:tcPr>
            <w:tcW w:w="2041" w:type="dxa"/>
            <w:hideMark/>
          </w:tcPr>
          <w:p w:rsidR="00CC21DD" w:rsidRDefault="00CC21DD">
            <w:pPr>
              <w:pStyle w:val="DIVName"/>
              <w:keepNext/>
              <w:keepLines/>
            </w:pPr>
            <w:r>
              <w:t>Ms Lee</w:t>
            </w:r>
          </w:p>
        </w:tc>
      </w:tr>
      <w:tr w:rsidR="00CC21DD" w:rsidTr="00CC21DD">
        <w:trPr>
          <w:trHeight w:val="240"/>
        </w:trPr>
        <w:tc>
          <w:tcPr>
            <w:tcW w:w="2041" w:type="dxa"/>
            <w:hideMark/>
          </w:tcPr>
          <w:p w:rsidR="00CC21DD" w:rsidRDefault="00CC21DD">
            <w:pPr>
              <w:pStyle w:val="DIVName"/>
              <w:keepNext/>
              <w:keepLines/>
            </w:pPr>
            <w:r>
              <w:t>Ms J. Burch</w:t>
            </w:r>
          </w:p>
        </w:tc>
        <w:tc>
          <w:tcPr>
            <w:tcW w:w="2041" w:type="dxa"/>
            <w:hideMark/>
          </w:tcPr>
          <w:p w:rsidR="00CC21DD" w:rsidRDefault="00CC21DD">
            <w:pPr>
              <w:pStyle w:val="DIVName"/>
              <w:keepNext/>
              <w:keepLines/>
            </w:pPr>
            <w:r>
              <w:t>Mr Pettersson</w:t>
            </w:r>
          </w:p>
        </w:tc>
        <w:tc>
          <w:tcPr>
            <w:tcW w:w="624" w:type="dxa"/>
          </w:tcPr>
          <w:p w:rsidR="00CC21DD" w:rsidRDefault="00CC21DD">
            <w:pPr>
              <w:pStyle w:val="DIVName"/>
              <w:keepNext/>
              <w:keepLines/>
            </w:pPr>
          </w:p>
        </w:tc>
        <w:tc>
          <w:tcPr>
            <w:tcW w:w="2041" w:type="dxa"/>
            <w:hideMark/>
          </w:tcPr>
          <w:p w:rsidR="00CC21DD" w:rsidRDefault="00CC21DD">
            <w:pPr>
              <w:pStyle w:val="DIVName"/>
              <w:keepNext/>
              <w:keepLines/>
            </w:pPr>
            <w:r>
              <w:t>Mr Coe</w:t>
            </w:r>
          </w:p>
        </w:tc>
        <w:tc>
          <w:tcPr>
            <w:tcW w:w="2041" w:type="dxa"/>
            <w:hideMark/>
          </w:tcPr>
          <w:p w:rsidR="00CC21DD" w:rsidRDefault="00CC21DD">
            <w:pPr>
              <w:pStyle w:val="DIVName"/>
              <w:keepNext/>
              <w:keepLines/>
            </w:pPr>
            <w:r>
              <w:t>Mr Milligan</w:t>
            </w:r>
          </w:p>
        </w:tc>
      </w:tr>
      <w:tr w:rsidR="00CC21DD" w:rsidTr="00CC21DD">
        <w:trPr>
          <w:trHeight w:val="240"/>
        </w:trPr>
        <w:tc>
          <w:tcPr>
            <w:tcW w:w="2041" w:type="dxa"/>
            <w:hideMark/>
          </w:tcPr>
          <w:p w:rsidR="00CC21DD" w:rsidRDefault="00CC21DD">
            <w:pPr>
              <w:pStyle w:val="DIVName"/>
              <w:keepNext/>
              <w:keepLines/>
            </w:pPr>
            <w:r>
              <w:t>Ms Cheyne</w:t>
            </w:r>
          </w:p>
        </w:tc>
        <w:tc>
          <w:tcPr>
            <w:tcW w:w="2041" w:type="dxa"/>
            <w:hideMark/>
          </w:tcPr>
          <w:p w:rsidR="00CC21DD" w:rsidRDefault="00CC21DD">
            <w:pPr>
              <w:pStyle w:val="DIVName"/>
              <w:keepNext/>
              <w:keepLines/>
            </w:pPr>
            <w:r>
              <w:t>Mr Ramsay</w:t>
            </w:r>
          </w:p>
        </w:tc>
        <w:tc>
          <w:tcPr>
            <w:tcW w:w="624" w:type="dxa"/>
          </w:tcPr>
          <w:p w:rsidR="00CC21DD" w:rsidRDefault="00CC21DD">
            <w:pPr>
              <w:pStyle w:val="DIVName"/>
              <w:keepNext/>
              <w:keepLines/>
            </w:pPr>
          </w:p>
        </w:tc>
        <w:tc>
          <w:tcPr>
            <w:tcW w:w="2041" w:type="dxa"/>
            <w:hideMark/>
          </w:tcPr>
          <w:p w:rsidR="00CC21DD" w:rsidRDefault="00CC21DD">
            <w:pPr>
              <w:pStyle w:val="DIVName"/>
              <w:keepNext/>
              <w:keepLines/>
            </w:pPr>
            <w:r>
              <w:t>Mrs Dunne</w:t>
            </w:r>
          </w:p>
        </w:tc>
        <w:tc>
          <w:tcPr>
            <w:tcW w:w="2041" w:type="dxa"/>
            <w:hideMark/>
          </w:tcPr>
          <w:p w:rsidR="00CC21DD" w:rsidRDefault="00CC21DD">
            <w:pPr>
              <w:pStyle w:val="DIVName"/>
              <w:keepNext/>
              <w:keepLines/>
            </w:pPr>
            <w:r>
              <w:t>Mr Wall</w:t>
            </w:r>
          </w:p>
        </w:tc>
      </w:tr>
      <w:tr w:rsidR="00CC21DD" w:rsidTr="00CC21DD">
        <w:trPr>
          <w:trHeight w:val="240"/>
        </w:trPr>
        <w:tc>
          <w:tcPr>
            <w:tcW w:w="2041" w:type="dxa"/>
            <w:hideMark/>
          </w:tcPr>
          <w:p w:rsidR="00CC21DD" w:rsidRDefault="00CC21DD">
            <w:pPr>
              <w:pStyle w:val="DIVName"/>
              <w:keepNext/>
              <w:keepLines/>
            </w:pPr>
            <w:r>
              <w:t>Ms Cody</w:t>
            </w:r>
          </w:p>
        </w:tc>
        <w:tc>
          <w:tcPr>
            <w:tcW w:w="2041" w:type="dxa"/>
            <w:hideMark/>
          </w:tcPr>
          <w:p w:rsidR="00CC21DD" w:rsidRDefault="00CC21DD">
            <w:pPr>
              <w:pStyle w:val="DIVName"/>
              <w:keepNext/>
              <w:keepLines/>
            </w:pPr>
            <w:r>
              <w:t>Mr Rattenbury</w:t>
            </w:r>
          </w:p>
        </w:tc>
        <w:tc>
          <w:tcPr>
            <w:tcW w:w="624" w:type="dxa"/>
          </w:tcPr>
          <w:p w:rsidR="00CC21DD" w:rsidRDefault="00CC21DD">
            <w:pPr>
              <w:pStyle w:val="DIVName"/>
              <w:keepNext/>
              <w:keepLines/>
            </w:pPr>
          </w:p>
        </w:tc>
        <w:tc>
          <w:tcPr>
            <w:tcW w:w="2041" w:type="dxa"/>
            <w:hideMark/>
          </w:tcPr>
          <w:p w:rsidR="00CC21DD" w:rsidRDefault="00CC21DD">
            <w:pPr>
              <w:pStyle w:val="DIVName"/>
              <w:keepNext/>
              <w:keepLines/>
            </w:pPr>
            <w:r>
              <w:t>Mr Hanson</w:t>
            </w:r>
          </w:p>
        </w:tc>
        <w:tc>
          <w:tcPr>
            <w:tcW w:w="2041" w:type="dxa"/>
          </w:tcPr>
          <w:p w:rsidR="00CC21DD" w:rsidRDefault="00CC21DD">
            <w:pPr>
              <w:pStyle w:val="DIVName"/>
              <w:keepNext/>
              <w:keepLines/>
            </w:pPr>
          </w:p>
        </w:tc>
      </w:tr>
      <w:tr w:rsidR="00CC21DD" w:rsidTr="00CC21DD">
        <w:trPr>
          <w:trHeight w:val="240"/>
        </w:trPr>
        <w:tc>
          <w:tcPr>
            <w:tcW w:w="2041" w:type="dxa"/>
            <w:hideMark/>
          </w:tcPr>
          <w:p w:rsidR="00CC21DD" w:rsidRDefault="00CC21DD">
            <w:pPr>
              <w:pStyle w:val="DIVName"/>
              <w:keepNext/>
              <w:keepLines/>
            </w:pPr>
            <w:r>
              <w:t>Ms Fitzharris</w:t>
            </w:r>
          </w:p>
        </w:tc>
        <w:tc>
          <w:tcPr>
            <w:tcW w:w="2041" w:type="dxa"/>
            <w:hideMark/>
          </w:tcPr>
          <w:p w:rsidR="00CC21DD" w:rsidRDefault="00CC21DD">
            <w:pPr>
              <w:pStyle w:val="DIVName"/>
              <w:keepNext/>
              <w:keepLines/>
            </w:pPr>
            <w:r>
              <w:t>Mr Steel</w:t>
            </w:r>
          </w:p>
        </w:tc>
        <w:tc>
          <w:tcPr>
            <w:tcW w:w="624" w:type="dxa"/>
          </w:tcPr>
          <w:p w:rsidR="00CC21DD" w:rsidRDefault="00CC21DD">
            <w:pPr>
              <w:pStyle w:val="DIVName"/>
              <w:keepNext/>
              <w:keepLines/>
            </w:pPr>
          </w:p>
        </w:tc>
        <w:tc>
          <w:tcPr>
            <w:tcW w:w="2041" w:type="dxa"/>
            <w:hideMark/>
          </w:tcPr>
          <w:p w:rsidR="00CC21DD" w:rsidRDefault="00CC21DD">
            <w:pPr>
              <w:pStyle w:val="DIVName"/>
              <w:keepNext/>
              <w:keepLines/>
            </w:pPr>
            <w:r>
              <w:t>Mrs Jones</w:t>
            </w:r>
          </w:p>
        </w:tc>
        <w:tc>
          <w:tcPr>
            <w:tcW w:w="2041" w:type="dxa"/>
          </w:tcPr>
          <w:p w:rsidR="00CC21DD" w:rsidRDefault="00CC21DD">
            <w:pPr>
              <w:pStyle w:val="DIVName"/>
              <w:keepNext/>
              <w:keepLines/>
            </w:pPr>
          </w:p>
        </w:tc>
      </w:tr>
      <w:tr w:rsidR="00CC21DD" w:rsidTr="00CC21DD">
        <w:trPr>
          <w:trHeight w:val="240"/>
        </w:trPr>
        <w:tc>
          <w:tcPr>
            <w:tcW w:w="2041" w:type="dxa"/>
            <w:hideMark/>
          </w:tcPr>
          <w:p w:rsidR="00CC21DD" w:rsidRDefault="00CC21DD">
            <w:pPr>
              <w:pStyle w:val="DIVName"/>
              <w:keepNext/>
              <w:keepLines/>
            </w:pPr>
            <w:r>
              <w:t>Mr Gentleman</w:t>
            </w:r>
          </w:p>
        </w:tc>
        <w:tc>
          <w:tcPr>
            <w:tcW w:w="2041" w:type="dxa"/>
            <w:hideMark/>
          </w:tcPr>
          <w:p w:rsidR="00CC21DD" w:rsidRDefault="00CC21DD">
            <w:pPr>
              <w:pStyle w:val="DIVName"/>
              <w:keepNext/>
              <w:keepLines/>
            </w:pPr>
            <w:r>
              <w:t>Ms Stephen-Smith</w:t>
            </w:r>
          </w:p>
        </w:tc>
        <w:tc>
          <w:tcPr>
            <w:tcW w:w="624" w:type="dxa"/>
          </w:tcPr>
          <w:p w:rsidR="00CC21DD" w:rsidRDefault="00CC21DD">
            <w:pPr>
              <w:pStyle w:val="DIVName"/>
              <w:keepNext/>
              <w:keepLines/>
            </w:pPr>
          </w:p>
        </w:tc>
        <w:tc>
          <w:tcPr>
            <w:tcW w:w="2041" w:type="dxa"/>
            <w:hideMark/>
          </w:tcPr>
          <w:p w:rsidR="00CC21DD" w:rsidRDefault="00CC21DD">
            <w:pPr>
              <w:pStyle w:val="DIVName"/>
              <w:keepNext/>
              <w:keepLines/>
            </w:pPr>
            <w:r>
              <w:t>Mrs Kikkert</w:t>
            </w:r>
          </w:p>
        </w:tc>
        <w:tc>
          <w:tcPr>
            <w:tcW w:w="2041" w:type="dxa"/>
          </w:tcPr>
          <w:p w:rsidR="00CC21DD" w:rsidRDefault="00CC21DD">
            <w:pPr>
              <w:pStyle w:val="DIVName"/>
              <w:keepNext/>
              <w:keepLines/>
            </w:pPr>
          </w:p>
        </w:tc>
      </w:tr>
      <w:tr w:rsidR="00CC21DD" w:rsidTr="00CC21DD">
        <w:trPr>
          <w:trHeight w:val="240"/>
        </w:trPr>
        <w:tc>
          <w:tcPr>
            <w:tcW w:w="2041" w:type="dxa"/>
            <w:hideMark/>
          </w:tcPr>
          <w:p w:rsidR="00CC21DD" w:rsidRDefault="00CC21DD">
            <w:pPr>
              <w:pStyle w:val="DIVName"/>
              <w:keepNext/>
              <w:keepLines/>
            </w:pPr>
            <w:r>
              <w:t>Ms Le Couteur</w:t>
            </w:r>
          </w:p>
        </w:tc>
        <w:tc>
          <w:tcPr>
            <w:tcW w:w="2041" w:type="dxa"/>
          </w:tcPr>
          <w:p w:rsidR="00CC21DD" w:rsidRDefault="00CC21DD">
            <w:pPr>
              <w:pStyle w:val="DIVName"/>
              <w:keepNext/>
              <w:keepLines/>
            </w:pPr>
          </w:p>
        </w:tc>
        <w:tc>
          <w:tcPr>
            <w:tcW w:w="624" w:type="dxa"/>
          </w:tcPr>
          <w:p w:rsidR="00CC21DD" w:rsidRDefault="00CC21DD">
            <w:pPr>
              <w:pStyle w:val="DIVName"/>
              <w:keepNext/>
              <w:keepLines/>
            </w:pPr>
          </w:p>
        </w:tc>
        <w:tc>
          <w:tcPr>
            <w:tcW w:w="2041" w:type="dxa"/>
            <w:hideMark/>
          </w:tcPr>
          <w:p w:rsidR="00CC21DD" w:rsidRDefault="00CC21DD">
            <w:pPr>
              <w:pStyle w:val="DIVName"/>
              <w:keepNext/>
              <w:keepLines/>
            </w:pPr>
            <w:r>
              <w:t>Ms Lawder</w:t>
            </w:r>
          </w:p>
        </w:tc>
        <w:tc>
          <w:tcPr>
            <w:tcW w:w="2041" w:type="dxa"/>
          </w:tcPr>
          <w:p w:rsidR="00CC21DD" w:rsidRDefault="00CC21DD">
            <w:pPr>
              <w:pStyle w:val="DIVName"/>
              <w:keepNext/>
              <w:keepLines/>
            </w:pPr>
          </w:p>
        </w:tc>
      </w:tr>
    </w:tbl>
    <w:p w:rsidR="00CC21DD" w:rsidRDefault="00CC21DD" w:rsidP="00CC21DD">
      <w:pPr>
        <w:pStyle w:val="DIVResult"/>
        <w:keepNext/>
        <w:keepLines/>
      </w:pPr>
      <w:r>
        <w:t>And so it was resolved in the affirmative.</w:t>
      </w:r>
    </w:p>
    <w:p w:rsidR="00CC21DD" w:rsidRDefault="00CC21DD" w:rsidP="002B0F0A">
      <w:pPr>
        <w:keepNext/>
        <w:keepLines/>
        <w:pBdr>
          <w:bottom w:val="thinThickLargeGap" w:sz="18" w:space="1" w:color="auto"/>
        </w:pBdr>
        <w:ind w:left="3427" w:right="3658"/>
        <w:jc w:val="center"/>
        <w:rPr>
          <w:rFonts w:ascii="Calibri" w:hAnsi="Calibri"/>
          <w:i/>
          <w:iCs/>
          <w:lang w:val="en-AU"/>
        </w:rPr>
      </w:pPr>
    </w:p>
    <w:p w:rsidR="00CC21DD" w:rsidRDefault="00CC21DD" w:rsidP="00CC21DD">
      <w:pPr>
        <w:tabs>
          <w:tab w:val="left" w:pos="1197"/>
          <w:tab w:val="left" w:pos="1767"/>
        </w:tabs>
        <w:spacing w:before="120"/>
        <w:jc w:val="center"/>
        <w:rPr>
          <w:rFonts w:ascii="Calibri" w:hAnsi="Calibri"/>
          <w:i/>
          <w:iCs/>
          <w:lang w:val="en-AU"/>
        </w:rPr>
      </w:pPr>
      <w:r>
        <w:rPr>
          <w:rFonts w:ascii="Calibri" w:hAnsi="Calibri"/>
          <w:i/>
          <w:iCs/>
          <w:lang w:val="en-AU"/>
        </w:rPr>
        <w:t>Detail Stage</w:t>
      </w:r>
    </w:p>
    <w:p w:rsidR="00CC21DD" w:rsidRDefault="00CC21DD" w:rsidP="00CC21DD">
      <w:pPr>
        <w:pStyle w:val="DPSEntryDetail"/>
        <w:rPr>
          <w:iCs/>
        </w:rPr>
      </w:pPr>
      <w:r>
        <w:rPr>
          <w:iCs/>
        </w:rPr>
        <w:t>Clause 1 agreed to.</w:t>
      </w:r>
    </w:p>
    <w:p w:rsidR="00CC21DD" w:rsidRDefault="00CC21DD" w:rsidP="00CC21DD">
      <w:pPr>
        <w:pStyle w:val="DPSEntryDetail"/>
        <w:rPr>
          <w:iCs/>
        </w:rPr>
      </w:pPr>
      <w:r>
        <w:rPr>
          <w:iCs/>
        </w:rPr>
        <w:t>Clause 2—</w:t>
      </w:r>
    </w:p>
    <w:p w:rsidR="00CC21DD" w:rsidRDefault="00CC21DD" w:rsidP="00CC21DD">
      <w:pPr>
        <w:pStyle w:val="DPSEntryDetail"/>
        <w:rPr>
          <w:iCs/>
        </w:rPr>
      </w:pPr>
      <w:r>
        <w:rPr>
          <w:iCs/>
          <w:lang w:val="en-US"/>
        </w:rPr>
        <w:t>Mr Coe</w:t>
      </w:r>
      <w:r>
        <w:rPr>
          <w:iCs/>
        </w:rPr>
        <w:t xml:space="preserve"> (Leader of the Opposition), pursuant to standing order 182A(a) and (b), was granted leave to move amendments that are urgent and minor and technical in nature.</w:t>
      </w:r>
    </w:p>
    <w:p w:rsidR="00CC21DD" w:rsidRDefault="002B0F0A" w:rsidP="00CC21DD">
      <w:pPr>
        <w:pStyle w:val="DPSEntryDetail"/>
        <w:rPr>
          <w:iCs/>
        </w:rPr>
      </w:pPr>
      <w:r>
        <w:rPr>
          <w:iCs/>
        </w:rPr>
        <w:t>Mr Coe moved his amendment No</w:t>
      </w:r>
      <w:r w:rsidR="00CC21DD">
        <w:rPr>
          <w:iCs/>
        </w:rPr>
        <w:t xml:space="preserve"> 1 circulated in his name (</w:t>
      </w:r>
      <w:r w:rsidR="00CC21DD">
        <w:rPr>
          <w:i/>
          <w:iCs/>
        </w:rPr>
        <w:t>see</w:t>
      </w:r>
      <w:r w:rsidR="00CC21DD">
        <w:rPr>
          <w:iCs/>
        </w:rPr>
        <w:t xml:space="preserve"> </w:t>
      </w:r>
      <w:hyperlink r:id="rId10" w:anchor="Schedule1" w:history="1">
        <w:r w:rsidR="00CC21DD">
          <w:rPr>
            <w:rStyle w:val="Hyperlink"/>
            <w:iCs/>
          </w:rPr>
          <w:t>Schedule</w:t>
        </w:r>
        <w:r w:rsidR="00CC21DD">
          <w:rPr>
            <w:rStyle w:val="Hyperlink"/>
          </w:rPr>
          <w:t xml:space="preserve"> 1</w:t>
        </w:r>
      </w:hyperlink>
      <w:r w:rsidR="00CC21DD">
        <w:rPr>
          <w:iCs/>
        </w:rPr>
        <w:t>).</w:t>
      </w:r>
    </w:p>
    <w:p w:rsidR="00CC21DD" w:rsidRDefault="00CC21DD" w:rsidP="00CC21DD">
      <w:pPr>
        <w:pStyle w:val="DPSEntryDetail"/>
        <w:rPr>
          <w:iCs/>
        </w:rPr>
      </w:pPr>
      <w:r>
        <w:rPr>
          <w:iCs/>
        </w:rPr>
        <w:t xml:space="preserve">Debate </w:t>
      </w:r>
      <w:r w:rsidR="0040729F">
        <w:rPr>
          <w:iCs/>
        </w:rPr>
        <w:t>continued</w:t>
      </w:r>
      <w:r>
        <w:rPr>
          <w:iCs/>
        </w:rPr>
        <w:t>.</w:t>
      </w:r>
    </w:p>
    <w:p w:rsidR="00CC21DD" w:rsidRDefault="0040729F" w:rsidP="00CC21DD">
      <w:pPr>
        <w:pStyle w:val="DPSEntryDetail"/>
        <w:rPr>
          <w:iCs/>
        </w:rPr>
      </w:pPr>
      <w:r>
        <w:rPr>
          <w:iCs/>
        </w:rPr>
        <w:t>Amendment</w:t>
      </w:r>
      <w:r w:rsidR="00CC21DD">
        <w:rPr>
          <w:iCs/>
        </w:rPr>
        <w:t xml:space="preserve"> negatived.</w:t>
      </w:r>
    </w:p>
    <w:p w:rsidR="00CC21DD" w:rsidRDefault="00CC21DD" w:rsidP="00CC21DD">
      <w:pPr>
        <w:pStyle w:val="DPSEntryDetail"/>
        <w:rPr>
          <w:iCs/>
        </w:rPr>
      </w:pPr>
      <w:r>
        <w:rPr>
          <w:iCs/>
        </w:rPr>
        <w:t>Clause 2 agreed to.</w:t>
      </w:r>
    </w:p>
    <w:p w:rsidR="00CC21DD" w:rsidRDefault="00CC21DD" w:rsidP="00CC21DD">
      <w:pPr>
        <w:pStyle w:val="DPSEntryDetail"/>
        <w:rPr>
          <w:iCs/>
        </w:rPr>
      </w:pPr>
      <w:r>
        <w:rPr>
          <w:iCs/>
        </w:rPr>
        <w:t>Clauses 3 to 5, by leave, taken together and agreed to.</w:t>
      </w:r>
    </w:p>
    <w:p w:rsidR="00CC21DD" w:rsidRDefault="0040729F" w:rsidP="00CC21DD">
      <w:pPr>
        <w:pStyle w:val="DPSEntryDetail"/>
        <w:rPr>
          <w:iCs/>
        </w:rPr>
      </w:pPr>
      <w:r>
        <w:rPr>
          <w:i/>
          <w:iCs/>
        </w:rPr>
        <w:t>Proposed n</w:t>
      </w:r>
      <w:r w:rsidR="00CC21DD">
        <w:rPr>
          <w:i/>
          <w:iCs/>
        </w:rPr>
        <w:t>ew clause</w:t>
      </w:r>
      <w:r w:rsidR="00CC21DD">
        <w:rPr>
          <w:iCs/>
        </w:rPr>
        <w:t>–</w:t>
      </w:r>
    </w:p>
    <w:p w:rsidR="00CC21DD" w:rsidRDefault="0040729F" w:rsidP="00CC21DD">
      <w:pPr>
        <w:pStyle w:val="DPSEntryDetail"/>
        <w:rPr>
          <w:iCs/>
        </w:rPr>
      </w:pPr>
      <w:r>
        <w:rPr>
          <w:iCs/>
        </w:rPr>
        <w:t xml:space="preserve">Mr Coe moved his amendment No 2 </w:t>
      </w:r>
      <w:r w:rsidR="00CC21DD">
        <w:rPr>
          <w:iCs/>
        </w:rPr>
        <w:t>(</w:t>
      </w:r>
      <w:r w:rsidR="00CC21DD">
        <w:rPr>
          <w:i/>
          <w:iCs/>
        </w:rPr>
        <w:t>see</w:t>
      </w:r>
      <w:r w:rsidR="00CC21DD">
        <w:rPr>
          <w:iCs/>
        </w:rPr>
        <w:t xml:space="preserve"> </w:t>
      </w:r>
      <w:hyperlink r:id="rId11" w:anchor="Schedule1" w:history="1">
        <w:r w:rsidR="00CC21DD">
          <w:rPr>
            <w:rStyle w:val="Hyperlink"/>
            <w:iCs/>
          </w:rPr>
          <w:t>Schedule 1</w:t>
        </w:r>
      </w:hyperlink>
      <w:r w:rsidR="00CC21DD">
        <w:rPr>
          <w:iCs/>
        </w:rPr>
        <w:t>)</w:t>
      </w:r>
      <w:r w:rsidR="00D80C1E">
        <w:rPr>
          <w:iCs/>
        </w:rPr>
        <w:t>, which would insert a new clause 5A in the Bill</w:t>
      </w:r>
      <w:r w:rsidR="00CC21DD">
        <w:rPr>
          <w:iCs/>
        </w:rPr>
        <w:t>.</w:t>
      </w:r>
    </w:p>
    <w:p w:rsidR="00CC21DD" w:rsidRDefault="00CC21DD" w:rsidP="00CC21DD">
      <w:pPr>
        <w:pStyle w:val="DPSEntryDetail"/>
        <w:rPr>
          <w:iCs/>
        </w:rPr>
      </w:pPr>
      <w:r>
        <w:rPr>
          <w:iCs/>
        </w:rPr>
        <w:t xml:space="preserve">Debate </w:t>
      </w:r>
      <w:r w:rsidR="002B0F0A">
        <w:rPr>
          <w:iCs/>
        </w:rPr>
        <w:t>continu</w:t>
      </w:r>
      <w:r>
        <w:rPr>
          <w:iCs/>
        </w:rPr>
        <w:t>ed.</w:t>
      </w:r>
    </w:p>
    <w:p w:rsidR="00CC21DD" w:rsidRDefault="00CC21DD" w:rsidP="00CC21DD">
      <w:pPr>
        <w:pStyle w:val="DPSEntryDetail"/>
        <w:rPr>
          <w:iCs/>
        </w:rPr>
      </w:pPr>
      <w:r>
        <w:rPr>
          <w:iCs/>
        </w:rPr>
        <w:t>Amendment negatived.</w:t>
      </w:r>
    </w:p>
    <w:p w:rsidR="00CC21DD" w:rsidRDefault="00CC21DD" w:rsidP="00CC21DD">
      <w:pPr>
        <w:pStyle w:val="DPSEntryDetail"/>
        <w:rPr>
          <w:iCs/>
        </w:rPr>
      </w:pPr>
      <w:r>
        <w:rPr>
          <w:iCs/>
        </w:rPr>
        <w:t>Clause 6—</w:t>
      </w:r>
    </w:p>
    <w:p w:rsidR="00CC21DD" w:rsidRDefault="00CC21DD" w:rsidP="00CC21DD">
      <w:pPr>
        <w:pStyle w:val="DPSEntryDetail"/>
        <w:rPr>
          <w:iCs/>
        </w:rPr>
      </w:pPr>
      <w:r>
        <w:rPr>
          <w:iCs/>
        </w:rPr>
        <w:t>Mr Coe moved his amendment No 4 (</w:t>
      </w:r>
      <w:r>
        <w:rPr>
          <w:i/>
          <w:iCs/>
        </w:rPr>
        <w:t>see</w:t>
      </w:r>
      <w:r>
        <w:rPr>
          <w:iCs/>
        </w:rPr>
        <w:t xml:space="preserve"> </w:t>
      </w:r>
      <w:hyperlink r:id="rId12" w:anchor="Schedule1" w:history="1">
        <w:r>
          <w:rPr>
            <w:rStyle w:val="Hyperlink"/>
            <w:iCs/>
          </w:rPr>
          <w:t>Schedule 1</w:t>
        </w:r>
      </w:hyperlink>
      <w:r>
        <w:rPr>
          <w:iCs/>
        </w:rPr>
        <w:t>).</w:t>
      </w:r>
    </w:p>
    <w:p w:rsidR="00CC21DD" w:rsidRDefault="00CC21DD" w:rsidP="00CC21DD">
      <w:pPr>
        <w:pStyle w:val="DPSEntryDetail"/>
        <w:rPr>
          <w:iCs/>
        </w:rPr>
      </w:pPr>
      <w:r>
        <w:rPr>
          <w:iCs/>
        </w:rPr>
        <w:t>Debate continued.</w:t>
      </w:r>
    </w:p>
    <w:p w:rsidR="00CC21DD" w:rsidRDefault="00D80C1E" w:rsidP="00CC21DD">
      <w:pPr>
        <w:pStyle w:val="DPSEntryDetail"/>
        <w:rPr>
          <w:iCs/>
        </w:rPr>
      </w:pPr>
      <w:r>
        <w:rPr>
          <w:iCs/>
        </w:rPr>
        <w:t>Amendment</w:t>
      </w:r>
      <w:r w:rsidR="00CC21DD">
        <w:rPr>
          <w:iCs/>
        </w:rPr>
        <w:t xml:space="preserve"> negatived.</w:t>
      </w:r>
    </w:p>
    <w:p w:rsidR="00D80C1E" w:rsidRDefault="00D80C1E" w:rsidP="00CC21DD">
      <w:pPr>
        <w:pStyle w:val="DPSEntryDetail"/>
        <w:rPr>
          <w:iCs/>
        </w:rPr>
      </w:pPr>
      <w:r>
        <w:rPr>
          <w:iCs/>
        </w:rPr>
        <w:t>Clause 6 agreed to.</w:t>
      </w:r>
    </w:p>
    <w:p w:rsidR="00CC21DD" w:rsidRDefault="00CC21DD" w:rsidP="00CC21DD">
      <w:pPr>
        <w:pStyle w:val="DPSEntryDetail"/>
        <w:rPr>
          <w:iCs/>
        </w:rPr>
      </w:pPr>
      <w:r>
        <w:rPr>
          <w:iCs/>
        </w:rPr>
        <w:t>Remainder of Bill, by leave, taken as a whole, and agreed to.</w:t>
      </w:r>
    </w:p>
    <w:p w:rsidR="00D80C1E" w:rsidRPr="00127F6D" w:rsidRDefault="00D80C1E" w:rsidP="00D80C1E">
      <w:pPr>
        <w:pBdr>
          <w:top w:val="thickThinLargeGap" w:sz="18" w:space="1" w:color="auto"/>
        </w:pBdr>
        <w:spacing w:before="180"/>
        <w:ind w:left="3427" w:right="3658"/>
        <w:jc w:val="center"/>
        <w:rPr>
          <w:rFonts w:ascii="Calibri" w:hAnsi="Calibri"/>
          <w:lang w:val="en-AU"/>
        </w:rPr>
      </w:pPr>
    </w:p>
    <w:p w:rsidR="00D80C1E" w:rsidRPr="00127F6D" w:rsidRDefault="00D80C1E" w:rsidP="00D80C1E">
      <w:pPr>
        <w:pStyle w:val="DPSEntryDetail"/>
        <w:spacing w:before="0"/>
      </w:pPr>
      <w:r w:rsidRPr="00127F6D">
        <w:t>Question—That this Bill be agreed to—put and passed.</w:t>
      </w:r>
    </w:p>
    <w:p w:rsidR="00CC21DD" w:rsidRDefault="00CC21DD" w:rsidP="005340A3">
      <w:pPr>
        <w:pStyle w:val="DPSEntryHeading"/>
        <w:keepNext w:val="0"/>
      </w:pPr>
      <w:r>
        <w:tab/>
      </w:r>
      <w:r w:rsidR="008842D7">
        <w:fldChar w:fldCharType="begin"/>
      </w:r>
      <w:r>
        <w:instrText xml:space="preserve"> macrobutton DPSParaNumUpdate </w:instrText>
      </w:r>
      <w:r>
        <w:rPr>
          <w:vanish/>
        </w:rPr>
        <w:instrText>"#",1:</w:instrText>
      </w:r>
      <w:r>
        <w:instrText>12</w:instrText>
      </w:r>
      <w:r w:rsidR="008842D7">
        <w:fldChar w:fldCharType="end"/>
      </w:r>
      <w:r>
        <w:tab/>
        <w:t>QUESTIONS</w:t>
      </w:r>
    </w:p>
    <w:p w:rsidR="00CC21DD" w:rsidRDefault="00CC21DD" w:rsidP="005340A3">
      <w:pPr>
        <w:pStyle w:val="DPSEntryDetail"/>
        <w:spacing w:before="0"/>
      </w:pPr>
      <w:r>
        <w:t>Questions without notice were asked.</w:t>
      </w:r>
    </w:p>
    <w:p w:rsidR="00CC21DD" w:rsidRDefault="00CC21DD" w:rsidP="00AC1F8E">
      <w:pPr>
        <w:pStyle w:val="DPSEntryHeading"/>
      </w:pPr>
      <w:r>
        <w:lastRenderedPageBreak/>
        <w:tab/>
      </w:r>
      <w:r w:rsidR="008842D7">
        <w:fldChar w:fldCharType="begin"/>
      </w:r>
      <w:r>
        <w:instrText xml:space="preserve"> macrobutton DPSParaNumUpdate </w:instrText>
      </w:r>
      <w:r>
        <w:rPr>
          <w:vanish/>
        </w:rPr>
        <w:instrText>"#",1:</w:instrText>
      </w:r>
      <w:r>
        <w:instrText>13</w:instrText>
      </w:r>
      <w:r w:rsidR="008842D7">
        <w:fldChar w:fldCharType="end"/>
      </w:r>
      <w:r>
        <w:tab/>
        <w:t>Questions without Notice—STATEMENT BY MEMBER</w:t>
      </w:r>
    </w:p>
    <w:p w:rsidR="00CC21DD" w:rsidRDefault="00CC21DD" w:rsidP="0015480C">
      <w:pPr>
        <w:pStyle w:val="DPSEntryDetail"/>
        <w:keepNext/>
        <w:keepLines/>
      </w:pPr>
      <w:r>
        <w:t>Mrs Dunne, by leave, made a statement in relation to questions regarding the unauthorised examination of a patient.</w:t>
      </w:r>
    </w:p>
    <w:p w:rsidR="00CC21DD" w:rsidRDefault="00CC21DD" w:rsidP="00AC1F8E">
      <w:pPr>
        <w:pStyle w:val="DPSEntryHeading"/>
      </w:pPr>
      <w:r>
        <w:rPr>
          <w:lang w:val="en-AU"/>
        </w:rPr>
        <w:tab/>
      </w:r>
      <w:r w:rsidR="008842D7">
        <w:rPr>
          <w:lang w:val="en-AU"/>
        </w:rPr>
        <w:fldChar w:fldCharType="begin"/>
      </w:r>
      <w:r>
        <w:rPr>
          <w:lang w:val="en-AU"/>
        </w:rPr>
        <w:instrText xml:space="preserve"> macrobutton DPSParaNumUpdate </w:instrText>
      </w:r>
      <w:r>
        <w:rPr>
          <w:vanish/>
          <w:lang w:val="en-AU"/>
        </w:rPr>
        <w:instrText>"#",1:</w:instrText>
      </w:r>
      <w:r>
        <w:rPr>
          <w:lang w:val="en-AU"/>
        </w:rPr>
        <w:instrText>14</w:instrText>
      </w:r>
      <w:r w:rsidR="008842D7">
        <w:rPr>
          <w:lang w:val="en-AU"/>
        </w:rPr>
        <w:fldChar w:fldCharType="end"/>
      </w:r>
      <w:r>
        <w:rPr>
          <w:lang w:val="en-AU"/>
        </w:rPr>
        <w:tab/>
      </w:r>
      <w:r w:rsidR="00DB154C">
        <w:t>PRESENTATION OF PAPER</w:t>
      </w:r>
    </w:p>
    <w:p w:rsidR="00CC21DD" w:rsidRDefault="00CC21DD" w:rsidP="00CC21DD">
      <w:pPr>
        <w:pStyle w:val="DPSEntryDetail"/>
      </w:pPr>
      <w:r>
        <w:t>The Speaker, pursuant to standing order 191</w:t>
      </w:r>
      <w:r w:rsidR="00DB154C">
        <w:t>, presented the following paper</w:t>
      </w:r>
      <w:r>
        <w:t>:</w:t>
      </w:r>
    </w:p>
    <w:p w:rsidR="00CC21DD" w:rsidRDefault="00CC21DD" w:rsidP="00DB154C">
      <w:pPr>
        <w:pStyle w:val="DPSEntryDetail"/>
      </w:pPr>
      <w:r>
        <w:t>S</w:t>
      </w:r>
      <w:r w:rsidR="00DB154C">
        <w:t xml:space="preserve">tanding order 191—Amendments to the </w:t>
      </w:r>
      <w:r>
        <w:t>Royal Commission Criminal Justice Legislation Amendment Bill, dated 26 March 2019.</w:t>
      </w:r>
    </w:p>
    <w:p w:rsidR="00CC21DD" w:rsidRDefault="00CC21DD" w:rsidP="00AC1F8E">
      <w:pPr>
        <w:pStyle w:val="DPSEntryHeading"/>
      </w:pPr>
      <w:r>
        <w:rPr>
          <w:lang w:val="en-AU"/>
        </w:rPr>
        <w:tab/>
      </w:r>
      <w:r w:rsidR="008842D7">
        <w:rPr>
          <w:lang w:val="en-AU"/>
        </w:rPr>
        <w:fldChar w:fldCharType="begin"/>
      </w:r>
      <w:r>
        <w:rPr>
          <w:lang w:val="en-AU"/>
        </w:rPr>
        <w:instrText xml:space="preserve"> macrobutton DPSParaNumUpdate </w:instrText>
      </w:r>
      <w:r>
        <w:rPr>
          <w:vanish/>
          <w:lang w:val="en-AU"/>
        </w:rPr>
        <w:instrText>"#",1:</w:instrText>
      </w:r>
      <w:r>
        <w:rPr>
          <w:lang w:val="en-AU"/>
        </w:rPr>
        <w:instrText>15</w:instrText>
      </w:r>
      <w:r w:rsidR="008842D7">
        <w:rPr>
          <w:lang w:val="en-AU"/>
        </w:rPr>
        <w:fldChar w:fldCharType="end"/>
      </w:r>
      <w:r>
        <w:rPr>
          <w:lang w:val="en-AU"/>
        </w:rPr>
        <w:tab/>
      </w:r>
      <w:r>
        <w:t>Presentation of papers</w:t>
      </w:r>
    </w:p>
    <w:p w:rsidR="00CC21DD" w:rsidRDefault="00CC21DD" w:rsidP="00CC21DD">
      <w:pPr>
        <w:pStyle w:val="DPSEntryDetail"/>
      </w:pPr>
      <w:r>
        <w:t>Mr Gentleman (Manager of Government Business) presented the following papers:</w:t>
      </w:r>
    </w:p>
    <w:p w:rsidR="00CC21DD" w:rsidRDefault="00CC21DD" w:rsidP="00CC21DD">
      <w:pPr>
        <w:pStyle w:val="DPSEntryDetail"/>
      </w:pPr>
      <w:r w:rsidRPr="00A42488">
        <w:rPr>
          <w:i/>
        </w:rPr>
        <w:t>Road Transport (Third-Party Insurance) Act 2008</w:t>
      </w:r>
      <w:r>
        <w:t>—Section 275 Review, dated 20 March 2019.</w:t>
      </w:r>
    </w:p>
    <w:p w:rsidR="00CC21DD" w:rsidRDefault="00CC21DD" w:rsidP="00CC21DD">
      <w:pPr>
        <w:pStyle w:val="DPSEntryDetail"/>
      </w:pPr>
      <w:r>
        <w:t>Health, Ageing and Community Services—Standing Committee—Report 5—</w:t>
      </w:r>
      <w:r>
        <w:rPr>
          <w:i/>
        </w:rPr>
        <w:t>Inquiry into the Future Sustainability of Health Funding in the ACT</w:t>
      </w:r>
      <w:r>
        <w:t>—Government response, dated 2 April 2019.</w:t>
      </w:r>
    </w:p>
    <w:p w:rsidR="00CC21DD" w:rsidRDefault="00CC21DD" w:rsidP="00CC21DD">
      <w:pPr>
        <w:pStyle w:val="DPSEntryDetail"/>
      </w:pPr>
      <w:r w:rsidRPr="00304F89">
        <w:rPr>
          <w:i/>
        </w:rPr>
        <w:t xml:space="preserve">Health Practitioner Regulation National Law and Other Legislation Amendment Act 2019 </w:t>
      </w:r>
      <w:r w:rsidR="00304F89">
        <w:t>(Queensland), together with an e</w:t>
      </w:r>
      <w:r>
        <w:t xml:space="preserve">xplanatory </w:t>
      </w:r>
      <w:r w:rsidR="00304F89">
        <w:t>s</w:t>
      </w:r>
      <w:r>
        <w:t>tatement, dated 2 April 2019.</w:t>
      </w:r>
    </w:p>
    <w:p w:rsidR="00CC21DD" w:rsidRDefault="00CC21DD" w:rsidP="00DB154C">
      <w:pPr>
        <w:pStyle w:val="DPSEntryDetail"/>
      </w:pPr>
      <w:r w:rsidRPr="005340A3">
        <w:t>Planning and Development Act, pursua</w:t>
      </w:r>
      <w:r w:rsidR="00304F89" w:rsidRPr="005340A3">
        <w:t>nt to subsection 79(1)—Approval—Variation</w:t>
      </w:r>
      <w:r w:rsidRPr="005340A3">
        <w:t xml:space="preserve"> to the Territory Plan</w:t>
      </w:r>
      <w:r w:rsidR="00304F89" w:rsidRPr="005340A3">
        <w:t xml:space="preserve"> </w:t>
      </w:r>
      <w:r w:rsidRPr="005340A3">
        <w:t>No 345—Mawson Group Centre: Zone Changes and amendments to the Mawson precinct map and code, dated</w:t>
      </w:r>
      <w:r w:rsidR="005340A3" w:rsidRPr="005340A3">
        <w:t xml:space="preserve"> 28</w:t>
      </w:r>
      <w:r w:rsidRPr="005340A3">
        <w:t xml:space="preserve"> March 2019</w:t>
      </w:r>
      <w:r w:rsidR="00304F89" w:rsidRPr="005340A3">
        <w:t>, including associated documents</w:t>
      </w:r>
      <w:r w:rsidRPr="005340A3">
        <w:t>.</w:t>
      </w:r>
    </w:p>
    <w:p w:rsidR="00304F89" w:rsidRDefault="00CC21DD" w:rsidP="00304F89">
      <w:pPr>
        <w:pStyle w:val="DPSEntryDetail"/>
      </w:pPr>
      <w:r>
        <w:t>Coroners Act, pursuant to subsection 57(5)—</w:t>
      </w:r>
      <w:r w:rsidR="00304F89">
        <w:t>Report of Coroner—I</w:t>
      </w:r>
      <w:r>
        <w:t>nquest</w:t>
      </w:r>
      <w:r w:rsidR="00304F89">
        <w:t xml:space="preserve"> into the </w:t>
      </w:r>
      <w:r>
        <w:t>death of Tania Klemke</w:t>
      </w:r>
      <w:r w:rsidR="00304F89">
        <w:t>—</w:t>
      </w:r>
    </w:p>
    <w:p w:rsidR="00CC21DD" w:rsidRDefault="00304F89" w:rsidP="00304F89">
      <w:pPr>
        <w:pStyle w:val="DPSEntryDetailIndentLev1"/>
      </w:pPr>
      <w:r>
        <w:t>Report</w:t>
      </w:r>
      <w:r w:rsidR="00CC21DD">
        <w:t>, dated 29 November 2018.</w:t>
      </w:r>
    </w:p>
    <w:p w:rsidR="00CC21DD" w:rsidRDefault="00CC21DD" w:rsidP="00CC21DD">
      <w:pPr>
        <w:pStyle w:val="DPSEntryDetailIndentLev1"/>
      </w:pPr>
      <w:r>
        <w:t>Government response, dated April 2019.</w:t>
      </w:r>
    </w:p>
    <w:p w:rsidR="00CC21DD" w:rsidRDefault="00CC21DD" w:rsidP="00AC1F8E">
      <w:pPr>
        <w:pStyle w:val="DPSEntryHeading"/>
      </w:pPr>
      <w:r>
        <w:rPr>
          <w:lang w:val="en-AU"/>
        </w:rPr>
        <w:tab/>
      </w:r>
      <w:r w:rsidR="008842D7">
        <w:rPr>
          <w:lang w:val="en-AU"/>
        </w:rPr>
        <w:fldChar w:fldCharType="begin"/>
      </w:r>
      <w:r>
        <w:rPr>
          <w:lang w:val="en-AU"/>
        </w:rPr>
        <w:instrText xml:space="preserve"> macrobutton DPSParaNumUpdate </w:instrText>
      </w:r>
      <w:r>
        <w:rPr>
          <w:vanish/>
          <w:lang w:val="en-AU"/>
        </w:rPr>
        <w:instrText>"#",1:</w:instrText>
      </w:r>
      <w:r>
        <w:rPr>
          <w:lang w:val="en-AU"/>
        </w:rPr>
        <w:instrText>16</w:instrText>
      </w:r>
      <w:r w:rsidR="008842D7">
        <w:rPr>
          <w:lang w:val="en-AU"/>
        </w:rPr>
        <w:fldChar w:fldCharType="end"/>
      </w:r>
      <w:r>
        <w:rPr>
          <w:lang w:val="en-AU"/>
        </w:rPr>
        <w:tab/>
      </w:r>
      <w:r>
        <w:t>Road Transport (Third-Party Insurance) Act 2008—Section 275 Review—PAPER NOTED</w:t>
      </w:r>
    </w:p>
    <w:p w:rsidR="00CC21DD" w:rsidRDefault="00CC21DD" w:rsidP="00CC21DD">
      <w:pPr>
        <w:pStyle w:val="DPSEntryDetail"/>
      </w:pPr>
      <w:r>
        <w:t>Mr Gentleman (Manager of Government Business), pursuant to standing order 211, moved—That the Assembly takes note of the following paper:</w:t>
      </w:r>
    </w:p>
    <w:p w:rsidR="00CC21DD" w:rsidRDefault="00CC21DD" w:rsidP="00CC21DD">
      <w:pPr>
        <w:pStyle w:val="DPSEntryDetail"/>
      </w:pPr>
      <w:r w:rsidRPr="00A42488">
        <w:rPr>
          <w:i/>
        </w:rPr>
        <w:t>Road Transport (Third-Party Insurance) Act 2008</w:t>
      </w:r>
      <w:r w:rsidR="002B2689">
        <w:t>—Section 275 Review.</w:t>
      </w:r>
    </w:p>
    <w:p w:rsidR="00CC21DD" w:rsidRDefault="00CC21DD" w:rsidP="00CC21DD">
      <w:pPr>
        <w:pStyle w:val="DPSEntryDetail"/>
      </w:pPr>
      <w:r>
        <w:t>Debate ensued.</w:t>
      </w:r>
    </w:p>
    <w:p w:rsidR="00CC21DD" w:rsidRDefault="00CC21DD" w:rsidP="00CC21DD">
      <w:pPr>
        <w:pStyle w:val="DPSEntryDetail"/>
      </w:pPr>
      <w:r>
        <w:t>Question—put and passed.</w:t>
      </w:r>
    </w:p>
    <w:p w:rsidR="00CC21DD" w:rsidRPr="005340A3" w:rsidRDefault="00CC21DD" w:rsidP="00AC1F8E">
      <w:pPr>
        <w:pStyle w:val="DPSEntryHeading"/>
      </w:pPr>
      <w:r>
        <w:rPr>
          <w:lang w:val="en-AU"/>
        </w:rPr>
        <w:tab/>
      </w:r>
      <w:r w:rsidR="008842D7" w:rsidRPr="005340A3">
        <w:rPr>
          <w:lang w:val="en-AU"/>
        </w:rPr>
        <w:fldChar w:fldCharType="begin"/>
      </w:r>
      <w:r w:rsidRPr="005340A3">
        <w:rPr>
          <w:lang w:val="en-AU"/>
        </w:rPr>
        <w:instrText xml:space="preserve"> macrobutton DPSParaNumUpdate </w:instrText>
      </w:r>
      <w:r w:rsidRPr="005340A3">
        <w:rPr>
          <w:vanish/>
          <w:lang w:val="en-AU"/>
        </w:rPr>
        <w:instrText>"#",1:</w:instrText>
      </w:r>
      <w:r w:rsidRPr="005340A3">
        <w:rPr>
          <w:lang w:val="en-AU"/>
        </w:rPr>
        <w:instrText>17</w:instrText>
      </w:r>
      <w:r w:rsidR="008842D7" w:rsidRPr="005340A3">
        <w:rPr>
          <w:lang w:val="en-AU"/>
        </w:rPr>
        <w:fldChar w:fldCharType="end"/>
      </w:r>
      <w:r w:rsidRPr="005340A3">
        <w:rPr>
          <w:lang w:val="en-AU"/>
        </w:rPr>
        <w:tab/>
      </w:r>
      <w:r w:rsidRPr="005340A3">
        <w:t>Planning and Development Act—</w:t>
      </w:r>
      <w:r w:rsidR="00D13391" w:rsidRPr="005340A3">
        <w:t>Approval—</w:t>
      </w:r>
      <w:r w:rsidRPr="005340A3">
        <w:t>Var</w:t>
      </w:r>
      <w:r w:rsidR="00DB154C" w:rsidRPr="005340A3">
        <w:t>iation to the Territory Plan No </w:t>
      </w:r>
      <w:r w:rsidRPr="005340A3">
        <w:t>345—Mawson Group Centre—Zone Changes and amendments to the Mawson Precinct map and code—Paper noted</w:t>
      </w:r>
    </w:p>
    <w:p w:rsidR="00CC21DD" w:rsidRPr="005340A3" w:rsidRDefault="00CC21DD" w:rsidP="0015480C">
      <w:pPr>
        <w:pStyle w:val="DPSEntryDetail"/>
        <w:keepLines/>
      </w:pPr>
      <w:r w:rsidRPr="005340A3">
        <w:t>Mr Gentleman (Manager of Government Business), pursuant to standing order 211, moved—That the Assembly takes note of the following paper:</w:t>
      </w:r>
    </w:p>
    <w:p w:rsidR="00CC21DD" w:rsidRPr="005340A3" w:rsidRDefault="00CC21DD" w:rsidP="00CC21DD">
      <w:pPr>
        <w:pStyle w:val="DPSEntryDetail"/>
      </w:pPr>
      <w:r w:rsidRPr="005340A3">
        <w:lastRenderedPageBreak/>
        <w:t>Planning and Development Act, pursuant to subsection 79(1)—</w:t>
      </w:r>
      <w:r w:rsidR="00D13391" w:rsidRPr="005340A3">
        <w:t>Approval—</w:t>
      </w:r>
      <w:r w:rsidRPr="005340A3">
        <w:t>Variation to the Territory Plan No 345—</w:t>
      </w:r>
      <w:r w:rsidR="005340A3">
        <w:t>Mawson Group Centre</w:t>
      </w:r>
      <w:r w:rsidR="00D13391" w:rsidRPr="005340A3">
        <w:t xml:space="preserve">: </w:t>
      </w:r>
      <w:r w:rsidRPr="005340A3">
        <w:t>Zone changes and amendments to the Mawson Precinct Map and Code.</w:t>
      </w:r>
    </w:p>
    <w:p w:rsidR="00CC21DD" w:rsidRDefault="00CC21DD" w:rsidP="00CC21DD">
      <w:pPr>
        <w:pStyle w:val="DPSEntryDetail"/>
      </w:pPr>
      <w:r w:rsidRPr="005340A3">
        <w:t>Question—put and passed.</w:t>
      </w:r>
    </w:p>
    <w:p w:rsidR="00CC21DD" w:rsidRDefault="00CC21DD" w:rsidP="00AC1F8E">
      <w:pPr>
        <w:pStyle w:val="DPSEntryHeading"/>
      </w:pPr>
      <w:r>
        <w:rPr>
          <w:lang w:val="en-AU"/>
        </w:rPr>
        <w:tab/>
      </w:r>
      <w:r>
        <w:t>18</w:t>
      </w:r>
      <w:r>
        <w:tab/>
        <w:t>LEAVE OF ABSENCE TO MEMBER</w:t>
      </w:r>
    </w:p>
    <w:p w:rsidR="00CC21DD" w:rsidRDefault="00CC21DD" w:rsidP="00CC21DD">
      <w:pPr>
        <w:pStyle w:val="DPSEntryDetail"/>
      </w:pPr>
      <w:r>
        <w:t>Mr Wall moved—That leave of absence be granted to Mr Parton for this sitting day due to illness.</w:t>
      </w:r>
    </w:p>
    <w:p w:rsidR="00CC21DD" w:rsidRDefault="00CC21DD" w:rsidP="00CC21DD">
      <w:pPr>
        <w:pStyle w:val="DPSEntryDetail"/>
        <w:rPr>
          <w:b/>
        </w:rPr>
      </w:pPr>
      <w:r>
        <w:t>Question—put and passed.</w:t>
      </w:r>
    </w:p>
    <w:p w:rsidR="00CC21DD" w:rsidRDefault="00CC21DD" w:rsidP="00AC1F8E">
      <w:pPr>
        <w:pStyle w:val="DPSEntryHeading"/>
      </w:pPr>
      <w:r>
        <w:tab/>
        <w:t>19</w:t>
      </w:r>
      <w:r>
        <w:tab/>
        <w:t xml:space="preserve">MATTER OF PUBLIC IMPORTANCE—DISCUSSION—preparing the A.C.T. </w:t>
      </w:r>
      <w:r w:rsidR="00650D40">
        <w:t>for more extreme weather events</w:t>
      </w:r>
    </w:p>
    <w:p w:rsidR="00CC21DD" w:rsidRDefault="00CC21DD" w:rsidP="00CC21DD">
      <w:pPr>
        <w:pStyle w:val="DPSEntryDetail"/>
      </w:pPr>
      <w:r>
        <w:t>The Assembly was informed that Miss C. Burch, Ms Cheyne, Ms Cody, Mr Coe (Leader of the Opposition), Ms Le Couteur, Ms Lee, Mr Milligan, Ms Orr, Mr Parton, Mr Pettersson, and Mr Wall had proposed that matters of public importance be submitted to the Assembly for discussion.  In accordance with the provisions of standing order 79, the Speaker had determined th</w:t>
      </w:r>
      <w:r w:rsidR="00650D40">
        <w:t>at the matter proposed by Ms Le </w:t>
      </w:r>
      <w:r>
        <w:t>Couteur be submitted to the Assembly, namely, “The importance of preparing the ACT for more extreme weather events because of climate change”.</w:t>
      </w:r>
    </w:p>
    <w:p w:rsidR="00CC21DD" w:rsidRDefault="00CC21DD" w:rsidP="00CC21DD">
      <w:pPr>
        <w:pStyle w:val="DPSEntryDetail"/>
      </w:pPr>
      <w:r>
        <w:t>Discussion ensued.</w:t>
      </w:r>
    </w:p>
    <w:p w:rsidR="00CC21DD" w:rsidRDefault="00CC21DD" w:rsidP="00CC21DD">
      <w:pPr>
        <w:pStyle w:val="DPSEntryDetail"/>
      </w:pPr>
      <w:r>
        <w:t>Discussion concluded.</w:t>
      </w:r>
    </w:p>
    <w:p w:rsidR="00CC21DD" w:rsidRDefault="00CC21DD" w:rsidP="00AC1F8E">
      <w:pPr>
        <w:pStyle w:val="DPSEntryHeading"/>
      </w:pPr>
      <w:r>
        <w:tab/>
        <w:t>20</w:t>
      </w:r>
      <w:r>
        <w:tab/>
        <w:t>Controlled Sports Bill 2018</w:t>
      </w:r>
    </w:p>
    <w:p w:rsidR="00CC21DD" w:rsidRDefault="00CC21DD" w:rsidP="00CC21DD">
      <w:pPr>
        <w:pStyle w:val="DPSEntryDetail"/>
      </w:pPr>
      <w:r>
        <w:t>The order of the day having been read for the resumption of the debate on the question—That this Bill be agreed to in principle—</w:t>
      </w:r>
    </w:p>
    <w:p w:rsidR="00CC21DD" w:rsidRDefault="00CC21DD" w:rsidP="00CC21DD">
      <w:pPr>
        <w:pStyle w:val="DPSEntryDetail"/>
      </w:pPr>
      <w:r>
        <w:t>Debate resumed.</w:t>
      </w:r>
    </w:p>
    <w:p w:rsidR="00CC21DD" w:rsidRDefault="00650D40" w:rsidP="00CC21DD">
      <w:pPr>
        <w:pStyle w:val="DPSEntryDetail"/>
      </w:pPr>
      <w:r>
        <w:rPr>
          <w:i/>
        </w:rPr>
        <w:t xml:space="preserve">Paper:  </w:t>
      </w:r>
      <w:r w:rsidR="00CC21DD">
        <w:t xml:space="preserve">Ms Berry (Minister for Sport and Recreation) </w:t>
      </w:r>
      <w:r>
        <w:t xml:space="preserve">a revised explanatory statement </w:t>
      </w:r>
      <w:r w:rsidR="00CC21DD">
        <w:t>to the Bill.</w:t>
      </w:r>
    </w:p>
    <w:p w:rsidR="00CC21DD" w:rsidRDefault="00CC21DD" w:rsidP="00CC21DD">
      <w:pPr>
        <w:pStyle w:val="DPSEntryDetail"/>
        <w:rPr>
          <w:iCs/>
        </w:rPr>
      </w:pPr>
      <w:r>
        <w:rPr>
          <w:iCs/>
        </w:rPr>
        <w:t>Question—That this Bill be agreed to in principle—put and passed.</w:t>
      </w:r>
    </w:p>
    <w:p w:rsidR="00CC21DD" w:rsidRDefault="00CC21DD" w:rsidP="00CC21DD">
      <w:pPr>
        <w:pBdr>
          <w:bottom w:val="thinThickLargeGap" w:sz="18" w:space="1" w:color="auto"/>
        </w:pBdr>
        <w:ind w:left="3427" w:right="3658"/>
        <w:jc w:val="center"/>
        <w:rPr>
          <w:rFonts w:ascii="Calibri" w:hAnsi="Calibri"/>
          <w:i/>
          <w:iCs/>
          <w:lang w:val="en-AU"/>
        </w:rPr>
      </w:pPr>
    </w:p>
    <w:p w:rsidR="00CC21DD" w:rsidRDefault="00CC21DD" w:rsidP="00CC21DD">
      <w:pPr>
        <w:tabs>
          <w:tab w:val="left" w:pos="1197"/>
          <w:tab w:val="left" w:pos="1767"/>
        </w:tabs>
        <w:spacing w:before="120"/>
        <w:jc w:val="center"/>
        <w:rPr>
          <w:rFonts w:ascii="Calibri" w:hAnsi="Calibri"/>
          <w:i/>
          <w:iCs/>
          <w:lang w:val="en-AU"/>
        </w:rPr>
      </w:pPr>
      <w:r>
        <w:rPr>
          <w:rFonts w:ascii="Calibri" w:hAnsi="Calibri"/>
          <w:i/>
          <w:iCs/>
          <w:lang w:val="en-AU"/>
        </w:rPr>
        <w:t>Detail Stage</w:t>
      </w:r>
    </w:p>
    <w:p w:rsidR="00CC21DD" w:rsidRDefault="00CC21DD" w:rsidP="00CC21DD">
      <w:pPr>
        <w:pStyle w:val="DPSEntryDetail"/>
        <w:rPr>
          <w:iCs/>
        </w:rPr>
      </w:pPr>
      <w:r>
        <w:rPr>
          <w:iCs/>
        </w:rPr>
        <w:t>Clauses 1 to 8, by leave, taken together and agreed to.</w:t>
      </w:r>
    </w:p>
    <w:p w:rsidR="00CC21DD" w:rsidRDefault="00CC21DD" w:rsidP="00CC21DD">
      <w:pPr>
        <w:pStyle w:val="DPSEntryDetail"/>
        <w:rPr>
          <w:iCs/>
        </w:rPr>
      </w:pPr>
      <w:r>
        <w:rPr>
          <w:iCs/>
        </w:rPr>
        <w:t>Clause 9—</w:t>
      </w:r>
    </w:p>
    <w:p w:rsidR="001A7F06" w:rsidRDefault="00D80C1E" w:rsidP="00CC21DD">
      <w:pPr>
        <w:pStyle w:val="DPSEntryDetail"/>
        <w:rPr>
          <w:iCs/>
        </w:rPr>
      </w:pPr>
      <w:r>
        <w:rPr>
          <w:iCs/>
        </w:rPr>
        <w:t xml:space="preserve">On the motion of </w:t>
      </w:r>
      <w:r w:rsidR="00CC21DD">
        <w:rPr>
          <w:iCs/>
        </w:rPr>
        <w:t>Ms Berry</w:t>
      </w:r>
      <w:r>
        <w:rPr>
          <w:iCs/>
        </w:rPr>
        <w:t>,</w:t>
      </w:r>
      <w:r w:rsidR="00CC21DD">
        <w:rPr>
          <w:iCs/>
        </w:rPr>
        <w:t xml:space="preserve"> her amendment No 1 (</w:t>
      </w:r>
      <w:r w:rsidR="00CC21DD">
        <w:rPr>
          <w:i/>
          <w:iCs/>
        </w:rPr>
        <w:t>see</w:t>
      </w:r>
      <w:r w:rsidR="00CC21DD">
        <w:rPr>
          <w:iCs/>
        </w:rPr>
        <w:t xml:space="preserve"> </w:t>
      </w:r>
      <w:hyperlink r:id="rId13" w:anchor="Schedule2" w:history="1">
        <w:r w:rsidR="00CC21DD">
          <w:rPr>
            <w:rStyle w:val="Hyperlink"/>
            <w:iCs/>
          </w:rPr>
          <w:t>Schedule</w:t>
        </w:r>
        <w:r w:rsidR="00CC21DD">
          <w:rPr>
            <w:rStyle w:val="Hyperlink"/>
          </w:rPr>
          <w:t xml:space="preserve"> 2</w:t>
        </w:r>
      </w:hyperlink>
      <w:r w:rsidR="00CC21DD">
        <w:rPr>
          <w:iCs/>
        </w:rPr>
        <w:t>)</w:t>
      </w:r>
      <w:r w:rsidR="001A7F06">
        <w:rPr>
          <w:iCs/>
        </w:rPr>
        <w:t xml:space="preserve"> was made.</w:t>
      </w:r>
    </w:p>
    <w:p w:rsidR="00CC21DD" w:rsidRDefault="001A7F06" w:rsidP="00AC1F8E">
      <w:pPr>
        <w:pStyle w:val="DPSEntryDetail"/>
        <w:keepNext/>
        <w:rPr>
          <w:iCs/>
        </w:rPr>
      </w:pPr>
      <w:r>
        <w:rPr>
          <w:i/>
          <w:iCs/>
        </w:rPr>
        <w:t xml:space="preserve">Paper:  </w:t>
      </w:r>
      <w:r>
        <w:rPr>
          <w:iCs/>
        </w:rPr>
        <w:t xml:space="preserve">Ms Berry presented a </w:t>
      </w:r>
      <w:r w:rsidR="00CC21DD">
        <w:rPr>
          <w:iCs/>
        </w:rPr>
        <w:t>supplementary explanatory statement</w:t>
      </w:r>
      <w:r>
        <w:rPr>
          <w:iCs/>
        </w:rPr>
        <w:t xml:space="preserve"> to the Government amendments</w:t>
      </w:r>
      <w:r w:rsidR="00CC21DD">
        <w:rPr>
          <w:iCs/>
        </w:rPr>
        <w:t>.</w:t>
      </w:r>
    </w:p>
    <w:p w:rsidR="00CC21DD" w:rsidRDefault="00CC21DD" w:rsidP="00CC21DD">
      <w:pPr>
        <w:pStyle w:val="DPSEntryDetail"/>
        <w:rPr>
          <w:iCs/>
        </w:rPr>
      </w:pPr>
      <w:r>
        <w:rPr>
          <w:iCs/>
        </w:rPr>
        <w:t>Clause 9, as amended, agreed to.</w:t>
      </w:r>
    </w:p>
    <w:p w:rsidR="00CC21DD" w:rsidRDefault="00CC21DD" w:rsidP="00AC1F8E">
      <w:pPr>
        <w:pStyle w:val="DPSEntryDetail"/>
        <w:rPr>
          <w:iCs/>
        </w:rPr>
      </w:pPr>
      <w:r>
        <w:rPr>
          <w:iCs/>
        </w:rPr>
        <w:t>Clause 10—</w:t>
      </w:r>
    </w:p>
    <w:p w:rsidR="00CC21DD" w:rsidRDefault="00CC21DD" w:rsidP="00AC1F8E">
      <w:pPr>
        <w:pStyle w:val="DPSEntryDetail"/>
        <w:rPr>
          <w:iCs/>
        </w:rPr>
      </w:pPr>
      <w:r>
        <w:rPr>
          <w:iCs/>
        </w:rPr>
        <w:t>Mr Milligan moved his amendment No 2 (</w:t>
      </w:r>
      <w:r>
        <w:rPr>
          <w:i/>
          <w:iCs/>
        </w:rPr>
        <w:t>see</w:t>
      </w:r>
      <w:r>
        <w:rPr>
          <w:iCs/>
        </w:rPr>
        <w:t xml:space="preserve"> </w:t>
      </w:r>
      <w:hyperlink r:id="rId14" w:anchor="Schedule3" w:history="1">
        <w:r>
          <w:rPr>
            <w:rStyle w:val="Hyperlink"/>
            <w:iCs/>
          </w:rPr>
          <w:t>Schedule 3</w:t>
        </w:r>
      </w:hyperlink>
      <w:r>
        <w:rPr>
          <w:iCs/>
        </w:rPr>
        <w:t>).</w:t>
      </w:r>
    </w:p>
    <w:p w:rsidR="00CC21DD" w:rsidRDefault="00CC21DD" w:rsidP="00B82E97">
      <w:pPr>
        <w:pStyle w:val="DPSEntryDetail"/>
        <w:keepNext/>
        <w:rPr>
          <w:iCs/>
        </w:rPr>
      </w:pPr>
      <w:r>
        <w:rPr>
          <w:iCs/>
        </w:rPr>
        <w:lastRenderedPageBreak/>
        <w:t xml:space="preserve">Debate </w:t>
      </w:r>
      <w:r w:rsidR="001A7F06">
        <w:rPr>
          <w:iCs/>
        </w:rPr>
        <w:t>continued</w:t>
      </w:r>
      <w:r>
        <w:rPr>
          <w:iCs/>
        </w:rPr>
        <w:t>.</w:t>
      </w:r>
    </w:p>
    <w:p w:rsidR="00CC21DD" w:rsidRDefault="00CC21DD" w:rsidP="00CC21DD">
      <w:pPr>
        <w:pStyle w:val="DIVIntro"/>
      </w:pPr>
      <w:r>
        <w:t>Question—put.</w:t>
      </w:r>
    </w:p>
    <w:p w:rsidR="00CC21DD" w:rsidRDefault="00CC21DD" w:rsidP="005340A3">
      <w:pPr>
        <w:pStyle w:val="DIVIntroA"/>
      </w:pPr>
      <w:r>
        <w:t>The Assembly voted—</w:t>
      </w:r>
    </w:p>
    <w:tbl>
      <w:tblPr>
        <w:tblW w:w="8790" w:type="dxa"/>
        <w:tblInd w:w="720" w:type="dxa"/>
        <w:tblLayout w:type="fixed"/>
        <w:tblCellMar>
          <w:left w:w="56" w:type="dxa"/>
          <w:right w:w="56" w:type="dxa"/>
        </w:tblCellMar>
        <w:tblLook w:val="04A0"/>
      </w:tblPr>
      <w:tblGrid>
        <w:gridCol w:w="2042"/>
        <w:gridCol w:w="2042"/>
        <w:gridCol w:w="624"/>
        <w:gridCol w:w="2041"/>
        <w:gridCol w:w="2041"/>
      </w:tblGrid>
      <w:tr w:rsidR="00CC21DD" w:rsidTr="00CC21DD">
        <w:trPr>
          <w:trHeight w:val="240"/>
        </w:trPr>
        <w:tc>
          <w:tcPr>
            <w:tcW w:w="4082" w:type="dxa"/>
            <w:gridSpan w:val="2"/>
            <w:hideMark/>
          </w:tcPr>
          <w:p w:rsidR="00CC21DD" w:rsidRDefault="00CC21DD" w:rsidP="00E81A31">
            <w:pPr>
              <w:pStyle w:val="DIVName"/>
              <w:keepNext/>
              <w:keepLines/>
              <w:tabs>
                <w:tab w:val="center" w:pos="1644"/>
              </w:tabs>
            </w:pPr>
            <w:r>
              <w:tab/>
              <w:t>AYES, 9</w:t>
            </w:r>
          </w:p>
        </w:tc>
        <w:tc>
          <w:tcPr>
            <w:tcW w:w="624" w:type="dxa"/>
          </w:tcPr>
          <w:p w:rsidR="00CC21DD" w:rsidRDefault="00CC21DD" w:rsidP="00E81A31">
            <w:pPr>
              <w:pStyle w:val="DIVName"/>
              <w:keepNext/>
              <w:keepLines/>
            </w:pPr>
          </w:p>
        </w:tc>
        <w:tc>
          <w:tcPr>
            <w:tcW w:w="4082" w:type="dxa"/>
            <w:gridSpan w:val="2"/>
            <w:hideMark/>
          </w:tcPr>
          <w:p w:rsidR="00CC21DD" w:rsidRDefault="00CC21DD" w:rsidP="00E81A31">
            <w:pPr>
              <w:pStyle w:val="DIVName"/>
              <w:keepNext/>
              <w:keepLines/>
              <w:tabs>
                <w:tab w:val="center" w:pos="1644"/>
              </w:tabs>
            </w:pPr>
            <w:r>
              <w:tab/>
              <w:t>NOES, 12</w:t>
            </w:r>
          </w:p>
        </w:tc>
      </w:tr>
      <w:tr w:rsidR="00CC21DD" w:rsidTr="00CC21DD">
        <w:trPr>
          <w:trHeight w:val="240"/>
        </w:trPr>
        <w:tc>
          <w:tcPr>
            <w:tcW w:w="2041" w:type="dxa"/>
            <w:hideMark/>
          </w:tcPr>
          <w:p w:rsidR="00CC21DD" w:rsidRDefault="00CC21DD" w:rsidP="00E81A31">
            <w:pPr>
              <w:pStyle w:val="DIVName"/>
              <w:keepNext/>
              <w:keepLines/>
            </w:pPr>
            <w:r>
              <w:t>Miss C. Burch</w:t>
            </w:r>
          </w:p>
        </w:tc>
        <w:tc>
          <w:tcPr>
            <w:tcW w:w="2041" w:type="dxa"/>
            <w:hideMark/>
          </w:tcPr>
          <w:p w:rsidR="00CC21DD" w:rsidRDefault="00CC21DD" w:rsidP="00E81A31">
            <w:pPr>
              <w:pStyle w:val="DIVName"/>
              <w:keepNext/>
              <w:keepLines/>
            </w:pPr>
            <w:r>
              <w:t>Ms Lawder</w:t>
            </w:r>
          </w:p>
        </w:tc>
        <w:tc>
          <w:tcPr>
            <w:tcW w:w="624" w:type="dxa"/>
          </w:tcPr>
          <w:p w:rsidR="00CC21DD" w:rsidRDefault="00CC21DD" w:rsidP="00E81A31">
            <w:pPr>
              <w:pStyle w:val="DIVName"/>
              <w:keepNext/>
              <w:keepLines/>
            </w:pPr>
          </w:p>
        </w:tc>
        <w:tc>
          <w:tcPr>
            <w:tcW w:w="2041" w:type="dxa"/>
            <w:hideMark/>
          </w:tcPr>
          <w:p w:rsidR="00CC21DD" w:rsidRDefault="00CC21DD" w:rsidP="00E81A31">
            <w:pPr>
              <w:pStyle w:val="DIVName"/>
              <w:keepNext/>
              <w:keepLines/>
            </w:pPr>
            <w:r>
              <w:t>Ms Berry</w:t>
            </w:r>
          </w:p>
        </w:tc>
        <w:tc>
          <w:tcPr>
            <w:tcW w:w="2041" w:type="dxa"/>
            <w:hideMark/>
          </w:tcPr>
          <w:p w:rsidR="00CC21DD" w:rsidRDefault="00CC21DD" w:rsidP="00E81A31">
            <w:pPr>
              <w:pStyle w:val="DIVName"/>
              <w:keepNext/>
              <w:keepLines/>
            </w:pPr>
            <w:r>
              <w:t>Ms Orr</w:t>
            </w:r>
          </w:p>
        </w:tc>
      </w:tr>
      <w:tr w:rsidR="00CC21DD" w:rsidTr="00CC21DD">
        <w:trPr>
          <w:trHeight w:val="240"/>
        </w:trPr>
        <w:tc>
          <w:tcPr>
            <w:tcW w:w="2041" w:type="dxa"/>
            <w:hideMark/>
          </w:tcPr>
          <w:p w:rsidR="00CC21DD" w:rsidRDefault="00CC21DD">
            <w:pPr>
              <w:pStyle w:val="DIVName"/>
            </w:pPr>
            <w:r>
              <w:t>Mr Coe</w:t>
            </w:r>
          </w:p>
        </w:tc>
        <w:tc>
          <w:tcPr>
            <w:tcW w:w="2041" w:type="dxa"/>
            <w:hideMark/>
          </w:tcPr>
          <w:p w:rsidR="00CC21DD" w:rsidRDefault="00CC21DD">
            <w:pPr>
              <w:pStyle w:val="DIVName"/>
            </w:pPr>
            <w:r>
              <w:t>Mr Milligan</w:t>
            </w:r>
          </w:p>
        </w:tc>
        <w:tc>
          <w:tcPr>
            <w:tcW w:w="624" w:type="dxa"/>
          </w:tcPr>
          <w:p w:rsidR="00CC21DD" w:rsidRDefault="00CC21DD">
            <w:pPr>
              <w:pStyle w:val="DIVName"/>
            </w:pPr>
          </w:p>
        </w:tc>
        <w:tc>
          <w:tcPr>
            <w:tcW w:w="2041" w:type="dxa"/>
            <w:hideMark/>
          </w:tcPr>
          <w:p w:rsidR="00CC21DD" w:rsidRDefault="00CC21DD">
            <w:pPr>
              <w:pStyle w:val="DIVName"/>
            </w:pPr>
            <w:r>
              <w:t>Ms J. Burch</w:t>
            </w:r>
          </w:p>
        </w:tc>
        <w:tc>
          <w:tcPr>
            <w:tcW w:w="2041" w:type="dxa"/>
            <w:hideMark/>
          </w:tcPr>
          <w:p w:rsidR="00CC21DD" w:rsidRDefault="00CC21DD">
            <w:pPr>
              <w:pStyle w:val="DIVName"/>
            </w:pPr>
            <w:r>
              <w:t>Mr Pettersson</w:t>
            </w:r>
          </w:p>
        </w:tc>
      </w:tr>
      <w:tr w:rsidR="00CC21DD" w:rsidTr="00CC21DD">
        <w:trPr>
          <w:trHeight w:val="240"/>
        </w:trPr>
        <w:tc>
          <w:tcPr>
            <w:tcW w:w="2041" w:type="dxa"/>
            <w:hideMark/>
          </w:tcPr>
          <w:p w:rsidR="00CC21DD" w:rsidRDefault="00CC21DD">
            <w:pPr>
              <w:pStyle w:val="DIVName"/>
            </w:pPr>
            <w:r>
              <w:t>Mrs Dunne</w:t>
            </w:r>
          </w:p>
        </w:tc>
        <w:tc>
          <w:tcPr>
            <w:tcW w:w="2041" w:type="dxa"/>
            <w:hideMark/>
          </w:tcPr>
          <w:p w:rsidR="00CC21DD" w:rsidRDefault="00CC21DD">
            <w:pPr>
              <w:pStyle w:val="DIVName"/>
            </w:pPr>
            <w:r>
              <w:t>Mr Wall</w:t>
            </w:r>
          </w:p>
        </w:tc>
        <w:tc>
          <w:tcPr>
            <w:tcW w:w="624" w:type="dxa"/>
          </w:tcPr>
          <w:p w:rsidR="00CC21DD" w:rsidRDefault="00CC21DD">
            <w:pPr>
              <w:pStyle w:val="DIVName"/>
            </w:pPr>
          </w:p>
        </w:tc>
        <w:tc>
          <w:tcPr>
            <w:tcW w:w="2041" w:type="dxa"/>
            <w:hideMark/>
          </w:tcPr>
          <w:p w:rsidR="00CC21DD" w:rsidRDefault="00CC21DD">
            <w:pPr>
              <w:pStyle w:val="DIVName"/>
            </w:pPr>
            <w:r>
              <w:t>Ms Cheyne</w:t>
            </w:r>
          </w:p>
        </w:tc>
        <w:tc>
          <w:tcPr>
            <w:tcW w:w="2041" w:type="dxa"/>
            <w:hideMark/>
          </w:tcPr>
          <w:p w:rsidR="00CC21DD" w:rsidRDefault="00CC21DD">
            <w:pPr>
              <w:pStyle w:val="DIVName"/>
            </w:pPr>
            <w:r>
              <w:t>Mr Ramsay</w:t>
            </w:r>
          </w:p>
        </w:tc>
      </w:tr>
      <w:tr w:rsidR="00CC21DD" w:rsidTr="00CC21DD">
        <w:trPr>
          <w:trHeight w:val="240"/>
        </w:trPr>
        <w:tc>
          <w:tcPr>
            <w:tcW w:w="2041" w:type="dxa"/>
            <w:hideMark/>
          </w:tcPr>
          <w:p w:rsidR="00CC21DD" w:rsidRDefault="00CC21DD">
            <w:pPr>
              <w:pStyle w:val="DIVName"/>
            </w:pPr>
            <w:r>
              <w:t>Mr Hanson</w:t>
            </w:r>
          </w:p>
        </w:tc>
        <w:tc>
          <w:tcPr>
            <w:tcW w:w="2041" w:type="dxa"/>
          </w:tcPr>
          <w:p w:rsidR="00CC21DD" w:rsidRDefault="00CC21DD">
            <w:pPr>
              <w:pStyle w:val="DIVName"/>
            </w:pPr>
          </w:p>
        </w:tc>
        <w:tc>
          <w:tcPr>
            <w:tcW w:w="624" w:type="dxa"/>
          </w:tcPr>
          <w:p w:rsidR="00CC21DD" w:rsidRDefault="00CC21DD">
            <w:pPr>
              <w:pStyle w:val="DIVName"/>
            </w:pPr>
          </w:p>
        </w:tc>
        <w:tc>
          <w:tcPr>
            <w:tcW w:w="2041" w:type="dxa"/>
            <w:hideMark/>
          </w:tcPr>
          <w:p w:rsidR="00CC21DD" w:rsidRDefault="00CC21DD">
            <w:pPr>
              <w:pStyle w:val="DIVName"/>
            </w:pPr>
            <w:r>
              <w:t>Ms Cody</w:t>
            </w:r>
          </w:p>
        </w:tc>
        <w:tc>
          <w:tcPr>
            <w:tcW w:w="2041" w:type="dxa"/>
            <w:hideMark/>
          </w:tcPr>
          <w:p w:rsidR="00CC21DD" w:rsidRDefault="00CC21DD">
            <w:pPr>
              <w:pStyle w:val="DIVName"/>
            </w:pPr>
            <w:r>
              <w:t>Mr Rattenbury</w:t>
            </w:r>
          </w:p>
        </w:tc>
      </w:tr>
      <w:tr w:rsidR="00CC21DD" w:rsidTr="00CC21DD">
        <w:trPr>
          <w:trHeight w:val="240"/>
        </w:trPr>
        <w:tc>
          <w:tcPr>
            <w:tcW w:w="2041" w:type="dxa"/>
            <w:hideMark/>
          </w:tcPr>
          <w:p w:rsidR="00CC21DD" w:rsidRDefault="00CC21DD">
            <w:pPr>
              <w:pStyle w:val="DIVName"/>
            </w:pPr>
            <w:r>
              <w:t>Mrs Jones</w:t>
            </w:r>
          </w:p>
        </w:tc>
        <w:tc>
          <w:tcPr>
            <w:tcW w:w="2041" w:type="dxa"/>
          </w:tcPr>
          <w:p w:rsidR="00CC21DD" w:rsidRDefault="00CC21DD">
            <w:pPr>
              <w:pStyle w:val="DIVName"/>
            </w:pPr>
          </w:p>
        </w:tc>
        <w:tc>
          <w:tcPr>
            <w:tcW w:w="624" w:type="dxa"/>
          </w:tcPr>
          <w:p w:rsidR="00CC21DD" w:rsidRDefault="00CC21DD">
            <w:pPr>
              <w:pStyle w:val="DIVName"/>
            </w:pPr>
          </w:p>
        </w:tc>
        <w:tc>
          <w:tcPr>
            <w:tcW w:w="2041" w:type="dxa"/>
            <w:hideMark/>
          </w:tcPr>
          <w:p w:rsidR="00CC21DD" w:rsidRDefault="00CC21DD">
            <w:pPr>
              <w:pStyle w:val="DIVName"/>
            </w:pPr>
            <w:r>
              <w:t>Mr Gentleman</w:t>
            </w:r>
          </w:p>
        </w:tc>
        <w:tc>
          <w:tcPr>
            <w:tcW w:w="2041" w:type="dxa"/>
            <w:hideMark/>
          </w:tcPr>
          <w:p w:rsidR="00CC21DD" w:rsidRDefault="00CC21DD">
            <w:pPr>
              <w:pStyle w:val="DIVName"/>
            </w:pPr>
            <w:r>
              <w:t>Mr Steel</w:t>
            </w:r>
          </w:p>
        </w:tc>
      </w:tr>
      <w:tr w:rsidR="00CC21DD" w:rsidTr="00CC21DD">
        <w:trPr>
          <w:trHeight w:val="240"/>
        </w:trPr>
        <w:tc>
          <w:tcPr>
            <w:tcW w:w="2041" w:type="dxa"/>
            <w:hideMark/>
          </w:tcPr>
          <w:p w:rsidR="00CC21DD" w:rsidRDefault="00CC21DD">
            <w:pPr>
              <w:pStyle w:val="DIVName"/>
            </w:pPr>
            <w:r>
              <w:t>Mrs Kikkert</w:t>
            </w:r>
          </w:p>
        </w:tc>
        <w:tc>
          <w:tcPr>
            <w:tcW w:w="2041" w:type="dxa"/>
          </w:tcPr>
          <w:p w:rsidR="00CC21DD" w:rsidRDefault="00CC21DD">
            <w:pPr>
              <w:pStyle w:val="DIVName"/>
            </w:pPr>
          </w:p>
        </w:tc>
        <w:tc>
          <w:tcPr>
            <w:tcW w:w="624" w:type="dxa"/>
          </w:tcPr>
          <w:p w:rsidR="00CC21DD" w:rsidRDefault="00CC21DD">
            <w:pPr>
              <w:pStyle w:val="DIVName"/>
            </w:pPr>
          </w:p>
        </w:tc>
        <w:tc>
          <w:tcPr>
            <w:tcW w:w="2041" w:type="dxa"/>
            <w:hideMark/>
          </w:tcPr>
          <w:p w:rsidR="00CC21DD" w:rsidRDefault="00CC21DD">
            <w:pPr>
              <w:pStyle w:val="DIVName"/>
            </w:pPr>
            <w:r>
              <w:t>Ms Le Couteur</w:t>
            </w:r>
          </w:p>
        </w:tc>
        <w:tc>
          <w:tcPr>
            <w:tcW w:w="2041" w:type="dxa"/>
            <w:hideMark/>
          </w:tcPr>
          <w:p w:rsidR="00CC21DD" w:rsidRDefault="00CC21DD">
            <w:pPr>
              <w:pStyle w:val="DIVName"/>
            </w:pPr>
            <w:r>
              <w:t>Ms Stephen-Smith</w:t>
            </w:r>
          </w:p>
        </w:tc>
      </w:tr>
    </w:tbl>
    <w:p w:rsidR="00CC21DD" w:rsidRDefault="00CC21DD" w:rsidP="00CC21DD">
      <w:pPr>
        <w:pStyle w:val="DIVResult"/>
      </w:pPr>
      <w:r>
        <w:t>And so it was negatived.</w:t>
      </w:r>
    </w:p>
    <w:p w:rsidR="00CC21DD" w:rsidRDefault="00CC21DD" w:rsidP="00CC21DD">
      <w:pPr>
        <w:pStyle w:val="DPSEntryDetail"/>
        <w:rPr>
          <w:iCs/>
        </w:rPr>
      </w:pPr>
      <w:r>
        <w:rPr>
          <w:iCs/>
        </w:rPr>
        <w:t>Clause 10 agreed to.</w:t>
      </w:r>
    </w:p>
    <w:p w:rsidR="00CC21DD" w:rsidRDefault="00CC21DD" w:rsidP="00CC21DD">
      <w:pPr>
        <w:pStyle w:val="DPSEntryDetail"/>
        <w:rPr>
          <w:iCs/>
        </w:rPr>
      </w:pPr>
      <w:r>
        <w:rPr>
          <w:iCs/>
        </w:rPr>
        <w:t>Clauses 11 to 17, by leave, taken together and agreed to.</w:t>
      </w:r>
    </w:p>
    <w:p w:rsidR="00CC21DD" w:rsidRDefault="00CC21DD" w:rsidP="00CC21DD">
      <w:pPr>
        <w:pStyle w:val="DPSEntryDetail"/>
        <w:rPr>
          <w:iCs/>
        </w:rPr>
      </w:pPr>
      <w:r>
        <w:rPr>
          <w:iCs/>
        </w:rPr>
        <w:t>Clause 18—</w:t>
      </w:r>
    </w:p>
    <w:p w:rsidR="00CC21DD" w:rsidRDefault="00CC21DD" w:rsidP="00CC21DD">
      <w:pPr>
        <w:pStyle w:val="DPSEntryDetail"/>
        <w:rPr>
          <w:iCs/>
        </w:rPr>
      </w:pPr>
      <w:r>
        <w:rPr>
          <w:iCs/>
        </w:rPr>
        <w:t>On the motion of Ms Berry, her amendment No 2 (</w:t>
      </w:r>
      <w:r>
        <w:rPr>
          <w:i/>
          <w:iCs/>
        </w:rPr>
        <w:t>see</w:t>
      </w:r>
      <w:r>
        <w:rPr>
          <w:iCs/>
        </w:rPr>
        <w:t xml:space="preserve"> </w:t>
      </w:r>
      <w:hyperlink r:id="rId15" w:anchor="Schedule2" w:history="1">
        <w:r>
          <w:rPr>
            <w:rStyle w:val="Hyperlink"/>
            <w:iCs/>
          </w:rPr>
          <w:t>Schedule 2</w:t>
        </w:r>
      </w:hyperlink>
      <w:r>
        <w:rPr>
          <w:iCs/>
        </w:rPr>
        <w:t>) was made</w:t>
      </w:r>
      <w:r w:rsidR="001A7F06">
        <w:rPr>
          <w:iCs/>
        </w:rPr>
        <w:t>,</w:t>
      </w:r>
      <w:r>
        <w:rPr>
          <w:iCs/>
        </w:rPr>
        <w:t xml:space="preserve"> after debate.</w:t>
      </w:r>
    </w:p>
    <w:p w:rsidR="00CC21DD" w:rsidRDefault="00CC21DD" w:rsidP="00CC21DD">
      <w:pPr>
        <w:pStyle w:val="DPSEntryDetail"/>
        <w:rPr>
          <w:iCs/>
        </w:rPr>
      </w:pPr>
      <w:r>
        <w:rPr>
          <w:iCs/>
        </w:rPr>
        <w:t>Clause 18, as amended, agreed to.</w:t>
      </w:r>
    </w:p>
    <w:p w:rsidR="00CC21DD" w:rsidRDefault="00CC21DD" w:rsidP="00CC21DD">
      <w:pPr>
        <w:pStyle w:val="DPSEntryDetail"/>
        <w:rPr>
          <w:iCs/>
        </w:rPr>
      </w:pPr>
      <w:r>
        <w:rPr>
          <w:iCs/>
        </w:rPr>
        <w:t>Clauses 19 to 21, by leave, taken together and agreed to.</w:t>
      </w:r>
    </w:p>
    <w:p w:rsidR="00CC21DD" w:rsidRDefault="00CC21DD" w:rsidP="00CC21DD">
      <w:pPr>
        <w:pStyle w:val="DPSEntryDetail"/>
        <w:rPr>
          <w:iCs/>
        </w:rPr>
      </w:pPr>
      <w:r>
        <w:rPr>
          <w:iCs/>
        </w:rPr>
        <w:t>Clause 22—</w:t>
      </w:r>
    </w:p>
    <w:p w:rsidR="00CC21DD" w:rsidRDefault="00CC21DD" w:rsidP="00CC21DD">
      <w:pPr>
        <w:pStyle w:val="DPSEntryDetail"/>
        <w:rPr>
          <w:iCs/>
        </w:rPr>
      </w:pPr>
      <w:r>
        <w:rPr>
          <w:iCs/>
        </w:rPr>
        <w:t>On the motion of Ms Berry, her amendment No 3 (</w:t>
      </w:r>
      <w:r>
        <w:rPr>
          <w:i/>
          <w:iCs/>
        </w:rPr>
        <w:t>see</w:t>
      </w:r>
      <w:r>
        <w:rPr>
          <w:iCs/>
        </w:rPr>
        <w:t xml:space="preserve"> </w:t>
      </w:r>
      <w:hyperlink r:id="rId16" w:anchor="Schedule2" w:history="1">
        <w:r>
          <w:rPr>
            <w:rStyle w:val="Hyperlink"/>
            <w:iCs/>
          </w:rPr>
          <w:t>Schedule 2</w:t>
        </w:r>
      </w:hyperlink>
      <w:r>
        <w:rPr>
          <w:iCs/>
        </w:rPr>
        <w:t>) was made</w:t>
      </w:r>
      <w:r w:rsidR="001A7F06">
        <w:rPr>
          <w:iCs/>
        </w:rPr>
        <w:t>,</w:t>
      </w:r>
      <w:r>
        <w:rPr>
          <w:iCs/>
        </w:rPr>
        <w:t xml:space="preserve"> after debate.</w:t>
      </w:r>
    </w:p>
    <w:p w:rsidR="00CC21DD" w:rsidRDefault="00CC21DD" w:rsidP="00CC21DD">
      <w:pPr>
        <w:pStyle w:val="DPSEntryDetail"/>
        <w:rPr>
          <w:iCs/>
        </w:rPr>
      </w:pPr>
      <w:r>
        <w:rPr>
          <w:iCs/>
        </w:rPr>
        <w:t>Clause 22, as amended, agreed to.</w:t>
      </w:r>
    </w:p>
    <w:p w:rsidR="00CC21DD" w:rsidRDefault="00CC21DD" w:rsidP="00CC21DD">
      <w:pPr>
        <w:pStyle w:val="DPSEntryDetail"/>
        <w:rPr>
          <w:iCs/>
        </w:rPr>
      </w:pPr>
      <w:r>
        <w:rPr>
          <w:iCs/>
        </w:rPr>
        <w:t>Clause 23—</w:t>
      </w:r>
    </w:p>
    <w:p w:rsidR="00CC21DD" w:rsidRDefault="00CC21DD" w:rsidP="00CC21DD">
      <w:pPr>
        <w:pStyle w:val="DPSEntryDetail"/>
        <w:rPr>
          <w:iCs/>
        </w:rPr>
      </w:pPr>
      <w:r>
        <w:rPr>
          <w:iCs/>
        </w:rPr>
        <w:t>On the motion of Mr Milligan, his amendment No 7 (</w:t>
      </w:r>
      <w:r>
        <w:rPr>
          <w:i/>
          <w:iCs/>
        </w:rPr>
        <w:t>see</w:t>
      </w:r>
      <w:r>
        <w:rPr>
          <w:iCs/>
        </w:rPr>
        <w:t xml:space="preserve"> </w:t>
      </w:r>
      <w:hyperlink r:id="rId17" w:anchor="Schedule3" w:history="1">
        <w:r>
          <w:rPr>
            <w:rStyle w:val="Hyperlink"/>
            <w:iCs/>
          </w:rPr>
          <w:t>Schedule 3</w:t>
        </w:r>
      </w:hyperlink>
      <w:r>
        <w:rPr>
          <w:iCs/>
        </w:rPr>
        <w:t>) was made.</w:t>
      </w:r>
    </w:p>
    <w:p w:rsidR="00CC21DD" w:rsidRDefault="00CC21DD" w:rsidP="00CC21DD">
      <w:pPr>
        <w:pStyle w:val="DPSEntryDetail"/>
        <w:rPr>
          <w:iCs/>
        </w:rPr>
      </w:pPr>
      <w:r>
        <w:rPr>
          <w:iCs/>
        </w:rPr>
        <w:t>Clause 23, as amended, agreed to.</w:t>
      </w:r>
    </w:p>
    <w:p w:rsidR="00CC21DD" w:rsidRDefault="00CC21DD" w:rsidP="00CC21DD">
      <w:pPr>
        <w:pStyle w:val="DPSEntryDetail"/>
        <w:rPr>
          <w:iCs/>
        </w:rPr>
      </w:pPr>
      <w:r>
        <w:rPr>
          <w:iCs/>
        </w:rPr>
        <w:t>Clauses 24 to 26, by leave, taken together and agreed to.</w:t>
      </w:r>
    </w:p>
    <w:p w:rsidR="00CC21DD" w:rsidRDefault="00CC21DD" w:rsidP="00CC21DD">
      <w:pPr>
        <w:pStyle w:val="DPSEntryDetail"/>
        <w:rPr>
          <w:iCs/>
        </w:rPr>
      </w:pPr>
      <w:r>
        <w:rPr>
          <w:iCs/>
        </w:rPr>
        <w:t>Clause 27—</w:t>
      </w:r>
    </w:p>
    <w:p w:rsidR="00CC21DD" w:rsidRDefault="00CC21DD" w:rsidP="00CC21DD">
      <w:pPr>
        <w:pStyle w:val="DPSEntryDetail"/>
        <w:rPr>
          <w:iCs/>
        </w:rPr>
      </w:pPr>
      <w:r>
        <w:rPr>
          <w:iCs/>
        </w:rPr>
        <w:t>On the motion of Ms Berry, her amendment No 4 (</w:t>
      </w:r>
      <w:r>
        <w:rPr>
          <w:i/>
          <w:iCs/>
        </w:rPr>
        <w:t>see</w:t>
      </w:r>
      <w:r>
        <w:rPr>
          <w:iCs/>
        </w:rPr>
        <w:t xml:space="preserve"> </w:t>
      </w:r>
      <w:hyperlink r:id="rId18" w:anchor="Schedule2" w:history="1">
        <w:r>
          <w:rPr>
            <w:rStyle w:val="Hyperlink"/>
            <w:iCs/>
          </w:rPr>
          <w:t>Schedule 2</w:t>
        </w:r>
      </w:hyperlink>
      <w:r>
        <w:rPr>
          <w:iCs/>
        </w:rPr>
        <w:t>) was made</w:t>
      </w:r>
      <w:r w:rsidR="001A7F06">
        <w:rPr>
          <w:iCs/>
        </w:rPr>
        <w:t>,</w:t>
      </w:r>
      <w:r>
        <w:rPr>
          <w:iCs/>
        </w:rPr>
        <w:t xml:space="preserve"> after debate.</w:t>
      </w:r>
    </w:p>
    <w:p w:rsidR="00CC21DD" w:rsidRDefault="00CC21DD" w:rsidP="00CC21DD">
      <w:pPr>
        <w:pStyle w:val="DPSEntryDetail"/>
        <w:rPr>
          <w:iCs/>
        </w:rPr>
      </w:pPr>
      <w:r>
        <w:rPr>
          <w:iCs/>
        </w:rPr>
        <w:t>Clause 27, as amended, agreed to.</w:t>
      </w:r>
    </w:p>
    <w:p w:rsidR="00CC21DD" w:rsidRDefault="00CC21DD" w:rsidP="00CC21DD">
      <w:pPr>
        <w:pStyle w:val="DPSEntryDetail"/>
        <w:rPr>
          <w:iCs/>
        </w:rPr>
      </w:pPr>
      <w:r>
        <w:rPr>
          <w:iCs/>
        </w:rPr>
        <w:t>Clauses 28 to 30, by leave, taken together and agreed to.</w:t>
      </w:r>
    </w:p>
    <w:p w:rsidR="00CC21DD" w:rsidRDefault="00CC21DD" w:rsidP="00D6793A">
      <w:pPr>
        <w:pStyle w:val="DPSEntryDetail"/>
        <w:keepNext/>
        <w:rPr>
          <w:iCs/>
        </w:rPr>
      </w:pPr>
      <w:r>
        <w:rPr>
          <w:iCs/>
        </w:rPr>
        <w:t>Clause 31—</w:t>
      </w:r>
    </w:p>
    <w:p w:rsidR="00CC21DD" w:rsidRDefault="00CC21DD" w:rsidP="00CC21DD">
      <w:pPr>
        <w:pStyle w:val="DPSEntryDetail"/>
        <w:rPr>
          <w:iCs/>
        </w:rPr>
      </w:pPr>
      <w:r>
        <w:rPr>
          <w:iCs/>
        </w:rPr>
        <w:t>On the motion of Ms Berry, her amendment No 5 (</w:t>
      </w:r>
      <w:r>
        <w:rPr>
          <w:i/>
          <w:iCs/>
        </w:rPr>
        <w:t>see</w:t>
      </w:r>
      <w:r>
        <w:rPr>
          <w:iCs/>
        </w:rPr>
        <w:t xml:space="preserve"> </w:t>
      </w:r>
      <w:hyperlink r:id="rId19" w:anchor="Schedule2" w:history="1">
        <w:r>
          <w:rPr>
            <w:rStyle w:val="Hyperlink"/>
            <w:iCs/>
          </w:rPr>
          <w:t>Schedule 2</w:t>
        </w:r>
      </w:hyperlink>
      <w:r>
        <w:rPr>
          <w:iCs/>
        </w:rPr>
        <w:t>) was made.</w:t>
      </w:r>
    </w:p>
    <w:p w:rsidR="00CC21DD" w:rsidRDefault="00CC21DD" w:rsidP="00CC21DD">
      <w:pPr>
        <w:pStyle w:val="DPSEntryDetail"/>
        <w:rPr>
          <w:iCs/>
        </w:rPr>
      </w:pPr>
      <w:r>
        <w:rPr>
          <w:iCs/>
        </w:rPr>
        <w:t>Clause 31, as amended, agreed to.</w:t>
      </w:r>
    </w:p>
    <w:p w:rsidR="00CC21DD" w:rsidRDefault="00CC21DD" w:rsidP="00B82E97">
      <w:pPr>
        <w:pStyle w:val="DPSEntryDetail"/>
        <w:keepNext/>
        <w:rPr>
          <w:iCs/>
        </w:rPr>
      </w:pPr>
      <w:r>
        <w:rPr>
          <w:iCs/>
        </w:rPr>
        <w:lastRenderedPageBreak/>
        <w:t>Clause 32—</w:t>
      </w:r>
    </w:p>
    <w:p w:rsidR="00CC21DD" w:rsidRDefault="00CC21DD" w:rsidP="00B82E97">
      <w:pPr>
        <w:pStyle w:val="DPSEntryDetail"/>
        <w:keepNext/>
        <w:rPr>
          <w:iCs/>
        </w:rPr>
      </w:pPr>
      <w:r>
        <w:rPr>
          <w:iCs/>
        </w:rPr>
        <w:t>On the motion of Mr Milligan, his amendment No 13 (</w:t>
      </w:r>
      <w:r>
        <w:rPr>
          <w:i/>
          <w:iCs/>
        </w:rPr>
        <w:t>see</w:t>
      </w:r>
      <w:r>
        <w:rPr>
          <w:iCs/>
        </w:rPr>
        <w:t xml:space="preserve"> </w:t>
      </w:r>
      <w:hyperlink r:id="rId20" w:anchor="Schedule3" w:history="1">
        <w:r>
          <w:rPr>
            <w:rStyle w:val="Hyperlink"/>
            <w:iCs/>
          </w:rPr>
          <w:t>Schedule 3</w:t>
        </w:r>
      </w:hyperlink>
      <w:r>
        <w:rPr>
          <w:iCs/>
        </w:rPr>
        <w:t>) was made</w:t>
      </w:r>
      <w:r w:rsidR="001A7F06">
        <w:rPr>
          <w:iCs/>
        </w:rPr>
        <w:t>,</w:t>
      </w:r>
      <w:r>
        <w:rPr>
          <w:iCs/>
        </w:rPr>
        <w:t xml:space="preserve"> after debate.</w:t>
      </w:r>
    </w:p>
    <w:p w:rsidR="00CC21DD" w:rsidRDefault="00CC21DD" w:rsidP="00CC21DD">
      <w:pPr>
        <w:pStyle w:val="DPSEntryDetail"/>
        <w:rPr>
          <w:iCs/>
        </w:rPr>
      </w:pPr>
      <w:r>
        <w:rPr>
          <w:iCs/>
        </w:rPr>
        <w:t>Clause 32, as amended, agreed to.</w:t>
      </w:r>
    </w:p>
    <w:p w:rsidR="00CC21DD" w:rsidRDefault="00CC21DD" w:rsidP="0015480C">
      <w:pPr>
        <w:pStyle w:val="DPSEntryDetail"/>
        <w:keepNext/>
        <w:rPr>
          <w:iCs/>
        </w:rPr>
      </w:pPr>
      <w:r>
        <w:rPr>
          <w:iCs/>
        </w:rPr>
        <w:t>Clauses 33 to 60, by leave, taken together and agreed to.</w:t>
      </w:r>
    </w:p>
    <w:p w:rsidR="00CC21DD" w:rsidRDefault="00CC21DD" w:rsidP="00E81A31">
      <w:pPr>
        <w:pStyle w:val="DPSEntryDetail"/>
        <w:keepNext/>
        <w:rPr>
          <w:iCs/>
        </w:rPr>
      </w:pPr>
      <w:r>
        <w:rPr>
          <w:iCs/>
        </w:rPr>
        <w:t>Clause 61—</w:t>
      </w:r>
    </w:p>
    <w:p w:rsidR="00CC21DD" w:rsidRDefault="00CC21DD" w:rsidP="00CC21DD">
      <w:pPr>
        <w:pStyle w:val="DPSEntryDetail"/>
        <w:rPr>
          <w:iCs/>
        </w:rPr>
      </w:pPr>
      <w:r>
        <w:rPr>
          <w:iCs/>
        </w:rPr>
        <w:t>Mr Milligan, by leave, moved his amendments Nos 17 and 18 together (</w:t>
      </w:r>
      <w:r>
        <w:rPr>
          <w:i/>
          <w:iCs/>
        </w:rPr>
        <w:t>see</w:t>
      </w:r>
      <w:r>
        <w:rPr>
          <w:iCs/>
        </w:rPr>
        <w:t xml:space="preserve"> </w:t>
      </w:r>
      <w:hyperlink r:id="rId21" w:anchor="Schedule3" w:history="1">
        <w:r>
          <w:rPr>
            <w:rStyle w:val="Hyperlink"/>
            <w:iCs/>
          </w:rPr>
          <w:t>Schedule 3</w:t>
        </w:r>
      </w:hyperlink>
      <w:r>
        <w:rPr>
          <w:iCs/>
        </w:rPr>
        <w:t>).</w:t>
      </w:r>
    </w:p>
    <w:p w:rsidR="00CC21DD" w:rsidRDefault="00CC21DD" w:rsidP="00650D40">
      <w:pPr>
        <w:pStyle w:val="DPSEntryDetail"/>
      </w:pPr>
      <w:r>
        <w:rPr>
          <w:iCs/>
        </w:rPr>
        <w:t xml:space="preserve">Debate </w:t>
      </w:r>
      <w:r w:rsidR="00650D40">
        <w:rPr>
          <w:iCs/>
        </w:rPr>
        <w:t>continued</w:t>
      </w:r>
      <w:r>
        <w:t>.</w:t>
      </w:r>
    </w:p>
    <w:p w:rsidR="00CC21DD" w:rsidRDefault="00CC21DD" w:rsidP="005340A3">
      <w:pPr>
        <w:pStyle w:val="DIVIntroA"/>
      </w:pPr>
      <w:r>
        <w:t>The Assembly voted—</w:t>
      </w:r>
    </w:p>
    <w:tbl>
      <w:tblPr>
        <w:tblW w:w="8790" w:type="dxa"/>
        <w:tblInd w:w="720" w:type="dxa"/>
        <w:tblLayout w:type="fixed"/>
        <w:tblCellMar>
          <w:left w:w="56" w:type="dxa"/>
          <w:right w:w="56" w:type="dxa"/>
        </w:tblCellMar>
        <w:tblLook w:val="04A0"/>
      </w:tblPr>
      <w:tblGrid>
        <w:gridCol w:w="2042"/>
        <w:gridCol w:w="2042"/>
        <w:gridCol w:w="624"/>
        <w:gridCol w:w="2041"/>
        <w:gridCol w:w="2041"/>
      </w:tblGrid>
      <w:tr w:rsidR="00CC21DD" w:rsidTr="00650D40">
        <w:trPr>
          <w:trHeight w:val="240"/>
        </w:trPr>
        <w:tc>
          <w:tcPr>
            <w:tcW w:w="4084" w:type="dxa"/>
            <w:gridSpan w:val="2"/>
            <w:hideMark/>
          </w:tcPr>
          <w:p w:rsidR="00CC21DD" w:rsidRDefault="00CC21DD">
            <w:pPr>
              <w:pStyle w:val="DIVName"/>
              <w:tabs>
                <w:tab w:val="center" w:pos="1644"/>
              </w:tabs>
            </w:pPr>
            <w:r>
              <w:tab/>
              <w:t>AYES, 9</w:t>
            </w:r>
          </w:p>
        </w:tc>
        <w:tc>
          <w:tcPr>
            <w:tcW w:w="624" w:type="dxa"/>
          </w:tcPr>
          <w:p w:rsidR="00CC21DD" w:rsidRDefault="00CC21DD">
            <w:pPr>
              <w:pStyle w:val="DIVName"/>
            </w:pPr>
          </w:p>
        </w:tc>
        <w:tc>
          <w:tcPr>
            <w:tcW w:w="4082" w:type="dxa"/>
            <w:gridSpan w:val="2"/>
            <w:hideMark/>
          </w:tcPr>
          <w:p w:rsidR="00CC21DD" w:rsidRDefault="00CC21DD">
            <w:pPr>
              <w:pStyle w:val="DIVName"/>
              <w:tabs>
                <w:tab w:val="center" w:pos="1644"/>
              </w:tabs>
            </w:pPr>
            <w:r>
              <w:tab/>
              <w:t>NOES, 12</w:t>
            </w:r>
          </w:p>
        </w:tc>
      </w:tr>
      <w:tr w:rsidR="00CC21DD" w:rsidTr="00650D40">
        <w:trPr>
          <w:trHeight w:val="240"/>
        </w:trPr>
        <w:tc>
          <w:tcPr>
            <w:tcW w:w="2042" w:type="dxa"/>
            <w:hideMark/>
          </w:tcPr>
          <w:p w:rsidR="00CC21DD" w:rsidRDefault="00CC21DD">
            <w:pPr>
              <w:pStyle w:val="DIVName"/>
            </w:pPr>
            <w:r>
              <w:t>Miss C. Burch</w:t>
            </w:r>
          </w:p>
        </w:tc>
        <w:tc>
          <w:tcPr>
            <w:tcW w:w="2042" w:type="dxa"/>
            <w:hideMark/>
          </w:tcPr>
          <w:p w:rsidR="00CC21DD" w:rsidRDefault="00CC21DD">
            <w:pPr>
              <w:pStyle w:val="DIVName"/>
            </w:pPr>
            <w:r>
              <w:t>Ms Lawder</w:t>
            </w:r>
          </w:p>
        </w:tc>
        <w:tc>
          <w:tcPr>
            <w:tcW w:w="624" w:type="dxa"/>
          </w:tcPr>
          <w:p w:rsidR="00CC21DD" w:rsidRDefault="00CC21DD">
            <w:pPr>
              <w:pStyle w:val="DIVName"/>
            </w:pPr>
          </w:p>
        </w:tc>
        <w:tc>
          <w:tcPr>
            <w:tcW w:w="2041" w:type="dxa"/>
            <w:hideMark/>
          </w:tcPr>
          <w:p w:rsidR="00CC21DD" w:rsidRDefault="00CC21DD">
            <w:pPr>
              <w:pStyle w:val="DIVName"/>
            </w:pPr>
            <w:r>
              <w:t>Ms Berry</w:t>
            </w:r>
          </w:p>
        </w:tc>
        <w:tc>
          <w:tcPr>
            <w:tcW w:w="2041" w:type="dxa"/>
            <w:hideMark/>
          </w:tcPr>
          <w:p w:rsidR="00CC21DD" w:rsidRDefault="00CC21DD">
            <w:pPr>
              <w:pStyle w:val="DIVName"/>
            </w:pPr>
            <w:r>
              <w:t>Ms Orr</w:t>
            </w:r>
          </w:p>
        </w:tc>
      </w:tr>
      <w:tr w:rsidR="00CC21DD" w:rsidTr="00650D40">
        <w:trPr>
          <w:trHeight w:val="240"/>
        </w:trPr>
        <w:tc>
          <w:tcPr>
            <w:tcW w:w="2042" w:type="dxa"/>
            <w:hideMark/>
          </w:tcPr>
          <w:p w:rsidR="00CC21DD" w:rsidRDefault="00CC21DD">
            <w:pPr>
              <w:pStyle w:val="DIVName"/>
            </w:pPr>
            <w:r>
              <w:t>Mr Coe</w:t>
            </w:r>
          </w:p>
        </w:tc>
        <w:tc>
          <w:tcPr>
            <w:tcW w:w="2042" w:type="dxa"/>
            <w:hideMark/>
          </w:tcPr>
          <w:p w:rsidR="00CC21DD" w:rsidRDefault="00CC21DD">
            <w:pPr>
              <w:pStyle w:val="DIVName"/>
            </w:pPr>
            <w:r>
              <w:t>Mr Milligan</w:t>
            </w:r>
          </w:p>
        </w:tc>
        <w:tc>
          <w:tcPr>
            <w:tcW w:w="624" w:type="dxa"/>
          </w:tcPr>
          <w:p w:rsidR="00CC21DD" w:rsidRDefault="00CC21DD">
            <w:pPr>
              <w:pStyle w:val="DIVName"/>
            </w:pPr>
          </w:p>
        </w:tc>
        <w:tc>
          <w:tcPr>
            <w:tcW w:w="2041" w:type="dxa"/>
            <w:hideMark/>
          </w:tcPr>
          <w:p w:rsidR="00CC21DD" w:rsidRDefault="00CC21DD">
            <w:pPr>
              <w:pStyle w:val="DIVName"/>
            </w:pPr>
            <w:r>
              <w:t>Ms J. Burch</w:t>
            </w:r>
          </w:p>
        </w:tc>
        <w:tc>
          <w:tcPr>
            <w:tcW w:w="2041" w:type="dxa"/>
            <w:hideMark/>
          </w:tcPr>
          <w:p w:rsidR="00CC21DD" w:rsidRDefault="00CC21DD">
            <w:pPr>
              <w:pStyle w:val="DIVName"/>
            </w:pPr>
            <w:r>
              <w:t>Mr Pettersson</w:t>
            </w:r>
          </w:p>
        </w:tc>
      </w:tr>
      <w:tr w:rsidR="00CC21DD" w:rsidTr="00650D40">
        <w:trPr>
          <w:trHeight w:val="240"/>
        </w:trPr>
        <w:tc>
          <w:tcPr>
            <w:tcW w:w="2042" w:type="dxa"/>
            <w:hideMark/>
          </w:tcPr>
          <w:p w:rsidR="00CC21DD" w:rsidRDefault="00CC21DD">
            <w:pPr>
              <w:pStyle w:val="DIVName"/>
            </w:pPr>
            <w:r>
              <w:t>Mrs Dunne</w:t>
            </w:r>
          </w:p>
        </w:tc>
        <w:tc>
          <w:tcPr>
            <w:tcW w:w="2042" w:type="dxa"/>
            <w:hideMark/>
          </w:tcPr>
          <w:p w:rsidR="00CC21DD" w:rsidRDefault="00CC21DD">
            <w:pPr>
              <w:pStyle w:val="DIVName"/>
            </w:pPr>
            <w:r>
              <w:t>Mr Wall</w:t>
            </w:r>
          </w:p>
        </w:tc>
        <w:tc>
          <w:tcPr>
            <w:tcW w:w="624" w:type="dxa"/>
          </w:tcPr>
          <w:p w:rsidR="00CC21DD" w:rsidRDefault="00CC21DD">
            <w:pPr>
              <w:pStyle w:val="DIVName"/>
            </w:pPr>
          </w:p>
        </w:tc>
        <w:tc>
          <w:tcPr>
            <w:tcW w:w="2041" w:type="dxa"/>
            <w:hideMark/>
          </w:tcPr>
          <w:p w:rsidR="00CC21DD" w:rsidRDefault="00CC21DD">
            <w:pPr>
              <w:pStyle w:val="DIVName"/>
            </w:pPr>
            <w:r>
              <w:t>Ms Cheyne</w:t>
            </w:r>
          </w:p>
        </w:tc>
        <w:tc>
          <w:tcPr>
            <w:tcW w:w="2041" w:type="dxa"/>
            <w:hideMark/>
          </w:tcPr>
          <w:p w:rsidR="00CC21DD" w:rsidRDefault="00CC21DD">
            <w:pPr>
              <w:pStyle w:val="DIVName"/>
            </w:pPr>
            <w:r>
              <w:t>Mr Ramsay</w:t>
            </w:r>
          </w:p>
        </w:tc>
      </w:tr>
      <w:tr w:rsidR="00CC21DD" w:rsidTr="00650D40">
        <w:trPr>
          <w:trHeight w:val="240"/>
        </w:trPr>
        <w:tc>
          <w:tcPr>
            <w:tcW w:w="2042" w:type="dxa"/>
            <w:hideMark/>
          </w:tcPr>
          <w:p w:rsidR="00CC21DD" w:rsidRDefault="00CC21DD">
            <w:pPr>
              <w:pStyle w:val="DIVName"/>
            </w:pPr>
            <w:r>
              <w:t>Mr Hanson</w:t>
            </w:r>
          </w:p>
        </w:tc>
        <w:tc>
          <w:tcPr>
            <w:tcW w:w="2042" w:type="dxa"/>
          </w:tcPr>
          <w:p w:rsidR="00CC21DD" w:rsidRDefault="00CC21DD">
            <w:pPr>
              <w:pStyle w:val="DIVName"/>
            </w:pPr>
          </w:p>
        </w:tc>
        <w:tc>
          <w:tcPr>
            <w:tcW w:w="624" w:type="dxa"/>
          </w:tcPr>
          <w:p w:rsidR="00CC21DD" w:rsidRDefault="00CC21DD">
            <w:pPr>
              <w:pStyle w:val="DIVName"/>
            </w:pPr>
          </w:p>
        </w:tc>
        <w:tc>
          <w:tcPr>
            <w:tcW w:w="2041" w:type="dxa"/>
            <w:hideMark/>
          </w:tcPr>
          <w:p w:rsidR="00CC21DD" w:rsidRDefault="00CC21DD">
            <w:pPr>
              <w:pStyle w:val="DIVName"/>
            </w:pPr>
            <w:r>
              <w:t>Ms Cody</w:t>
            </w:r>
          </w:p>
        </w:tc>
        <w:tc>
          <w:tcPr>
            <w:tcW w:w="2041" w:type="dxa"/>
            <w:hideMark/>
          </w:tcPr>
          <w:p w:rsidR="00CC21DD" w:rsidRDefault="00CC21DD">
            <w:pPr>
              <w:pStyle w:val="DIVName"/>
            </w:pPr>
            <w:r>
              <w:t>Mr Rattenbury</w:t>
            </w:r>
          </w:p>
        </w:tc>
      </w:tr>
      <w:tr w:rsidR="00CC21DD" w:rsidTr="00650D40">
        <w:trPr>
          <w:trHeight w:val="240"/>
        </w:trPr>
        <w:tc>
          <w:tcPr>
            <w:tcW w:w="2042" w:type="dxa"/>
            <w:hideMark/>
          </w:tcPr>
          <w:p w:rsidR="00CC21DD" w:rsidRDefault="00CC21DD">
            <w:pPr>
              <w:pStyle w:val="DIVName"/>
            </w:pPr>
            <w:r>
              <w:t>Mrs Jones</w:t>
            </w:r>
          </w:p>
        </w:tc>
        <w:tc>
          <w:tcPr>
            <w:tcW w:w="2042" w:type="dxa"/>
          </w:tcPr>
          <w:p w:rsidR="00CC21DD" w:rsidRDefault="00CC21DD">
            <w:pPr>
              <w:pStyle w:val="DIVName"/>
            </w:pPr>
          </w:p>
        </w:tc>
        <w:tc>
          <w:tcPr>
            <w:tcW w:w="624" w:type="dxa"/>
          </w:tcPr>
          <w:p w:rsidR="00CC21DD" w:rsidRDefault="00CC21DD">
            <w:pPr>
              <w:pStyle w:val="DIVName"/>
            </w:pPr>
          </w:p>
        </w:tc>
        <w:tc>
          <w:tcPr>
            <w:tcW w:w="2041" w:type="dxa"/>
            <w:hideMark/>
          </w:tcPr>
          <w:p w:rsidR="00CC21DD" w:rsidRDefault="00CC21DD">
            <w:pPr>
              <w:pStyle w:val="DIVName"/>
            </w:pPr>
            <w:r>
              <w:t>Mr Gentleman</w:t>
            </w:r>
          </w:p>
        </w:tc>
        <w:tc>
          <w:tcPr>
            <w:tcW w:w="2041" w:type="dxa"/>
            <w:hideMark/>
          </w:tcPr>
          <w:p w:rsidR="00CC21DD" w:rsidRDefault="00CC21DD">
            <w:pPr>
              <w:pStyle w:val="DIVName"/>
            </w:pPr>
            <w:r>
              <w:t>Mr Steel</w:t>
            </w:r>
          </w:p>
        </w:tc>
      </w:tr>
      <w:tr w:rsidR="00CC21DD" w:rsidTr="00650D40">
        <w:trPr>
          <w:trHeight w:val="240"/>
        </w:trPr>
        <w:tc>
          <w:tcPr>
            <w:tcW w:w="2042" w:type="dxa"/>
            <w:hideMark/>
          </w:tcPr>
          <w:p w:rsidR="00CC21DD" w:rsidRDefault="00CC21DD">
            <w:pPr>
              <w:pStyle w:val="DIVName"/>
            </w:pPr>
            <w:r>
              <w:t>Mrs Kikkert</w:t>
            </w:r>
          </w:p>
        </w:tc>
        <w:tc>
          <w:tcPr>
            <w:tcW w:w="2042" w:type="dxa"/>
          </w:tcPr>
          <w:p w:rsidR="00CC21DD" w:rsidRDefault="00CC21DD">
            <w:pPr>
              <w:pStyle w:val="DIVName"/>
            </w:pPr>
          </w:p>
        </w:tc>
        <w:tc>
          <w:tcPr>
            <w:tcW w:w="624" w:type="dxa"/>
          </w:tcPr>
          <w:p w:rsidR="00CC21DD" w:rsidRDefault="00CC21DD">
            <w:pPr>
              <w:pStyle w:val="DIVName"/>
            </w:pPr>
          </w:p>
        </w:tc>
        <w:tc>
          <w:tcPr>
            <w:tcW w:w="2041" w:type="dxa"/>
            <w:hideMark/>
          </w:tcPr>
          <w:p w:rsidR="00CC21DD" w:rsidRDefault="00CC21DD">
            <w:pPr>
              <w:pStyle w:val="DIVName"/>
            </w:pPr>
            <w:r>
              <w:t>Ms Le Couteur</w:t>
            </w:r>
          </w:p>
        </w:tc>
        <w:tc>
          <w:tcPr>
            <w:tcW w:w="2041" w:type="dxa"/>
            <w:hideMark/>
          </w:tcPr>
          <w:p w:rsidR="00CC21DD" w:rsidRDefault="00CC21DD">
            <w:pPr>
              <w:pStyle w:val="DIVName"/>
            </w:pPr>
            <w:r>
              <w:t>Ms Stephen-Smith</w:t>
            </w:r>
          </w:p>
        </w:tc>
      </w:tr>
    </w:tbl>
    <w:p w:rsidR="00CC21DD" w:rsidRDefault="00CC21DD" w:rsidP="00CC21DD">
      <w:pPr>
        <w:pStyle w:val="DIVResult"/>
      </w:pPr>
      <w:r>
        <w:t>And so it was negatived.</w:t>
      </w:r>
    </w:p>
    <w:p w:rsidR="00CC21DD" w:rsidRDefault="00CC21DD" w:rsidP="00CC21DD">
      <w:pPr>
        <w:pStyle w:val="DPSEntryDetail"/>
        <w:rPr>
          <w:iCs/>
        </w:rPr>
      </w:pPr>
      <w:r>
        <w:rPr>
          <w:iCs/>
        </w:rPr>
        <w:t>Clause 61 agreed to.</w:t>
      </w:r>
    </w:p>
    <w:p w:rsidR="00CC21DD" w:rsidRDefault="00CC21DD" w:rsidP="00CC21DD">
      <w:pPr>
        <w:pStyle w:val="DPSEntryDetail"/>
        <w:rPr>
          <w:iCs/>
        </w:rPr>
      </w:pPr>
      <w:r>
        <w:rPr>
          <w:iCs/>
        </w:rPr>
        <w:t>Remainder of the bill, by leave, taken as a whole and agreed to.</w:t>
      </w:r>
    </w:p>
    <w:p w:rsidR="00D80C1E" w:rsidRPr="00127F6D" w:rsidRDefault="00D80C1E" w:rsidP="00D80C1E">
      <w:pPr>
        <w:pBdr>
          <w:top w:val="thickThinLargeGap" w:sz="18" w:space="1" w:color="auto"/>
        </w:pBdr>
        <w:spacing w:before="180"/>
        <w:ind w:left="3427" w:right="3658"/>
        <w:jc w:val="center"/>
        <w:rPr>
          <w:rFonts w:ascii="Calibri" w:hAnsi="Calibri"/>
          <w:lang w:val="en-AU"/>
        </w:rPr>
      </w:pPr>
    </w:p>
    <w:p w:rsidR="00D80C1E" w:rsidRPr="00127F6D" w:rsidRDefault="00D80C1E" w:rsidP="00D80C1E">
      <w:pPr>
        <w:pStyle w:val="DPSEntryDetail"/>
        <w:spacing w:before="0"/>
      </w:pPr>
      <w:r w:rsidRPr="00127F6D">
        <w:t>Question—That this Bill, as amended, be agreed to—put and passed.</w:t>
      </w:r>
    </w:p>
    <w:p w:rsidR="00CC21DD" w:rsidRDefault="00CC21DD" w:rsidP="00AC1F8E">
      <w:pPr>
        <w:pStyle w:val="DPSEntryHeading"/>
      </w:pPr>
      <w:r>
        <w:tab/>
        <w:t>21</w:t>
      </w:r>
      <w:r>
        <w:tab/>
        <w:t>Retirement Villages Legislation Amendment Bill 2018</w:t>
      </w:r>
    </w:p>
    <w:p w:rsidR="00CC21DD" w:rsidRDefault="00CC21DD" w:rsidP="00CC21DD">
      <w:pPr>
        <w:pStyle w:val="DPSEntryDetail"/>
      </w:pPr>
      <w:r>
        <w:t>The order of the day having been read for the resumption of the debate on the question—That this Bill be agreed to in principle—</w:t>
      </w:r>
    </w:p>
    <w:p w:rsidR="00CC21DD" w:rsidRDefault="00CC21DD" w:rsidP="00CC21DD">
      <w:pPr>
        <w:pStyle w:val="DPSEntryDetail"/>
        <w:rPr>
          <w:iCs/>
        </w:rPr>
      </w:pPr>
      <w:r>
        <w:rPr>
          <w:iCs/>
        </w:rPr>
        <w:t>Debate resumed.</w:t>
      </w:r>
    </w:p>
    <w:p w:rsidR="00CC21DD" w:rsidRDefault="00CC21DD" w:rsidP="00CC21DD">
      <w:pPr>
        <w:pStyle w:val="DPSEntryDetail"/>
        <w:rPr>
          <w:iCs/>
        </w:rPr>
      </w:pPr>
      <w:r>
        <w:rPr>
          <w:iCs/>
        </w:rPr>
        <w:t>Question—That this Bill be agreed to in principle—put and passed.</w:t>
      </w:r>
    </w:p>
    <w:p w:rsidR="00CC21DD" w:rsidRDefault="00CC21DD" w:rsidP="00CC21DD">
      <w:pPr>
        <w:pStyle w:val="DPSEntryDetail"/>
        <w:rPr>
          <w:iCs/>
        </w:rPr>
      </w:pPr>
      <w:r>
        <w:rPr>
          <w:iCs/>
        </w:rPr>
        <w:t>Leave granted to dispense with the detail stage.</w:t>
      </w:r>
    </w:p>
    <w:p w:rsidR="00CC21DD" w:rsidRDefault="00CC21DD" w:rsidP="00CC21DD">
      <w:pPr>
        <w:pStyle w:val="DPSEntryDetail"/>
      </w:pPr>
      <w:r>
        <w:t>Question—That this Bill be agreed to—put and passed.</w:t>
      </w:r>
    </w:p>
    <w:p w:rsidR="00CC21DD" w:rsidRDefault="00CC21DD" w:rsidP="00AC1F8E">
      <w:pPr>
        <w:pStyle w:val="DPSEntryHeading"/>
      </w:pPr>
      <w:r>
        <w:tab/>
        <w:t>22</w:t>
      </w:r>
      <w:r>
        <w:tab/>
        <w:t>ADJOURNMENT</w:t>
      </w:r>
    </w:p>
    <w:p w:rsidR="00CC21DD" w:rsidRDefault="00CC21DD" w:rsidP="00CC21DD">
      <w:pPr>
        <w:pStyle w:val="DPSEntryDetail"/>
      </w:pPr>
      <w:r>
        <w:t>Mr Gentleman (Manager of Government Business) moved—That the Assembly do now adjourn.</w:t>
      </w:r>
    </w:p>
    <w:p w:rsidR="00CC21DD" w:rsidRDefault="00CC21DD" w:rsidP="00CC21DD">
      <w:pPr>
        <w:pStyle w:val="DPSEntryDetail"/>
      </w:pPr>
      <w:r>
        <w:t>Debate ensued.</w:t>
      </w:r>
    </w:p>
    <w:p w:rsidR="00CC21DD" w:rsidRDefault="00CC21DD" w:rsidP="00AC1F8E">
      <w:pPr>
        <w:pStyle w:val="DPSEntryDetail"/>
        <w:keepNext/>
      </w:pPr>
      <w:r>
        <w:t>Question—put and passed.</w:t>
      </w:r>
    </w:p>
    <w:p w:rsidR="00CC21DD" w:rsidRDefault="00CC21DD" w:rsidP="00CC21DD">
      <w:pPr>
        <w:pStyle w:val="DPSEntryDetail"/>
      </w:pPr>
      <w:r>
        <w:t>And then the Assembly, at 5:30 pm, adjourned until tomorrow at 10 am.</w:t>
      </w:r>
    </w:p>
    <w:p w:rsidR="00CC21DD" w:rsidRDefault="00CC21DD" w:rsidP="00CC21DD">
      <w:pPr>
        <w:keepNext/>
        <w:keepLines/>
        <w:pBdr>
          <w:bottom w:val="thinThickLargeGap" w:sz="18" w:space="1" w:color="auto"/>
        </w:pBdr>
        <w:ind w:left="3427" w:right="3658"/>
        <w:jc w:val="center"/>
        <w:rPr>
          <w:rFonts w:ascii="Calibri" w:hAnsi="Calibri"/>
          <w:i/>
          <w:iCs/>
          <w:lang w:val="en-AU"/>
        </w:rPr>
      </w:pPr>
    </w:p>
    <w:p w:rsidR="00CC21DD" w:rsidRDefault="00CC21DD" w:rsidP="00B82E97">
      <w:pPr>
        <w:keepNext/>
        <w:keepLines/>
        <w:tabs>
          <w:tab w:val="left" w:pos="342"/>
        </w:tabs>
        <w:spacing w:before="240"/>
        <w:ind w:left="187"/>
        <w:jc w:val="both"/>
        <w:rPr>
          <w:rFonts w:ascii="Calibri" w:hAnsi="Calibri"/>
          <w:bCs/>
        </w:rPr>
      </w:pPr>
      <w:r>
        <w:rPr>
          <w:rFonts w:ascii="Calibri" w:hAnsi="Calibri"/>
          <w:b/>
          <w:caps/>
        </w:rPr>
        <w:t xml:space="preserve">MEMBERS’ ATTENDANCE: </w:t>
      </w:r>
      <w:r>
        <w:rPr>
          <w:rFonts w:ascii="Calibri" w:hAnsi="Calibri"/>
        </w:rPr>
        <w:t>All Members were present at some time during the sitting, except Mr Parton*</w:t>
      </w:r>
      <w:r>
        <w:rPr>
          <w:rFonts w:ascii="Calibri" w:hAnsi="Calibri"/>
          <w:bCs/>
        </w:rPr>
        <w:t>.</w:t>
      </w:r>
    </w:p>
    <w:p w:rsidR="00CC21DD" w:rsidRDefault="00CC21DD" w:rsidP="00CC21DD">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CC21DD" w:rsidRDefault="00CC21DD" w:rsidP="00CC21DD">
      <w:pPr>
        <w:pBdr>
          <w:top w:val="thickThinLargeGap" w:sz="18" w:space="1" w:color="auto"/>
        </w:pBdr>
        <w:spacing w:before="180"/>
        <w:ind w:left="3427" w:right="3658"/>
        <w:jc w:val="center"/>
        <w:rPr>
          <w:rFonts w:ascii="Calibri" w:hAnsi="Calibri"/>
          <w:lang w:val="en-AU"/>
        </w:rPr>
      </w:pPr>
    </w:p>
    <w:p w:rsidR="00CC21DD" w:rsidRDefault="00CC21DD" w:rsidP="00CC21DD">
      <w:pPr>
        <w:pStyle w:val="DPSSigBlockName"/>
        <w:tabs>
          <w:tab w:val="center" w:pos="12600"/>
        </w:tabs>
        <w:ind w:left="5760"/>
      </w:pPr>
      <w:r>
        <w:t>Tom Duncan</w:t>
      </w:r>
    </w:p>
    <w:p w:rsidR="00CC21DD" w:rsidRDefault="00CC21DD" w:rsidP="00CC21DD">
      <w:pPr>
        <w:pStyle w:val="DPSSigBlockTitle"/>
      </w:pPr>
      <w:r>
        <w:t>Clerk of the Legislative Assembly</w:t>
      </w:r>
    </w:p>
    <w:p w:rsidR="00CC21DD" w:rsidRDefault="00CC21DD" w:rsidP="00CC21DD">
      <w:pPr>
        <w:pStyle w:val="DPSEntryDetail"/>
        <w:ind w:left="0"/>
      </w:pPr>
    </w:p>
    <w:p w:rsidR="00CC21DD" w:rsidRDefault="00CC21DD" w:rsidP="00CC21DD">
      <w:pPr>
        <w:rPr>
          <w:rFonts w:ascii="Calibri" w:hAnsi="Calibri"/>
          <w:b/>
          <w:sz w:val="36"/>
          <w:szCs w:val="36"/>
          <w:lang w:val="en-AU"/>
        </w:rPr>
      </w:pPr>
      <w:r>
        <w:rPr>
          <w:b/>
          <w:sz w:val="36"/>
          <w:szCs w:val="36"/>
        </w:rPr>
        <w:br w:type="page"/>
      </w:r>
    </w:p>
    <w:p w:rsidR="00CC21DD" w:rsidRDefault="00CC21DD" w:rsidP="00CC21DD">
      <w:pPr>
        <w:pStyle w:val="DPSEntryDetail"/>
        <w:ind w:left="0"/>
        <w:jc w:val="center"/>
        <w:rPr>
          <w:b/>
          <w:sz w:val="36"/>
          <w:szCs w:val="36"/>
        </w:rPr>
      </w:pPr>
      <w:r>
        <w:rPr>
          <w:b/>
          <w:sz w:val="36"/>
          <w:szCs w:val="36"/>
        </w:rPr>
        <w:lastRenderedPageBreak/>
        <w:t>SCHEDULE</w:t>
      </w:r>
      <w:r w:rsidR="00650D40">
        <w:rPr>
          <w:b/>
          <w:sz w:val="36"/>
          <w:szCs w:val="36"/>
        </w:rPr>
        <w:t>S</w:t>
      </w:r>
      <w:r>
        <w:rPr>
          <w:b/>
          <w:sz w:val="36"/>
          <w:szCs w:val="36"/>
        </w:rPr>
        <w:t xml:space="preserve"> OF AMENDMENTS</w:t>
      </w:r>
    </w:p>
    <w:p w:rsidR="002B0F0A" w:rsidRDefault="002B0F0A" w:rsidP="00CC21DD">
      <w:pPr>
        <w:pStyle w:val="DPSEntryDetail"/>
        <w:ind w:left="0"/>
        <w:jc w:val="center"/>
        <w:rPr>
          <w:b/>
          <w:sz w:val="36"/>
          <w:szCs w:val="36"/>
        </w:rPr>
        <w:sectPr w:rsidR="002B0F0A" w:rsidSect="00731B71">
          <w:headerReference w:type="even" r:id="rId22"/>
          <w:headerReference w:type="default" r:id="rId23"/>
          <w:headerReference w:type="first" r:id="rId24"/>
          <w:footerReference w:type="first" r:id="rId25"/>
          <w:type w:val="continuous"/>
          <w:pgSz w:w="11907" w:h="16840" w:code="9"/>
          <w:pgMar w:top="1368" w:right="1714" w:bottom="1138" w:left="1138" w:header="734" w:footer="432" w:gutter="0"/>
          <w:pgNumType w:start="1333"/>
          <w:cols w:space="709"/>
          <w:titlePg/>
          <w:docGrid w:linePitch="360"/>
        </w:sectPr>
      </w:pPr>
    </w:p>
    <w:p w:rsidR="002B0F0A" w:rsidRDefault="002B0F0A" w:rsidP="00CC21DD">
      <w:pPr>
        <w:pStyle w:val="DPSEntryDetail"/>
        <w:ind w:left="0"/>
        <w:jc w:val="center"/>
        <w:rPr>
          <w:b/>
          <w:sz w:val="36"/>
          <w:szCs w:val="36"/>
        </w:rPr>
      </w:pPr>
    </w:p>
    <w:p w:rsidR="00CC21DD" w:rsidRDefault="00CC21DD" w:rsidP="00CC21DD">
      <w:pPr>
        <w:pStyle w:val="DPSEntryDetail"/>
        <w:ind w:left="0"/>
        <w:jc w:val="left"/>
        <w:rPr>
          <w:b/>
          <w:sz w:val="28"/>
          <w:szCs w:val="28"/>
          <w:u w:val="single"/>
        </w:rPr>
      </w:pPr>
      <w:bookmarkStart w:id="0" w:name="Schedule1"/>
      <w:bookmarkEnd w:id="0"/>
      <w:r>
        <w:rPr>
          <w:b/>
          <w:sz w:val="28"/>
          <w:szCs w:val="28"/>
          <w:u w:val="single"/>
        </w:rPr>
        <w:t>Schedule 1</w:t>
      </w:r>
    </w:p>
    <w:p w:rsidR="00CC21DD" w:rsidRDefault="00CC21DD" w:rsidP="00CC21DD">
      <w:pPr>
        <w:pBdr>
          <w:bottom w:val="single" w:sz="4" w:space="1" w:color="auto"/>
        </w:pBdr>
        <w:tabs>
          <w:tab w:val="left" w:pos="1197"/>
          <w:tab w:val="left" w:pos="1767"/>
        </w:tabs>
        <w:spacing w:before="120" w:after="120"/>
        <w:rPr>
          <w:rFonts w:asciiTheme="minorHAnsi" w:hAnsiTheme="minorHAnsi"/>
          <w:b/>
          <w:szCs w:val="24"/>
        </w:rPr>
      </w:pPr>
    </w:p>
    <w:p w:rsidR="00CC21DD" w:rsidRDefault="00CC21DD" w:rsidP="00CC21DD">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FINANCIAL MANAGEMENT AMENDMENT BILL 2019</w:t>
      </w:r>
    </w:p>
    <w:p w:rsidR="00CC21DD" w:rsidRDefault="00CC21DD" w:rsidP="00CC21DD">
      <w:pPr>
        <w:tabs>
          <w:tab w:val="left" w:pos="1197"/>
          <w:tab w:val="left" w:pos="1767"/>
        </w:tabs>
        <w:spacing w:before="120"/>
        <w:rPr>
          <w:rFonts w:asciiTheme="minorHAnsi" w:hAnsiTheme="minorHAnsi"/>
          <w:lang w:val="en-AU"/>
        </w:rPr>
      </w:pPr>
      <w:r>
        <w:rPr>
          <w:rFonts w:asciiTheme="minorHAnsi" w:hAnsiTheme="minorHAnsi"/>
          <w:lang w:val="en-AU"/>
        </w:rPr>
        <w:t xml:space="preserve">Amendments circulated by </w:t>
      </w:r>
      <w:r w:rsidR="00E81A31">
        <w:rPr>
          <w:rFonts w:asciiTheme="minorHAnsi" w:hAnsiTheme="minorHAnsi"/>
          <w:lang w:val="en-AU"/>
        </w:rPr>
        <w:t>Mr</w:t>
      </w:r>
      <w:r>
        <w:rPr>
          <w:rFonts w:asciiTheme="minorHAnsi" w:hAnsiTheme="minorHAnsi"/>
          <w:lang w:val="en-AU"/>
        </w:rPr>
        <w:t xml:space="preserve"> Coe</w:t>
      </w:r>
    </w:p>
    <w:p w:rsidR="00CC21DD" w:rsidRDefault="00CC21DD" w:rsidP="00E81A31">
      <w:pPr>
        <w:pStyle w:val="AH3sec"/>
        <w:numPr>
          <w:ilvl w:val="0"/>
          <w:numId w:val="5"/>
        </w:numPr>
        <w:ind w:left="0" w:firstLine="0"/>
      </w:pPr>
      <w:bookmarkStart w:id="1" w:name="_GoBack"/>
      <w:bookmarkEnd w:id="1"/>
      <w:r>
        <w:br/>
        <w:t>Clause 2</w:t>
      </w:r>
      <w:r>
        <w:br/>
        <w:t>Page 2, line 3—</w:t>
      </w:r>
    </w:p>
    <w:p w:rsidR="00CC21DD" w:rsidRDefault="00CC21DD" w:rsidP="00CC21DD">
      <w:pPr>
        <w:pStyle w:val="direction"/>
      </w:pPr>
      <w:r>
        <w:t>omit clause 2, substitute</w:t>
      </w:r>
    </w:p>
    <w:p w:rsidR="00CC21DD" w:rsidRDefault="00CC21DD" w:rsidP="00CC21DD">
      <w:pPr>
        <w:pStyle w:val="IshadedH5Sec"/>
      </w:pPr>
      <w:r>
        <w:t>2</w:t>
      </w:r>
      <w:r>
        <w:tab/>
        <w:t>Commencement</w:t>
      </w:r>
    </w:p>
    <w:p w:rsidR="00CC21DD" w:rsidRDefault="00CC21DD" w:rsidP="00CC21DD">
      <w:pPr>
        <w:pStyle w:val="Amainreturn"/>
      </w:pPr>
      <w:r>
        <w:t>This Act commences on 1 July 2019.</w:t>
      </w:r>
    </w:p>
    <w:p w:rsidR="00CC21DD" w:rsidRDefault="00CC21DD" w:rsidP="00CC21DD">
      <w:pPr>
        <w:pStyle w:val="aNote"/>
      </w:pPr>
      <w:r>
        <w:rPr>
          <w:i/>
        </w:rPr>
        <w:t>Note</w:t>
      </w:r>
      <w:r>
        <w:rPr>
          <w:i/>
        </w:rPr>
        <w:tab/>
      </w:r>
      <w:r>
        <w:t>The naming and commencement provisions automatically commence on the notification day (see Legislation Act, s 75 (1)).</w:t>
      </w:r>
    </w:p>
    <w:p w:rsidR="00CC21DD" w:rsidRDefault="00CC21DD" w:rsidP="00E81A31">
      <w:pPr>
        <w:pStyle w:val="AH3sec"/>
        <w:numPr>
          <w:ilvl w:val="0"/>
          <w:numId w:val="5"/>
        </w:numPr>
        <w:ind w:left="0" w:firstLine="0"/>
      </w:pPr>
      <w:r>
        <w:br/>
        <w:t>Proposed new clause 5A</w:t>
      </w:r>
      <w:r>
        <w:br/>
        <w:t>Page 2, line 16—</w:t>
      </w:r>
    </w:p>
    <w:p w:rsidR="00CC21DD" w:rsidRDefault="00CC21DD" w:rsidP="00CC21DD">
      <w:pPr>
        <w:pStyle w:val="direction"/>
      </w:pPr>
      <w:r>
        <w:t>insert</w:t>
      </w:r>
    </w:p>
    <w:p w:rsidR="00CC21DD" w:rsidRDefault="00CC21DD" w:rsidP="00CC21DD">
      <w:pPr>
        <w:pStyle w:val="IshadedH5Sec"/>
      </w:pPr>
      <w:r>
        <w:t>5A</w:t>
      </w:r>
      <w:r>
        <w:tab/>
        <w:t>Assembly to be told about Treasurer’s advance</w:t>
      </w:r>
      <w:r>
        <w:br/>
        <w:t>New section 18C (2) (aa)</w:t>
      </w:r>
    </w:p>
    <w:p w:rsidR="00CC21DD" w:rsidRDefault="00CC21DD" w:rsidP="00CC21DD">
      <w:pPr>
        <w:pStyle w:val="direction"/>
      </w:pPr>
      <w:r>
        <w:t>insert</w:t>
      </w:r>
    </w:p>
    <w:p w:rsidR="00CC21DD" w:rsidRDefault="00CC21DD" w:rsidP="00CC21DD">
      <w:pPr>
        <w:pStyle w:val="Ipara"/>
      </w:pPr>
      <w:r>
        <w:tab/>
        <w:t>(aa)</w:t>
      </w:r>
      <w:r>
        <w:tab/>
        <w:t>for a Treasurer’s advance—a statement explaining why—</w:t>
      </w:r>
    </w:p>
    <w:p w:rsidR="00CC21DD" w:rsidRDefault="00CC21DD" w:rsidP="00CC21DD">
      <w:pPr>
        <w:pStyle w:val="Isubpara"/>
      </w:pPr>
      <w:r>
        <w:tab/>
        <w:t>(i)</w:t>
      </w:r>
      <w:r>
        <w:tab/>
        <w:t>the Treasurer’s advance was required; and</w:t>
      </w:r>
    </w:p>
    <w:p w:rsidR="00CC21DD" w:rsidRDefault="00CC21DD" w:rsidP="00CC21DD">
      <w:pPr>
        <w:pStyle w:val="Isubpara"/>
      </w:pPr>
      <w:r>
        <w:tab/>
        <w:t>(ii)</w:t>
      </w:r>
      <w:r>
        <w:tab/>
        <w:t>the amount required for the Treasurer’s advance was not provided for by the appropriation for the financial year; and</w:t>
      </w:r>
    </w:p>
    <w:p w:rsidR="00CC21DD" w:rsidRDefault="00CC21DD" w:rsidP="00E81A31">
      <w:pPr>
        <w:pStyle w:val="AH3sec"/>
        <w:numPr>
          <w:ilvl w:val="0"/>
          <w:numId w:val="5"/>
        </w:numPr>
        <w:ind w:left="0" w:firstLine="0"/>
      </w:pPr>
      <w:r>
        <w:br/>
        <w:t>Clause 6</w:t>
      </w:r>
      <w:r>
        <w:br/>
        <w:t>Proposed new section 18G (1)</w:t>
      </w:r>
      <w:r>
        <w:br/>
        <w:t>Page 4, line 22—</w:t>
      </w:r>
    </w:p>
    <w:p w:rsidR="00CC21DD" w:rsidRDefault="00CC21DD" w:rsidP="00CC21DD">
      <w:pPr>
        <w:pStyle w:val="direction"/>
      </w:pPr>
      <w:r>
        <w:t>omit proposed new section 18G (1), substitute</w:t>
      </w:r>
    </w:p>
    <w:p w:rsidR="00CC21DD" w:rsidRDefault="00CC21DD" w:rsidP="00CC21DD">
      <w:pPr>
        <w:pStyle w:val="IMain"/>
      </w:pPr>
      <w:r>
        <w:tab/>
        <w:t>(1)</w:t>
      </w:r>
      <w:r>
        <w:tab/>
        <w:t>This section applies if the Treasurer authorises—</w:t>
      </w:r>
    </w:p>
    <w:p w:rsidR="00CC21DD" w:rsidRDefault="00CC21DD" w:rsidP="00CC21DD">
      <w:pPr>
        <w:pStyle w:val="Ipara"/>
      </w:pPr>
      <w:r>
        <w:tab/>
        <w:t>(a)</w:t>
      </w:r>
      <w:r>
        <w:tab/>
        <w:t>a capital works advance under section 18E; or</w:t>
      </w:r>
    </w:p>
    <w:p w:rsidR="00CC21DD" w:rsidRDefault="00CC21DD" w:rsidP="00CC21DD">
      <w:pPr>
        <w:pStyle w:val="Ipara"/>
      </w:pPr>
      <w:r>
        <w:tab/>
        <w:t>(b)</w:t>
      </w:r>
      <w:r>
        <w:tab/>
        <w:t xml:space="preserve">a reduction of the amount of a capital works advance under section 18F. </w:t>
      </w:r>
    </w:p>
    <w:p w:rsidR="00E81A31" w:rsidRDefault="00E81A31" w:rsidP="00E81A31">
      <w:pPr>
        <w:pStyle w:val="Ipara"/>
        <w:pBdr>
          <w:bottom w:val="single" w:sz="4" w:space="1" w:color="auto"/>
        </w:pBdr>
      </w:pPr>
    </w:p>
    <w:p w:rsidR="00CC21DD" w:rsidRDefault="00CC21DD" w:rsidP="00E81A31">
      <w:pPr>
        <w:pStyle w:val="AH3sec"/>
        <w:numPr>
          <w:ilvl w:val="0"/>
          <w:numId w:val="5"/>
        </w:numPr>
        <w:ind w:left="0" w:firstLine="0"/>
      </w:pPr>
      <w:r>
        <w:lastRenderedPageBreak/>
        <w:br/>
        <w:t>Clause 6</w:t>
      </w:r>
      <w:r>
        <w:br/>
        <w:t>Proposed new section 18G (2) (aa) and (ab)</w:t>
      </w:r>
      <w:r>
        <w:br/>
        <w:t>Page 4, line 26—</w:t>
      </w:r>
    </w:p>
    <w:p w:rsidR="00CC21DD" w:rsidRDefault="00CC21DD" w:rsidP="00CC21DD">
      <w:pPr>
        <w:pStyle w:val="direction"/>
        <w:keepLines/>
      </w:pPr>
      <w:r>
        <w:t>insert</w:t>
      </w:r>
    </w:p>
    <w:p w:rsidR="00CC21DD" w:rsidRDefault="00CC21DD" w:rsidP="00CC21DD">
      <w:pPr>
        <w:pStyle w:val="Ipara"/>
        <w:keepNext/>
        <w:keepLines/>
      </w:pPr>
      <w:r>
        <w:tab/>
        <w:t>(aa)</w:t>
      </w:r>
      <w:r>
        <w:tab/>
        <w:t>for a capital works advance—a statement explaining why—</w:t>
      </w:r>
    </w:p>
    <w:p w:rsidR="00CC21DD" w:rsidRDefault="00CC21DD" w:rsidP="00CC21DD">
      <w:pPr>
        <w:pStyle w:val="Isubpara"/>
        <w:keepNext/>
        <w:keepLines/>
      </w:pPr>
      <w:r>
        <w:tab/>
        <w:t>(i)</w:t>
      </w:r>
      <w:r>
        <w:tab/>
        <w:t>the capital works advance was required; and</w:t>
      </w:r>
    </w:p>
    <w:p w:rsidR="00CC21DD" w:rsidRDefault="00CC21DD" w:rsidP="00CC21DD">
      <w:pPr>
        <w:pStyle w:val="Isubpara"/>
        <w:keepNext/>
        <w:keepLines/>
      </w:pPr>
      <w:r>
        <w:tab/>
        <w:t>(ii)</w:t>
      </w:r>
      <w:r>
        <w:tab/>
        <w:t>the amount required for the capital works advance was not provided for by the appropriation for the financial year; and</w:t>
      </w:r>
    </w:p>
    <w:p w:rsidR="00CC21DD" w:rsidRDefault="00CC21DD" w:rsidP="00CC21DD">
      <w:pPr>
        <w:pStyle w:val="Ipara"/>
        <w:keepNext/>
        <w:keepLines/>
      </w:pPr>
      <w:r>
        <w:tab/>
        <w:t>(ab)</w:t>
      </w:r>
      <w:r>
        <w:tab/>
        <w:t>for a reduction of the amount of a capital works advance—a statement explaining why—</w:t>
      </w:r>
    </w:p>
    <w:p w:rsidR="00CC21DD" w:rsidRDefault="00CC21DD" w:rsidP="00CC21DD">
      <w:pPr>
        <w:pStyle w:val="Isubpara"/>
        <w:keepNext/>
        <w:keepLines/>
      </w:pPr>
      <w:r>
        <w:tab/>
        <w:t>(i)</w:t>
      </w:r>
      <w:r>
        <w:tab/>
        <w:t>the capital works advance was not fully disbursed to the entity; and</w:t>
      </w:r>
    </w:p>
    <w:p w:rsidR="00CC21DD" w:rsidRDefault="00CC21DD" w:rsidP="00CC21DD">
      <w:pPr>
        <w:pStyle w:val="Isubpara"/>
        <w:keepNext/>
        <w:keepLines/>
      </w:pPr>
      <w:r>
        <w:tab/>
        <w:t>(ii)</w:t>
      </w:r>
      <w:r>
        <w:tab/>
        <w:t>the undisbursed amount is no longer required by the entity; and</w:t>
      </w:r>
    </w:p>
    <w:p w:rsidR="00E81A31" w:rsidRDefault="00E81A31" w:rsidP="00E81A31">
      <w:pPr>
        <w:pBdr>
          <w:bottom w:val="single" w:sz="4" w:space="1" w:color="auto"/>
        </w:pBdr>
        <w:rPr>
          <w:rFonts w:asciiTheme="minorHAnsi" w:hAnsiTheme="minorHAnsi"/>
          <w:lang w:val="en-AU"/>
        </w:rPr>
      </w:pPr>
    </w:p>
    <w:p w:rsidR="00CC21DD" w:rsidRDefault="00CC21DD" w:rsidP="00E81A31">
      <w:pPr>
        <w:pBdr>
          <w:bottom w:val="single" w:sz="4" w:space="1" w:color="auto"/>
        </w:pBdr>
        <w:rPr>
          <w:rFonts w:asciiTheme="minorHAnsi" w:hAnsiTheme="minorHAnsi"/>
          <w:lang w:val="en-AU"/>
        </w:rPr>
      </w:pPr>
      <w:r>
        <w:rPr>
          <w:rFonts w:asciiTheme="minorHAnsi" w:hAnsiTheme="minorHAnsi"/>
          <w:lang w:val="en-AU"/>
        </w:rPr>
        <w:br w:type="page"/>
      </w:r>
    </w:p>
    <w:p w:rsidR="00295BAD" w:rsidRDefault="00295BAD" w:rsidP="00CC21DD">
      <w:pPr>
        <w:pStyle w:val="DPSEntryDetail"/>
        <w:ind w:left="0"/>
        <w:jc w:val="left"/>
        <w:rPr>
          <w:b/>
          <w:sz w:val="28"/>
          <w:szCs w:val="28"/>
          <w:u w:val="single"/>
        </w:rPr>
      </w:pPr>
      <w:bookmarkStart w:id="2" w:name="Schedule2"/>
      <w:bookmarkEnd w:id="2"/>
    </w:p>
    <w:p w:rsidR="00CC21DD" w:rsidRDefault="00CC21DD" w:rsidP="00CC21DD">
      <w:pPr>
        <w:pStyle w:val="DPSEntryDetail"/>
        <w:ind w:left="0"/>
        <w:jc w:val="left"/>
        <w:rPr>
          <w:b/>
          <w:sz w:val="28"/>
          <w:szCs w:val="28"/>
          <w:u w:val="single"/>
        </w:rPr>
      </w:pPr>
      <w:r>
        <w:rPr>
          <w:b/>
          <w:sz w:val="28"/>
          <w:szCs w:val="28"/>
          <w:u w:val="single"/>
        </w:rPr>
        <w:t>Schedule 2</w:t>
      </w:r>
    </w:p>
    <w:p w:rsidR="00CC21DD" w:rsidRDefault="00CC21DD" w:rsidP="00CC21DD">
      <w:pPr>
        <w:pStyle w:val="DPSEntryDetail"/>
        <w:ind w:left="0"/>
        <w:jc w:val="left"/>
        <w:rPr>
          <w:b/>
          <w:sz w:val="28"/>
          <w:szCs w:val="28"/>
          <w:u w:val="single"/>
        </w:rPr>
      </w:pPr>
    </w:p>
    <w:p w:rsidR="00CC21DD" w:rsidRDefault="00CC21DD" w:rsidP="00CC21DD">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CONTROLLED SPORTS BILL 2018</w:t>
      </w:r>
    </w:p>
    <w:p w:rsidR="00CC21DD" w:rsidRDefault="00CC21DD" w:rsidP="00CC21DD">
      <w:pPr>
        <w:tabs>
          <w:tab w:val="left" w:pos="1197"/>
          <w:tab w:val="left" w:pos="1767"/>
        </w:tabs>
        <w:spacing w:before="120"/>
        <w:rPr>
          <w:rFonts w:asciiTheme="minorHAnsi" w:hAnsiTheme="minorHAnsi"/>
          <w:lang w:val="en-AU"/>
        </w:rPr>
      </w:pPr>
      <w:r>
        <w:rPr>
          <w:rFonts w:asciiTheme="minorHAnsi" w:hAnsiTheme="minorHAnsi"/>
          <w:lang w:val="en-AU"/>
        </w:rPr>
        <w:t>Amendments circulated by the Minister for Sport and Recreation</w:t>
      </w:r>
    </w:p>
    <w:p w:rsidR="00CC21DD" w:rsidRDefault="00CC21DD" w:rsidP="00CC21DD">
      <w:pPr>
        <w:pStyle w:val="AH3sec"/>
        <w:tabs>
          <w:tab w:val="left" w:pos="0"/>
        </w:tabs>
        <w:ind w:left="0" w:firstLine="0"/>
      </w:pPr>
      <w:r>
        <w:t>1</w:t>
      </w:r>
      <w:r>
        <w:br/>
        <w:t>Clause 9</w:t>
      </w:r>
      <w:r>
        <w:br/>
        <w:t>Page 6, line 1—</w:t>
      </w:r>
    </w:p>
    <w:p w:rsidR="00CC21DD" w:rsidRDefault="00CC21DD" w:rsidP="00CC21DD">
      <w:pPr>
        <w:pStyle w:val="direction"/>
      </w:pPr>
      <w:r>
        <w:t>omit clause 9, substitute</w:t>
      </w:r>
    </w:p>
    <w:p w:rsidR="00CC21DD" w:rsidRDefault="00CC21DD" w:rsidP="00CC21DD">
      <w:pPr>
        <w:pStyle w:val="IH5Sec"/>
        <w:rPr>
          <w:i/>
        </w:rPr>
      </w:pPr>
      <w:r>
        <w:t>9</w:t>
      </w:r>
      <w:r>
        <w:tab/>
        <w:t xml:space="preserve">Meaning of </w:t>
      </w:r>
      <w:r>
        <w:rPr>
          <w:i/>
        </w:rPr>
        <w:t>controlled sports event</w:t>
      </w:r>
    </w:p>
    <w:p w:rsidR="00CC21DD" w:rsidRDefault="00CC21DD" w:rsidP="00CC21DD">
      <w:pPr>
        <w:pStyle w:val="IMain"/>
      </w:pPr>
      <w:r>
        <w:tab/>
        <w:t>(1)</w:t>
      </w:r>
      <w:r>
        <w:tab/>
        <w:t>In this Act:</w:t>
      </w:r>
    </w:p>
    <w:p w:rsidR="00CC21DD" w:rsidRDefault="00CC21DD" w:rsidP="00CC21DD">
      <w:pPr>
        <w:pStyle w:val="aDef"/>
        <w:ind w:left="1100" w:firstLine="0"/>
      </w:pPr>
      <w:r>
        <w:rPr>
          <w:b/>
          <w:i/>
        </w:rPr>
        <w:t>controlled sports event</w:t>
      </w:r>
      <w:r>
        <w:t>—</w:t>
      </w:r>
    </w:p>
    <w:p w:rsidR="00CC21DD" w:rsidRDefault="00CC21DD" w:rsidP="00CC21DD">
      <w:pPr>
        <w:pStyle w:val="Idefpara"/>
      </w:pPr>
      <w:r>
        <w:tab/>
        <w:t>(a)</w:t>
      </w:r>
      <w:r>
        <w:tab/>
        <w:t>means an event involving a contest or exhibition of a controlled sport; but</w:t>
      </w:r>
    </w:p>
    <w:p w:rsidR="00CC21DD" w:rsidRDefault="00CC21DD" w:rsidP="00CC21DD">
      <w:pPr>
        <w:pStyle w:val="Idefpara"/>
      </w:pPr>
      <w:r>
        <w:tab/>
        <w:t>(b)</w:t>
      </w:r>
      <w:r>
        <w:tab/>
        <w:t>does not include training.</w:t>
      </w:r>
    </w:p>
    <w:p w:rsidR="00CC21DD" w:rsidRDefault="00CC21DD" w:rsidP="00CC21DD">
      <w:pPr>
        <w:pStyle w:val="IMain"/>
        <w:keepNext/>
      </w:pPr>
      <w:r>
        <w:tab/>
        <w:t>(2)</w:t>
      </w:r>
      <w:r>
        <w:tab/>
        <w:t>In this section:</w:t>
      </w:r>
    </w:p>
    <w:p w:rsidR="00CC21DD" w:rsidRDefault="00CC21DD" w:rsidP="00CC21DD">
      <w:pPr>
        <w:pStyle w:val="aDef"/>
        <w:keepNext/>
        <w:ind w:left="1100" w:firstLine="0"/>
      </w:pPr>
      <w:r>
        <w:rPr>
          <w:b/>
          <w:i/>
        </w:rPr>
        <w:t>training</w:t>
      </w:r>
      <w:r>
        <w:t>—</w:t>
      </w:r>
    </w:p>
    <w:p w:rsidR="00CC21DD" w:rsidRDefault="00CC21DD" w:rsidP="00CC21DD">
      <w:pPr>
        <w:pStyle w:val="Idefpara"/>
        <w:keepNext/>
      </w:pPr>
      <w:r>
        <w:tab/>
        <w:t>(a)</w:t>
      </w:r>
      <w:r>
        <w:tab/>
        <w:t>means an activity undertaken by a person to—</w:t>
      </w:r>
    </w:p>
    <w:p w:rsidR="00CC21DD" w:rsidRDefault="00CC21DD" w:rsidP="00CC21DD">
      <w:pPr>
        <w:pStyle w:val="Idefsubpara"/>
        <w:keepNext/>
      </w:pPr>
      <w:r>
        <w:tab/>
        <w:t>(i)</w:t>
      </w:r>
      <w:r>
        <w:tab/>
        <w:t>develop the person’s fitness or a skill; or</w:t>
      </w:r>
    </w:p>
    <w:p w:rsidR="00CC21DD" w:rsidRDefault="00CC21DD" w:rsidP="00CC21DD">
      <w:pPr>
        <w:pStyle w:val="Idefsubpara"/>
      </w:pPr>
      <w:r>
        <w:tab/>
        <w:t>(ii)</w:t>
      </w:r>
      <w:r>
        <w:tab/>
        <w:t>prepare for a contest; and</w:t>
      </w:r>
    </w:p>
    <w:p w:rsidR="00CC21DD" w:rsidRDefault="00CC21DD" w:rsidP="00CC21DD">
      <w:pPr>
        <w:pStyle w:val="Idefpara"/>
      </w:pPr>
      <w:r>
        <w:tab/>
        <w:t>(b)</w:t>
      </w:r>
      <w:r>
        <w:tab/>
        <w:t>includes sparring, other than at a contest.</w:t>
      </w:r>
    </w:p>
    <w:p w:rsidR="00CC21DD" w:rsidRDefault="00E81A31" w:rsidP="00E81A31">
      <w:pPr>
        <w:pStyle w:val="AH3sec"/>
        <w:ind w:left="0" w:firstLine="0"/>
      </w:pPr>
      <w:r>
        <w:t>2</w:t>
      </w:r>
      <w:r w:rsidR="00CC21DD">
        <w:br/>
        <w:t>Clause 18 (4)</w:t>
      </w:r>
      <w:r w:rsidR="00CC21DD">
        <w:br/>
        <w:t>Page 17, line 25—</w:t>
      </w:r>
    </w:p>
    <w:p w:rsidR="00CC21DD" w:rsidRDefault="00CC21DD" w:rsidP="00CC21DD">
      <w:pPr>
        <w:pStyle w:val="direction"/>
      </w:pPr>
      <w:r>
        <w:t>omit clause 18 (4), substitute</w:t>
      </w:r>
    </w:p>
    <w:p w:rsidR="00CC21DD" w:rsidRDefault="00CC21DD" w:rsidP="00CC21DD">
      <w:pPr>
        <w:pStyle w:val="IMain"/>
      </w:pPr>
      <w:r>
        <w:tab/>
        <w:t>(4)</w:t>
      </w:r>
      <w:r>
        <w:tab/>
        <w:t>The registrar must, in writing—</w:t>
      </w:r>
    </w:p>
    <w:p w:rsidR="00CC21DD" w:rsidRDefault="00CC21DD" w:rsidP="00CC21DD">
      <w:pPr>
        <w:pStyle w:val="Ipara"/>
      </w:pPr>
      <w:r>
        <w:tab/>
        <w:t>(a)</w:t>
      </w:r>
      <w:r>
        <w:tab/>
        <w:t>tell the applicant the registrar’s decision under subsection (3); and</w:t>
      </w:r>
    </w:p>
    <w:p w:rsidR="00CC21DD" w:rsidRDefault="00CC21DD" w:rsidP="00CC21DD">
      <w:pPr>
        <w:pStyle w:val="Ipara"/>
      </w:pPr>
      <w:r>
        <w:tab/>
        <w:t>(b)</w:t>
      </w:r>
      <w:r>
        <w:tab/>
        <w:t>for a decision under subsection (3) (b)—</w:t>
      </w:r>
    </w:p>
    <w:p w:rsidR="00CC21DD" w:rsidRDefault="00CC21DD" w:rsidP="00CC21DD">
      <w:pPr>
        <w:pStyle w:val="Isubpara"/>
      </w:pPr>
      <w:r>
        <w:tab/>
        <w:t>(i)</w:t>
      </w:r>
      <w:r>
        <w:tab/>
        <w:t>set out the reasons for the decision; and</w:t>
      </w:r>
    </w:p>
    <w:p w:rsidR="00CC21DD" w:rsidRDefault="00CC21DD" w:rsidP="00CC21DD">
      <w:pPr>
        <w:pStyle w:val="Isubpara"/>
      </w:pPr>
      <w:r>
        <w:tab/>
        <w:t>(ii)</w:t>
      </w:r>
      <w:r>
        <w:tab/>
        <w:t>state that the applicant may, within 20 working days after the day the registrar tells the applicant the decision, give additional information or documents to support the application.</w:t>
      </w:r>
    </w:p>
    <w:p w:rsidR="00CC21DD" w:rsidRDefault="00CC21DD" w:rsidP="00CC21DD">
      <w:pPr>
        <w:pStyle w:val="aNote"/>
      </w:pPr>
      <w:r>
        <w:rPr>
          <w:i/>
        </w:rPr>
        <w:t>Note</w:t>
      </w:r>
      <w:r>
        <w:rPr>
          <w:i/>
        </w:rPr>
        <w:tab/>
      </w:r>
      <w:r>
        <w:t>The registrar must also give the applicant a reviewable decision notice in relation to the decision to refuse to register the applicant (see s 82).</w:t>
      </w:r>
    </w:p>
    <w:p w:rsidR="00CC21DD" w:rsidRDefault="00CC21DD" w:rsidP="00295BAD">
      <w:pPr>
        <w:pStyle w:val="IMain"/>
        <w:keepNext/>
        <w:ind w:left="1094" w:hanging="1094"/>
      </w:pPr>
      <w:r>
        <w:lastRenderedPageBreak/>
        <w:tab/>
        <w:t>(4A)</w:t>
      </w:r>
      <w:r>
        <w:tab/>
        <w:t>If the applicant gives the registrar additional information or documents under subsection (4) (b) (ii), the registrar must, within 20 working days after receiving the information or documents—</w:t>
      </w:r>
    </w:p>
    <w:p w:rsidR="00CC21DD" w:rsidRDefault="00CC21DD" w:rsidP="00CC21DD">
      <w:pPr>
        <w:pStyle w:val="Ipara"/>
      </w:pPr>
      <w:r>
        <w:tab/>
        <w:t>(a)</w:t>
      </w:r>
      <w:r>
        <w:tab/>
        <w:t>reconsider the decision; and</w:t>
      </w:r>
    </w:p>
    <w:p w:rsidR="00CC21DD" w:rsidRDefault="00CC21DD" w:rsidP="00E81A31">
      <w:pPr>
        <w:pStyle w:val="Ipara"/>
        <w:keepNext/>
        <w:ind w:left="1598" w:hanging="1598"/>
      </w:pPr>
      <w:r>
        <w:tab/>
        <w:t>(b)</w:t>
      </w:r>
      <w:r>
        <w:tab/>
        <w:t>either—</w:t>
      </w:r>
    </w:p>
    <w:p w:rsidR="00CC21DD" w:rsidRDefault="00CC21DD" w:rsidP="00CC21DD">
      <w:pPr>
        <w:pStyle w:val="Isubpara"/>
      </w:pPr>
      <w:r>
        <w:tab/>
        <w:t>(i)</w:t>
      </w:r>
      <w:r>
        <w:tab/>
        <w:t>register the applicant; or</w:t>
      </w:r>
    </w:p>
    <w:p w:rsidR="00CC21DD" w:rsidRDefault="00CC21DD" w:rsidP="00CC21DD">
      <w:pPr>
        <w:pStyle w:val="Isubpara"/>
      </w:pPr>
      <w:r>
        <w:tab/>
        <w:t>(ii)</w:t>
      </w:r>
      <w:r>
        <w:tab/>
        <w:t>refuse to register the applicant; and</w:t>
      </w:r>
    </w:p>
    <w:p w:rsidR="00CC21DD" w:rsidRDefault="00CC21DD" w:rsidP="00CC21DD">
      <w:pPr>
        <w:pStyle w:val="Ipara"/>
      </w:pPr>
      <w:r>
        <w:tab/>
        <w:t>(c)</w:t>
      </w:r>
      <w:r>
        <w:tab/>
        <w:t>tell the applicant, in writing, the registrar’s decision; and</w:t>
      </w:r>
    </w:p>
    <w:p w:rsidR="00CC21DD" w:rsidRDefault="00CC21DD" w:rsidP="00CC21DD">
      <w:pPr>
        <w:pStyle w:val="Ipara"/>
      </w:pPr>
      <w:r>
        <w:tab/>
        <w:t>(d)</w:t>
      </w:r>
      <w:r>
        <w:tab/>
        <w:t>if the registrar refuses to register the applicant—set out the reasons for the decision.</w:t>
      </w:r>
    </w:p>
    <w:p w:rsidR="00CC21DD" w:rsidRDefault="00CC21DD" w:rsidP="00CC21DD">
      <w:pPr>
        <w:pStyle w:val="aNote"/>
      </w:pPr>
      <w:r>
        <w:rPr>
          <w:i/>
        </w:rPr>
        <w:t>Note</w:t>
      </w:r>
      <w:r>
        <w:rPr>
          <w:i/>
        </w:rPr>
        <w:tab/>
      </w:r>
      <w:r>
        <w:t xml:space="preserve">The registrar’s decision to refuse to register an applicant </w:t>
      </w:r>
      <w:r w:rsidR="00E81A31">
        <w:t>is a reviewable decision (see s </w:t>
      </w:r>
      <w:r>
        <w:t xml:space="preserve">81). </w:t>
      </w:r>
    </w:p>
    <w:p w:rsidR="00CC21DD" w:rsidRDefault="00E81A31" w:rsidP="00E81A31">
      <w:pPr>
        <w:pStyle w:val="AH3sec"/>
        <w:ind w:left="0" w:firstLine="0"/>
      </w:pPr>
      <w:r>
        <w:t>3</w:t>
      </w:r>
      <w:r w:rsidR="00CC21DD">
        <w:br/>
        <w:t>Clause 22 (6)</w:t>
      </w:r>
      <w:r w:rsidR="00CC21DD">
        <w:br/>
        <w:t>Page 20, line 6—</w:t>
      </w:r>
    </w:p>
    <w:p w:rsidR="00CC21DD" w:rsidRDefault="00CC21DD" w:rsidP="00CC21DD">
      <w:pPr>
        <w:pStyle w:val="direction"/>
      </w:pPr>
      <w:r>
        <w:t>omit clause 22 (6), substitute</w:t>
      </w:r>
    </w:p>
    <w:p w:rsidR="00CC21DD" w:rsidRDefault="00CC21DD" w:rsidP="00CC21DD">
      <w:pPr>
        <w:pStyle w:val="IMain"/>
      </w:pPr>
      <w:r>
        <w:tab/>
        <w:t>(6)</w:t>
      </w:r>
      <w:r>
        <w:tab/>
        <w:t>The registrar must, in writing—</w:t>
      </w:r>
    </w:p>
    <w:p w:rsidR="00CC21DD" w:rsidRDefault="00CC21DD" w:rsidP="00E81A31">
      <w:pPr>
        <w:pStyle w:val="Ipara"/>
        <w:spacing w:before="120"/>
      </w:pPr>
      <w:r>
        <w:tab/>
        <w:t>(a)</w:t>
      </w:r>
      <w:r>
        <w:tab/>
        <w:t>tell the applicant the registrar’s decision under subsection (5); and</w:t>
      </w:r>
    </w:p>
    <w:p w:rsidR="00CC21DD" w:rsidRDefault="00CC21DD" w:rsidP="00E81A31">
      <w:pPr>
        <w:pStyle w:val="Ipara"/>
        <w:spacing w:before="120"/>
      </w:pPr>
      <w:r>
        <w:tab/>
        <w:t>(b)</w:t>
      </w:r>
      <w:r>
        <w:tab/>
        <w:t>for a decision under subsection (5) (b)—</w:t>
      </w:r>
    </w:p>
    <w:p w:rsidR="00CC21DD" w:rsidRDefault="00CC21DD" w:rsidP="00E81A31">
      <w:pPr>
        <w:pStyle w:val="Isubpara"/>
        <w:spacing w:before="120"/>
      </w:pPr>
      <w:r>
        <w:tab/>
        <w:t>(i)</w:t>
      </w:r>
      <w:r>
        <w:tab/>
        <w:t>set out the reasons for the decision; and</w:t>
      </w:r>
    </w:p>
    <w:p w:rsidR="00CC21DD" w:rsidRDefault="00CC21DD" w:rsidP="00E81A31">
      <w:pPr>
        <w:pStyle w:val="Isubpara"/>
        <w:spacing w:before="120"/>
      </w:pPr>
      <w:r>
        <w:tab/>
        <w:t>(ii)</w:t>
      </w:r>
      <w:r>
        <w:tab/>
        <w:t>state that the applicant may, within 20 working days after the day the registrar tells the applicant the decision, give additional information or documents to support the application.</w:t>
      </w:r>
    </w:p>
    <w:p w:rsidR="00CC21DD" w:rsidRDefault="00CC21DD" w:rsidP="00E81A31">
      <w:pPr>
        <w:pStyle w:val="aNote"/>
        <w:spacing w:before="120"/>
      </w:pPr>
      <w:r>
        <w:rPr>
          <w:i/>
        </w:rPr>
        <w:t>Note</w:t>
      </w:r>
      <w:r>
        <w:rPr>
          <w:i/>
        </w:rPr>
        <w:tab/>
      </w:r>
      <w:r>
        <w:t>The registrar must also give the applicant a reviewable decision notice in relation to the decision to refuse to renew the applicant’s registration (see s 82).</w:t>
      </w:r>
    </w:p>
    <w:p w:rsidR="00CC21DD" w:rsidRDefault="00CC21DD" w:rsidP="00E81A31">
      <w:pPr>
        <w:pStyle w:val="IMain"/>
        <w:spacing w:before="120"/>
      </w:pPr>
      <w:r>
        <w:tab/>
        <w:t>(7)</w:t>
      </w:r>
      <w:r>
        <w:tab/>
        <w:t>If the applicant gives the registrar additional information or documents under subsection (6) (b) (ii), the registrar must, within 20 working days after receiving the information or documents—</w:t>
      </w:r>
    </w:p>
    <w:p w:rsidR="00CC21DD" w:rsidRDefault="00CC21DD" w:rsidP="00E81A31">
      <w:pPr>
        <w:pStyle w:val="Ipara"/>
        <w:spacing w:before="120"/>
      </w:pPr>
      <w:r>
        <w:tab/>
        <w:t>(a)</w:t>
      </w:r>
      <w:r>
        <w:tab/>
        <w:t>reconsider the decision; and</w:t>
      </w:r>
    </w:p>
    <w:p w:rsidR="00CC21DD" w:rsidRDefault="00CC21DD" w:rsidP="00E81A31">
      <w:pPr>
        <w:pStyle w:val="Ipara"/>
        <w:spacing w:before="120"/>
      </w:pPr>
      <w:r>
        <w:tab/>
        <w:t>(b)</w:t>
      </w:r>
      <w:r>
        <w:tab/>
        <w:t>either—</w:t>
      </w:r>
    </w:p>
    <w:p w:rsidR="00CC21DD" w:rsidRDefault="00CC21DD" w:rsidP="00E81A31">
      <w:pPr>
        <w:pStyle w:val="Isubpara"/>
        <w:spacing w:before="120"/>
      </w:pPr>
      <w:r>
        <w:tab/>
        <w:t>(i)</w:t>
      </w:r>
      <w:r>
        <w:tab/>
        <w:t>register the applicant; or</w:t>
      </w:r>
    </w:p>
    <w:p w:rsidR="00CC21DD" w:rsidRDefault="00CC21DD" w:rsidP="00E81A31">
      <w:pPr>
        <w:pStyle w:val="Isubpara"/>
        <w:spacing w:before="120"/>
      </w:pPr>
      <w:r>
        <w:tab/>
        <w:t>(ii)</w:t>
      </w:r>
      <w:r>
        <w:tab/>
        <w:t>refuse to register the applicant; and</w:t>
      </w:r>
    </w:p>
    <w:p w:rsidR="00CC21DD" w:rsidRDefault="00CC21DD" w:rsidP="00E81A31">
      <w:pPr>
        <w:pStyle w:val="Ipara"/>
        <w:spacing w:before="120"/>
      </w:pPr>
      <w:r>
        <w:tab/>
        <w:t>(c)</w:t>
      </w:r>
      <w:r>
        <w:tab/>
        <w:t>tell the applicant, in writing, the registrar’s decision; and</w:t>
      </w:r>
    </w:p>
    <w:p w:rsidR="00CC21DD" w:rsidRDefault="00CC21DD" w:rsidP="00E81A31">
      <w:pPr>
        <w:pStyle w:val="Ipara"/>
        <w:spacing w:before="120"/>
      </w:pPr>
      <w:r>
        <w:tab/>
        <w:t>(d)</w:t>
      </w:r>
      <w:r>
        <w:tab/>
        <w:t>if the registrar refuses to register the applicant—set out the reasons for the decision.</w:t>
      </w:r>
    </w:p>
    <w:p w:rsidR="00CC21DD" w:rsidRDefault="00CC21DD" w:rsidP="00E81A31">
      <w:pPr>
        <w:pStyle w:val="aNote"/>
        <w:spacing w:before="120"/>
      </w:pPr>
      <w:r>
        <w:rPr>
          <w:i/>
        </w:rPr>
        <w:t>Note</w:t>
      </w:r>
      <w:r>
        <w:rPr>
          <w:i/>
        </w:rPr>
        <w:tab/>
      </w:r>
      <w:r>
        <w:t xml:space="preserve">The registrar’s decision to refuse to renew an official’s registration is a reviewable decision (see s 81). </w:t>
      </w:r>
    </w:p>
    <w:p w:rsidR="00CC21DD" w:rsidRDefault="00CC21DD" w:rsidP="00E81A31">
      <w:pPr>
        <w:pStyle w:val="IMain"/>
        <w:keepNext/>
        <w:spacing w:before="120"/>
        <w:rPr>
          <w:lang w:eastAsia="en-AU"/>
        </w:rPr>
      </w:pPr>
      <w:r>
        <w:rPr>
          <w:lang w:eastAsia="en-AU"/>
        </w:rPr>
        <w:lastRenderedPageBreak/>
        <w:tab/>
        <w:t>(8)</w:t>
      </w:r>
      <w:r>
        <w:rPr>
          <w:lang w:eastAsia="en-AU"/>
        </w:rPr>
        <w:tab/>
        <w:t>The registrar is not required under this Act or any other territory law to give reasons for the registrar’s decision to the extent that giving those reasons would disclose security sensitive information.</w:t>
      </w:r>
    </w:p>
    <w:p w:rsidR="00CC21DD" w:rsidRDefault="00CC21DD" w:rsidP="00E81A31">
      <w:pPr>
        <w:pStyle w:val="aNote"/>
        <w:keepNext/>
        <w:spacing w:before="120"/>
        <w:rPr>
          <w:rFonts w:ascii="TimesNewRomanPSMT" w:hAnsi="TimesNewRomanPSMT" w:cs="TimesNewRomanPSMT"/>
          <w:lang w:eastAsia="en-AU"/>
        </w:rPr>
      </w:pPr>
      <w:r>
        <w:rPr>
          <w:rFonts w:ascii="TimesNewRomanPS-ItalicMT" w:hAnsi="TimesNewRomanPS-ItalicMT" w:cs="TimesNewRomanPS-ItalicMT"/>
          <w:i/>
          <w:lang w:eastAsia="en-AU"/>
        </w:rPr>
        <w:t>Note 1</w:t>
      </w:r>
      <w:r>
        <w:rPr>
          <w:rFonts w:ascii="TimesNewRomanPS-ItalicMT" w:hAnsi="TimesNewRomanPS-ItalicMT" w:cs="TimesNewRomanPS-ItalicMT"/>
          <w:i/>
          <w:lang w:eastAsia="en-AU"/>
        </w:rPr>
        <w:tab/>
      </w:r>
      <w:r>
        <w:rPr>
          <w:b/>
          <w:i/>
          <w:lang w:eastAsia="en-AU"/>
        </w:rPr>
        <w:t>Security sensitive information</w:t>
      </w:r>
      <w:r>
        <w:rPr>
          <w:rFonts w:ascii="TimesNewRomanPSMT" w:hAnsi="TimesNewRomanPSMT" w:cs="TimesNewRomanPSMT"/>
          <w:lang w:eastAsia="en-AU"/>
        </w:rPr>
        <w:t>—see the dictionary.</w:t>
      </w:r>
    </w:p>
    <w:p w:rsidR="00CC21DD" w:rsidRDefault="00CC21DD" w:rsidP="00E81A31">
      <w:pPr>
        <w:pStyle w:val="aNote"/>
        <w:spacing w:before="120"/>
        <w:rPr>
          <w:lang w:eastAsia="en-AU"/>
        </w:rPr>
      </w:pPr>
      <w:r>
        <w:rPr>
          <w:rFonts w:ascii="TimesNewRomanPS-ItalicMT" w:hAnsi="TimesNewRomanPS-ItalicMT" w:cs="TimesNewRomanPS-ItalicMT"/>
          <w:i/>
          <w:iCs/>
          <w:lang w:eastAsia="en-AU"/>
        </w:rPr>
        <w:t>Note 2</w:t>
      </w:r>
      <w:r>
        <w:rPr>
          <w:rFonts w:ascii="TimesNewRomanPS-ItalicMT" w:hAnsi="TimesNewRomanPS-ItalicMT" w:cs="TimesNewRomanPS-ItalicMT"/>
          <w:i/>
          <w:iCs/>
          <w:lang w:eastAsia="en-AU"/>
        </w:rPr>
        <w:tab/>
      </w:r>
      <w:r>
        <w:rPr>
          <w:lang w:eastAsia="en-AU"/>
        </w:rPr>
        <w:t>If the registrar does not give reasons for the registrar’s decision under s (8), and a person applies to the ACAT or the court for review of the registrar’s decision, the registrar must apply to the ACAT or the court for a decision about whether the reasons disclose security sensitive information (see s 84).</w:t>
      </w:r>
    </w:p>
    <w:p w:rsidR="00E81A31" w:rsidRDefault="00E81A31" w:rsidP="00E81A31">
      <w:pPr>
        <w:pStyle w:val="aNote"/>
        <w:pBdr>
          <w:bottom w:val="single" w:sz="4" w:space="1" w:color="auto"/>
        </w:pBdr>
        <w:spacing w:before="120"/>
        <w:ind w:left="800"/>
        <w:rPr>
          <w:lang w:eastAsia="en-AU"/>
        </w:rPr>
      </w:pPr>
    </w:p>
    <w:p w:rsidR="00CC21DD" w:rsidRDefault="00E81A31" w:rsidP="00295BAD">
      <w:pPr>
        <w:pStyle w:val="AH3sec"/>
        <w:pBdr>
          <w:top w:val="none" w:sz="0" w:space="0" w:color="auto"/>
        </w:pBdr>
        <w:ind w:left="0" w:firstLine="0"/>
      </w:pPr>
      <w:r>
        <w:t>4</w:t>
      </w:r>
      <w:r w:rsidR="00CC21DD">
        <w:br/>
        <w:t>Clause 27 (4)</w:t>
      </w:r>
      <w:r w:rsidR="00CC21DD">
        <w:br/>
        <w:t>Page 26, line 14—</w:t>
      </w:r>
    </w:p>
    <w:p w:rsidR="00CC21DD" w:rsidRDefault="00CC21DD" w:rsidP="00CC21DD">
      <w:pPr>
        <w:pStyle w:val="direction"/>
      </w:pPr>
      <w:r>
        <w:t>omit clause 27 (4), substitute</w:t>
      </w:r>
    </w:p>
    <w:p w:rsidR="00CC21DD" w:rsidRDefault="00CC21DD" w:rsidP="00CC21DD">
      <w:pPr>
        <w:pStyle w:val="IMain"/>
        <w:keepNext/>
      </w:pPr>
      <w:r>
        <w:tab/>
        <w:t>(4)</w:t>
      </w:r>
      <w:r>
        <w:tab/>
        <w:t>The registrar must, in writing—</w:t>
      </w:r>
    </w:p>
    <w:p w:rsidR="00CC21DD" w:rsidRDefault="00CC21DD" w:rsidP="00CC21DD">
      <w:pPr>
        <w:pStyle w:val="Ipara"/>
        <w:keepNext/>
      </w:pPr>
      <w:r>
        <w:tab/>
        <w:t>(a)</w:t>
      </w:r>
      <w:r>
        <w:tab/>
        <w:t>tell the applicant the registrar’s decision under subsection (3); and</w:t>
      </w:r>
    </w:p>
    <w:p w:rsidR="00CC21DD" w:rsidRDefault="00CC21DD" w:rsidP="00CC21DD">
      <w:pPr>
        <w:pStyle w:val="Ipara"/>
        <w:keepNext/>
      </w:pPr>
      <w:r>
        <w:tab/>
        <w:t>(b)</w:t>
      </w:r>
      <w:r>
        <w:tab/>
        <w:t>for a decision under subsection (3) (b)—</w:t>
      </w:r>
    </w:p>
    <w:p w:rsidR="00CC21DD" w:rsidRDefault="00CC21DD" w:rsidP="00CC21DD">
      <w:pPr>
        <w:pStyle w:val="Isubpara"/>
        <w:keepNext/>
      </w:pPr>
      <w:r>
        <w:tab/>
        <w:t>(i)</w:t>
      </w:r>
      <w:r>
        <w:tab/>
        <w:t>set out the reasons for the decision; and</w:t>
      </w:r>
    </w:p>
    <w:p w:rsidR="00CC21DD" w:rsidRDefault="00CC21DD" w:rsidP="00CC21DD">
      <w:pPr>
        <w:pStyle w:val="Isubpara"/>
        <w:keepNext/>
      </w:pPr>
      <w:r>
        <w:tab/>
        <w:t>(ii)</w:t>
      </w:r>
      <w:r>
        <w:tab/>
        <w:t>state that the applicant may, within 20 working days after the day the registrar tells the applicant the decision, give additional information or documents to support the application.</w:t>
      </w:r>
    </w:p>
    <w:p w:rsidR="00CC21DD" w:rsidRDefault="00CC21DD" w:rsidP="00CC21DD">
      <w:pPr>
        <w:pStyle w:val="aNote"/>
      </w:pPr>
      <w:r>
        <w:rPr>
          <w:i/>
        </w:rPr>
        <w:t>Note</w:t>
      </w:r>
      <w:r>
        <w:rPr>
          <w:i/>
        </w:rPr>
        <w:tab/>
      </w:r>
      <w:r>
        <w:t>The registrar must also give the applicant a reviewable decision notice in relation to the decision to refuse to register the applicant (see s 82).</w:t>
      </w:r>
    </w:p>
    <w:p w:rsidR="00CC21DD" w:rsidRDefault="00CC21DD" w:rsidP="00CC21DD">
      <w:pPr>
        <w:pStyle w:val="IMain"/>
      </w:pPr>
      <w:r>
        <w:tab/>
        <w:t>(4A)</w:t>
      </w:r>
      <w:r>
        <w:tab/>
        <w:t>If the applicant gives the registrar additional information or documents under subsection (4) (b) (ii), the registrar must, within 20 working days after receiving the information or documents—</w:t>
      </w:r>
    </w:p>
    <w:p w:rsidR="00CC21DD" w:rsidRDefault="00CC21DD" w:rsidP="00CC21DD">
      <w:pPr>
        <w:pStyle w:val="Ipara"/>
      </w:pPr>
      <w:r>
        <w:tab/>
        <w:t>(a)</w:t>
      </w:r>
      <w:r>
        <w:tab/>
        <w:t>reconsider the decision; and</w:t>
      </w:r>
    </w:p>
    <w:p w:rsidR="00CC21DD" w:rsidRDefault="00CC21DD" w:rsidP="00CC21DD">
      <w:pPr>
        <w:pStyle w:val="Ipara"/>
      </w:pPr>
      <w:r>
        <w:tab/>
        <w:t>(b)</w:t>
      </w:r>
      <w:r>
        <w:tab/>
        <w:t>either—</w:t>
      </w:r>
    </w:p>
    <w:p w:rsidR="00CC21DD" w:rsidRDefault="00CC21DD" w:rsidP="00CC21DD">
      <w:pPr>
        <w:pStyle w:val="Isubpara"/>
      </w:pPr>
      <w:r>
        <w:tab/>
        <w:t>(i)</w:t>
      </w:r>
      <w:r>
        <w:tab/>
        <w:t>register the applicant; or</w:t>
      </w:r>
    </w:p>
    <w:p w:rsidR="00CC21DD" w:rsidRDefault="00CC21DD" w:rsidP="00CC21DD">
      <w:pPr>
        <w:pStyle w:val="Isubpara"/>
      </w:pPr>
      <w:r>
        <w:tab/>
        <w:t>(ii)</w:t>
      </w:r>
      <w:r>
        <w:tab/>
        <w:t>refuse to register the applicant; and</w:t>
      </w:r>
    </w:p>
    <w:p w:rsidR="00CC21DD" w:rsidRDefault="00CC21DD" w:rsidP="00CC21DD">
      <w:pPr>
        <w:pStyle w:val="Ipara"/>
      </w:pPr>
      <w:r>
        <w:tab/>
        <w:t>(c)</w:t>
      </w:r>
      <w:r>
        <w:tab/>
        <w:t>tell the applicant, in writing, the registrar’s decision; and</w:t>
      </w:r>
    </w:p>
    <w:p w:rsidR="00CC21DD" w:rsidRDefault="00CC21DD" w:rsidP="00CC21DD">
      <w:pPr>
        <w:pStyle w:val="Ipara"/>
      </w:pPr>
      <w:r>
        <w:tab/>
        <w:t>(d)</w:t>
      </w:r>
      <w:r>
        <w:tab/>
        <w:t>if the registrar refuses to register the applicant—set out the reasons for the decision.</w:t>
      </w:r>
    </w:p>
    <w:p w:rsidR="00CC21DD" w:rsidRDefault="00CC21DD" w:rsidP="00CC21DD">
      <w:pPr>
        <w:pStyle w:val="aNote"/>
      </w:pPr>
      <w:r>
        <w:rPr>
          <w:i/>
        </w:rPr>
        <w:t>Note</w:t>
      </w:r>
      <w:r>
        <w:rPr>
          <w:i/>
        </w:rPr>
        <w:tab/>
      </w:r>
      <w:r>
        <w:t xml:space="preserve">The registrar’s decision to refuse to register an applicant </w:t>
      </w:r>
      <w:r w:rsidR="00E81A31">
        <w:t>is a reviewable decision (see s </w:t>
      </w:r>
      <w:r>
        <w:t xml:space="preserve">81). </w:t>
      </w:r>
    </w:p>
    <w:p w:rsidR="00295BAD" w:rsidRPr="00295BAD" w:rsidRDefault="00295BAD" w:rsidP="00295BAD">
      <w:pPr>
        <w:pStyle w:val="aNote"/>
        <w:pBdr>
          <w:bottom w:val="single" w:sz="4" w:space="1" w:color="auto"/>
        </w:pBdr>
        <w:ind w:left="800"/>
      </w:pPr>
    </w:p>
    <w:p w:rsidR="00CC21DD" w:rsidRDefault="00E81A31" w:rsidP="00295BAD">
      <w:pPr>
        <w:pStyle w:val="AH3sec"/>
        <w:ind w:left="0" w:firstLine="0"/>
      </w:pPr>
      <w:r>
        <w:lastRenderedPageBreak/>
        <w:t>5</w:t>
      </w:r>
      <w:r w:rsidR="00CC21DD">
        <w:br/>
        <w:t>Clause 31 (6)</w:t>
      </w:r>
      <w:r w:rsidR="00CC21DD">
        <w:br/>
        <w:t>Page 30, line 1—</w:t>
      </w:r>
    </w:p>
    <w:p w:rsidR="00CC21DD" w:rsidRDefault="00CC21DD" w:rsidP="00295BAD">
      <w:pPr>
        <w:pStyle w:val="direction"/>
      </w:pPr>
      <w:r>
        <w:t>omit clause 31 (6), substitute</w:t>
      </w:r>
    </w:p>
    <w:p w:rsidR="00CC21DD" w:rsidRDefault="00CC21DD" w:rsidP="00295BAD">
      <w:pPr>
        <w:pStyle w:val="IMain"/>
        <w:keepNext/>
      </w:pPr>
      <w:r>
        <w:tab/>
        <w:t>(6)</w:t>
      </w:r>
      <w:r>
        <w:tab/>
        <w:t>The registrar must, in writing—</w:t>
      </w:r>
    </w:p>
    <w:p w:rsidR="00CC21DD" w:rsidRDefault="00CC21DD" w:rsidP="00CC21DD">
      <w:pPr>
        <w:pStyle w:val="Ipara"/>
      </w:pPr>
      <w:r>
        <w:tab/>
        <w:t>(a)</w:t>
      </w:r>
      <w:r>
        <w:tab/>
        <w:t>tell the applicant the registrar’s decision under subsection (5); and</w:t>
      </w:r>
    </w:p>
    <w:p w:rsidR="00CC21DD" w:rsidRDefault="00CC21DD" w:rsidP="00CC21DD">
      <w:pPr>
        <w:pStyle w:val="Ipara"/>
      </w:pPr>
      <w:r>
        <w:tab/>
        <w:t>(b)</w:t>
      </w:r>
      <w:r>
        <w:tab/>
        <w:t>for a decision under subsection (5) (b)—</w:t>
      </w:r>
    </w:p>
    <w:p w:rsidR="00CC21DD" w:rsidRDefault="00CC21DD" w:rsidP="00CC21DD">
      <w:pPr>
        <w:pStyle w:val="Isubpara"/>
      </w:pPr>
      <w:r>
        <w:tab/>
        <w:t>(i)</w:t>
      </w:r>
      <w:r>
        <w:tab/>
        <w:t>set out the reasons for the decision; and</w:t>
      </w:r>
    </w:p>
    <w:p w:rsidR="00CC21DD" w:rsidRDefault="00CC21DD" w:rsidP="00CC21DD">
      <w:pPr>
        <w:pStyle w:val="Isubpara"/>
      </w:pPr>
      <w:r>
        <w:tab/>
        <w:t>(ii)</w:t>
      </w:r>
      <w:r>
        <w:tab/>
        <w:t>state that the applicant may, within 20 working days after the day the registrar tells the applicant the decision, give additional information or documents to support the application.</w:t>
      </w:r>
    </w:p>
    <w:p w:rsidR="00CC21DD" w:rsidRDefault="00CC21DD" w:rsidP="00CC21DD">
      <w:pPr>
        <w:pStyle w:val="aNote"/>
      </w:pPr>
      <w:r>
        <w:rPr>
          <w:i/>
        </w:rPr>
        <w:t>Note</w:t>
      </w:r>
      <w:r>
        <w:rPr>
          <w:i/>
        </w:rPr>
        <w:tab/>
      </w:r>
      <w:r>
        <w:t>The registrar must also give the applicant a reviewable decision notice in relation to the decision to refuse to renew the applicant’s registration (see s 82).</w:t>
      </w:r>
    </w:p>
    <w:p w:rsidR="00CC21DD" w:rsidRDefault="00CC21DD" w:rsidP="00CC21DD">
      <w:pPr>
        <w:pStyle w:val="IMain"/>
      </w:pPr>
      <w:r>
        <w:tab/>
        <w:t>(7)</w:t>
      </w:r>
      <w:r>
        <w:tab/>
        <w:t>If the applicant gives the registrar additional information or documents under subsection (6) (b) (ii), the registrar must, within 20 working days after receiving the information or documents—</w:t>
      </w:r>
    </w:p>
    <w:p w:rsidR="00CC21DD" w:rsidRDefault="00CC21DD" w:rsidP="00CC21DD">
      <w:pPr>
        <w:pStyle w:val="Ipara"/>
      </w:pPr>
      <w:r>
        <w:tab/>
        <w:t>(a)</w:t>
      </w:r>
      <w:r>
        <w:tab/>
        <w:t>reconsider the decision; and</w:t>
      </w:r>
    </w:p>
    <w:p w:rsidR="00CC21DD" w:rsidRDefault="00CC21DD" w:rsidP="00CC21DD">
      <w:pPr>
        <w:pStyle w:val="Ipara"/>
      </w:pPr>
      <w:r>
        <w:tab/>
        <w:t>(b)</w:t>
      </w:r>
      <w:r>
        <w:tab/>
        <w:t>either—</w:t>
      </w:r>
    </w:p>
    <w:p w:rsidR="00CC21DD" w:rsidRDefault="00CC21DD" w:rsidP="00CC21DD">
      <w:pPr>
        <w:pStyle w:val="Isubpara"/>
      </w:pPr>
      <w:r>
        <w:tab/>
        <w:t>(i)</w:t>
      </w:r>
      <w:r>
        <w:tab/>
        <w:t>register the applicant; or</w:t>
      </w:r>
    </w:p>
    <w:p w:rsidR="00CC21DD" w:rsidRDefault="00CC21DD" w:rsidP="00CC21DD">
      <w:pPr>
        <w:pStyle w:val="Isubpara"/>
      </w:pPr>
      <w:r>
        <w:tab/>
        <w:t>(ii)</w:t>
      </w:r>
      <w:r>
        <w:tab/>
        <w:t>refuse to register the applicant; and</w:t>
      </w:r>
    </w:p>
    <w:p w:rsidR="00CC21DD" w:rsidRDefault="00CC21DD" w:rsidP="00CC21DD">
      <w:pPr>
        <w:pStyle w:val="Ipara"/>
      </w:pPr>
      <w:r>
        <w:tab/>
        <w:t>(c)</w:t>
      </w:r>
      <w:r>
        <w:tab/>
        <w:t>tell the applicant, in writing, the registrar’s decision; and</w:t>
      </w:r>
    </w:p>
    <w:p w:rsidR="00CC21DD" w:rsidRDefault="00CC21DD" w:rsidP="00CC21DD">
      <w:pPr>
        <w:pStyle w:val="Ipara"/>
      </w:pPr>
      <w:r>
        <w:tab/>
        <w:t>(d)</w:t>
      </w:r>
      <w:r>
        <w:tab/>
        <w:t>if the registrar refuses to register the applicant—set out the reasons for the decision.</w:t>
      </w:r>
    </w:p>
    <w:p w:rsidR="00CC21DD" w:rsidRDefault="00CC21DD" w:rsidP="00CC21DD">
      <w:pPr>
        <w:pStyle w:val="aNote"/>
      </w:pPr>
      <w:r>
        <w:rPr>
          <w:i/>
        </w:rPr>
        <w:t>Note</w:t>
      </w:r>
      <w:r>
        <w:rPr>
          <w:i/>
        </w:rPr>
        <w:tab/>
      </w:r>
      <w:r>
        <w:t xml:space="preserve">The registrar’s decision to refuse to renew a contestant’s registration is a reviewable decision (see s 81). </w:t>
      </w:r>
    </w:p>
    <w:p w:rsidR="00CC21DD" w:rsidRDefault="00CC21DD" w:rsidP="00CC21DD">
      <w:pPr>
        <w:pStyle w:val="IMain"/>
        <w:rPr>
          <w:lang w:eastAsia="en-AU"/>
        </w:rPr>
      </w:pPr>
      <w:r>
        <w:rPr>
          <w:lang w:eastAsia="en-AU"/>
        </w:rPr>
        <w:tab/>
        <w:t>(8)</w:t>
      </w:r>
      <w:r>
        <w:rPr>
          <w:lang w:eastAsia="en-AU"/>
        </w:rPr>
        <w:tab/>
        <w:t>The registrar is not required under this Act or any other territory law to give reasons for the registrar’s decision to the extent that giving those reasons would disclose security sensitive information.</w:t>
      </w:r>
    </w:p>
    <w:p w:rsidR="00CC21DD" w:rsidRDefault="00CC21DD" w:rsidP="00CC21DD">
      <w:pPr>
        <w:pStyle w:val="aNote"/>
        <w:rPr>
          <w:rFonts w:ascii="TimesNewRomanPSMT" w:hAnsi="TimesNewRomanPSMT" w:cs="TimesNewRomanPSMT"/>
          <w:lang w:eastAsia="en-AU"/>
        </w:rPr>
      </w:pPr>
      <w:r>
        <w:rPr>
          <w:rFonts w:ascii="TimesNewRomanPS-ItalicMT" w:hAnsi="TimesNewRomanPS-ItalicMT" w:cs="TimesNewRomanPS-ItalicMT"/>
          <w:i/>
          <w:lang w:eastAsia="en-AU"/>
        </w:rPr>
        <w:t>Note 1</w:t>
      </w:r>
      <w:r>
        <w:rPr>
          <w:rFonts w:ascii="TimesNewRomanPS-ItalicMT" w:hAnsi="TimesNewRomanPS-ItalicMT" w:cs="TimesNewRomanPS-ItalicMT"/>
          <w:i/>
          <w:lang w:eastAsia="en-AU"/>
        </w:rPr>
        <w:tab/>
      </w:r>
      <w:r>
        <w:rPr>
          <w:b/>
          <w:i/>
          <w:lang w:eastAsia="en-AU"/>
        </w:rPr>
        <w:t>Security sensitive information</w:t>
      </w:r>
      <w:r>
        <w:rPr>
          <w:rFonts w:ascii="TimesNewRomanPSMT" w:hAnsi="TimesNewRomanPSMT" w:cs="TimesNewRomanPSMT"/>
          <w:lang w:eastAsia="en-AU"/>
        </w:rPr>
        <w:t>—see the dictionary.</w:t>
      </w:r>
    </w:p>
    <w:p w:rsidR="00CC21DD" w:rsidRDefault="00CC21DD" w:rsidP="00CC21DD">
      <w:pPr>
        <w:pStyle w:val="aNote"/>
        <w:rPr>
          <w:lang w:eastAsia="en-AU"/>
        </w:rPr>
      </w:pPr>
      <w:r>
        <w:rPr>
          <w:rFonts w:ascii="TimesNewRomanPS-ItalicMT" w:hAnsi="TimesNewRomanPS-ItalicMT" w:cs="TimesNewRomanPS-ItalicMT"/>
          <w:i/>
          <w:iCs/>
          <w:lang w:eastAsia="en-AU"/>
        </w:rPr>
        <w:t>Note 2</w:t>
      </w:r>
      <w:r>
        <w:rPr>
          <w:rFonts w:ascii="TimesNewRomanPS-ItalicMT" w:hAnsi="TimesNewRomanPS-ItalicMT" w:cs="TimesNewRomanPS-ItalicMT"/>
          <w:i/>
          <w:iCs/>
          <w:lang w:eastAsia="en-AU"/>
        </w:rPr>
        <w:tab/>
      </w:r>
      <w:r>
        <w:rPr>
          <w:lang w:eastAsia="en-AU"/>
        </w:rPr>
        <w:t>If the registrar does not give reasons for the registrar’s decision under s (8), and a person applies to the ACAT or the court for review of the registrar’s decision, the registrar must apply to the ACAT or the court for a decision about whether the reasons disclose security sensitive information (see s 84).</w:t>
      </w:r>
    </w:p>
    <w:p w:rsidR="00E81A31" w:rsidRDefault="00E81A31" w:rsidP="00E81A31">
      <w:pPr>
        <w:pBdr>
          <w:bottom w:val="single" w:sz="4" w:space="1" w:color="auto"/>
        </w:pBdr>
      </w:pPr>
    </w:p>
    <w:p w:rsidR="00CC21DD" w:rsidRDefault="00CC21DD" w:rsidP="00E81A31">
      <w:pPr>
        <w:rPr>
          <w:lang w:val="en-AU" w:eastAsia="en-US"/>
        </w:rPr>
      </w:pPr>
      <w:r>
        <w:br w:type="page"/>
      </w:r>
    </w:p>
    <w:p w:rsidR="00295BAD" w:rsidRDefault="00295BAD" w:rsidP="00CC21DD">
      <w:pPr>
        <w:pStyle w:val="DPSEntryDetail"/>
        <w:ind w:left="0"/>
        <w:jc w:val="left"/>
        <w:rPr>
          <w:b/>
          <w:sz w:val="28"/>
          <w:szCs w:val="28"/>
          <w:u w:val="single"/>
        </w:rPr>
      </w:pPr>
      <w:bookmarkStart w:id="3" w:name="Schedule3"/>
      <w:bookmarkEnd w:id="3"/>
    </w:p>
    <w:p w:rsidR="00CC21DD" w:rsidRDefault="00CC21DD" w:rsidP="00CC21DD">
      <w:pPr>
        <w:pStyle w:val="DPSEntryDetail"/>
        <w:ind w:left="0"/>
        <w:jc w:val="left"/>
        <w:rPr>
          <w:b/>
          <w:sz w:val="28"/>
          <w:szCs w:val="28"/>
          <w:u w:val="single"/>
        </w:rPr>
      </w:pPr>
      <w:r>
        <w:rPr>
          <w:b/>
          <w:sz w:val="28"/>
          <w:szCs w:val="28"/>
          <w:u w:val="single"/>
        </w:rPr>
        <w:t>Schedule 3</w:t>
      </w:r>
    </w:p>
    <w:p w:rsidR="00CC21DD" w:rsidRDefault="00CC21DD" w:rsidP="00CC21DD">
      <w:pPr>
        <w:pStyle w:val="DPSEntryDetail"/>
        <w:ind w:left="0"/>
        <w:jc w:val="left"/>
        <w:rPr>
          <w:b/>
          <w:sz w:val="28"/>
          <w:szCs w:val="28"/>
          <w:u w:val="single"/>
        </w:rPr>
      </w:pPr>
    </w:p>
    <w:p w:rsidR="00CC21DD" w:rsidRDefault="00CC21DD" w:rsidP="00CC21DD">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CONTROLLED SPORTS BILL 2018</w:t>
      </w:r>
    </w:p>
    <w:p w:rsidR="00CC21DD" w:rsidRDefault="00CC21DD" w:rsidP="00CC21DD">
      <w:pPr>
        <w:tabs>
          <w:tab w:val="left" w:pos="1197"/>
          <w:tab w:val="left" w:pos="1767"/>
        </w:tabs>
        <w:spacing w:before="120"/>
        <w:rPr>
          <w:rFonts w:asciiTheme="minorHAnsi" w:hAnsiTheme="minorHAnsi"/>
          <w:lang w:val="en-AU"/>
        </w:rPr>
      </w:pPr>
      <w:r>
        <w:rPr>
          <w:rFonts w:asciiTheme="minorHAnsi" w:hAnsiTheme="minorHAnsi"/>
          <w:lang w:val="en-AU"/>
        </w:rPr>
        <w:t>Amendments circulated by James Milligan</w:t>
      </w:r>
    </w:p>
    <w:p w:rsidR="00CC21DD" w:rsidRDefault="00CC21DD" w:rsidP="00CC21DD">
      <w:pPr>
        <w:pStyle w:val="AH3sec"/>
        <w:numPr>
          <w:ilvl w:val="0"/>
          <w:numId w:val="9"/>
        </w:numPr>
        <w:ind w:left="0" w:firstLine="0"/>
      </w:pPr>
      <w:r>
        <w:br/>
        <w:t xml:space="preserve">Clause 9, definition of </w:t>
      </w:r>
      <w:r>
        <w:rPr>
          <w:i/>
        </w:rPr>
        <w:t>controlled sports event</w:t>
      </w:r>
      <w:r>
        <w:br/>
        <w:t>Page 6, line 3—</w:t>
      </w:r>
    </w:p>
    <w:p w:rsidR="00CC21DD" w:rsidRDefault="00CC21DD" w:rsidP="00CC21DD">
      <w:pPr>
        <w:pStyle w:val="direction"/>
      </w:pPr>
      <w:r>
        <w:t>omit the definition, substitute</w:t>
      </w:r>
    </w:p>
    <w:p w:rsidR="00CC21DD" w:rsidRDefault="00CC21DD" w:rsidP="00CC21DD">
      <w:pPr>
        <w:pStyle w:val="aDef"/>
        <w:ind w:left="1100" w:firstLine="0"/>
      </w:pPr>
      <w:r>
        <w:rPr>
          <w:b/>
          <w:i/>
        </w:rPr>
        <w:t>controlled sports event</w:t>
      </w:r>
      <w:r>
        <w:t>—</w:t>
      </w:r>
    </w:p>
    <w:p w:rsidR="00CC21DD" w:rsidRDefault="00CC21DD" w:rsidP="00CC21DD">
      <w:pPr>
        <w:pStyle w:val="Idefpara"/>
      </w:pPr>
      <w:r>
        <w:tab/>
        <w:t>(a)</w:t>
      </w:r>
      <w:r>
        <w:tab/>
        <w:t>means an event involving a contest or exhibition of a controlled sport; but</w:t>
      </w:r>
    </w:p>
    <w:p w:rsidR="00CC21DD" w:rsidRDefault="00CC21DD" w:rsidP="00CC21DD">
      <w:pPr>
        <w:pStyle w:val="Idefpara"/>
      </w:pPr>
      <w:r>
        <w:tab/>
        <w:t>(b)</w:t>
      </w:r>
      <w:r>
        <w:tab/>
        <w:t>does not include training.</w:t>
      </w:r>
    </w:p>
    <w:p w:rsidR="00CC21DD" w:rsidRDefault="00CC21DD" w:rsidP="00CC21DD">
      <w:pPr>
        <w:pStyle w:val="aExamHdgpar"/>
      </w:pPr>
      <w:r>
        <w:t>Examples—training</w:t>
      </w:r>
    </w:p>
    <w:p w:rsidR="00CC21DD" w:rsidRDefault="00CC21DD" w:rsidP="00CC21DD">
      <w:pPr>
        <w:pStyle w:val="aExamBulletpar"/>
        <w:numPr>
          <w:ilvl w:val="0"/>
          <w:numId w:val="7"/>
        </w:numPr>
      </w:pPr>
      <w:r>
        <w:t>self-defence or fitness class at a gymnasium</w:t>
      </w:r>
    </w:p>
    <w:p w:rsidR="00CC21DD" w:rsidRDefault="00CC21DD" w:rsidP="00CC21DD">
      <w:pPr>
        <w:pStyle w:val="aExamBulletpar"/>
        <w:numPr>
          <w:ilvl w:val="0"/>
          <w:numId w:val="7"/>
        </w:numPr>
      </w:pPr>
      <w:r>
        <w:t>training program at holiday camp</w:t>
      </w:r>
    </w:p>
    <w:p w:rsidR="00CC21DD" w:rsidRDefault="00CC21DD" w:rsidP="00CC21DD">
      <w:pPr>
        <w:pStyle w:val="AH3sec"/>
        <w:numPr>
          <w:ilvl w:val="0"/>
          <w:numId w:val="5"/>
        </w:numPr>
        <w:tabs>
          <w:tab w:val="clear" w:pos="284"/>
          <w:tab w:val="num" w:pos="360"/>
        </w:tabs>
        <w:ind w:left="0" w:firstLine="0"/>
      </w:pPr>
      <w:r>
        <w:br/>
        <w:t xml:space="preserve">Clause 10 (5), definition of </w:t>
      </w:r>
      <w:r>
        <w:rPr>
          <w:i/>
        </w:rPr>
        <w:t>commercial purpose</w:t>
      </w:r>
      <w:r>
        <w:rPr>
          <w:i/>
        </w:rPr>
        <w:br/>
      </w:r>
      <w:r>
        <w:t>Page 7, line 1—</w:t>
      </w:r>
    </w:p>
    <w:p w:rsidR="00CC21DD" w:rsidRDefault="00CC21DD" w:rsidP="00CC21DD">
      <w:pPr>
        <w:pStyle w:val="direction"/>
      </w:pPr>
      <w:r>
        <w:t>omit the definition, substitute</w:t>
      </w:r>
    </w:p>
    <w:p w:rsidR="00CC21DD" w:rsidRDefault="00CC21DD" w:rsidP="00CC21DD">
      <w:pPr>
        <w:pStyle w:val="aDef"/>
        <w:ind w:left="1100" w:firstLine="0"/>
      </w:pPr>
      <w:r>
        <w:rPr>
          <w:b/>
          <w:i/>
        </w:rPr>
        <w:t>commercial purpose</w:t>
      </w:r>
      <w:r>
        <w:t>, in relation to an event, means holding the event as part of a business or otherwise with the intention of directly or indirectly making a profit that will not be reinvested in the entity.</w:t>
      </w:r>
    </w:p>
    <w:p w:rsidR="00CC21DD" w:rsidRDefault="00CC21DD" w:rsidP="00CC21DD">
      <w:pPr>
        <w:pStyle w:val="AH3sec"/>
        <w:numPr>
          <w:ilvl w:val="0"/>
          <w:numId w:val="5"/>
        </w:numPr>
        <w:tabs>
          <w:tab w:val="clear" w:pos="284"/>
          <w:tab w:val="num" w:pos="360"/>
        </w:tabs>
        <w:ind w:left="0" w:firstLine="0"/>
      </w:pPr>
      <w:r>
        <w:br/>
        <w:t>Proposed new clause 18 (3A) and (3B)</w:t>
      </w:r>
      <w:r>
        <w:br/>
        <w:t>Page 17, line 24—</w:t>
      </w:r>
    </w:p>
    <w:p w:rsidR="00CC21DD" w:rsidRDefault="00CC21DD" w:rsidP="00CC21DD">
      <w:pPr>
        <w:pStyle w:val="direction"/>
      </w:pPr>
      <w:r>
        <w:t>insert</w:t>
      </w:r>
    </w:p>
    <w:p w:rsidR="00CC21DD" w:rsidRDefault="00CC21DD" w:rsidP="00CC21DD">
      <w:pPr>
        <w:pStyle w:val="IMain"/>
      </w:pPr>
      <w:r>
        <w:tab/>
        <w:t>(3A)</w:t>
      </w:r>
      <w:r>
        <w:tab/>
        <w:t>The registrar must make a decision under subsection (3) within 10 working days after—</w:t>
      </w:r>
    </w:p>
    <w:p w:rsidR="00CC21DD" w:rsidRDefault="00CC21DD" w:rsidP="00CC21DD">
      <w:pPr>
        <w:pStyle w:val="Ipara"/>
      </w:pPr>
      <w:r>
        <w:tab/>
        <w:t>(a)</w:t>
      </w:r>
      <w:r>
        <w:tab/>
        <w:t>receiving the application; or</w:t>
      </w:r>
    </w:p>
    <w:p w:rsidR="00CC21DD" w:rsidRDefault="00CC21DD" w:rsidP="00CC21DD">
      <w:pPr>
        <w:pStyle w:val="Ipara"/>
      </w:pPr>
      <w:r>
        <w:tab/>
        <w:t>(b)</w:t>
      </w:r>
      <w:r>
        <w:tab/>
        <w:t xml:space="preserve">if the registrar has requested additional information or documents under section 17—receiving the information or documents. </w:t>
      </w:r>
    </w:p>
    <w:p w:rsidR="00CC21DD" w:rsidRDefault="00CC21DD" w:rsidP="00CC21DD">
      <w:pPr>
        <w:pStyle w:val="IMain"/>
      </w:pPr>
      <w:r>
        <w:tab/>
        <w:t>(3B)</w:t>
      </w:r>
      <w:r>
        <w:tab/>
        <w:t>If the registrar fails to make a decision within the time required under subsection (3A), the registrar is taken to have refused to register the applicant.</w:t>
      </w:r>
    </w:p>
    <w:p w:rsidR="00295BAD" w:rsidRDefault="00295BAD" w:rsidP="00295BAD">
      <w:pPr>
        <w:pStyle w:val="IMain"/>
        <w:pBdr>
          <w:bottom w:val="single" w:sz="4" w:space="1" w:color="auto"/>
        </w:pBdr>
      </w:pPr>
    </w:p>
    <w:p w:rsidR="00CC21DD" w:rsidRDefault="00CC21DD" w:rsidP="00CC21DD">
      <w:pPr>
        <w:pStyle w:val="AH3sec"/>
        <w:numPr>
          <w:ilvl w:val="0"/>
          <w:numId w:val="5"/>
        </w:numPr>
        <w:tabs>
          <w:tab w:val="clear" w:pos="284"/>
          <w:tab w:val="num" w:pos="360"/>
        </w:tabs>
        <w:ind w:left="0" w:firstLine="0"/>
      </w:pPr>
      <w:r>
        <w:lastRenderedPageBreak/>
        <w:br/>
        <w:t>Clause 18 (4)</w:t>
      </w:r>
      <w:r>
        <w:br/>
        <w:t>Page 17, line 25—</w:t>
      </w:r>
    </w:p>
    <w:p w:rsidR="00CC21DD" w:rsidRDefault="00CC21DD" w:rsidP="00CC21DD">
      <w:pPr>
        <w:pStyle w:val="direction"/>
      </w:pPr>
      <w:r>
        <w:t>omit clause 18 (4), substitute</w:t>
      </w:r>
    </w:p>
    <w:p w:rsidR="00CC21DD" w:rsidRDefault="00CC21DD" w:rsidP="00CC21DD">
      <w:pPr>
        <w:pStyle w:val="IMain"/>
      </w:pPr>
      <w:r>
        <w:tab/>
        <w:t>(4)</w:t>
      </w:r>
      <w:r>
        <w:tab/>
        <w:t>The registrar must, in writing—</w:t>
      </w:r>
    </w:p>
    <w:p w:rsidR="00CC21DD" w:rsidRDefault="00CC21DD" w:rsidP="00CC21DD">
      <w:pPr>
        <w:pStyle w:val="Ipara"/>
      </w:pPr>
      <w:r>
        <w:tab/>
        <w:t>(a)</w:t>
      </w:r>
      <w:r>
        <w:tab/>
        <w:t>tell the applicant the registrar’s decision under subsection (3); and</w:t>
      </w:r>
    </w:p>
    <w:p w:rsidR="00CC21DD" w:rsidRDefault="00CC21DD" w:rsidP="00CC21DD">
      <w:pPr>
        <w:pStyle w:val="Ipara"/>
      </w:pPr>
      <w:r>
        <w:tab/>
        <w:t>(b)</w:t>
      </w:r>
      <w:r>
        <w:tab/>
        <w:t>for a decision under subsection (3) (b)—</w:t>
      </w:r>
    </w:p>
    <w:p w:rsidR="00CC21DD" w:rsidRDefault="00CC21DD" w:rsidP="00CC21DD">
      <w:pPr>
        <w:pStyle w:val="Isubpara"/>
      </w:pPr>
      <w:r>
        <w:tab/>
        <w:t>(i)</w:t>
      </w:r>
      <w:r>
        <w:tab/>
        <w:t>set out the reasons for the decision; and</w:t>
      </w:r>
    </w:p>
    <w:p w:rsidR="00CC21DD" w:rsidRDefault="00CC21DD" w:rsidP="00CC21DD">
      <w:pPr>
        <w:pStyle w:val="Isubpara"/>
      </w:pPr>
      <w:r>
        <w:tab/>
        <w:t>(ii)</w:t>
      </w:r>
      <w:r>
        <w:tab/>
        <w:t>state that the applicant may, within 20 working days after the registrar tells the applicant the decision, give additional information or documents to support the application.</w:t>
      </w:r>
    </w:p>
    <w:p w:rsidR="00CC21DD" w:rsidRDefault="00CC21DD" w:rsidP="00CC21DD">
      <w:pPr>
        <w:pStyle w:val="aNote"/>
      </w:pPr>
      <w:r>
        <w:rPr>
          <w:i/>
        </w:rPr>
        <w:t>Note</w:t>
      </w:r>
      <w:r>
        <w:rPr>
          <w:i/>
        </w:rPr>
        <w:tab/>
      </w:r>
      <w:r>
        <w:t>The registrar must also give the applicant a reviewable decision notice in relation to the decision to refuse to register the applicant (see s 82).</w:t>
      </w:r>
    </w:p>
    <w:p w:rsidR="00CC21DD" w:rsidRDefault="00CC21DD" w:rsidP="00CC21DD">
      <w:pPr>
        <w:pStyle w:val="IMain"/>
      </w:pPr>
      <w:r>
        <w:tab/>
        <w:t>(4A)</w:t>
      </w:r>
      <w:r>
        <w:tab/>
        <w:t>If the applicant gives the registrar additional information or documents under subsection (4) (b) (ii), the registrar must, within 10 working days after receiving the information or documents—</w:t>
      </w:r>
    </w:p>
    <w:p w:rsidR="00CC21DD" w:rsidRDefault="00CC21DD" w:rsidP="00CC21DD">
      <w:pPr>
        <w:pStyle w:val="Ipara"/>
      </w:pPr>
      <w:r>
        <w:tab/>
        <w:t>(a)</w:t>
      </w:r>
      <w:r>
        <w:tab/>
        <w:t>reconsider the decision; and</w:t>
      </w:r>
    </w:p>
    <w:p w:rsidR="00CC21DD" w:rsidRDefault="00CC21DD" w:rsidP="00CC21DD">
      <w:pPr>
        <w:pStyle w:val="Ipara"/>
      </w:pPr>
      <w:r>
        <w:tab/>
        <w:t>(b)</w:t>
      </w:r>
      <w:r>
        <w:tab/>
        <w:t>either—</w:t>
      </w:r>
    </w:p>
    <w:p w:rsidR="00CC21DD" w:rsidRDefault="00CC21DD" w:rsidP="00CC21DD">
      <w:pPr>
        <w:pStyle w:val="Isubpara"/>
      </w:pPr>
      <w:r>
        <w:tab/>
        <w:t>(i)</w:t>
      </w:r>
      <w:r>
        <w:tab/>
        <w:t>register the applicant; or</w:t>
      </w:r>
    </w:p>
    <w:p w:rsidR="00CC21DD" w:rsidRDefault="00CC21DD" w:rsidP="00CC21DD">
      <w:pPr>
        <w:pStyle w:val="Isubpara"/>
      </w:pPr>
      <w:r>
        <w:tab/>
        <w:t>(ii)</w:t>
      </w:r>
      <w:r>
        <w:tab/>
        <w:t>refuse to register the applicant; and</w:t>
      </w:r>
    </w:p>
    <w:p w:rsidR="00CC21DD" w:rsidRDefault="00CC21DD" w:rsidP="00CC21DD">
      <w:pPr>
        <w:pStyle w:val="Ipara"/>
      </w:pPr>
      <w:r>
        <w:tab/>
        <w:t>(c)</w:t>
      </w:r>
      <w:r>
        <w:tab/>
        <w:t>tell the applicant, in writing, the registrar’s decision; and</w:t>
      </w:r>
    </w:p>
    <w:p w:rsidR="00CC21DD" w:rsidRDefault="00CC21DD" w:rsidP="00CC21DD">
      <w:pPr>
        <w:pStyle w:val="Ipara"/>
      </w:pPr>
      <w:r>
        <w:tab/>
        <w:t>(d)</w:t>
      </w:r>
      <w:r>
        <w:tab/>
        <w:t>if the registrar refuses to register the applicant—set out the reasons for the decision.</w:t>
      </w:r>
    </w:p>
    <w:p w:rsidR="00CC21DD" w:rsidRDefault="00CC21DD" w:rsidP="00CC21DD">
      <w:pPr>
        <w:pStyle w:val="aNote"/>
      </w:pPr>
      <w:r>
        <w:rPr>
          <w:i/>
        </w:rPr>
        <w:t>Note</w:t>
      </w:r>
      <w:r>
        <w:rPr>
          <w:i/>
        </w:rPr>
        <w:tab/>
      </w:r>
      <w:r>
        <w:t xml:space="preserve">The registrar’s decision to refuse to register an applicant is a reviewable decision (see s 81). </w:t>
      </w:r>
    </w:p>
    <w:p w:rsidR="00CC21DD" w:rsidRDefault="00CC21DD" w:rsidP="00CC21DD">
      <w:pPr>
        <w:pStyle w:val="AH3sec"/>
        <w:numPr>
          <w:ilvl w:val="0"/>
          <w:numId w:val="5"/>
        </w:numPr>
        <w:tabs>
          <w:tab w:val="clear" w:pos="284"/>
          <w:tab w:val="num" w:pos="360"/>
        </w:tabs>
        <w:ind w:left="0" w:firstLine="0"/>
      </w:pPr>
      <w:r>
        <w:br/>
        <w:t>Proposed new clause 22 (5A) and (5B)</w:t>
      </w:r>
      <w:r>
        <w:br/>
        <w:t>Page 20, line 5—</w:t>
      </w:r>
    </w:p>
    <w:p w:rsidR="00CC21DD" w:rsidRDefault="00CC21DD" w:rsidP="00CC21DD">
      <w:pPr>
        <w:pStyle w:val="direction"/>
      </w:pPr>
      <w:r>
        <w:t>insert</w:t>
      </w:r>
    </w:p>
    <w:p w:rsidR="00CC21DD" w:rsidRDefault="00CC21DD" w:rsidP="00CC21DD">
      <w:pPr>
        <w:pStyle w:val="IMain"/>
      </w:pPr>
      <w:r>
        <w:tab/>
        <w:t>(5A)</w:t>
      </w:r>
      <w:r>
        <w:tab/>
        <w:t>The registrar must make a decision under subsection (5) within 10 working days after—</w:t>
      </w:r>
    </w:p>
    <w:p w:rsidR="00CC21DD" w:rsidRDefault="00CC21DD" w:rsidP="00CC21DD">
      <w:pPr>
        <w:pStyle w:val="Ipara"/>
      </w:pPr>
      <w:r>
        <w:tab/>
        <w:t>(a)</w:t>
      </w:r>
      <w:r>
        <w:tab/>
        <w:t>receiving the renewal application; or</w:t>
      </w:r>
    </w:p>
    <w:p w:rsidR="00CC21DD" w:rsidRDefault="00CC21DD" w:rsidP="00CC21DD">
      <w:pPr>
        <w:pStyle w:val="Ipara"/>
      </w:pPr>
      <w:r>
        <w:tab/>
        <w:t>(b)</w:t>
      </w:r>
      <w:r>
        <w:tab/>
        <w:t xml:space="preserve">if the registrar has requested additional information or documents under subsection (3)—receiving the information or documents. </w:t>
      </w:r>
    </w:p>
    <w:p w:rsidR="00CC21DD" w:rsidRDefault="00CC21DD" w:rsidP="00CC21DD">
      <w:pPr>
        <w:pStyle w:val="IMain"/>
      </w:pPr>
      <w:r>
        <w:tab/>
        <w:t>(5B)</w:t>
      </w:r>
      <w:r>
        <w:tab/>
        <w:t>If the registrar fails to make a decision within the time required under subsection (5A), the registrar is taken to have refused to register the applicant.</w:t>
      </w:r>
    </w:p>
    <w:p w:rsidR="00295BAD" w:rsidRDefault="00295BAD" w:rsidP="00295BAD">
      <w:pPr>
        <w:pStyle w:val="IMain"/>
        <w:pBdr>
          <w:bottom w:val="single" w:sz="4" w:space="1" w:color="auto"/>
        </w:pBdr>
      </w:pPr>
    </w:p>
    <w:p w:rsidR="00CC21DD" w:rsidRDefault="00CC21DD" w:rsidP="00CC21DD">
      <w:pPr>
        <w:pStyle w:val="AH3sec"/>
        <w:numPr>
          <w:ilvl w:val="0"/>
          <w:numId w:val="5"/>
        </w:numPr>
        <w:tabs>
          <w:tab w:val="clear" w:pos="284"/>
          <w:tab w:val="num" w:pos="360"/>
        </w:tabs>
        <w:ind w:left="0" w:firstLine="0"/>
      </w:pPr>
      <w:r>
        <w:lastRenderedPageBreak/>
        <w:br/>
        <w:t>Clause 22 (6)</w:t>
      </w:r>
      <w:r>
        <w:br/>
        <w:t>Page 20, line 6—</w:t>
      </w:r>
    </w:p>
    <w:p w:rsidR="00CC21DD" w:rsidRDefault="00CC21DD" w:rsidP="00CC21DD">
      <w:pPr>
        <w:pStyle w:val="direction"/>
      </w:pPr>
      <w:r>
        <w:t>omit clause 22 (6), substitute</w:t>
      </w:r>
    </w:p>
    <w:p w:rsidR="00CC21DD" w:rsidRDefault="00CC21DD" w:rsidP="00CC21DD">
      <w:pPr>
        <w:pStyle w:val="IMain"/>
      </w:pPr>
      <w:r>
        <w:tab/>
        <w:t>(6)</w:t>
      </w:r>
      <w:r>
        <w:tab/>
        <w:t>The registrar must, in writing—</w:t>
      </w:r>
    </w:p>
    <w:p w:rsidR="00CC21DD" w:rsidRDefault="00CC21DD" w:rsidP="00CC21DD">
      <w:pPr>
        <w:pStyle w:val="Ipara"/>
      </w:pPr>
      <w:r>
        <w:tab/>
        <w:t>(a)</w:t>
      </w:r>
      <w:r>
        <w:tab/>
        <w:t>tell the applicant the registrar’s decision under subsection (5); and</w:t>
      </w:r>
    </w:p>
    <w:p w:rsidR="00CC21DD" w:rsidRDefault="00CC21DD" w:rsidP="00CC21DD">
      <w:pPr>
        <w:pStyle w:val="Ipara"/>
      </w:pPr>
      <w:r>
        <w:tab/>
        <w:t>(b)</w:t>
      </w:r>
      <w:r>
        <w:tab/>
        <w:t>for a decision under subsection (5) (b)—</w:t>
      </w:r>
    </w:p>
    <w:p w:rsidR="00CC21DD" w:rsidRDefault="00CC21DD" w:rsidP="00CC21DD">
      <w:pPr>
        <w:pStyle w:val="Isubpara"/>
      </w:pPr>
      <w:r>
        <w:tab/>
        <w:t>(i)</w:t>
      </w:r>
      <w:r>
        <w:tab/>
        <w:t>set out the reasons for the decision; and</w:t>
      </w:r>
    </w:p>
    <w:p w:rsidR="00CC21DD" w:rsidRDefault="00CC21DD" w:rsidP="00CC21DD">
      <w:pPr>
        <w:pStyle w:val="Isubpara"/>
      </w:pPr>
      <w:r>
        <w:tab/>
        <w:t>(ii)</w:t>
      </w:r>
      <w:r>
        <w:tab/>
        <w:t>state that the applicant may, within 20 working days after the registrar tells the applicant the decision, give additional information or documents to support the application.</w:t>
      </w:r>
    </w:p>
    <w:p w:rsidR="00CC21DD" w:rsidRDefault="00CC21DD" w:rsidP="00CC21DD">
      <w:pPr>
        <w:pStyle w:val="aNote"/>
      </w:pPr>
      <w:r>
        <w:rPr>
          <w:i/>
        </w:rPr>
        <w:t>Note</w:t>
      </w:r>
      <w:r>
        <w:rPr>
          <w:i/>
        </w:rPr>
        <w:tab/>
      </w:r>
      <w:r>
        <w:t>The registrar must also give the applicant a reviewable decision notice in relation to the decision to refuse to renew the applicant’s registration (see s 82).</w:t>
      </w:r>
    </w:p>
    <w:p w:rsidR="00CC21DD" w:rsidRDefault="00CC21DD" w:rsidP="00CC21DD">
      <w:pPr>
        <w:pStyle w:val="IMain"/>
      </w:pPr>
      <w:r>
        <w:tab/>
        <w:t>(6A)</w:t>
      </w:r>
      <w:r>
        <w:tab/>
        <w:t>If the applicant gives the registrar additional information or documents under subsection (6) (b) (ii), the registrar must, within 10 working days after receiving the information or documents—</w:t>
      </w:r>
    </w:p>
    <w:p w:rsidR="00CC21DD" w:rsidRDefault="00CC21DD" w:rsidP="00CC21DD">
      <w:pPr>
        <w:pStyle w:val="Ipara"/>
      </w:pPr>
      <w:r>
        <w:tab/>
        <w:t>(a)</w:t>
      </w:r>
      <w:r>
        <w:tab/>
        <w:t>reconsider the decision; and</w:t>
      </w:r>
    </w:p>
    <w:p w:rsidR="00CC21DD" w:rsidRDefault="00CC21DD" w:rsidP="00CC21DD">
      <w:pPr>
        <w:pStyle w:val="Ipara"/>
      </w:pPr>
      <w:r>
        <w:tab/>
        <w:t>(b)</w:t>
      </w:r>
      <w:r>
        <w:tab/>
        <w:t>either—</w:t>
      </w:r>
    </w:p>
    <w:p w:rsidR="00CC21DD" w:rsidRDefault="00CC21DD" w:rsidP="00CC21DD">
      <w:pPr>
        <w:pStyle w:val="Isubpara"/>
      </w:pPr>
      <w:r>
        <w:tab/>
        <w:t>(i)</w:t>
      </w:r>
      <w:r>
        <w:tab/>
        <w:t>register the applicant; or</w:t>
      </w:r>
    </w:p>
    <w:p w:rsidR="00CC21DD" w:rsidRDefault="00CC21DD" w:rsidP="00CC21DD">
      <w:pPr>
        <w:pStyle w:val="Isubpara"/>
      </w:pPr>
      <w:r>
        <w:tab/>
        <w:t>(ii)</w:t>
      </w:r>
      <w:r>
        <w:tab/>
        <w:t>refuse to register the applicant; and</w:t>
      </w:r>
    </w:p>
    <w:p w:rsidR="00CC21DD" w:rsidRDefault="00CC21DD" w:rsidP="00CC21DD">
      <w:pPr>
        <w:pStyle w:val="Ipara"/>
      </w:pPr>
      <w:r>
        <w:tab/>
        <w:t>(c)</w:t>
      </w:r>
      <w:r>
        <w:tab/>
        <w:t>tell the applicant, in writing, the registrar’s decision; and</w:t>
      </w:r>
    </w:p>
    <w:p w:rsidR="00CC21DD" w:rsidRDefault="00CC21DD" w:rsidP="00CC21DD">
      <w:pPr>
        <w:pStyle w:val="Ipara"/>
      </w:pPr>
      <w:r>
        <w:tab/>
        <w:t>(d)</w:t>
      </w:r>
      <w:r>
        <w:tab/>
        <w:t>if the registrar refuses to register the applicant—set out the reasons for the decision.</w:t>
      </w:r>
    </w:p>
    <w:p w:rsidR="00CC21DD" w:rsidRDefault="00CC21DD" w:rsidP="00CC21DD">
      <w:pPr>
        <w:pStyle w:val="aNote"/>
      </w:pPr>
      <w:r>
        <w:rPr>
          <w:i/>
        </w:rPr>
        <w:t>Note</w:t>
      </w:r>
      <w:r>
        <w:rPr>
          <w:i/>
        </w:rPr>
        <w:tab/>
      </w:r>
      <w:r>
        <w:t xml:space="preserve">The registrar’s decision to refuse to renew an official’s registration is a reviewable decision (see s 81). </w:t>
      </w:r>
    </w:p>
    <w:p w:rsidR="00CC21DD" w:rsidRDefault="00CC21DD" w:rsidP="00CC21DD">
      <w:pPr>
        <w:pStyle w:val="AH3sec"/>
        <w:numPr>
          <w:ilvl w:val="0"/>
          <w:numId w:val="5"/>
        </w:numPr>
        <w:tabs>
          <w:tab w:val="clear" w:pos="284"/>
          <w:tab w:val="num" w:pos="360"/>
        </w:tabs>
        <w:ind w:left="0" w:firstLine="0"/>
      </w:pPr>
      <w:r>
        <w:br/>
        <w:t>Clause 23 (3) (b)</w:t>
      </w:r>
      <w:r>
        <w:br/>
        <w:t>Page 21, line 13—</w:t>
      </w:r>
    </w:p>
    <w:p w:rsidR="00CC21DD" w:rsidRDefault="00CC21DD" w:rsidP="00CC21DD">
      <w:pPr>
        <w:pStyle w:val="direction"/>
      </w:pPr>
      <w:r>
        <w:t>omit</w:t>
      </w:r>
    </w:p>
    <w:p w:rsidR="00CC21DD" w:rsidRDefault="00CC21DD" w:rsidP="00CC21DD">
      <w:pPr>
        <w:pStyle w:val="Amainreturn"/>
      </w:pPr>
      <w:r>
        <w:t>10 working days</w:t>
      </w:r>
    </w:p>
    <w:p w:rsidR="00CC21DD" w:rsidRDefault="00CC21DD" w:rsidP="00CC21DD">
      <w:pPr>
        <w:pStyle w:val="direction"/>
      </w:pPr>
      <w:r>
        <w:t>substitute</w:t>
      </w:r>
    </w:p>
    <w:p w:rsidR="00CC21DD" w:rsidRDefault="00CC21DD" w:rsidP="00CC21DD">
      <w:pPr>
        <w:pStyle w:val="Amainreturn"/>
      </w:pPr>
      <w:r>
        <w:t xml:space="preserve">20 working days (the </w:t>
      </w:r>
      <w:r>
        <w:rPr>
          <w:b/>
          <w:i/>
        </w:rPr>
        <w:t>20-day period</w:t>
      </w:r>
      <w:r>
        <w:t>)</w:t>
      </w:r>
    </w:p>
    <w:p w:rsidR="00295BAD" w:rsidRDefault="00295BAD" w:rsidP="00295BAD">
      <w:pPr>
        <w:pStyle w:val="Amainreturn"/>
        <w:pBdr>
          <w:bottom w:val="single" w:sz="4" w:space="1" w:color="auto"/>
        </w:pBdr>
        <w:ind w:left="0"/>
      </w:pPr>
    </w:p>
    <w:p w:rsidR="00CC21DD" w:rsidRDefault="00CC21DD" w:rsidP="00CC21DD">
      <w:pPr>
        <w:pStyle w:val="AH3sec"/>
        <w:numPr>
          <w:ilvl w:val="0"/>
          <w:numId w:val="5"/>
        </w:numPr>
        <w:tabs>
          <w:tab w:val="clear" w:pos="284"/>
          <w:tab w:val="num" w:pos="360"/>
        </w:tabs>
        <w:ind w:left="0" w:firstLine="0"/>
      </w:pPr>
      <w:r>
        <w:lastRenderedPageBreak/>
        <w:br/>
        <w:t>Proposed new clause 23 (4A)</w:t>
      </w:r>
      <w:r>
        <w:br/>
        <w:t>Page 22, line 4—</w:t>
      </w:r>
    </w:p>
    <w:p w:rsidR="00CC21DD" w:rsidRDefault="00CC21DD" w:rsidP="00CC21DD">
      <w:pPr>
        <w:pStyle w:val="direction"/>
      </w:pPr>
      <w:r>
        <w:t>insert</w:t>
      </w:r>
    </w:p>
    <w:p w:rsidR="00CC21DD" w:rsidRDefault="00CC21DD" w:rsidP="00CC21DD">
      <w:pPr>
        <w:pStyle w:val="IMain"/>
        <w:keepNext/>
      </w:pPr>
      <w:r>
        <w:tab/>
        <w:t>(4A)</w:t>
      </w:r>
      <w:r>
        <w:tab/>
        <w:t>The registrar must not suspend or cancel the controlled sports official’s registration under subsection (4) earlier than—</w:t>
      </w:r>
    </w:p>
    <w:p w:rsidR="00CC21DD" w:rsidRDefault="00CC21DD" w:rsidP="00CC21DD">
      <w:pPr>
        <w:pStyle w:val="Ipara"/>
      </w:pPr>
      <w:r>
        <w:tab/>
        <w:t>(a)</w:t>
      </w:r>
      <w:r>
        <w:tab/>
        <w:t>if the official gives reasons in accordance with the notice—10 working days after the official gives the registrar the reasons; or</w:t>
      </w:r>
    </w:p>
    <w:p w:rsidR="00CC21DD" w:rsidRDefault="00CC21DD" w:rsidP="00CC21DD">
      <w:pPr>
        <w:pStyle w:val="Ipara"/>
      </w:pPr>
      <w:r>
        <w:tab/>
        <w:t>(b)</w:t>
      </w:r>
      <w:r>
        <w:tab/>
        <w:t xml:space="preserve">in any other case—the end of the 20-day period. </w:t>
      </w:r>
    </w:p>
    <w:p w:rsidR="00CC21DD" w:rsidRDefault="00CC21DD" w:rsidP="00CC21DD">
      <w:pPr>
        <w:pStyle w:val="AH3sec"/>
        <w:numPr>
          <w:ilvl w:val="0"/>
          <w:numId w:val="5"/>
        </w:numPr>
        <w:tabs>
          <w:tab w:val="clear" w:pos="284"/>
          <w:tab w:val="num" w:pos="360"/>
        </w:tabs>
        <w:ind w:left="0" w:firstLine="0"/>
      </w:pPr>
      <w:r>
        <w:br/>
        <w:t>Proposed new clause 27 (3A) and (3B)</w:t>
      </w:r>
      <w:r>
        <w:br/>
        <w:t>Page 26, line 13—</w:t>
      </w:r>
    </w:p>
    <w:p w:rsidR="00CC21DD" w:rsidRDefault="00CC21DD" w:rsidP="00CC21DD">
      <w:pPr>
        <w:pStyle w:val="direction"/>
      </w:pPr>
      <w:r>
        <w:t>insert</w:t>
      </w:r>
    </w:p>
    <w:p w:rsidR="00CC21DD" w:rsidRDefault="00CC21DD" w:rsidP="00CC21DD">
      <w:pPr>
        <w:pStyle w:val="IMain"/>
      </w:pPr>
      <w:r>
        <w:tab/>
        <w:t>(3A)</w:t>
      </w:r>
      <w:r>
        <w:tab/>
        <w:t>The registrar must make a decision under subsection (3) within 10 working days after—</w:t>
      </w:r>
    </w:p>
    <w:p w:rsidR="00CC21DD" w:rsidRDefault="00CC21DD" w:rsidP="00E81A31">
      <w:pPr>
        <w:pStyle w:val="Ipara"/>
        <w:keepNext/>
        <w:ind w:left="1598" w:hanging="1598"/>
      </w:pPr>
      <w:r>
        <w:tab/>
        <w:t>(a)</w:t>
      </w:r>
      <w:r>
        <w:tab/>
        <w:t>receiving the application; or</w:t>
      </w:r>
    </w:p>
    <w:p w:rsidR="00CC21DD" w:rsidRDefault="00CC21DD" w:rsidP="00CC21DD">
      <w:pPr>
        <w:pStyle w:val="Ipara"/>
      </w:pPr>
      <w:r>
        <w:tab/>
        <w:t>(b)</w:t>
      </w:r>
      <w:r>
        <w:tab/>
        <w:t xml:space="preserve">if the registrar has requested additional information or documents under section 26—receiving the information or documents. </w:t>
      </w:r>
    </w:p>
    <w:p w:rsidR="00CC21DD" w:rsidRDefault="00CC21DD" w:rsidP="00CC21DD">
      <w:pPr>
        <w:pStyle w:val="IMain"/>
      </w:pPr>
      <w:r>
        <w:tab/>
        <w:t>(3B)</w:t>
      </w:r>
      <w:r>
        <w:tab/>
        <w:t>If the registrar fails to make a decision within the time required under subsection (3A), the registrar is taken to have refused to register the applicant.</w:t>
      </w:r>
    </w:p>
    <w:p w:rsidR="00CC21DD" w:rsidRDefault="00CC21DD" w:rsidP="00CC21DD">
      <w:pPr>
        <w:pStyle w:val="AH3sec"/>
        <w:numPr>
          <w:ilvl w:val="0"/>
          <w:numId w:val="5"/>
        </w:numPr>
        <w:tabs>
          <w:tab w:val="clear" w:pos="284"/>
          <w:tab w:val="num" w:pos="360"/>
        </w:tabs>
        <w:ind w:left="0" w:firstLine="0"/>
      </w:pPr>
      <w:r>
        <w:br/>
        <w:t>Clause 27 (4)</w:t>
      </w:r>
      <w:r>
        <w:br/>
        <w:t>Page 26, line 14—</w:t>
      </w:r>
    </w:p>
    <w:p w:rsidR="00CC21DD" w:rsidRDefault="00CC21DD" w:rsidP="00CC21DD">
      <w:pPr>
        <w:pStyle w:val="direction"/>
      </w:pPr>
      <w:r>
        <w:t>omit clause 27 (4), substitute</w:t>
      </w:r>
    </w:p>
    <w:p w:rsidR="00CC21DD" w:rsidRDefault="00CC21DD" w:rsidP="00E81A31">
      <w:pPr>
        <w:pStyle w:val="IMain"/>
        <w:spacing w:before="120"/>
      </w:pPr>
      <w:r>
        <w:tab/>
        <w:t>(4)</w:t>
      </w:r>
      <w:r>
        <w:tab/>
        <w:t>The registrar must, in writing—</w:t>
      </w:r>
    </w:p>
    <w:p w:rsidR="00CC21DD" w:rsidRDefault="00CC21DD" w:rsidP="00E81A31">
      <w:pPr>
        <w:pStyle w:val="Ipara"/>
        <w:spacing w:before="120"/>
      </w:pPr>
      <w:r>
        <w:tab/>
        <w:t>(a)</w:t>
      </w:r>
      <w:r>
        <w:tab/>
        <w:t>tell the applicant the registrar’s decision under subsection (3); and</w:t>
      </w:r>
    </w:p>
    <w:p w:rsidR="00CC21DD" w:rsidRDefault="00CC21DD" w:rsidP="00E81A31">
      <w:pPr>
        <w:pStyle w:val="Ipara"/>
        <w:keepNext/>
        <w:spacing w:before="120"/>
      </w:pPr>
      <w:r>
        <w:tab/>
        <w:t>(b)</w:t>
      </w:r>
      <w:r>
        <w:tab/>
        <w:t>for a decision under subsection (3) (b)—</w:t>
      </w:r>
    </w:p>
    <w:p w:rsidR="00CC21DD" w:rsidRDefault="00CC21DD" w:rsidP="00E81A31">
      <w:pPr>
        <w:pStyle w:val="Isubpara"/>
        <w:spacing w:before="120"/>
      </w:pPr>
      <w:r>
        <w:tab/>
        <w:t>(i)</w:t>
      </w:r>
      <w:r>
        <w:tab/>
        <w:t>set out the reasons for the decision; and</w:t>
      </w:r>
    </w:p>
    <w:p w:rsidR="00CC21DD" w:rsidRDefault="00CC21DD" w:rsidP="00E81A31">
      <w:pPr>
        <w:pStyle w:val="Isubpara"/>
        <w:spacing w:before="120"/>
      </w:pPr>
      <w:r>
        <w:tab/>
        <w:t>(ii)</w:t>
      </w:r>
      <w:r>
        <w:tab/>
        <w:t>state that the applicant may, within 20 working days after the registrar tells the applicant the decision, give additional information or documents to support the application.</w:t>
      </w:r>
    </w:p>
    <w:p w:rsidR="00CC21DD" w:rsidRDefault="00CC21DD" w:rsidP="00E81A31">
      <w:pPr>
        <w:pStyle w:val="aNote"/>
        <w:spacing w:before="120"/>
      </w:pPr>
      <w:r>
        <w:rPr>
          <w:i/>
        </w:rPr>
        <w:t>Note</w:t>
      </w:r>
      <w:r>
        <w:rPr>
          <w:i/>
        </w:rPr>
        <w:tab/>
      </w:r>
      <w:r>
        <w:t>The registrar must also give the applicant a reviewable decision notice in relation to the decision to refuse to register the applicant (see s 82).</w:t>
      </w:r>
    </w:p>
    <w:p w:rsidR="00CC21DD" w:rsidRDefault="00CC21DD" w:rsidP="00E81A31">
      <w:pPr>
        <w:pStyle w:val="IMain"/>
        <w:spacing w:before="120"/>
      </w:pPr>
      <w:r>
        <w:tab/>
        <w:t>(4A)</w:t>
      </w:r>
      <w:r>
        <w:tab/>
        <w:t>If the applicant gives the registrar additional information or documents under subsection (4) (b) (ii), the registrar must, within 10 working days after receiving the information or documents—</w:t>
      </w:r>
    </w:p>
    <w:p w:rsidR="00CC21DD" w:rsidRDefault="00CC21DD" w:rsidP="00295BAD">
      <w:pPr>
        <w:pStyle w:val="Ipara"/>
        <w:keepNext/>
        <w:spacing w:before="120"/>
        <w:ind w:left="1598" w:hanging="1598"/>
      </w:pPr>
      <w:r>
        <w:lastRenderedPageBreak/>
        <w:tab/>
        <w:t>(a)</w:t>
      </w:r>
      <w:r>
        <w:tab/>
        <w:t>reconsider the decision; and</w:t>
      </w:r>
    </w:p>
    <w:p w:rsidR="00CC21DD" w:rsidRDefault="00CC21DD" w:rsidP="00E81A31">
      <w:pPr>
        <w:pStyle w:val="Ipara"/>
        <w:spacing w:before="120"/>
      </w:pPr>
      <w:r>
        <w:tab/>
        <w:t>(b)</w:t>
      </w:r>
      <w:r>
        <w:tab/>
        <w:t>either—</w:t>
      </w:r>
    </w:p>
    <w:p w:rsidR="00CC21DD" w:rsidRDefault="00CC21DD" w:rsidP="00E81A31">
      <w:pPr>
        <w:pStyle w:val="Isubpara"/>
        <w:spacing w:before="120"/>
      </w:pPr>
      <w:r>
        <w:tab/>
        <w:t>(i)</w:t>
      </w:r>
      <w:r>
        <w:tab/>
        <w:t>register the applicant; or</w:t>
      </w:r>
    </w:p>
    <w:p w:rsidR="00CC21DD" w:rsidRDefault="00CC21DD" w:rsidP="00E81A31">
      <w:pPr>
        <w:pStyle w:val="Isubpara"/>
        <w:spacing w:before="120"/>
      </w:pPr>
      <w:r>
        <w:tab/>
        <w:t>(ii)</w:t>
      </w:r>
      <w:r>
        <w:tab/>
        <w:t>refuse to register the applicant; and</w:t>
      </w:r>
    </w:p>
    <w:p w:rsidR="00CC21DD" w:rsidRDefault="00CC21DD" w:rsidP="00E81A31">
      <w:pPr>
        <w:pStyle w:val="Ipara"/>
        <w:spacing w:before="120"/>
      </w:pPr>
      <w:r>
        <w:tab/>
        <w:t>(c)</w:t>
      </w:r>
      <w:r>
        <w:tab/>
        <w:t>tell the applicant, in writing, the registrar’s decision; and</w:t>
      </w:r>
    </w:p>
    <w:p w:rsidR="00CC21DD" w:rsidRDefault="00CC21DD" w:rsidP="00E81A31">
      <w:pPr>
        <w:pStyle w:val="Ipara"/>
        <w:spacing w:before="120"/>
      </w:pPr>
      <w:r>
        <w:tab/>
        <w:t>(d)</w:t>
      </w:r>
      <w:r>
        <w:tab/>
        <w:t>if the registrar refuses to register the applicant—set out the reasons for the decision.</w:t>
      </w:r>
    </w:p>
    <w:p w:rsidR="00CC21DD" w:rsidRDefault="00CC21DD" w:rsidP="00E81A31">
      <w:pPr>
        <w:pStyle w:val="aNote"/>
        <w:spacing w:before="120"/>
      </w:pPr>
      <w:r>
        <w:rPr>
          <w:i/>
        </w:rPr>
        <w:t>Note</w:t>
      </w:r>
      <w:r>
        <w:rPr>
          <w:i/>
        </w:rPr>
        <w:tab/>
      </w:r>
      <w:r>
        <w:t xml:space="preserve">The registrar’s decision to refuse to register an applicant is a reviewable decision (see s 81). </w:t>
      </w:r>
    </w:p>
    <w:p w:rsidR="00CC21DD" w:rsidRDefault="00CC21DD" w:rsidP="00CC21DD">
      <w:pPr>
        <w:pStyle w:val="AH3sec"/>
        <w:numPr>
          <w:ilvl w:val="0"/>
          <w:numId w:val="5"/>
        </w:numPr>
        <w:tabs>
          <w:tab w:val="clear" w:pos="284"/>
          <w:tab w:val="num" w:pos="360"/>
        </w:tabs>
        <w:ind w:left="0" w:firstLine="0"/>
      </w:pPr>
      <w:r>
        <w:br/>
        <w:t>Proposed new clause 31 (5A) and (5B)</w:t>
      </w:r>
      <w:r>
        <w:br/>
        <w:t>Page 29, line 25—</w:t>
      </w:r>
    </w:p>
    <w:p w:rsidR="00CC21DD" w:rsidRDefault="00CC21DD" w:rsidP="00CC21DD">
      <w:pPr>
        <w:pStyle w:val="direction"/>
      </w:pPr>
      <w:r>
        <w:t>insert</w:t>
      </w:r>
    </w:p>
    <w:p w:rsidR="00CC21DD" w:rsidRDefault="00CC21DD" w:rsidP="00CC21DD">
      <w:pPr>
        <w:pStyle w:val="IMain"/>
      </w:pPr>
      <w:r>
        <w:tab/>
        <w:t>(5A)</w:t>
      </w:r>
      <w:r>
        <w:tab/>
        <w:t>The registrar must make a decision under subsection (5) within 10 working days after—</w:t>
      </w:r>
    </w:p>
    <w:p w:rsidR="00CC21DD" w:rsidRDefault="00CC21DD" w:rsidP="00CC21DD">
      <w:pPr>
        <w:pStyle w:val="Ipara"/>
      </w:pPr>
      <w:r>
        <w:tab/>
        <w:t>(a)</w:t>
      </w:r>
      <w:r>
        <w:tab/>
        <w:t>receiving the renewal application; or</w:t>
      </w:r>
    </w:p>
    <w:p w:rsidR="00CC21DD" w:rsidRDefault="00CC21DD" w:rsidP="00CC21DD">
      <w:pPr>
        <w:pStyle w:val="Ipara"/>
      </w:pPr>
      <w:r>
        <w:tab/>
        <w:t>(b)</w:t>
      </w:r>
      <w:r>
        <w:tab/>
        <w:t>if the registrar has requested additional information or documents under subsection (3)—receiving the information or do</w:t>
      </w:r>
      <w:r w:rsidR="00E81A31">
        <w:t>cuments.</w:t>
      </w:r>
    </w:p>
    <w:p w:rsidR="00CC21DD" w:rsidRDefault="00CC21DD" w:rsidP="00CC21DD">
      <w:pPr>
        <w:pStyle w:val="IMain"/>
      </w:pPr>
      <w:r>
        <w:tab/>
        <w:t>(5B)</w:t>
      </w:r>
      <w:r>
        <w:tab/>
        <w:t>If the registrar fails to make a decision within the time required under subsection (5A), the registrar is taken to have refused to register the applicant.</w:t>
      </w:r>
    </w:p>
    <w:p w:rsidR="00CC21DD" w:rsidRDefault="00CC21DD" w:rsidP="00CC21DD">
      <w:pPr>
        <w:pStyle w:val="AH3sec"/>
        <w:numPr>
          <w:ilvl w:val="0"/>
          <w:numId w:val="5"/>
        </w:numPr>
        <w:tabs>
          <w:tab w:val="clear" w:pos="284"/>
          <w:tab w:val="num" w:pos="360"/>
        </w:tabs>
        <w:ind w:left="0" w:firstLine="0"/>
      </w:pPr>
      <w:r>
        <w:br/>
        <w:t>Clause 31 (6)</w:t>
      </w:r>
      <w:r>
        <w:br/>
        <w:t>Page 30, line 1—</w:t>
      </w:r>
    </w:p>
    <w:p w:rsidR="00CC21DD" w:rsidRDefault="00CC21DD" w:rsidP="00CC21DD">
      <w:pPr>
        <w:pStyle w:val="direction"/>
      </w:pPr>
      <w:r>
        <w:t>omit clause 31 (6), substitute</w:t>
      </w:r>
    </w:p>
    <w:p w:rsidR="00CC21DD" w:rsidRDefault="00CC21DD" w:rsidP="00CC21DD">
      <w:pPr>
        <w:pStyle w:val="IMain"/>
      </w:pPr>
      <w:r>
        <w:tab/>
        <w:t>(6)</w:t>
      </w:r>
      <w:r>
        <w:tab/>
        <w:t>The registrar must, in writing—</w:t>
      </w:r>
    </w:p>
    <w:p w:rsidR="00CC21DD" w:rsidRDefault="00CC21DD" w:rsidP="00CC21DD">
      <w:pPr>
        <w:pStyle w:val="Ipara"/>
      </w:pPr>
      <w:r>
        <w:tab/>
        <w:t>(a)</w:t>
      </w:r>
      <w:r>
        <w:tab/>
        <w:t>tell the applicant the registrar’s decision under subsection (5); and</w:t>
      </w:r>
    </w:p>
    <w:p w:rsidR="00CC21DD" w:rsidRDefault="00CC21DD" w:rsidP="00CC21DD">
      <w:pPr>
        <w:pStyle w:val="Ipara"/>
      </w:pPr>
      <w:r>
        <w:tab/>
        <w:t>(b)</w:t>
      </w:r>
      <w:r>
        <w:tab/>
        <w:t>for a decision under subsection (5) (b)—</w:t>
      </w:r>
    </w:p>
    <w:p w:rsidR="00CC21DD" w:rsidRDefault="00CC21DD" w:rsidP="00CC21DD">
      <w:pPr>
        <w:pStyle w:val="Isubpara"/>
      </w:pPr>
      <w:r>
        <w:tab/>
        <w:t>(i)</w:t>
      </w:r>
      <w:r>
        <w:tab/>
        <w:t>set out the reasons for the decision; and</w:t>
      </w:r>
    </w:p>
    <w:p w:rsidR="00CC21DD" w:rsidRDefault="00CC21DD" w:rsidP="00CC21DD">
      <w:pPr>
        <w:pStyle w:val="Isubpara"/>
      </w:pPr>
      <w:r>
        <w:tab/>
        <w:t>(ii)</w:t>
      </w:r>
      <w:r>
        <w:tab/>
        <w:t>state that the applicant may, within 20 working days after the registrar tells the applicant the decision, give additional information or documents to support the application.</w:t>
      </w:r>
    </w:p>
    <w:p w:rsidR="00CC21DD" w:rsidRDefault="00CC21DD" w:rsidP="00CC21DD">
      <w:pPr>
        <w:pStyle w:val="aNote"/>
      </w:pPr>
      <w:r>
        <w:rPr>
          <w:i/>
        </w:rPr>
        <w:t>Note</w:t>
      </w:r>
      <w:r>
        <w:rPr>
          <w:i/>
        </w:rPr>
        <w:tab/>
      </w:r>
      <w:r>
        <w:t>The registrar must also give the applicant a reviewable decision notice in relation to the decision to refuse to renew the applicant’s registration (see s 82).</w:t>
      </w:r>
    </w:p>
    <w:p w:rsidR="00CC21DD" w:rsidRDefault="00CC21DD" w:rsidP="00CC21DD">
      <w:pPr>
        <w:pStyle w:val="IMain"/>
      </w:pPr>
      <w:r>
        <w:tab/>
        <w:t>(6A)</w:t>
      </w:r>
      <w:r>
        <w:tab/>
        <w:t>If the applicant gives the registrar additional information or documents under subsection (6) (b) (ii), the registrar must, within 10 working days after receiving the information or documents—</w:t>
      </w:r>
    </w:p>
    <w:p w:rsidR="00CC21DD" w:rsidRDefault="00CC21DD" w:rsidP="00CC21DD">
      <w:pPr>
        <w:pStyle w:val="Ipara"/>
      </w:pPr>
      <w:r>
        <w:lastRenderedPageBreak/>
        <w:tab/>
        <w:t>(a)</w:t>
      </w:r>
      <w:r>
        <w:tab/>
        <w:t>reconsider the decision; and</w:t>
      </w:r>
    </w:p>
    <w:p w:rsidR="00CC21DD" w:rsidRDefault="00CC21DD" w:rsidP="00CC21DD">
      <w:pPr>
        <w:pStyle w:val="Ipara"/>
      </w:pPr>
      <w:r>
        <w:tab/>
        <w:t>(b)</w:t>
      </w:r>
      <w:r>
        <w:tab/>
        <w:t>either—</w:t>
      </w:r>
    </w:p>
    <w:p w:rsidR="00CC21DD" w:rsidRDefault="00CC21DD" w:rsidP="00CC21DD">
      <w:pPr>
        <w:pStyle w:val="Isubpara"/>
      </w:pPr>
      <w:r>
        <w:tab/>
        <w:t>(i)</w:t>
      </w:r>
      <w:r>
        <w:tab/>
        <w:t>register the applicant; or</w:t>
      </w:r>
    </w:p>
    <w:p w:rsidR="00CC21DD" w:rsidRDefault="00CC21DD" w:rsidP="00CC21DD">
      <w:pPr>
        <w:pStyle w:val="Isubpara"/>
      </w:pPr>
      <w:r>
        <w:tab/>
        <w:t>(ii)</w:t>
      </w:r>
      <w:r>
        <w:tab/>
        <w:t>refuse to register the applicant; and</w:t>
      </w:r>
    </w:p>
    <w:p w:rsidR="00CC21DD" w:rsidRDefault="00CC21DD" w:rsidP="00CC21DD">
      <w:pPr>
        <w:pStyle w:val="Ipara"/>
      </w:pPr>
      <w:r>
        <w:tab/>
        <w:t>(c)</w:t>
      </w:r>
      <w:r>
        <w:tab/>
        <w:t>tell the applicant, in writing, the registrar’s decision; and</w:t>
      </w:r>
    </w:p>
    <w:p w:rsidR="00CC21DD" w:rsidRDefault="00CC21DD" w:rsidP="00CC21DD">
      <w:pPr>
        <w:pStyle w:val="Ipara"/>
      </w:pPr>
      <w:r>
        <w:tab/>
        <w:t>(d)</w:t>
      </w:r>
      <w:r>
        <w:tab/>
        <w:t>if the registrar refuses to register the applicant—set out the reasons for the decision.</w:t>
      </w:r>
    </w:p>
    <w:p w:rsidR="00CC21DD" w:rsidRDefault="00CC21DD" w:rsidP="00CC21DD">
      <w:pPr>
        <w:pStyle w:val="aNote"/>
      </w:pPr>
      <w:r>
        <w:rPr>
          <w:i/>
        </w:rPr>
        <w:t>Note</w:t>
      </w:r>
      <w:r>
        <w:rPr>
          <w:i/>
        </w:rPr>
        <w:tab/>
      </w:r>
      <w:r>
        <w:t xml:space="preserve">The registrar’s decision to refuse to renew a contestant’s registration is a reviewable decision (see s 81). </w:t>
      </w:r>
    </w:p>
    <w:p w:rsidR="00CC21DD" w:rsidRDefault="00CC21DD" w:rsidP="00CC21DD">
      <w:pPr>
        <w:pStyle w:val="AH3sec"/>
        <w:numPr>
          <w:ilvl w:val="0"/>
          <w:numId w:val="5"/>
        </w:numPr>
        <w:tabs>
          <w:tab w:val="clear" w:pos="284"/>
          <w:tab w:val="num" w:pos="360"/>
        </w:tabs>
        <w:ind w:left="0" w:firstLine="0"/>
      </w:pPr>
      <w:r>
        <w:br/>
        <w:t>Clause 32 (4) (b)</w:t>
      </w:r>
      <w:r>
        <w:br/>
        <w:t>Page 31, line 10—</w:t>
      </w:r>
    </w:p>
    <w:p w:rsidR="00CC21DD" w:rsidRDefault="00CC21DD" w:rsidP="00CC21DD">
      <w:pPr>
        <w:pStyle w:val="direction"/>
      </w:pPr>
      <w:r>
        <w:t>omit</w:t>
      </w:r>
    </w:p>
    <w:p w:rsidR="00CC21DD" w:rsidRDefault="00CC21DD" w:rsidP="00CC21DD">
      <w:pPr>
        <w:pStyle w:val="Amainreturn"/>
      </w:pPr>
      <w:r>
        <w:t>10 working days</w:t>
      </w:r>
    </w:p>
    <w:p w:rsidR="00CC21DD" w:rsidRDefault="00CC21DD" w:rsidP="00CC21DD">
      <w:pPr>
        <w:pStyle w:val="direction"/>
      </w:pPr>
      <w:r>
        <w:t>substitute</w:t>
      </w:r>
    </w:p>
    <w:p w:rsidR="00CC21DD" w:rsidRDefault="00CC21DD" w:rsidP="00CC21DD">
      <w:pPr>
        <w:pStyle w:val="Amainreturn"/>
      </w:pPr>
      <w:r>
        <w:t xml:space="preserve">20 working days (the </w:t>
      </w:r>
      <w:r>
        <w:rPr>
          <w:b/>
          <w:i/>
        </w:rPr>
        <w:t>20-day period</w:t>
      </w:r>
      <w:r>
        <w:t>)</w:t>
      </w:r>
    </w:p>
    <w:p w:rsidR="00CC21DD" w:rsidRDefault="00CC21DD" w:rsidP="00CC21DD">
      <w:pPr>
        <w:pStyle w:val="AH3sec"/>
        <w:numPr>
          <w:ilvl w:val="0"/>
          <w:numId w:val="5"/>
        </w:numPr>
        <w:tabs>
          <w:tab w:val="clear" w:pos="284"/>
          <w:tab w:val="num" w:pos="360"/>
        </w:tabs>
        <w:ind w:left="0" w:firstLine="0"/>
      </w:pPr>
      <w:r>
        <w:br/>
        <w:t>Proposed new clause 32 (5A)</w:t>
      </w:r>
      <w:r>
        <w:br/>
        <w:t>Page 31, line 28—</w:t>
      </w:r>
    </w:p>
    <w:p w:rsidR="00CC21DD" w:rsidRDefault="00CC21DD" w:rsidP="00CC21DD">
      <w:pPr>
        <w:pStyle w:val="direction"/>
      </w:pPr>
      <w:r>
        <w:t>insert</w:t>
      </w:r>
    </w:p>
    <w:p w:rsidR="00CC21DD" w:rsidRDefault="00CC21DD" w:rsidP="00CC21DD">
      <w:pPr>
        <w:pStyle w:val="IMain"/>
      </w:pPr>
      <w:r>
        <w:tab/>
        <w:t>(5A)</w:t>
      </w:r>
      <w:r>
        <w:tab/>
        <w:t>The registrar must not suspend or cancel the controlled sports contestant’s registration under subsection (5) earlier than—</w:t>
      </w:r>
    </w:p>
    <w:p w:rsidR="00CC21DD" w:rsidRDefault="00CC21DD" w:rsidP="00DB154C">
      <w:pPr>
        <w:pStyle w:val="Ipara"/>
        <w:keepNext/>
        <w:ind w:left="1598" w:hanging="1598"/>
      </w:pPr>
      <w:r>
        <w:tab/>
        <w:t>(a)</w:t>
      </w:r>
      <w:r>
        <w:tab/>
        <w:t>if the contestant gives reasons in accordance with the notice—10 working days after the contestant gives the registrar the reasons; or</w:t>
      </w:r>
    </w:p>
    <w:p w:rsidR="00CC21DD" w:rsidRDefault="00CC21DD" w:rsidP="00CC21DD">
      <w:pPr>
        <w:pStyle w:val="Ipara"/>
      </w:pPr>
      <w:r>
        <w:tab/>
        <w:t>(b)</w:t>
      </w:r>
      <w:r>
        <w:tab/>
        <w:t xml:space="preserve">in any other case—the end of the 20-day period. </w:t>
      </w:r>
    </w:p>
    <w:p w:rsidR="00CC21DD" w:rsidRDefault="00CC21DD" w:rsidP="00CC21DD">
      <w:pPr>
        <w:pStyle w:val="AH3sec"/>
        <w:numPr>
          <w:ilvl w:val="0"/>
          <w:numId w:val="5"/>
        </w:numPr>
        <w:tabs>
          <w:tab w:val="clear" w:pos="284"/>
          <w:tab w:val="num" w:pos="360"/>
        </w:tabs>
        <w:ind w:left="0" w:firstLine="0"/>
      </w:pPr>
      <w:r>
        <w:br/>
        <w:t>Proposed new clause 35 (3) to (7)</w:t>
      </w:r>
      <w:r>
        <w:br/>
        <w:t>Page 33, line 26—</w:t>
      </w:r>
    </w:p>
    <w:p w:rsidR="00CC21DD" w:rsidRDefault="00CC21DD" w:rsidP="00CC21DD">
      <w:pPr>
        <w:pStyle w:val="direction"/>
      </w:pPr>
      <w:r>
        <w:t>insert</w:t>
      </w:r>
    </w:p>
    <w:p w:rsidR="00CC21DD" w:rsidRDefault="00CC21DD" w:rsidP="00CC21DD">
      <w:pPr>
        <w:pStyle w:val="IMain"/>
      </w:pPr>
      <w:r>
        <w:tab/>
        <w:t>(3)</w:t>
      </w:r>
      <w:r>
        <w:tab/>
        <w:t>The registrar must make a decision under subsection (2) within 10 working days after—</w:t>
      </w:r>
    </w:p>
    <w:p w:rsidR="00CC21DD" w:rsidRDefault="00CC21DD" w:rsidP="00CC21DD">
      <w:pPr>
        <w:pStyle w:val="Ipara"/>
      </w:pPr>
      <w:r>
        <w:tab/>
        <w:t>(a)</w:t>
      </w:r>
      <w:r>
        <w:tab/>
        <w:t>receiving the application; or</w:t>
      </w:r>
    </w:p>
    <w:p w:rsidR="00CC21DD" w:rsidRDefault="00CC21DD" w:rsidP="00CC21DD">
      <w:pPr>
        <w:pStyle w:val="Ipara"/>
      </w:pPr>
      <w:r>
        <w:tab/>
        <w:t>(b)</w:t>
      </w:r>
      <w:r>
        <w:tab/>
        <w:t xml:space="preserve">if the registrar has requested additional information or documents under section 34 (3)—receiving the information or documents. </w:t>
      </w:r>
    </w:p>
    <w:p w:rsidR="00CC21DD" w:rsidRDefault="00CC21DD" w:rsidP="00CC21DD">
      <w:pPr>
        <w:pStyle w:val="IMain"/>
      </w:pPr>
      <w:r>
        <w:tab/>
        <w:t>(4)</w:t>
      </w:r>
      <w:r>
        <w:tab/>
        <w:t>If the registrar fails to make a decision within the time required under subsection (3), the registrar is taken to have refused to register the applicant.</w:t>
      </w:r>
    </w:p>
    <w:p w:rsidR="00CC21DD" w:rsidRDefault="00CC21DD" w:rsidP="00CC21DD">
      <w:pPr>
        <w:pStyle w:val="IMain"/>
        <w:keepNext/>
      </w:pPr>
      <w:r>
        <w:lastRenderedPageBreak/>
        <w:tab/>
        <w:t>(5)</w:t>
      </w:r>
      <w:r>
        <w:tab/>
        <w:t>The registrar must, in writing—</w:t>
      </w:r>
    </w:p>
    <w:p w:rsidR="00CC21DD" w:rsidRDefault="00CC21DD" w:rsidP="00CC21DD">
      <w:pPr>
        <w:pStyle w:val="Ipara"/>
      </w:pPr>
      <w:r>
        <w:tab/>
        <w:t>(a)</w:t>
      </w:r>
      <w:r>
        <w:tab/>
        <w:t>tell the applicant the registrar’s decision under subsection (2); and</w:t>
      </w:r>
    </w:p>
    <w:p w:rsidR="00CC21DD" w:rsidRDefault="00CC21DD" w:rsidP="00CC21DD">
      <w:pPr>
        <w:pStyle w:val="Ipara"/>
      </w:pPr>
      <w:r>
        <w:tab/>
        <w:t>(b)</w:t>
      </w:r>
      <w:r>
        <w:tab/>
        <w:t>for a decision under subsection (2) (b)—</w:t>
      </w:r>
    </w:p>
    <w:p w:rsidR="00CC21DD" w:rsidRDefault="00CC21DD" w:rsidP="00CC21DD">
      <w:pPr>
        <w:pStyle w:val="Isubpara"/>
      </w:pPr>
      <w:r>
        <w:tab/>
        <w:t>(i)</w:t>
      </w:r>
      <w:r>
        <w:tab/>
        <w:t>set out the reasons for the decision; and</w:t>
      </w:r>
    </w:p>
    <w:p w:rsidR="00CC21DD" w:rsidRDefault="00CC21DD" w:rsidP="00CC21DD">
      <w:pPr>
        <w:pStyle w:val="Isubpara"/>
      </w:pPr>
      <w:r>
        <w:tab/>
        <w:t>(ii)</w:t>
      </w:r>
      <w:r>
        <w:tab/>
        <w:t>state that the applicant may, within 20 working days after the registrar tells the applicant the decision, give additional information or documents to support the application.</w:t>
      </w:r>
    </w:p>
    <w:p w:rsidR="00CC21DD" w:rsidRDefault="00CC21DD" w:rsidP="00CC21DD">
      <w:pPr>
        <w:pStyle w:val="aNote"/>
      </w:pPr>
      <w:r>
        <w:rPr>
          <w:i/>
        </w:rPr>
        <w:t>Note</w:t>
      </w:r>
      <w:r>
        <w:rPr>
          <w:i/>
        </w:rPr>
        <w:tab/>
      </w:r>
      <w:r>
        <w:t>The registrar must also give the applicant a reviewable decision notice in relation to the decision to refuse to register the event (see s 82).</w:t>
      </w:r>
    </w:p>
    <w:p w:rsidR="00CC21DD" w:rsidRDefault="00CC21DD" w:rsidP="00CC21DD">
      <w:pPr>
        <w:pStyle w:val="IMain"/>
      </w:pPr>
      <w:r>
        <w:tab/>
        <w:t>(6)</w:t>
      </w:r>
      <w:r>
        <w:tab/>
        <w:t>If the applicant gives the registrar additional information or documents under subsection (5) (b) (ii), the registrar must, within 10 working days after receiving the information or documents—</w:t>
      </w:r>
    </w:p>
    <w:p w:rsidR="00CC21DD" w:rsidRDefault="00CC21DD" w:rsidP="00CC21DD">
      <w:pPr>
        <w:pStyle w:val="Ipara"/>
      </w:pPr>
      <w:r>
        <w:tab/>
        <w:t>(a)</w:t>
      </w:r>
      <w:r>
        <w:tab/>
        <w:t>reconsider the decision; and</w:t>
      </w:r>
    </w:p>
    <w:p w:rsidR="00CC21DD" w:rsidRDefault="00CC21DD" w:rsidP="00CC21DD">
      <w:pPr>
        <w:pStyle w:val="Ipara"/>
      </w:pPr>
      <w:r>
        <w:tab/>
        <w:t>(b)</w:t>
      </w:r>
      <w:r>
        <w:tab/>
        <w:t>either—</w:t>
      </w:r>
    </w:p>
    <w:p w:rsidR="00CC21DD" w:rsidRDefault="00CC21DD" w:rsidP="00CC21DD">
      <w:pPr>
        <w:pStyle w:val="Isubpara"/>
      </w:pPr>
      <w:r>
        <w:tab/>
        <w:t>(i)</w:t>
      </w:r>
      <w:r>
        <w:tab/>
        <w:t>register the event; or</w:t>
      </w:r>
    </w:p>
    <w:p w:rsidR="00CC21DD" w:rsidRDefault="00CC21DD" w:rsidP="00CC21DD">
      <w:pPr>
        <w:pStyle w:val="Isubpara"/>
      </w:pPr>
      <w:r>
        <w:tab/>
        <w:t>(ii)</w:t>
      </w:r>
      <w:r>
        <w:tab/>
        <w:t>refuse to register the event; and</w:t>
      </w:r>
    </w:p>
    <w:p w:rsidR="00CC21DD" w:rsidRDefault="00CC21DD" w:rsidP="00CC21DD">
      <w:pPr>
        <w:pStyle w:val="Ipara"/>
      </w:pPr>
      <w:r>
        <w:tab/>
        <w:t>(c)</w:t>
      </w:r>
      <w:r>
        <w:tab/>
        <w:t>tell the applicant, in writing, the registrar’s decision; and</w:t>
      </w:r>
    </w:p>
    <w:p w:rsidR="00CC21DD" w:rsidRDefault="00CC21DD" w:rsidP="00CC21DD">
      <w:pPr>
        <w:pStyle w:val="Ipara"/>
      </w:pPr>
      <w:r>
        <w:tab/>
        <w:t>(d)</w:t>
      </w:r>
      <w:r>
        <w:tab/>
        <w:t>if the registrar refuses to register the event—set out the reasons for the decision.</w:t>
      </w:r>
    </w:p>
    <w:p w:rsidR="00CC21DD" w:rsidRDefault="00CC21DD" w:rsidP="00CC21DD">
      <w:pPr>
        <w:pStyle w:val="aNote"/>
      </w:pPr>
      <w:r>
        <w:rPr>
          <w:i/>
        </w:rPr>
        <w:t>Note</w:t>
      </w:r>
      <w:r>
        <w:rPr>
          <w:i/>
        </w:rPr>
        <w:tab/>
      </w:r>
      <w:r>
        <w:t xml:space="preserve">The registrar’s decision to refuse to register an event is a reviewable decision (see s 81). </w:t>
      </w:r>
    </w:p>
    <w:p w:rsidR="00CC21DD" w:rsidRDefault="00CC21DD" w:rsidP="00CC21DD">
      <w:pPr>
        <w:pStyle w:val="IMain"/>
      </w:pPr>
      <w:r>
        <w:tab/>
        <w:t>(7)</w:t>
      </w:r>
      <w:r>
        <w:tab/>
        <w:t>The registrar is not required under this Act or any other territory law to give reasons for the registrar’s decision to the extent that giving those reasons would disclose security sensitive information.</w:t>
      </w:r>
    </w:p>
    <w:p w:rsidR="00CC21DD" w:rsidRDefault="00CC21DD" w:rsidP="00CC21DD">
      <w:pPr>
        <w:pStyle w:val="aNote"/>
      </w:pPr>
      <w:r>
        <w:rPr>
          <w:i/>
        </w:rPr>
        <w:t>Note 1</w:t>
      </w:r>
      <w:r>
        <w:rPr>
          <w:i/>
        </w:rPr>
        <w:tab/>
      </w:r>
      <w:r>
        <w:rPr>
          <w:b/>
          <w:i/>
        </w:rPr>
        <w:t>Security sensitive information</w:t>
      </w:r>
      <w:r>
        <w:t>—see the dictionary.</w:t>
      </w:r>
    </w:p>
    <w:p w:rsidR="00CC21DD" w:rsidRDefault="00CC21DD" w:rsidP="00CC21DD">
      <w:pPr>
        <w:pStyle w:val="aNote"/>
      </w:pPr>
      <w:r>
        <w:rPr>
          <w:i/>
        </w:rPr>
        <w:t>Note 2</w:t>
      </w:r>
      <w:r>
        <w:rPr>
          <w:i/>
        </w:rPr>
        <w:tab/>
      </w:r>
      <w:r>
        <w:t>If the registrar does not give reasons for the registrar’s decision under s (7), and a person applies to the ACAT or the court for review of the registrar’s decision, the registrar must apply to the ACAT or the court for a decision about whether the reasons disclose security sensitive information (see s 84).</w:t>
      </w:r>
    </w:p>
    <w:p w:rsidR="00CC21DD" w:rsidRDefault="00CC21DD" w:rsidP="00CC21DD">
      <w:pPr>
        <w:pStyle w:val="AH3sec"/>
        <w:numPr>
          <w:ilvl w:val="0"/>
          <w:numId w:val="5"/>
        </w:numPr>
        <w:tabs>
          <w:tab w:val="clear" w:pos="284"/>
          <w:tab w:val="num" w:pos="360"/>
        </w:tabs>
        <w:ind w:left="0" w:firstLine="0"/>
      </w:pPr>
      <w:r>
        <w:br/>
        <w:t>Clause 38 (2)</w:t>
      </w:r>
      <w:r>
        <w:br/>
        <w:t>Page 35, line 10—</w:t>
      </w:r>
    </w:p>
    <w:p w:rsidR="00CC21DD" w:rsidRDefault="00CC21DD" w:rsidP="00CC21DD">
      <w:pPr>
        <w:pStyle w:val="direction"/>
      </w:pPr>
      <w:r>
        <w:t>omit clause 38 (2), substitute</w:t>
      </w:r>
    </w:p>
    <w:p w:rsidR="00CC21DD" w:rsidRDefault="00CC21DD" w:rsidP="00CC21DD">
      <w:pPr>
        <w:pStyle w:val="IMain"/>
      </w:pPr>
      <w:r>
        <w:tab/>
        <w:t>(2)</w:t>
      </w:r>
      <w:r>
        <w:tab/>
        <w:t>If the registrar intends to suspend or cancel the registration of a registered event for a reason mentioned in subsection (1), the registrar must give the registered promoter for the event a written notice—</w:t>
      </w:r>
    </w:p>
    <w:p w:rsidR="00CC21DD" w:rsidRDefault="00CC21DD" w:rsidP="00CC21DD">
      <w:pPr>
        <w:pStyle w:val="Ipara"/>
      </w:pPr>
      <w:r>
        <w:tab/>
        <w:t>(a)</w:t>
      </w:r>
      <w:r>
        <w:tab/>
        <w:t xml:space="preserve">setting out the </w:t>
      </w:r>
      <w:r>
        <w:rPr>
          <w:lang w:eastAsia="en-AU"/>
        </w:rPr>
        <w:t>reason</w:t>
      </w:r>
      <w:r>
        <w:t xml:space="preserve"> for suspension or cancellation; and</w:t>
      </w:r>
    </w:p>
    <w:p w:rsidR="00CC21DD" w:rsidRDefault="00CC21DD" w:rsidP="00CC21DD">
      <w:pPr>
        <w:pStyle w:val="Ipara"/>
      </w:pPr>
      <w:r>
        <w:lastRenderedPageBreak/>
        <w:tab/>
        <w:t>(b)</w:t>
      </w:r>
      <w:r>
        <w:tab/>
        <w:t xml:space="preserve">stating that the registered promoter may, within 20 working days (the </w:t>
      </w:r>
      <w:r>
        <w:rPr>
          <w:b/>
          <w:i/>
        </w:rPr>
        <w:t>20</w:t>
      </w:r>
      <w:r>
        <w:rPr>
          <w:b/>
          <w:i/>
        </w:rPr>
        <w:noBreakHyphen/>
        <w:t>day period</w:t>
      </w:r>
      <w:r>
        <w:t>) after the day the registrar gives the promoter the notice, give reasons why the promoter considers the registration should not be suspended or cancelled; and</w:t>
      </w:r>
    </w:p>
    <w:p w:rsidR="00CC21DD" w:rsidRDefault="00CC21DD" w:rsidP="00CC21DD">
      <w:pPr>
        <w:pStyle w:val="Ipara"/>
      </w:pPr>
      <w:r>
        <w:tab/>
        <w:t>(c)</w:t>
      </w:r>
      <w:r>
        <w:tab/>
        <w:t>stating that the registered promoter must not conduct the registered event after the day the registrar gives the promoter the notice until a decision is made under subsection (3).</w:t>
      </w:r>
    </w:p>
    <w:p w:rsidR="00CC21DD" w:rsidRDefault="00CC21DD" w:rsidP="00CC21DD">
      <w:pPr>
        <w:pStyle w:val="IMain"/>
        <w:rPr>
          <w:szCs w:val="24"/>
          <w:lang w:eastAsia="en-AU"/>
        </w:rPr>
      </w:pPr>
      <w:r>
        <w:rPr>
          <w:szCs w:val="24"/>
          <w:lang w:eastAsia="en-AU"/>
        </w:rPr>
        <w:tab/>
        <w:t>(3)</w:t>
      </w:r>
      <w:r>
        <w:rPr>
          <w:szCs w:val="24"/>
          <w:lang w:eastAsia="en-AU"/>
        </w:rPr>
        <w:tab/>
      </w:r>
      <w:r>
        <w:rPr>
          <w:lang w:eastAsia="en-AU"/>
        </w:rPr>
        <w:t xml:space="preserve">The </w:t>
      </w:r>
      <w:r>
        <w:t>registrar</w:t>
      </w:r>
      <w:r>
        <w:rPr>
          <w:lang w:eastAsia="en-AU"/>
        </w:rPr>
        <w:t xml:space="preserve"> must suspend or cancel the registration of the registered event </w:t>
      </w:r>
      <w:r>
        <w:t>for a reason mentioned in subsection (1)</w:t>
      </w:r>
      <w:r>
        <w:rPr>
          <w:lang w:eastAsia="en-AU"/>
        </w:rPr>
        <w:t xml:space="preserve"> if </w:t>
      </w:r>
      <w:r>
        <w:rPr>
          <w:szCs w:val="24"/>
          <w:lang w:eastAsia="en-AU"/>
        </w:rPr>
        <w:t xml:space="preserve">the </w:t>
      </w:r>
      <w:r>
        <w:t>registrar</w:t>
      </w:r>
      <w:r>
        <w:rPr>
          <w:szCs w:val="24"/>
          <w:lang w:eastAsia="en-AU"/>
        </w:rPr>
        <w:t>—</w:t>
      </w:r>
    </w:p>
    <w:p w:rsidR="00CC21DD" w:rsidRDefault="00CC21DD" w:rsidP="00CC21DD">
      <w:pPr>
        <w:pStyle w:val="Ipara"/>
        <w:rPr>
          <w:lang w:eastAsia="en-AU"/>
        </w:rPr>
      </w:pPr>
      <w:r>
        <w:rPr>
          <w:lang w:eastAsia="en-AU"/>
        </w:rPr>
        <w:tab/>
        <w:t>(a)</w:t>
      </w:r>
      <w:r>
        <w:rPr>
          <w:lang w:eastAsia="en-AU"/>
        </w:rPr>
        <w:tab/>
        <w:t xml:space="preserve">has given written notice to the </w:t>
      </w:r>
      <w:r>
        <w:t>registered promoter</w:t>
      </w:r>
      <w:r>
        <w:rPr>
          <w:lang w:eastAsia="en-AU"/>
        </w:rPr>
        <w:t xml:space="preserve"> of an intention to suspend or cancel the registration; and</w:t>
      </w:r>
    </w:p>
    <w:p w:rsidR="00CC21DD" w:rsidRDefault="00CC21DD" w:rsidP="00CC21DD">
      <w:pPr>
        <w:pStyle w:val="Ipara"/>
        <w:rPr>
          <w:lang w:eastAsia="en-AU"/>
        </w:rPr>
      </w:pPr>
      <w:r>
        <w:rPr>
          <w:lang w:eastAsia="en-AU"/>
        </w:rPr>
        <w:tab/>
        <w:t>(b)</w:t>
      </w:r>
      <w:r>
        <w:rPr>
          <w:lang w:eastAsia="en-AU"/>
        </w:rPr>
        <w:tab/>
        <w:t xml:space="preserve">has considered any reasons given by the </w:t>
      </w:r>
      <w:r>
        <w:t>registered promoter</w:t>
      </w:r>
      <w:r>
        <w:rPr>
          <w:lang w:eastAsia="en-AU"/>
        </w:rPr>
        <w:t xml:space="preserve"> in accordance with the notice; and</w:t>
      </w:r>
    </w:p>
    <w:p w:rsidR="00CC21DD" w:rsidRDefault="00CC21DD" w:rsidP="00CC21DD">
      <w:pPr>
        <w:pStyle w:val="Ipara"/>
        <w:rPr>
          <w:lang w:eastAsia="en-AU"/>
        </w:rPr>
      </w:pPr>
      <w:r>
        <w:rPr>
          <w:lang w:eastAsia="en-AU"/>
        </w:rPr>
        <w:tab/>
        <w:t>(c)</w:t>
      </w:r>
      <w:r>
        <w:rPr>
          <w:lang w:eastAsia="en-AU"/>
        </w:rPr>
        <w:tab/>
        <w:t xml:space="preserve">is satisfied on reasonable grounds of a matter mentioned in </w:t>
      </w:r>
      <w:r>
        <w:rPr>
          <w:szCs w:val="24"/>
          <w:lang w:eastAsia="en-AU"/>
        </w:rPr>
        <w:t>subsection (1)</w:t>
      </w:r>
      <w:r>
        <w:rPr>
          <w:lang w:eastAsia="en-AU"/>
        </w:rPr>
        <w:t>.</w:t>
      </w:r>
    </w:p>
    <w:p w:rsidR="00CC21DD" w:rsidRDefault="00CC21DD" w:rsidP="00CC21DD">
      <w:pPr>
        <w:pStyle w:val="aNote"/>
        <w:rPr>
          <w:lang w:eastAsia="en-AU"/>
        </w:rPr>
      </w:pPr>
      <w:r>
        <w:rPr>
          <w:rStyle w:val="charItals"/>
        </w:rPr>
        <w:t>Note</w:t>
      </w:r>
      <w:r>
        <w:rPr>
          <w:rStyle w:val="charItals"/>
        </w:rPr>
        <w:tab/>
      </w:r>
      <w:r>
        <w:rPr>
          <w:lang w:eastAsia="en-AU"/>
        </w:rPr>
        <w:t xml:space="preserve">The </w:t>
      </w:r>
      <w:r>
        <w:t>registrar</w:t>
      </w:r>
      <w:r>
        <w:rPr>
          <w:lang w:eastAsia="en-AU"/>
        </w:rPr>
        <w:t>’s decision to suspend or cancel the registration of a registered event is a reviewable decision (see s 81).</w:t>
      </w:r>
    </w:p>
    <w:p w:rsidR="00CC21DD" w:rsidRDefault="00CC21DD" w:rsidP="00CC21DD">
      <w:pPr>
        <w:pStyle w:val="IMain"/>
      </w:pPr>
      <w:r>
        <w:tab/>
        <w:t>(4)</w:t>
      </w:r>
      <w:r>
        <w:tab/>
        <w:t>The registrar must not suspend or cancel the registration of the registered event under subsection (3) earlier than—</w:t>
      </w:r>
    </w:p>
    <w:p w:rsidR="00CC21DD" w:rsidRDefault="00CC21DD" w:rsidP="00CC21DD">
      <w:pPr>
        <w:pStyle w:val="Ipara"/>
      </w:pPr>
      <w:r>
        <w:tab/>
        <w:t>(a)</w:t>
      </w:r>
      <w:r>
        <w:tab/>
        <w:t>if the registered promoter gives reasons in accordance with the notice—10 working days after the promoter gives the registrar the reasons; or</w:t>
      </w:r>
    </w:p>
    <w:p w:rsidR="00CC21DD" w:rsidRDefault="00CC21DD" w:rsidP="00CC21DD">
      <w:pPr>
        <w:pStyle w:val="Ipara"/>
      </w:pPr>
      <w:r>
        <w:tab/>
        <w:t>(b)</w:t>
      </w:r>
      <w:r>
        <w:tab/>
        <w:t>in any other case—the end of the 20-day period.</w:t>
      </w:r>
    </w:p>
    <w:p w:rsidR="00CC21DD" w:rsidRDefault="00CC21DD" w:rsidP="00CC21DD">
      <w:pPr>
        <w:pStyle w:val="IMain"/>
        <w:keepNext/>
        <w:rPr>
          <w:lang w:eastAsia="en-AU"/>
        </w:rPr>
      </w:pPr>
      <w:r>
        <w:rPr>
          <w:lang w:eastAsia="en-AU"/>
        </w:rPr>
        <w:tab/>
        <w:t>(5)</w:t>
      </w:r>
      <w:r>
        <w:rPr>
          <w:lang w:eastAsia="en-AU"/>
        </w:rPr>
        <w:tab/>
        <w:t xml:space="preserve">If the </w:t>
      </w:r>
      <w:r>
        <w:t>registrar</w:t>
      </w:r>
      <w:r>
        <w:rPr>
          <w:lang w:eastAsia="en-AU"/>
        </w:rPr>
        <w:t xml:space="preserve"> suspends or cancels the registration of the registered event, the </w:t>
      </w:r>
      <w:r>
        <w:t>registrar</w:t>
      </w:r>
      <w:r>
        <w:rPr>
          <w:lang w:eastAsia="en-AU"/>
        </w:rPr>
        <w:t xml:space="preserve"> must tell the </w:t>
      </w:r>
      <w:r>
        <w:t>registered promoter</w:t>
      </w:r>
      <w:r>
        <w:rPr>
          <w:lang w:eastAsia="en-AU"/>
        </w:rPr>
        <w:t>, in writing—</w:t>
      </w:r>
    </w:p>
    <w:p w:rsidR="00CC21DD" w:rsidRDefault="00CC21DD" w:rsidP="00CC21DD">
      <w:pPr>
        <w:pStyle w:val="Ipara"/>
        <w:rPr>
          <w:lang w:eastAsia="en-AU"/>
        </w:rPr>
      </w:pPr>
      <w:r>
        <w:rPr>
          <w:lang w:eastAsia="en-AU"/>
        </w:rPr>
        <w:tab/>
        <w:t>(a)</w:t>
      </w:r>
      <w:r>
        <w:rPr>
          <w:lang w:eastAsia="en-AU"/>
        </w:rPr>
        <w:tab/>
        <w:t xml:space="preserve">the registration is suspended or cancelled; </w:t>
      </w:r>
      <w:r>
        <w:rPr>
          <w:szCs w:val="24"/>
          <w:lang w:eastAsia="en-AU"/>
        </w:rPr>
        <w:t>and</w:t>
      </w:r>
    </w:p>
    <w:p w:rsidR="00CC21DD" w:rsidRDefault="00CC21DD" w:rsidP="00CC21DD">
      <w:pPr>
        <w:pStyle w:val="Ipara"/>
        <w:rPr>
          <w:lang w:eastAsia="en-AU"/>
        </w:rPr>
      </w:pPr>
      <w:r>
        <w:rPr>
          <w:lang w:eastAsia="en-AU"/>
        </w:rPr>
        <w:tab/>
        <w:t>(b)</w:t>
      </w:r>
      <w:r>
        <w:rPr>
          <w:lang w:eastAsia="en-AU"/>
        </w:rPr>
        <w:tab/>
        <w:t>the reason for suspension or cancellation; and</w:t>
      </w:r>
    </w:p>
    <w:p w:rsidR="00CC21DD" w:rsidRDefault="00CC21DD" w:rsidP="00CC21DD">
      <w:pPr>
        <w:pStyle w:val="Ipara"/>
      </w:pPr>
      <w:r>
        <w:tab/>
        <w:t>(c)</w:t>
      </w:r>
      <w:r>
        <w:tab/>
        <w:t>the date on which the suspension or cancellation takes effect; and</w:t>
      </w:r>
    </w:p>
    <w:p w:rsidR="00CC21DD" w:rsidRDefault="00CC21DD" w:rsidP="00CC21DD">
      <w:pPr>
        <w:pStyle w:val="Ipara"/>
      </w:pPr>
      <w:r>
        <w:tab/>
        <w:t>(d)</w:t>
      </w:r>
      <w:r>
        <w:tab/>
        <w:t>for a suspension—any conditions that apply.</w:t>
      </w:r>
    </w:p>
    <w:p w:rsidR="00CC21DD" w:rsidRDefault="00CC21DD" w:rsidP="00CC21DD">
      <w:pPr>
        <w:pStyle w:val="aNote"/>
        <w:rPr>
          <w:lang w:eastAsia="en-AU"/>
        </w:rPr>
      </w:pPr>
      <w:r>
        <w:rPr>
          <w:rStyle w:val="charItals"/>
        </w:rPr>
        <w:t>Note</w:t>
      </w:r>
      <w:r>
        <w:rPr>
          <w:rStyle w:val="charItals"/>
        </w:rPr>
        <w:tab/>
      </w:r>
      <w:r>
        <w:rPr>
          <w:lang w:eastAsia="en-AU"/>
        </w:rPr>
        <w:t xml:space="preserve">The </w:t>
      </w:r>
      <w:r>
        <w:t>registrar</w:t>
      </w:r>
      <w:r>
        <w:rPr>
          <w:lang w:eastAsia="en-AU"/>
        </w:rPr>
        <w:t xml:space="preserve"> must also give the </w:t>
      </w:r>
      <w:r>
        <w:t>registered promoter</w:t>
      </w:r>
      <w:r>
        <w:rPr>
          <w:lang w:eastAsia="en-AU"/>
        </w:rPr>
        <w:t xml:space="preserve"> a reviewable decision notice in relation to the decision to suspend or cancel the registration (see s 82).</w:t>
      </w:r>
    </w:p>
    <w:p w:rsidR="00CC21DD" w:rsidRDefault="00CC21DD" w:rsidP="00CC21DD">
      <w:pPr>
        <w:pStyle w:val="AH3sec"/>
        <w:numPr>
          <w:ilvl w:val="0"/>
          <w:numId w:val="5"/>
        </w:numPr>
        <w:tabs>
          <w:tab w:val="clear" w:pos="284"/>
          <w:tab w:val="num" w:pos="360"/>
        </w:tabs>
        <w:ind w:left="0" w:firstLine="0"/>
      </w:pPr>
      <w:r>
        <w:br/>
        <w:t>Clause 61 (2)</w:t>
      </w:r>
      <w:r>
        <w:br/>
        <w:t>Page 49, line 12—</w:t>
      </w:r>
    </w:p>
    <w:p w:rsidR="00CC21DD" w:rsidRDefault="00CC21DD" w:rsidP="00CC21DD">
      <w:pPr>
        <w:pStyle w:val="direction"/>
      </w:pPr>
      <w:r>
        <w:t>omit clause 61 (2), substitute</w:t>
      </w:r>
    </w:p>
    <w:p w:rsidR="00CC21DD" w:rsidRDefault="00CC21DD" w:rsidP="0015480C">
      <w:pPr>
        <w:pStyle w:val="IMain"/>
        <w:spacing w:before="120"/>
      </w:pPr>
      <w:r>
        <w:tab/>
        <w:t>(2)</w:t>
      </w:r>
      <w:r>
        <w:tab/>
        <w:t>However, this division does not apply to an event—</w:t>
      </w:r>
    </w:p>
    <w:p w:rsidR="00CC21DD" w:rsidRDefault="00CC21DD" w:rsidP="0015480C">
      <w:pPr>
        <w:pStyle w:val="Ipara"/>
        <w:spacing w:before="120"/>
      </w:pPr>
      <w:r>
        <w:tab/>
        <w:t>(a)</w:t>
      </w:r>
      <w:r>
        <w:tab/>
        <w:t>conducted by a local club; or</w:t>
      </w:r>
    </w:p>
    <w:p w:rsidR="00CC21DD" w:rsidRDefault="00CC21DD" w:rsidP="0015480C">
      <w:pPr>
        <w:pStyle w:val="Ipara"/>
        <w:spacing w:before="120"/>
      </w:pPr>
      <w:r>
        <w:tab/>
        <w:t>(b)</w:t>
      </w:r>
      <w:r>
        <w:tab/>
        <w:t>that is a low risk activity; or</w:t>
      </w:r>
    </w:p>
    <w:p w:rsidR="00CC21DD" w:rsidRDefault="00CC21DD" w:rsidP="0015480C">
      <w:pPr>
        <w:pStyle w:val="Ipara"/>
        <w:spacing w:before="120"/>
      </w:pPr>
      <w:r>
        <w:lastRenderedPageBreak/>
        <w:tab/>
        <w:t>(c)</w:t>
      </w:r>
      <w:r>
        <w:tab/>
        <w:t>declared by the Minister not to be a registrable event under section 10 (2).</w:t>
      </w:r>
    </w:p>
    <w:p w:rsidR="00CC21DD" w:rsidRDefault="00CC21DD" w:rsidP="0015480C">
      <w:pPr>
        <w:pStyle w:val="aNote"/>
        <w:spacing w:before="120"/>
      </w:pPr>
      <w:r>
        <w:rPr>
          <w:i/>
        </w:rPr>
        <w:t>Note</w:t>
      </w:r>
      <w:r>
        <w:rPr>
          <w:i/>
        </w:rPr>
        <w:tab/>
      </w:r>
      <w:r>
        <w:rPr>
          <w:b/>
          <w:i/>
        </w:rPr>
        <w:t>Registrable event</w:t>
      </w:r>
      <w:r>
        <w:t>—see s 10.</w:t>
      </w:r>
    </w:p>
    <w:p w:rsidR="00CC21DD" w:rsidRDefault="00CC21DD" w:rsidP="00CC21DD">
      <w:pPr>
        <w:pStyle w:val="AH3sec"/>
        <w:numPr>
          <w:ilvl w:val="0"/>
          <w:numId w:val="5"/>
        </w:numPr>
        <w:tabs>
          <w:tab w:val="clear" w:pos="284"/>
          <w:tab w:val="num" w:pos="360"/>
        </w:tabs>
        <w:ind w:left="0" w:firstLine="0"/>
      </w:pPr>
      <w:r>
        <w:br/>
        <w:t xml:space="preserve">Clause 61 (3), proposed new definitions of </w:t>
      </w:r>
      <w:r>
        <w:rPr>
          <w:i/>
        </w:rPr>
        <w:t>local club</w:t>
      </w:r>
      <w:r>
        <w:t xml:space="preserve"> and </w:t>
      </w:r>
      <w:r>
        <w:rPr>
          <w:i/>
        </w:rPr>
        <w:t>low risk activity</w:t>
      </w:r>
      <w:r>
        <w:br/>
        <w:t>Page 49, line 25—</w:t>
      </w:r>
    </w:p>
    <w:p w:rsidR="00CC21DD" w:rsidRDefault="00CC21DD" w:rsidP="00CC21DD">
      <w:pPr>
        <w:pStyle w:val="direction"/>
      </w:pPr>
      <w:r>
        <w:t>insert</w:t>
      </w:r>
    </w:p>
    <w:p w:rsidR="00CC21DD" w:rsidRDefault="00CC21DD" w:rsidP="0015480C">
      <w:pPr>
        <w:pStyle w:val="aDef"/>
        <w:spacing w:before="120"/>
        <w:ind w:left="1100" w:firstLine="0"/>
      </w:pPr>
      <w:r>
        <w:rPr>
          <w:b/>
          <w:i/>
        </w:rPr>
        <w:t>local club</w:t>
      </w:r>
      <w:r>
        <w:t xml:space="preserve"> means an organisation—</w:t>
      </w:r>
    </w:p>
    <w:p w:rsidR="00CC21DD" w:rsidRDefault="00CC21DD" w:rsidP="0015480C">
      <w:pPr>
        <w:pStyle w:val="Idefpara"/>
        <w:spacing w:before="120"/>
      </w:pPr>
      <w:r>
        <w:tab/>
        <w:t>(a)</w:t>
      </w:r>
      <w:r>
        <w:tab/>
        <w:t>that—</w:t>
      </w:r>
    </w:p>
    <w:p w:rsidR="00CC21DD" w:rsidRDefault="00CC21DD" w:rsidP="0015480C">
      <w:pPr>
        <w:pStyle w:val="Idefsubpara"/>
        <w:spacing w:before="120"/>
      </w:pPr>
      <w:r>
        <w:tab/>
        <w:t>(i)</w:t>
      </w:r>
      <w:r>
        <w:tab/>
        <w:t>is established for the sole purpose of conducting sports training and skills-based competitions; or</w:t>
      </w:r>
    </w:p>
    <w:p w:rsidR="00CC21DD" w:rsidRDefault="00CC21DD" w:rsidP="0015480C">
      <w:pPr>
        <w:pStyle w:val="Idefsubpara"/>
        <w:spacing w:before="120"/>
      </w:pPr>
      <w:r>
        <w:tab/>
        <w:t>(ii)</w:t>
      </w:r>
      <w:r>
        <w:tab/>
        <w:t>operates under the rules of, and is sanctioned by, an authorised controlled sports body; and</w:t>
      </w:r>
    </w:p>
    <w:p w:rsidR="00CC21DD" w:rsidRDefault="00CC21DD" w:rsidP="0015480C">
      <w:pPr>
        <w:pStyle w:val="Idefpara"/>
        <w:spacing w:before="120"/>
      </w:pPr>
      <w:r>
        <w:tab/>
        <w:t>(b)</w:t>
      </w:r>
      <w:r>
        <w:tab/>
        <w:t>that holds insurance to cover its liability to participants and visitors.</w:t>
      </w:r>
    </w:p>
    <w:p w:rsidR="00CC21DD" w:rsidRDefault="00CC21DD" w:rsidP="0015480C">
      <w:pPr>
        <w:pStyle w:val="aDef"/>
        <w:spacing w:before="120"/>
        <w:ind w:left="1100" w:firstLine="0"/>
      </w:pPr>
      <w:r>
        <w:rPr>
          <w:b/>
          <w:i/>
        </w:rPr>
        <w:t>low risk activity</w:t>
      </w:r>
      <w:r>
        <w:t xml:space="preserve"> means—</w:t>
      </w:r>
    </w:p>
    <w:p w:rsidR="00CC21DD" w:rsidRDefault="00CC21DD" w:rsidP="0015480C">
      <w:pPr>
        <w:pStyle w:val="Idefpara"/>
        <w:spacing w:before="120"/>
      </w:pPr>
      <w:r>
        <w:tab/>
        <w:t>(a)</w:t>
      </w:r>
      <w:r>
        <w:tab/>
        <w:t>a combat sport that involves only light contact and conducted solely to determine a person’s proficiency in the sport; or</w:t>
      </w:r>
    </w:p>
    <w:p w:rsidR="00CC21DD" w:rsidRDefault="00CC21DD" w:rsidP="0015480C">
      <w:pPr>
        <w:pStyle w:val="Idefpara"/>
        <w:spacing w:before="120"/>
      </w:pPr>
      <w:r>
        <w:tab/>
        <w:t>(b)</w:t>
      </w:r>
      <w:r>
        <w:tab/>
        <w:t>a combat sport for which the rules state that a participant is penalised if the person strikes, kicks, hits, grapples with, throws or punches in a way that does not involve light contact with another person; or</w:t>
      </w:r>
    </w:p>
    <w:p w:rsidR="00CC21DD" w:rsidRDefault="00CC21DD" w:rsidP="0015480C">
      <w:pPr>
        <w:pStyle w:val="Idefpara"/>
        <w:spacing w:before="120"/>
      </w:pPr>
      <w:r>
        <w:tab/>
        <w:t>(c)</w:t>
      </w:r>
      <w:r>
        <w:tab/>
        <w:t>a combat sport for which the rules—</w:t>
      </w:r>
    </w:p>
    <w:p w:rsidR="00CC21DD" w:rsidRDefault="00CC21DD" w:rsidP="0015480C">
      <w:pPr>
        <w:pStyle w:val="Idefsubpara"/>
        <w:spacing w:before="120"/>
      </w:pPr>
      <w:r>
        <w:tab/>
        <w:t>(i)</w:t>
      </w:r>
      <w:r>
        <w:tab/>
        <w:t xml:space="preserve">do not allow contact to be made to the head of a participant; and </w:t>
      </w:r>
    </w:p>
    <w:p w:rsidR="00CC21DD" w:rsidRDefault="00CC21DD" w:rsidP="0015480C">
      <w:pPr>
        <w:pStyle w:val="Idefsubpara"/>
        <w:spacing w:before="120"/>
      </w:pPr>
      <w:r>
        <w:tab/>
        <w:t>(ii)</w:t>
      </w:r>
      <w:r>
        <w:tab/>
        <w:t>require all strike zones on a participant’s body to be fully protected using protective material; or</w:t>
      </w:r>
    </w:p>
    <w:p w:rsidR="00CC21DD" w:rsidRDefault="00CC21DD" w:rsidP="0015480C">
      <w:pPr>
        <w:pStyle w:val="Idefpara"/>
        <w:spacing w:before="120"/>
      </w:pPr>
      <w:r>
        <w:tab/>
        <w:t>(d)</w:t>
      </w:r>
      <w:r>
        <w:tab/>
        <w:t>a combat sport that—</w:t>
      </w:r>
    </w:p>
    <w:p w:rsidR="00CC21DD" w:rsidRDefault="00CC21DD" w:rsidP="0015480C">
      <w:pPr>
        <w:pStyle w:val="Idefsubpara"/>
        <w:spacing w:before="120"/>
      </w:pPr>
      <w:r>
        <w:tab/>
        <w:t>(i)</w:t>
      </w:r>
      <w:r>
        <w:tab/>
        <w:t>involves only limited physical contact between participants; and</w:t>
      </w:r>
    </w:p>
    <w:p w:rsidR="00CC21DD" w:rsidRDefault="00CC21DD" w:rsidP="0015480C">
      <w:pPr>
        <w:pStyle w:val="Idefsubpara"/>
        <w:spacing w:before="120"/>
      </w:pPr>
      <w:r>
        <w:tab/>
        <w:t>(ii)</w:t>
      </w:r>
      <w:r>
        <w:tab/>
        <w:t>is conducted only to demonstrate moves of strikes, kicks, hits, grapples, throws or punches in a predominantly artistic context, with or without a weapon; or</w:t>
      </w:r>
    </w:p>
    <w:p w:rsidR="006E2562" w:rsidRDefault="00CC21DD" w:rsidP="0015480C">
      <w:pPr>
        <w:pStyle w:val="Idefpara"/>
        <w:spacing w:before="120"/>
      </w:pPr>
      <w:r>
        <w:tab/>
        <w:t>(e)</w:t>
      </w:r>
      <w:r>
        <w:tab/>
        <w:t>wrestling conducted solely for theatrical or humorous entertainment.</w:t>
      </w:r>
    </w:p>
    <w:p w:rsidR="0015480C" w:rsidRPr="000C427D" w:rsidRDefault="0015480C" w:rsidP="0015480C">
      <w:pPr>
        <w:pStyle w:val="Idefpara"/>
        <w:pBdr>
          <w:bottom w:val="single" w:sz="4" w:space="1" w:color="auto"/>
        </w:pBdr>
        <w:spacing w:before="120"/>
        <w:ind w:left="1598" w:hanging="1598"/>
      </w:pPr>
    </w:p>
    <w:sectPr w:rsidR="0015480C" w:rsidRPr="000C427D" w:rsidSect="00AC1F8E">
      <w:type w:val="continuous"/>
      <w:pgSz w:w="11907" w:h="16840" w:code="9"/>
      <w:pgMar w:top="1368" w:right="3024" w:bottom="1138" w:left="1138" w:header="734" w:footer="432"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CD" w:rsidRDefault="00F56BCD">
      <w:r>
        <w:separator/>
      </w:r>
    </w:p>
  </w:endnote>
  <w:endnote w:type="continuationSeparator" w:id="0">
    <w:p w:rsidR="00F56BCD" w:rsidRDefault="00F56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CD" w:rsidRPr="003C0A33" w:rsidRDefault="00F56BCD" w:rsidP="00823EBC">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7728"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2"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F56BCD" w:rsidRPr="003C0A33" w:rsidRDefault="00F56BCD" w:rsidP="00823EBC">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CD" w:rsidRDefault="00F56BCD">
      <w:r>
        <w:separator/>
      </w:r>
    </w:p>
  </w:footnote>
  <w:footnote w:type="continuationSeparator" w:id="0">
    <w:p w:rsidR="00F56BCD" w:rsidRDefault="00F56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CD" w:rsidRPr="000B7673" w:rsidRDefault="008842D7" w:rsidP="003E7D44">
    <w:pPr>
      <w:pStyle w:val="Header"/>
      <w:tabs>
        <w:tab w:val="clear" w:pos="4153"/>
        <w:tab w:val="clear" w:pos="8306"/>
        <w:tab w:val="center" w:pos="4680"/>
      </w:tabs>
      <w:rPr>
        <w:rFonts w:asciiTheme="minorHAnsi" w:hAnsiTheme="minorHAnsi"/>
      </w:rPr>
    </w:pPr>
    <w:sdt>
      <w:sdtPr>
        <w:id w:val="112529419"/>
        <w:docPartObj>
          <w:docPartGallery w:val="Page Numbers (Top of Page)"/>
          <w:docPartUnique/>
        </w:docPartObj>
      </w:sdtPr>
      <w:sdtContent>
        <w:r w:rsidRPr="009137CB">
          <w:rPr>
            <w:rFonts w:asciiTheme="minorHAnsi" w:hAnsiTheme="minorHAnsi"/>
          </w:rPr>
          <w:fldChar w:fldCharType="begin"/>
        </w:r>
        <w:r w:rsidR="00F56BCD" w:rsidRPr="009137CB">
          <w:rPr>
            <w:rFonts w:asciiTheme="minorHAnsi" w:hAnsiTheme="minorHAnsi"/>
          </w:rPr>
          <w:instrText xml:space="preserve"> PAGE   \* MERGEFORMAT </w:instrText>
        </w:r>
        <w:r w:rsidRPr="009137CB">
          <w:rPr>
            <w:rFonts w:asciiTheme="minorHAnsi" w:hAnsiTheme="minorHAnsi"/>
          </w:rPr>
          <w:fldChar w:fldCharType="separate"/>
        </w:r>
        <w:r w:rsidR="00934188">
          <w:rPr>
            <w:rFonts w:asciiTheme="minorHAnsi" w:hAnsiTheme="minorHAnsi"/>
            <w:noProof/>
          </w:rPr>
          <w:t>1340</w:t>
        </w:r>
        <w:r w:rsidRPr="009137CB">
          <w:rPr>
            <w:rFonts w:asciiTheme="minorHAnsi" w:hAnsiTheme="minorHAnsi"/>
          </w:rPr>
          <w:fldChar w:fldCharType="end"/>
        </w:r>
      </w:sdtContent>
    </w:sdt>
    <w:r w:rsidR="00F56BCD">
      <w:tab/>
    </w:r>
    <w:r w:rsidR="000B7673" w:rsidRPr="000B7673">
      <w:rPr>
        <w:rFonts w:asciiTheme="minorHAnsi" w:hAnsiTheme="minorHAnsi"/>
        <w:i/>
      </w:rPr>
      <w:t>No 92—2 April 2019</w:t>
    </w:r>
    <w:r w:rsidRPr="000B7673">
      <w:rPr>
        <w:rFonts w:asciiTheme="minorHAnsi" w:hAnsiTheme="minorHAnsi"/>
      </w:rPr>
      <w:fldChar w:fldCharType="begin"/>
    </w:r>
    <w:r w:rsidR="00F56BCD" w:rsidRPr="000B7673">
      <w:rPr>
        <w:rFonts w:asciiTheme="minorHAnsi" w:hAnsiTheme="minorHAnsi"/>
      </w:rPr>
      <w:instrText xml:space="preserve"> TITLE  \* MERGEFORMAT </w:instrText>
    </w:r>
    <w:r w:rsidRPr="000B7673">
      <w:rPr>
        <w:rFonts w:asciiTheme="minorHAnsi" w:hAnsiTheme="minorHAnsi"/>
      </w:rPr>
      <w:fldChar w:fldCharType="end"/>
    </w:r>
  </w:p>
  <w:p w:rsidR="00F56BCD" w:rsidRPr="00731B71" w:rsidRDefault="00F56BCD" w:rsidP="00731B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8618"/>
      <w:docPartObj>
        <w:docPartGallery w:val="Page Numbers (Top of Page)"/>
        <w:docPartUnique/>
      </w:docPartObj>
    </w:sdtPr>
    <w:sdtContent>
      <w:p w:rsidR="00F56BCD" w:rsidRDefault="00F56BCD" w:rsidP="001C521E">
        <w:pPr>
          <w:pStyle w:val="Header"/>
          <w:tabs>
            <w:tab w:val="clear" w:pos="4153"/>
            <w:tab w:val="clear" w:pos="8306"/>
            <w:tab w:val="center" w:pos="4680"/>
            <w:tab w:val="right" w:pos="9090"/>
          </w:tabs>
        </w:pPr>
        <w:r>
          <w:tab/>
        </w:r>
        <w:r w:rsidR="000B7673" w:rsidRPr="000B7673">
          <w:rPr>
            <w:rFonts w:asciiTheme="minorHAnsi" w:hAnsiTheme="minorHAnsi"/>
            <w:i/>
          </w:rPr>
          <w:t>No 92—2 April 201</w:t>
        </w:r>
        <w:r w:rsidR="005D753A">
          <w:rPr>
            <w:rFonts w:asciiTheme="minorHAnsi" w:hAnsiTheme="minorHAnsi"/>
            <w:i/>
          </w:rPr>
          <w:t>9</w:t>
        </w:r>
        <w:r w:rsidR="008842D7">
          <w:fldChar w:fldCharType="begin"/>
        </w:r>
        <w:r>
          <w:instrText xml:space="preserve"> TITLE  \* MERGEFORMAT </w:instrText>
        </w:r>
        <w:r w:rsidR="008842D7">
          <w:fldChar w:fldCharType="end"/>
        </w:r>
        <w:r>
          <w:rPr>
            <w:rFonts w:asciiTheme="minorHAnsi" w:hAnsiTheme="minorHAnsi"/>
          </w:rPr>
          <w:tab/>
        </w:r>
        <w:r w:rsidR="008842D7" w:rsidRPr="009137CB">
          <w:rPr>
            <w:rFonts w:asciiTheme="minorHAnsi" w:hAnsiTheme="minorHAnsi"/>
          </w:rPr>
          <w:fldChar w:fldCharType="begin"/>
        </w:r>
        <w:r w:rsidRPr="009137CB">
          <w:rPr>
            <w:rFonts w:asciiTheme="minorHAnsi" w:hAnsiTheme="minorHAnsi"/>
          </w:rPr>
          <w:instrText xml:space="preserve"> PAGE   \* MERGEFORMAT </w:instrText>
        </w:r>
        <w:r w:rsidR="008842D7" w:rsidRPr="009137CB">
          <w:rPr>
            <w:rFonts w:asciiTheme="minorHAnsi" w:hAnsiTheme="minorHAnsi"/>
          </w:rPr>
          <w:fldChar w:fldCharType="separate"/>
        </w:r>
        <w:r w:rsidR="00934188">
          <w:rPr>
            <w:rFonts w:asciiTheme="minorHAnsi" w:hAnsiTheme="minorHAnsi"/>
            <w:noProof/>
          </w:rPr>
          <w:t>1339</w:t>
        </w:r>
        <w:r w:rsidR="008842D7" w:rsidRPr="009137CB">
          <w:rPr>
            <w:rFonts w:asciiTheme="minorHAnsi" w:hAnsiTheme="minorHAnsi"/>
          </w:rPr>
          <w:fldChar w:fldCharType="end"/>
        </w:r>
      </w:p>
    </w:sdtContent>
  </w:sdt>
  <w:p w:rsidR="00F56BCD" w:rsidRDefault="00F56B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29418"/>
      <w:docPartObj>
        <w:docPartGallery w:val="Page Numbers (Top of Page)"/>
        <w:docPartUnique/>
      </w:docPartObj>
    </w:sdtPr>
    <w:sdtContent>
      <w:p w:rsidR="00F56BCD" w:rsidRDefault="008842D7">
        <w:pPr>
          <w:pStyle w:val="Header"/>
          <w:jc w:val="right"/>
        </w:pPr>
        <w:r w:rsidRPr="009137CB">
          <w:rPr>
            <w:rFonts w:asciiTheme="minorHAnsi" w:hAnsiTheme="minorHAnsi"/>
          </w:rPr>
          <w:fldChar w:fldCharType="begin"/>
        </w:r>
        <w:r w:rsidR="00F56BCD" w:rsidRPr="009137CB">
          <w:rPr>
            <w:rFonts w:asciiTheme="minorHAnsi" w:hAnsiTheme="minorHAnsi"/>
          </w:rPr>
          <w:instrText xml:space="preserve"> PAGE   \* MERGEFORMAT </w:instrText>
        </w:r>
        <w:r w:rsidRPr="009137CB">
          <w:rPr>
            <w:rFonts w:asciiTheme="minorHAnsi" w:hAnsiTheme="minorHAnsi"/>
          </w:rPr>
          <w:fldChar w:fldCharType="separate"/>
        </w:r>
        <w:r w:rsidR="00934188">
          <w:rPr>
            <w:rFonts w:asciiTheme="minorHAnsi" w:hAnsiTheme="minorHAnsi"/>
            <w:noProof/>
          </w:rPr>
          <w:t>1333</w:t>
        </w:r>
        <w:r w:rsidRPr="009137CB">
          <w:rPr>
            <w:rFonts w:asciiTheme="minorHAnsi" w:hAnsiTheme="minorHAnsi"/>
          </w:rPr>
          <w:fldChar w:fldCharType="end"/>
        </w:r>
      </w:p>
    </w:sdtContent>
  </w:sdt>
  <w:p w:rsidR="00F56BCD" w:rsidRDefault="00F56BCD">
    <w:pPr>
      <w:pStyle w:val="DPSPageHeader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start w:val="1"/>
      <w:numFmt w:val="decimal"/>
      <w:lvlText w:val="%2."/>
      <w:lvlJc w:val="left"/>
      <w:pPr>
        <w:tabs>
          <w:tab w:val="num" w:pos="1440"/>
        </w:tabs>
        <w:ind w:left="1440" w:hanging="360"/>
      </w:pPr>
    </w:lvl>
    <w:lvl w:ilvl="2" w:tplc="4394F744">
      <w:start w:val="1"/>
      <w:numFmt w:val="decimal"/>
      <w:lvlText w:val="%3."/>
      <w:lvlJc w:val="left"/>
      <w:pPr>
        <w:tabs>
          <w:tab w:val="num" w:pos="2160"/>
        </w:tabs>
        <w:ind w:left="2160" w:hanging="360"/>
      </w:pPr>
    </w:lvl>
    <w:lvl w:ilvl="3" w:tplc="7A661A0A">
      <w:start w:val="1"/>
      <w:numFmt w:val="decimal"/>
      <w:lvlText w:val="%4."/>
      <w:lvlJc w:val="left"/>
      <w:pPr>
        <w:tabs>
          <w:tab w:val="num" w:pos="2880"/>
        </w:tabs>
        <w:ind w:left="2880" w:hanging="360"/>
      </w:pPr>
    </w:lvl>
    <w:lvl w:ilvl="4" w:tplc="66066F6C">
      <w:start w:val="1"/>
      <w:numFmt w:val="decimal"/>
      <w:lvlText w:val="%5."/>
      <w:lvlJc w:val="left"/>
      <w:pPr>
        <w:tabs>
          <w:tab w:val="num" w:pos="3600"/>
        </w:tabs>
        <w:ind w:left="3600" w:hanging="360"/>
      </w:pPr>
    </w:lvl>
    <w:lvl w:ilvl="5" w:tplc="F760BE50">
      <w:start w:val="1"/>
      <w:numFmt w:val="decimal"/>
      <w:lvlText w:val="%6."/>
      <w:lvlJc w:val="left"/>
      <w:pPr>
        <w:tabs>
          <w:tab w:val="num" w:pos="4320"/>
        </w:tabs>
        <w:ind w:left="4320" w:hanging="360"/>
      </w:pPr>
    </w:lvl>
    <w:lvl w:ilvl="6" w:tplc="88E8C5E0">
      <w:start w:val="1"/>
      <w:numFmt w:val="decimal"/>
      <w:lvlText w:val="%7."/>
      <w:lvlJc w:val="left"/>
      <w:pPr>
        <w:tabs>
          <w:tab w:val="num" w:pos="5040"/>
        </w:tabs>
        <w:ind w:left="5040" w:hanging="360"/>
      </w:pPr>
    </w:lvl>
    <w:lvl w:ilvl="7" w:tplc="D652A5F4">
      <w:start w:val="1"/>
      <w:numFmt w:val="decimal"/>
      <w:lvlText w:val="%8."/>
      <w:lvlJc w:val="left"/>
      <w:pPr>
        <w:tabs>
          <w:tab w:val="num" w:pos="5760"/>
        </w:tabs>
        <w:ind w:left="5760" w:hanging="360"/>
      </w:pPr>
    </w:lvl>
    <w:lvl w:ilvl="8" w:tplc="12FC9146">
      <w:start w:val="1"/>
      <w:numFmt w:val="decimal"/>
      <w:lvlText w:val="%9."/>
      <w:lvlJc w:val="left"/>
      <w:pPr>
        <w:tabs>
          <w:tab w:val="num" w:pos="6480"/>
        </w:tabs>
        <w:ind w:left="6480" w:hanging="360"/>
      </w:pPr>
    </w:lvl>
  </w:abstractNum>
  <w:abstractNum w:abstractNumId="2">
    <w:nsid w:val="7A707A77"/>
    <w:multiLevelType w:val="hybridMultilevel"/>
    <w:tmpl w:val="192635E6"/>
    <w:lvl w:ilvl="0" w:tplc="A2B44C5E">
      <w:start w:val="1"/>
      <w:numFmt w:val="decimal"/>
      <w:lvlText w:val="%1"/>
      <w:lvlJc w:val="left"/>
      <w:pPr>
        <w:ind w:left="720" w:hanging="360"/>
      </w:pPr>
      <w:rPr>
        <w:b/>
        <w:i w:val="0"/>
      </w:rPr>
    </w:lvl>
    <w:lvl w:ilvl="1" w:tplc="A1F23674">
      <w:start w:val="1"/>
      <w:numFmt w:val="decimal"/>
      <w:lvlText w:val="%2."/>
      <w:lvlJc w:val="left"/>
      <w:pPr>
        <w:tabs>
          <w:tab w:val="num" w:pos="1440"/>
        </w:tabs>
        <w:ind w:left="1440" w:hanging="360"/>
      </w:pPr>
    </w:lvl>
    <w:lvl w:ilvl="2" w:tplc="864A4FC4">
      <w:start w:val="1"/>
      <w:numFmt w:val="decimal"/>
      <w:lvlText w:val="%3."/>
      <w:lvlJc w:val="left"/>
      <w:pPr>
        <w:tabs>
          <w:tab w:val="num" w:pos="2160"/>
        </w:tabs>
        <w:ind w:left="2160" w:hanging="360"/>
      </w:pPr>
    </w:lvl>
    <w:lvl w:ilvl="3" w:tplc="7AC0A260">
      <w:start w:val="1"/>
      <w:numFmt w:val="decimal"/>
      <w:lvlText w:val="%4."/>
      <w:lvlJc w:val="left"/>
      <w:pPr>
        <w:tabs>
          <w:tab w:val="num" w:pos="2880"/>
        </w:tabs>
        <w:ind w:left="2880" w:hanging="360"/>
      </w:pPr>
    </w:lvl>
    <w:lvl w:ilvl="4" w:tplc="CFC656C6">
      <w:start w:val="1"/>
      <w:numFmt w:val="decimal"/>
      <w:lvlText w:val="%5."/>
      <w:lvlJc w:val="left"/>
      <w:pPr>
        <w:tabs>
          <w:tab w:val="num" w:pos="3600"/>
        </w:tabs>
        <w:ind w:left="3600" w:hanging="360"/>
      </w:pPr>
    </w:lvl>
    <w:lvl w:ilvl="5" w:tplc="5A747DDE">
      <w:start w:val="1"/>
      <w:numFmt w:val="lowerRoman"/>
      <w:lvlText w:val="%6."/>
      <w:lvlJc w:val="right"/>
      <w:pPr>
        <w:ind w:left="4320" w:hanging="180"/>
      </w:pPr>
    </w:lvl>
    <w:lvl w:ilvl="6" w:tplc="40764D42">
      <w:start w:val="1"/>
      <w:numFmt w:val="decimal"/>
      <w:lvlText w:val="%7."/>
      <w:lvlJc w:val="left"/>
      <w:pPr>
        <w:tabs>
          <w:tab w:val="num" w:pos="5040"/>
        </w:tabs>
        <w:ind w:left="5040" w:hanging="360"/>
      </w:pPr>
    </w:lvl>
    <w:lvl w:ilvl="7" w:tplc="51FECF58">
      <w:start w:val="1"/>
      <w:numFmt w:val="decimal"/>
      <w:lvlText w:val="%8."/>
      <w:lvlJc w:val="left"/>
      <w:pPr>
        <w:tabs>
          <w:tab w:val="num" w:pos="5760"/>
        </w:tabs>
        <w:ind w:left="5760" w:hanging="360"/>
      </w:pPr>
    </w:lvl>
    <w:lvl w:ilvl="8" w:tplc="22A689B2">
      <w:start w:val="1"/>
      <w:numFmt w:val="decimal"/>
      <w:lvlText w:val="%9."/>
      <w:lvlJc w:val="left"/>
      <w:pPr>
        <w:tabs>
          <w:tab w:val="num" w:pos="6480"/>
        </w:tabs>
        <w:ind w:left="6480" w:hanging="360"/>
      </w:pPr>
    </w:lvl>
  </w:abstractNum>
  <w:abstractNum w:abstractNumId="3">
    <w:nsid w:val="7D6F4CEA"/>
    <w:multiLevelType w:val="multilevel"/>
    <w:tmpl w:val="69647E8A"/>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cVars>
    <w:docVar w:name="DPSDocumentID" w:val="2"/>
  </w:docVars>
  <w:rsids>
    <w:rsidRoot w:val="00731B71"/>
    <w:rsid w:val="00015C3A"/>
    <w:rsid w:val="00023984"/>
    <w:rsid w:val="00024584"/>
    <w:rsid w:val="000308DB"/>
    <w:rsid w:val="00041BFB"/>
    <w:rsid w:val="0006053A"/>
    <w:rsid w:val="000744A7"/>
    <w:rsid w:val="00096B0F"/>
    <w:rsid w:val="000A0671"/>
    <w:rsid w:val="000A5E50"/>
    <w:rsid w:val="000B6E7C"/>
    <w:rsid w:val="000B7673"/>
    <w:rsid w:val="000C427D"/>
    <w:rsid w:val="000D4CFD"/>
    <w:rsid w:val="0010337F"/>
    <w:rsid w:val="0011497B"/>
    <w:rsid w:val="00135DCD"/>
    <w:rsid w:val="0015480C"/>
    <w:rsid w:val="00163B0F"/>
    <w:rsid w:val="001A7F06"/>
    <w:rsid w:val="001C2B78"/>
    <w:rsid w:val="001C3654"/>
    <w:rsid w:val="001C39DE"/>
    <w:rsid w:val="001C521E"/>
    <w:rsid w:val="001E7B62"/>
    <w:rsid w:val="00253E5A"/>
    <w:rsid w:val="00274F8D"/>
    <w:rsid w:val="00295765"/>
    <w:rsid w:val="00295BAD"/>
    <w:rsid w:val="002A1D64"/>
    <w:rsid w:val="002B0F0A"/>
    <w:rsid w:val="002B2689"/>
    <w:rsid w:val="002D3CA7"/>
    <w:rsid w:val="00304F89"/>
    <w:rsid w:val="00312357"/>
    <w:rsid w:val="00332082"/>
    <w:rsid w:val="00346261"/>
    <w:rsid w:val="003521EB"/>
    <w:rsid w:val="0035669F"/>
    <w:rsid w:val="003811AC"/>
    <w:rsid w:val="00386A2B"/>
    <w:rsid w:val="003C0A33"/>
    <w:rsid w:val="003E5B2D"/>
    <w:rsid w:val="003E7D44"/>
    <w:rsid w:val="0040729F"/>
    <w:rsid w:val="00414CDA"/>
    <w:rsid w:val="0041628B"/>
    <w:rsid w:val="00422DDD"/>
    <w:rsid w:val="00423F54"/>
    <w:rsid w:val="00431C2C"/>
    <w:rsid w:val="00477BCA"/>
    <w:rsid w:val="004D26C1"/>
    <w:rsid w:val="004D6972"/>
    <w:rsid w:val="004F50C2"/>
    <w:rsid w:val="00501DE3"/>
    <w:rsid w:val="00534067"/>
    <w:rsid w:val="005340A3"/>
    <w:rsid w:val="0053773B"/>
    <w:rsid w:val="00592975"/>
    <w:rsid w:val="005C0025"/>
    <w:rsid w:val="005D753A"/>
    <w:rsid w:val="00623D51"/>
    <w:rsid w:val="00650D40"/>
    <w:rsid w:val="0066242E"/>
    <w:rsid w:val="00663179"/>
    <w:rsid w:val="0066540E"/>
    <w:rsid w:val="0067203A"/>
    <w:rsid w:val="006E2562"/>
    <w:rsid w:val="006E4BF1"/>
    <w:rsid w:val="006F09F0"/>
    <w:rsid w:val="007311B1"/>
    <w:rsid w:val="00731B71"/>
    <w:rsid w:val="00736A4C"/>
    <w:rsid w:val="00740483"/>
    <w:rsid w:val="0078463A"/>
    <w:rsid w:val="007851A3"/>
    <w:rsid w:val="0079145F"/>
    <w:rsid w:val="007B3982"/>
    <w:rsid w:val="00823EBC"/>
    <w:rsid w:val="00840037"/>
    <w:rsid w:val="008529D7"/>
    <w:rsid w:val="00860FC5"/>
    <w:rsid w:val="008842D7"/>
    <w:rsid w:val="0088703F"/>
    <w:rsid w:val="00891DF1"/>
    <w:rsid w:val="008D105F"/>
    <w:rsid w:val="009137CB"/>
    <w:rsid w:val="00926790"/>
    <w:rsid w:val="00934188"/>
    <w:rsid w:val="0094700C"/>
    <w:rsid w:val="00976EB7"/>
    <w:rsid w:val="00995B00"/>
    <w:rsid w:val="009B2BD2"/>
    <w:rsid w:val="009C79EA"/>
    <w:rsid w:val="00A0261C"/>
    <w:rsid w:val="00A262BF"/>
    <w:rsid w:val="00A42488"/>
    <w:rsid w:val="00A63896"/>
    <w:rsid w:val="00AA0431"/>
    <w:rsid w:val="00AC1F8E"/>
    <w:rsid w:val="00AD79EB"/>
    <w:rsid w:val="00AF20F8"/>
    <w:rsid w:val="00AF6F6A"/>
    <w:rsid w:val="00B16603"/>
    <w:rsid w:val="00B34E4C"/>
    <w:rsid w:val="00B44EBD"/>
    <w:rsid w:val="00B4530F"/>
    <w:rsid w:val="00B514F8"/>
    <w:rsid w:val="00B53A0B"/>
    <w:rsid w:val="00B634B5"/>
    <w:rsid w:val="00B82E97"/>
    <w:rsid w:val="00B95CBC"/>
    <w:rsid w:val="00BC0DB9"/>
    <w:rsid w:val="00BC79F9"/>
    <w:rsid w:val="00BD4A1A"/>
    <w:rsid w:val="00BE41D5"/>
    <w:rsid w:val="00BE4B30"/>
    <w:rsid w:val="00C34CBB"/>
    <w:rsid w:val="00C85AFB"/>
    <w:rsid w:val="00C85E20"/>
    <w:rsid w:val="00C97DBF"/>
    <w:rsid w:val="00CA15E1"/>
    <w:rsid w:val="00CC21DD"/>
    <w:rsid w:val="00CC425E"/>
    <w:rsid w:val="00CE723D"/>
    <w:rsid w:val="00D13391"/>
    <w:rsid w:val="00D3639D"/>
    <w:rsid w:val="00D472CB"/>
    <w:rsid w:val="00D47766"/>
    <w:rsid w:val="00D51948"/>
    <w:rsid w:val="00D6793A"/>
    <w:rsid w:val="00D80C1E"/>
    <w:rsid w:val="00D94AA7"/>
    <w:rsid w:val="00DA09F1"/>
    <w:rsid w:val="00DA1DEA"/>
    <w:rsid w:val="00DB154C"/>
    <w:rsid w:val="00DB18AE"/>
    <w:rsid w:val="00DC6C9C"/>
    <w:rsid w:val="00E026E9"/>
    <w:rsid w:val="00E3407E"/>
    <w:rsid w:val="00E565E0"/>
    <w:rsid w:val="00E626AF"/>
    <w:rsid w:val="00E638B7"/>
    <w:rsid w:val="00E72D52"/>
    <w:rsid w:val="00E77F94"/>
    <w:rsid w:val="00E81A31"/>
    <w:rsid w:val="00EA785E"/>
    <w:rsid w:val="00EB3AC8"/>
    <w:rsid w:val="00EB62A5"/>
    <w:rsid w:val="00F10649"/>
    <w:rsid w:val="00F56BCD"/>
    <w:rsid w:val="00F63A56"/>
    <w:rsid w:val="00F97860"/>
    <w:rsid w:val="00FA4FA1"/>
    <w:rsid w:val="00FC273D"/>
    <w:rsid w:val="00FC6454"/>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1DD"/>
    <w:rPr>
      <w:sz w:val="24"/>
      <w:lang w:val="en-US"/>
    </w:rPr>
  </w:style>
  <w:style w:type="paragraph" w:styleId="Heading1">
    <w:name w:val="heading 1"/>
    <w:aliases w:val="c"/>
    <w:basedOn w:val="Normal"/>
    <w:next w:val="Heading2"/>
    <w:link w:val="Heading1Char"/>
    <w:qFormat/>
    <w:rsid w:val="0010337F"/>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link w:val="Heading2Char"/>
    <w:qFormat/>
    <w:rsid w:val="0010337F"/>
    <w:pPr>
      <w:keepLines/>
      <w:ind w:hanging="709"/>
      <w:outlineLvl w:val="1"/>
    </w:pPr>
    <w:rPr>
      <w:sz w:val="32"/>
    </w:rPr>
  </w:style>
  <w:style w:type="paragraph" w:styleId="Heading3">
    <w:name w:val="heading 3"/>
    <w:aliases w:val="d,3"/>
    <w:basedOn w:val="Heading1"/>
    <w:next w:val="Heading4"/>
    <w:link w:val="Heading3Char"/>
    <w:qFormat/>
    <w:rsid w:val="0010337F"/>
    <w:pPr>
      <w:keepLines/>
      <w:spacing w:before="240"/>
      <w:outlineLvl w:val="2"/>
    </w:pPr>
    <w:rPr>
      <w:sz w:val="28"/>
    </w:rPr>
  </w:style>
  <w:style w:type="paragraph" w:styleId="Heading4">
    <w:name w:val="heading 4"/>
    <w:aliases w:val="sd"/>
    <w:basedOn w:val="Heading1"/>
    <w:next w:val="Heading5"/>
    <w:link w:val="Heading4Char"/>
    <w:qFormat/>
    <w:rsid w:val="0010337F"/>
    <w:pPr>
      <w:keepNext/>
      <w:keepLines/>
      <w:spacing w:before="220"/>
      <w:outlineLvl w:val="3"/>
    </w:pPr>
    <w:rPr>
      <w:sz w:val="26"/>
    </w:rPr>
  </w:style>
  <w:style w:type="paragraph" w:styleId="Heading5">
    <w:name w:val="heading 5"/>
    <w:aliases w:val="s"/>
    <w:basedOn w:val="Heading1"/>
    <w:next w:val="Normal"/>
    <w:link w:val="Heading5Char"/>
    <w:qFormat/>
    <w:rsid w:val="0010337F"/>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link w:val="Heading6Char"/>
    <w:qFormat/>
    <w:rsid w:val="0010337F"/>
    <w:pPr>
      <w:keepNext/>
      <w:keepLines/>
      <w:ind w:hanging="709"/>
      <w:outlineLvl w:val="5"/>
    </w:pPr>
    <w:rPr>
      <w:rFonts w:ascii="Helvetica" w:hAnsi="Helvetica"/>
      <w:sz w:val="32"/>
    </w:rPr>
  </w:style>
  <w:style w:type="paragraph" w:styleId="Heading7">
    <w:name w:val="heading 7"/>
    <w:aliases w:val="ap"/>
    <w:basedOn w:val="Heading6"/>
    <w:next w:val="Normal"/>
    <w:link w:val="Heading7Char"/>
    <w:qFormat/>
    <w:rsid w:val="0010337F"/>
    <w:pPr>
      <w:spacing w:before="280"/>
      <w:outlineLvl w:val="6"/>
    </w:pPr>
    <w:rPr>
      <w:sz w:val="28"/>
    </w:rPr>
  </w:style>
  <w:style w:type="paragraph" w:styleId="Heading8">
    <w:name w:val="heading 8"/>
    <w:aliases w:val="ad"/>
    <w:basedOn w:val="Heading6"/>
    <w:next w:val="Normal"/>
    <w:link w:val="Heading8Char"/>
    <w:qFormat/>
    <w:rsid w:val="0010337F"/>
    <w:pPr>
      <w:spacing w:before="240"/>
      <w:outlineLvl w:val="7"/>
    </w:pPr>
    <w:rPr>
      <w:sz w:val="26"/>
    </w:rPr>
  </w:style>
  <w:style w:type="paragraph" w:styleId="Heading9">
    <w:name w:val="heading 9"/>
    <w:aliases w:val="aat"/>
    <w:basedOn w:val="Heading1"/>
    <w:next w:val="Normal"/>
    <w:link w:val="Heading9Char"/>
    <w:qFormat/>
    <w:rsid w:val="0010337F"/>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5Char">
    <w:name w:val="Heading 5 Char"/>
    <w:aliases w:val="s Char"/>
    <w:basedOn w:val="DefaultParagraphFont"/>
    <w:link w:val="Heading5"/>
    <w:rsid w:val="00CC21DD"/>
    <w:rPr>
      <w:b/>
      <w:kern w:val="28"/>
      <w:sz w:val="21"/>
      <w:lang w:val="en-US"/>
    </w:rPr>
  </w:style>
  <w:style w:type="character" w:customStyle="1" w:styleId="Heading4Char">
    <w:name w:val="Heading 4 Char"/>
    <w:aliases w:val="sd Char"/>
    <w:basedOn w:val="DefaultParagraphFont"/>
    <w:link w:val="Heading4"/>
    <w:rsid w:val="00CC21DD"/>
    <w:rPr>
      <w:rFonts w:ascii="Times" w:hAnsi="Times"/>
      <w:b/>
      <w:kern w:val="28"/>
      <w:sz w:val="26"/>
      <w:lang w:val="en-US"/>
    </w:rPr>
  </w:style>
  <w:style w:type="character" w:customStyle="1" w:styleId="Heading3Char">
    <w:name w:val="Heading 3 Char"/>
    <w:aliases w:val="d Char,3 Char"/>
    <w:basedOn w:val="DefaultParagraphFont"/>
    <w:link w:val="Heading3"/>
    <w:rsid w:val="00CC21DD"/>
    <w:rPr>
      <w:rFonts w:ascii="Times" w:hAnsi="Times"/>
      <w:b/>
      <w:kern w:val="28"/>
      <w:sz w:val="28"/>
      <w:lang w:val="en-US"/>
    </w:rPr>
  </w:style>
  <w:style w:type="character" w:customStyle="1" w:styleId="Heading2Char">
    <w:name w:val="Heading 2 Char"/>
    <w:aliases w:val="p Char"/>
    <w:basedOn w:val="DefaultParagraphFont"/>
    <w:link w:val="Heading2"/>
    <w:rsid w:val="00CC21DD"/>
    <w:rPr>
      <w:rFonts w:ascii="Times" w:hAnsi="Times"/>
      <w:b/>
      <w:kern w:val="28"/>
      <w:sz w:val="32"/>
      <w:lang w:val="en-US"/>
    </w:rPr>
  </w:style>
  <w:style w:type="character" w:customStyle="1" w:styleId="Heading1Char">
    <w:name w:val="Heading 1 Char"/>
    <w:aliases w:val="c Char1"/>
    <w:basedOn w:val="DefaultParagraphFont"/>
    <w:link w:val="Heading1"/>
    <w:rsid w:val="00CC21DD"/>
    <w:rPr>
      <w:rFonts w:ascii="Times" w:hAnsi="Times"/>
      <w:b/>
      <w:kern w:val="28"/>
      <w:sz w:val="36"/>
      <w:lang w:val="en-US"/>
    </w:rPr>
  </w:style>
  <w:style w:type="character" w:customStyle="1" w:styleId="Heading6Char">
    <w:name w:val="Heading 6 Char"/>
    <w:aliases w:val="as Char1,heading6 Char1"/>
    <w:basedOn w:val="DefaultParagraphFont"/>
    <w:link w:val="Heading6"/>
    <w:rsid w:val="00CC21DD"/>
    <w:rPr>
      <w:rFonts w:ascii="Helvetica" w:hAnsi="Helvetica"/>
      <w:b/>
      <w:kern w:val="28"/>
      <w:sz w:val="32"/>
      <w:lang w:val="en-US"/>
    </w:rPr>
  </w:style>
  <w:style w:type="character" w:customStyle="1" w:styleId="Heading7Char">
    <w:name w:val="Heading 7 Char"/>
    <w:aliases w:val="ap Char1"/>
    <w:basedOn w:val="DefaultParagraphFont"/>
    <w:link w:val="Heading7"/>
    <w:rsid w:val="00CC21DD"/>
    <w:rPr>
      <w:rFonts w:ascii="Helvetica" w:hAnsi="Helvetica"/>
      <w:b/>
      <w:kern w:val="28"/>
      <w:sz w:val="28"/>
      <w:lang w:val="en-US"/>
    </w:rPr>
  </w:style>
  <w:style w:type="character" w:customStyle="1" w:styleId="Heading8Char">
    <w:name w:val="Heading 8 Char"/>
    <w:aliases w:val="ad Char1"/>
    <w:basedOn w:val="DefaultParagraphFont"/>
    <w:link w:val="Heading8"/>
    <w:rsid w:val="00CC21DD"/>
    <w:rPr>
      <w:rFonts w:ascii="Helvetica" w:hAnsi="Helvetica"/>
      <w:b/>
      <w:kern w:val="28"/>
      <w:sz w:val="26"/>
      <w:lang w:val="en-US"/>
    </w:rPr>
  </w:style>
  <w:style w:type="character" w:customStyle="1" w:styleId="Heading9Char">
    <w:name w:val="Heading 9 Char"/>
    <w:aliases w:val="aat Char"/>
    <w:basedOn w:val="DefaultParagraphFont"/>
    <w:link w:val="Heading9"/>
    <w:rsid w:val="00CC21DD"/>
    <w:rPr>
      <w:b/>
      <w:i/>
      <w:kern w:val="28"/>
      <w:sz w:val="24"/>
      <w:lang w:val="en-US"/>
    </w:rPr>
  </w:style>
  <w:style w:type="paragraph" w:customStyle="1" w:styleId="Actno">
    <w:name w:val="Actno"/>
    <w:basedOn w:val="Normal"/>
    <w:next w:val="Normal"/>
    <w:rsid w:val="0010337F"/>
    <w:pPr>
      <w:jc w:val="center"/>
    </w:pPr>
    <w:rPr>
      <w:rFonts w:ascii="Times" w:hAnsi="Times"/>
      <w:b/>
      <w:sz w:val="36"/>
    </w:rPr>
  </w:style>
  <w:style w:type="paragraph" w:customStyle="1" w:styleId="BoxHeadBold">
    <w:name w:val="BoxHeadBold"/>
    <w:aliases w:val="bhb"/>
    <w:basedOn w:val="Normal"/>
    <w:next w:val="Normal"/>
    <w:rsid w:val="0010337F"/>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10337F"/>
    <w:rPr>
      <w:b w:val="0"/>
      <w:i/>
    </w:rPr>
  </w:style>
  <w:style w:type="paragraph" w:customStyle="1" w:styleId="BoxList">
    <w:name w:val="BoxList"/>
    <w:aliases w:val="bl"/>
    <w:basedOn w:val="Normal"/>
    <w:rsid w:val="0010337F"/>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10337F"/>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10337F"/>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10337F"/>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10337F"/>
  </w:style>
  <w:style w:type="character" w:customStyle="1" w:styleId="CharAmPartText">
    <w:name w:val="CharAmPartText"/>
    <w:basedOn w:val="DefaultParagraphFont"/>
    <w:rsid w:val="0010337F"/>
  </w:style>
  <w:style w:type="character" w:customStyle="1" w:styleId="CharAmSchNo">
    <w:name w:val="CharAmSchNo"/>
    <w:basedOn w:val="DefaultParagraphFont"/>
    <w:rsid w:val="0010337F"/>
  </w:style>
  <w:style w:type="character" w:customStyle="1" w:styleId="CharAmSchText">
    <w:name w:val="CharAmSchText"/>
    <w:basedOn w:val="DefaultParagraphFont"/>
    <w:rsid w:val="0010337F"/>
  </w:style>
  <w:style w:type="character" w:customStyle="1" w:styleId="CharChapNo">
    <w:name w:val="CharChapNo"/>
    <w:basedOn w:val="DefaultParagraphFont"/>
    <w:rsid w:val="0010337F"/>
  </w:style>
  <w:style w:type="character" w:customStyle="1" w:styleId="CharChapText">
    <w:name w:val="CharChapText"/>
    <w:basedOn w:val="DefaultParagraphFont"/>
    <w:rsid w:val="0010337F"/>
  </w:style>
  <w:style w:type="character" w:customStyle="1" w:styleId="CharDivNo">
    <w:name w:val="CharDivNo"/>
    <w:basedOn w:val="DefaultParagraphFont"/>
    <w:rsid w:val="0010337F"/>
  </w:style>
  <w:style w:type="character" w:customStyle="1" w:styleId="CharDivText">
    <w:name w:val="CharDivText"/>
    <w:basedOn w:val="DefaultParagraphFont"/>
    <w:rsid w:val="0010337F"/>
  </w:style>
  <w:style w:type="character" w:customStyle="1" w:styleId="CharPartNo">
    <w:name w:val="CharPartNo"/>
    <w:basedOn w:val="DefaultParagraphFont"/>
    <w:rsid w:val="0010337F"/>
  </w:style>
  <w:style w:type="character" w:customStyle="1" w:styleId="CharPartText">
    <w:name w:val="CharPartText"/>
    <w:basedOn w:val="DefaultParagraphFont"/>
    <w:rsid w:val="0010337F"/>
  </w:style>
  <w:style w:type="character" w:customStyle="1" w:styleId="CharSectno">
    <w:name w:val="CharSectno"/>
    <w:basedOn w:val="DefaultParagraphFont"/>
    <w:rsid w:val="0010337F"/>
  </w:style>
  <w:style w:type="character" w:customStyle="1" w:styleId="CharSubdNo">
    <w:name w:val="CharSubdNo"/>
    <w:basedOn w:val="DefaultParagraphFont"/>
    <w:rsid w:val="0010337F"/>
  </w:style>
  <w:style w:type="character" w:customStyle="1" w:styleId="CharSubdText">
    <w:name w:val="CharSubdText"/>
    <w:basedOn w:val="DefaultParagraphFont"/>
    <w:rsid w:val="0010337F"/>
  </w:style>
  <w:style w:type="paragraph" w:customStyle="1" w:styleId="date">
    <w:name w:val="date"/>
    <w:rsid w:val="0010337F"/>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10337F"/>
    <w:pPr>
      <w:spacing w:before="60"/>
      <w:ind w:left="1418"/>
    </w:pPr>
    <w:rPr>
      <w:sz w:val="21"/>
    </w:rPr>
  </w:style>
  <w:style w:type="paragraph" w:customStyle="1" w:styleId="DIVAyes">
    <w:name w:val="DIVAyes"/>
    <w:basedOn w:val="Normal"/>
    <w:rsid w:val="0010337F"/>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10337F"/>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10337F"/>
    <w:pPr>
      <w:spacing w:before="120" w:after="120"/>
      <w:ind w:left="425"/>
      <w:jc w:val="center"/>
    </w:pPr>
    <w:rPr>
      <w:sz w:val="18"/>
    </w:rPr>
  </w:style>
  <w:style w:type="paragraph" w:customStyle="1" w:styleId="DPSAttendance">
    <w:name w:val="DPSAttendance"/>
    <w:rsid w:val="0010337F"/>
    <w:pPr>
      <w:spacing w:before="180"/>
      <w:jc w:val="both"/>
    </w:pPr>
    <w:rPr>
      <w:sz w:val="24"/>
    </w:rPr>
  </w:style>
  <w:style w:type="paragraph" w:customStyle="1" w:styleId="DPSAttendanceHeading">
    <w:name w:val="DPSAttendanceHeading"/>
    <w:rsid w:val="0010337F"/>
    <w:pPr>
      <w:spacing w:before="180"/>
      <w:ind w:left="346"/>
      <w:jc w:val="both"/>
    </w:pPr>
    <w:rPr>
      <w:b/>
      <w:sz w:val="24"/>
    </w:rPr>
  </w:style>
  <w:style w:type="paragraph" w:customStyle="1" w:styleId="DPSAttendanceNote">
    <w:name w:val="DPSAttendanceNote"/>
    <w:rsid w:val="0010337F"/>
    <w:pPr>
      <w:spacing w:before="60"/>
      <w:jc w:val="center"/>
    </w:pPr>
    <w:rPr>
      <w:sz w:val="18"/>
    </w:rPr>
  </w:style>
  <w:style w:type="paragraph" w:customStyle="1" w:styleId="DPSDraftSectionBreak">
    <w:name w:val="DPSDraftSectionBreak"/>
    <w:basedOn w:val="Normal"/>
    <w:rsid w:val="0010337F"/>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character" w:customStyle="1" w:styleId="DPSEntryDetailChar">
    <w:name w:val="DPSEntryDetail Char"/>
    <w:basedOn w:val="DefaultParagraphFont"/>
    <w:link w:val="DPSEntryDetail"/>
    <w:locked/>
    <w:rsid w:val="00CC21DD"/>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styleId="Footer">
    <w:name w:val="footer"/>
    <w:basedOn w:val="Normal"/>
    <w:link w:val="FooterChar"/>
    <w:rsid w:val="0010337F"/>
    <w:pPr>
      <w:tabs>
        <w:tab w:val="center" w:pos="4153"/>
        <w:tab w:val="right" w:pos="8306"/>
      </w:tabs>
      <w:spacing w:line="240" w:lineRule="exact"/>
    </w:pPr>
    <w:rPr>
      <w:rFonts w:ascii="Times" w:hAnsi="Times"/>
      <w:sz w:val="22"/>
    </w:rPr>
  </w:style>
  <w:style w:type="paragraph" w:customStyle="1" w:styleId="DPSEntryHeading">
    <w:name w:val="DPSEntryHeading"/>
    <w:autoRedefine/>
    <w:rsid w:val="00AC1F8E"/>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10337F"/>
    <w:pPr>
      <w:keepNext/>
      <w:keepLines/>
      <w:spacing w:before="60"/>
      <w:jc w:val="center"/>
    </w:pPr>
    <w:rPr>
      <w:sz w:val="21"/>
    </w:rPr>
  </w:style>
  <w:style w:type="paragraph" w:customStyle="1" w:styleId="DPSHouseMetEntry">
    <w:name w:val="DPSHouseMetEntry"/>
    <w:rsid w:val="0010337F"/>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10337F"/>
    <w:pPr>
      <w:keepNext/>
      <w:keepLines/>
      <w:spacing w:before="200"/>
      <w:jc w:val="center"/>
    </w:pPr>
    <w:rPr>
      <w:sz w:val="21"/>
    </w:rPr>
  </w:style>
  <w:style w:type="paragraph" w:customStyle="1" w:styleId="DPSMainHeadingSubTitle">
    <w:name w:val="DPSMainHeadingSubTitle"/>
    <w:rsid w:val="0010337F"/>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10337F"/>
    <w:pPr>
      <w:spacing w:before="60"/>
      <w:ind w:left="629"/>
      <w:jc w:val="both"/>
    </w:pPr>
    <w:rPr>
      <w:sz w:val="21"/>
    </w:rPr>
  </w:style>
  <w:style w:type="paragraph" w:customStyle="1" w:styleId="DPSMessageDate">
    <w:name w:val="DPSMessageDate"/>
    <w:rsid w:val="0010337F"/>
    <w:pPr>
      <w:spacing w:before="60"/>
      <w:ind w:left="629"/>
      <w:jc w:val="both"/>
    </w:pPr>
    <w:rPr>
      <w:sz w:val="21"/>
    </w:rPr>
  </w:style>
  <w:style w:type="paragraph" w:customStyle="1" w:styleId="DPSMessageNumber">
    <w:name w:val="DPSMessageNumber"/>
    <w:rsid w:val="0010337F"/>
    <w:pPr>
      <w:spacing w:before="60"/>
      <w:jc w:val="right"/>
    </w:pPr>
    <w:rPr>
      <w:sz w:val="21"/>
    </w:rPr>
  </w:style>
  <w:style w:type="paragraph" w:customStyle="1" w:styleId="DPSMessageSigBlockName">
    <w:name w:val="DPSMessageSigBlockName"/>
    <w:rsid w:val="0010337F"/>
    <w:pPr>
      <w:jc w:val="right"/>
    </w:pPr>
    <w:rPr>
      <w:sz w:val="21"/>
    </w:rPr>
  </w:style>
  <w:style w:type="paragraph" w:customStyle="1" w:styleId="DPSMessageSigBlockTitle">
    <w:name w:val="DPSMessageSigBlockTitle"/>
    <w:rsid w:val="0010337F"/>
    <w:pPr>
      <w:jc w:val="right"/>
    </w:pPr>
    <w:rPr>
      <w:sz w:val="21"/>
    </w:rPr>
  </w:style>
  <w:style w:type="paragraph" w:customStyle="1" w:styleId="DPSMessageSource">
    <w:name w:val="DPSMessageSource"/>
    <w:rsid w:val="0010337F"/>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10337F"/>
    <w:rPr>
      <w:sz w:val="24"/>
    </w:rPr>
  </w:style>
  <w:style w:type="paragraph" w:customStyle="1" w:styleId="DPSHeaderUnbolded">
    <w:name w:val="DPSHeaderUnbolded"/>
    <w:basedOn w:val="DPSEntryDetail"/>
    <w:autoRedefine/>
    <w:rsid w:val="0010337F"/>
    <w:pPr>
      <w:ind w:left="0"/>
    </w:pPr>
  </w:style>
  <w:style w:type="paragraph" w:customStyle="1" w:styleId="DPSPapers">
    <w:name w:val="DPSPapers"/>
    <w:rsid w:val="0010337F"/>
    <w:pPr>
      <w:spacing w:before="60"/>
      <w:ind w:left="425"/>
      <w:jc w:val="both"/>
    </w:pPr>
    <w:rPr>
      <w:sz w:val="21"/>
    </w:rPr>
  </w:style>
  <w:style w:type="paragraph" w:customStyle="1" w:styleId="DPSPapersHeading">
    <w:name w:val="DPSPapersHeading"/>
    <w:rsid w:val="0010337F"/>
    <w:pPr>
      <w:spacing w:before="180"/>
      <w:ind w:left="425"/>
      <w:jc w:val="both"/>
    </w:pPr>
    <w:rPr>
      <w:b/>
      <w:sz w:val="18"/>
    </w:rPr>
  </w:style>
  <w:style w:type="paragraph" w:customStyle="1" w:styleId="DPSPapersIntro">
    <w:name w:val="DPSPapersIntro"/>
    <w:rsid w:val="0010337F"/>
    <w:pPr>
      <w:spacing w:before="60"/>
      <w:ind w:left="425"/>
      <w:jc w:val="both"/>
    </w:pPr>
    <w:rPr>
      <w:sz w:val="21"/>
    </w:rPr>
  </w:style>
  <w:style w:type="paragraph" w:customStyle="1" w:styleId="DPSPrecedenceFooter">
    <w:name w:val="DPSPrecedenceFooter"/>
    <w:rsid w:val="0010337F"/>
    <w:pPr>
      <w:jc w:val="right"/>
    </w:pPr>
  </w:style>
  <w:style w:type="paragraph" w:customStyle="1" w:styleId="DPSPrintingAuthorityFooter">
    <w:name w:val="DPSPrintingAuthorityFooter"/>
    <w:rsid w:val="0010337F"/>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10337F"/>
    <w:rPr>
      <w:vanish/>
      <w:color w:val="008000"/>
      <w:sz w:val="16"/>
    </w:rPr>
  </w:style>
  <w:style w:type="paragraph" w:customStyle="1" w:styleId="DPSTOCHeading">
    <w:name w:val="DPSTOCHeading"/>
    <w:basedOn w:val="DPSMainHeadingHouse"/>
    <w:rsid w:val="0010337F"/>
  </w:style>
  <w:style w:type="paragraph" w:customStyle="1" w:styleId="Formula">
    <w:name w:val="Formula"/>
    <w:basedOn w:val="Normal"/>
    <w:rsid w:val="0010337F"/>
    <w:pPr>
      <w:spacing w:before="240"/>
      <w:ind w:left="1134"/>
    </w:pPr>
    <w:rPr>
      <w:rFonts w:ascii="Times" w:hAnsi="Times"/>
      <w:sz w:val="22"/>
    </w:rPr>
  </w:style>
  <w:style w:type="paragraph" w:customStyle="1" w:styleId="hdrsection">
    <w:name w:val="hdrsection"/>
    <w:basedOn w:val="Normal"/>
    <w:rsid w:val="0010337F"/>
    <w:pPr>
      <w:keepNext/>
    </w:pPr>
    <w:rPr>
      <w:rFonts w:ascii="Times" w:hAnsi="Times"/>
      <w:b/>
    </w:rPr>
  </w:style>
  <w:style w:type="paragraph" w:styleId="Header">
    <w:name w:val="header"/>
    <w:basedOn w:val="Normal"/>
    <w:next w:val="Heading5"/>
    <w:link w:val="HeaderChar"/>
    <w:uiPriority w:val="99"/>
    <w:rsid w:val="0010337F"/>
    <w:pPr>
      <w:tabs>
        <w:tab w:val="center" w:pos="4153"/>
        <w:tab w:val="right" w:pos="8306"/>
      </w:tabs>
      <w:spacing w:line="240" w:lineRule="exact"/>
    </w:pPr>
    <w:rPr>
      <w:rFonts w:ascii="Times" w:hAnsi="Times"/>
      <w:sz w:val="22"/>
    </w:rPr>
  </w:style>
  <w:style w:type="character" w:customStyle="1" w:styleId="HeaderChar">
    <w:name w:val="Header Char"/>
    <w:basedOn w:val="DefaultParagraphFont"/>
    <w:link w:val="Header"/>
    <w:uiPriority w:val="99"/>
    <w:rsid w:val="00CC21DD"/>
    <w:rPr>
      <w:rFonts w:ascii="Times" w:hAnsi="Times"/>
      <w:sz w:val="22"/>
      <w:lang w:val="en-US"/>
    </w:rPr>
  </w:style>
  <w:style w:type="paragraph" w:customStyle="1" w:styleId="headerpart">
    <w:name w:val="header.part"/>
    <w:basedOn w:val="Normal"/>
    <w:rsid w:val="0010337F"/>
    <w:pPr>
      <w:keepNext/>
      <w:spacing w:line="240" w:lineRule="exact"/>
    </w:pPr>
    <w:rPr>
      <w:rFonts w:ascii="Times" w:hAnsi="Times"/>
      <w:b/>
    </w:rPr>
  </w:style>
  <w:style w:type="paragraph" w:customStyle="1" w:styleId="headerpartodd">
    <w:name w:val="header.part.odd"/>
    <w:basedOn w:val="headerpart"/>
    <w:rsid w:val="0010337F"/>
    <w:pPr>
      <w:ind w:left="5387" w:hanging="1134"/>
    </w:pPr>
  </w:style>
  <w:style w:type="paragraph" w:customStyle="1" w:styleId="indenta">
    <w:name w:val="indent(a)"/>
    <w:aliases w:val="a,indent"/>
    <w:basedOn w:val="Normal"/>
    <w:rsid w:val="0010337F"/>
    <w:pPr>
      <w:tabs>
        <w:tab w:val="right" w:pos="1758"/>
      </w:tabs>
      <w:spacing w:before="60"/>
      <w:ind w:left="1984" w:hanging="1559"/>
    </w:pPr>
    <w:rPr>
      <w:sz w:val="21"/>
    </w:rPr>
  </w:style>
  <w:style w:type="paragraph" w:customStyle="1" w:styleId="indentA0">
    <w:name w:val="indent(A)"/>
    <w:aliases w:val="aaa"/>
    <w:basedOn w:val="indenta"/>
    <w:rsid w:val="0010337F"/>
    <w:pPr>
      <w:tabs>
        <w:tab w:val="right" w:pos="2722"/>
      </w:tabs>
      <w:ind w:left="2835" w:hanging="2835"/>
    </w:pPr>
  </w:style>
  <w:style w:type="paragraph" w:customStyle="1" w:styleId="indentii">
    <w:name w:val="indent(ii)"/>
    <w:aliases w:val="aa"/>
    <w:basedOn w:val="indenta"/>
    <w:rsid w:val="0010337F"/>
    <w:pPr>
      <w:tabs>
        <w:tab w:val="clear" w:pos="1758"/>
        <w:tab w:val="right" w:pos="2410"/>
      </w:tabs>
      <w:ind w:left="2552" w:hanging="2552"/>
    </w:pPr>
  </w:style>
  <w:style w:type="paragraph" w:customStyle="1" w:styleId="Item">
    <w:name w:val="Item"/>
    <w:aliases w:val="i"/>
    <w:basedOn w:val="Normal"/>
    <w:rsid w:val="0010337F"/>
    <w:pPr>
      <w:keepLines/>
      <w:spacing w:before="60"/>
      <w:ind w:left="1049"/>
    </w:pPr>
    <w:rPr>
      <w:sz w:val="21"/>
    </w:rPr>
  </w:style>
  <w:style w:type="paragraph" w:customStyle="1" w:styleId="ItemHead">
    <w:name w:val="ItemHead"/>
    <w:aliases w:val="ih"/>
    <w:basedOn w:val="Heading1"/>
    <w:next w:val="Item"/>
    <w:rsid w:val="0010337F"/>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10337F"/>
    <w:rPr>
      <w:rFonts w:ascii="Times New Roman" w:hAnsi="Times New Roman"/>
      <w:sz w:val="24"/>
    </w:rPr>
  </w:style>
  <w:style w:type="paragraph" w:customStyle="1" w:styleId="LongT">
    <w:name w:val="LongT"/>
    <w:basedOn w:val="Normal"/>
    <w:rsid w:val="0010337F"/>
    <w:rPr>
      <w:rFonts w:ascii="Times" w:hAnsi="Times"/>
      <w:b/>
      <w:sz w:val="32"/>
    </w:rPr>
  </w:style>
  <w:style w:type="paragraph" w:customStyle="1" w:styleId="notedraft">
    <w:name w:val="note(draft)"/>
    <w:aliases w:val="nd,Note(draft)"/>
    <w:basedOn w:val="Normal"/>
    <w:rsid w:val="0010337F"/>
    <w:pPr>
      <w:spacing w:before="240" w:line="240" w:lineRule="exact"/>
      <w:ind w:left="284" w:hanging="284"/>
    </w:pPr>
    <w:rPr>
      <w:rFonts w:ascii="Times" w:hAnsi="Times"/>
      <w:i/>
      <w:lang w:val="en-AU"/>
    </w:rPr>
  </w:style>
  <w:style w:type="paragraph" w:customStyle="1" w:styleId="notemargin">
    <w:name w:val="note(margin)"/>
    <w:aliases w:val="nm"/>
    <w:basedOn w:val="Normal"/>
    <w:rsid w:val="0010337F"/>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10337F"/>
    <w:pPr>
      <w:spacing w:before="122" w:line="198" w:lineRule="exact"/>
      <w:ind w:left="2410" w:hanging="709"/>
    </w:pPr>
    <w:rPr>
      <w:rFonts w:ascii="Times" w:hAnsi="Times"/>
      <w:sz w:val="18"/>
      <w:lang w:val="en-AU"/>
    </w:rPr>
  </w:style>
  <w:style w:type="paragraph" w:customStyle="1" w:styleId="notetext">
    <w:name w:val="note(text)"/>
    <w:aliases w:val="n"/>
    <w:basedOn w:val="Normal"/>
    <w:rsid w:val="0010337F"/>
    <w:pPr>
      <w:spacing w:before="60"/>
      <w:ind w:left="2155" w:hanging="737"/>
    </w:pPr>
    <w:rPr>
      <w:sz w:val="18"/>
      <w:lang w:val="en-AU"/>
    </w:rPr>
  </w:style>
  <w:style w:type="paragraph" w:customStyle="1" w:styleId="NTSpecial1">
    <w:name w:val="NTSpecial1"/>
    <w:aliases w:val="nt1"/>
    <w:basedOn w:val="Normal"/>
    <w:next w:val="Normal"/>
    <w:rsid w:val="0010337F"/>
    <w:pPr>
      <w:tabs>
        <w:tab w:val="right" w:pos="1021"/>
      </w:tabs>
      <w:spacing w:before="120" w:line="240" w:lineRule="atLeast"/>
    </w:pPr>
    <w:rPr>
      <w:rFonts w:ascii="Times" w:hAnsi="Times"/>
      <w:lang w:val="en-AU"/>
    </w:rPr>
  </w:style>
  <w:style w:type="character" w:styleId="PageNumber">
    <w:name w:val="page number"/>
    <w:basedOn w:val="DefaultParagraphFont"/>
    <w:rsid w:val="0010337F"/>
  </w:style>
  <w:style w:type="paragraph" w:customStyle="1" w:styleId="Page1">
    <w:name w:val="Page1"/>
    <w:basedOn w:val="Normal"/>
    <w:rsid w:val="0010337F"/>
    <w:pPr>
      <w:spacing w:before="5103"/>
    </w:pPr>
    <w:rPr>
      <w:rFonts w:ascii="Times" w:hAnsi="Times"/>
      <w:b/>
      <w:sz w:val="32"/>
      <w:lang w:val="en-AU"/>
    </w:rPr>
  </w:style>
  <w:style w:type="paragraph" w:customStyle="1" w:styleId="PageBreak">
    <w:name w:val="PageBreak"/>
    <w:aliases w:val="pb"/>
    <w:basedOn w:val="Normal"/>
    <w:next w:val="Heading2"/>
    <w:rsid w:val="0010337F"/>
    <w:pPr>
      <w:jc w:val="center"/>
    </w:pPr>
    <w:rPr>
      <w:rFonts w:ascii="Times" w:hAnsi="Times"/>
      <w:sz w:val="2"/>
      <w:lang w:val="en-AU"/>
    </w:rPr>
  </w:style>
  <w:style w:type="paragraph" w:customStyle="1" w:styleId="parabullet">
    <w:name w:val="para bullet"/>
    <w:aliases w:val="b"/>
    <w:basedOn w:val="Normal"/>
    <w:rsid w:val="0010337F"/>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10337F"/>
    <w:pPr>
      <w:spacing w:before="60"/>
      <w:ind w:left="425"/>
    </w:pPr>
    <w:rPr>
      <w:sz w:val="21"/>
      <w:lang w:val="en-AU"/>
    </w:rPr>
  </w:style>
  <w:style w:type="paragraph" w:customStyle="1" w:styleId="Penalty">
    <w:name w:val="Penalty"/>
    <w:basedOn w:val="Normal"/>
    <w:rsid w:val="0010337F"/>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10337F"/>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10337F"/>
    <w:pPr>
      <w:ind w:left="992" w:hanging="567"/>
    </w:pPr>
  </w:style>
  <w:style w:type="paragraph" w:customStyle="1" w:styleId="ShortT">
    <w:name w:val="ShortT"/>
    <w:basedOn w:val="Normal"/>
    <w:next w:val="Normal"/>
    <w:rsid w:val="0010337F"/>
    <w:rPr>
      <w:rFonts w:ascii="Times" w:hAnsi="Times"/>
      <w:b/>
      <w:sz w:val="36"/>
      <w:lang w:val="en-AU"/>
    </w:rPr>
  </w:style>
  <w:style w:type="paragraph" w:customStyle="1" w:styleId="Subitem">
    <w:name w:val="Subitem"/>
    <w:aliases w:val="iss"/>
    <w:basedOn w:val="Normal"/>
    <w:rsid w:val="0010337F"/>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10337F"/>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10337F"/>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10337F"/>
    <w:pPr>
      <w:spacing w:before="40"/>
      <w:ind w:firstLine="0"/>
    </w:pPr>
  </w:style>
  <w:style w:type="paragraph" w:customStyle="1" w:styleId="SubsectionHead">
    <w:name w:val="SubsectionHead"/>
    <w:aliases w:val="ssh"/>
    <w:basedOn w:val="subsection"/>
    <w:next w:val="subsection"/>
    <w:rsid w:val="0010337F"/>
    <w:pPr>
      <w:spacing w:before="240"/>
      <w:ind w:firstLine="0"/>
    </w:pPr>
    <w:rPr>
      <w:i/>
    </w:rPr>
  </w:style>
  <w:style w:type="paragraph" w:customStyle="1" w:styleId="Tablea">
    <w:name w:val="Table(a)"/>
    <w:aliases w:val="ta"/>
    <w:basedOn w:val="Normal"/>
    <w:rsid w:val="0010337F"/>
    <w:pPr>
      <w:ind w:left="284" w:hanging="284"/>
    </w:pPr>
    <w:rPr>
      <w:rFonts w:ascii="Times" w:hAnsi="Times"/>
      <w:lang w:val="en-AU"/>
    </w:rPr>
  </w:style>
  <w:style w:type="paragraph" w:customStyle="1" w:styleId="Table">
    <w:name w:val="Table"/>
    <w:aliases w:val="t,Tables"/>
    <w:basedOn w:val="Normal"/>
    <w:rsid w:val="0010337F"/>
    <w:pPr>
      <w:spacing w:line="240" w:lineRule="atLeast"/>
    </w:pPr>
    <w:rPr>
      <w:rFonts w:ascii="Times" w:hAnsi="Times"/>
      <w:lang w:val="en-AU"/>
    </w:rPr>
  </w:style>
  <w:style w:type="paragraph" w:customStyle="1" w:styleId="TLPLink">
    <w:name w:val="TLPLink"/>
    <w:basedOn w:val="Heading9"/>
    <w:rsid w:val="0010337F"/>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10337F"/>
    <w:pPr>
      <w:tabs>
        <w:tab w:val="right" w:pos="7087"/>
      </w:tabs>
      <w:outlineLvl w:val="9"/>
    </w:pPr>
    <w:rPr>
      <w:sz w:val="24"/>
      <w:lang w:val="en-AU"/>
    </w:rPr>
  </w:style>
  <w:style w:type="paragraph" w:styleId="TOC2">
    <w:name w:val="toc 2"/>
    <w:basedOn w:val="Heading2"/>
    <w:next w:val="Normal"/>
    <w:autoRedefine/>
    <w:semiHidden/>
    <w:rsid w:val="0010337F"/>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10337F"/>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10337F"/>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10337F"/>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10337F"/>
    <w:pPr>
      <w:tabs>
        <w:tab w:val="clear" w:pos="1247"/>
      </w:tabs>
    </w:pPr>
  </w:style>
  <w:style w:type="paragraph" w:styleId="TOC7">
    <w:name w:val="toc 7"/>
    <w:basedOn w:val="TOC2"/>
    <w:next w:val="Normal"/>
    <w:autoRedefine/>
    <w:semiHidden/>
    <w:rsid w:val="0010337F"/>
    <w:pPr>
      <w:tabs>
        <w:tab w:val="clear" w:pos="1247"/>
      </w:tabs>
      <w:ind w:left="1440"/>
    </w:pPr>
  </w:style>
  <w:style w:type="paragraph" w:styleId="TOC8">
    <w:name w:val="toc 8"/>
    <w:basedOn w:val="TOC3"/>
    <w:next w:val="Normal"/>
    <w:autoRedefine/>
    <w:semiHidden/>
    <w:rsid w:val="0010337F"/>
    <w:pPr>
      <w:tabs>
        <w:tab w:val="clear" w:pos="1247"/>
      </w:tabs>
      <w:ind w:left="1680"/>
    </w:pPr>
  </w:style>
  <w:style w:type="paragraph" w:styleId="TOC9">
    <w:name w:val="toc 9"/>
    <w:basedOn w:val="Heading9"/>
    <w:next w:val="Normal"/>
    <w:autoRedefine/>
    <w:semiHidden/>
    <w:rsid w:val="0010337F"/>
    <w:pPr>
      <w:tabs>
        <w:tab w:val="right" w:pos="7087"/>
      </w:tabs>
      <w:spacing w:before="80"/>
      <w:outlineLvl w:val="9"/>
    </w:pPr>
    <w:rPr>
      <w:lang w:val="en-AU"/>
    </w:rPr>
  </w:style>
  <w:style w:type="paragraph" w:customStyle="1" w:styleId="TofSectsGroupHeading">
    <w:name w:val="TofSects(GroupHeading)"/>
    <w:basedOn w:val="TOC4"/>
    <w:rsid w:val="0010337F"/>
    <w:pPr>
      <w:tabs>
        <w:tab w:val="clear" w:pos="1247"/>
      </w:tabs>
      <w:spacing w:before="240" w:after="120"/>
      <w:ind w:left="794" w:right="567"/>
    </w:pPr>
  </w:style>
  <w:style w:type="paragraph" w:customStyle="1" w:styleId="TofSectsHeading">
    <w:name w:val="TofSects(Heading)"/>
    <w:basedOn w:val="TOC5"/>
    <w:rsid w:val="0010337F"/>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10337F"/>
    <w:pPr>
      <w:tabs>
        <w:tab w:val="clear" w:pos="1134"/>
        <w:tab w:val="left" w:pos="851"/>
      </w:tabs>
      <w:ind w:left="1588" w:right="567" w:hanging="794"/>
    </w:pPr>
    <w:rPr>
      <w:rFonts w:ascii="Times" w:hAnsi="Times"/>
    </w:rPr>
  </w:style>
  <w:style w:type="paragraph" w:customStyle="1" w:styleId="TofSectsSubdiv">
    <w:name w:val="TofSects(Subdiv)"/>
    <w:basedOn w:val="TOC4"/>
    <w:rsid w:val="0010337F"/>
    <w:pPr>
      <w:tabs>
        <w:tab w:val="clear" w:pos="1247"/>
        <w:tab w:val="left" w:pos="1560"/>
      </w:tabs>
      <w:ind w:left="1588" w:right="567" w:hanging="794"/>
    </w:pPr>
    <w:rPr>
      <w:b w:val="0"/>
      <w:sz w:val="22"/>
    </w:rPr>
  </w:style>
  <w:style w:type="paragraph" w:customStyle="1" w:styleId="DIVSection">
    <w:name w:val="DIVSection"/>
    <w:basedOn w:val="Normal"/>
    <w:rsid w:val="0010337F"/>
    <w:pPr>
      <w:ind w:left="425"/>
    </w:pPr>
    <w:rPr>
      <w:sz w:val="21"/>
      <w:lang w:val="en-AU"/>
    </w:rPr>
  </w:style>
  <w:style w:type="paragraph" w:customStyle="1" w:styleId="DPSPageHeaderB5">
    <w:name w:val="DPSPageHeaderB5"/>
    <w:basedOn w:val="Normal"/>
    <w:rsid w:val="0010337F"/>
    <w:pPr>
      <w:tabs>
        <w:tab w:val="center" w:pos="3686"/>
        <w:tab w:val="right" w:pos="7201"/>
      </w:tabs>
    </w:pPr>
    <w:rPr>
      <w:sz w:val="21"/>
      <w:lang w:val="en-AU"/>
    </w:rPr>
  </w:style>
  <w:style w:type="paragraph" w:customStyle="1" w:styleId="DPSPageHeaderA4">
    <w:name w:val="DPSPageHeaderA4"/>
    <w:basedOn w:val="DPSPageHeaderB5"/>
    <w:autoRedefine/>
    <w:rsid w:val="00096B0F"/>
    <w:pPr>
      <w:tabs>
        <w:tab w:val="clear" w:pos="3686"/>
        <w:tab w:val="clear" w:pos="7201"/>
        <w:tab w:val="center" w:pos="4678"/>
        <w:tab w:val="right" w:pos="9214"/>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10337F"/>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10337F"/>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10337F"/>
    <w:rPr>
      <w:color w:val="0000FF"/>
      <w:sz w:val="24"/>
      <w:u w:val="none"/>
    </w:rPr>
  </w:style>
  <w:style w:type="paragraph" w:customStyle="1" w:styleId="DPSEntryIndents">
    <w:name w:val="DPSEntryIndents"/>
    <w:basedOn w:val="DPSEntryDetail"/>
    <w:rsid w:val="006E2562"/>
    <w:pPr>
      <w:tabs>
        <w:tab w:val="clear" w:pos="1197"/>
        <w:tab w:val="clear" w:pos="1767"/>
        <w:tab w:val="num" w:pos="1368"/>
      </w:tabs>
      <w:ind w:left="1368" w:hanging="648"/>
    </w:pPr>
  </w:style>
  <w:style w:type="paragraph" w:customStyle="1" w:styleId="DIVIntroA">
    <w:name w:val="DIVIntroA"/>
    <w:basedOn w:val="DIVIntro"/>
    <w:autoRedefine/>
    <w:rsid w:val="005340A3"/>
    <w:pPr>
      <w:keepLines/>
      <w:spacing w:after="120"/>
    </w:pPr>
  </w:style>
  <w:style w:type="paragraph" w:customStyle="1" w:styleId="aDefsubpara">
    <w:name w:val="aDef subpara"/>
    <w:basedOn w:val="Normal"/>
    <w:rsid w:val="0010337F"/>
    <w:pPr>
      <w:tabs>
        <w:tab w:val="num" w:pos="2140"/>
      </w:tabs>
      <w:spacing w:before="80" w:after="60"/>
      <w:ind w:left="2140" w:hanging="200"/>
      <w:jc w:val="both"/>
      <w:outlineLvl w:val="7"/>
    </w:pPr>
    <w:rPr>
      <w:lang w:val="en-AU" w:eastAsia="en-US"/>
    </w:rPr>
  </w:style>
  <w:style w:type="paragraph" w:customStyle="1" w:styleId="aNoteBulletss">
    <w:name w:val="aNoteBulletss"/>
    <w:basedOn w:val="Normal"/>
    <w:rsid w:val="0010337F"/>
    <w:pPr>
      <w:tabs>
        <w:tab w:val="num" w:pos="2300"/>
      </w:tabs>
      <w:spacing w:after="60"/>
      <w:ind w:left="2300" w:hanging="40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Heading1Char1">
    <w:name w:val="Heading 1 Char1"/>
    <w:aliases w:val="c Char"/>
    <w:basedOn w:val="DefaultParagraphFont"/>
    <w:rsid w:val="00CC21DD"/>
    <w:rPr>
      <w:rFonts w:asciiTheme="majorHAnsi" w:eastAsiaTheme="majorEastAsia" w:hAnsiTheme="majorHAnsi" w:cstheme="majorBidi"/>
      <w:b/>
      <w:bCs/>
      <w:color w:val="365F91" w:themeColor="accent1" w:themeShade="BF"/>
      <w:sz w:val="28"/>
      <w:szCs w:val="28"/>
      <w:lang w:val="en-US"/>
    </w:rPr>
  </w:style>
  <w:style w:type="character" w:customStyle="1" w:styleId="Heading6Char1">
    <w:name w:val="Heading 6 Char1"/>
    <w:aliases w:val="as Char,heading6 Char"/>
    <w:basedOn w:val="DefaultParagraphFont"/>
    <w:semiHidden/>
    <w:rsid w:val="00CC21DD"/>
    <w:rPr>
      <w:rFonts w:asciiTheme="majorHAnsi" w:eastAsiaTheme="majorEastAsia" w:hAnsiTheme="majorHAnsi" w:cstheme="majorBidi"/>
      <w:i/>
      <w:iCs/>
      <w:color w:val="243F60" w:themeColor="accent1" w:themeShade="7F"/>
      <w:sz w:val="24"/>
      <w:lang w:val="en-US"/>
    </w:rPr>
  </w:style>
  <w:style w:type="character" w:customStyle="1" w:styleId="Heading7Char1">
    <w:name w:val="Heading 7 Char1"/>
    <w:aliases w:val="ap Char"/>
    <w:basedOn w:val="DefaultParagraphFont"/>
    <w:semiHidden/>
    <w:rsid w:val="00CC21DD"/>
    <w:rPr>
      <w:rFonts w:asciiTheme="majorHAnsi" w:eastAsiaTheme="majorEastAsia" w:hAnsiTheme="majorHAnsi" w:cstheme="majorBidi"/>
      <w:i/>
      <w:iCs/>
      <w:color w:val="404040" w:themeColor="text1" w:themeTint="BF"/>
      <w:sz w:val="24"/>
      <w:lang w:val="en-US"/>
    </w:rPr>
  </w:style>
  <w:style w:type="character" w:customStyle="1" w:styleId="Heading8Char1">
    <w:name w:val="Heading 8 Char1"/>
    <w:aliases w:val="ad Char"/>
    <w:basedOn w:val="DefaultParagraphFont"/>
    <w:semiHidden/>
    <w:rsid w:val="00CC21DD"/>
    <w:rPr>
      <w:rFonts w:asciiTheme="majorHAnsi" w:eastAsiaTheme="majorEastAsia" w:hAnsiTheme="majorHAnsi" w:cstheme="majorBidi"/>
      <w:color w:val="404040" w:themeColor="text1" w:themeTint="BF"/>
      <w:lang w:val="en-US"/>
    </w:rPr>
  </w:style>
  <w:style w:type="paragraph" w:styleId="BalloonText">
    <w:name w:val="Balloon Text"/>
    <w:basedOn w:val="Normal"/>
    <w:link w:val="BalloonTextChar"/>
    <w:unhideWhenUsed/>
    <w:rsid w:val="00CC21DD"/>
    <w:rPr>
      <w:rFonts w:ascii="Tahoma" w:hAnsi="Tahoma" w:cs="Tahoma"/>
      <w:sz w:val="16"/>
      <w:szCs w:val="16"/>
    </w:rPr>
  </w:style>
  <w:style w:type="character" w:customStyle="1" w:styleId="BalloonTextChar">
    <w:name w:val="Balloon Text Char"/>
    <w:basedOn w:val="DefaultParagraphFont"/>
    <w:link w:val="BalloonText"/>
    <w:rsid w:val="00CC21DD"/>
    <w:rPr>
      <w:rFonts w:ascii="Tahoma" w:hAnsi="Tahoma" w:cs="Tahoma"/>
      <w:sz w:val="16"/>
      <w:szCs w:val="16"/>
      <w:lang w:val="en-US"/>
    </w:rPr>
  </w:style>
  <w:style w:type="paragraph" w:customStyle="1" w:styleId="Amainreturn">
    <w:name w:val="A main return"/>
    <w:basedOn w:val="Normal"/>
    <w:rsid w:val="00CC21DD"/>
    <w:pPr>
      <w:spacing w:before="140"/>
      <w:ind w:left="1100"/>
      <w:jc w:val="both"/>
    </w:pPr>
    <w:rPr>
      <w:lang w:val="en-AU" w:eastAsia="en-US"/>
    </w:rPr>
  </w:style>
  <w:style w:type="character" w:customStyle="1" w:styleId="aNoteChar">
    <w:name w:val="aNote Char"/>
    <w:basedOn w:val="DefaultParagraphFont"/>
    <w:link w:val="aNote"/>
    <w:locked/>
    <w:rsid w:val="00CC21DD"/>
    <w:rPr>
      <w:lang w:eastAsia="en-US"/>
    </w:rPr>
  </w:style>
  <w:style w:type="paragraph" w:customStyle="1" w:styleId="aNote">
    <w:name w:val="aNote"/>
    <w:basedOn w:val="Normal"/>
    <w:link w:val="aNoteChar"/>
    <w:rsid w:val="00CC21DD"/>
    <w:pPr>
      <w:spacing w:before="140"/>
      <w:ind w:left="1900" w:hanging="800"/>
      <w:jc w:val="both"/>
    </w:pPr>
    <w:rPr>
      <w:sz w:val="20"/>
      <w:lang w:val="en-AU" w:eastAsia="en-US"/>
    </w:rPr>
  </w:style>
  <w:style w:type="paragraph" w:customStyle="1" w:styleId="direction">
    <w:name w:val="direction"/>
    <w:basedOn w:val="Normal"/>
    <w:next w:val="Amainreturn"/>
    <w:rsid w:val="00CC21DD"/>
    <w:pPr>
      <w:keepNext/>
      <w:spacing w:before="140"/>
      <w:ind w:left="1100"/>
      <w:jc w:val="both"/>
    </w:pPr>
    <w:rPr>
      <w:i/>
      <w:lang w:val="en-AU" w:eastAsia="en-US"/>
    </w:rPr>
  </w:style>
  <w:style w:type="paragraph" w:customStyle="1" w:styleId="N-line1">
    <w:name w:val="N-line1"/>
    <w:basedOn w:val="Normal"/>
    <w:rsid w:val="00CC21DD"/>
    <w:pPr>
      <w:pBdr>
        <w:bottom w:val="single" w:sz="4" w:space="0" w:color="auto"/>
      </w:pBdr>
      <w:spacing w:before="100"/>
      <w:ind w:left="2980" w:right="3020"/>
      <w:jc w:val="center"/>
    </w:pPr>
    <w:rPr>
      <w:lang w:val="en-AU" w:eastAsia="en-US"/>
    </w:rPr>
  </w:style>
  <w:style w:type="paragraph" w:customStyle="1" w:styleId="IMain">
    <w:name w:val="I Main"/>
    <w:basedOn w:val="Normal"/>
    <w:rsid w:val="00CC21DD"/>
    <w:pPr>
      <w:tabs>
        <w:tab w:val="right" w:pos="900"/>
        <w:tab w:val="left" w:pos="1100"/>
      </w:tabs>
      <w:spacing w:before="140"/>
      <w:ind w:left="1100" w:hanging="1100"/>
      <w:jc w:val="both"/>
    </w:pPr>
    <w:rPr>
      <w:lang w:val="en-AU" w:eastAsia="en-US"/>
    </w:rPr>
  </w:style>
  <w:style w:type="paragraph" w:customStyle="1" w:styleId="Ipara">
    <w:name w:val="I para"/>
    <w:basedOn w:val="Normal"/>
    <w:rsid w:val="00CC21DD"/>
    <w:pPr>
      <w:tabs>
        <w:tab w:val="right" w:pos="1400"/>
        <w:tab w:val="left" w:pos="1600"/>
      </w:tabs>
      <w:spacing w:before="140"/>
      <w:ind w:left="1600" w:hanging="1600"/>
      <w:jc w:val="both"/>
    </w:pPr>
    <w:rPr>
      <w:lang w:val="en-AU" w:eastAsia="en-US"/>
    </w:rPr>
  </w:style>
  <w:style w:type="paragraph" w:customStyle="1" w:styleId="Isubpara">
    <w:name w:val="I subpara"/>
    <w:basedOn w:val="Normal"/>
    <w:rsid w:val="00CC21DD"/>
    <w:pPr>
      <w:tabs>
        <w:tab w:val="right" w:pos="1940"/>
        <w:tab w:val="left" w:pos="2140"/>
      </w:tabs>
      <w:spacing w:before="140"/>
      <w:ind w:left="2140" w:hanging="2140"/>
      <w:jc w:val="both"/>
    </w:pPr>
    <w:rPr>
      <w:lang w:val="en-AU" w:eastAsia="en-US"/>
    </w:rPr>
  </w:style>
  <w:style w:type="paragraph" w:customStyle="1" w:styleId="IshadedH5Sec">
    <w:name w:val="I shaded H5 Sec"/>
    <w:basedOn w:val="Normal"/>
    <w:rsid w:val="00CC21DD"/>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Normal"/>
    <w:rsid w:val="00CC21DD"/>
    <w:pPr>
      <w:keepNext/>
      <w:keepLines/>
      <w:pBdr>
        <w:top w:val="single" w:sz="4" w:space="1" w:color="auto"/>
      </w:pBdr>
      <w:tabs>
        <w:tab w:val="left" w:pos="284"/>
      </w:tabs>
      <w:spacing w:before="240"/>
      <w:ind w:left="720" w:hanging="360"/>
    </w:pPr>
    <w:rPr>
      <w:rFonts w:ascii="Arial" w:hAnsi="Arial"/>
      <w:b/>
      <w:sz w:val="22"/>
      <w:lang w:val="en-AU" w:eastAsia="en-US"/>
    </w:rPr>
  </w:style>
  <w:style w:type="paragraph" w:customStyle="1" w:styleId="Billfooter">
    <w:name w:val="Billfooter"/>
    <w:basedOn w:val="Normal"/>
    <w:rsid w:val="00CC21DD"/>
    <w:pPr>
      <w:tabs>
        <w:tab w:val="right" w:pos="7200"/>
      </w:tabs>
      <w:jc w:val="both"/>
    </w:pPr>
    <w:rPr>
      <w:sz w:val="18"/>
      <w:lang w:val="en-AU" w:eastAsia="en-US"/>
    </w:rPr>
  </w:style>
  <w:style w:type="paragraph" w:customStyle="1" w:styleId="00AssAm">
    <w:name w:val="00AssAm"/>
    <w:basedOn w:val="Normal"/>
    <w:rsid w:val="00CC21DD"/>
    <w:rPr>
      <w:lang w:val="en-AU" w:eastAsia="en-US"/>
    </w:rPr>
  </w:style>
  <w:style w:type="paragraph" w:customStyle="1" w:styleId="aDef">
    <w:name w:val="aDef"/>
    <w:basedOn w:val="Normal"/>
    <w:rsid w:val="00CC21DD"/>
    <w:pPr>
      <w:spacing w:before="140"/>
      <w:ind w:left="4320" w:hanging="180"/>
      <w:jc w:val="both"/>
      <w:outlineLvl w:val="5"/>
    </w:pPr>
    <w:rPr>
      <w:lang w:val="en-AU" w:eastAsia="en-US"/>
    </w:rPr>
  </w:style>
  <w:style w:type="paragraph" w:customStyle="1" w:styleId="IH5Sec">
    <w:name w:val="I H5 Sec"/>
    <w:basedOn w:val="Normal"/>
    <w:next w:val="Amainreturn"/>
    <w:rsid w:val="00CC21DD"/>
    <w:pPr>
      <w:keepNext/>
      <w:tabs>
        <w:tab w:val="left" w:pos="1100"/>
      </w:tabs>
      <w:spacing w:before="240"/>
      <w:ind w:left="1100" w:hanging="1100"/>
    </w:pPr>
    <w:rPr>
      <w:rFonts w:ascii="Arial" w:hAnsi="Arial"/>
      <w:b/>
      <w:lang w:val="en-AU" w:eastAsia="en-US"/>
    </w:rPr>
  </w:style>
  <w:style w:type="paragraph" w:customStyle="1" w:styleId="aDefpara">
    <w:name w:val="aDef para"/>
    <w:basedOn w:val="Normal"/>
    <w:rsid w:val="00CC21DD"/>
    <w:pPr>
      <w:spacing w:before="140"/>
      <w:ind w:left="5040" w:hanging="360"/>
      <w:jc w:val="both"/>
      <w:outlineLvl w:val="6"/>
    </w:pPr>
    <w:rPr>
      <w:lang w:val="en-AU" w:eastAsia="en-US"/>
    </w:rPr>
  </w:style>
  <w:style w:type="paragraph" w:customStyle="1" w:styleId="Idefpara">
    <w:name w:val="I def para"/>
    <w:basedOn w:val="Ipara"/>
    <w:rsid w:val="00CC21DD"/>
  </w:style>
  <w:style w:type="paragraph" w:customStyle="1" w:styleId="Idefsubpara">
    <w:name w:val="I def subpara"/>
    <w:basedOn w:val="Isubpara"/>
    <w:rsid w:val="00CC21DD"/>
  </w:style>
  <w:style w:type="paragraph" w:customStyle="1" w:styleId="aExamHdgpar">
    <w:name w:val="aExamHdgpar"/>
    <w:basedOn w:val="Normal"/>
    <w:next w:val="Normal"/>
    <w:rsid w:val="00CC21DD"/>
    <w:pPr>
      <w:keepNext/>
      <w:spacing w:before="140"/>
      <w:ind w:left="1600"/>
    </w:pPr>
    <w:rPr>
      <w:rFonts w:ascii="Arial" w:hAnsi="Arial"/>
      <w:b/>
      <w:sz w:val="18"/>
      <w:lang w:val="en-AU" w:eastAsia="en-US"/>
    </w:rPr>
  </w:style>
  <w:style w:type="paragraph" w:customStyle="1" w:styleId="aExamBulletpar">
    <w:name w:val="aExamBulletpar"/>
    <w:basedOn w:val="Normal"/>
    <w:rsid w:val="00CC21DD"/>
    <w:pPr>
      <w:tabs>
        <w:tab w:val="num" w:pos="2000"/>
      </w:tabs>
      <w:spacing w:before="60"/>
      <w:ind w:left="2000" w:hanging="400"/>
      <w:jc w:val="both"/>
    </w:pPr>
    <w:rPr>
      <w:sz w:val="20"/>
      <w:lang w:val="en-AU" w:eastAsia="en-US"/>
    </w:rPr>
  </w:style>
  <w:style w:type="character" w:customStyle="1" w:styleId="FooterChar1">
    <w:name w:val="Footer Char1"/>
    <w:basedOn w:val="DefaultParagraphFont"/>
    <w:semiHidden/>
    <w:locked/>
    <w:rsid w:val="00CC21DD"/>
    <w:rPr>
      <w:rFonts w:ascii="Times" w:hAnsi="Times"/>
      <w:sz w:val="22"/>
      <w:lang w:val="en-US"/>
    </w:rPr>
  </w:style>
  <w:style w:type="character" w:customStyle="1" w:styleId="charItals">
    <w:name w:val="charItals"/>
    <w:basedOn w:val="DefaultParagraphFont"/>
    <w:rsid w:val="00CC21DD"/>
    <w:rPr>
      <w:i/>
      <w:iCs w:val="0"/>
    </w:rPr>
  </w:style>
</w:styles>
</file>

<file path=word/webSettings.xml><?xml version="1.0" encoding="utf-8"?>
<w:webSettings xmlns:r="http://schemas.openxmlformats.org/officeDocument/2006/relationships" xmlns:w="http://schemas.openxmlformats.org/wordprocessingml/2006/main">
  <w:divs>
    <w:div w:id="1933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G:\Chamber\LA%20Secretariat%20%231\MINUTES\9TH%20ASSEMBLY\Minutes%202019\MoP092.docx" TargetMode="External"/><Relationship Id="rId18" Type="http://schemas.openxmlformats.org/officeDocument/2006/relationships/hyperlink" Target="file:///G:\Chamber\LA%20Secretariat%20%231\MINUTES\9TH%20ASSEMBLY\Minutes%202019\MoP09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G:\Chamber\LA%20Secretariat%20%231\MINUTES\9TH%20ASSEMBLY\Minutes%202019\MoP092.docx" TargetMode="External"/><Relationship Id="rId7" Type="http://schemas.openxmlformats.org/officeDocument/2006/relationships/endnotes" Target="endnotes.xml"/><Relationship Id="rId12" Type="http://schemas.openxmlformats.org/officeDocument/2006/relationships/hyperlink" Target="file:///G:\Chamber\LA%20Secretariat%20%231\MINUTES\9TH%20ASSEMBLY\Minutes%202019\MoP092.docx" TargetMode="External"/><Relationship Id="rId17" Type="http://schemas.openxmlformats.org/officeDocument/2006/relationships/hyperlink" Target="file:///G:\Chamber\LA%20Secretariat%20%231\MINUTES\9TH%20ASSEMBLY\Minutes%202019\MoP092.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G:\Chamber\LA%20Secretariat%20%231\MINUTES\9TH%20ASSEMBLY\Minutes%202019\MoP092.docx" TargetMode="External"/><Relationship Id="rId20" Type="http://schemas.openxmlformats.org/officeDocument/2006/relationships/hyperlink" Target="file:///G:\Chamber\LA%20Secretariat%20%231\MINUTES\9TH%20ASSEMBLY\Minutes%202019\MoP09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Chamber\LA%20Secretariat%20%231\MINUTES\9TH%20ASSEMBLY\Minutes%202019\MoP092.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G:\Chamber\LA%20Secretariat%20%231\MINUTES\9TH%20ASSEMBLY\Minutes%202019\MoP092.docx" TargetMode="External"/><Relationship Id="rId23" Type="http://schemas.openxmlformats.org/officeDocument/2006/relationships/header" Target="header2.xml"/><Relationship Id="rId10" Type="http://schemas.openxmlformats.org/officeDocument/2006/relationships/hyperlink" Target="file:///G:\Chamber\LA%20Secretariat%20%231\MINUTES\9TH%20ASSEMBLY\Minutes%202019\MoP092.docx" TargetMode="External"/><Relationship Id="rId19" Type="http://schemas.openxmlformats.org/officeDocument/2006/relationships/hyperlink" Target="file:///G:\Chamber\LA%20Secretariat%20%231\MINUTES\9TH%20ASSEMBLY\Minutes%202019\MoP092.docx" TargetMode="External"/><Relationship Id="rId4" Type="http://schemas.openxmlformats.org/officeDocument/2006/relationships/settings" Target="settings.xml"/><Relationship Id="rId9" Type="http://schemas.openxmlformats.org/officeDocument/2006/relationships/hyperlink" Target="http://www.hansard.act.gov.au/hansard/2019/pdfs/20190402" TargetMode="External"/><Relationship Id="rId14" Type="http://schemas.openxmlformats.org/officeDocument/2006/relationships/hyperlink" Target="file:///G:\Chamber\LA%20Secretariat%20%231\MINUTES\9TH%20ASSEMBLY\Minutes%202019\MoP092.docx"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5534B-8C85-4A49-BE31-CB1444E8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24</Pages>
  <Words>5969</Words>
  <Characters>31999</Characters>
  <Application>Microsoft Office Word</Application>
  <DocSecurity>0</DocSecurity>
  <Lines>820</Lines>
  <Paragraphs>441</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37527</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McAlister</dc:creator>
  <cp:lastModifiedBy>anne shannon</cp:lastModifiedBy>
  <cp:revision>2</cp:revision>
  <cp:lastPrinted>2019-04-24T00:30:00Z</cp:lastPrinted>
  <dcterms:created xsi:type="dcterms:W3CDTF">2019-04-24T00:32:00Z</dcterms:created>
  <dcterms:modified xsi:type="dcterms:W3CDTF">2019-04-24T00:32:00Z</dcterms:modified>
</cp:coreProperties>
</file>