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6C4190">
      <w:pPr>
        <w:spacing w:after="0"/>
        <w:rPr>
          <w:rFonts w:ascii="Arial" w:hAnsi="Arial" w:cs="Arial"/>
          <w:b/>
          <w:bCs/>
          <w:sz w:val="24"/>
          <w:szCs w:val="24"/>
        </w:rPr>
      </w:pPr>
    </w:p>
    <w:p w14:paraId="5C6C9ECA" w14:textId="638934C2"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202</w:t>
      </w:r>
      <w:r w:rsidR="001B2E58" w:rsidRPr="00F84E2A">
        <w:rPr>
          <w:rFonts w:ascii="Arial" w:hAnsi="Arial" w:cs="Arial"/>
          <w:b/>
          <w:bCs/>
          <w:sz w:val="24"/>
          <w:szCs w:val="24"/>
        </w:rPr>
        <w:t>6</w:t>
      </w:r>
    </w:p>
    <w:p w14:paraId="4E149149" w14:textId="77777777" w:rsidR="00E90DF9" w:rsidRPr="00F84E2A" w:rsidRDefault="00E90DF9" w:rsidP="006C4190">
      <w:pPr>
        <w:spacing w:after="0"/>
        <w:jc w:val="center"/>
        <w:rPr>
          <w:rFonts w:ascii="Arial" w:hAnsi="Arial" w:cs="Arial"/>
          <w:b/>
          <w:sz w:val="24"/>
          <w:szCs w:val="24"/>
        </w:rPr>
      </w:pPr>
    </w:p>
    <w:p w14:paraId="06167890" w14:textId="77777777" w:rsidR="00E90DF9" w:rsidRPr="00F84E2A" w:rsidRDefault="00E90DF9" w:rsidP="006C4190">
      <w:pPr>
        <w:spacing w:after="0"/>
        <w:jc w:val="center"/>
        <w:rPr>
          <w:rFonts w:ascii="Arial" w:hAnsi="Arial" w:cs="Arial"/>
          <w:b/>
          <w:sz w:val="24"/>
          <w:szCs w:val="24"/>
        </w:rPr>
      </w:pPr>
    </w:p>
    <w:p w14:paraId="271BD407" w14:textId="77777777" w:rsidR="00E90DF9" w:rsidRPr="00F84E2A" w:rsidRDefault="00E90DF9" w:rsidP="006C4190">
      <w:pPr>
        <w:spacing w:after="0"/>
        <w:jc w:val="center"/>
        <w:rPr>
          <w:rFonts w:ascii="Arial" w:hAnsi="Arial" w:cs="Arial"/>
          <w:b/>
          <w:sz w:val="24"/>
          <w:szCs w:val="24"/>
        </w:rPr>
      </w:pPr>
    </w:p>
    <w:p w14:paraId="71A1CE5B" w14:textId="77777777" w:rsidR="00E90DF9" w:rsidRPr="00F84E2A" w:rsidRDefault="00E90DF9" w:rsidP="006C4190">
      <w:pPr>
        <w:spacing w:after="0"/>
        <w:jc w:val="center"/>
        <w:rPr>
          <w:rFonts w:ascii="Arial" w:hAnsi="Arial" w:cs="Arial"/>
          <w:b/>
          <w:sz w:val="24"/>
          <w:szCs w:val="24"/>
        </w:rPr>
      </w:pPr>
    </w:p>
    <w:p w14:paraId="677673A4" w14:textId="77777777" w:rsidR="00E90DF9" w:rsidRPr="00F84E2A" w:rsidRDefault="00E90DF9" w:rsidP="006C4190">
      <w:pPr>
        <w:spacing w:after="0"/>
        <w:jc w:val="center"/>
        <w:rPr>
          <w:rFonts w:ascii="Arial" w:hAnsi="Arial" w:cs="Arial"/>
          <w:b/>
          <w:bCs/>
          <w:sz w:val="24"/>
          <w:szCs w:val="24"/>
        </w:rPr>
      </w:pPr>
    </w:p>
    <w:p w14:paraId="463F3AB6" w14:textId="77777777" w:rsidR="00E90DF9" w:rsidRPr="00F84E2A" w:rsidRDefault="00E90DF9" w:rsidP="006C4190">
      <w:pPr>
        <w:spacing w:after="0"/>
        <w:jc w:val="center"/>
        <w:rPr>
          <w:rFonts w:ascii="Arial" w:hAnsi="Arial" w:cs="Arial"/>
          <w:b/>
          <w:bCs/>
          <w:sz w:val="24"/>
          <w:szCs w:val="24"/>
        </w:rPr>
      </w:pPr>
    </w:p>
    <w:p w14:paraId="02BC33AF" w14:textId="77777777"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THE LEGISLATIVE ASSEMBLY FOR THE</w:t>
      </w:r>
    </w:p>
    <w:p w14:paraId="091772B4" w14:textId="77777777" w:rsidR="00E90DF9" w:rsidRPr="00F84E2A" w:rsidRDefault="00E90DF9" w:rsidP="006C4190">
      <w:pPr>
        <w:spacing w:after="0"/>
        <w:jc w:val="center"/>
        <w:rPr>
          <w:rFonts w:ascii="Arial" w:hAnsi="Arial" w:cs="Arial"/>
          <w:b/>
          <w:sz w:val="24"/>
          <w:szCs w:val="24"/>
        </w:rPr>
      </w:pPr>
      <w:r w:rsidRPr="00F84E2A">
        <w:rPr>
          <w:rFonts w:ascii="Arial" w:hAnsi="Arial" w:cs="Arial"/>
          <w:b/>
          <w:bCs/>
          <w:sz w:val="24"/>
          <w:szCs w:val="24"/>
        </w:rPr>
        <w:t>AUSTRALIAN CAPITAL TERRITORY</w:t>
      </w:r>
    </w:p>
    <w:p w14:paraId="63982AB9" w14:textId="77777777" w:rsidR="00E90DF9" w:rsidRPr="00F84E2A" w:rsidRDefault="00E90DF9" w:rsidP="006C4190">
      <w:pPr>
        <w:spacing w:after="0"/>
        <w:jc w:val="center"/>
        <w:rPr>
          <w:rFonts w:ascii="Arial" w:hAnsi="Arial" w:cs="Arial"/>
          <w:b/>
          <w:sz w:val="24"/>
          <w:szCs w:val="24"/>
        </w:rPr>
      </w:pPr>
    </w:p>
    <w:p w14:paraId="5FABE90A" w14:textId="77777777" w:rsidR="00E90DF9" w:rsidRPr="00F84E2A" w:rsidRDefault="00E90DF9" w:rsidP="006C4190">
      <w:pPr>
        <w:spacing w:after="0"/>
        <w:jc w:val="center"/>
        <w:rPr>
          <w:rFonts w:ascii="Arial" w:hAnsi="Arial" w:cs="Arial"/>
          <w:b/>
          <w:sz w:val="24"/>
          <w:szCs w:val="24"/>
        </w:rPr>
      </w:pPr>
    </w:p>
    <w:p w14:paraId="6118207D" w14:textId="77777777" w:rsidR="00E90DF9" w:rsidRPr="00F84E2A" w:rsidRDefault="00E90DF9" w:rsidP="006C4190">
      <w:pPr>
        <w:spacing w:after="0"/>
        <w:jc w:val="center"/>
        <w:rPr>
          <w:rFonts w:ascii="Arial" w:hAnsi="Arial" w:cs="Arial"/>
          <w:b/>
          <w:sz w:val="24"/>
          <w:szCs w:val="24"/>
        </w:rPr>
      </w:pPr>
    </w:p>
    <w:p w14:paraId="75A33EE9" w14:textId="4095B364" w:rsidR="00E90DF9" w:rsidRPr="00F84E2A" w:rsidRDefault="009E0822" w:rsidP="006C4190">
      <w:pPr>
        <w:spacing w:after="0"/>
        <w:jc w:val="center"/>
        <w:rPr>
          <w:rFonts w:ascii="Arial" w:hAnsi="Arial" w:cs="Arial"/>
          <w:b/>
          <w:sz w:val="24"/>
          <w:szCs w:val="24"/>
        </w:rPr>
      </w:pPr>
      <w:r w:rsidRPr="00F84E2A">
        <w:rPr>
          <w:rFonts w:ascii="Arial" w:hAnsi="Arial" w:cs="Arial"/>
          <w:b/>
          <w:sz w:val="24"/>
          <w:szCs w:val="24"/>
        </w:rPr>
        <w:t>ELEV</w:t>
      </w:r>
      <w:r w:rsidR="00E90DF9" w:rsidRPr="00F84E2A">
        <w:rPr>
          <w:rFonts w:ascii="Arial" w:hAnsi="Arial" w:cs="Arial"/>
          <w:b/>
          <w:sz w:val="24"/>
          <w:szCs w:val="24"/>
        </w:rPr>
        <w:t>ENTH ASSEMBLY</w:t>
      </w:r>
    </w:p>
    <w:p w14:paraId="12B1793E" w14:textId="77777777" w:rsidR="00E90DF9" w:rsidRPr="00F84E2A" w:rsidRDefault="00E90DF9" w:rsidP="006C4190">
      <w:pPr>
        <w:spacing w:after="0"/>
        <w:jc w:val="center"/>
        <w:rPr>
          <w:rFonts w:ascii="Arial" w:hAnsi="Arial" w:cs="Arial"/>
          <w:b/>
          <w:sz w:val="24"/>
          <w:szCs w:val="24"/>
        </w:rPr>
      </w:pPr>
    </w:p>
    <w:p w14:paraId="3D84F818" w14:textId="77777777" w:rsidR="00E90DF9" w:rsidRPr="00F84E2A" w:rsidRDefault="00E90DF9" w:rsidP="006C4190">
      <w:pPr>
        <w:spacing w:after="0"/>
        <w:jc w:val="center"/>
        <w:rPr>
          <w:rFonts w:ascii="Arial" w:hAnsi="Arial" w:cs="Arial"/>
          <w:b/>
          <w:sz w:val="24"/>
          <w:szCs w:val="24"/>
        </w:rPr>
      </w:pPr>
    </w:p>
    <w:p w14:paraId="312E8FE1" w14:textId="77777777" w:rsidR="00E90DF9" w:rsidRPr="00F84E2A" w:rsidRDefault="00E90DF9" w:rsidP="006C4190">
      <w:pPr>
        <w:spacing w:after="0"/>
        <w:jc w:val="center"/>
        <w:rPr>
          <w:rFonts w:ascii="Arial" w:hAnsi="Arial" w:cs="Arial"/>
          <w:b/>
          <w:sz w:val="24"/>
          <w:szCs w:val="24"/>
        </w:rPr>
      </w:pPr>
    </w:p>
    <w:p w14:paraId="62527870" w14:textId="77777777" w:rsidR="00E90DF9" w:rsidRPr="00F84E2A" w:rsidRDefault="00E90DF9" w:rsidP="006C4190">
      <w:pPr>
        <w:spacing w:after="0"/>
        <w:jc w:val="center"/>
        <w:rPr>
          <w:rFonts w:ascii="Arial" w:hAnsi="Arial" w:cs="Arial"/>
          <w:b/>
          <w:sz w:val="24"/>
          <w:szCs w:val="24"/>
        </w:rPr>
      </w:pPr>
    </w:p>
    <w:p w14:paraId="7A5CE6C9" w14:textId="77777777" w:rsidR="00E90DF9" w:rsidRPr="00F84E2A" w:rsidRDefault="00E90DF9" w:rsidP="006C4190">
      <w:pPr>
        <w:spacing w:after="0"/>
        <w:rPr>
          <w:rFonts w:ascii="Arial" w:hAnsi="Arial" w:cs="Arial"/>
          <w:b/>
          <w:sz w:val="24"/>
          <w:szCs w:val="24"/>
        </w:rPr>
      </w:pPr>
    </w:p>
    <w:p w14:paraId="4FBE8318" w14:textId="1E7A5526" w:rsidR="006726A1" w:rsidRPr="00F84E2A" w:rsidRDefault="006726A1" w:rsidP="006C4190">
      <w:pPr>
        <w:pStyle w:val="Heading1"/>
        <w:spacing w:line="276" w:lineRule="auto"/>
        <w:jc w:val="center"/>
      </w:pPr>
      <w:r w:rsidRPr="00F84E2A">
        <w:t xml:space="preserve">JUSTICE AND COMMUNITY SAFETY LEGISLATION AMENDMENT BILL 2025 (NO </w:t>
      </w:r>
      <w:r w:rsidR="00BC122A" w:rsidRPr="00F84E2A">
        <w:t>3</w:t>
      </w:r>
      <w:r w:rsidRPr="00F84E2A">
        <w:t>)</w:t>
      </w:r>
    </w:p>
    <w:p w14:paraId="23C1CDE7" w14:textId="77777777" w:rsidR="00E90DF9" w:rsidRPr="00F84E2A" w:rsidRDefault="00E90DF9" w:rsidP="006C4190">
      <w:pPr>
        <w:spacing w:after="0"/>
        <w:jc w:val="center"/>
        <w:rPr>
          <w:rFonts w:ascii="Arial" w:hAnsi="Arial" w:cs="Arial"/>
          <w:b/>
          <w:bCs/>
          <w:sz w:val="24"/>
          <w:szCs w:val="24"/>
        </w:rPr>
      </w:pPr>
    </w:p>
    <w:p w14:paraId="5D04CAEB" w14:textId="77777777" w:rsidR="00E90DF9" w:rsidRPr="00F84E2A" w:rsidRDefault="00E90DF9" w:rsidP="006C4190">
      <w:pPr>
        <w:spacing w:after="0"/>
        <w:jc w:val="center"/>
        <w:rPr>
          <w:rFonts w:ascii="Arial" w:hAnsi="Arial" w:cs="Arial"/>
          <w:b/>
          <w:sz w:val="24"/>
          <w:szCs w:val="24"/>
        </w:rPr>
      </w:pPr>
    </w:p>
    <w:p w14:paraId="5FAFD780" w14:textId="77777777" w:rsidR="006726A1" w:rsidRPr="00F84E2A" w:rsidRDefault="006726A1" w:rsidP="006C4190">
      <w:pPr>
        <w:spacing w:after="0"/>
        <w:jc w:val="center"/>
        <w:rPr>
          <w:rFonts w:ascii="Arial" w:hAnsi="Arial" w:cs="Arial"/>
          <w:i/>
          <w:iCs/>
          <w:color w:val="FF0000"/>
          <w:sz w:val="24"/>
          <w:szCs w:val="24"/>
        </w:rPr>
      </w:pPr>
    </w:p>
    <w:p w14:paraId="664BEC68" w14:textId="3C5A62F3" w:rsidR="00E90DF9" w:rsidRPr="00F84E2A" w:rsidRDefault="001B2E58" w:rsidP="006C4190">
      <w:pPr>
        <w:spacing w:after="0"/>
        <w:jc w:val="center"/>
        <w:rPr>
          <w:rFonts w:ascii="Arial" w:hAnsi="Arial" w:cs="Arial"/>
          <w:b/>
          <w:bCs/>
          <w:sz w:val="24"/>
          <w:szCs w:val="24"/>
        </w:rPr>
      </w:pPr>
      <w:r w:rsidRPr="00F84E2A">
        <w:rPr>
          <w:rFonts w:ascii="Arial" w:hAnsi="Arial" w:cs="Arial"/>
          <w:b/>
          <w:bCs/>
          <w:sz w:val="24"/>
          <w:szCs w:val="24"/>
        </w:rPr>
        <w:t xml:space="preserve">REVISED </w:t>
      </w:r>
      <w:r w:rsidR="00E90DF9" w:rsidRPr="00F84E2A">
        <w:rPr>
          <w:rFonts w:ascii="Arial" w:hAnsi="Arial" w:cs="Arial"/>
          <w:b/>
          <w:bCs/>
          <w:sz w:val="24"/>
          <w:szCs w:val="24"/>
        </w:rPr>
        <w:t xml:space="preserve">EXPLANATORY STATEMENT </w:t>
      </w:r>
    </w:p>
    <w:p w14:paraId="09B948FF" w14:textId="77777777"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and</w:t>
      </w:r>
    </w:p>
    <w:p w14:paraId="243211BD" w14:textId="77777777"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 xml:space="preserve"> HUMAN RIGHTS COMPATIBILITY STATEMENT</w:t>
      </w:r>
    </w:p>
    <w:p w14:paraId="2FDF54DB" w14:textId="77777777" w:rsidR="00E90DF9" w:rsidRPr="00F84E2A" w:rsidRDefault="00E90DF9" w:rsidP="006C4190">
      <w:pPr>
        <w:spacing w:after="0"/>
        <w:jc w:val="center"/>
        <w:rPr>
          <w:rFonts w:ascii="Arial" w:hAnsi="Arial" w:cs="Arial"/>
          <w:b/>
          <w:sz w:val="24"/>
          <w:szCs w:val="24"/>
        </w:rPr>
      </w:pPr>
      <w:r w:rsidRPr="00F84E2A">
        <w:rPr>
          <w:rFonts w:ascii="Arial" w:hAnsi="Arial" w:cs="Arial"/>
          <w:b/>
          <w:bCs/>
          <w:sz w:val="24"/>
          <w:szCs w:val="24"/>
        </w:rPr>
        <w:t>(</w:t>
      </w:r>
      <w:r w:rsidRPr="00F84E2A">
        <w:rPr>
          <w:rFonts w:ascii="Arial" w:hAnsi="Arial" w:cs="Arial"/>
          <w:b/>
          <w:bCs/>
          <w:i/>
          <w:iCs/>
          <w:sz w:val="24"/>
          <w:szCs w:val="24"/>
        </w:rPr>
        <w:t>Human Rights Act 2004</w:t>
      </w:r>
      <w:r w:rsidRPr="00F84E2A">
        <w:rPr>
          <w:rFonts w:ascii="Arial" w:hAnsi="Arial" w:cs="Arial"/>
          <w:b/>
          <w:bCs/>
          <w:sz w:val="24"/>
          <w:szCs w:val="24"/>
        </w:rPr>
        <w:t>, s 37)</w:t>
      </w:r>
    </w:p>
    <w:p w14:paraId="25C71D31" w14:textId="77777777" w:rsidR="00E90DF9" w:rsidRPr="00F84E2A" w:rsidRDefault="00E90DF9" w:rsidP="006C4190">
      <w:pPr>
        <w:spacing w:after="0"/>
        <w:jc w:val="center"/>
        <w:rPr>
          <w:rFonts w:ascii="Arial" w:hAnsi="Arial" w:cs="Arial"/>
          <w:b/>
          <w:sz w:val="24"/>
          <w:szCs w:val="24"/>
        </w:rPr>
      </w:pPr>
    </w:p>
    <w:p w14:paraId="62B7AD27" w14:textId="77777777" w:rsidR="00E90DF9" w:rsidRPr="00F84E2A" w:rsidRDefault="00E90DF9" w:rsidP="006C4190">
      <w:pPr>
        <w:spacing w:after="0"/>
        <w:jc w:val="center"/>
        <w:rPr>
          <w:rFonts w:ascii="Arial" w:hAnsi="Arial" w:cs="Arial"/>
          <w:b/>
          <w:sz w:val="24"/>
          <w:szCs w:val="24"/>
        </w:rPr>
      </w:pPr>
    </w:p>
    <w:p w14:paraId="3B7A8E87" w14:textId="77777777" w:rsidR="00E90DF9" w:rsidRPr="00F84E2A" w:rsidRDefault="00E90DF9" w:rsidP="006C4190">
      <w:pPr>
        <w:spacing w:after="0"/>
        <w:jc w:val="center"/>
        <w:rPr>
          <w:rFonts w:ascii="Arial" w:hAnsi="Arial" w:cs="Arial"/>
          <w:b/>
          <w:sz w:val="24"/>
          <w:szCs w:val="24"/>
        </w:rPr>
      </w:pPr>
    </w:p>
    <w:p w14:paraId="67BAB751" w14:textId="77777777" w:rsidR="00E90DF9" w:rsidRPr="00F84E2A" w:rsidRDefault="00E90DF9" w:rsidP="006C4190">
      <w:pPr>
        <w:spacing w:after="0"/>
        <w:jc w:val="center"/>
        <w:rPr>
          <w:rFonts w:ascii="Arial" w:hAnsi="Arial" w:cs="Arial"/>
          <w:b/>
          <w:sz w:val="24"/>
          <w:szCs w:val="24"/>
        </w:rPr>
      </w:pPr>
    </w:p>
    <w:p w14:paraId="3D25356F" w14:textId="77777777" w:rsidR="00E90DF9" w:rsidRPr="00F84E2A" w:rsidRDefault="00E90DF9" w:rsidP="006C4190">
      <w:pPr>
        <w:spacing w:after="0"/>
        <w:jc w:val="center"/>
        <w:rPr>
          <w:rFonts w:ascii="Arial" w:hAnsi="Arial" w:cs="Arial"/>
          <w:b/>
          <w:sz w:val="24"/>
          <w:szCs w:val="24"/>
        </w:rPr>
      </w:pPr>
    </w:p>
    <w:p w14:paraId="5A9A0527" w14:textId="77777777" w:rsidR="00E90DF9" w:rsidRPr="00F84E2A" w:rsidRDefault="00E90DF9" w:rsidP="006C4190">
      <w:pPr>
        <w:spacing w:after="0"/>
        <w:jc w:val="center"/>
        <w:rPr>
          <w:rFonts w:ascii="Arial" w:hAnsi="Arial" w:cs="Arial"/>
          <w:b/>
          <w:sz w:val="24"/>
          <w:szCs w:val="24"/>
        </w:rPr>
      </w:pPr>
    </w:p>
    <w:p w14:paraId="4CDC9EA3" w14:textId="77777777" w:rsidR="00E90DF9" w:rsidRPr="00F84E2A" w:rsidRDefault="00E90DF9" w:rsidP="006C4190">
      <w:pPr>
        <w:spacing w:after="0"/>
        <w:jc w:val="center"/>
        <w:rPr>
          <w:rFonts w:ascii="Arial" w:hAnsi="Arial" w:cs="Arial"/>
          <w:b/>
          <w:sz w:val="24"/>
          <w:szCs w:val="24"/>
        </w:rPr>
      </w:pPr>
    </w:p>
    <w:p w14:paraId="01179C4F" w14:textId="77777777" w:rsidR="00E90DF9" w:rsidRPr="00F84E2A" w:rsidRDefault="00E90DF9" w:rsidP="006C4190">
      <w:pPr>
        <w:keepNext/>
        <w:widowControl w:val="0"/>
        <w:spacing w:after="0"/>
        <w:jc w:val="center"/>
        <w:outlineLvl w:val="7"/>
        <w:rPr>
          <w:rFonts w:ascii="Arial" w:hAnsi="Arial" w:cs="Arial"/>
          <w:b/>
          <w:bCs/>
          <w:sz w:val="24"/>
          <w:szCs w:val="24"/>
        </w:rPr>
      </w:pPr>
    </w:p>
    <w:p w14:paraId="01D43C2C" w14:textId="77777777" w:rsidR="00E90DF9" w:rsidRPr="00F84E2A" w:rsidRDefault="00E90DF9" w:rsidP="006C4190">
      <w:pPr>
        <w:keepNext/>
        <w:widowControl w:val="0"/>
        <w:spacing w:after="0"/>
        <w:jc w:val="center"/>
        <w:outlineLvl w:val="7"/>
        <w:rPr>
          <w:rFonts w:ascii="Arial" w:hAnsi="Arial" w:cs="Arial"/>
          <w:b/>
          <w:bCs/>
          <w:color w:val="000000" w:themeColor="text1"/>
          <w:sz w:val="24"/>
          <w:szCs w:val="24"/>
        </w:rPr>
      </w:pPr>
    </w:p>
    <w:p w14:paraId="461523AD" w14:textId="77777777" w:rsidR="00E90DF9" w:rsidRPr="00F84E2A" w:rsidRDefault="00E90DF9" w:rsidP="006C4190">
      <w:pPr>
        <w:keepNext/>
        <w:widowControl w:val="0"/>
        <w:spacing w:after="0"/>
        <w:ind w:right="686"/>
        <w:jc w:val="right"/>
        <w:outlineLvl w:val="7"/>
        <w:rPr>
          <w:rFonts w:ascii="Arial" w:hAnsi="Arial" w:cs="Arial"/>
          <w:b/>
          <w:bCs/>
          <w:color w:val="000000" w:themeColor="text1"/>
          <w:sz w:val="24"/>
          <w:szCs w:val="24"/>
        </w:rPr>
      </w:pPr>
      <w:r w:rsidRPr="00F84E2A">
        <w:rPr>
          <w:rFonts w:ascii="Arial" w:hAnsi="Arial" w:cs="Arial"/>
          <w:b/>
          <w:bCs/>
          <w:color w:val="000000" w:themeColor="text1"/>
          <w:sz w:val="24"/>
          <w:szCs w:val="24"/>
        </w:rPr>
        <w:t>Presented by</w:t>
      </w:r>
    </w:p>
    <w:p w14:paraId="340671F6" w14:textId="785A2116" w:rsidR="00E90DF9" w:rsidRPr="00F84E2A" w:rsidRDefault="006726A1" w:rsidP="006C4190">
      <w:pPr>
        <w:spacing w:after="0"/>
        <w:ind w:right="686"/>
        <w:jc w:val="right"/>
        <w:rPr>
          <w:rFonts w:ascii="Arial" w:hAnsi="Arial" w:cs="Arial"/>
          <w:b/>
          <w:bCs/>
          <w:color w:val="000000" w:themeColor="text1"/>
          <w:sz w:val="24"/>
          <w:szCs w:val="24"/>
        </w:rPr>
      </w:pPr>
      <w:r w:rsidRPr="00F84E2A">
        <w:rPr>
          <w:rFonts w:ascii="Arial" w:hAnsi="Arial" w:cs="Arial"/>
          <w:b/>
          <w:bCs/>
          <w:color w:val="000000" w:themeColor="text1"/>
          <w:sz w:val="24"/>
          <w:szCs w:val="24"/>
        </w:rPr>
        <w:t>Tanya Cheyne</w:t>
      </w:r>
      <w:r w:rsidR="00E90DF9" w:rsidRPr="00F84E2A">
        <w:rPr>
          <w:rFonts w:ascii="Arial" w:hAnsi="Arial" w:cs="Arial"/>
          <w:b/>
          <w:bCs/>
          <w:color w:val="000000" w:themeColor="text1"/>
          <w:sz w:val="24"/>
          <w:szCs w:val="24"/>
        </w:rPr>
        <w:t xml:space="preserve"> MLA</w:t>
      </w:r>
    </w:p>
    <w:p w14:paraId="2B65FA14" w14:textId="166475AA" w:rsidR="00E90DF9" w:rsidRPr="00F84E2A" w:rsidRDefault="006726A1" w:rsidP="006C4190">
      <w:pPr>
        <w:spacing w:after="0"/>
        <w:ind w:right="686"/>
        <w:jc w:val="right"/>
        <w:rPr>
          <w:rFonts w:ascii="Arial" w:hAnsi="Arial" w:cs="Arial"/>
          <w:b/>
          <w:bCs/>
          <w:color w:val="000000" w:themeColor="text1"/>
          <w:sz w:val="24"/>
          <w:szCs w:val="24"/>
        </w:rPr>
      </w:pPr>
      <w:r w:rsidRPr="00F84E2A">
        <w:rPr>
          <w:rFonts w:ascii="Arial" w:hAnsi="Arial" w:cs="Arial"/>
          <w:b/>
          <w:bCs/>
          <w:color w:val="000000" w:themeColor="text1"/>
          <w:sz w:val="24"/>
          <w:szCs w:val="24"/>
        </w:rPr>
        <w:t>Attorney-General</w:t>
      </w:r>
    </w:p>
    <w:p w14:paraId="722CCE31" w14:textId="0AF06533" w:rsidR="00E90DF9" w:rsidRPr="006726A1" w:rsidRDefault="001B2E58" w:rsidP="006C4190">
      <w:pPr>
        <w:spacing w:after="0"/>
        <w:ind w:right="686"/>
        <w:jc w:val="right"/>
        <w:rPr>
          <w:rFonts w:ascii="Arial" w:hAnsi="Arial" w:cs="Arial"/>
          <w:b/>
          <w:bCs/>
          <w:color w:val="000000" w:themeColor="text1"/>
          <w:sz w:val="24"/>
          <w:szCs w:val="24"/>
        </w:rPr>
      </w:pPr>
      <w:r w:rsidRPr="00F84E2A">
        <w:rPr>
          <w:rFonts w:ascii="Arial" w:hAnsi="Arial" w:cs="Arial"/>
          <w:b/>
          <w:bCs/>
          <w:color w:val="000000" w:themeColor="text1"/>
          <w:sz w:val="24"/>
          <w:szCs w:val="24"/>
        </w:rPr>
        <w:t>February 2026</w:t>
      </w:r>
    </w:p>
    <w:p w14:paraId="764EA7E1" w14:textId="77777777" w:rsidR="00E90DF9" w:rsidRPr="006726A1" w:rsidRDefault="00E90DF9" w:rsidP="006C4190">
      <w:pPr>
        <w:spacing w:after="0"/>
        <w:rPr>
          <w:rFonts w:ascii="Arial" w:hAnsi="Arial" w:cs="Arial"/>
          <w:b/>
          <w:bCs/>
          <w:color w:val="000000" w:themeColor="text1"/>
          <w:sz w:val="24"/>
          <w:szCs w:val="24"/>
          <w:u w:val="single"/>
        </w:rPr>
        <w:sectPr w:rsidR="00E90DF9" w:rsidRPr="006726A1" w:rsidSect="00DC5912">
          <w:headerReference w:type="default"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428B67D0" w14:textId="1EB36AE3" w:rsidR="00E90DF9" w:rsidRPr="00BB387E" w:rsidRDefault="006726A1" w:rsidP="006C4190">
      <w:pPr>
        <w:pStyle w:val="Heading1"/>
        <w:spacing w:line="276" w:lineRule="auto"/>
        <w:jc w:val="center"/>
      </w:pPr>
      <w:bookmarkStart w:id="0" w:name="_Hlk194499762"/>
      <w:r>
        <w:lastRenderedPageBreak/>
        <w:t xml:space="preserve">JUSTICE AND COMMUNITY SAFETY LEGISLATION AMENDMENT BILL 2025 (NO </w:t>
      </w:r>
      <w:r w:rsidR="00BC122A">
        <w:t>3</w:t>
      </w:r>
      <w:r>
        <w:t>)</w:t>
      </w:r>
    </w:p>
    <w:bookmarkEnd w:id="0"/>
    <w:p w14:paraId="791A60D0" w14:textId="77777777" w:rsidR="00E90DF9" w:rsidRDefault="00E90DF9" w:rsidP="006C4190">
      <w:pPr>
        <w:spacing w:after="0"/>
        <w:contextualSpacing/>
        <w:rPr>
          <w:rFonts w:ascii="Arial" w:hAnsi="Arial" w:cs="Arial"/>
          <w:bCs/>
          <w:sz w:val="24"/>
          <w:szCs w:val="24"/>
        </w:rPr>
      </w:pPr>
    </w:p>
    <w:p w14:paraId="04010BFE" w14:textId="17A6D1E0" w:rsidR="00E90DF9" w:rsidRDefault="00E90DF9" w:rsidP="006C4190">
      <w:pPr>
        <w:spacing w:after="0"/>
        <w:contextualSpacing/>
        <w:rPr>
          <w:rFonts w:ascii="Arial" w:hAnsi="Arial" w:cs="Arial"/>
          <w:bCs/>
          <w:sz w:val="24"/>
          <w:szCs w:val="24"/>
        </w:rPr>
      </w:pPr>
      <w:r w:rsidRPr="006726A1">
        <w:rPr>
          <w:rFonts w:ascii="Arial" w:hAnsi="Arial" w:cs="Arial"/>
          <w:bCs/>
          <w:sz w:val="24"/>
          <w:szCs w:val="24"/>
        </w:rPr>
        <w:t xml:space="preserve">The Bill </w:t>
      </w:r>
      <w:r w:rsidR="006726A1" w:rsidRPr="006726A1">
        <w:rPr>
          <w:rFonts w:ascii="Arial" w:hAnsi="Arial" w:cs="Arial"/>
          <w:b/>
          <w:sz w:val="24"/>
          <w:szCs w:val="24"/>
        </w:rPr>
        <w:t xml:space="preserve">is </w:t>
      </w:r>
      <w:r w:rsidRPr="006726A1">
        <w:rPr>
          <w:rFonts w:ascii="Arial" w:hAnsi="Arial" w:cs="Arial"/>
          <w:b/>
          <w:sz w:val="24"/>
          <w:szCs w:val="24"/>
        </w:rPr>
        <w:t>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6C4190">
      <w:pPr>
        <w:spacing w:after="0"/>
        <w:contextualSpacing/>
        <w:rPr>
          <w:rFonts w:ascii="Arial" w:hAnsi="Arial" w:cs="Arial"/>
          <w:bCs/>
          <w:sz w:val="24"/>
          <w:szCs w:val="24"/>
        </w:rPr>
      </w:pPr>
    </w:p>
    <w:p w14:paraId="45FD4CA5" w14:textId="11063DA1" w:rsidR="006726A1" w:rsidRPr="00834FC9" w:rsidRDefault="006726A1" w:rsidP="006C4190">
      <w:pPr>
        <w:spacing w:after="0"/>
        <w:contextualSpacing/>
        <w:rPr>
          <w:rFonts w:ascii="Arial" w:hAnsi="Arial" w:cs="Arial"/>
          <w:bCs/>
          <w:sz w:val="24"/>
          <w:szCs w:val="24"/>
        </w:rPr>
      </w:pPr>
      <w:r>
        <w:rPr>
          <w:rFonts w:ascii="Arial" w:hAnsi="Arial" w:cs="Arial"/>
          <w:bCs/>
          <w:sz w:val="24"/>
          <w:szCs w:val="24"/>
        </w:rPr>
        <w:t xml:space="preserve">This explanatory statement relates to the Justice and Community Safety Legislation Amendment Bill 2025 </w:t>
      </w:r>
      <w:r w:rsidR="007027F4">
        <w:rPr>
          <w:rFonts w:ascii="Arial" w:hAnsi="Arial" w:cs="Arial"/>
          <w:bCs/>
          <w:sz w:val="24"/>
          <w:szCs w:val="24"/>
        </w:rPr>
        <w:t xml:space="preserve">(No </w:t>
      </w:r>
      <w:r w:rsidR="00BC122A">
        <w:rPr>
          <w:rFonts w:ascii="Arial" w:hAnsi="Arial" w:cs="Arial"/>
          <w:bCs/>
          <w:sz w:val="24"/>
          <w:szCs w:val="24"/>
        </w:rPr>
        <w:t>3</w:t>
      </w:r>
      <w:r w:rsidR="007027F4">
        <w:rPr>
          <w:rFonts w:ascii="Arial" w:hAnsi="Arial" w:cs="Arial"/>
          <w:bCs/>
          <w:sz w:val="24"/>
          <w:szCs w:val="24"/>
        </w:rPr>
        <w:t xml:space="preserve">) </w:t>
      </w:r>
      <w:r>
        <w:rPr>
          <w:rFonts w:ascii="Arial" w:hAnsi="Arial" w:cs="Arial"/>
          <w:bCs/>
          <w:sz w:val="24"/>
          <w:szCs w:val="24"/>
        </w:rPr>
        <w:t>as presented to the Legislative Assembly.</w:t>
      </w:r>
      <w:r w:rsidR="001035FC" w:rsidRPr="001035FC">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6C4190">
      <w:pPr>
        <w:spacing w:after="0"/>
        <w:rPr>
          <w:rFonts w:ascii="Arial" w:hAnsi="Arial" w:cs="Arial"/>
          <w:bCs/>
          <w:sz w:val="24"/>
          <w:szCs w:val="24"/>
          <w:highlight w:val="yellow"/>
        </w:rPr>
      </w:pPr>
    </w:p>
    <w:p w14:paraId="266B7B2E" w14:textId="77777777" w:rsidR="00E90DF9" w:rsidRDefault="00E90DF9" w:rsidP="006C4190">
      <w:pPr>
        <w:pStyle w:val="Heading2"/>
        <w:spacing w:line="276" w:lineRule="auto"/>
      </w:pPr>
      <w:r>
        <w:t>OVERVIEW OF THE BILL</w:t>
      </w:r>
    </w:p>
    <w:p w14:paraId="35743833" w14:textId="3BB4F9C1" w:rsidR="00770F50" w:rsidRPr="00770F50" w:rsidRDefault="001035FC" w:rsidP="006C4190">
      <w:pPr>
        <w:rPr>
          <w:rFonts w:ascii="Arial" w:hAnsi="Arial" w:cs="Arial"/>
          <w:sz w:val="24"/>
          <w:szCs w:val="24"/>
        </w:rPr>
      </w:pPr>
      <w:r w:rsidRPr="000D192F">
        <w:rPr>
          <w:rFonts w:ascii="Arial" w:hAnsi="Arial" w:cs="Arial"/>
          <w:sz w:val="24"/>
          <w:szCs w:val="24"/>
        </w:rPr>
        <w:t>The Bill is an omnibus bill which amends of the following legislation:</w:t>
      </w:r>
    </w:p>
    <w:p w14:paraId="2F59C5FD" w14:textId="75707434" w:rsidR="00770F50" w:rsidRPr="003D24D1"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ACT Civil and Administrative Tribunal Act </w:t>
      </w:r>
      <w:proofErr w:type="gramStart"/>
      <w:r w:rsidRPr="00770F50">
        <w:rPr>
          <w:rFonts w:ascii="Arial" w:hAnsi="Arial" w:cs="Arial"/>
          <w:i/>
          <w:iCs/>
          <w:sz w:val="24"/>
          <w:szCs w:val="24"/>
        </w:rPr>
        <w:t>2008;</w:t>
      </w:r>
      <w:proofErr w:type="gramEnd"/>
    </w:p>
    <w:p w14:paraId="220D3548"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Crimes Act </w:t>
      </w:r>
      <w:proofErr w:type="gramStart"/>
      <w:r w:rsidRPr="00770F50">
        <w:rPr>
          <w:rFonts w:ascii="Arial" w:hAnsi="Arial" w:cs="Arial"/>
          <w:i/>
          <w:iCs/>
          <w:sz w:val="24"/>
          <w:szCs w:val="24"/>
        </w:rPr>
        <w:t>1901;</w:t>
      </w:r>
      <w:proofErr w:type="gramEnd"/>
    </w:p>
    <w:p w14:paraId="6FC1D1BC"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Crimes (Sentencing) Act </w:t>
      </w:r>
      <w:proofErr w:type="gramStart"/>
      <w:r w:rsidRPr="00770F50">
        <w:rPr>
          <w:rFonts w:ascii="Arial" w:hAnsi="Arial" w:cs="Arial"/>
          <w:i/>
          <w:iCs/>
          <w:sz w:val="24"/>
          <w:szCs w:val="24"/>
        </w:rPr>
        <w:t>2005;</w:t>
      </w:r>
      <w:proofErr w:type="gramEnd"/>
    </w:p>
    <w:p w14:paraId="79981D8B"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Criminal Code </w:t>
      </w:r>
      <w:proofErr w:type="gramStart"/>
      <w:r w:rsidRPr="00770F50">
        <w:rPr>
          <w:rFonts w:ascii="Arial" w:hAnsi="Arial" w:cs="Arial"/>
          <w:i/>
          <w:iCs/>
          <w:sz w:val="24"/>
          <w:szCs w:val="24"/>
        </w:rPr>
        <w:t>2002;</w:t>
      </w:r>
      <w:proofErr w:type="gramEnd"/>
    </w:p>
    <w:p w14:paraId="5BB24E43"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Discrimination Act </w:t>
      </w:r>
      <w:proofErr w:type="gramStart"/>
      <w:r w:rsidRPr="00770F50">
        <w:rPr>
          <w:rFonts w:ascii="Arial" w:hAnsi="Arial" w:cs="Arial"/>
          <w:i/>
          <w:iCs/>
          <w:sz w:val="24"/>
          <w:szCs w:val="24"/>
        </w:rPr>
        <w:t>1991;</w:t>
      </w:r>
      <w:proofErr w:type="gramEnd"/>
      <w:r w:rsidRPr="00770F50">
        <w:rPr>
          <w:rFonts w:ascii="Arial" w:hAnsi="Arial" w:cs="Arial"/>
          <w:i/>
          <w:iCs/>
          <w:sz w:val="24"/>
          <w:szCs w:val="24"/>
        </w:rPr>
        <w:t xml:space="preserve"> </w:t>
      </w:r>
    </w:p>
    <w:p w14:paraId="6271486A"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Domestic Relationships Act </w:t>
      </w:r>
      <w:proofErr w:type="gramStart"/>
      <w:r w:rsidRPr="00770F50">
        <w:rPr>
          <w:rFonts w:ascii="Arial" w:hAnsi="Arial" w:cs="Arial"/>
          <w:i/>
          <w:iCs/>
          <w:sz w:val="24"/>
          <w:szCs w:val="24"/>
        </w:rPr>
        <w:t>1994;</w:t>
      </w:r>
      <w:proofErr w:type="gramEnd"/>
    </w:p>
    <w:p w14:paraId="2EF3EFD0"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Human Rights Commission Act </w:t>
      </w:r>
      <w:proofErr w:type="gramStart"/>
      <w:r w:rsidRPr="00770F50">
        <w:rPr>
          <w:rFonts w:ascii="Arial" w:hAnsi="Arial" w:cs="Arial"/>
          <w:i/>
          <w:iCs/>
          <w:sz w:val="24"/>
          <w:szCs w:val="24"/>
        </w:rPr>
        <w:t>2005;</w:t>
      </w:r>
      <w:proofErr w:type="gramEnd"/>
    </w:p>
    <w:p w14:paraId="5F43C837"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Legal Profession Act </w:t>
      </w:r>
      <w:proofErr w:type="gramStart"/>
      <w:r w:rsidRPr="00770F50">
        <w:rPr>
          <w:rFonts w:ascii="Arial" w:hAnsi="Arial" w:cs="Arial"/>
          <w:i/>
          <w:iCs/>
          <w:sz w:val="24"/>
          <w:szCs w:val="24"/>
        </w:rPr>
        <w:t>2006;</w:t>
      </w:r>
      <w:proofErr w:type="gramEnd"/>
    </w:p>
    <w:p w14:paraId="4664D506"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Legislation Act </w:t>
      </w:r>
      <w:proofErr w:type="gramStart"/>
      <w:r w:rsidRPr="00770F50">
        <w:rPr>
          <w:rFonts w:ascii="Arial" w:hAnsi="Arial" w:cs="Arial"/>
          <w:i/>
          <w:iCs/>
          <w:sz w:val="24"/>
          <w:szCs w:val="24"/>
        </w:rPr>
        <w:t>2001;</w:t>
      </w:r>
      <w:proofErr w:type="gramEnd"/>
    </w:p>
    <w:p w14:paraId="254D285D"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Major Events Act </w:t>
      </w:r>
      <w:proofErr w:type="gramStart"/>
      <w:r w:rsidRPr="00770F50">
        <w:rPr>
          <w:rFonts w:ascii="Arial" w:hAnsi="Arial" w:cs="Arial"/>
          <w:i/>
          <w:iCs/>
          <w:sz w:val="24"/>
          <w:szCs w:val="24"/>
        </w:rPr>
        <w:t>2014;</w:t>
      </w:r>
      <w:proofErr w:type="gramEnd"/>
    </w:p>
    <w:p w14:paraId="0373B417" w14:textId="74E2BAC1" w:rsidR="00770F50" w:rsidRPr="0076572F"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Official Visitor Act </w:t>
      </w:r>
      <w:proofErr w:type="gramStart"/>
      <w:r w:rsidRPr="00770F50">
        <w:rPr>
          <w:rFonts w:ascii="Arial" w:hAnsi="Arial" w:cs="Arial"/>
          <w:i/>
          <w:iCs/>
          <w:sz w:val="24"/>
          <w:szCs w:val="24"/>
        </w:rPr>
        <w:t>2012</w:t>
      </w:r>
      <w:r w:rsidRPr="0076572F">
        <w:rPr>
          <w:rFonts w:ascii="Arial" w:hAnsi="Arial" w:cs="Arial"/>
          <w:i/>
          <w:iCs/>
          <w:sz w:val="24"/>
          <w:szCs w:val="24"/>
        </w:rPr>
        <w:t>;</w:t>
      </w:r>
      <w:proofErr w:type="gramEnd"/>
      <w:r w:rsidRPr="0076572F">
        <w:rPr>
          <w:rFonts w:ascii="Arial" w:hAnsi="Arial" w:cs="Arial"/>
          <w:i/>
          <w:iCs/>
          <w:sz w:val="24"/>
          <w:szCs w:val="24"/>
        </w:rPr>
        <w:t xml:space="preserve"> </w:t>
      </w:r>
    </w:p>
    <w:p w14:paraId="08D07C93"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Wills Act 1968; </w:t>
      </w:r>
      <w:r w:rsidRPr="00770F50">
        <w:rPr>
          <w:rFonts w:ascii="Arial" w:hAnsi="Arial" w:cs="Arial"/>
          <w:sz w:val="24"/>
          <w:szCs w:val="24"/>
        </w:rPr>
        <w:t>and</w:t>
      </w:r>
    </w:p>
    <w:p w14:paraId="78D973BD" w14:textId="4C8382BB"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Working with Vulnerable People (Background Checking) Act 2011.</w:t>
      </w:r>
    </w:p>
    <w:p w14:paraId="1729BEB9" w14:textId="77777777" w:rsidR="00C058DF" w:rsidRDefault="00C058DF" w:rsidP="006C4190">
      <w:pPr>
        <w:rPr>
          <w:rFonts w:ascii="Arial" w:hAnsi="Arial" w:cs="Arial"/>
          <w:i/>
          <w:iCs/>
          <w:sz w:val="24"/>
          <w:szCs w:val="24"/>
        </w:rPr>
      </w:pPr>
    </w:p>
    <w:p w14:paraId="2B6365D7" w14:textId="1EF0CE5E" w:rsidR="001035FC" w:rsidRDefault="001035FC" w:rsidP="006C4190">
      <w:pPr>
        <w:rPr>
          <w:rFonts w:ascii="Arial" w:hAnsi="Arial" w:cs="Arial"/>
          <w:sz w:val="24"/>
          <w:szCs w:val="24"/>
        </w:rPr>
      </w:pPr>
      <w:r>
        <w:rPr>
          <w:rFonts w:ascii="Arial" w:hAnsi="Arial" w:cs="Arial"/>
          <w:sz w:val="24"/>
          <w:szCs w:val="24"/>
        </w:rPr>
        <w:t xml:space="preserve">The Bill </w:t>
      </w:r>
      <w:r w:rsidR="00451D67">
        <w:rPr>
          <w:rFonts w:ascii="Arial" w:hAnsi="Arial" w:cs="Arial"/>
          <w:sz w:val="24"/>
          <w:szCs w:val="24"/>
        </w:rPr>
        <w:t>will improve</w:t>
      </w:r>
      <w:r>
        <w:rPr>
          <w:rFonts w:ascii="Arial" w:hAnsi="Arial" w:cs="Arial"/>
          <w:sz w:val="24"/>
          <w:szCs w:val="24"/>
        </w:rPr>
        <w:t xml:space="preserve"> the ACT’s justice and community safety legislation, to ensure that it is of the highest standards, </w:t>
      </w:r>
      <w:r w:rsidR="00DB05D2">
        <w:rPr>
          <w:rFonts w:ascii="Arial" w:hAnsi="Arial" w:cs="Arial"/>
          <w:sz w:val="24"/>
          <w:szCs w:val="24"/>
        </w:rPr>
        <w:t xml:space="preserve">facilitates the </w:t>
      </w:r>
      <w:r>
        <w:rPr>
          <w:rFonts w:ascii="Arial" w:hAnsi="Arial" w:cs="Arial"/>
          <w:sz w:val="24"/>
          <w:szCs w:val="24"/>
        </w:rPr>
        <w:t>practical</w:t>
      </w:r>
      <w:r w:rsidR="00DB05D2">
        <w:rPr>
          <w:rFonts w:ascii="Arial" w:hAnsi="Arial" w:cs="Arial"/>
          <w:sz w:val="24"/>
          <w:szCs w:val="24"/>
        </w:rPr>
        <w:t xml:space="preserve"> operations of justice sector agencies</w:t>
      </w:r>
      <w:r>
        <w:rPr>
          <w:rFonts w:ascii="Arial" w:hAnsi="Arial" w:cs="Arial"/>
          <w:sz w:val="24"/>
          <w:szCs w:val="24"/>
        </w:rPr>
        <w:t xml:space="preserve"> and</w:t>
      </w:r>
      <w:r w:rsidR="00DB05D2">
        <w:rPr>
          <w:rFonts w:ascii="Arial" w:hAnsi="Arial" w:cs="Arial"/>
          <w:sz w:val="24"/>
          <w:szCs w:val="24"/>
        </w:rPr>
        <w:t xml:space="preserve"> best supports and</w:t>
      </w:r>
      <w:r>
        <w:rPr>
          <w:rFonts w:ascii="Arial" w:hAnsi="Arial" w:cs="Arial"/>
          <w:sz w:val="24"/>
          <w:szCs w:val="24"/>
        </w:rPr>
        <w:t xml:space="preserve"> protects the ACT community. </w:t>
      </w:r>
    </w:p>
    <w:p w14:paraId="237C2F6C" w14:textId="5809DDD3" w:rsidR="00770F50" w:rsidRPr="00770F50" w:rsidRDefault="00085C1E" w:rsidP="006C4190">
      <w:pPr>
        <w:rPr>
          <w:rFonts w:ascii="Arial" w:hAnsi="Arial" w:cs="Arial"/>
          <w:sz w:val="24"/>
          <w:szCs w:val="24"/>
        </w:rPr>
      </w:pPr>
      <w:r w:rsidRPr="00085C1E">
        <w:rPr>
          <w:rFonts w:ascii="Arial" w:hAnsi="Arial" w:cs="Arial"/>
          <w:sz w:val="24"/>
          <w:szCs w:val="24"/>
        </w:rPr>
        <w:t>In particular, the Bill will improve governance and institutions by amending:</w:t>
      </w:r>
    </w:p>
    <w:p w14:paraId="1955627F" w14:textId="59B91707" w:rsidR="00770F50" w:rsidRPr="00770F50" w:rsidRDefault="00770F50" w:rsidP="006C4190">
      <w:pPr>
        <w:pStyle w:val="CS-Paragraphnumbering"/>
        <w:numPr>
          <w:ilvl w:val="1"/>
          <w:numId w:val="31"/>
        </w:numPr>
        <w:rPr>
          <w:rFonts w:ascii="Arial" w:hAnsi="Arial" w:cs="Arial"/>
        </w:rPr>
      </w:pPr>
      <w:r w:rsidRPr="00770F50">
        <w:rPr>
          <w:rFonts w:ascii="Arial" w:hAnsi="Arial" w:cs="Arial"/>
        </w:rPr>
        <w:t>the</w:t>
      </w:r>
      <w:r w:rsidRPr="00770F50">
        <w:rPr>
          <w:rFonts w:ascii="Arial" w:hAnsi="Arial" w:cs="Arial"/>
          <w:i/>
          <w:iCs/>
        </w:rPr>
        <w:t xml:space="preserve"> ACT Civil and Administrative Tribunal Act 2008 </w:t>
      </w:r>
      <w:r w:rsidRPr="00770F50">
        <w:rPr>
          <w:rFonts w:ascii="Arial" w:hAnsi="Arial" w:cs="Arial"/>
        </w:rPr>
        <w:t>and the</w:t>
      </w:r>
      <w:r w:rsidRPr="00770F50">
        <w:rPr>
          <w:rFonts w:ascii="Arial" w:hAnsi="Arial" w:cs="Arial"/>
          <w:i/>
          <w:iCs/>
        </w:rPr>
        <w:t xml:space="preserve"> Human Rights Commission Act 2005 </w:t>
      </w:r>
      <w:r w:rsidRPr="00770F50">
        <w:rPr>
          <w:rFonts w:ascii="Arial" w:hAnsi="Arial" w:cs="Arial"/>
        </w:rPr>
        <w:t>to improve the handling of matters before the ACT C</w:t>
      </w:r>
      <w:r w:rsidR="00717AEE">
        <w:rPr>
          <w:rFonts w:ascii="Arial" w:hAnsi="Arial" w:cs="Arial"/>
        </w:rPr>
        <w:t>i</w:t>
      </w:r>
      <w:r w:rsidRPr="00770F50">
        <w:rPr>
          <w:rFonts w:ascii="Arial" w:hAnsi="Arial" w:cs="Arial"/>
        </w:rPr>
        <w:t xml:space="preserve">vil and Administrative Tribunal (ACAT) and the ACT Human Rights </w:t>
      </w:r>
      <w:proofErr w:type="gramStart"/>
      <w:r w:rsidRPr="00770F50">
        <w:rPr>
          <w:rFonts w:ascii="Arial" w:hAnsi="Arial" w:cs="Arial"/>
        </w:rPr>
        <w:t>Commission;</w:t>
      </w:r>
      <w:proofErr w:type="gramEnd"/>
    </w:p>
    <w:p w14:paraId="3A43B201" w14:textId="77777777" w:rsidR="00770F50" w:rsidRPr="00770F50" w:rsidRDefault="00770F50" w:rsidP="006C4190">
      <w:pPr>
        <w:pStyle w:val="CS-Paragraphnumbering"/>
        <w:numPr>
          <w:ilvl w:val="1"/>
          <w:numId w:val="31"/>
        </w:numPr>
        <w:rPr>
          <w:rFonts w:ascii="Arial" w:hAnsi="Arial" w:cs="Arial"/>
        </w:rPr>
      </w:pPr>
      <w:r w:rsidRPr="00770F50">
        <w:rPr>
          <w:rFonts w:ascii="Arial" w:hAnsi="Arial" w:cs="Arial"/>
        </w:rPr>
        <w:t>the</w:t>
      </w:r>
      <w:r w:rsidRPr="00770F50">
        <w:rPr>
          <w:rFonts w:ascii="Arial" w:hAnsi="Arial" w:cs="Arial"/>
          <w:i/>
          <w:iCs/>
        </w:rPr>
        <w:t xml:space="preserve"> Legal Profession Act 2006 </w:t>
      </w:r>
      <w:r w:rsidRPr="00770F50">
        <w:rPr>
          <w:rFonts w:ascii="Arial" w:hAnsi="Arial" w:cs="Arial"/>
        </w:rPr>
        <w:t xml:space="preserve">to provide more effective and appropriate remedies for unsatisfactory professional conduct of legal </w:t>
      </w:r>
      <w:proofErr w:type="gramStart"/>
      <w:r w:rsidRPr="00770F50">
        <w:rPr>
          <w:rFonts w:ascii="Arial" w:hAnsi="Arial" w:cs="Arial"/>
        </w:rPr>
        <w:t>practitioners;</w:t>
      </w:r>
      <w:proofErr w:type="gramEnd"/>
      <w:r w:rsidRPr="00770F50">
        <w:rPr>
          <w:rFonts w:ascii="Arial" w:hAnsi="Arial" w:cs="Arial"/>
        </w:rPr>
        <w:t xml:space="preserve"> </w:t>
      </w:r>
    </w:p>
    <w:p w14:paraId="646F9DC9" w14:textId="0AFF4605" w:rsidR="00770F50" w:rsidRPr="00923632" w:rsidRDefault="00770F50" w:rsidP="00923632">
      <w:pPr>
        <w:pStyle w:val="CS-Paragraphnumbering"/>
        <w:numPr>
          <w:ilvl w:val="1"/>
          <w:numId w:val="31"/>
        </w:numPr>
        <w:rPr>
          <w:rFonts w:ascii="Arial" w:hAnsi="Arial" w:cs="Arial"/>
        </w:rPr>
      </w:pPr>
      <w:r w:rsidRPr="00770F50">
        <w:rPr>
          <w:rFonts w:ascii="Arial" w:hAnsi="Arial" w:cs="Arial"/>
        </w:rPr>
        <w:lastRenderedPageBreak/>
        <w:t xml:space="preserve">the </w:t>
      </w:r>
      <w:r w:rsidRPr="00770F50">
        <w:rPr>
          <w:rFonts w:ascii="Arial" w:hAnsi="Arial" w:cs="Arial"/>
          <w:i/>
          <w:iCs/>
        </w:rPr>
        <w:t xml:space="preserve">Official Visitor Act 2012 </w:t>
      </w:r>
      <w:r w:rsidR="00923632" w:rsidRPr="00923632">
        <w:rPr>
          <w:rFonts w:ascii="Arial" w:hAnsi="Arial" w:cs="Arial"/>
        </w:rPr>
        <w:t xml:space="preserve">to clarify the eligibility requirements for the appointment of Official Visitors and their </w:t>
      </w:r>
      <w:proofErr w:type="gramStart"/>
      <w:r w:rsidR="00923632" w:rsidRPr="00923632">
        <w:rPr>
          <w:rFonts w:ascii="Arial" w:hAnsi="Arial" w:cs="Arial"/>
        </w:rPr>
        <w:t>conflict of interest</w:t>
      </w:r>
      <w:proofErr w:type="gramEnd"/>
      <w:r w:rsidR="00923632" w:rsidRPr="00923632">
        <w:rPr>
          <w:rFonts w:ascii="Arial" w:hAnsi="Arial" w:cs="Arial"/>
        </w:rPr>
        <w:t xml:space="preserve"> obligations, and to validate the appointment of an Official Visitor</w:t>
      </w:r>
      <w:r w:rsidR="00923632">
        <w:rPr>
          <w:rFonts w:ascii="Arial" w:hAnsi="Arial" w:cs="Arial"/>
        </w:rPr>
        <w:t xml:space="preserve">; </w:t>
      </w:r>
      <w:r w:rsidRPr="00923632">
        <w:rPr>
          <w:rFonts w:ascii="Arial" w:hAnsi="Arial" w:cs="Arial"/>
        </w:rPr>
        <w:t>and</w:t>
      </w:r>
    </w:p>
    <w:p w14:paraId="29050F0C" w14:textId="77777777" w:rsidR="00770F50" w:rsidRPr="00770F50" w:rsidRDefault="00770F50" w:rsidP="006C4190">
      <w:pPr>
        <w:pStyle w:val="CS-Paragraphnumbering"/>
        <w:numPr>
          <w:ilvl w:val="1"/>
          <w:numId w:val="31"/>
        </w:numPr>
        <w:rPr>
          <w:rFonts w:ascii="Arial" w:hAnsi="Arial" w:cs="Arial"/>
          <w:i/>
          <w:iCs/>
        </w:rPr>
      </w:pPr>
      <w:r w:rsidRPr="00770F50">
        <w:rPr>
          <w:rFonts w:ascii="Arial" w:hAnsi="Arial" w:cs="Arial"/>
        </w:rPr>
        <w:t xml:space="preserve">the </w:t>
      </w:r>
      <w:r w:rsidRPr="00770F50">
        <w:rPr>
          <w:rFonts w:ascii="Arial" w:hAnsi="Arial" w:cs="Arial"/>
          <w:i/>
          <w:iCs/>
        </w:rPr>
        <w:t xml:space="preserve">Wills Act 1968 </w:t>
      </w:r>
      <w:r w:rsidRPr="00770F50">
        <w:rPr>
          <w:rFonts w:ascii="Arial" w:hAnsi="Arial" w:cs="Arial"/>
        </w:rPr>
        <w:t>to facilitate the effective management of the centralised will register for the ACT.</w:t>
      </w:r>
    </w:p>
    <w:p w14:paraId="0124D030" w14:textId="090425FA" w:rsidR="00085C1E" w:rsidRPr="00085C1E" w:rsidRDefault="00085C1E" w:rsidP="006C4190">
      <w:pPr>
        <w:pStyle w:val="CS-Paragraphnumbering"/>
        <w:rPr>
          <w:rFonts w:ascii="Arial" w:hAnsi="Arial" w:cs="Arial"/>
        </w:rPr>
      </w:pPr>
      <w:r w:rsidRPr="00085C1E">
        <w:rPr>
          <w:rFonts w:ascii="Arial" w:hAnsi="Arial" w:cs="Arial"/>
        </w:rPr>
        <w:t xml:space="preserve">The Bill </w:t>
      </w:r>
      <w:r>
        <w:rPr>
          <w:rFonts w:ascii="Arial" w:hAnsi="Arial" w:cs="Arial"/>
        </w:rPr>
        <w:t xml:space="preserve">will </w:t>
      </w:r>
      <w:r w:rsidRPr="00085C1E">
        <w:rPr>
          <w:rFonts w:ascii="Arial" w:hAnsi="Arial" w:cs="Arial"/>
        </w:rPr>
        <w:t>improve</w:t>
      </w:r>
      <w:r>
        <w:rPr>
          <w:rFonts w:ascii="Arial" w:hAnsi="Arial" w:cs="Arial"/>
        </w:rPr>
        <w:t xml:space="preserve"> </w:t>
      </w:r>
      <w:r w:rsidRPr="00085C1E">
        <w:rPr>
          <w:rFonts w:ascii="Arial" w:hAnsi="Arial" w:cs="Arial"/>
        </w:rPr>
        <w:t xml:space="preserve">community safety by amending: </w:t>
      </w:r>
    </w:p>
    <w:p w14:paraId="0D1431A6"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Discrimination Act 1991 </w:t>
      </w:r>
      <w:r w:rsidRPr="00770F50">
        <w:rPr>
          <w:rFonts w:ascii="Arial" w:hAnsi="Arial" w:cs="Arial"/>
        </w:rPr>
        <w:t xml:space="preserve">and </w:t>
      </w:r>
      <w:r w:rsidRPr="00770F50">
        <w:rPr>
          <w:rFonts w:ascii="Arial" w:hAnsi="Arial" w:cs="Arial"/>
          <w:i/>
          <w:iCs/>
        </w:rPr>
        <w:t xml:space="preserve">Criminal Code 2002 </w:t>
      </w:r>
      <w:r w:rsidRPr="00770F50">
        <w:rPr>
          <w:rFonts w:ascii="Arial" w:hAnsi="Arial" w:cs="Arial"/>
        </w:rPr>
        <w:t xml:space="preserve">to expand protections against vilification and serious </w:t>
      </w:r>
      <w:proofErr w:type="gramStart"/>
      <w:r w:rsidRPr="00770F50">
        <w:rPr>
          <w:rFonts w:ascii="Arial" w:hAnsi="Arial" w:cs="Arial"/>
        </w:rPr>
        <w:t>vilification;</w:t>
      </w:r>
      <w:proofErr w:type="gramEnd"/>
    </w:p>
    <w:p w14:paraId="5AC16D11"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Discrimination Act 1991 </w:t>
      </w:r>
      <w:r w:rsidRPr="00770F50">
        <w:rPr>
          <w:rFonts w:ascii="Arial" w:hAnsi="Arial" w:cs="Arial"/>
        </w:rPr>
        <w:t xml:space="preserve">and </w:t>
      </w:r>
      <w:r w:rsidRPr="00770F50">
        <w:rPr>
          <w:rFonts w:ascii="Arial" w:hAnsi="Arial" w:cs="Arial"/>
          <w:i/>
          <w:iCs/>
        </w:rPr>
        <w:t xml:space="preserve">Crimes Act 1901 </w:t>
      </w:r>
      <w:r w:rsidRPr="00770F50">
        <w:rPr>
          <w:rFonts w:ascii="Arial" w:hAnsi="Arial" w:cs="Arial"/>
        </w:rPr>
        <w:t xml:space="preserve">(including consequential amendments to references to offences in the </w:t>
      </w:r>
      <w:r w:rsidRPr="00770F50">
        <w:rPr>
          <w:rFonts w:ascii="Arial" w:hAnsi="Arial" w:cs="Arial"/>
          <w:i/>
          <w:iCs/>
        </w:rPr>
        <w:t xml:space="preserve">Working with Vulnerable People (Background Checking) Act 2011 </w:t>
      </w:r>
      <w:r w:rsidRPr="00770F50">
        <w:rPr>
          <w:rFonts w:ascii="Arial" w:hAnsi="Arial" w:cs="Arial"/>
        </w:rPr>
        <w:t xml:space="preserve">and the </w:t>
      </w:r>
      <w:r w:rsidRPr="00770F50">
        <w:rPr>
          <w:rFonts w:ascii="Arial" w:hAnsi="Arial" w:cs="Arial"/>
          <w:i/>
          <w:iCs/>
        </w:rPr>
        <w:t>Crimes (Sentencing) Act 2005</w:t>
      </w:r>
      <w:r w:rsidRPr="00770F50">
        <w:rPr>
          <w:rFonts w:ascii="Arial" w:hAnsi="Arial" w:cs="Arial"/>
        </w:rPr>
        <w:t>)</w:t>
      </w:r>
      <w:r w:rsidRPr="00770F50">
        <w:rPr>
          <w:rFonts w:ascii="Arial" w:hAnsi="Arial" w:cs="Arial"/>
          <w:i/>
          <w:iCs/>
        </w:rPr>
        <w:t xml:space="preserve"> </w:t>
      </w:r>
      <w:r w:rsidRPr="00770F50">
        <w:rPr>
          <w:rFonts w:ascii="Arial" w:hAnsi="Arial" w:cs="Arial"/>
        </w:rPr>
        <w:t xml:space="preserve">to ensure protections apply to all pregnant </w:t>
      </w:r>
      <w:proofErr w:type="gramStart"/>
      <w:r w:rsidRPr="00770F50">
        <w:rPr>
          <w:rFonts w:ascii="Arial" w:hAnsi="Arial" w:cs="Arial"/>
        </w:rPr>
        <w:t>people;</w:t>
      </w:r>
      <w:proofErr w:type="gramEnd"/>
    </w:p>
    <w:p w14:paraId="4982151E"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Major Events Act 2014 </w:t>
      </w:r>
      <w:r w:rsidRPr="00770F50">
        <w:rPr>
          <w:rFonts w:ascii="Arial" w:hAnsi="Arial" w:cs="Arial"/>
        </w:rPr>
        <w:t>to ensure safer management of major events; and</w:t>
      </w:r>
    </w:p>
    <w:p w14:paraId="7FFDE978" w14:textId="69B83393" w:rsidR="00FE340E" w:rsidRPr="00770F50" w:rsidRDefault="00FE340E" w:rsidP="006C4190">
      <w:pPr>
        <w:pStyle w:val="CS-Paragraphnumbering"/>
        <w:numPr>
          <w:ilvl w:val="1"/>
          <w:numId w:val="32"/>
        </w:numPr>
        <w:rPr>
          <w:rFonts w:ascii="Arial" w:hAnsi="Arial" w:cs="Arial"/>
          <w:i/>
          <w:iCs/>
        </w:rPr>
      </w:pPr>
      <w:r w:rsidRPr="30A339FF">
        <w:rPr>
          <w:rFonts w:ascii="Arial" w:hAnsi="Arial" w:cs="Arial"/>
        </w:rPr>
        <w:t xml:space="preserve">the </w:t>
      </w:r>
      <w:r w:rsidRPr="30A339FF">
        <w:rPr>
          <w:rFonts w:ascii="Arial" w:hAnsi="Arial" w:cs="Arial"/>
          <w:i/>
          <w:iCs/>
        </w:rPr>
        <w:t>Working with Vulnerable People (Background Checking) Act 2011</w:t>
      </w:r>
      <w:r w:rsidRPr="30A339FF">
        <w:rPr>
          <w:rFonts w:ascii="Arial" w:hAnsi="Arial" w:cs="Arial"/>
        </w:rPr>
        <w:t xml:space="preserve"> to strengthen the protection of children in early education and care settings by enabling better information sharing between Access Canberra and the national body</w:t>
      </w:r>
      <w:r w:rsidR="00D35BCF">
        <w:rPr>
          <w:rFonts w:ascii="Arial" w:hAnsi="Arial" w:cs="Arial"/>
        </w:rPr>
        <w:t xml:space="preserve"> responsible for the national register of individuals subject to prohibition notices.</w:t>
      </w:r>
    </w:p>
    <w:p w14:paraId="5FEEA33A" w14:textId="7977AEC1" w:rsidR="00770F50" w:rsidRPr="00770F50" w:rsidRDefault="00770F50" w:rsidP="006C4190">
      <w:pPr>
        <w:pStyle w:val="CS-Paragraphnumbering"/>
        <w:rPr>
          <w:rFonts w:ascii="Arial" w:hAnsi="Arial" w:cs="Arial"/>
        </w:rPr>
      </w:pPr>
      <w:r w:rsidRPr="00770F50">
        <w:rPr>
          <w:rFonts w:ascii="Arial" w:hAnsi="Arial" w:cs="Arial"/>
        </w:rPr>
        <w:t>The Bill will also improve identity and belonging by amending:</w:t>
      </w:r>
    </w:p>
    <w:p w14:paraId="5C536EDD" w14:textId="4BD80B88" w:rsidR="00085C1E" w:rsidRPr="00264DE1" w:rsidRDefault="00770F50" w:rsidP="006C4190">
      <w:pPr>
        <w:pStyle w:val="CS-Paragraphnumbering"/>
        <w:numPr>
          <w:ilvl w:val="1"/>
          <w:numId w:val="32"/>
        </w:numPr>
        <w:rPr>
          <w:rFonts w:ascii="Arial" w:hAnsi="Arial" w:cs="Arial"/>
          <w:i/>
          <w:iCs/>
        </w:rPr>
      </w:pPr>
      <w:r w:rsidRPr="00770F50">
        <w:rPr>
          <w:rFonts w:ascii="Arial" w:hAnsi="Arial" w:cs="Arial"/>
        </w:rPr>
        <w:t>the</w:t>
      </w:r>
      <w:r w:rsidRPr="00770F50">
        <w:rPr>
          <w:rFonts w:ascii="Arial" w:hAnsi="Arial" w:cs="Arial"/>
          <w:i/>
          <w:iCs/>
        </w:rPr>
        <w:t xml:space="preserve"> Domestic Relationships Act 1994 </w:t>
      </w:r>
      <w:r w:rsidRPr="00770F50">
        <w:rPr>
          <w:rFonts w:ascii="Arial" w:hAnsi="Arial" w:cs="Arial"/>
        </w:rPr>
        <w:t xml:space="preserve">and </w:t>
      </w:r>
      <w:r w:rsidRPr="00770F50">
        <w:rPr>
          <w:rFonts w:ascii="Arial" w:hAnsi="Arial" w:cs="Arial"/>
          <w:i/>
          <w:iCs/>
        </w:rPr>
        <w:t xml:space="preserve">Legislation Act 2001 </w:t>
      </w:r>
      <w:r w:rsidRPr="00770F50">
        <w:rPr>
          <w:rFonts w:ascii="Arial" w:hAnsi="Arial" w:cs="Arial"/>
        </w:rPr>
        <w:t xml:space="preserve">to make references to domestic </w:t>
      </w:r>
      <w:r>
        <w:rPr>
          <w:rFonts w:ascii="Arial" w:hAnsi="Arial" w:cs="Arial"/>
        </w:rPr>
        <w:t xml:space="preserve">partnership </w:t>
      </w:r>
      <w:r w:rsidRPr="00770F50">
        <w:rPr>
          <w:rFonts w:ascii="Arial" w:hAnsi="Arial" w:cs="Arial"/>
        </w:rPr>
        <w:t>and civil partnerships more inclusive.</w:t>
      </w:r>
    </w:p>
    <w:p w14:paraId="59521E13" w14:textId="77777777" w:rsidR="00264DE1" w:rsidRPr="00770F50" w:rsidRDefault="00264DE1" w:rsidP="006C4190">
      <w:pPr>
        <w:pStyle w:val="CS-Paragraphnumbering"/>
        <w:rPr>
          <w:rFonts w:ascii="Arial" w:hAnsi="Arial" w:cs="Arial"/>
          <w:i/>
          <w:iCs/>
        </w:rPr>
      </w:pPr>
    </w:p>
    <w:p w14:paraId="25E5EC3A" w14:textId="12623337" w:rsidR="00E90DF9" w:rsidRDefault="00E90DF9" w:rsidP="006C4190">
      <w:pPr>
        <w:rPr>
          <w:rFonts w:ascii="Arial" w:hAnsi="Arial" w:cs="Arial"/>
          <w:b/>
          <w:sz w:val="24"/>
          <w:szCs w:val="24"/>
        </w:rPr>
      </w:pPr>
      <w:r w:rsidRPr="00AC59DF">
        <w:rPr>
          <w:rFonts w:ascii="Arial" w:hAnsi="Arial" w:cs="Arial"/>
          <w:b/>
          <w:sz w:val="24"/>
          <w:szCs w:val="24"/>
        </w:rPr>
        <w:t>CONSULTATION ON THE PROPOSED APPROACH</w:t>
      </w:r>
    </w:p>
    <w:p w14:paraId="732C5C22" w14:textId="75EDABC8" w:rsidR="000D192F" w:rsidRDefault="003B09DC" w:rsidP="006C4190">
      <w:pPr>
        <w:rPr>
          <w:rFonts w:ascii="Arial" w:hAnsi="Arial" w:cs="Arial"/>
          <w:sz w:val="24"/>
          <w:szCs w:val="24"/>
        </w:rPr>
      </w:pPr>
      <w:r w:rsidRPr="000D192F">
        <w:rPr>
          <w:rFonts w:ascii="Arial" w:hAnsi="Arial" w:cs="Arial"/>
          <w:sz w:val="24"/>
          <w:szCs w:val="24"/>
        </w:rPr>
        <w:t xml:space="preserve">The amendments in the Bill were developed in targeted consultation within Government and with relevant stakeholders where appropriate. In some cases, minor and technical </w:t>
      </w:r>
      <w:r w:rsidRPr="00763534">
        <w:rPr>
          <w:rFonts w:ascii="Arial" w:hAnsi="Arial" w:cs="Arial"/>
          <w:sz w:val="24"/>
          <w:szCs w:val="24"/>
        </w:rPr>
        <w:t>amendments were identified by the Government agency that administers or operates under the relevant Act, or by key stakeholders in the relevant sector.</w:t>
      </w:r>
      <w:r w:rsidRPr="000D192F">
        <w:rPr>
          <w:rFonts w:ascii="Arial" w:hAnsi="Arial" w:cs="Arial"/>
          <w:sz w:val="24"/>
          <w:szCs w:val="24"/>
        </w:rPr>
        <w:t xml:space="preserve">  </w:t>
      </w:r>
    </w:p>
    <w:p w14:paraId="5E434465" w14:textId="2AF16BCC" w:rsidR="00E70D0A" w:rsidRPr="00E70D0A" w:rsidRDefault="00E70D0A" w:rsidP="006C4190">
      <w:pPr>
        <w:rPr>
          <w:rFonts w:ascii="Arial" w:hAnsi="Arial" w:cs="Arial"/>
          <w:i/>
          <w:iCs/>
          <w:sz w:val="24"/>
          <w:szCs w:val="24"/>
        </w:rPr>
      </w:pPr>
      <w:r>
        <w:rPr>
          <w:rFonts w:ascii="Arial" w:hAnsi="Arial" w:cs="Arial"/>
          <w:i/>
          <w:iCs/>
          <w:sz w:val="24"/>
          <w:szCs w:val="24"/>
        </w:rPr>
        <w:t xml:space="preserve">Internal consultation </w:t>
      </w:r>
    </w:p>
    <w:p w14:paraId="74C20E35" w14:textId="16D08E15" w:rsidR="00907DA3" w:rsidRPr="00A84493" w:rsidRDefault="00907DA3" w:rsidP="006C4190">
      <w:pPr>
        <w:pStyle w:val="ListParagraph"/>
        <w:numPr>
          <w:ilvl w:val="1"/>
          <w:numId w:val="32"/>
        </w:numPr>
        <w:spacing w:line="276" w:lineRule="auto"/>
        <w:rPr>
          <w:rFonts w:ascii="Arial" w:hAnsi="Arial" w:cs="Arial"/>
          <w:sz w:val="24"/>
          <w:szCs w:val="24"/>
        </w:rPr>
      </w:pPr>
      <w:bookmarkStart w:id="1" w:name="_Hlk192770781"/>
      <w:r w:rsidRPr="00A84493">
        <w:rPr>
          <w:rFonts w:ascii="Arial" w:hAnsi="Arial" w:cs="Arial"/>
          <w:sz w:val="24"/>
          <w:szCs w:val="24"/>
        </w:rPr>
        <w:t>The Office of LGBTI</w:t>
      </w:r>
      <w:r w:rsidR="00605FF3">
        <w:rPr>
          <w:rFonts w:ascii="Arial" w:hAnsi="Arial" w:cs="Arial"/>
          <w:sz w:val="24"/>
          <w:szCs w:val="24"/>
        </w:rPr>
        <w:t>Q</w:t>
      </w:r>
      <w:r w:rsidRPr="00A84493">
        <w:rPr>
          <w:rFonts w:ascii="Arial" w:hAnsi="Arial" w:cs="Arial"/>
          <w:sz w:val="24"/>
          <w:szCs w:val="24"/>
        </w:rPr>
        <w:t xml:space="preserve">A+ Affairs was consulted on </w:t>
      </w:r>
      <w:r w:rsidR="00717AEE">
        <w:rPr>
          <w:rFonts w:ascii="Arial" w:hAnsi="Arial" w:cs="Arial"/>
          <w:sz w:val="24"/>
          <w:szCs w:val="24"/>
        </w:rPr>
        <w:t>the vilification</w:t>
      </w:r>
      <w:r w:rsidR="005834A2">
        <w:rPr>
          <w:rFonts w:ascii="Arial" w:hAnsi="Arial" w:cs="Arial"/>
          <w:sz w:val="24"/>
          <w:szCs w:val="24"/>
        </w:rPr>
        <w:t xml:space="preserve">, </w:t>
      </w:r>
      <w:r w:rsidR="00717AEE">
        <w:rPr>
          <w:rFonts w:ascii="Arial" w:hAnsi="Arial" w:cs="Arial"/>
          <w:sz w:val="24"/>
          <w:szCs w:val="24"/>
        </w:rPr>
        <w:t>pregnancy</w:t>
      </w:r>
      <w:r w:rsidR="005834A2">
        <w:rPr>
          <w:rFonts w:ascii="Arial" w:hAnsi="Arial" w:cs="Arial"/>
          <w:sz w:val="24"/>
          <w:szCs w:val="24"/>
        </w:rPr>
        <w:t>,</w:t>
      </w:r>
      <w:r w:rsidR="00717AEE">
        <w:rPr>
          <w:rFonts w:ascii="Arial" w:hAnsi="Arial" w:cs="Arial"/>
          <w:sz w:val="24"/>
          <w:szCs w:val="24"/>
        </w:rPr>
        <w:t xml:space="preserve"> </w:t>
      </w:r>
      <w:r w:rsidR="005834A2">
        <w:rPr>
          <w:rFonts w:ascii="Arial" w:hAnsi="Arial" w:cs="Arial"/>
          <w:sz w:val="24"/>
          <w:szCs w:val="24"/>
        </w:rPr>
        <w:t xml:space="preserve">and domestic and civil partnerships </w:t>
      </w:r>
      <w:r w:rsidR="00717AEE">
        <w:rPr>
          <w:rFonts w:ascii="Arial" w:hAnsi="Arial" w:cs="Arial"/>
          <w:sz w:val="24"/>
          <w:szCs w:val="24"/>
        </w:rPr>
        <w:t xml:space="preserve">related </w:t>
      </w:r>
      <w:r w:rsidRPr="00A84493">
        <w:rPr>
          <w:rFonts w:ascii="Arial" w:hAnsi="Arial" w:cs="Arial"/>
          <w:sz w:val="24"/>
          <w:szCs w:val="24"/>
        </w:rPr>
        <w:t xml:space="preserve">amendments. </w:t>
      </w:r>
    </w:p>
    <w:p w14:paraId="2EB5F006" w14:textId="7F2D74F5" w:rsidR="00264DE1"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Operational Directorates for </w:t>
      </w:r>
      <w:r w:rsidR="00264DE1" w:rsidRPr="00A84493">
        <w:rPr>
          <w:rFonts w:ascii="Arial" w:hAnsi="Arial" w:cs="Arial"/>
          <w:sz w:val="24"/>
          <w:szCs w:val="24"/>
        </w:rPr>
        <w:t xml:space="preserve">the ACT Official Visitors scheme – </w:t>
      </w:r>
      <w:r w:rsidR="003E5DE7">
        <w:rPr>
          <w:rFonts w:ascii="Arial" w:hAnsi="Arial" w:cs="Arial"/>
          <w:sz w:val="24"/>
          <w:szCs w:val="24"/>
        </w:rPr>
        <w:t>Justice and Community Safety Directorate</w:t>
      </w:r>
      <w:r w:rsidRPr="00A84493">
        <w:rPr>
          <w:rFonts w:ascii="Arial" w:hAnsi="Arial" w:cs="Arial"/>
          <w:sz w:val="24"/>
          <w:szCs w:val="24"/>
        </w:rPr>
        <w:t xml:space="preserve"> </w:t>
      </w:r>
      <w:r w:rsidR="00264DE1" w:rsidRPr="00A84493">
        <w:rPr>
          <w:rFonts w:ascii="Arial" w:hAnsi="Arial" w:cs="Arial"/>
          <w:sz w:val="24"/>
          <w:szCs w:val="24"/>
        </w:rPr>
        <w:t>(</w:t>
      </w:r>
      <w:r w:rsidRPr="00A84493">
        <w:rPr>
          <w:rFonts w:ascii="Arial" w:hAnsi="Arial" w:cs="Arial"/>
          <w:sz w:val="24"/>
          <w:szCs w:val="24"/>
        </w:rPr>
        <w:t xml:space="preserve">ACT Corrective Services), </w:t>
      </w:r>
      <w:r w:rsidR="003E5DE7">
        <w:rPr>
          <w:rFonts w:ascii="Arial" w:hAnsi="Arial" w:cs="Arial"/>
          <w:sz w:val="24"/>
          <w:szCs w:val="24"/>
        </w:rPr>
        <w:t>Health and Community Services Directorate</w:t>
      </w:r>
      <w:r w:rsidRPr="00A84493">
        <w:rPr>
          <w:rFonts w:ascii="Arial" w:hAnsi="Arial" w:cs="Arial"/>
          <w:sz w:val="24"/>
          <w:szCs w:val="24"/>
        </w:rPr>
        <w:t xml:space="preserve"> </w:t>
      </w:r>
      <w:r w:rsidR="003E5DE7">
        <w:rPr>
          <w:rFonts w:ascii="Arial" w:hAnsi="Arial" w:cs="Arial"/>
          <w:sz w:val="24"/>
          <w:szCs w:val="24"/>
        </w:rPr>
        <w:t xml:space="preserve">(HCSD) </w:t>
      </w:r>
      <w:r w:rsidRPr="00A84493">
        <w:rPr>
          <w:rFonts w:ascii="Arial" w:hAnsi="Arial" w:cs="Arial"/>
          <w:sz w:val="24"/>
          <w:szCs w:val="24"/>
        </w:rPr>
        <w:t>(Children, Families and Young People, Office of Disability, Chief Psychiatrist</w:t>
      </w:r>
      <w:r w:rsidR="003E5DE7">
        <w:rPr>
          <w:rFonts w:ascii="Arial" w:hAnsi="Arial" w:cs="Arial"/>
          <w:sz w:val="24"/>
          <w:szCs w:val="24"/>
        </w:rPr>
        <w:t>)</w:t>
      </w:r>
      <w:r w:rsidR="00264DE1" w:rsidRPr="00A84493">
        <w:rPr>
          <w:rFonts w:ascii="Arial" w:hAnsi="Arial" w:cs="Arial"/>
          <w:sz w:val="24"/>
          <w:szCs w:val="24"/>
        </w:rPr>
        <w:t xml:space="preserve"> – </w:t>
      </w:r>
      <w:r w:rsidRPr="00A84493">
        <w:rPr>
          <w:rFonts w:ascii="Arial" w:hAnsi="Arial" w:cs="Arial"/>
          <w:sz w:val="24"/>
          <w:szCs w:val="24"/>
        </w:rPr>
        <w:t xml:space="preserve">were consulted on the amendments to the </w:t>
      </w:r>
      <w:r w:rsidR="00264DE1" w:rsidRPr="00A84493">
        <w:rPr>
          <w:rFonts w:ascii="Arial" w:hAnsi="Arial" w:cs="Arial"/>
          <w:sz w:val="24"/>
          <w:szCs w:val="24"/>
        </w:rPr>
        <w:t>Official Visitor Act</w:t>
      </w:r>
      <w:r w:rsidRPr="00A84493">
        <w:rPr>
          <w:rFonts w:ascii="Arial" w:hAnsi="Arial" w:cs="Arial"/>
          <w:sz w:val="24"/>
          <w:szCs w:val="24"/>
        </w:rPr>
        <w:t>.</w:t>
      </w:r>
      <w:bookmarkEnd w:id="1"/>
      <w:r w:rsidRPr="00A84493">
        <w:rPr>
          <w:rFonts w:ascii="Arial" w:hAnsi="Arial" w:cs="Arial"/>
          <w:sz w:val="24"/>
          <w:szCs w:val="24"/>
        </w:rPr>
        <w:t xml:space="preserve"> </w:t>
      </w:r>
    </w:p>
    <w:p w14:paraId="5E8B4049" w14:textId="571A8493" w:rsidR="00907DA3" w:rsidRPr="00A84493" w:rsidRDefault="00264DE1"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HSCD</w:t>
      </w:r>
      <w:r w:rsidR="00907DA3" w:rsidRPr="00A84493">
        <w:rPr>
          <w:rFonts w:ascii="Arial" w:hAnsi="Arial" w:cs="Arial"/>
          <w:sz w:val="24"/>
          <w:szCs w:val="24"/>
        </w:rPr>
        <w:t xml:space="preserve"> </w:t>
      </w:r>
      <w:r w:rsidR="00FE340E">
        <w:rPr>
          <w:rFonts w:ascii="Arial" w:hAnsi="Arial" w:cs="Arial"/>
          <w:sz w:val="24"/>
          <w:szCs w:val="24"/>
        </w:rPr>
        <w:t>was</w:t>
      </w:r>
      <w:r w:rsidR="00907DA3" w:rsidRPr="00A84493">
        <w:rPr>
          <w:rFonts w:ascii="Arial" w:hAnsi="Arial" w:cs="Arial"/>
          <w:sz w:val="24"/>
          <w:szCs w:val="24"/>
        </w:rPr>
        <w:t xml:space="preserve"> consulted amendments to the Discrimination Act. </w:t>
      </w:r>
    </w:p>
    <w:p w14:paraId="03CDAB11" w14:textId="77777777" w:rsidR="00FE340E" w:rsidRDefault="003E5DE7" w:rsidP="006C4190">
      <w:pPr>
        <w:pStyle w:val="ListParagraph"/>
        <w:numPr>
          <w:ilvl w:val="1"/>
          <w:numId w:val="32"/>
        </w:numPr>
        <w:spacing w:line="276" w:lineRule="auto"/>
        <w:rPr>
          <w:rFonts w:ascii="Arial" w:hAnsi="Arial" w:cs="Arial"/>
          <w:sz w:val="24"/>
          <w:szCs w:val="24"/>
        </w:rPr>
      </w:pPr>
      <w:r>
        <w:rPr>
          <w:rFonts w:ascii="Arial" w:hAnsi="Arial" w:cs="Arial"/>
          <w:sz w:val="24"/>
          <w:szCs w:val="24"/>
        </w:rPr>
        <w:lastRenderedPageBreak/>
        <w:t>Chief Minister, Treasury and Economic Development Directorate (</w:t>
      </w:r>
      <w:r w:rsidR="00907DA3" w:rsidRPr="00A84493">
        <w:rPr>
          <w:rFonts w:ascii="Arial" w:hAnsi="Arial" w:cs="Arial"/>
          <w:sz w:val="24"/>
          <w:szCs w:val="24"/>
        </w:rPr>
        <w:t>CMTEDD</w:t>
      </w:r>
      <w:r>
        <w:rPr>
          <w:rFonts w:ascii="Arial" w:hAnsi="Arial" w:cs="Arial"/>
          <w:sz w:val="24"/>
          <w:szCs w:val="24"/>
        </w:rPr>
        <w:t>)</w:t>
      </w:r>
      <w:r w:rsidR="00907DA3" w:rsidRPr="00A84493">
        <w:rPr>
          <w:rFonts w:ascii="Arial" w:hAnsi="Arial" w:cs="Arial"/>
          <w:sz w:val="24"/>
          <w:szCs w:val="24"/>
        </w:rPr>
        <w:t xml:space="preserve"> (Venues Canberra), Events ACT</w:t>
      </w:r>
      <w:r>
        <w:rPr>
          <w:rFonts w:ascii="Arial" w:hAnsi="Arial" w:cs="Arial"/>
          <w:sz w:val="24"/>
          <w:szCs w:val="24"/>
        </w:rPr>
        <w:t>,</w:t>
      </w:r>
      <w:r w:rsidR="00907DA3" w:rsidRPr="00A84493">
        <w:rPr>
          <w:rFonts w:ascii="Arial" w:hAnsi="Arial" w:cs="Arial"/>
          <w:sz w:val="24"/>
          <w:szCs w:val="24"/>
        </w:rPr>
        <w:t xml:space="preserve"> and ACT Policing were consulted on amendments to the Major Events Act. </w:t>
      </w:r>
    </w:p>
    <w:p w14:paraId="7E8C583F" w14:textId="7866335F" w:rsidR="00FE340E" w:rsidRPr="00FE340E" w:rsidRDefault="00FE340E" w:rsidP="006C4190">
      <w:pPr>
        <w:pStyle w:val="ListParagraph"/>
        <w:numPr>
          <w:ilvl w:val="1"/>
          <w:numId w:val="32"/>
        </w:numPr>
        <w:spacing w:line="276" w:lineRule="auto"/>
        <w:rPr>
          <w:rFonts w:ascii="Arial" w:hAnsi="Arial" w:cs="Arial"/>
          <w:sz w:val="24"/>
          <w:szCs w:val="24"/>
        </w:rPr>
      </w:pPr>
      <w:r w:rsidRPr="00FE340E">
        <w:rPr>
          <w:rFonts w:ascii="Arial" w:hAnsi="Arial" w:cs="Arial"/>
          <w:sz w:val="24"/>
          <w:szCs w:val="24"/>
        </w:rPr>
        <w:t xml:space="preserve">HCSD, Access Canberra and the ACT Early Childhood Education and Care Regulatory Authority were consulted on the amendments to the WWVP Act. </w:t>
      </w:r>
    </w:p>
    <w:p w14:paraId="368CFD3D" w14:textId="77777777" w:rsidR="00A84493" w:rsidRPr="00A84493" w:rsidRDefault="00A84493" w:rsidP="006C4190">
      <w:pPr>
        <w:rPr>
          <w:rFonts w:ascii="Arial" w:hAnsi="Arial" w:cs="Arial"/>
          <w:sz w:val="24"/>
          <w:szCs w:val="24"/>
        </w:rPr>
      </w:pPr>
    </w:p>
    <w:p w14:paraId="30D26D9B" w14:textId="423CE8C7" w:rsidR="00E70D0A" w:rsidRPr="00E70D0A" w:rsidRDefault="00E70D0A" w:rsidP="006C4190">
      <w:pPr>
        <w:rPr>
          <w:rFonts w:ascii="Arial" w:hAnsi="Arial" w:cs="Arial"/>
          <w:i/>
          <w:iCs/>
          <w:sz w:val="24"/>
          <w:szCs w:val="24"/>
        </w:rPr>
      </w:pPr>
      <w:r w:rsidRPr="00E70D0A">
        <w:rPr>
          <w:rFonts w:ascii="Arial" w:hAnsi="Arial" w:cs="Arial"/>
          <w:i/>
          <w:iCs/>
          <w:sz w:val="24"/>
          <w:szCs w:val="24"/>
        </w:rPr>
        <w:t xml:space="preserve">External consultation </w:t>
      </w:r>
    </w:p>
    <w:p w14:paraId="5459584C" w14:textId="6D20908E"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The Official Visitors Board and Chair</w:t>
      </w:r>
      <w:r w:rsidR="00E70D0A" w:rsidRPr="00A84493">
        <w:rPr>
          <w:rFonts w:ascii="Arial" w:hAnsi="Arial" w:cs="Arial"/>
          <w:sz w:val="24"/>
          <w:szCs w:val="24"/>
        </w:rPr>
        <w:t xml:space="preserve"> </w:t>
      </w:r>
      <w:r w:rsidRPr="00A84493">
        <w:rPr>
          <w:rFonts w:ascii="Arial" w:hAnsi="Arial" w:cs="Arial"/>
          <w:sz w:val="24"/>
          <w:szCs w:val="24"/>
        </w:rPr>
        <w:t>and</w:t>
      </w:r>
      <w:r w:rsidR="00A61647">
        <w:rPr>
          <w:rFonts w:ascii="Arial" w:hAnsi="Arial" w:cs="Arial"/>
          <w:sz w:val="24"/>
          <w:szCs w:val="24"/>
        </w:rPr>
        <w:t xml:space="preserve"> the</w:t>
      </w:r>
      <w:r w:rsidRPr="00A84493">
        <w:rPr>
          <w:rFonts w:ascii="Arial" w:hAnsi="Arial" w:cs="Arial"/>
          <w:sz w:val="24"/>
          <w:szCs w:val="24"/>
        </w:rPr>
        <w:t xml:space="preserve"> Official Visitors were consulted on amendments to the </w:t>
      </w:r>
      <w:r w:rsidR="00E70D0A" w:rsidRPr="00A84493">
        <w:rPr>
          <w:rFonts w:ascii="Arial" w:hAnsi="Arial" w:cs="Arial"/>
          <w:sz w:val="24"/>
          <w:szCs w:val="24"/>
        </w:rPr>
        <w:t>Official Visitor Act</w:t>
      </w:r>
      <w:r w:rsidRPr="00A84493">
        <w:rPr>
          <w:rFonts w:ascii="Arial" w:hAnsi="Arial" w:cs="Arial"/>
          <w:sz w:val="24"/>
          <w:szCs w:val="24"/>
        </w:rPr>
        <w:t xml:space="preserve">. </w:t>
      </w:r>
    </w:p>
    <w:p w14:paraId="7D704B93" w14:textId="622A5913"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The </w:t>
      </w:r>
      <w:r w:rsidR="00E70D0A" w:rsidRPr="00A84493">
        <w:rPr>
          <w:rFonts w:ascii="Arial" w:hAnsi="Arial" w:cs="Arial"/>
          <w:sz w:val="24"/>
          <w:szCs w:val="24"/>
        </w:rPr>
        <w:t xml:space="preserve">ACT </w:t>
      </w:r>
      <w:r w:rsidRPr="00A84493">
        <w:rPr>
          <w:rFonts w:ascii="Arial" w:hAnsi="Arial" w:cs="Arial"/>
          <w:sz w:val="24"/>
          <w:szCs w:val="24"/>
        </w:rPr>
        <w:t xml:space="preserve">Human Rights Commission </w:t>
      </w:r>
      <w:r w:rsidR="00E70D0A" w:rsidRPr="00A84493">
        <w:rPr>
          <w:rFonts w:ascii="Arial" w:hAnsi="Arial" w:cs="Arial"/>
          <w:sz w:val="24"/>
          <w:szCs w:val="24"/>
        </w:rPr>
        <w:t xml:space="preserve">was consulted on the </w:t>
      </w:r>
      <w:r w:rsidRPr="00A84493">
        <w:rPr>
          <w:rFonts w:ascii="Arial" w:hAnsi="Arial" w:cs="Arial"/>
          <w:sz w:val="24"/>
          <w:szCs w:val="24"/>
        </w:rPr>
        <w:t xml:space="preserve">amendments to the </w:t>
      </w:r>
      <w:r w:rsidR="00E70D0A" w:rsidRPr="00A84493">
        <w:rPr>
          <w:rFonts w:ascii="Arial" w:hAnsi="Arial" w:cs="Arial"/>
          <w:sz w:val="24"/>
          <w:szCs w:val="24"/>
        </w:rPr>
        <w:t>Human Rights Commission Act</w:t>
      </w:r>
      <w:r w:rsidRPr="00A84493">
        <w:rPr>
          <w:rFonts w:ascii="Arial" w:hAnsi="Arial" w:cs="Arial"/>
          <w:sz w:val="24"/>
          <w:szCs w:val="24"/>
        </w:rPr>
        <w:t xml:space="preserve"> and the Discrimination Act. </w:t>
      </w:r>
    </w:p>
    <w:p w14:paraId="10B84561" w14:textId="77777777"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Legal Aid ACT and </w:t>
      </w:r>
      <w:r w:rsidR="00E70D0A" w:rsidRPr="00A84493">
        <w:rPr>
          <w:rFonts w:ascii="Arial" w:hAnsi="Arial" w:cs="Arial"/>
          <w:sz w:val="24"/>
          <w:szCs w:val="24"/>
        </w:rPr>
        <w:t>t</w:t>
      </w:r>
      <w:r w:rsidRPr="00A84493">
        <w:rPr>
          <w:rFonts w:ascii="Arial" w:hAnsi="Arial" w:cs="Arial"/>
          <w:sz w:val="24"/>
          <w:szCs w:val="24"/>
        </w:rPr>
        <w:t xml:space="preserve">he Public Trustee and Guardian were consulted on amendments to the Wills Act. </w:t>
      </w:r>
    </w:p>
    <w:p w14:paraId="45C5EBB3" w14:textId="320B1DB6" w:rsidR="00E70D0A" w:rsidRPr="00A84493" w:rsidRDefault="00E70D0A"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The </w:t>
      </w:r>
      <w:r w:rsidR="00907DA3" w:rsidRPr="00A84493">
        <w:rPr>
          <w:rFonts w:ascii="Arial" w:hAnsi="Arial" w:cs="Arial"/>
          <w:sz w:val="24"/>
          <w:szCs w:val="24"/>
        </w:rPr>
        <w:t xml:space="preserve">ACT Law Society </w:t>
      </w:r>
      <w:r w:rsidR="00E1585D" w:rsidRPr="00A84493">
        <w:rPr>
          <w:rFonts w:ascii="Arial" w:hAnsi="Arial" w:cs="Arial"/>
          <w:sz w:val="24"/>
          <w:szCs w:val="24"/>
        </w:rPr>
        <w:t>w</w:t>
      </w:r>
      <w:r w:rsidR="00E1585D">
        <w:rPr>
          <w:rFonts w:ascii="Arial" w:hAnsi="Arial" w:cs="Arial"/>
          <w:sz w:val="24"/>
          <w:szCs w:val="24"/>
        </w:rPr>
        <w:t>as</w:t>
      </w:r>
      <w:r w:rsidR="00E1585D" w:rsidRPr="00A84493">
        <w:rPr>
          <w:rFonts w:ascii="Arial" w:hAnsi="Arial" w:cs="Arial"/>
          <w:sz w:val="24"/>
          <w:szCs w:val="24"/>
        </w:rPr>
        <w:t xml:space="preserve"> </w:t>
      </w:r>
      <w:r w:rsidR="00907DA3" w:rsidRPr="00A84493">
        <w:rPr>
          <w:rFonts w:ascii="Arial" w:hAnsi="Arial" w:cs="Arial"/>
          <w:sz w:val="24"/>
          <w:szCs w:val="24"/>
        </w:rPr>
        <w:t xml:space="preserve">consulted on the amendments to the </w:t>
      </w:r>
      <w:r w:rsidRPr="00A84493">
        <w:rPr>
          <w:rFonts w:ascii="Arial" w:hAnsi="Arial" w:cs="Arial"/>
          <w:sz w:val="24"/>
          <w:szCs w:val="24"/>
        </w:rPr>
        <w:t>Legal Profession Act.</w:t>
      </w:r>
    </w:p>
    <w:p w14:paraId="4EDFF8AC" w14:textId="280AC385" w:rsidR="00907DA3" w:rsidRPr="00907DA3" w:rsidRDefault="00907DA3" w:rsidP="006C4190">
      <w:pPr>
        <w:rPr>
          <w:rFonts w:ascii="Arial" w:hAnsi="Arial" w:cs="Arial"/>
          <w:sz w:val="24"/>
          <w:szCs w:val="24"/>
        </w:rPr>
      </w:pPr>
    </w:p>
    <w:p w14:paraId="25B1658A" w14:textId="7871570F" w:rsidR="00A536CA" w:rsidRDefault="000A7CE2" w:rsidP="006C4190">
      <w:pPr>
        <w:pStyle w:val="Heading2"/>
        <w:spacing w:line="276" w:lineRule="auto"/>
        <w:rPr>
          <w:bCs/>
        </w:rPr>
      </w:pPr>
      <w:r w:rsidRPr="000A7CE2">
        <w:rPr>
          <w:bCs/>
        </w:rPr>
        <w:t>SUMMARY OF AMENDMENTS</w:t>
      </w:r>
    </w:p>
    <w:p w14:paraId="042BF286" w14:textId="0C6C9B53" w:rsidR="00907DA3" w:rsidRPr="00907DA3" w:rsidRDefault="00907DA3" w:rsidP="006C4190">
      <w:pPr>
        <w:rPr>
          <w:rFonts w:ascii="Arial" w:hAnsi="Arial" w:cs="Arial"/>
          <w:iCs/>
          <w:sz w:val="24"/>
          <w:szCs w:val="24"/>
        </w:rPr>
      </w:pPr>
      <w:r w:rsidRPr="00907DA3">
        <w:rPr>
          <w:rFonts w:ascii="Arial" w:hAnsi="Arial" w:cs="Arial"/>
          <w:i/>
          <w:sz w:val="24"/>
          <w:szCs w:val="24"/>
        </w:rPr>
        <w:t xml:space="preserve">ACT Civil and Administrative Tribunal Act 2008 </w:t>
      </w:r>
      <w:r w:rsidRPr="00907DA3">
        <w:rPr>
          <w:rFonts w:ascii="Arial" w:hAnsi="Arial" w:cs="Arial"/>
          <w:iCs/>
          <w:sz w:val="24"/>
          <w:szCs w:val="24"/>
        </w:rPr>
        <w:t>(ACAT Act)</w:t>
      </w:r>
    </w:p>
    <w:p w14:paraId="2985A034" w14:textId="4945C7C0" w:rsidR="00907DA3" w:rsidRPr="00DD553B" w:rsidRDefault="001428F5" w:rsidP="006C4190">
      <w:pPr>
        <w:pStyle w:val="CS-Paragraphnumbering"/>
        <w:spacing w:before="240"/>
        <w:rPr>
          <w:rFonts w:ascii="Arial" w:hAnsi="Arial" w:cs="Arial"/>
        </w:rPr>
      </w:pPr>
      <w:r w:rsidRPr="00DD553B">
        <w:rPr>
          <w:rFonts w:ascii="Arial" w:hAnsi="Arial" w:cs="Arial"/>
        </w:rPr>
        <w:t xml:space="preserve">The Bill </w:t>
      </w:r>
      <w:r w:rsidR="00E1585D">
        <w:rPr>
          <w:rFonts w:ascii="Arial" w:hAnsi="Arial" w:cs="Arial"/>
        </w:rPr>
        <w:t xml:space="preserve">makes a minor amendment to </w:t>
      </w:r>
      <w:r w:rsidRPr="00DD553B">
        <w:rPr>
          <w:rFonts w:ascii="Arial" w:hAnsi="Arial" w:cs="Arial"/>
        </w:rPr>
        <w:t xml:space="preserve">ensure that ACAT </w:t>
      </w:r>
      <w:r w:rsidR="00907DA3" w:rsidRPr="00DD553B">
        <w:rPr>
          <w:rFonts w:ascii="Arial" w:hAnsi="Arial" w:cs="Arial"/>
        </w:rPr>
        <w:t>can grant leave to inspect a document or other thing, to ensure that all items requested to be produced under subpoenas can be ordered</w:t>
      </w:r>
      <w:r w:rsidRPr="00DD553B">
        <w:rPr>
          <w:rFonts w:ascii="Arial" w:hAnsi="Arial" w:cs="Arial"/>
        </w:rPr>
        <w:t xml:space="preserve">, including documents and other objects that </w:t>
      </w:r>
      <w:r w:rsidR="00907DA3" w:rsidRPr="00DD553B">
        <w:rPr>
          <w:rFonts w:ascii="Arial" w:hAnsi="Arial" w:cs="Arial"/>
        </w:rPr>
        <w:t>may be relevant</w:t>
      </w:r>
      <w:r w:rsidRPr="00DD553B">
        <w:rPr>
          <w:rFonts w:ascii="Arial" w:hAnsi="Arial" w:cs="Arial"/>
        </w:rPr>
        <w:t xml:space="preserve">. </w:t>
      </w:r>
    </w:p>
    <w:p w14:paraId="30BB32AF" w14:textId="77777777" w:rsidR="00D40DA5" w:rsidRDefault="00D40DA5" w:rsidP="006C4190">
      <w:pPr>
        <w:pStyle w:val="CS-RecommendationList"/>
        <w:numPr>
          <w:ilvl w:val="0"/>
          <w:numId w:val="0"/>
        </w:numPr>
        <w:spacing w:before="240" w:line="276" w:lineRule="auto"/>
        <w:contextualSpacing w:val="0"/>
        <w:rPr>
          <w:rFonts w:ascii="Arial" w:hAnsi="Arial" w:cs="Arial"/>
        </w:rPr>
      </w:pPr>
      <w:r w:rsidRPr="00D40DA5">
        <w:rPr>
          <w:rFonts w:ascii="Arial" w:hAnsi="Arial" w:cs="Arial"/>
          <w:i/>
          <w:iCs w:val="0"/>
        </w:rPr>
        <w:t xml:space="preserve">Discrimination Act 1991 and Criminal Code 2002 </w:t>
      </w:r>
      <w:r w:rsidRPr="00D40DA5">
        <w:rPr>
          <w:rFonts w:ascii="Arial" w:hAnsi="Arial" w:cs="Arial"/>
        </w:rPr>
        <w:t>(vilification amendments)</w:t>
      </w:r>
    </w:p>
    <w:p w14:paraId="081A9633" w14:textId="5D2096EF" w:rsidR="00D40DA5" w:rsidRPr="00D40DA5" w:rsidRDefault="00D40DA5" w:rsidP="006C4190">
      <w:pPr>
        <w:pStyle w:val="CS-Paragraphnumbering"/>
        <w:spacing w:before="240"/>
        <w:rPr>
          <w:rFonts w:ascii="Arial" w:eastAsia="Times New Roman" w:hAnsi="Arial" w:cs="Arial"/>
        </w:rPr>
      </w:pPr>
      <w:r w:rsidRPr="00D40DA5">
        <w:rPr>
          <w:rFonts w:ascii="Arial" w:eastAsia="Times New Roman" w:hAnsi="Arial" w:cs="Arial"/>
        </w:rPr>
        <w:t xml:space="preserve">The </w:t>
      </w:r>
      <w:r>
        <w:rPr>
          <w:rFonts w:ascii="Arial" w:eastAsia="Times New Roman" w:hAnsi="Arial" w:cs="Arial"/>
        </w:rPr>
        <w:t>Bill</w:t>
      </w:r>
      <w:r w:rsidRPr="00D40DA5">
        <w:rPr>
          <w:rFonts w:ascii="Arial" w:eastAsia="Times New Roman" w:hAnsi="Arial" w:cs="Arial"/>
        </w:rPr>
        <w:t xml:space="preserve"> will expand protections against unlawful vilification in the Discrimination Act and serious vilification in the Criminal Code to include </w:t>
      </w:r>
      <w:r w:rsidR="004204EF">
        <w:rPr>
          <w:rFonts w:ascii="Arial" w:eastAsia="Times New Roman" w:hAnsi="Arial" w:cs="Arial"/>
        </w:rPr>
        <w:t xml:space="preserve">the protected attributes of </w:t>
      </w:r>
      <w:r w:rsidRPr="00D40DA5">
        <w:rPr>
          <w:rFonts w:ascii="Arial" w:eastAsia="Times New Roman" w:hAnsi="Arial" w:cs="Arial"/>
        </w:rPr>
        <w:t xml:space="preserve">sex and people associated with a person or group of people who are identified by reference to the listed protected attributes. </w:t>
      </w:r>
    </w:p>
    <w:p w14:paraId="6C4D13EA" w14:textId="1D3DD35A" w:rsidR="00D40DA5" w:rsidRPr="00D40DA5" w:rsidRDefault="00D40DA5" w:rsidP="006C4190">
      <w:pPr>
        <w:pStyle w:val="CS-Paragraphnumbering"/>
        <w:spacing w:before="240"/>
        <w:rPr>
          <w:rFonts w:ascii="Arial" w:eastAsia="Times New Roman" w:hAnsi="Arial" w:cs="Arial"/>
        </w:rPr>
      </w:pPr>
      <w:r w:rsidRPr="00D40DA5">
        <w:rPr>
          <w:rFonts w:ascii="Arial" w:eastAsia="Times New Roman" w:hAnsi="Arial" w:cs="Arial"/>
        </w:rPr>
        <w:t>These Acts already include disability, gender identity, HIV/AIDS status, race, religious conviction, sex characteristics, and sexuality as protected attributes in the context of vilification and serious vilification. However, the Human Rights Commission has identified that an expansion of these categories is necessary to ensure better protection against vilification in the ACT community.</w:t>
      </w:r>
    </w:p>
    <w:p w14:paraId="26811541" w14:textId="60BC2386" w:rsidR="00D40DA5" w:rsidRPr="00D40DA5" w:rsidRDefault="00D40DA5" w:rsidP="006C4190">
      <w:pPr>
        <w:spacing w:before="240"/>
        <w:rPr>
          <w:rFonts w:ascii="Arial" w:hAnsi="Arial" w:cs="Arial"/>
          <w:i/>
          <w:sz w:val="24"/>
          <w:szCs w:val="24"/>
        </w:rPr>
      </w:pPr>
      <w:r w:rsidRPr="00D40DA5">
        <w:rPr>
          <w:rFonts w:ascii="Arial" w:hAnsi="Arial" w:cs="Arial"/>
          <w:i/>
          <w:sz w:val="24"/>
          <w:szCs w:val="24"/>
          <w:lang w:val="en-US"/>
        </w:rPr>
        <w:t xml:space="preserve">Discrimination Act 1991 and Crimes Act 1901 </w:t>
      </w:r>
      <w:r w:rsidRPr="00D40DA5">
        <w:rPr>
          <w:rFonts w:ascii="Arial" w:hAnsi="Arial" w:cs="Arial"/>
          <w:iCs/>
          <w:sz w:val="24"/>
          <w:szCs w:val="24"/>
          <w:lang w:val="en-US"/>
        </w:rPr>
        <w:t>(pregnancy amendments)</w:t>
      </w:r>
    </w:p>
    <w:p w14:paraId="44DC8738" w14:textId="600217A2" w:rsidR="00D40DA5" w:rsidRPr="00D40DA5" w:rsidRDefault="00D40DA5" w:rsidP="006C4190">
      <w:pPr>
        <w:pStyle w:val="CS-Paragraphnumbering"/>
        <w:spacing w:before="240"/>
        <w:rPr>
          <w:rFonts w:ascii="Arial" w:hAnsi="Arial" w:cs="Arial"/>
        </w:rPr>
      </w:pPr>
      <w:r w:rsidRPr="00D40DA5">
        <w:rPr>
          <w:rFonts w:ascii="Arial" w:hAnsi="Arial" w:cs="Arial"/>
        </w:rPr>
        <w:t xml:space="preserve">The amendments to the Discrimination Act and Crimes Act will update language relating to pregnancy, in line with </w:t>
      </w:r>
      <w:r w:rsidR="00A866B0">
        <w:rPr>
          <w:rFonts w:ascii="Arial" w:hAnsi="Arial" w:cs="Arial"/>
        </w:rPr>
        <w:t xml:space="preserve">the </w:t>
      </w:r>
      <w:r w:rsidRPr="00D40DA5">
        <w:rPr>
          <w:rFonts w:ascii="Arial" w:hAnsi="Arial" w:cs="Arial"/>
        </w:rPr>
        <w:t xml:space="preserve">ACT LGBTIQ+ Legal Audit recommendation 2 to ensure legislative provisions in relation to pregnancy and childbirth are gender </w:t>
      </w:r>
      <w:r w:rsidRPr="00D40DA5">
        <w:rPr>
          <w:rFonts w:ascii="Arial" w:hAnsi="Arial" w:cs="Arial"/>
        </w:rPr>
        <w:lastRenderedPageBreak/>
        <w:t>inclusive. The amendments align with broader efforts to ensure gender neutral language is utilised across the ACT statute book.</w:t>
      </w:r>
    </w:p>
    <w:p w14:paraId="7F6C6DC0" w14:textId="4AAA137D" w:rsidR="00D40DA5" w:rsidRPr="00D40DA5" w:rsidRDefault="00D40DA5" w:rsidP="006C4190">
      <w:pPr>
        <w:pStyle w:val="CS-Paragraphnumbering"/>
        <w:spacing w:before="240"/>
        <w:rPr>
          <w:rFonts w:ascii="Arial" w:hAnsi="Arial" w:cs="Arial"/>
        </w:rPr>
      </w:pPr>
      <w:r w:rsidRPr="00D40DA5">
        <w:rPr>
          <w:rFonts w:ascii="Arial" w:hAnsi="Arial" w:cs="Arial"/>
        </w:rPr>
        <w:t xml:space="preserve">The definition of ‘potential pregnancy’ in section 5A of the Discrimination Act will be amended to ensure that all pregnant people are captured by the protected attribute of ‘pregnancy’. Similar amendments will be made to the Crimes Act to ensure that offences against pregnant women apply to all </w:t>
      </w:r>
      <w:r w:rsidR="00CC7BDE" w:rsidRPr="00D40DA5">
        <w:rPr>
          <w:rFonts w:ascii="Arial" w:hAnsi="Arial" w:cs="Arial"/>
        </w:rPr>
        <w:t>pregnan</w:t>
      </w:r>
      <w:r w:rsidR="00CC7BDE">
        <w:rPr>
          <w:rFonts w:ascii="Arial" w:hAnsi="Arial" w:cs="Arial"/>
        </w:rPr>
        <w:t>t</w:t>
      </w:r>
      <w:r w:rsidR="00CC7BDE" w:rsidRPr="00D40DA5">
        <w:rPr>
          <w:rFonts w:ascii="Arial" w:hAnsi="Arial" w:cs="Arial"/>
        </w:rPr>
        <w:t xml:space="preserve"> </w:t>
      </w:r>
      <w:r w:rsidRPr="00D40DA5">
        <w:rPr>
          <w:rFonts w:ascii="Arial" w:hAnsi="Arial" w:cs="Arial"/>
        </w:rPr>
        <w:t xml:space="preserve">people. Consequential amendments will be made to references to these offences in the </w:t>
      </w:r>
      <w:r w:rsidRPr="004204EF">
        <w:rPr>
          <w:rFonts w:ascii="Arial" w:hAnsi="Arial" w:cs="Arial"/>
          <w:i/>
          <w:iCs/>
        </w:rPr>
        <w:t xml:space="preserve">Working with Vulnerable (Background Checking) Act 2011 </w:t>
      </w:r>
      <w:r w:rsidRPr="00D40DA5">
        <w:rPr>
          <w:rFonts w:ascii="Arial" w:hAnsi="Arial" w:cs="Arial"/>
        </w:rPr>
        <w:t xml:space="preserve">and </w:t>
      </w:r>
      <w:r w:rsidRPr="004204EF">
        <w:rPr>
          <w:rFonts w:ascii="Arial" w:hAnsi="Arial" w:cs="Arial"/>
          <w:i/>
          <w:iCs/>
        </w:rPr>
        <w:t>Crimes (Sentencing) Act 2005</w:t>
      </w:r>
      <w:r w:rsidRPr="00D40DA5">
        <w:rPr>
          <w:rFonts w:ascii="Arial" w:hAnsi="Arial" w:cs="Arial"/>
        </w:rPr>
        <w:t xml:space="preserve">. </w:t>
      </w:r>
    </w:p>
    <w:p w14:paraId="17693742" w14:textId="77777777" w:rsidR="001A18B8" w:rsidRPr="001A18B8" w:rsidRDefault="001A18B8" w:rsidP="006C4190">
      <w:pPr>
        <w:spacing w:before="240"/>
        <w:rPr>
          <w:rFonts w:ascii="Arial" w:hAnsi="Arial" w:cs="Arial"/>
          <w:iCs/>
          <w:sz w:val="24"/>
          <w:szCs w:val="24"/>
        </w:rPr>
      </w:pPr>
      <w:r w:rsidRPr="001A18B8">
        <w:rPr>
          <w:rFonts w:ascii="Arial" w:hAnsi="Arial" w:cs="Arial"/>
          <w:i/>
          <w:iCs/>
          <w:sz w:val="24"/>
          <w:szCs w:val="24"/>
        </w:rPr>
        <w:t xml:space="preserve">Human Rights Commission Act 2005 </w:t>
      </w:r>
      <w:r w:rsidRPr="001A18B8">
        <w:rPr>
          <w:rFonts w:ascii="Arial" w:hAnsi="Arial" w:cs="Arial"/>
          <w:iCs/>
          <w:sz w:val="24"/>
          <w:szCs w:val="24"/>
        </w:rPr>
        <w:t>(HRCA)</w:t>
      </w:r>
    </w:p>
    <w:p w14:paraId="440A892C" w14:textId="50777968" w:rsidR="003B000D" w:rsidRDefault="001A18B8" w:rsidP="006C4190">
      <w:pPr>
        <w:spacing w:before="240"/>
        <w:rPr>
          <w:rFonts w:ascii="Arial" w:hAnsi="Arial" w:cs="Arial"/>
          <w:iCs/>
          <w:sz w:val="24"/>
          <w:szCs w:val="24"/>
        </w:rPr>
      </w:pPr>
      <w:r w:rsidRPr="00DD553B">
        <w:rPr>
          <w:rFonts w:ascii="Arial" w:hAnsi="Arial" w:cs="Arial"/>
          <w:iCs/>
          <w:sz w:val="24"/>
          <w:szCs w:val="24"/>
        </w:rPr>
        <w:t>The Bill will allow a person</w:t>
      </w:r>
      <w:r w:rsidR="003B000D">
        <w:rPr>
          <w:rFonts w:ascii="Arial" w:hAnsi="Arial" w:cs="Arial"/>
          <w:iCs/>
          <w:sz w:val="24"/>
          <w:szCs w:val="24"/>
        </w:rPr>
        <w:t xml:space="preserve">, with leave of the Human Rights Commission, to amend a complaint at any time. This will allow a person to add allegations to a complaint, rather than having to submit a new complaint </w:t>
      </w:r>
      <w:r w:rsidRPr="00DD553B">
        <w:rPr>
          <w:rFonts w:ascii="Arial" w:hAnsi="Arial" w:cs="Arial"/>
          <w:iCs/>
          <w:sz w:val="24"/>
          <w:szCs w:val="24"/>
        </w:rPr>
        <w:t>where the subject matter is connected or the complaint is about the same entity</w:t>
      </w:r>
      <w:r w:rsidR="003B000D">
        <w:rPr>
          <w:rFonts w:ascii="Arial" w:hAnsi="Arial" w:cs="Arial"/>
          <w:iCs/>
          <w:sz w:val="24"/>
          <w:szCs w:val="24"/>
        </w:rPr>
        <w:t>.</w:t>
      </w:r>
      <w:r w:rsidRPr="00DD553B">
        <w:rPr>
          <w:rFonts w:ascii="Arial" w:hAnsi="Arial" w:cs="Arial"/>
          <w:iCs/>
          <w:sz w:val="24"/>
          <w:szCs w:val="24"/>
        </w:rPr>
        <w:t xml:space="preserve"> </w:t>
      </w:r>
      <w:proofErr w:type="gramStart"/>
      <w:r w:rsidRPr="00DD553B">
        <w:rPr>
          <w:rFonts w:ascii="Arial" w:hAnsi="Arial" w:cs="Arial"/>
          <w:iCs/>
          <w:sz w:val="24"/>
          <w:szCs w:val="24"/>
        </w:rPr>
        <w:t>In particular, this</w:t>
      </w:r>
      <w:proofErr w:type="gramEnd"/>
      <w:r w:rsidRPr="00DD553B">
        <w:rPr>
          <w:rFonts w:ascii="Arial" w:hAnsi="Arial" w:cs="Arial"/>
          <w:iCs/>
          <w:sz w:val="24"/>
          <w:szCs w:val="24"/>
        </w:rPr>
        <w:t xml:space="preserve"> will assist in the streamlining of complaints made about discrimination, retirement villages, occupancy matters, and sexuality and gender</w:t>
      </w:r>
      <w:r w:rsidR="00A866B0">
        <w:rPr>
          <w:rFonts w:ascii="Arial" w:hAnsi="Arial" w:cs="Arial"/>
          <w:iCs/>
          <w:sz w:val="24"/>
          <w:szCs w:val="24"/>
        </w:rPr>
        <w:t xml:space="preserve"> identity</w:t>
      </w:r>
      <w:r w:rsidRPr="00DD553B">
        <w:rPr>
          <w:rFonts w:ascii="Arial" w:hAnsi="Arial" w:cs="Arial"/>
          <w:iCs/>
          <w:sz w:val="24"/>
          <w:szCs w:val="24"/>
        </w:rPr>
        <w:t xml:space="preserve"> conversion practices, as these types of complaints can be reviewed by </w:t>
      </w:r>
      <w:r w:rsidR="003B000D">
        <w:rPr>
          <w:rFonts w:ascii="Arial" w:hAnsi="Arial" w:cs="Arial"/>
          <w:iCs/>
          <w:sz w:val="24"/>
          <w:szCs w:val="24"/>
        </w:rPr>
        <w:t xml:space="preserve">the </w:t>
      </w:r>
      <w:r w:rsidRPr="00DD553B">
        <w:rPr>
          <w:rFonts w:ascii="Arial" w:hAnsi="Arial" w:cs="Arial"/>
          <w:iCs/>
          <w:sz w:val="24"/>
          <w:szCs w:val="24"/>
        </w:rPr>
        <w:t xml:space="preserve">ACAT. </w:t>
      </w:r>
      <w:r w:rsidR="00CC3FDC">
        <w:rPr>
          <w:rFonts w:ascii="Arial" w:hAnsi="Arial" w:cs="Arial"/>
          <w:iCs/>
          <w:sz w:val="24"/>
          <w:szCs w:val="24"/>
        </w:rPr>
        <w:t xml:space="preserve">If the matters go to the ACAT, there is a resource burden as the ACAT must </w:t>
      </w:r>
      <w:proofErr w:type="gramStart"/>
      <w:r w:rsidR="00CC3FDC">
        <w:rPr>
          <w:rFonts w:ascii="Arial" w:hAnsi="Arial" w:cs="Arial"/>
          <w:iCs/>
          <w:sz w:val="24"/>
          <w:szCs w:val="24"/>
        </w:rPr>
        <w:t>make a determination</w:t>
      </w:r>
      <w:proofErr w:type="gramEnd"/>
      <w:r w:rsidR="00CC3FDC">
        <w:rPr>
          <w:rFonts w:ascii="Arial" w:hAnsi="Arial" w:cs="Arial"/>
          <w:iCs/>
          <w:sz w:val="24"/>
          <w:szCs w:val="24"/>
        </w:rPr>
        <w:t xml:space="preserve"> on whether to make orders joining the related matters. By e</w:t>
      </w:r>
      <w:r w:rsidR="003B000D">
        <w:rPr>
          <w:rFonts w:ascii="Arial" w:hAnsi="Arial" w:cs="Arial"/>
          <w:iCs/>
          <w:sz w:val="24"/>
          <w:szCs w:val="24"/>
        </w:rPr>
        <w:t>nabling complaints to be amended by the Human Rights Commission before they are referred to the ACAT</w:t>
      </w:r>
      <w:r w:rsidR="00CC3FDC">
        <w:rPr>
          <w:rFonts w:ascii="Arial" w:hAnsi="Arial" w:cs="Arial"/>
          <w:iCs/>
          <w:sz w:val="24"/>
          <w:szCs w:val="24"/>
        </w:rPr>
        <w:t>, the amendments</w:t>
      </w:r>
      <w:r w:rsidR="003B000D">
        <w:rPr>
          <w:rFonts w:ascii="Arial" w:hAnsi="Arial" w:cs="Arial"/>
          <w:iCs/>
          <w:sz w:val="24"/>
          <w:szCs w:val="24"/>
        </w:rPr>
        <w:t xml:space="preserve"> will </w:t>
      </w:r>
      <w:r w:rsidR="001D1F43">
        <w:rPr>
          <w:rFonts w:ascii="Arial" w:hAnsi="Arial" w:cs="Arial"/>
          <w:iCs/>
          <w:sz w:val="24"/>
          <w:szCs w:val="24"/>
        </w:rPr>
        <w:t xml:space="preserve">ensure the ACAT is able to determine the true scope of the complaint. </w:t>
      </w:r>
      <w:r w:rsidR="00CC3FDC">
        <w:rPr>
          <w:rFonts w:ascii="Arial" w:hAnsi="Arial" w:cs="Arial"/>
          <w:iCs/>
          <w:sz w:val="24"/>
          <w:szCs w:val="24"/>
        </w:rPr>
        <w:t xml:space="preserve"> </w:t>
      </w:r>
    </w:p>
    <w:p w14:paraId="31944845" w14:textId="77777777" w:rsidR="001A18B8" w:rsidRPr="00DD553B" w:rsidRDefault="001A18B8" w:rsidP="006C4190">
      <w:pPr>
        <w:pStyle w:val="CS-RecommendationList"/>
        <w:numPr>
          <w:ilvl w:val="0"/>
          <w:numId w:val="0"/>
        </w:numPr>
        <w:spacing w:line="276" w:lineRule="auto"/>
        <w:rPr>
          <w:rFonts w:ascii="Arial" w:hAnsi="Arial" w:cs="Arial"/>
        </w:rPr>
      </w:pPr>
      <w:r w:rsidRPr="00DD553B">
        <w:rPr>
          <w:rFonts w:ascii="Arial" w:hAnsi="Arial" w:cs="Arial"/>
          <w:i/>
          <w:iCs w:val="0"/>
        </w:rPr>
        <w:t xml:space="preserve">Legal Profession Act 2006 </w:t>
      </w:r>
      <w:r w:rsidRPr="00DD553B">
        <w:rPr>
          <w:rFonts w:ascii="Arial" w:hAnsi="Arial" w:cs="Arial"/>
        </w:rPr>
        <w:t>(LPA)</w:t>
      </w:r>
    </w:p>
    <w:p w14:paraId="51991301" w14:textId="15DAAA82" w:rsidR="004C1D2A" w:rsidRPr="00DD553B" w:rsidRDefault="004C092E" w:rsidP="006C4190">
      <w:pPr>
        <w:rPr>
          <w:rFonts w:ascii="Arial" w:hAnsi="Arial" w:cs="Arial"/>
          <w:iCs/>
          <w:sz w:val="24"/>
          <w:szCs w:val="24"/>
        </w:rPr>
      </w:pPr>
      <w:r w:rsidRPr="00DD553B">
        <w:rPr>
          <w:rFonts w:ascii="Arial" w:hAnsi="Arial" w:cs="Arial"/>
          <w:iCs/>
          <w:sz w:val="24"/>
          <w:szCs w:val="24"/>
        </w:rPr>
        <w:t xml:space="preserve">The Bill increases the fine limit for fines able to be imposed for complaints of unsatisfactory professional conduct of legal </w:t>
      </w:r>
      <w:r w:rsidR="004C1D2A" w:rsidRPr="00DD553B">
        <w:rPr>
          <w:rFonts w:ascii="Arial" w:hAnsi="Arial" w:cs="Arial"/>
          <w:iCs/>
          <w:sz w:val="24"/>
          <w:szCs w:val="24"/>
        </w:rPr>
        <w:t>practitioners</w:t>
      </w:r>
      <w:r w:rsidRPr="00DD553B">
        <w:rPr>
          <w:rFonts w:ascii="Arial" w:hAnsi="Arial" w:cs="Arial"/>
          <w:iCs/>
          <w:sz w:val="24"/>
          <w:szCs w:val="24"/>
        </w:rPr>
        <w:t xml:space="preserve"> by the </w:t>
      </w:r>
      <w:r w:rsidR="00E1585D">
        <w:rPr>
          <w:rFonts w:ascii="Arial" w:hAnsi="Arial" w:cs="Arial"/>
          <w:iCs/>
          <w:sz w:val="24"/>
          <w:szCs w:val="24"/>
        </w:rPr>
        <w:t>relevant council (the ACT Law Society and ACT Bar Association)</w:t>
      </w:r>
      <w:r w:rsidR="00E1585D" w:rsidRPr="00DD553B">
        <w:rPr>
          <w:rFonts w:ascii="Arial" w:hAnsi="Arial" w:cs="Arial"/>
          <w:iCs/>
          <w:sz w:val="24"/>
          <w:szCs w:val="24"/>
        </w:rPr>
        <w:t xml:space="preserve"> </w:t>
      </w:r>
      <w:r w:rsidRPr="00DD553B">
        <w:rPr>
          <w:rFonts w:ascii="Arial" w:hAnsi="Arial" w:cs="Arial"/>
          <w:iCs/>
          <w:sz w:val="24"/>
          <w:szCs w:val="24"/>
        </w:rPr>
        <w:t xml:space="preserve">and ACAT. This will better align fines in the ACT with other </w:t>
      </w:r>
      <w:r w:rsidR="004C1D2A" w:rsidRPr="00DD553B">
        <w:rPr>
          <w:rFonts w:ascii="Arial" w:hAnsi="Arial" w:cs="Arial"/>
          <w:iCs/>
          <w:sz w:val="24"/>
          <w:szCs w:val="24"/>
        </w:rPr>
        <w:t>jurisdictions</w:t>
      </w:r>
      <w:r w:rsidRPr="00DD553B">
        <w:rPr>
          <w:rFonts w:ascii="Arial" w:hAnsi="Arial" w:cs="Arial"/>
          <w:iCs/>
          <w:sz w:val="24"/>
          <w:szCs w:val="24"/>
        </w:rPr>
        <w:t xml:space="preserve"> and ensure they are commensurate with the behaviour being penalised. </w:t>
      </w:r>
      <w:r w:rsidR="004C1D2A" w:rsidRPr="00DD553B">
        <w:rPr>
          <w:rFonts w:ascii="Arial" w:hAnsi="Arial" w:cs="Arial"/>
          <w:iCs/>
          <w:sz w:val="24"/>
          <w:szCs w:val="24"/>
        </w:rPr>
        <w:t xml:space="preserve">The fine limit has not been reviewed since 2006. The Bill will amend the LPA to increase the maximum amount that can be imposed by way of a fine by the ACTLS from $1500 (currently) to $10,000. The Bill will also increase the maximum amount that can be imposed by ACAT for a finding of unsatisfactory professional conduct that does not amount to professional misconduct from $10,000 to $25,000. </w:t>
      </w:r>
    </w:p>
    <w:p w14:paraId="5A099C87" w14:textId="0D3F613D" w:rsidR="00D40DA5" w:rsidRPr="00D40DA5" w:rsidRDefault="004C1D2A" w:rsidP="006C4190">
      <w:pPr>
        <w:rPr>
          <w:rFonts w:ascii="Arial" w:hAnsi="Arial" w:cs="Arial"/>
          <w:iCs/>
          <w:sz w:val="24"/>
          <w:szCs w:val="24"/>
        </w:rPr>
      </w:pPr>
      <w:r w:rsidRPr="00D40DA5">
        <w:rPr>
          <w:rFonts w:ascii="Arial" w:hAnsi="Arial" w:cs="Arial"/>
          <w:iCs/>
          <w:sz w:val="24"/>
          <w:szCs w:val="24"/>
        </w:rPr>
        <w:t xml:space="preserve">These amendments will allow the </w:t>
      </w:r>
      <w:r w:rsidR="00E1585D">
        <w:rPr>
          <w:rFonts w:ascii="Arial" w:hAnsi="Arial" w:cs="Arial"/>
          <w:iCs/>
          <w:sz w:val="24"/>
          <w:szCs w:val="24"/>
        </w:rPr>
        <w:t>councils</w:t>
      </w:r>
      <w:r w:rsidR="00E1585D" w:rsidRPr="00D40DA5">
        <w:rPr>
          <w:rFonts w:ascii="Arial" w:hAnsi="Arial" w:cs="Arial"/>
          <w:iCs/>
          <w:sz w:val="24"/>
          <w:szCs w:val="24"/>
        </w:rPr>
        <w:t xml:space="preserve"> </w:t>
      </w:r>
      <w:r w:rsidRPr="00D40DA5">
        <w:rPr>
          <w:rFonts w:ascii="Arial" w:hAnsi="Arial" w:cs="Arial"/>
          <w:iCs/>
          <w:sz w:val="24"/>
          <w:szCs w:val="24"/>
        </w:rPr>
        <w:t>to appropriately distinguish between different levels of seriousness of unsatisfactory professional conduct</w:t>
      </w:r>
      <w:r w:rsidR="00E1585D">
        <w:rPr>
          <w:rFonts w:ascii="Arial" w:hAnsi="Arial" w:cs="Arial"/>
          <w:iCs/>
          <w:sz w:val="24"/>
          <w:szCs w:val="24"/>
        </w:rPr>
        <w:t xml:space="preserve"> and</w:t>
      </w:r>
      <w:r w:rsidRPr="00D40DA5">
        <w:rPr>
          <w:rFonts w:ascii="Arial" w:hAnsi="Arial" w:cs="Arial"/>
          <w:iCs/>
          <w:sz w:val="24"/>
          <w:szCs w:val="24"/>
        </w:rPr>
        <w:t xml:space="preserve"> allow a larger number of complaints to be dealt with by the ACTLS</w:t>
      </w:r>
      <w:r w:rsidR="00E1585D">
        <w:rPr>
          <w:rFonts w:ascii="Arial" w:hAnsi="Arial" w:cs="Arial"/>
          <w:iCs/>
          <w:sz w:val="24"/>
          <w:szCs w:val="24"/>
        </w:rPr>
        <w:t xml:space="preserve">, where appropriate, </w:t>
      </w:r>
      <w:r w:rsidRPr="00D40DA5">
        <w:rPr>
          <w:rFonts w:ascii="Arial" w:hAnsi="Arial" w:cs="Arial"/>
          <w:iCs/>
          <w:sz w:val="24"/>
          <w:szCs w:val="24"/>
        </w:rPr>
        <w:t>rather than needing to be referred to ACAT</w:t>
      </w:r>
      <w:r w:rsidR="00E1585D">
        <w:rPr>
          <w:rFonts w:ascii="Arial" w:hAnsi="Arial" w:cs="Arial"/>
          <w:iCs/>
          <w:sz w:val="24"/>
          <w:szCs w:val="24"/>
        </w:rPr>
        <w:t>.</w:t>
      </w:r>
    </w:p>
    <w:p w14:paraId="751DF8D4" w14:textId="77777777" w:rsidR="00D40DA5" w:rsidRPr="00D40DA5" w:rsidRDefault="00D40DA5" w:rsidP="00960D93">
      <w:pPr>
        <w:pStyle w:val="CS-Paragraphnumbering"/>
        <w:keepNext/>
        <w:spacing w:before="240"/>
        <w:rPr>
          <w:rFonts w:ascii="Arial" w:hAnsi="Arial" w:cs="Arial"/>
        </w:rPr>
      </w:pPr>
      <w:r w:rsidRPr="00D40DA5">
        <w:rPr>
          <w:rFonts w:ascii="Arial" w:hAnsi="Arial" w:cs="Arial"/>
          <w:i/>
          <w:iCs/>
        </w:rPr>
        <w:lastRenderedPageBreak/>
        <w:t>Domestic Relationships Act 1994</w:t>
      </w:r>
      <w:r w:rsidRPr="00D40DA5">
        <w:rPr>
          <w:rFonts w:ascii="Arial" w:hAnsi="Arial" w:cs="Arial"/>
        </w:rPr>
        <w:t xml:space="preserve"> and </w:t>
      </w:r>
      <w:r w:rsidRPr="00D40DA5">
        <w:rPr>
          <w:rFonts w:ascii="Arial" w:hAnsi="Arial" w:cs="Arial"/>
          <w:i/>
          <w:iCs/>
        </w:rPr>
        <w:t>Legislation Act 2001</w:t>
      </w:r>
    </w:p>
    <w:p w14:paraId="19DFCA6A" w14:textId="77777777" w:rsidR="00D40DA5" w:rsidRPr="00D40DA5" w:rsidRDefault="00D40DA5" w:rsidP="00960D93">
      <w:pPr>
        <w:pStyle w:val="CS-Paragraphnumbering"/>
        <w:keepNext/>
        <w:spacing w:before="240"/>
        <w:rPr>
          <w:rFonts w:ascii="Arial" w:hAnsi="Arial" w:cs="Arial"/>
        </w:rPr>
      </w:pPr>
      <w:r w:rsidRPr="00D40DA5">
        <w:rPr>
          <w:rFonts w:ascii="Arial" w:hAnsi="Arial" w:cs="Arial"/>
        </w:rPr>
        <w:t xml:space="preserve">The Bill will make minor amendments to the Domestic Relationships Act and Legislation Act to ensure provisions relating to domestic partnerships and civil partnerships are gender inclusive. </w:t>
      </w:r>
    </w:p>
    <w:p w14:paraId="3964FF7A" w14:textId="2D34CC1D" w:rsidR="00D40DA5" w:rsidRPr="00D40DA5" w:rsidRDefault="00D40DA5" w:rsidP="006C4190">
      <w:pPr>
        <w:pStyle w:val="CS-Paragraphnumbering"/>
        <w:spacing w:before="240"/>
        <w:rPr>
          <w:rFonts w:ascii="Arial" w:hAnsi="Arial" w:cs="Arial"/>
        </w:rPr>
      </w:pPr>
      <w:r w:rsidRPr="00D40DA5">
        <w:rPr>
          <w:rFonts w:ascii="Arial" w:hAnsi="Arial" w:cs="Arial"/>
        </w:rPr>
        <w:t xml:space="preserve">The amendment to the Legislation Act will update the section 169(2) definition of ‘domestic partnership’ to be more gender inclusive, in line with </w:t>
      </w:r>
      <w:r w:rsidR="00A866B0">
        <w:rPr>
          <w:rFonts w:ascii="Arial" w:hAnsi="Arial" w:cs="Arial"/>
        </w:rPr>
        <w:t>the</w:t>
      </w:r>
      <w:r w:rsidRPr="00D40DA5">
        <w:rPr>
          <w:rFonts w:ascii="Arial" w:hAnsi="Arial" w:cs="Arial"/>
        </w:rPr>
        <w:t xml:space="preserve"> ACT LGBTIQ+ Legal Audit recommendation 6 to replace references to ‘sex’ with ‘gender’ where appropriate. The definition provides that ‘a domestic partnership is the relationship between 2 people, whether of a different or the same sex, living together as a couple on a genuine domestic basis’. The amendment will remove the phrase ‘whether of a different or the same sex’, as it is now well understood that a domestic partnership does not have to be between persons of different sex or gender. This approach will be more inclusive and better reflect </w:t>
      </w:r>
      <w:r w:rsidR="00A866B0">
        <w:rPr>
          <w:rFonts w:ascii="Arial" w:hAnsi="Arial" w:cs="Arial"/>
        </w:rPr>
        <w:t>inclusive</w:t>
      </w:r>
      <w:r w:rsidR="00A866B0" w:rsidRPr="00D40DA5">
        <w:rPr>
          <w:rFonts w:ascii="Arial" w:hAnsi="Arial" w:cs="Arial"/>
        </w:rPr>
        <w:t xml:space="preserve"> </w:t>
      </w:r>
      <w:r w:rsidRPr="00D40DA5">
        <w:rPr>
          <w:rFonts w:ascii="Arial" w:hAnsi="Arial" w:cs="Arial"/>
        </w:rPr>
        <w:t>relationships and community expectations.</w:t>
      </w:r>
    </w:p>
    <w:p w14:paraId="72A9C349" w14:textId="77777777" w:rsidR="00D40DA5" w:rsidRPr="00D40DA5" w:rsidRDefault="00D40DA5" w:rsidP="006C4190">
      <w:pPr>
        <w:pStyle w:val="CS-Paragraphnumbering"/>
        <w:spacing w:before="240"/>
        <w:rPr>
          <w:rFonts w:ascii="Arial" w:hAnsi="Arial" w:cs="Arial"/>
        </w:rPr>
      </w:pPr>
      <w:r w:rsidRPr="00D40DA5">
        <w:rPr>
          <w:rFonts w:ascii="Arial" w:hAnsi="Arial" w:cs="Arial"/>
        </w:rPr>
        <w:t xml:space="preserve">For the same reasons, the amendment to the Domestic Relationships Act will omit the phrase ‘regardless of their sex’ from section 37D, which regards how civil partnerships are </w:t>
      </w:r>
      <w:proofErr w:type="gramStart"/>
      <w:r w:rsidRPr="00D40DA5">
        <w:rPr>
          <w:rFonts w:ascii="Arial" w:hAnsi="Arial" w:cs="Arial"/>
        </w:rPr>
        <w:t>entered into</w:t>
      </w:r>
      <w:proofErr w:type="gramEnd"/>
      <w:r w:rsidRPr="00D40DA5">
        <w:rPr>
          <w:rFonts w:ascii="Arial" w:hAnsi="Arial" w:cs="Arial"/>
        </w:rPr>
        <w:t>.</w:t>
      </w:r>
    </w:p>
    <w:p w14:paraId="04D1046A" w14:textId="77777777" w:rsidR="004C1D2A" w:rsidRPr="00DD553B" w:rsidRDefault="004C1D2A" w:rsidP="006C4190">
      <w:pPr>
        <w:pStyle w:val="CS-RecommendationList"/>
        <w:numPr>
          <w:ilvl w:val="0"/>
          <w:numId w:val="0"/>
        </w:numPr>
        <w:spacing w:line="276" w:lineRule="auto"/>
        <w:rPr>
          <w:rFonts w:ascii="Arial" w:hAnsi="Arial" w:cs="Arial"/>
          <w:i/>
          <w:iCs w:val="0"/>
        </w:rPr>
      </w:pPr>
      <w:r w:rsidRPr="00DD553B">
        <w:rPr>
          <w:rFonts w:ascii="Arial" w:hAnsi="Arial" w:cs="Arial"/>
          <w:i/>
          <w:iCs w:val="0"/>
        </w:rPr>
        <w:t xml:space="preserve">Major Events Act 2014 </w:t>
      </w:r>
    </w:p>
    <w:p w14:paraId="5CF7EDE3" w14:textId="51CB1BE4" w:rsidR="004C1D2A" w:rsidRPr="004C1D2A" w:rsidRDefault="004C1D2A" w:rsidP="0015151F">
      <w:pPr>
        <w:rPr>
          <w:rFonts w:ascii="Arial" w:hAnsi="Arial" w:cs="Arial"/>
          <w:iCs/>
          <w:sz w:val="24"/>
          <w:szCs w:val="24"/>
        </w:rPr>
      </w:pPr>
      <w:r w:rsidRPr="004C1D2A">
        <w:rPr>
          <w:rFonts w:ascii="Arial" w:hAnsi="Arial" w:cs="Arial"/>
          <w:iCs/>
          <w:sz w:val="24"/>
          <w:szCs w:val="24"/>
        </w:rPr>
        <w:t xml:space="preserve">The Bill </w:t>
      </w:r>
      <w:r w:rsidRPr="00DD553B">
        <w:rPr>
          <w:rFonts w:ascii="Arial" w:hAnsi="Arial" w:cs="Arial"/>
          <w:iCs/>
          <w:sz w:val="24"/>
          <w:szCs w:val="24"/>
        </w:rPr>
        <w:t>makes</w:t>
      </w:r>
      <w:r w:rsidRPr="004C1D2A">
        <w:rPr>
          <w:rFonts w:ascii="Arial" w:hAnsi="Arial" w:cs="Arial"/>
          <w:iCs/>
          <w:sz w:val="24"/>
          <w:szCs w:val="24"/>
        </w:rPr>
        <w:t xml:space="preserve"> amendments to the </w:t>
      </w:r>
      <w:r w:rsidRPr="004C1D2A">
        <w:rPr>
          <w:rFonts w:ascii="Arial" w:hAnsi="Arial" w:cs="Arial"/>
          <w:i/>
          <w:iCs/>
          <w:sz w:val="24"/>
          <w:szCs w:val="24"/>
        </w:rPr>
        <w:t xml:space="preserve">Major Events Act 2014 </w:t>
      </w:r>
      <w:r w:rsidRPr="004C1D2A">
        <w:rPr>
          <w:rFonts w:ascii="Arial" w:hAnsi="Arial" w:cs="Arial"/>
          <w:iCs/>
          <w:sz w:val="24"/>
          <w:szCs w:val="24"/>
        </w:rPr>
        <w:t>to</w:t>
      </w:r>
      <w:r w:rsidR="0015151F">
        <w:rPr>
          <w:rFonts w:ascii="Arial" w:hAnsi="Arial" w:cs="Arial"/>
          <w:iCs/>
          <w:sz w:val="24"/>
          <w:szCs w:val="24"/>
        </w:rPr>
        <w:t xml:space="preserve"> clarify the application of offence and other provisions.</w:t>
      </w:r>
      <w:r w:rsidR="00F73B45" w:rsidRPr="000723D9">
        <w:t xml:space="preserve"> </w:t>
      </w:r>
      <w:r w:rsidRPr="004C1D2A">
        <w:rPr>
          <w:rFonts w:ascii="Arial" w:hAnsi="Arial" w:cs="Arial"/>
          <w:iCs/>
          <w:sz w:val="24"/>
          <w:szCs w:val="24"/>
        </w:rPr>
        <w:t xml:space="preserve"> </w:t>
      </w:r>
    </w:p>
    <w:p w14:paraId="0814ABDB" w14:textId="77777777" w:rsidR="004C1D2A" w:rsidRPr="00D40DA5" w:rsidRDefault="004C1D2A" w:rsidP="006C4190">
      <w:pPr>
        <w:rPr>
          <w:rFonts w:ascii="Arial" w:hAnsi="Arial" w:cs="Arial"/>
          <w:iCs/>
          <w:sz w:val="24"/>
          <w:szCs w:val="24"/>
        </w:rPr>
      </w:pPr>
      <w:r w:rsidRPr="00D40DA5">
        <w:rPr>
          <w:rFonts w:ascii="Arial" w:hAnsi="Arial" w:cs="Arial"/>
          <w:i/>
          <w:iCs/>
          <w:sz w:val="24"/>
          <w:szCs w:val="24"/>
        </w:rPr>
        <w:t xml:space="preserve">Official Visitor Act 2012 </w:t>
      </w:r>
      <w:r w:rsidRPr="00D40DA5">
        <w:rPr>
          <w:rFonts w:ascii="Arial" w:hAnsi="Arial" w:cs="Arial"/>
          <w:iCs/>
          <w:sz w:val="24"/>
          <w:szCs w:val="24"/>
        </w:rPr>
        <w:t>(OVA)</w:t>
      </w:r>
    </w:p>
    <w:p w14:paraId="4A87D0B9" w14:textId="71FFBE33" w:rsidR="00D40DA5" w:rsidRPr="00D40DA5" w:rsidRDefault="00D40DA5" w:rsidP="006C4190">
      <w:pPr>
        <w:pStyle w:val="CS-Paragraphnumbering"/>
        <w:spacing w:before="240"/>
        <w:rPr>
          <w:rFonts w:ascii="Arial" w:hAnsi="Arial" w:cs="Arial"/>
        </w:rPr>
      </w:pPr>
      <w:r w:rsidRPr="00D40DA5">
        <w:rPr>
          <w:rFonts w:ascii="Arial" w:hAnsi="Arial" w:cs="Arial"/>
        </w:rPr>
        <w:t>The Bill make</w:t>
      </w:r>
      <w:r w:rsidR="00923632">
        <w:rPr>
          <w:rFonts w:ascii="Arial" w:hAnsi="Arial" w:cs="Arial"/>
        </w:rPr>
        <w:t>s</w:t>
      </w:r>
      <w:r w:rsidRPr="00D40DA5">
        <w:rPr>
          <w:rFonts w:ascii="Arial" w:hAnsi="Arial" w:cs="Arial"/>
        </w:rPr>
        <w:t xml:space="preserve"> amendments to the OVA to clarify the eligibility requirements for </w:t>
      </w:r>
      <w:r w:rsidR="00923632">
        <w:rPr>
          <w:rFonts w:ascii="Arial" w:hAnsi="Arial" w:cs="Arial"/>
        </w:rPr>
        <w:t xml:space="preserve">the appointment of Official Visitors and their </w:t>
      </w:r>
      <w:proofErr w:type="gramStart"/>
      <w:r w:rsidR="00923632">
        <w:rPr>
          <w:rFonts w:ascii="Arial" w:hAnsi="Arial" w:cs="Arial"/>
        </w:rPr>
        <w:t>conflict of interest</w:t>
      </w:r>
      <w:proofErr w:type="gramEnd"/>
      <w:r w:rsidR="00923632">
        <w:rPr>
          <w:rFonts w:ascii="Arial" w:hAnsi="Arial" w:cs="Arial"/>
        </w:rPr>
        <w:t xml:space="preserve"> obligations, </w:t>
      </w:r>
      <w:r w:rsidRPr="00D40DA5">
        <w:rPr>
          <w:rFonts w:ascii="Arial" w:hAnsi="Arial" w:cs="Arial"/>
        </w:rPr>
        <w:t xml:space="preserve">and to validate the appointment of an </w:t>
      </w:r>
      <w:r w:rsidR="005F0C13">
        <w:rPr>
          <w:rFonts w:ascii="Arial" w:hAnsi="Arial" w:cs="Arial"/>
        </w:rPr>
        <w:t>Official Visitor</w:t>
      </w:r>
      <w:r w:rsidRPr="00D40DA5">
        <w:rPr>
          <w:rFonts w:ascii="Arial" w:hAnsi="Arial" w:cs="Arial"/>
        </w:rPr>
        <w:t xml:space="preserve">.  </w:t>
      </w:r>
    </w:p>
    <w:p w14:paraId="575F2631" w14:textId="056D5C21" w:rsidR="00D40DA5" w:rsidRPr="00D40DA5" w:rsidRDefault="00D40DA5" w:rsidP="006C4190">
      <w:pPr>
        <w:pStyle w:val="CS-Paragraphnumbering"/>
        <w:spacing w:before="240"/>
        <w:rPr>
          <w:rFonts w:ascii="Arial" w:hAnsi="Arial" w:cs="Arial"/>
        </w:rPr>
      </w:pPr>
      <w:r w:rsidRPr="00D40DA5">
        <w:rPr>
          <w:rFonts w:ascii="Arial" w:hAnsi="Arial" w:cs="Arial"/>
        </w:rPr>
        <w:t xml:space="preserve">The OVA prohibits a person from being eligible for appointment if they are a ‘public employee’. This was intended to prevent </w:t>
      </w:r>
      <w:r w:rsidR="005F0C13">
        <w:rPr>
          <w:rFonts w:ascii="Arial" w:hAnsi="Arial" w:cs="Arial"/>
        </w:rPr>
        <w:t>Official Visitors</w:t>
      </w:r>
      <w:r w:rsidRPr="00D40DA5">
        <w:rPr>
          <w:rFonts w:ascii="Arial" w:hAnsi="Arial" w:cs="Arial"/>
        </w:rPr>
        <w:t xml:space="preserve"> from being public servants, to ensure that </w:t>
      </w:r>
      <w:r w:rsidR="005F0C13">
        <w:rPr>
          <w:rFonts w:ascii="Arial" w:hAnsi="Arial" w:cs="Arial"/>
        </w:rPr>
        <w:t>Official Visitors</w:t>
      </w:r>
      <w:r w:rsidRPr="00D40DA5">
        <w:rPr>
          <w:rFonts w:ascii="Arial" w:hAnsi="Arial" w:cs="Arial"/>
        </w:rPr>
        <w:t xml:space="preserve"> exercise their functions independent from government influence. However, </w:t>
      </w:r>
      <w:r w:rsidR="00CC7BDE">
        <w:rPr>
          <w:rFonts w:ascii="Arial" w:hAnsi="Arial" w:cs="Arial"/>
        </w:rPr>
        <w:t xml:space="preserve">the technical legislative </w:t>
      </w:r>
      <w:r w:rsidRPr="00D40DA5">
        <w:rPr>
          <w:rFonts w:ascii="Arial" w:hAnsi="Arial" w:cs="Arial"/>
        </w:rPr>
        <w:t xml:space="preserve">definition of ‘public employee’ </w:t>
      </w:r>
      <w:r w:rsidR="00CC7BDE">
        <w:rPr>
          <w:rFonts w:ascii="Arial" w:hAnsi="Arial" w:cs="Arial"/>
        </w:rPr>
        <w:t>is broader and</w:t>
      </w:r>
      <w:r w:rsidRPr="00D40DA5">
        <w:rPr>
          <w:rFonts w:ascii="Arial" w:hAnsi="Arial" w:cs="Arial"/>
        </w:rPr>
        <w:t xml:space="preserve"> include</w:t>
      </w:r>
      <w:r w:rsidR="00CC7BDE">
        <w:rPr>
          <w:rFonts w:ascii="Arial" w:hAnsi="Arial" w:cs="Arial"/>
        </w:rPr>
        <w:t>s</w:t>
      </w:r>
      <w:r w:rsidRPr="00D40DA5">
        <w:rPr>
          <w:rFonts w:ascii="Arial" w:hAnsi="Arial" w:cs="Arial"/>
        </w:rPr>
        <w:t xml:space="preserve"> statutory office holders. It was not originally intended that </w:t>
      </w:r>
      <w:r w:rsidR="00CC7BDE">
        <w:rPr>
          <w:rFonts w:ascii="Arial" w:hAnsi="Arial" w:cs="Arial"/>
        </w:rPr>
        <w:t>holding another</w:t>
      </w:r>
      <w:r w:rsidR="00CC7BDE" w:rsidRPr="00D40DA5">
        <w:rPr>
          <w:rFonts w:ascii="Arial" w:hAnsi="Arial" w:cs="Arial"/>
        </w:rPr>
        <w:t xml:space="preserve"> </w:t>
      </w:r>
      <w:r w:rsidRPr="00D40DA5">
        <w:rPr>
          <w:rFonts w:ascii="Arial" w:hAnsi="Arial" w:cs="Arial"/>
        </w:rPr>
        <w:t>statutory office holder role</w:t>
      </w:r>
      <w:r>
        <w:rPr>
          <w:rFonts w:ascii="Arial" w:hAnsi="Arial" w:cs="Arial"/>
        </w:rPr>
        <w:t xml:space="preserve"> would</w:t>
      </w:r>
      <w:r w:rsidRPr="00D40DA5">
        <w:rPr>
          <w:rFonts w:ascii="Arial" w:hAnsi="Arial" w:cs="Arial"/>
        </w:rPr>
        <w:t xml:space="preserve"> </w:t>
      </w:r>
      <w:r w:rsidR="00CC7BDE">
        <w:rPr>
          <w:rFonts w:ascii="Arial" w:hAnsi="Arial" w:cs="Arial"/>
        </w:rPr>
        <w:t xml:space="preserve">necessarily </w:t>
      </w:r>
      <w:r w:rsidRPr="00D40DA5">
        <w:rPr>
          <w:rFonts w:ascii="Arial" w:hAnsi="Arial" w:cs="Arial"/>
        </w:rPr>
        <w:t>make someone ineligible</w:t>
      </w:r>
      <w:r w:rsidR="00332DB4">
        <w:rPr>
          <w:rFonts w:ascii="Arial" w:hAnsi="Arial" w:cs="Arial"/>
        </w:rPr>
        <w:t xml:space="preserve"> for appointment as an </w:t>
      </w:r>
      <w:r w:rsidR="00CC7BDE">
        <w:rPr>
          <w:rFonts w:ascii="Arial" w:hAnsi="Arial" w:cs="Arial"/>
        </w:rPr>
        <w:t>Official Visitor</w:t>
      </w:r>
      <w:r w:rsidRPr="00D40DA5">
        <w:rPr>
          <w:rFonts w:ascii="Arial" w:hAnsi="Arial" w:cs="Arial"/>
        </w:rPr>
        <w:t>.</w:t>
      </w:r>
      <w:r w:rsidR="00745207">
        <w:rPr>
          <w:rFonts w:ascii="Arial" w:hAnsi="Arial" w:cs="Arial"/>
        </w:rPr>
        <w:t xml:space="preserve"> </w:t>
      </w:r>
      <w:r w:rsidRPr="00D40DA5">
        <w:rPr>
          <w:rFonts w:ascii="Arial" w:hAnsi="Arial" w:cs="Arial"/>
        </w:rPr>
        <w:t xml:space="preserve">The OVA also prohibits a person from being eligible if they hold a ‘relevant interest in relation to the place’. </w:t>
      </w:r>
      <w:r w:rsidR="005F0C13">
        <w:rPr>
          <w:rFonts w:ascii="Arial" w:hAnsi="Arial" w:cs="Arial"/>
        </w:rPr>
        <w:t>Official Visitors</w:t>
      </w:r>
      <w:r w:rsidRPr="00D40DA5">
        <w:rPr>
          <w:rFonts w:ascii="Arial" w:hAnsi="Arial" w:cs="Arial"/>
        </w:rPr>
        <w:t xml:space="preserve"> have raised concerns about a lack of clarity in relation to the scope of relevant interests.  </w:t>
      </w:r>
    </w:p>
    <w:p w14:paraId="78490F99" w14:textId="20131BDD" w:rsidR="00D40DA5" w:rsidRPr="00D40DA5" w:rsidRDefault="00D40DA5" w:rsidP="006C4190">
      <w:pPr>
        <w:pStyle w:val="CS-Paragraphnumbering"/>
        <w:spacing w:before="240"/>
        <w:rPr>
          <w:rFonts w:ascii="Arial" w:hAnsi="Arial" w:cs="Arial"/>
        </w:rPr>
      </w:pPr>
      <w:r w:rsidRPr="00D40DA5">
        <w:rPr>
          <w:rFonts w:ascii="Arial" w:hAnsi="Arial" w:cs="Arial"/>
        </w:rPr>
        <w:t>The Bill address</w:t>
      </w:r>
      <w:r w:rsidR="006C4190">
        <w:rPr>
          <w:rFonts w:ascii="Arial" w:hAnsi="Arial" w:cs="Arial"/>
        </w:rPr>
        <w:t>es</w:t>
      </w:r>
      <w:r w:rsidRPr="00D40DA5">
        <w:rPr>
          <w:rFonts w:ascii="Arial" w:hAnsi="Arial" w:cs="Arial"/>
        </w:rPr>
        <w:t xml:space="preserve"> these concerns by amending the eligibility criteria to provide that a person cannot be appointed as an </w:t>
      </w:r>
      <w:r w:rsidR="005F0C13">
        <w:rPr>
          <w:rFonts w:ascii="Arial" w:hAnsi="Arial" w:cs="Arial"/>
        </w:rPr>
        <w:t>Official Visitor</w:t>
      </w:r>
      <w:r w:rsidRPr="00D40DA5">
        <w:rPr>
          <w:rFonts w:ascii="Arial" w:hAnsi="Arial" w:cs="Arial"/>
        </w:rPr>
        <w:t xml:space="preserve"> if they are a ‘public servant’, or if they have an actual or perceived conflict of interest that would prevent them from properly carrying out the functions of an </w:t>
      </w:r>
      <w:r w:rsidR="005F0C13">
        <w:rPr>
          <w:rFonts w:ascii="Arial" w:hAnsi="Arial" w:cs="Arial"/>
        </w:rPr>
        <w:t>Official Visitor</w:t>
      </w:r>
      <w:r w:rsidRPr="00D40DA5">
        <w:rPr>
          <w:rFonts w:ascii="Arial" w:hAnsi="Arial" w:cs="Arial"/>
        </w:rPr>
        <w:t xml:space="preserve"> for the place. This will mean </w:t>
      </w:r>
      <w:r w:rsidRPr="00D40DA5">
        <w:rPr>
          <w:rFonts w:ascii="Arial" w:hAnsi="Arial" w:cs="Arial"/>
        </w:rPr>
        <w:lastRenderedPageBreak/>
        <w:t xml:space="preserve">that someone could still be eligible for appointment if they hold a statutory office holder role, provided this does not give rise to a conflict of interest. </w:t>
      </w:r>
    </w:p>
    <w:p w14:paraId="75048C50" w14:textId="3C84D4C9" w:rsidR="00D40DA5" w:rsidRPr="00D40DA5" w:rsidRDefault="00D40DA5" w:rsidP="006C4190">
      <w:pPr>
        <w:pStyle w:val="CS-Paragraphnumbering"/>
        <w:spacing w:before="240"/>
        <w:rPr>
          <w:rFonts w:ascii="Arial" w:hAnsi="Arial" w:cs="Arial"/>
        </w:rPr>
      </w:pPr>
      <w:r w:rsidRPr="00D40DA5">
        <w:rPr>
          <w:rFonts w:ascii="Arial" w:hAnsi="Arial" w:cs="Arial"/>
        </w:rPr>
        <w:t>The Bill validate</w:t>
      </w:r>
      <w:r w:rsidR="006C4190">
        <w:rPr>
          <w:rFonts w:ascii="Arial" w:hAnsi="Arial" w:cs="Arial"/>
        </w:rPr>
        <w:t>s</w:t>
      </w:r>
      <w:r w:rsidRPr="00D40DA5">
        <w:rPr>
          <w:rFonts w:ascii="Arial" w:hAnsi="Arial" w:cs="Arial"/>
        </w:rPr>
        <w:t xml:space="preserve"> the appointment of an </w:t>
      </w:r>
      <w:r w:rsidR="005F0C13">
        <w:rPr>
          <w:rFonts w:ascii="Arial" w:hAnsi="Arial" w:cs="Arial"/>
        </w:rPr>
        <w:t>Official Visitor</w:t>
      </w:r>
      <w:r w:rsidRPr="00D40DA5">
        <w:rPr>
          <w:rFonts w:ascii="Arial" w:hAnsi="Arial" w:cs="Arial"/>
        </w:rPr>
        <w:t xml:space="preserve"> that was found to be invalid due to an administrative oversight. At the time of the person’s appointment, it was not known by the Board and appointing committee that ‘public employee’ included statutory office holders</w:t>
      </w:r>
      <w:r w:rsidR="00EE560A">
        <w:rPr>
          <w:rFonts w:ascii="Arial" w:hAnsi="Arial" w:cs="Arial"/>
        </w:rPr>
        <w:t>, even where this does not give rise to a conflict of interest,</w:t>
      </w:r>
      <w:r w:rsidR="00745207">
        <w:rPr>
          <w:rFonts w:ascii="Arial" w:hAnsi="Arial" w:cs="Arial"/>
        </w:rPr>
        <w:t xml:space="preserve"> </w:t>
      </w:r>
      <w:r w:rsidRPr="00D40DA5">
        <w:rPr>
          <w:rFonts w:ascii="Arial" w:hAnsi="Arial" w:cs="Arial"/>
        </w:rPr>
        <w:t>and therefore the person was not eligible for appointment</w:t>
      </w:r>
      <w:r w:rsidR="00CC7BDE">
        <w:rPr>
          <w:rFonts w:ascii="Arial" w:hAnsi="Arial" w:cs="Arial"/>
        </w:rPr>
        <w:t xml:space="preserve"> due to a concurrent statutory role</w:t>
      </w:r>
      <w:r w:rsidRPr="00D40DA5">
        <w:rPr>
          <w:rFonts w:ascii="Arial" w:hAnsi="Arial" w:cs="Arial"/>
        </w:rPr>
        <w:t>. The amendment will seek to rectify this oversight.</w:t>
      </w:r>
    </w:p>
    <w:p w14:paraId="5FF89EB4" w14:textId="2831A4B4" w:rsidR="004C1D2A" w:rsidRPr="00DD553B" w:rsidRDefault="008234FC" w:rsidP="006C4190">
      <w:pPr>
        <w:rPr>
          <w:rFonts w:ascii="Arial" w:hAnsi="Arial" w:cs="Arial"/>
          <w:iCs/>
          <w:sz w:val="24"/>
          <w:szCs w:val="24"/>
        </w:rPr>
      </w:pPr>
      <w:bookmarkStart w:id="2" w:name="_Hlk210233103"/>
      <w:r w:rsidRPr="00D40DA5">
        <w:rPr>
          <w:rFonts w:ascii="Arial" w:hAnsi="Arial" w:cs="Arial"/>
          <w:iCs/>
          <w:sz w:val="24"/>
          <w:szCs w:val="24"/>
        </w:rPr>
        <w:t>Finally, the Bill provide</w:t>
      </w:r>
      <w:r w:rsidR="006C4190">
        <w:rPr>
          <w:rFonts w:ascii="Arial" w:hAnsi="Arial" w:cs="Arial"/>
          <w:iCs/>
          <w:sz w:val="24"/>
          <w:szCs w:val="24"/>
        </w:rPr>
        <w:t>s</w:t>
      </w:r>
      <w:r w:rsidRPr="00D40DA5">
        <w:rPr>
          <w:rFonts w:ascii="Arial" w:hAnsi="Arial" w:cs="Arial"/>
          <w:iCs/>
          <w:sz w:val="24"/>
          <w:szCs w:val="24"/>
        </w:rPr>
        <w:t xml:space="preserve"> that an </w:t>
      </w:r>
      <w:r w:rsidR="005F0C13">
        <w:rPr>
          <w:rFonts w:ascii="Arial" w:hAnsi="Arial" w:cs="Arial"/>
          <w:iCs/>
          <w:sz w:val="24"/>
          <w:szCs w:val="24"/>
        </w:rPr>
        <w:t>Official Visitor</w:t>
      </w:r>
      <w:r w:rsidRPr="00D40DA5">
        <w:rPr>
          <w:rFonts w:ascii="Arial" w:hAnsi="Arial" w:cs="Arial"/>
          <w:iCs/>
          <w:sz w:val="24"/>
          <w:szCs w:val="24"/>
        </w:rPr>
        <w:t xml:space="preserve"> must take all reasonable steps to avoid being placed in a position where a conflict of interest arises during the exercise of their functions</w:t>
      </w:r>
      <w:r w:rsidR="00245795">
        <w:rPr>
          <w:rFonts w:ascii="Arial" w:hAnsi="Arial" w:cs="Arial"/>
          <w:iCs/>
          <w:sz w:val="24"/>
          <w:szCs w:val="24"/>
        </w:rPr>
        <w:t xml:space="preserve"> and require</w:t>
      </w:r>
      <w:r w:rsidR="006C4190">
        <w:rPr>
          <w:rFonts w:ascii="Arial" w:hAnsi="Arial" w:cs="Arial"/>
          <w:iCs/>
          <w:sz w:val="24"/>
          <w:szCs w:val="24"/>
        </w:rPr>
        <w:t>s</w:t>
      </w:r>
      <w:r w:rsidR="00245795">
        <w:rPr>
          <w:rFonts w:ascii="Arial" w:hAnsi="Arial" w:cs="Arial"/>
          <w:iCs/>
          <w:sz w:val="24"/>
          <w:szCs w:val="24"/>
        </w:rPr>
        <w:t xml:space="preserve"> </w:t>
      </w:r>
      <w:r w:rsidR="005F0C13">
        <w:rPr>
          <w:rFonts w:ascii="Arial" w:hAnsi="Arial" w:cs="Arial"/>
          <w:iCs/>
          <w:sz w:val="24"/>
          <w:szCs w:val="24"/>
        </w:rPr>
        <w:t>Official Visitors</w:t>
      </w:r>
      <w:r w:rsidR="00245795">
        <w:rPr>
          <w:rFonts w:ascii="Arial" w:hAnsi="Arial" w:cs="Arial"/>
          <w:iCs/>
          <w:sz w:val="24"/>
          <w:szCs w:val="24"/>
        </w:rPr>
        <w:t xml:space="preserve"> to </w:t>
      </w:r>
      <w:r w:rsidR="006C4190">
        <w:rPr>
          <w:rFonts w:ascii="Arial" w:hAnsi="Arial" w:cs="Arial"/>
          <w:iCs/>
          <w:sz w:val="24"/>
          <w:szCs w:val="24"/>
        </w:rPr>
        <w:t>give written notice throughout the duration of their appoint</w:t>
      </w:r>
      <w:r w:rsidR="00245795">
        <w:rPr>
          <w:rFonts w:ascii="Arial" w:hAnsi="Arial" w:cs="Arial"/>
          <w:iCs/>
          <w:sz w:val="24"/>
          <w:szCs w:val="24"/>
        </w:rPr>
        <w:t xml:space="preserve"> </w:t>
      </w:r>
      <w:r w:rsidR="006C4190">
        <w:rPr>
          <w:rFonts w:ascii="Arial" w:hAnsi="Arial" w:cs="Arial"/>
          <w:iCs/>
          <w:sz w:val="24"/>
          <w:szCs w:val="24"/>
        </w:rPr>
        <w:t>of any paid employment the Official Visitor proposes to undertake, and any activity the Official Visitor proposes to undertake that may give rise to a conflict of interest during the exercise of the Official Visitor’s functions</w:t>
      </w:r>
      <w:r w:rsidR="00245795">
        <w:rPr>
          <w:rFonts w:ascii="Arial" w:hAnsi="Arial" w:cs="Arial"/>
          <w:iCs/>
          <w:sz w:val="24"/>
          <w:szCs w:val="24"/>
        </w:rPr>
        <w:t xml:space="preserve">. </w:t>
      </w:r>
      <w:r w:rsidR="00137FD0">
        <w:rPr>
          <w:rFonts w:ascii="Arial" w:hAnsi="Arial" w:cs="Arial"/>
          <w:iCs/>
          <w:sz w:val="24"/>
          <w:szCs w:val="24"/>
        </w:rPr>
        <w:t xml:space="preserve">This may include, for example, volunteering for a service provider in a visitable place or acquiring shares in a company involved in a visitable place. </w:t>
      </w:r>
      <w:r w:rsidRPr="00D40DA5">
        <w:rPr>
          <w:rFonts w:ascii="Arial" w:hAnsi="Arial" w:cs="Arial"/>
          <w:iCs/>
          <w:sz w:val="24"/>
          <w:szCs w:val="24"/>
        </w:rPr>
        <w:t xml:space="preserve">This will </w:t>
      </w:r>
      <w:r w:rsidR="00745207">
        <w:rPr>
          <w:rFonts w:ascii="Arial" w:hAnsi="Arial" w:cs="Arial"/>
          <w:iCs/>
          <w:sz w:val="24"/>
          <w:szCs w:val="24"/>
        </w:rPr>
        <w:t>support</w:t>
      </w:r>
      <w:r w:rsidRPr="00D40DA5">
        <w:rPr>
          <w:rFonts w:ascii="Arial" w:hAnsi="Arial" w:cs="Arial"/>
          <w:iCs/>
          <w:sz w:val="24"/>
          <w:szCs w:val="24"/>
        </w:rPr>
        <w:t xml:space="preserve"> the Minister’s obligations under s12(2)(b) to terminate an </w:t>
      </w:r>
      <w:r w:rsidR="005F0C13">
        <w:rPr>
          <w:rFonts w:ascii="Arial" w:hAnsi="Arial" w:cs="Arial"/>
          <w:iCs/>
          <w:sz w:val="24"/>
          <w:szCs w:val="24"/>
        </w:rPr>
        <w:t>Official Visitor</w:t>
      </w:r>
      <w:r w:rsidRPr="00D40DA5">
        <w:rPr>
          <w:rFonts w:ascii="Arial" w:hAnsi="Arial" w:cs="Arial"/>
          <w:iCs/>
          <w:sz w:val="24"/>
          <w:szCs w:val="24"/>
        </w:rPr>
        <w:t xml:space="preserve"> appointment if the </w:t>
      </w:r>
      <w:r w:rsidR="005F0C13">
        <w:rPr>
          <w:rFonts w:ascii="Arial" w:hAnsi="Arial" w:cs="Arial"/>
          <w:iCs/>
          <w:sz w:val="24"/>
          <w:szCs w:val="24"/>
        </w:rPr>
        <w:t>Official Visitor</w:t>
      </w:r>
      <w:r w:rsidRPr="00D40DA5">
        <w:rPr>
          <w:rFonts w:ascii="Arial" w:hAnsi="Arial" w:cs="Arial"/>
          <w:iCs/>
          <w:sz w:val="24"/>
          <w:szCs w:val="24"/>
        </w:rPr>
        <w:t xml:space="preserve"> </w:t>
      </w:r>
      <w:r w:rsidR="00745207">
        <w:rPr>
          <w:rFonts w:ascii="Arial" w:hAnsi="Arial" w:cs="Arial"/>
          <w:iCs/>
          <w:sz w:val="24"/>
          <w:szCs w:val="24"/>
        </w:rPr>
        <w:t xml:space="preserve">fails to take all reasonable steps to avoid being placed in a position where </w:t>
      </w:r>
      <w:r w:rsidR="0012553A">
        <w:rPr>
          <w:rFonts w:ascii="Arial" w:hAnsi="Arial" w:cs="Arial"/>
          <w:iCs/>
          <w:sz w:val="24"/>
          <w:szCs w:val="24"/>
        </w:rPr>
        <w:t>a</w:t>
      </w:r>
      <w:r w:rsidR="00745207">
        <w:rPr>
          <w:rFonts w:ascii="Arial" w:hAnsi="Arial" w:cs="Arial"/>
          <w:iCs/>
          <w:sz w:val="24"/>
          <w:szCs w:val="24"/>
        </w:rPr>
        <w:t xml:space="preserve"> conflict of interest arises during the exercise of their functions. </w:t>
      </w:r>
    </w:p>
    <w:bookmarkEnd w:id="2"/>
    <w:p w14:paraId="4CA8DA46" w14:textId="12C30863" w:rsidR="004C1D2A" w:rsidRPr="004C1D2A" w:rsidRDefault="008D68EB" w:rsidP="006C4190">
      <w:pPr>
        <w:pStyle w:val="CS-RecommendationList"/>
        <w:numPr>
          <w:ilvl w:val="0"/>
          <w:numId w:val="0"/>
        </w:numPr>
        <w:spacing w:line="276" w:lineRule="auto"/>
        <w:rPr>
          <w:rFonts w:ascii="Arial" w:hAnsi="Arial" w:cs="Arial"/>
          <w:i/>
          <w:iCs w:val="0"/>
        </w:rPr>
      </w:pPr>
      <w:r w:rsidRPr="00DD553B">
        <w:rPr>
          <w:rFonts w:ascii="Arial" w:hAnsi="Arial" w:cs="Arial"/>
          <w:i/>
          <w:iCs w:val="0"/>
        </w:rPr>
        <w:t>Wills Act 1968</w:t>
      </w:r>
    </w:p>
    <w:p w14:paraId="0F65D929" w14:textId="64C9C4B7" w:rsidR="00DD553B" w:rsidRPr="00DD553B" w:rsidRDefault="00DD553B" w:rsidP="006C4190">
      <w:pPr>
        <w:rPr>
          <w:rFonts w:ascii="Arial" w:hAnsi="Arial" w:cs="Arial"/>
          <w:iCs/>
          <w:sz w:val="24"/>
          <w:szCs w:val="24"/>
        </w:rPr>
      </w:pPr>
      <w:r w:rsidRPr="00DD553B">
        <w:rPr>
          <w:rFonts w:ascii="Arial" w:hAnsi="Arial" w:cs="Arial"/>
          <w:iCs/>
          <w:sz w:val="24"/>
          <w:szCs w:val="24"/>
        </w:rPr>
        <w:t xml:space="preserve">The Bill will make amendments to the Wills Act to facilitate a centralised Will Register for the ACT under the Public Trustee and Guardian. Legal Aid ACT hold </w:t>
      </w:r>
      <w:r w:rsidR="00D40DA5">
        <w:rPr>
          <w:rFonts w:ascii="Arial" w:hAnsi="Arial" w:cs="Arial"/>
          <w:iCs/>
          <w:sz w:val="24"/>
          <w:szCs w:val="24"/>
        </w:rPr>
        <w:t>several</w:t>
      </w:r>
      <w:r w:rsidRPr="00DD553B">
        <w:rPr>
          <w:rFonts w:ascii="Arial" w:hAnsi="Arial" w:cs="Arial"/>
          <w:iCs/>
          <w:sz w:val="24"/>
          <w:szCs w:val="24"/>
        </w:rPr>
        <w:t xml:space="preserve"> wills that need to be transferred to the Public Trustee and Guardian</w:t>
      </w:r>
      <w:r w:rsidR="00D40DA5">
        <w:rPr>
          <w:rFonts w:ascii="Arial" w:hAnsi="Arial" w:cs="Arial"/>
          <w:iCs/>
          <w:sz w:val="24"/>
          <w:szCs w:val="24"/>
        </w:rPr>
        <w:t>. L</w:t>
      </w:r>
      <w:r w:rsidRPr="00DD553B">
        <w:rPr>
          <w:rFonts w:ascii="Arial" w:hAnsi="Arial" w:cs="Arial"/>
          <w:iCs/>
          <w:sz w:val="24"/>
          <w:szCs w:val="24"/>
        </w:rPr>
        <w:t>egislative amendment is necessary to allow this transfer so that the wills can all be held safely by one entity.</w:t>
      </w:r>
      <w:r w:rsidRPr="00DD553B">
        <w:rPr>
          <w:rFonts w:ascii="Arial" w:eastAsiaTheme="minorHAnsi" w:hAnsi="Arial" w:cs="Arial"/>
          <w:sz w:val="24"/>
          <w:szCs w:val="24"/>
        </w:rPr>
        <w:t xml:space="preserve"> </w:t>
      </w:r>
      <w:r w:rsidRPr="00DD553B">
        <w:rPr>
          <w:rFonts w:ascii="Arial" w:hAnsi="Arial" w:cs="Arial"/>
          <w:iCs/>
          <w:sz w:val="24"/>
          <w:szCs w:val="24"/>
        </w:rPr>
        <w:t xml:space="preserve">There is a significant benefit to the ACT Community in having all wills deposited with statutory agencies in the ACT being centralised. This will allow for improved data security and records management, easier searching and a single source of truth. </w:t>
      </w:r>
    </w:p>
    <w:p w14:paraId="4EE2841A" w14:textId="77777777" w:rsidR="00DD553B" w:rsidRPr="00DD553B" w:rsidRDefault="00DD553B" w:rsidP="006C4190">
      <w:pPr>
        <w:pStyle w:val="CS-RecommendationList"/>
        <w:numPr>
          <w:ilvl w:val="0"/>
          <w:numId w:val="0"/>
        </w:numPr>
        <w:tabs>
          <w:tab w:val="left" w:pos="284"/>
        </w:tabs>
        <w:spacing w:line="276" w:lineRule="auto"/>
        <w:rPr>
          <w:rFonts w:ascii="Arial" w:hAnsi="Arial" w:cs="Arial"/>
        </w:rPr>
      </w:pPr>
      <w:r w:rsidRPr="00DD553B">
        <w:rPr>
          <w:rFonts w:ascii="Arial" w:hAnsi="Arial" w:cs="Arial"/>
          <w:i/>
          <w:iCs w:val="0"/>
        </w:rPr>
        <w:t xml:space="preserve">Working with Vulnerable People (Background Checking) Act 2011 </w:t>
      </w:r>
      <w:r w:rsidRPr="00DD553B">
        <w:rPr>
          <w:rFonts w:ascii="Arial" w:hAnsi="Arial" w:cs="Arial"/>
        </w:rPr>
        <w:t>(WWVP Act)</w:t>
      </w:r>
    </w:p>
    <w:p w14:paraId="7D62CA78" w14:textId="77777777" w:rsidR="00FE340E" w:rsidRDefault="00FE340E" w:rsidP="006C4190">
      <w:pPr>
        <w:pStyle w:val="CS-Paragraphnumbering"/>
        <w:tabs>
          <w:tab w:val="left" w:pos="426"/>
        </w:tabs>
        <w:spacing w:before="240"/>
        <w:rPr>
          <w:rFonts w:ascii="Arial" w:hAnsi="Arial" w:cs="Arial"/>
        </w:rPr>
      </w:pPr>
      <w:r w:rsidRPr="007D0CF5">
        <w:rPr>
          <w:rFonts w:ascii="Arial" w:hAnsi="Arial" w:cs="Arial"/>
        </w:rPr>
        <w:t>The Bill makes amendments to the WWVP Act to clarify information</w:t>
      </w:r>
      <w:r>
        <w:rPr>
          <w:rFonts w:ascii="Arial" w:hAnsi="Arial" w:cs="Arial"/>
        </w:rPr>
        <w:t xml:space="preserve"> </w:t>
      </w:r>
      <w:r w:rsidRPr="007D0CF5">
        <w:rPr>
          <w:rFonts w:ascii="Arial" w:hAnsi="Arial" w:cs="Arial"/>
        </w:rPr>
        <w:t xml:space="preserve">sharing in relation to early childhood education and care on a national basis. </w:t>
      </w:r>
    </w:p>
    <w:p w14:paraId="4EEAFCAE" w14:textId="2E87F080" w:rsidR="00FE340E" w:rsidRPr="007D0CF5" w:rsidRDefault="00FE340E" w:rsidP="006C4190">
      <w:pPr>
        <w:pStyle w:val="CS-Paragraphnumbering"/>
        <w:tabs>
          <w:tab w:val="left" w:pos="426"/>
        </w:tabs>
        <w:spacing w:before="240"/>
        <w:rPr>
          <w:rFonts w:ascii="Arial" w:hAnsi="Arial" w:cs="Arial"/>
        </w:rPr>
      </w:pPr>
      <w:r w:rsidRPr="007D0CF5">
        <w:rPr>
          <w:rFonts w:ascii="Arial" w:hAnsi="Arial" w:cs="Arial"/>
        </w:rPr>
        <w:t xml:space="preserve">The Education and Care Services National Law (National Law) </w:t>
      </w:r>
      <w:proofErr w:type="gramStart"/>
      <w:r w:rsidRPr="007D0CF5">
        <w:rPr>
          <w:rFonts w:ascii="Arial" w:hAnsi="Arial" w:cs="Arial"/>
        </w:rPr>
        <w:t>is</w:t>
      </w:r>
      <w:proofErr w:type="gramEnd"/>
      <w:r w:rsidRPr="007D0CF5">
        <w:rPr>
          <w:rFonts w:ascii="Arial" w:hAnsi="Arial" w:cs="Arial"/>
        </w:rPr>
        <w:t xml:space="preserve"> a federated law, applied in the ACT under the </w:t>
      </w:r>
      <w:r w:rsidRPr="007D0CF5">
        <w:rPr>
          <w:rFonts w:ascii="Arial" w:hAnsi="Arial" w:cs="Arial"/>
          <w:i/>
          <w:iCs/>
        </w:rPr>
        <w:t>Education and Care Services National Law (ACT) Act 2011</w:t>
      </w:r>
      <w:r w:rsidRPr="007D0CF5">
        <w:rPr>
          <w:rFonts w:ascii="Arial" w:hAnsi="Arial" w:cs="Arial"/>
        </w:rPr>
        <w:t xml:space="preserve">. Under Part 11 of the National Law, the national authority is the Australian Children’s Education and Care Quality Authority (ACECQA). Each state and territory </w:t>
      </w:r>
      <w:r w:rsidR="008C5BFC">
        <w:rPr>
          <w:rFonts w:ascii="Arial" w:hAnsi="Arial" w:cs="Arial"/>
        </w:rPr>
        <w:t>have their</w:t>
      </w:r>
      <w:r w:rsidRPr="007D0CF5">
        <w:rPr>
          <w:rFonts w:ascii="Arial" w:hAnsi="Arial" w:cs="Arial"/>
        </w:rPr>
        <w:t xml:space="preserve"> own regulatory authority to administer the National Law in that jurisdiction, as set out in Part 12 of the National Law. Although ACECQA works alongside state and territory regulatory authorities, it has no regulatory power. </w:t>
      </w:r>
    </w:p>
    <w:p w14:paraId="27EC8078" w14:textId="77777777" w:rsidR="00FE340E" w:rsidRPr="007D0CF5" w:rsidRDefault="00FE340E" w:rsidP="006C4190">
      <w:pPr>
        <w:pStyle w:val="CS-Paragraphnumbering"/>
        <w:tabs>
          <w:tab w:val="left" w:pos="426"/>
        </w:tabs>
        <w:spacing w:before="240"/>
        <w:rPr>
          <w:rFonts w:ascii="Arial" w:hAnsi="Arial" w:cs="Arial"/>
        </w:rPr>
      </w:pPr>
      <w:r w:rsidRPr="007D0CF5">
        <w:rPr>
          <w:rFonts w:ascii="Arial" w:hAnsi="Arial" w:cs="Arial"/>
        </w:rPr>
        <w:lastRenderedPageBreak/>
        <w:t xml:space="preserve">The amendments to the WWVP Act make it explicit that Access Canberra is authorised by law to access and receive personal and identifying information (‘protected information’) from ACECQA as the National Authority. </w:t>
      </w:r>
    </w:p>
    <w:p w14:paraId="37094C98" w14:textId="302234D2" w:rsidR="00FE340E" w:rsidRPr="00DD553B" w:rsidRDefault="00FE340E" w:rsidP="006C4190">
      <w:pPr>
        <w:pStyle w:val="CS-Paragraphnumbering"/>
        <w:tabs>
          <w:tab w:val="left" w:pos="426"/>
        </w:tabs>
        <w:spacing w:before="240"/>
        <w:rPr>
          <w:rFonts w:ascii="Arial" w:hAnsi="Arial" w:cs="Arial"/>
        </w:rPr>
      </w:pPr>
      <w:r w:rsidRPr="30A339FF">
        <w:rPr>
          <w:rFonts w:ascii="Arial" w:hAnsi="Arial" w:cs="Arial"/>
        </w:rPr>
        <w:t xml:space="preserve">State and territory regulatory authorities have the power to prohibit individuals from engaging in the early childhood education and care sector. Prohibition notices are effective nationwide. ACECQA provides a database for use of state and territory regulators and maintains a national register of around 400 people subject to a prohibition notice. Under the National Law, the ACT Regulatory Authority can share details of persons it has prohibited in the ACT with Access Canberra. However, ACECQA has no authority under the National Law to share protected information about individuals (as contained in the prohibition notices issued by other states and territories), including sharing that information with working with children check agencies. </w:t>
      </w:r>
    </w:p>
    <w:p w14:paraId="7ACC2441" w14:textId="448F7DD9" w:rsidR="00FE340E" w:rsidRPr="00DD553B" w:rsidRDefault="00FE340E" w:rsidP="006C4190">
      <w:pPr>
        <w:pStyle w:val="CS-Paragraphnumbering"/>
        <w:tabs>
          <w:tab w:val="left" w:pos="426"/>
        </w:tabs>
        <w:spacing w:before="240"/>
        <w:rPr>
          <w:rFonts w:ascii="Arial" w:hAnsi="Arial" w:cs="Arial"/>
        </w:rPr>
      </w:pPr>
      <w:r w:rsidRPr="30A339FF">
        <w:rPr>
          <w:rFonts w:ascii="Arial" w:hAnsi="Arial" w:cs="Arial"/>
        </w:rPr>
        <w:t>U</w:t>
      </w:r>
      <w:r w:rsidR="00CC7BDE" w:rsidRPr="30A339FF">
        <w:rPr>
          <w:rFonts w:ascii="Arial" w:hAnsi="Arial" w:cs="Arial"/>
          <w:lang w:val="en-US"/>
        </w:rPr>
        <w:t>ncertainty</w:t>
      </w:r>
      <w:r w:rsidRPr="30A339FF">
        <w:rPr>
          <w:rFonts w:ascii="Arial" w:hAnsi="Arial" w:cs="Arial"/>
          <w:lang w:val="en-US"/>
        </w:rPr>
        <w:t xml:space="preserve"> in the WWVP Act means that privacy law may create impediments to the receipt and use of this information from ACECQA, which could discourage proactive information sharing. Providing </w:t>
      </w:r>
      <w:r w:rsidRPr="30A339FF">
        <w:rPr>
          <w:rFonts w:ascii="Arial" w:hAnsi="Arial" w:cs="Arial"/>
        </w:rPr>
        <w:t>for explicit legal authority in the WWVP Act to receive this protected information will facilitate national information sharing and support ongoing efforts to improve child safety in early childhood education and settings.</w:t>
      </w:r>
    </w:p>
    <w:p w14:paraId="06B505FB" w14:textId="77777777" w:rsidR="00DD553B" w:rsidRDefault="00DD553B" w:rsidP="006C4190">
      <w:pPr>
        <w:pStyle w:val="Heading2"/>
        <w:spacing w:line="276" w:lineRule="auto"/>
      </w:pPr>
    </w:p>
    <w:p w14:paraId="1E002791" w14:textId="054A1930" w:rsidR="00E90DF9" w:rsidRDefault="00E90DF9" w:rsidP="006C4190">
      <w:pPr>
        <w:pStyle w:val="Heading2"/>
        <w:spacing w:line="276" w:lineRule="auto"/>
      </w:pPr>
      <w:r>
        <w:t xml:space="preserve">CONSISTENCY WITH </w:t>
      </w:r>
      <w:r w:rsidRPr="008C225D">
        <w:t>HUMAN RIGHTS</w:t>
      </w:r>
    </w:p>
    <w:p w14:paraId="31D57A63" w14:textId="6AFCD495" w:rsidR="007B5FF4" w:rsidRPr="00AD26E4" w:rsidRDefault="007B5FF4" w:rsidP="006C4190">
      <w:pPr>
        <w:keepNext/>
        <w:rPr>
          <w:rFonts w:ascii="Arial" w:hAnsi="Arial" w:cs="Arial"/>
          <w:b/>
          <w:i/>
          <w:sz w:val="28"/>
          <w:szCs w:val="28"/>
        </w:rPr>
      </w:pPr>
      <w:r w:rsidRPr="00AD26E4">
        <w:rPr>
          <w:rFonts w:ascii="Arial" w:hAnsi="Arial" w:cs="Arial"/>
          <w:b/>
          <w:i/>
          <w:color w:val="000000" w:themeColor="text1"/>
          <w:sz w:val="24"/>
          <w:szCs w:val="28"/>
        </w:rPr>
        <w:t>Rights Engaged</w:t>
      </w:r>
    </w:p>
    <w:p w14:paraId="099546B7" w14:textId="15426DA1" w:rsidR="00C90C96" w:rsidRPr="00F7027D" w:rsidRDefault="007B5FF4" w:rsidP="006C4190">
      <w:pPr>
        <w:keepNext/>
        <w:rPr>
          <w:rFonts w:ascii="Arial" w:hAnsi="Arial" w:cs="Arial"/>
          <w:sz w:val="24"/>
          <w:szCs w:val="24"/>
        </w:rPr>
      </w:pPr>
      <w:r w:rsidRPr="000D192F">
        <w:rPr>
          <w:rFonts w:ascii="Arial" w:hAnsi="Arial" w:cs="Arial"/>
          <w:sz w:val="24"/>
          <w:szCs w:val="24"/>
        </w:rPr>
        <w:t>The Bill engages the following sections of the Human Rights Act 2004 (</w:t>
      </w:r>
      <w:r w:rsidRPr="000D192F">
        <w:rPr>
          <w:rFonts w:ascii="Arial" w:hAnsi="Arial" w:cs="Arial"/>
          <w:b/>
          <w:bCs/>
          <w:sz w:val="24"/>
          <w:szCs w:val="24"/>
        </w:rPr>
        <w:t>HRA</w:t>
      </w:r>
      <w:r w:rsidRPr="000D192F">
        <w:rPr>
          <w:rFonts w:ascii="Arial" w:hAnsi="Arial" w:cs="Arial"/>
          <w:sz w:val="24"/>
          <w:szCs w:val="24"/>
        </w:rPr>
        <w:t>)</w:t>
      </w:r>
      <w:r>
        <w:rPr>
          <w:rFonts w:ascii="Arial" w:hAnsi="Arial" w:cs="Arial"/>
          <w:sz w:val="24"/>
          <w:szCs w:val="24"/>
        </w:rPr>
        <w:t>:</w:t>
      </w:r>
    </w:p>
    <w:p w14:paraId="7D298954" w14:textId="50827C76" w:rsidR="00DD553B" w:rsidRPr="00DD553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8 – Right to equality and non-discrimination </w:t>
      </w:r>
      <w:r w:rsidRPr="00DD553B">
        <w:rPr>
          <w:rFonts w:ascii="Arial" w:hAnsi="Arial" w:cs="Arial"/>
          <w:i/>
          <w:iCs/>
          <w:sz w:val="24"/>
          <w:szCs w:val="24"/>
        </w:rPr>
        <w:t>(promoted)</w:t>
      </w:r>
    </w:p>
    <w:p w14:paraId="0B918AE6" w14:textId="3B72B7C2" w:rsidR="00DD553B" w:rsidRPr="00DD553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11 – Right to protection of the family and children </w:t>
      </w:r>
      <w:r w:rsidRPr="00DD553B">
        <w:rPr>
          <w:rFonts w:ascii="Arial" w:hAnsi="Arial" w:cs="Arial"/>
          <w:i/>
          <w:iCs/>
          <w:sz w:val="24"/>
          <w:szCs w:val="24"/>
        </w:rPr>
        <w:t>(promoted)</w:t>
      </w:r>
    </w:p>
    <w:p w14:paraId="60B59B3B" w14:textId="10F02BD1" w:rsidR="00DD553B" w:rsidRPr="00F7027D"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12 – Right to privacy and reputation </w:t>
      </w:r>
      <w:r w:rsidRPr="00DD553B">
        <w:rPr>
          <w:rFonts w:ascii="Arial" w:hAnsi="Arial" w:cs="Arial"/>
          <w:i/>
          <w:iCs/>
          <w:sz w:val="24"/>
          <w:szCs w:val="24"/>
        </w:rPr>
        <w:t>(promoted and limited)</w:t>
      </w:r>
    </w:p>
    <w:p w14:paraId="49FD86BF" w14:textId="6AB181AF" w:rsidR="00F7027D" w:rsidRPr="00F7027D" w:rsidRDefault="00F7027D"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16 – Right to freedom of expression </w:t>
      </w:r>
      <w:r w:rsidRPr="00DD553B">
        <w:rPr>
          <w:rFonts w:ascii="Arial" w:hAnsi="Arial" w:cs="Arial"/>
          <w:i/>
          <w:iCs/>
          <w:sz w:val="24"/>
          <w:szCs w:val="24"/>
        </w:rPr>
        <w:t>(limited)</w:t>
      </w:r>
    </w:p>
    <w:p w14:paraId="27AF9E29" w14:textId="6BB77D35" w:rsidR="00F7027D" w:rsidRPr="00DD553B" w:rsidRDefault="00F7027D"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18 – Right to </w:t>
      </w:r>
      <w:r w:rsidR="00371D13">
        <w:rPr>
          <w:rFonts w:ascii="Arial" w:hAnsi="Arial" w:cs="Arial"/>
          <w:sz w:val="24"/>
          <w:szCs w:val="24"/>
        </w:rPr>
        <w:t xml:space="preserve">liberty and </w:t>
      </w:r>
      <w:r w:rsidRPr="00DD553B">
        <w:rPr>
          <w:rFonts w:ascii="Arial" w:hAnsi="Arial" w:cs="Arial"/>
          <w:sz w:val="24"/>
          <w:szCs w:val="24"/>
        </w:rPr>
        <w:t xml:space="preserve">security of person </w:t>
      </w:r>
      <w:r w:rsidRPr="00DD553B">
        <w:rPr>
          <w:rFonts w:ascii="Arial" w:hAnsi="Arial" w:cs="Arial"/>
          <w:i/>
          <w:iCs/>
          <w:sz w:val="24"/>
          <w:szCs w:val="24"/>
        </w:rPr>
        <w:t>(promoted</w:t>
      </w:r>
      <w:r w:rsidR="00371D13">
        <w:rPr>
          <w:rFonts w:ascii="Arial" w:hAnsi="Arial" w:cs="Arial"/>
          <w:i/>
          <w:iCs/>
          <w:sz w:val="24"/>
          <w:szCs w:val="24"/>
        </w:rPr>
        <w:t xml:space="preserve"> </w:t>
      </w:r>
      <w:r w:rsidR="00371D13" w:rsidRPr="00371D13">
        <w:rPr>
          <w:rFonts w:ascii="Arial" w:hAnsi="Arial" w:cs="Arial"/>
          <w:i/>
          <w:iCs/>
          <w:sz w:val="24"/>
          <w:szCs w:val="24"/>
        </w:rPr>
        <w:t>and</w:t>
      </w:r>
      <w:r w:rsidR="00371D13">
        <w:rPr>
          <w:rFonts w:ascii="Arial" w:hAnsi="Arial" w:cs="Arial"/>
          <w:sz w:val="24"/>
          <w:szCs w:val="24"/>
        </w:rPr>
        <w:t xml:space="preserve"> </w:t>
      </w:r>
      <w:r w:rsidR="00371D13">
        <w:rPr>
          <w:rFonts w:ascii="Arial" w:hAnsi="Arial" w:cs="Arial"/>
          <w:i/>
          <w:iCs/>
          <w:sz w:val="24"/>
          <w:szCs w:val="24"/>
        </w:rPr>
        <w:t>limited</w:t>
      </w:r>
      <w:r w:rsidRPr="00DD553B">
        <w:rPr>
          <w:rFonts w:ascii="Arial" w:hAnsi="Arial" w:cs="Arial"/>
          <w:i/>
          <w:iCs/>
          <w:sz w:val="24"/>
          <w:szCs w:val="24"/>
        </w:rPr>
        <w:t>)</w:t>
      </w:r>
    </w:p>
    <w:p w14:paraId="500FC7E9" w14:textId="4217B1FD" w:rsidR="00DD553B" w:rsidRPr="00A2160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21 – Right to a fair trial </w:t>
      </w:r>
      <w:r w:rsidRPr="00DD553B">
        <w:rPr>
          <w:rFonts w:ascii="Arial" w:hAnsi="Arial" w:cs="Arial"/>
          <w:i/>
          <w:iCs/>
          <w:sz w:val="24"/>
          <w:szCs w:val="24"/>
        </w:rPr>
        <w:t>(promoted)</w:t>
      </w:r>
    </w:p>
    <w:p w14:paraId="53BBC3F3" w14:textId="4B486773" w:rsidR="00C90C96" w:rsidRPr="00783904"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27B – Right to work and </w:t>
      </w:r>
      <w:r w:rsidR="00E70AAD" w:rsidRPr="00DD553B">
        <w:rPr>
          <w:rFonts w:ascii="Arial" w:hAnsi="Arial" w:cs="Arial"/>
          <w:sz w:val="24"/>
          <w:szCs w:val="24"/>
        </w:rPr>
        <w:t>work-related</w:t>
      </w:r>
      <w:r w:rsidRPr="00DD553B">
        <w:rPr>
          <w:rFonts w:ascii="Arial" w:hAnsi="Arial" w:cs="Arial"/>
          <w:sz w:val="24"/>
          <w:szCs w:val="24"/>
        </w:rPr>
        <w:t xml:space="preserve"> rights </w:t>
      </w:r>
      <w:r w:rsidRPr="00DD553B">
        <w:rPr>
          <w:rFonts w:ascii="Arial" w:hAnsi="Arial" w:cs="Arial"/>
          <w:i/>
          <w:iCs/>
          <w:sz w:val="24"/>
          <w:szCs w:val="24"/>
        </w:rPr>
        <w:t>(limited)</w:t>
      </w:r>
    </w:p>
    <w:p w14:paraId="483B9D04" w14:textId="77777777" w:rsidR="00BC122A" w:rsidRDefault="00BC122A" w:rsidP="006C4190">
      <w:pPr>
        <w:pStyle w:val="Heading2"/>
        <w:spacing w:line="276" w:lineRule="auto"/>
        <w:rPr>
          <w:rFonts w:cs="Arial"/>
          <w:bCs/>
          <w:i/>
          <w:iCs/>
          <w:szCs w:val="24"/>
          <w:lang w:eastAsia="en-AU"/>
        </w:rPr>
      </w:pPr>
      <w:bookmarkStart w:id="3" w:name="OLE_LINK1"/>
    </w:p>
    <w:p w14:paraId="00876F20" w14:textId="270364B8" w:rsidR="00E90DF9" w:rsidRDefault="00C90C96" w:rsidP="006C4190">
      <w:pPr>
        <w:pStyle w:val="Heading2"/>
        <w:spacing w:line="276" w:lineRule="auto"/>
        <w:rPr>
          <w:rFonts w:cs="Arial"/>
          <w:bCs/>
          <w:i/>
          <w:iCs/>
          <w:szCs w:val="24"/>
          <w:lang w:eastAsia="en-AU"/>
        </w:rPr>
      </w:pPr>
      <w:r w:rsidRPr="000D192F">
        <w:rPr>
          <w:rFonts w:cs="Arial"/>
          <w:bCs/>
          <w:i/>
          <w:iCs/>
          <w:szCs w:val="24"/>
          <w:lang w:eastAsia="en-AU"/>
        </w:rPr>
        <w:t>Rights promoted</w:t>
      </w:r>
    </w:p>
    <w:p w14:paraId="38B069E7" w14:textId="2A71EDA0" w:rsidR="00DD553B" w:rsidRPr="00DD553B" w:rsidRDefault="00055F7A" w:rsidP="006C4190">
      <w:pPr>
        <w:pStyle w:val="Paragraphtext"/>
        <w:spacing w:line="276" w:lineRule="auto"/>
        <w:rPr>
          <w:rFonts w:ascii="Arial" w:hAnsi="Arial" w:cs="Arial"/>
        </w:rPr>
      </w:pPr>
      <w:bookmarkStart w:id="4" w:name="_Hlk210238045"/>
      <w:r>
        <w:rPr>
          <w:rFonts w:ascii="Arial" w:hAnsi="Arial" w:cs="Arial"/>
        </w:rPr>
        <w:t>The a</w:t>
      </w:r>
      <w:r w:rsidR="00DD553B" w:rsidRPr="00DD553B">
        <w:rPr>
          <w:rFonts w:ascii="Arial" w:hAnsi="Arial" w:cs="Arial"/>
        </w:rPr>
        <w:t xml:space="preserve">mendments to the HRCA to improve the operations of the </w:t>
      </w:r>
      <w:r w:rsidR="004204EF">
        <w:rPr>
          <w:rFonts w:ascii="Arial" w:hAnsi="Arial" w:cs="Arial"/>
        </w:rPr>
        <w:t>Human Rights Commission</w:t>
      </w:r>
      <w:r w:rsidR="00DD553B" w:rsidRPr="00DD553B">
        <w:rPr>
          <w:rFonts w:ascii="Arial" w:hAnsi="Arial" w:cs="Arial"/>
        </w:rPr>
        <w:t xml:space="preserve"> will generally promote all human rights by enabling the efficient handling of complaints made under the HRA. </w:t>
      </w:r>
    </w:p>
    <w:p w14:paraId="5167E7AB" w14:textId="3636739A" w:rsidR="004C304B" w:rsidRDefault="00DD553B" w:rsidP="006C4190">
      <w:pPr>
        <w:pStyle w:val="Paragraphtext"/>
        <w:spacing w:line="276" w:lineRule="auto"/>
        <w:rPr>
          <w:rFonts w:ascii="Arial" w:hAnsi="Arial" w:cs="Arial"/>
        </w:rPr>
      </w:pPr>
      <w:r w:rsidRPr="00DD553B">
        <w:rPr>
          <w:rFonts w:ascii="Arial" w:hAnsi="Arial" w:cs="Arial"/>
        </w:rPr>
        <w:t xml:space="preserve">The </w:t>
      </w:r>
      <w:r w:rsidR="00055F7A">
        <w:rPr>
          <w:rFonts w:ascii="Arial" w:hAnsi="Arial" w:cs="Arial"/>
        </w:rPr>
        <w:t xml:space="preserve">vilification related </w:t>
      </w:r>
      <w:r w:rsidRPr="00DD553B">
        <w:rPr>
          <w:rFonts w:ascii="Arial" w:hAnsi="Arial" w:cs="Arial"/>
        </w:rPr>
        <w:t xml:space="preserve">amendments to the Discrimination Act </w:t>
      </w:r>
      <w:r w:rsidR="00A15532">
        <w:rPr>
          <w:rFonts w:ascii="Arial" w:hAnsi="Arial" w:cs="Arial"/>
          <w:szCs w:val="24"/>
        </w:rPr>
        <w:t xml:space="preserve">and Criminal Code </w:t>
      </w:r>
      <w:r w:rsidRPr="00DD553B">
        <w:rPr>
          <w:rFonts w:ascii="Arial" w:hAnsi="Arial" w:cs="Arial"/>
        </w:rPr>
        <w:t>will support</w:t>
      </w:r>
      <w:r w:rsidR="00A15532">
        <w:rPr>
          <w:rFonts w:ascii="Arial" w:hAnsi="Arial" w:cs="Arial"/>
        </w:rPr>
        <w:t xml:space="preserve"> the</w:t>
      </w:r>
      <w:r w:rsidRPr="00DD553B">
        <w:rPr>
          <w:rFonts w:ascii="Arial" w:hAnsi="Arial" w:cs="Arial"/>
        </w:rPr>
        <w:t xml:space="preserve"> right to equality and non-discrimination (section 8 HRA) </w:t>
      </w:r>
      <w:r w:rsidR="004C304B">
        <w:rPr>
          <w:rFonts w:ascii="Arial" w:hAnsi="Arial" w:cs="Arial"/>
        </w:rPr>
        <w:t xml:space="preserve">and the right to security of person (section 18 HRA) </w:t>
      </w:r>
      <w:r w:rsidRPr="00DD553B">
        <w:rPr>
          <w:rFonts w:ascii="Arial" w:hAnsi="Arial" w:cs="Arial"/>
        </w:rPr>
        <w:t xml:space="preserve">by ensuring that people are protected from vilification </w:t>
      </w:r>
      <w:r w:rsidR="00A15532">
        <w:rPr>
          <w:rFonts w:ascii="Arial" w:hAnsi="Arial" w:cs="Arial"/>
        </w:rPr>
        <w:t xml:space="preserve">and serious vilification </w:t>
      </w:r>
      <w:r w:rsidRPr="00DD553B">
        <w:rPr>
          <w:rFonts w:ascii="Arial" w:hAnsi="Arial" w:cs="Arial"/>
        </w:rPr>
        <w:t>on the grounds of sex</w:t>
      </w:r>
      <w:r w:rsidR="00A15532">
        <w:rPr>
          <w:rFonts w:ascii="Arial" w:hAnsi="Arial" w:cs="Arial"/>
        </w:rPr>
        <w:t xml:space="preserve"> and association with a </w:t>
      </w:r>
      <w:r w:rsidR="00A15532">
        <w:rPr>
          <w:rFonts w:ascii="Arial" w:hAnsi="Arial" w:cs="Arial"/>
        </w:rPr>
        <w:lastRenderedPageBreak/>
        <w:t xml:space="preserve">person or group of people who are identified by reference to the listed protected attributes. </w:t>
      </w:r>
    </w:p>
    <w:p w14:paraId="4FC1A5D7" w14:textId="1A73E5AB" w:rsidR="00055F7A" w:rsidRDefault="00055F7A" w:rsidP="006C4190">
      <w:pPr>
        <w:pStyle w:val="Paragraphtext"/>
        <w:spacing w:line="276" w:lineRule="auto"/>
        <w:rPr>
          <w:rFonts w:ascii="Arial" w:hAnsi="Arial" w:cs="Arial"/>
        </w:rPr>
      </w:pPr>
      <w:r>
        <w:rPr>
          <w:rFonts w:ascii="Arial" w:hAnsi="Arial" w:cs="Arial"/>
        </w:rPr>
        <w:t xml:space="preserve">The pregnancy related amendments to the Discrimination Act and the Crimes Act will support the </w:t>
      </w:r>
      <w:r w:rsidRPr="00DD553B">
        <w:rPr>
          <w:rFonts w:ascii="Arial" w:hAnsi="Arial" w:cs="Arial"/>
        </w:rPr>
        <w:t xml:space="preserve">right to equality and non-discrimination (section 8 HRA) </w:t>
      </w:r>
      <w:r>
        <w:rPr>
          <w:rFonts w:ascii="Arial" w:hAnsi="Arial" w:cs="Arial"/>
        </w:rPr>
        <w:t xml:space="preserve">and the right to security of person (section 18 HRA) </w:t>
      </w:r>
      <w:r w:rsidR="003F18C8">
        <w:rPr>
          <w:rFonts w:ascii="Arial" w:hAnsi="Arial" w:cs="Arial"/>
        </w:rPr>
        <w:t>by</w:t>
      </w:r>
      <w:r>
        <w:rPr>
          <w:rFonts w:ascii="Arial" w:hAnsi="Arial" w:cs="Arial"/>
        </w:rPr>
        <w:t xml:space="preserve"> </w:t>
      </w:r>
      <w:r w:rsidR="003F18C8">
        <w:rPr>
          <w:rFonts w:ascii="Arial" w:hAnsi="Arial" w:cs="Arial"/>
        </w:rPr>
        <w:t>using gender neutral language to ensure</w:t>
      </w:r>
      <w:r>
        <w:rPr>
          <w:rFonts w:ascii="Arial" w:hAnsi="Arial" w:cs="Arial"/>
        </w:rPr>
        <w:t xml:space="preserve"> that all pregnant people are protected </w:t>
      </w:r>
      <w:r w:rsidR="003F18C8">
        <w:rPr>
          <w:rFonts w:ascii="Arial" w:hAnsi="Arial" w:cs="Arial"/>
        </w:rPr>
        <w:t xml:space="preserve">by the protected attribute of ‘pregnancy’ and by the criminal offences against pregnant women. </w:t>
      </w:r>
    </w:p>
    <w:p w14:paraId="4E37078C" w14:textId="45B9C720" w:rsidR="00055F7A" w:rsidRDefault="00055F7A" w:rsidP="006C4190">
      <w:pPr>
        <w:pStyle w:val="Paragraphtext"/>
        <w:spacing w:line="276" w:lineRule="auto"/>
        <w:rPr>
          <w:rFonts w:ascii="Arial" w:hAnsi="Arial" w:cs="Arial"/>
        </w:rPr>
      </w:pPr>
      <w:r>
        <w:rPr>
          <w:rFonts w:ascii="Arial" w:hAnsi="Arial" w:cs="Arial"/>
        </w:rPr>
        <w:t>T</w:t>
      </w:r>
      <w:r w:rsidR="00DD553B" w:rsidRPr="00DD553B">
        <w:rPr>
          <w:rFonts w:ascii="Arial" w:hAnsi="Arial" w:cs="Arial"/>
        </w:rPr>
        <w:t>he amendments to the</w:t>
      </w:r>
      <w:r>
        <w:rPr>
          <w:rFonts w:ascii="Arial" w:hAnsi="Arial" w:cs="Arial"/>
        </w:rPr>
        <w:t xml:space="preserve"> Domestic Relationships Act and the</w:t>
      </w:r>
      <w:r w:rsidR="00DD553B" w:rsidRPr="00DD553B">
        <w:rPr>
          <w:rFonts w:ascii="Arial" w:hAnsi="Arial" w:cs="Arial"/>
        </w:rPr>
        <w:t xml:space="preserve"> Legislation Act will promote the right to equality (Section 8 HRA) by</w:t>
      </w:r>
      <w:r>
        <w:rPr>
          <w:rFonts w:ascii="Arial" w:hAnsi="Arial" w:cs="Arial"/>
        </w:rPr>
        <w:t xml:space="preserve"> ensuring that provisions relating to domestic partnerships and civil partnerships are gender inclusive. </w:t>
      </w:r>
    </w:p>
    <w:p w14:paraId="2E8839FF" w14:textId="3920C10B" w:rsidR="0000502D" w:rsidRDefault="003F18C8" w:rsidP="006C4190">
      <w:pPr>
        <w:pStyle w:val="Paragraphtext"/>
        <w:spacing w:line="276" w:lineRule="auto"/>
        <w:rPr>
          <w:rFonts w:ascii="Arial" w:hAnsi="Arial" w:cs="Arial"/>
        </w:rPr>
      </w:pPr>
      <w:r>
        <w:rPr>
          <w:rFonts w:ascii="Arial" w:hAnsi="Arial" w:cs="Arial"/>
        </w:rPr>
        <w:t>The a</w:t>
      </w:r>
      <w:r w:rsidR="00DD553B" w:rsidRPr="00DD553B">
        <w:rPr>
          <w:rFonts w:ascii="Arial" w:hAnsi="Arial" w:cs="Arial"/>
        </w:rPr>
        <w:t>mendments to the WWVP</w:t>
      </w:r>
      <w:r>
        <w:rPr>
          <w:rFonts w:ascii="Arial" w:hAnsi="Arial" w:cs="Arial"/>
        </w:rPr>
        <w:t xml:space="preserve"> Act</w:t>
      </w:r>
      <w:r w:rsidR="00DD553B" w:rsidRPr="00DD553B">
        <w:rPr>
          <w:rFonts w:ascii="Arial" w:hAnsi="Arial" w:cs="Arial"/>
        </w:rPr>
        <w:t xml:space="preserve"> will promote the right to protection of children and the family (section 11 HRA) by ensuring relevant information under the National Law is available to </w:t>
      </w:r>
      <w:r>
        <w:rPr>
          <w:rFonts w:ascii="Arial" w:hAnsi="Arial" w:cs="Arial"/>
        </w:rPr>
        <w:t>A</w:t>
      </w:r>
      <w:r w:rsidR="00DD553B" w:rsidRPr="00DD553B">
        <w:rPr>
          <w:rFonts w:ascii="Arial" w:hAnsi="Arial" w:cs="Arial"/>
        </w:rPr>
        <w:t xml:space="preserve">ccess Canberra to protect children from risk. These amendments will also promote the right to fair trial (Section 21 HRA) by ensuring the correct factors under the National Law are considered in occupational discipline proceedings. </w:t>
      </w:r>
    </w:p>
    <w:p w14:paraId="7A7AB329" w14:textId="700CED04" w:rsidR="00DD553B" w:rsidRDefault="00DD553B" w:rsidP="006C4190">
      <w:pPr>
        <w:pStyle w:val="Paragraphtext"/>
        <w:spacing w:line="276" w:lineRule="auto"/>
        <w:rPr>
          <w:rFonts w:ascii="Arial" w:hAnsi="Arial" w:cs="Arial"/>
        </w:rPr>
      </w:pPr>
      <w:r w:rsidRPr="00DD553B">
        <w:rPr>
          <w:rFonts w:ascii="Arial" w:hAnsi="Arial" w:cs="Arial"/>
        </w:rPr>
        <w:t xml:space="preserve">The right to protection of the family and children (section 11) will also be promoted by the amendments to the Wills Act by ensuring wills are properly managed and maintained in a centralised register. </w:t>
      </w:r>
    </w:p>
    <w:bookmarkEnd w:id="4"/>
    <w:p w14:paraId="6277BFBB" w14:textId="77777777" w:rsidR="00BC122A" w:rsidRDefault="00BC122A" w:rsidP="006C4190">
      <w:pPr>
        <w:pStyle w:val="Heading2"/>
        <w:spacing w:line="276" w:lineRule="auto"/>
        <w:rPr>
          <w:rFonts w:cs="Arial"/>
          <w:bCs/>
          <w:i/>
          <w:iCs/>
          <w:szCs w:val="24"/>
          <w:lang w:eastAsia="en-AU"/>
        </w:rPr>
      </w:pPr>
    </w:p>
    <w:p w14:paraId="1BDA7673" w14:textId="26FED160" w:rsidR="00451FA1" w:rsidRPr="00451FA1" w:rsidRDefault="004002C7" w:rsidP="006C4190">
      <w:pPr>
        <w:pStyle w:val="Heading2"/>
        <w:spacing w:before="0" w:line="276" w:lineRule="auto"/>
        <w:contextualSpacing/>
        <w:rPr>
          <w:rFonts w:cs="Arial"/>
          <w:bCs/>
          <w:i/>
          <w:iCs/>
          <w:szCs w:val="24"/>
          <w:lang w:eastAsia="en-AU"/>
        </w:rPr>
      </w:pPr>
      <w:r w:rsidRPr="008B7AFA">
        <w:rPr>
          <w:rFonts w:cs="Arial"/>
          <w:bCs/>
          <w:i/>
          <w:iCs/>
          <w:szCs w:val="24"/>
          <w:lang w:eastAsia="en-AU"/>
        </w:rPr>
        <w:t xml:space="preserve">Rights </w:t>
      </w:r>
      <w:r>
        <w:rPr>
          <w:rFonts w:cs="Arial"/>
          <w:bCs/>
          <w:i/>
          <w:iCs/>
          <w:szCs w:val="24"/>
          <w:lang w:eastAsia="en-AU"/>
        </w:rPr>
        <w:t>limited</w:t>
      </w:r>
    </w:p>
    <w:p w14:paraId="509F1D0B" w14:textId="49F78ACE" w:rsidR="00CB6930" w:rsidRPr="00145291" w:rsidRDefault="00F94A7B" w:rsidP="006C4190">
      <w:pPr>
        <w:spacing w:before="120" w:after="120"/>
        <w:rPr>
          <w:rFonts w:ascii="Arial" w:eastAsia="Calibri" w:hAnsi="Arial" w:cs="Arial"/>
          <w:color w:val="000000" w:themeColor="text1"/>
          <w:sz w:val="24"/>
          <w:u w:val="single"/>
        </w:rPr>
      </w:pPr>
      <w:r w:rsidRPr="00145291">
        <w:rPr>
          <w:rFonts w:ascii="Arial" w:eastAsia="Calibri" w:hAnsi="Arial" w:cs="Arial"/>
          <w:color w:val="000000" w:themeColor="text1"/>
          <w:sz w:val="24"/>
          <w:u w:val="single"/>
        </w:rPr>
        <w:t>Section 12 HRA – Right to Privacy – OV</w:t>
      </w:r>
      <w:r w:rsidR="001E1019">
        <w:rPr>
          <w:rFonts w:ascii="Arial" w:eastAsia="Calibri" w:hAnsi="Arial" w:cs="Arial"/>
          <w:color w:val="000000" w:themeColor="text1"/>
          <w:sz w:val="24"/>
          <w:u w:val="single"/>
        </w:rPr>
        <w:t xml:space="preserve">A </w:t>
      </w:r>
      <w:r w:rsidR="001071F3">
        <w:rPr>
          <w:rFonts w:ascii="Arial" w:eastAsia="Calibri" w:hAnsi="Arial" w:cs="Arial"/>
          <w:color w:val="000000" w:themeColor="text1"/>
          <w:sz w:val="24"/>
          <w:u w:val="single"/>
        </w:rPr>
        <w:t>a</w:t>
      </w:r>
      <w:r w:rsidRPr="00145291">
        <w:rPr>
          <w:rFonts w:ascii="Arial" w:eastAsia="Calibri" w:hAnsi="Arial" w:cs="Arial"/>
          <w:color w:val="000000" w:themeColor="text1"/>
          <w:sz w:val="24"/>
          <w:u w:val="single"/>
        </w:rPr>
        <w:t xml:space="preserve">mendments </w:t>
      </w:r>
    </w:p>
    <w:p w14:paraId="724CA257" w14:textId="03E9D74C" w:rsidR="00CB6930" w:rsidRPr="00CB6930" w:rsidRDefault="00F94A7B" w:rsidP="006C4190">
      <w:pPr>
        <w:pStyle w:val="ListParagraph"/>
        <w:numPr>
          <w:ilvl w:val="0"/>
          <w:numId w:val="1"/>
        </w:numPr>
        <w:spacing w:before="120" w:after="120" w:line="276" w:lineRule="auto"/>
        <w:rPr>
          <w:rFonts w:ascii="Arial" w:hAnsi="Arial" w:cs="Arial"/>
          <w:b/>
          <w:bCs/>
          <w:i/>
          <w:sz w:val="24"/>
          <w:szCs w:val="24"/>
        </w:rPr>
      </w:pPr>
      <w:r w:rsidRPr="00414921">
        <w:rPr>
          <w:rFonts w:ascii="Arial" w:hAnsi="Arial" w:cs="Arial"/>
          <w:b/>
          <w:bCs/>
          <w:i/>
          <w:sz w:val="24"/>
          <w:szCs w:val="24"/>
        </w:rPr>
        <w:t>Nature of the right and the limitation (s28</w:t>
      </w:r>
      <w:r w:rsidR="00064462">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7E73CD7B" w14:textId="42BBF37F" w:rsidR="00CB6930" w:rsidRPr="00CB6930" w:rsidRDefault="00F94A7B" w:rsidP="006C4190">
      <w:pPr>
        <w:spacing w:before="120" w:after="120"/>
        <w:rPr>
          <w:rFonts w:ascii="Arial" w:hAnsi="Arial" w:cs="Arial"/>
          <w:iCs/>
          <w:sz w:val="24"/>
          <w:szCs w:val="24"/>
        </w:rPr>
      </w:pPr>
      <w:r w:rsidRPr="00CB6930">
        <w:rPr>
          <w:rFonts w:ascii="Arial" w:hAnsi="Arial" w:cs="Arial"/>
          <w:iCs/>
          <w:sz w:val="24"/>
          <w:szCs w:val="24"/>
        </w:rPr>
        <w:t>The right to privacy provides that everyone has the right not to ha</w:t>
      </w:r>
      <w:r w:rsidR="00145291" w:rsidRPr="00CB6930">
        <w:rPr>
          <w:rFonts w:ascii="Arial" w:hAnsi="Arial" w:cs="Arial"/>
          <w:iCs/>
          <w:sz w:val="24"/>
          <w:szCs w:val="24"/>
        </w:rPr>
        <w:t>v</w:t>
      </w:r>
      <w:r w:rsidRPr="00CB6930">
        <w:rPr>
          <w:rFonts w:ascii="Arial" w:hAnsi="Arial" w:cs="Arial"/>
          <w:iCs/>
          <w:sz w:val="24"/>
          <w:szCs w:val="24"/>
        </w:rPr>
        <w:t xml:space="preserve">e their </w:t>
      </w:r>
      <w:r w:rsidR="00145291" w:rsidRPr="00CB6930">
        <w:rPr>
          <w:rFonts w:ascii="Arial" w:hAnsi="Arial" w:cs="Arial"/>
          <w:iCs/>
          <w:sz w:val="24"/>
          <w:szCs w:val="24"/>
        </w:rPr>
        <w:t>privacy</w:t>
      </w:r>
      <w:r w:rsidRPr="00CB6930">
        <w:rPr>
          <w:rFonts w:ascii="Arial" w:hAnsi="Arial" w:cs="Arial"/>
          <w:iCs/>
          <w:sz w:val="24"/>
          <w:szCs w:val="24"/>
        </w:rPr>
        <w:t xml:space="preserve">, family, home or correspondence inferred with unlawfully or </w:t>
      </w:r>
      <w:r w:rsidR="00145291" w:rsidRPr="00CB6930">
        <w:rPr>
          <w:rFonts w:ascii="Arial" w:hAnsi="Arial" w:cs="Arial"/>
          <w:iCs/>
          <w:sz w:val="24"/>
          <w:szCs w:val="24"/>
        </w:rPr>
        <w:t>arbitrarily</w:t>
      </w:r>
      <w:r w:rsidRPr="00CB6930">
        <w:rPr>
          <w:rFonts w:ascii="Arial" w:hAnsi="Arial" w:cs="Arial"/>
          <w:iCs/>
          <w:sz w:val="24"/>
          <w:szCs w:val="24"/>
        </w:rPr>
        <w:t xml:space="preserve">. The amendments to the </w:t>
      </w:r>
      <w:r w:rsidR="005F0C13">
        <w:rPr>
          <w:rFonts w:ascii="Arial" w:hAnsi="Arial" w:cs="Arial"/>
          <w:iCs/>
          <w:sz w:val="24"/>
          <w:szCs w:val="24"/>
        </w:rPr>
        <w:t>OVA</w:t>
      </w:r>
      <w:r w:rsidRPr="00CB6930">
        <w:rPr>
          <w:rFonts w:ascii="Arial" w:hAnsi="Arial" w:cs="Arial"/>
          <w:iCs/>
          <w:sz w:val="24"/>
          <w:szCs w:val="24"/>
        </w:rPr>
        <w:t xml:space="preserve"> may </w:t>
      </w:r>
      <w:r w:rsidR="005F0C13">
        <w:rPr>
          <w:rFonts w:ascii="Arial" w:hAnsi="Arial" w:cs="Arial"/>
          <w:iCs/>
          <w:sz w:val="24"/>
          <w:szCs w:val="24"/>
        </w:rPr>
        <w:t>limit</w:t>
      </w:r>
      <w:r w:rsidRPr="00CB6930">
        <w:rPr>
          <w:rFonts w:ascii="Arial" w:hAnsi="Arial" w:cs="Arial"/>
          <w:iCs/>
          <w:sz w:val="24"/>
          <w:szCs w:val="24"/>
        </w:rPr>
        <w:t xml:space="preserve"> the right to privacy for </w:t>
      </w:r>
      <w:r w:rsidR="005F0C13">
        <w:rPr>
          <w:rFonts w:ascii="Arial" w:hAnsi="Arial" w:cs="Arial"/>
          <w:iCs/>
          <w:sz w:val="24"/>
          <w:szCs w:val="24"/>
        </w:rPr>
        <w:t>Official Visitors</w:t>
      </w:r>
      <w:r w:rsidR="00245795">
        <w:rPr>
          <w:rFonts w:ascii="Arial" w:hAnsi="Arial" w:cs="Arial"/>
          <w:iCs/>
          <w:sz w:val="24"/>
          <w:szCs w:val="24"/>
        </w:rPr>
        <w:t>,</w:t>
      </w:r>
      <w:r w:rsidRPr="00CB6930">
        <w:rPr>
          <w:rFonts w:ascii="Arial" w:hAnsi="Arial" w:cs="Arial"/>
          <w:iCs/>
          <w:sz w:val="24"/>
          <w:szCs w:val="24"/>
        </w:rPr>
        <w:t xml:space="preserve"> as they </w:t>
      </w:r>
      <w:r w:rsidR="00145291" w:rsidRPr="00CB6930">
        <w:rPr>
          <w:rFonts w:ascii="Arial" w:hAnsi="Arial" w:cs="Arial"/>
          <w:iCs/>
          <w:sz w:val="24"/>
          <w:szCs w:val="24"/>
        </w:rPr>
        <w:t>clarify</w:t>
      </w:r>
      <w:r w:rsidRPr="00CB6930">
        <w:rPr>
          <w:rFonts w:ascii="Arial" w:hAnsi="Arial" w:cs="Arial"/>
          <w:iCs/>
          <w:sz w:val="24"/>
          <w:szCs w:val="24"/>
        </w:rPr>
        <w:t xml:space="preserve"> the </w:t>
      </w:r>
      <w:r w:rsidR="00145291" w:rsidRPr="00CB6930">
        <w:rPr>
          <w:rFonts w:ascii="Arial" w:hAnsi="Arial" w:cs="Arial"/>
          <w:iCs/>
          <w:sz w:val="24"/>
          <w:szCs w:val="24"/>
        </w:rPr>
        <w:t>obligations</w:t>
      </w:r>
      <w:r w:rsidRPr="00CB6930">
        <w:rPr>
          <w:rFonts w:ascii="Arial" w:hAnsi="Arial" w:cs="Arial"/>
          <w:iCs/>
          <w:sz w:val="24"/>
          <w:szCs w:val="24"/>
        </w:rPr>
        <w:t xml:space="preserve"> of </w:t>
      </w:r>
      <w:r w:rsidR="005F0C13">
        <w:rPr>
          <w:rFonts w:ascii="Arial" w:hAnsi="Arial" w:cs="Arial"/>
          <w:iCs/>
          <w:sz w:val="24"/>
          <w:szCs w:val="24"/>
        </w:rPr>
        <w:t>Official Visitors</w:t>
      </w:r>
      <w:r w:rsidRPr="00CB6930">
        <w:rPr>
          <w:rFonts w:ascii="Arial" w:hAnsi="Arial" w:cs="Arial"/>
          <w:iCs/>
          <w:sz w:val="24"/>
          <w:szCs w:val="24"/>
        </w:rPr>
        <w:t xml:space="preserve"> to disclose</w:t>
      </w:r>
      <w:r w:rsidR="00332DB4">
        <w:rPr>
          <w:rFonts w:ascii="Arial" w:hAnsi="Arial" w:cs="Arial"/>
          <w:iCs/>
          <w:sz w:val="24"/>
          <w:szCs w:val="24"/>
        </w:rPr>
        <w:t xml:space="preserve"> conflicts of interest</w:t>
      </w:r>
      <w:r w:rsidR="00FB1F76">
        <w:rPr>
          <w:rFonts w:ascii="Arial" w:hAnsi="Arial" w:cs="Arial"/>
          <w:iCs/>
          <w:sz w:val="24"/>
          <w:szCs w:val="24"/>
        </w:rPr>
        <w:t xml:space="preserve"> </w:t>
      </w:r>
      <w:r w:rsidR="004F5764">
        <w:rPr>
          <w:rFonts w:ascii="Arial" w:hAnsi="Arial" w:cs="Arial"/>
          <w:iCs/>
          <w:sz w:val="24"/>
          <w:szCs w:val="24"/>
        </w:rPr>
        <w:t>throughout their period of appointment</w:t>
      </w:r>
      <w:r w:rsidRPr="00CB6930">
        <w:rPr>
          <w:rFonts w:ascii="Arial" w:hAnsi="Arial" w:cs="Arial"/>
          <w:iCs/>
          <w:sz w:val="24"/>
          <w:szCs w:val="24"/>
        </w:rPr>
        <w:t xml:space="preserve">. </w:t>
      </w:r>
      <w:r w:rsidR="00332DB4">
        <w:rPr>
          <w:rFonts w:ascii="Arial" w:hAnsi="Arial" w:cs="Arial"/>
          <w:iCs/>
          <w:sz w:val="24"/>
          <w:szCs w:val="24"/>
        </w:rPr>
        <w:t xml:space="preserve">Official Visitors will be required to give written notice to the Official Visitors Board of any paid employment they propose to undertake, and any activity they propose to undertake that may give rise to a conflict of interest during the exercise of their functions. </w:t>
      </w:r>
      <w:r w:rsidR="005F0C13">
        <w:rPr>
          <w:rFonts w:ascii="Arial" w:hAnsi="Arial" w:cs="Arial"/>
          <w:iCs/>
          <w:sz w:val="24"/>
          <w:szCs w:val="24"/>
        </w:rPr>
        <w:t>Official Visitors</w:t>
      </w:r>
      <w:r w:rsidR="004F5764">
        <w:rPr>
          <w:rFonts w:ascii="Arial" w:hAnsi="Arial" w:cs="Arial"/>
          <w:iCs/>
          <w:sz w:val="24"/>
          <w:szCs w:val="24"/>
        </w:rPr>
        <w:t xml:space="preserve"> </w:t>
      </w:r>
      <w:r w:rsidR="005F0C13">
        <w:rPr>
          <w:rFonts w:ascii="Arial" w:hAnsi="Arial" w:cs="Arial"/>
          <w:iCs/>
          <w:sz w:val="24"/>
          <w:szCs w:val="24"/>
        </w:rPr>
        <w:t xml:space="preserve">will </w:t>
      </w:r>
      <w:r w:rsidR="004F5764">
        <w:rPr>
          <w:rFonts w:ascii="Arial" w:hAnsi="Arial" w:cs="Arial"/>
          <w:iCs/>
          <w:sz w:val="24"/>
          <w:szCs w:val="24"/>
        </w:rPr>
        <w:t>have an obligation to</w:t>
      </w:r>
      <w:r w:rsidR="004F5764" w:rsidRPr="00CB6930">
        <w:rPr>
          <w:rFonts w:ascii="Arial" w:hAnsi="Arial" w:cs="Arial"/>
          <w:iCs/>
          <w:sz w:val="24"/>
          <w:szCs w:val="24"/>
        </w:rPr>
        <w:t xml:space="preserve"> take </w:t>
      </w:r>
      <w:r w:rsidR="004F5764">
        <w:rPr>
          <w:rFonts w:ascii="Arial" w:hAnsi="Arial" w:cs="Arial"/>
          <w:iCs/>
          <w:sz w:val="24"/>
          <w:szCs w:val="24"/>
        </w:rPr>
        <w:t xml:space="preserve">all </w:t>
      </w:r>
      <w:r w:rsidR="004F5764" w:rsidRPr="00CB6930">
        <w:rPr>
          <w:rFonts w:ascii="Arial" w:hAnsi="Arial" w:cs="Arial"/>
          <w:iCs/>
          <w:sz w:val="24"/>
          <w:szCs w:val="24"/>
        </w:rPr>
        <w:t>reasonable steps to avoid a conflict of interest</w:t>
      </w:r>
      <w:r w:rsidR="004F5764">
        <w:rPr>
          <w:rFonts w:ascii="Arial" w:hAnsi="Arial" w:cs="Arial"/>
          <w:iCs/>
          <w:sz w:val="24"/>
          <w:szCs w:val="24"/>
        </w:rPr>
        <w:t>.</w:t>
      </w:r>
    </w:p>
    <w:p w14:paraId="197C24C3" w14:textId="4D6B3D8B" w:rsidR="00245795" w:rsidRPr="00245795" w:rsidRDefault="00F94A7B" w:rsidP="006C4190">
      <w:pPr>
        <w:pStyle w:val="ListParagraph"/>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t>Legitimate purpose (s28</w:t>
      </w:r>
      <w:r w:rsidR="00064462">
        <w:rPr>
          <w:rFonts w:ascii="Arial" w:hAnsi="Arial" w:cs="Arial"/>
          <w:b/>
          <w:bCs/>
          <w:i/>
          <w:sz w:val="24"/>
          <w:szCs w:val="24"/>
        </w:rPr>
        <w:t>(2)</w:t>
      </w:r>
      <w:r w:rsidRPr="00E63579">
        <w:rPr>
          <w:rFonts w:ascii="Arial" w:hAnsi="Arial" w:cs="Arial"/>
          <w:b/>
          <w:bCs/>
          <w:i/>
          <w:sz w:val="24"/>
          <w:szCs w:val="24"/>
        </w:rPr>
        <w:t>(b)</w:t>
      </w:r>
      <w:r w:rsidR="00064462">
        <w:rPr>
          <w:rFonts w:ascii="Arial" w:hAnsi="Arial" w:cs="Arial"/>
          <w:b/>
          <w:bCs/>
          <w:i/>
          <w:sz w:val="24"/>
          <w:szCs w:val="24"/>
        </w:rPr>
        <w:t>)</w:t>
      </w:r>
    </w:p>
    <w:p w14:paraId="4D4A5108" w14:textId="175FF1D8" w:rsidR="00875712" w:rsidRDefault="00875712" w:rsidP="006C4190">
      <w:pPr>
        <w:spacing w:before="120" w:after="120"/>
        <w:rPr>
          <w:rFonts w:ascii="Arial" w:hAnsi="Arial" w:cs="Arial"/>
          <w:iCs/>
          <w:sz w:val="24"/>
          <w:szCs w:val="24"/>
        </w:rPr>
      </w:pPr>
      <w:r>
        <w:rPr>
          <w:rFonts w:ascii="Arial" w:hAnsi="Arial" w:cs="Arial"/>
          <w:iCs/>
          <w:sz w:val="24"/>
          <w:szCs w:val="24"/>
        </w:rPr>
        <w:t xml:space="preserve">The purpose of the amendment is to protect vulnerable people residing in visitable places by strengthening the </w:t>
      </w:r>
      <w:r w:rsidR="005F0C13">
        <w:rPr>
          <w:rFonts w:ascii="Arial" w:hAnsi="Arial" w:cs="Arial"/>
          <w:iCs/>
          <w:sz w:val="24"/>
          <w:szCs w:val="24"/>
        </w:rPr>
        <w:t>Official Visitors</w:t>
      </w:r>
      <w:r>
        <w:rPr>
          <w:rFonts w:ascii="Arial" w:hAnsi="Arial" w:cs="Arial"/>
          <w:iCs/>
          <w:sz w:val="24"/>
          <w:szCs w:val="24"/>
        </w:rPr>
        <w:t xml:space="preserve"> Board’s ability to monitor the independence of </w:t>
      </w:r>
      <w:r w:rsidR="005F0C13">
        <w:rPr>
          <w:rFonts w:ascii="Arial" w:hAnsi="Arial" w:cs="Arial"/>
          <w:iCs/>
          <w:sz w:val="24"/>
          <w:szCs w:val="24"/>
        </w:rPr>
        <w:t>Official Visitors</w:t>
      </w:r>
      <w:r w:rsidR="00FB1F76">
        <w:rPr>
          <w:rFonts w:ascii="Arial" w:hAnsi="Arial" w:cs="Arial"/>
          <w:iCs/>
          <w:sz w:val="24"/>
          <w:szCs w:val="24"/>
        </w:rPr>
        <w:t xml:space="preserve"> </w:t>
      </w:r>
      <w:r>
        <w:rPr>
          <w:rFonts w:ascii="Arial" w:hAnsi="Arial" w:cs="Arial"/>
          <w:iCs/>
          <w:sz w:val="24"/>
          <w:szCs w:val="24"/>
        </w:rPr>
        <w:t xml:space="preserve">to ensure they are properly carrying out their functions. </w:t>
      </w:r>
    </w:p>
    <w:p w14:paraId="06B761F1" w14:textId="6CD6D54B" w:rsidR="00CB6930" w:rsidRPr="00CB6930" w:rsidRDefault="00F94A7B" w:rsidP="00960D93">
      <w:pPr>
        <w:pStyle w:val="ListParagraph"/>
        <w:keepNext/>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lastRenderedPageBreak/>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0F0048A7" w14:textId="780E7AC9" w:rsidR="00FB1F76" w:rsidRDefault="00875712" w:rsidP="00960D93">
      <w:pPr>
        <w:keepNext/>
        <w:rPr>
          <w:rFonts w:ascii="Arial" w:hAnsi="Arial" w:cs="Arial"/>
          <w:iCs/>
          <w:sz w:val="24"/>
          <w:szCs w:val="24"/>
        </w:rPr>
      </w:pPr>
      <w:r w:rsidRPr="00875712">
        <w:rPr>
          <w:rFonts w:ascii="Arial" w:hAnsi="Arial" w:cs="Arial"/>
          <w:iCs/>
          <w:sz w:val="24"/>
          <w:szCs w:val="24"/>
        </w:rPr>
        <w:t xml:space="preserve">The independence of </w:t>
      </w:r>
      <w:r w:rsidR="005F0C13">
        <w:rPr>
          <w:rFonts w:ascii="Arial" w:hAnsi="Arial" w:cs="Arial"/>
          <w:iCs/>
          <w:sz w:val="24"/>
          <w:szCs w:val="24"/>
        </w:rPr>
        <w:t>Official Visitors</w:t>
      </w:r>
      <w:r w:rsidRPr="00875712">
        <w:rPr>
          <w:rFonts w:ascii="Arial" w:hAnsi="Arial" w:cs="Arial"/>
          <w:iCs/>
          <w:sz w:val="24"/>
          <w:szCs w:val="24"/>
        </w:rPr>
        <w:t xml:space="preserve">, as enshrined in section 14A of the </w:t>
      </w:r>
      <w:r w:rsidR="005F0C13">
        <w:rPr>
          <w:rFonts w:ascii="Arial" w:hAnsi="Arial" w:cs="Arial"/>
          <w:iCs/>
          <w:sz w:val="24"/>
          <w:szCs w:val="24"/>
        </w:rPr>
        <w:t>OVA</w:t>
      </w:r>
      <w:r w:rsidRPr="00875712">
        <w:rPr>
          <w:rFonts w:ascii="Arial" w:hAnsi="Arial" w:cs="Arial"/>
          <w:iCs/>
          <w:sz w:val="24"/>
          <w:szCs w:val="24"/>
        </w:rPr>
        <w:t xml:space="preserve">, is necessary to ensure they can fulfil their functions without being subject to the direction of anyone else. </w:t>
      </w:r>
      <w:r w:rsidR="00FB1F76">
        <w:rPr>
          <w:rFonts w:ascii="Arial" w:hAnsi="Arial" w:cs="Arial"/>
          <w:iCs/>
          <w:sz w:val="24"/>
          <w:szCs w:val="24"/>
        </w:rPr>
        <w:t xml:space="preserve">In addition to undermining the independence of the scheme, conflicts of interest have the potential to affect the trust and confidence placed by entitled persons in the </w:t>
      </w:r>
      <w:r w:rsidR="005F0C13">
        <w:rPr>
          <w:rFonts w:ascii="Arial" w:hAnsi="Arial" w:cs="Arial"/>
          <w:iCs/>
          <w:sz w:val="24"/>
          <w:szCs w:val="24"/>
        </w:rPr>
        <w:t>Official Visitor</w:t>
      </w:r>
      <w:r w:rsidR="00FB1F76">
        <w:rPr>
          <w:rFonts w:ascii="Arial" w:hAnsi="Arial" w:cs="Arial"/>
          <w:iCs/>
          <w:sz w:val="24"/>
          <w:szCs w:val="24"/>
        </w:rPr>
        <w:t xml:space="preserve"> role and affect </w:t>
      </w:r>
      <w:r w:rsidR="00332DB4">
        <w:rPr>
          <w:rFonts w:ascii="Arial" w:hAnsi="Arial" w:cs="Arial"/>
          <w:iCs/>
          <w:sz w:val="24"/>
          <w:szCs w:val="24"/>
        </w:rPr>
        <w:t>their</w:t>
      </w:r>
      <w:r w:rsidR="00FB1F76">
        <w:rPr>
          <w:rFonts w:ascii="Arial" w:hAnsi="Arial" w:cs="Arial"/>
          <w:iCs/>
          <w:sz w:val="24"/>
          <w:szCs w:val="24"/>
        </w:rPr>
        <w:t xml:space="preserve"> ability to properly exercise their functions. </w:t>
      </w:r>
    </w:p>
    <w:p w14:paraId="40BE79FD" w14:textId="05E79875" w:rsidR="004F5764" w:rsidRPr="00CB6930" w:rsidRDefault="004F5764" w:rsidP="006C4190">
      <w:pPr>
        <w:rPr>
          <w:rFonts w:ascii="Arial" w:hAnsi="Arial" w:cs="Arial"/>
          <w:iCs/>
          <w:sz w:val="24"/>
          <w:szCs w:val="24"/>
        </w:rPr>
      </w:pPr>
      <w:r>
        <w:rPr>
          <w:rFonts w:ascii="Arial" w:hAnsi="Arial" w:cs="Arial"/>
          <w:iCs/>
          <w:sz w:val="24"/>
          <w:szCs w:val="24"/>
        </w:rPr>
        <w:t xml:space="preserve">By requiring </w:t>
      </w:r>
      <w:r w:rsidR="005F0C13">
        <w:rPr>
          <w:rFonts w:ascii="Arial" w:hAnsi="Arial" w:cs="Arial"/>
          <w:iCs/>
          <w:sz w:val="24"/>
          <w:szCs w:val="24"/>
        </w:rPr>
        <w:t>Official Visitors</w:t>
      </w:r>
      <w:r>
        <w:rPr>
          <w:rFonts w:ascii="Arial" w:hAnsi="Arial" w:cs="Arial"/>
          <w:iCs/>
          <w:sz w:val="24"/>
          <w:szCs w:val="24"/>
        </w:rPr>
        <w:t xml:space="preserve"> to proactively report conflicts of interest to the </w:t>
      </w:r>
      <w:r w:rsidR="005F0C13">
        <w:rPr>
          <w:rFonts w:ascii="Arial" w:hAnsi="Arial" w:cs="Arial"/>
          <w:iCs/>
          <w:sz w:val="24"/>
          <w:szCs w:val="24"/>
        </w:rPr>
        <w:t>Official Visitors</w:t>
      </w:r>
      <w:r>
        <w:rPr>
          <w:rFonts w:ascii="Arial" w:hAnsi="Arial" w:cs="Arial"/>
          <w:iCs/>
          <w:sz w:val="24"/>
          <w:szCs w:val="24"/>
        </w:rPr>
        <w:t xml:space="preserve"> Board, the</w:t>
      </w:r>
      <w:r w:rsidR="00875712">
        <w:rPr>
          <w:rFonts w:ascii="Arial" w:hAnsi="Arial" w:cs="Arial"/>
          <w:iCs/>
          <w:sz w:val="24"/>
          <w:szCs w:val="24"/>
        </w:rPr>
        <w:t xml:space="preserve"> amendment will</w:t>
      </w:r>
      <w:r w:rsidRPr="004F5764">
        <w:rPr>
          <w:rFonts w:ascii="Arial" w:hAnsi="Arial" w:cs="Arial"/>
          <w:iCs/>
          <w:sz w:val="24"/>
          <w:szCs w:val="24"/>
        </w:rPr>
        <w:t xml:space="preserve"> </w:t>
      </w:r>
      <w:r>
        <w:rPr>
          <w:rFonts w:ascii="Arial" w:hAnsi="Arial" w:cs="Arial"/>
          <w:iCs/>
          <w:sz w:val="24"/>
          <w:szCs w:val="24"/>
        </w:rPr>
        <w:t>support</w:t>
      </w:r>
      <w:r w:rsidR="005F0C13">
        <w:rPr>
          <w:rFonts w:ascii="Arial" w:hAnsi="Arial" w:cs="Arial"/>
          <w:iCs/>
          <w:sz w:val="24"/>
          <w:szCs w:val="24"/>
        </w:rPr>
        <w:t xml:space="preserve"> the</w:t>
      </w:r>
      <w:r>
        <w:rPr>
          <w:rFonts w:ascii="Arial" w:hAnsi="Arial" w:cs="Arial"/>
          <w:iCs/>
          <w:sz w:val="24"/>
          <w:szCs w:val="24"/>
        </w:rPr>
        <w:t xml:space="preserve"> Board’s ability to advise the Minister in relation to their obligation </w:t>
      </w:r>
      <w:r w:rsidRPr="00D40DA5">
        <w:rPr>
          <w:rFonts w:ascii="Arial" w:hAnsi="Arial" w:cs="Arial"/>
          <w:iCs/>
          <w:sz w:val="24"/>
          <w:szCs w:val="24"/>
        </w:rPr>
        <w:t xml:space="preserve">under s12(2)(b) to terminate an </w:t>
      </w:r>
      <w:r w:rsidR="005F0C13">
        <w:rPr>
          <w:rFonts w:ascii="Arial" w:hAnsi="Arial" w:cs="Arial"/>
          <w:iCs/>
          <w:sz w:val="24"/>
          <w:szCs w:val="24"/>
        </w:rPr>
        <w:t>Official Visitor</w:t>
      </w:r>
      <w:r w:rsidRPr="00D40DA5">
        <w:rPr>
          <w:rFonts w:ascii="Arial" w:hAnsi="Arial" w:cs="Arial"/>
          <w:iCs/>
          <w:sz w:val="24"/>
          <w:szCs w:val="24"/>
        </w:rPr>
        <w:t xml:space="preserve"> appointment if th</w:t>
      </w:r>
      <w:r w:rsidR="005F0C13">
        <w:rPr>
          <w:rFonts w:ascii="Arial" w:hAnsi="Arial" w:cs="Arial"/>
          <w:iCs/>
          <w:sz w:val="24"/>
          <w:szCs w:val="24"/>
        </w:rPr>
        <w:t xml:space="preserve">ey </w:t>
      </w:r>
      <w:r>
        <w:rPr>
          <w:rFonts w:ascii="Arial" w:hAnsi="Arial" w:cs="Arial"/>
          <w:iCs/>
          <w:sz w:val="24"/>
          <w:szCs w:val="24"/>
        </w:rPr>
        <w:t>fail</w:t>
      </w:r>
      <w:r w:rsidR="00332DB4">
        <w:rPr>
          <w:rFonts w:ascii="Arial" w:hAnsi="Arial" w:cs="Arial"/>
          <w:iCs/>
          <w:sz w:val="24"/>
          <w:szCs w:val="24"/>
        </w:rPr>
        <w:t xml:space="preserve"> </w:t>
      </w:r>
      <w:r>
        <w:rPr>
          <w:rFonts w:ascii="Arial" w:hAnsi="Arial" w:cs="Arial"/>
          <w:iCs/>
          <w:sz w:val="24"/>
          <w:szCs w:val="24"/>
        </w:rPr>
        <w:t xml:space="preserve">to take all reasonable steps to avoid being placed in a position where a conflict of interest arises during the exercise of their functions. </w:t>
      </w:r>
    </w:p>
    <w:p w14:paraId="0CB44593" w14:textId="0F8F6FEC" w:rsidR="00F94A7B" w:rsidRPr="00064462" w:rsidRDefault="00F94A7B" w:rsidP="00064462">
      <w:pPr>
        <w:pStyle w:val="ListParagraph"/>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t>Proportionality (s2</w:t>
      </w:r>
      <w:r w:rsidR="00064462">
        <w:rPr>
          <w:rFonts w:ascii="Arial" w:hAnsi="Arial" w:cs="Arial"/>
          <w:b/>
          <w:bCs/>
          <w:i/>
          <w:sz w:val="24"/>
          <w:szCs w:val="24"/>
        </w:rPr>
        <w:t>8(2)</w:t>
      </w:r>
      <w:r w:rsidRPr="00064462">
        <w:rPr>
          <w:rFonts w:ascii="Arial" w:hAnsi="Arial" w:cs="Arial"/>
          <w:b/>
          <w:bCs/>
          <w:i/>
          <w:sz w:val="24"/>
          <w:szCs w:val="24"/>
        </w:rPr>
        <w:t>(e))</w:t>
      </w:r>
    </w:p>
    <w:p w14:paraId="697E4800" w14:textId="4649FED3" w:rsidR="00006A9D" w:rsidRDefault="00FB1F76" w:rsidP="006C4190">
      <w:pPr>
        <w:spacing w:before="120" w:after="120"/>
        <w:rPr>
          <w:rFonts w:ascii="Arial" w:hAnsi="Arial" w:cs="Arial"/>
          <w:sz w:val="24"/>
          <w:szCs w:val="24"/>
          <w:lang w:eastAsia="en-AU"/>
        </w:rPr>
      </w:pPr>
      <w:r>
        <w:rPr>
          <w:rFonts w:ascii="Arial" w:hAnsi="Arial" w:cs="Arial"/>
          <w:iCs/>
          <w:sz w:val="24"/>
          <w:szCs w:val="24"/>
        </w:rPr>
        <w:t xml:space="preserve">Requiring </w:t>
      </w:r>
      <w:r w:rsidR="005F0C13">
        <w:rPr>
          <w:rFonts w:ascii="Arial" w:hAnsi="Arial" w:cs="Arial"/>
          <w:iCs/>
          <w:sz w:val="24"/>
          <w:szCs w:val="24"/>
        </w:rPr>
        <w:t>Official Visitors</w:t>
      </w:r>
      <w:r>
        <w:rPr>
          <w:rFonts w:ascii="Arial" w:hAnsi="Arial" w:cs="Arial"/>
          <w:iCs/>
          <w:sz w:val="24"/>
          <w:szCs w:val="24"/>
        </w:rPr>
        <w:t xml:space="preserve"> to proactively</w:t>
      </w:r>
      <w:r w:rsidR="00332DB4">
        <w:rPr>
          <w:rFonts w:ascii="Arial" w:hAnsi="Arial" w:cs="Arial"/>
          <w:iCs/>
          <w:sz w:val="24"/>
          <w:szCs w:val="24"/>
        </w:rPr>
        <w:t xml:space="preserve"> disclose conflicts of interest </w:t>
      </w:r>
      <w:r>
        <w:rPr>
          <w:rFonts w:ascii="Arial" w:hAnsi="Arial" w:cs="Arial"/>
          <w:iCs/>
          <w:sz w:val="24"/>
          <w:szCs w:val="24"/>
        </w:rPr>
        <w:t xml:space="preserve">is necessary </w:t>
      </w:r>
      <w:r>
        <w:rPr>
          <w:rFonts w:ascii="Arial" w:hAnsi="Arial" w:cs="Arial"/>
          <w:sz w:val="24"/>
          <w:szCs w:val="24"/>
          <w:lang w:eastAsia="en-AU"/>
        </w:rPr>
        <w:t>to</w:t>
      </w:r>
      <w:r w:rsidR="00332DB4">
        <w:rPr>
          <w:rFonts w:ascii="Arial" w:hAnsi="Arial" w:cs="Arial"/>
          <w:sz w:val="24"/>
          <w:szCs w:val="24"/>
          <w:lang w:eastAsia="en-AU"/>
        </w:rPr>
        <w:t xml:space="preserve"> enable the Official Visitor Board to monitor the</w:t>
      </w:r>
      <w:r>
        <w:rPr>
          <w:rFonts w:ascii="Arial" w:hAnsi="Arial" w:cs="Arial"/>
          <w:sz w:val="24"/>
          <w:szCs w:val="24"/>
          <w:lang w:eastAsia="en-AU"/>
        </w:rPr>
        <w:t xml:space="preserve"> </w:t>
      </w:r>
      <w:r>
        <w:rPr>
          <w:rFonts w:ascii="Arial" w:hAnsi="Arial" w:cs="Arial"/>
          <w:iCs/>
          <w:sz w:val="24"/>
          <w:szCs w:val="24"/>
        </w:rPr>
        <w:t>independence of the scheme</w:t>
      </w:r>
      <w:r w:rsidR="00332DB4">
        <w:rPr>
          <w:rFonts w:ascii="Arial" w:hAnsi="Arial" w:cs="Arial"/>
          <w:iCs/>
          <w:sz w:val="24"/>
          <w:szCs w:val="24"/>
        </w:rPr>
        <w:t>. This</w:t>
      </w:r>
      <w:r>
        <w:rPr>
          <w:rFonts w:ascii="Arial" w:hAnsi="Arial" w:cs="Arial"/>
          <w:iCs/>
          <w:sz w:val="24"/>
          <w:szCs w:val="24"/>
        </w:rPr>
        <w:t xml:space="preserve"> ensure</w:t>
      </w:r>
      <w:r w:rsidR="00332DB4">
        <w:rPr>
          <w:rFonts w:ascii="Arial" w:hAnsi="Arial" w:cs="Arial"/>
          <w:iCs/>
          <w:sz w:val="24"/>
          <w:szCs w:val="24"/>
        </w:rPr>
        <w:t>s that</w:t>
      </w:r>
      <w:r>
        <w:rPr>
          <w:rFonts w:ascii="Arial" w:hAnsi="Arial" w:cs="Arial"/>
          <w:iCs/>
          <w:sz w:val="24"/>
          <w:szCs w:val="24"/>
        </w:rPr>
        <w:t xml:space="preserve"> </w:t>
      </w:r>
      <w:r w:rsidR="005F0C13">
        <w:rPr>
          <w:rFonts w:ascii="Arial" w:hAnsi="Arial" w:cs="Arial"/>
          <w:iCs/>
          <w:sz w:val="24"/>
          <w:szCs w:val="24"/>
        </w:rPr>
        <w:t>Official Visitors</w:t>
      </w:r>
      <w:r>
        <w:rPr>
          <w:rFonts w:ascii="Arial" w:hAnsi="Arial" w:cs="Arial"/>
          <w:iCs/>
          <w:sz w:val="24"/>
          <w:szCs w:val="24"/>
        </w:rPr>
        <w:t xml:space="preserve"> can properly exercise their</w:t>
      </w:r>
      <w:r w:rsidR="00332DB4">
        <w:rPr>
          <w:rFonts w:ascii="Arial" w:hAnsi="Arial" w:cs="Arial"/>
          <w:iCs/>
          <w:sz w:val="24"/>
          <w:szCs w:val="24"/>
        </w:rPr>
        <w:t xml:space="preserve"> independent</w:t>
      </w:r>
      <w:r>
        <w:rPr>
          <w:rFonts w:ascii="Arial" w:hAnsi="Arial" w:cs="Arial"/>
          <w:iCs/>
          <w:sz w:val="24"/>
          <w:szCs w:val="24"/>
        </w:rPr>
        <w:t xml:space="preserve"> functions</w:t>
      </w:r>
      <w:r w:rsidR="006C4190">
        <w:rPr>
          <w:rFonts w:ascii="Arial" w:hAnsi="Arial" w:cs="Arial"/>
          <w:iCs/>
          <w:sz w:val="24"/>
          <w:szCs w:val="24"/>
        </w:rPr>
        <w:t xml:space="preserve"> </w:t>
      </w:r>
      <w:r>
        <w:rPr>
          <w:rFonts w:ascii="Arial" w:hAnsi="Arial" w:cs="Arial"/>
          <w:iCs/>
          <w:sz w:val="24"/>
          <w:szCs w:val="24"/>
        </w:rPr>
        <w:t xml:space="preserve">and </w:t>
      </w:r>
      <w:r w:rsidR="006C4190">
        <w:rPr>
          <w:rFonts w:ascii="Arial" w:hAnsi="Arial" w:cs="Arial"/>
          <w:iCs/>
          <w:sz w:val="24"/>
          <w:szCs w:val="24"/>
        </w:rPr>
        <w:t xml:space="preserve">is </w:t>
      </w:r>
      <w:r>
        <w:rPr>
          <w:rFonts w:ascii="Arial" w:hAnsi="Arial" w:cs="Arial"/>
          <w:iCs/>
          <w:sz w:val="24"/>
          <w:szCs w:val="24"/>
        </w:rPr>
        <w:t xml:space="preserve">the least restrictive </w:t>
      </w:r>
      <w:r w:rsidR="006C4190">
        <w:rPr>
          <w:rFonts w:ascii="Arial" w:hAnsi="Arial" w:cs="Arial"/>
          <w:iCs/>
          <w:sz w:val="24"/>
          <w:szCs w:val="24"/>
        </w:rPr>
        <w:t>way</w:t>
      </w:r>
      <w:r>
        <w:rPr>
          <w:rFonts w:ascii="Arial" w:hAnsi="Arial" w:cs="Arial"/>
          <w:iCs/>
          <w:sz w:val="24"/>
          <w:szCs w:val="24"/>
        </w:rPr>
        <w:t xml:space="preserve"> </w:t>
      </w:r>
      <w:r w:rsidR="006C4190">
        <w:rPr>
          <w:rFonts w:ascii="Arial" w:hAnsi="Arial" w:cs="Arial"/>
          <w:iCs/>
          <w:sz w:val="24"/>
          <w:szCs w:val="24"/>
        </w:rPr>
        <w:t>to a</w:t>
      </w:r>
      <w:r>
        <w:rPr>
          <w:rFonts w:ascii="Arial" w:hAnsi="Arial" w:cs="Arial"/>
          <w:iCs/>
          <w:sz w:val="24"/>
          <w:szCs w:val="24"/>
        </w:rPr>
        <w:t>chiev</w:t>
      </w:r>
      <w:r w:rsidR="006C4190">
        <w:rPr>
          <w:rFonts w:ascii="Arial" w:hAnsi="Arial" w:cs="Arial"/>
          <w:iCs/>
          <w:sz w:val="24"/>
          <w:szCs w:val="24"/>
        </w:rPr>
        <w:t>e</w:t>
      </w:r>
      <w:r>
        <w:rPr>
          <w:rFonts w:ascii="Arial" w:hAnsi="Arial" w:cs="Arial"/>
          <w:iCs/>
          <w:sz w:val="24"/>
          <w:szCs w:val="24"/>
        </w:rPr>
        <w:t xml:space="preserve"> this objective. </w:t>
      </w:r>
      <w:r w:rsidR="005F0C13">
        <w:rPr>
          <w:rFonts w:ascii="Arial" w:hAnsi="Arial" w:cs="Arial"/>
          <w:sz w:val="24"/>
          <w:szCs w:val="24"/>
          <w:lang w:eastAsia="en-AU"/>
        </w:rPr>
        <w:t>Official Visitors</w:t>
      </w:r>
      <w:r w:rsidR="00145291">
        <w:rPr>
          <w:rFonts w:ascii="Arial" w:hAnsi="Arial" w:cs="Arial"/>
          <w:sz w:val="24"/>
          <w:szCs w:val="24"/>
          <w:lang w:eastAsia="en-AU"/>
        </w:rPr>
        <w:t xml:space="preserve"> need not disclose any </w:t>
      </w:r>
      <w:r>
        <w:rPr>
          <w:rFonts w:ascii="Arial" w:hAnsi="Arial" w:cs="Arial"/>
          <w:sz w:val="24"/>
          <w:szCs w:val="24"/>
          <w:lang w:eastAsia="en-AU"/>
        </w:rPr>
        <w:t xml:space="preserve">personal information </w:t>
      </w:r>
      <w:r w:rsidR="00145291">
        <w:rPr>
          <w:rFonts w:ascii="Arial" w:hAnsi="Arial" w:cs="Arial"/>
          <w:sz w:val="24"/>
          <w:szCs w:val="24"/>
          <w:lang w:eastAsia="en-AU"/>
        </w:rPr>
        <w:t xml:space="preserve">beyond this remit. </w:t>
      </w:r>
    </w:p>
    <w:p w14:paraId="58DEEFD5" w14:textId="46B323F5" w:rsidR="0071132E" w:rsidRDefault="0071132E" w:rsidP="006C4190">
      <w:pPr>
        <w:spacing w:before="120" w:after="120"/>
        <w:rPr>
          <w:rFonts w:ascii="Arial" w:hAnsi="Arial" w:cs="Arial"/>
          <w:iCs/>
          <w:sz w:val="24"/>
          <w:szCs w:val="24"/>
          <w:u w:val="single"/>
        </w:rPr>
      </w:pPr>
      <w:r w:rsidRPr="00960D93">
        <w:rPr>
          <w:rFonts w:ascii="Arial" w:hAnsi="Arial" w:cs="Arial"/>
          <w:iCs/>
          <w:sz w:val="24"/>
          <w:szCs w:val="24"/>
          <w:u w:val="single"/>
        </w:rPr>
        <w:t>Section 12 HRA – Right to Privacy – Wills Act amendments</w:t>
      </w:r>
    </w:p>
    <w:p w14:paraId="5201A044" w14:textId="77777777" w:rsidR="00960D93" w:rsidRPr="003751DD" w:rsidRDefault="00960D93" w:rsidP="00960D93">
      <w:pPr>
        <w:pStyle w:val="ListParagraph"/>
        <w:numPr>
          <w:ilvl w:val="0"/>
          <w:numId w:val="38"/>
        </w:numPr>
        <w:spacing w:before="120" w:after="120" w:line="276" w:lineRule="auto"/>
        <w:contextualSpacing/>
        <w:rPr>
          <w:rFonts w:ascii="Arial" w:hAnsi="Arial" w:cs="Arial"/>
          <w:b/>
          <w:bCs/>
          <w:i/>
          <w:sz w:val="24"/>
          <w:szCs w:val="24"/>
        </w:rPr>
      </w:pPr>
      <w:r w:rsidRPr="003751DD">
        <w:rPr>
          <w:rFonts w:ascii="Arial" w:hAnsi="Arial" w:cs="Arial"/>
          <w:b/>
          <w:bCs/>
          <w:i/>
          <w:sz w:val="24"/>
          <w:szCs w:val="24"/>
        </w:rPr>
        <w:t>Nature of the right and limitation (s28(2)(a) and (c))</w:t>
      </w:r>
    </w:p>
    <w:p w14:paraId="236E2D3E" w14:textId="194A94FC" w:rsidR="00960D93" w:rsidRPr="003751DD" w:rsidRDefault="00960D93" w:rsidP="00960D93">
      <w:pPr>
        <w:spacing w:before="120" w:after="120"/>
        <w:rPr>
          <w:rFonts w:ascii="Arial" w:hAnsi="Arial" w:cs="Arial"/>
          <w:iCs/>
          <w:sz w:val="24"/>
          <w:szCs w:val="24"/>
        </w:rPr>
      </w:pPr>
      <w:r w:rsidRPr="003751DD">
        <w:rPr>
          <w:rFonts w:ascii="Arial" w:hAnsi="Arial" w:cs="Arial"/>
          <w:iCs/>
          <w:sz w:val="24"/>
          <w:szCs w:val="24"/>
        </w:rPr>
        <w:t>The right to privacy provides that everyone has the right not to have their privacy, family, home or correspondence in</w:t>
      </w:r>
      <w:r w:rsidR="001B2E58">
        <w:rPr>
          <w:rFonts w:ascii="Arial" w:hAnsi="Arial" w:cs="Arial"/>
          <w:iCs/>
          <w:sz w:val="24"/>
          <w:szCs w:val="24"/>
        </w:rPr>
        <w:t>terfer</w:t>
      </w:r>
      <w:r w:rsidRPr="003751DD">
        <w:rPr>
          <w:rFonts w:ascii="Arial" w:hAnsi="Arial" w:cs="Arial"/>
          <w:iCs/>
          <w:sz w:val="24"/>
          <w:szCs w:val="24"/>
        </w:rPr>
        <w:t xml:space="preserve">ed with unlawfully or arbitrarily. </w:t>
      </w:r>
      <w:r w:rsidR="001B2E58">
        <w:rPr>
          <w:rFonts w:ascii="Arial" w:hAnsi="Arial" w:cs="Arial"/>
          <w:iCs/>
          <w:sz w:val="24"/>
          <w:szCs w:val="24"/>
        </w:rPr>
        <w:br/>
      </w:r>
      <w:r w:rsidRPr="003751DD">
        <w:rPr>
          <w:rFonts w:ascii="Arial" w:hAnsi="Arial" w:cs="Arial"/>
          <w:iCs/>
          <w:sz w:val="24"/>
          <w:szCs w:val="24"/>
        </w:rPr>
        <w:t xml:space="preserve">The amendments to the </w:t>
      </w:r>
      <w:r w:rsidRPr="00960D93">
        <w:rPr>
          <w:rFonts w:ascii="Arial" w:hAnsi="Arial" w:cs="Arial"/>
          <w:iCs/>
          <w:sz w:val="24"/>
          <w:szCs w:val="24"/>
        </w:rPr>
        <w:t>Wills Act</w:t>
      </w:r>
      <w:r w:rsidRPr="003751DD">
        <w:rPr>
          <w:rFonts w:ascii="Arial" w:hAnsi="Arial" w:cs="Arial"/>
          <w:iCs/>
          <w:sz w:val="24"/>
          <w:szCs w:val="24"/>
        </w:rPr>
        <w:t xml:space="preserve"> limit the right to privacy for those who have engaged Legal Aid to draft and hold </w:t>
      </w:r>
      <w:r>
        <w:rPr>
          <w:rFonts w:ascii="Arial" w:hAnsi="Arial" w:cs="Arial"/>
          <w:iCs/>
          <w:sz w:val="24"/>
          <w:szCs w:val="24"/>
        </w:rPr>
        <w:t xml:space="preserve">possession of </w:t>
      </w:r>
      <w:r w:rsidRPr="003751DD">
        <w:rPr>
          <w:rFonts w:ascii="Arial" w:hAnsi="Arial" w:cs="Arial"/>
          <w:iCs/>
          <w:sz w:val="24"/>
          <w:szCs w:val="24"/>
        </w:rPr>
        <w:t xml:space="preserve">a will, as the transfer of wills from Legal Aid to the Public Trustee and Guardian will require the disclosure of identifiable information. </w:t>
      </w:r>
    </w:p>
    <w:p w14:paraId="54CA6383" w14:textId="77777777" w:rsidR="00960D93" w:rsidRPr="003751DD" w:rsidRDefault="00960D93" w:rsidP="00960D93">
      <w:pPr>
        <w:pStyle w:val="ListParagraph"/>
        <w:numPr>
          <w:ilvl w:val="0"/>
          <w:numId w:val="38"/>
        </w:numPr>
        <w:spacing w:before="120" w:after="120" w:line="276" w:lineRule="auto"/>
        <w:contextualSpacing/>
        <w:rPr>
          <w:rFonts w:ascii="Arial" w:hAnsi="Arial" w:cs="Arial"/>
          <w:b/>
          <w:bCs/>
          <w:i/>
          <w:sz w:val="24"/>
          <w:szCs w:val="24"/>
        </w:rPr>
      </w:pPr>
      <w:r w:rsidRPr="003751DD">
        <w:rPr>
          <w:rFonts w:ascii="Arial" w:hAnsi="Arial" w:cs="Arial"/>
          <w:b/>
          <w:bCs/>
          <w:i/>
          <w:sz w:val="24"/>
          <w:szCs w:val="24"/>
        </w:rPr>
        <w:t>Legitimate purpose (s28(2)(b))</w:t>
      </w:r>
    </w:p>
    <w:p w14:paraId="73587712" w14:textId="055AB466" w:rsidR="00960D93" w:rsidRDefault="00960D93" w:rsidP="00960D93">
      <w:pPr>
        <w:spacing w:before="120" w:after="120"/>
        <w:rPr>
          <w:rFonts w:ascii="Arial" w:hAnsi="Arial" w:cs="Arial"/>
          <w:iCs/>
          <w:sz w:val="24"/>
          <w:szCs w:val="24"/>
        </w:rPr>
      </w:pPr>
      <w:r>
        <w:rPr>
          <w:rFonts w:ascii="Arial" w:hAnsi="Arial" w:cs="Arial"/>
          <w:iCs/>
          <w:sz w:val="24"/>
          <w:szCs w:val="24"/>
        </w:rPr>
        <w:t>The amendment is intended to directly benefit the person who has written a will</w:t>
      </w:r>
      <w:r w:rsidR="001B2E58">
        <w:rPr>
          <w:rFonts w:ascii="Arial" w:hAnsi="Arial" w:cs="Arial"/>
          <w:iCs/>
          <w:sz w:val="24"/>
          <w:szCs w:val="24"/>
        </w:rPr>
        <w:t xml:space="preserve"> </w:t>
      </w:r>
      <w:r w:rsidR="001B2E58">
        <w:rPr>
          <w:rFonts w:ascii="Arial" w:hAnsi="Arial" w:cs="Arial"/>
          <w:iCs/>
          <w:sz w:val="24"/>
          <w:szCs w:val="24"/>
        </w:rPr>
        <w:br/>
        <w:t>(the testator)</w:t>
      </w:r>
      <w:r>
        <w:rPr>
          <w:rFonts w:ascii="Arial" w:hAnsi="Arial" w:cs="Arial"/>
          <w:iCs/>
          <w:sz w:val="24"/>
          <w:szCs w:val="24"/>
        </w:rPr>
        <w:t xml:space="preserve">. Safekeeping a will within a single government agency ensures that it is easier for </w:t>
      </w:r>
      <w:r w:rsidR="001B2E58">
        <w:rPr>
          <w:rFonts w:ascii="Arial" w:hAnsi="Arial" w:cs="Arial"/>
          <w:iCs/>
          <w:sz w:val="24"/>
          <w:szCs w:val="24"/>
        </w:rPr>
        <w:t>the</w:t>
      </w:r>
      <w:r>
        <w:rPr>
          <w:rFonts w:ascii="Arial" w:hAnsi="Arial" w:cs="Arial"/>
          <w:iCs/>
          <w:sz w:val="24"/>
          <w:szCs w:val="24"/>
        </w:rPr>
        <w:t xml:space="preserve"> person’s will to be located and given effect after their death, thereby supporting their wishes. The amendment promotes their right to privacy, as their autonomy to make decisions regarding their property is protected (wh</w:t>
      </w:r>
      <w:r w:rsidR="001B2E58">
        <w:rPr>
          <w:rFonts w:ascii="Arial" w:hAnsi="Arial" w:cs="Arial"/>
          <w:iCs/>
          <w:sz w:val="24"/>
          <w:szCs w:val="24"/>
        </w:rPr>
        <w:t>ereas</w:t>
      </w:r>
      <w:r>
        <w:rPr>
          <w:rFonts w:ascii="Arial" w:hAnsi="Arial" w:cs="Arial"/>
          <w:iCs/>
          <w:sz w:val="24"/>
          <w:szCs w:val="24"/>
        </w:rPr>
        <w:t xml:space="preserve"> if a person dies intestate or if their will cannot be located, their property is distributed according to legislative rules).</w:t>
      </w:r>
    </w:p>
    <w:p w14:paraId="23DCEF9E" w14:textId="7AB0C5C5" w:rsidR="00960D93" w:rsidRDefault="00960D93" w:rsidP="00960D93">
      <w:pPr>
        <w:spacing w:before="120" w:after="120"/>
        <w:rPr>
          <w:rFonts w:ascii="Arial" w:hAnsi="Arial" w:cs="Arial"/>
          <w:iCs/>
          <w:sz w:val="24"/>
          <w:szCs w:val="24"/>
        </w:rPr>
      </w:pPr>
      <w:r>
        <w:rPr>
          <w:rFonts w:ascii="Arial" w:hAnsi="Arial" w:cs="Arial"/>
          <w:iCs/>
          <w:sz w:val="24"/>
          <w:szCs w:val="24"/>
        </w:rPr>
        <w:t>A secondary and related purpose o</w:t>
      </w:r>
      <w:r w:rsidRPr="003751DD">
        <w:rPr>
          <w:rFonts w:ascii="Arial" w:hAnsi="Arial" w:cs="Arial"/>
          <w:iCs/>
          <w:sz w:val="24"/>
          <w:szCs w:val="24"/>
        </w:rPr>
        <w:t xml:space="preserve">f this amendment </w:t>
      </w:r>
      <w:r>
        <w:rPr>
          <w:rFonts w:ascii="Arial" w:hAnsi="Arial" w:cs="Arial"/>
          <w:iCs/>
          <w:sz w:val="24"/>
          <w:szCs w:val="24"/>
        </w:rPr>
        <w:t xml:space="preserve">is to benefit members of the ACT community who are entitled to access wills. By enabling </w:t>
      </w:r>
      <w:r w:rsidRPr="003751DD">
        <w:rPr>
          <w:rFonts w:ascii="Arial" w:hAnsi="Arial" w:cs="Arial"/>
          <w:iCs/>
          <w:sz w:val="24"/>
          <w:szCs w:val="24"/>
        </w:rPr>
        <w:t xml:space="preserve">Legal Aid to deposit wills in its </w:t>
      </w:r>
      <w:r>
        <w:rPr>
          <w:rFonts w:ascii="Arial" w:hAnsi="Arial" w:cs="Arial"/>
          <w:iCs/>
          <w:sz w:val="24"/>
          <w:szCs w:val="24"/>
        </w:rPr>
        <w:t>custody</w:t>
      </w:r>
      <w:r w:rsidRPr="003751DD">
        <w:rPr>
          <w:rFonts w:ascii="Arial" w:hAnsi="Arial" w:cs="Arial"/>
          <w:iCs/>
          <w:sz w:val="24"/>
          <w:szCs w:val="24"/>
        </w:rPr>
        <w:t xml:space="preserve"> with the Public Trustee and Guardian, wh</w:t>
      </w:r>
      <w:r w:rsidR="001B2E58">
        <w:rPr>
          <w:rFonts w:ascii="Arial" w:hAnsi="Arial" w:cs="Arial"/>
          <w:iCs/>
          <w:sz w:val="24"/>
          <w:szCs w:val="24"/>
        </w:rPr>
        <w:t>ich</w:t>
      </w:r>
      <w:r w:rsidRPr="003751DD">
        <w:rPr>
          <w:rFonts w:ascii="Arial" w:hAnsi="Arial" w:cs="Arial"/>
          <w:iCs/>
          <w:sz w:val="24"/>
          <w:szCs w:val="24"/>
        </w:rPr>
        <w:t xml:space="preserve"> maintain</w:t>
      </w:r>
      <w:r w:rsidR="001B2E58">
        <w:rPr>
          <w:rFonts w:ascii="Arial" w:hAnsi="Arial" w:cs="Arial"/>
          <w:iCs/>
          <w:sz w:val="24"/>
          <w:szCs w:val="24"/>
        </w:rPr>
        <w:t>s</w:t>
      </w:r>
      <w:r w:rsidRPr="003751DD">
        <w:rPr>
          <w:rFonts w:ascii="Arial" w:hAnsi="Arial" w:cs="Arial"/>
          <w:iCs/>
          <w:sz w:val="24"/>
          <w:szCs w:val="24"/>
        </w:rPr>
        <w:t xml:space="preserve"> a centralised wills register</w:t>
      </w:r>
      <w:r>
        <w:rPr>
          <w:rFonts w:ascii="Arial" w:hAnsi="Arial" w:cs="Arial"/>
          <w:iCs/>
          <w:sz w:val="24"/>
          <w:szCs w:val="24"/>
        </w:rPr>
        <w:t>, this access is more readily facilitated</w:t>
      </w:r>
      <w:r w:rsidRPr="003751DD">
        <w:rPr>
          <w:rFonts w:ascii="Arial" w:hAnsi="Arial" w:cs="Arial"/>
          <w:iCs/>
          <w:sz w:val="24"/>
          <w:szCs w:val="24"/>
        </w:rPr>
        <w:t xml:space="preserve">. </w:t>
      </w:r>
    </w:p>
    <w:p w14:paraId="6DE14076" w14:textId="77777777" w:rsidR="00960D93" w:rsidRPr="003751DD" w:rsidRDefault="00960D93" w:rsidP="00960D93">
      <w:pPr>
        <w:pStyle w:val="ListParagraph"/>
        <w:keepNext/>
        <w:numPr>
          <w:ilvl w:val="0"/>
          <w:numId w:val="38"/>
        </w:numPr>
        <w:spacing w:before="120" w:after="120" w:line="276" w:lineRule="auto"/>
        <w:contextualSpacing/>
        <w:rPr>
          <w:rFonts w:ascii="Arial" w:hAnsi="Arial" w:cs="Arial"/>
          <w:b/>
          <w:bCs/>
          <w:i/>
          <w:sz w:val="24"/>
          <w:szCs w:val="24"/>
        </w:rPr>
      </w:pPr>
      <w:r w:rsidRPr="003751DD">
        <w:rPr>
          <w:rFonts w:ascii="Arial" w:hAnsi="Arial" w:cs="Arial"/>
          <w:b/>
          <w:bCs/>
          <w:i/>
          <w:sz w:val="24"/>
          <w:szCs w:val="24"/>
        </w:rPr>
        <w:lastRenderedPageBreak/>
        <w:t>Rational connection between the limitation and the purpose (s28(2)(d))</w:t>
      </w:r>
    </w:p>
    <w:p w14:paraId="7572D451" w14:textId="68E669B1" w:rsidR="00960D93" w:rsidRDefault="00960D93" w:rsidP="00960D93">
      <w:pPr>
        <w:keepNext/>
        <w:spacing w:before="120" w:after="120"/>
        <w:rPr>
          <w:rFonts w:ascii="Arial" w:hAnsi="Arial" w:cs="Arial"/>
          <w:iCs/>
          <w:sz w:val="24"/>
          <w:szCs w:val="24"/>
        </w:rPr>
      </w:pPr>
      <w:r>
        <w:rPr>
          <w:rFonts w:ascii="Arial" w:hAnsi="Arial" w:cs="Arial"/>
          <w:iCs/>
          <w:sz w:val="24"/>
          <w:szCs w:val="24"/>
        </w:rPr>
        <w:t>Sharing identifiable information of the person whose will is held with Legal Aid is necessary to ensure the correct person(s) can access and request information regarding a will. The</w:t>
      </w:r>
      <w:r w:rsidRPr="003751DD">
        <w:rPr>
          <w:rFonts w:ascii="Arial" w:hAnsi="Arial" w:cs="Arial"/>
          <w:iCs/>
          <w:sz w:val="24"/>
          <w:szCs w:val="24"/>
        </w:rPr>
        <w:t xml:space="preserve"> amendment will </w:t>
      </w:r>
      <w:r>
        <w:rPr>
          <w:rFonts w:ascii="Arial" w:hAnsi="Arial" w:cs="Arial"/>
          <w:iCs/>
          <w:sz w:val="24"/>
          <w:szCs w:val="24"/>
        </w:rPr>
        <w:t xml:space="preserve">enable the will to be given effect, protecting the person’s wishes and </w:t>
      </w:r>
      <w:r w:rsidRPr="003751DD">
        <w:rPr>
          <w:rFonts w:ascii="Arial" w:hAnsi="Arial" w:cs="Arial"/>
          <w:iCs/>
          <w:sz w:val="24"/>
          <w:szCs w:val="24"/>
        </w:rPr>
        <w:t>improv</w:t>
      </w:r>
      <w:r>
        <w:rPr>
          <w:rFonts w:ascii="Arial" w:hAnsi="Arial" w:cs="Arial"/>
          <w:iCs/>
          <w:sz w:val="24"/>
          <w:szCs w:val="24"/>
        </w:rPr>
        <w:t>ing</w:t>
      </w:r>
      <w:r w:rsidRPr="003751DD">
        <w:rPr>
          <w:rFonts w:ascii="Arial" w:hAnsi="Arial" w:cs="Arial"/>
          <w:iCs/>
          <w:sz w:val="24"/>
          <w:szCs w:val="24"/>
        </w:rPr>
        <w:t xml:space="preserve"> access for the ACT community via the centralised register.</w:t>
      </w:r>
    </w:p>
    <w:p w14:paraId="51482588" w14:textId="77777777" w:rsidR="00960D93" w:rsidRPr="00D6510D" w:rsidRDefault="00960D93" w:rsidP="00960D93">
      <w:pPr>
        <w:pStyle w:val="ListParagraph"/>
        <w:numPr>
          <w:ilvl w:val="0"/>
          <w:numId w:val="38"/>
        </w:numPr>
        <w:spacing w:before="120" w:after="120" w:line="276" w:lineRule="auto"/>
        <w:contextualSpacing/>
        <w:rPr>
          <w:rFonts w:ascii="Arial" w:hAnsi="Arial" w:cs="Arial"/>
          <w:b/>
          <w:bCs/>
          <w:i/>
          <w:sz w:val="24"/>
          <w:szCs w:val="24"/>
        </w:rPr>
      </w:pPr>
      <w:r w:rsidRPr="00D6510D">
        <w:rPr>
          <w:rFonts w:ascii="Arial" w:hAnsi="Arial" w:cs="Arial"/>
          <w:b/>
          <w:bCs/>
          <w:i/>
          <w:sz w:val="24"/>
          <w:szCs w:val="24"/>
        </w:rPr>
        <w:t>Proportionality (s28(2)(e))</w:t>
      </w:r>
    </w:p>
    <w:p w14:paraId="29301F49" w14:textId="604DDD04" w:rsidR="008B1DA9" w:rsidRDefault="00960D93" w:rsidP="00960D93">
      <w:pPr>
        <w:spacing w:before="120" w:after="120"/>
        <w:rPr>
          <w:rFonts w:ascii="Arial" w:hAnsi="Arial" w:cs="Arial"/>
          <w:iCs/>
          <w:sz w:val="24"/>
          <w:szCs w:val="24"/>
        </w:rPr>
      </w:pPr>
      <w:r w:rsidRPr="00F62AA7">
        <w:rPr>
          <w:rFonts w:ascii="Arial" w:hAnsi="Arial" w:cs="Arial"/>
          <w:iCs/>
          <w:sz w:val="24"/>
          <w:szCs w:val="24"/>
        </w:rPr>
        <w:t xml:space="preserve">The limitation is considered reasonable and proportionate. The amendment will have a minor impact on the right to privacy </w:t>
      </w:r>
      <w:r w:rsidR="008B1DA9">
        <w:rPr>
          <w:rFonts w:ascii="Arial" w:hAnsi="Arial" w:cs="Arial"/>
          <w:iCs/>
          <w:sz w:val="24"/>
          <w:szCs w:val="24"/>
        </w:rPr>
        <w:t>because the personal information is being shared</w:t>
      </w:r>
      <w:r w:rsidRPr="00F62AA7">
        <w:rPr>
          <w:rFonts w:ascii="Arial" w:hAnsi="Arial" w:cs="Arial"/>
          <w:iCs/>
          <w:sz w:val="24"/>
          <w:szCs w:val="24"/>
        </w:rPr>
        <w:t xml:space="preserve"> between government agencies bound by statutory obligations in relation to privacy and recordke</w:t>
      </w:r>
      <w:r>
        <w:rPr>
          <w:rFonts w:ascii="Arial" w:hAnsi="Arial" w:cs="Arial"/>
          <w:iCs/>
          <w:sz w:val="24"/>
          <w:szCs w:val="24"/>
        </w:rPr>
        <w:t>eping</w:t>
      </w:r>
      <w:r w:rsidR="008B1DA9">
        <w:rPr>
          <w:rFonts w:ascii="Arial" w:hAnsi="Arial" w:cs="Arial"/>
          <w:iCs/>
          <w:sz w:val="24"/>
          <w:szCs w:val="24"/>
        </w:rPr>
        <w:t xml:space="preserve"> (</w:t>
      </w:r>
      <w:r w:rsidR="001B2E58">
        <w:rPr>
          <w:rFonts w:ascii="Arial" w:hAnsi="Arial" w:cs="Arial"/>
          <w:iCs/>
          <w:sz w:val="24"/>
          <w:szCs w:val="24"/>
        </w:rPr>
        <w:t xml:space="preserve">e.g. </w:t>
      </w:r>
      <w:r w:rsidR="008B1DA9">
        <w:rPr>
          <w:rFonts w:ascii="Arial" w:hAnsi="Arial" w:cs="Arial"/>
          <w:iCs/>
          <w:sz w:val="24"/>
          <w:szCs w:val="24"/>
        </w:rPr>
        <w:t xml:space="preserve">the </w:t>
      </w:r>
      <w:r w:rsidR="008B1DA9" w:rsidRPr="008B1DA9">
        <w:rPr>
          <w:rFonts w:ascii="Arial" w:hAnsi="Arial" w:cs="Arial"/>
          <w:i/>
          <w:sz w:val="24"/>
          <w:szCs w:val="24"/>
        </w:rPr>
        <w:t>Privacy Act 2014</w:t>
      </w:r>
      <w:r w:rsidR="008B1DA9">
        <w:rPr>
          <w:rFonts w:ascii="Arial" w:hAnsi="Arial" w:cs="Arial"/>
          <w:iCs/>
          <w:sz w:val="24"/>
          <w:szCs w:val="24"/>
        </w:rPr>
        <w:t xml:space="preserve"> and the </w:t>
      </w:r>
      <w:r w:rsidR="008B1DA9" w:rsidRPr="008B1DA9">
        <w:rPr>
          <w:rFonts w:ascii="Arial" w:hAnsi="Arial" w:cs="Arial"/>
          <w:i/>
          <w:sz w:val="24"/>
          <w:szCs w:val="24"/>
        </w:rPr>
        <w:t>Territory Records Act 2002</w:t>
      </w:r>
      <w:r w:rsidR="008B1DA9">
        <w:rPr>
          <w:rFonts w:ascii="Arial" w:hAnsi="Arial" w:cs="Arial"/>
          <w:iCs/>
          <w:sz w:val="24"/>
          <w:szCs w:val="24"/>
        </w:rPr>
        <w:t>)</w:t>
      </w:r>
      <w:r>
        <w:rPr>
          <w:rFonts w:ascii="Arial" w:hAnsi="Arial" w:cs="Arial"/>
          <w:iCs/>
          <w:sz w:val="24"/>
          <w:szCs w:val="24"/>
        </w:rPr>
        <w:t xml:space="preserve">. </w:t>
      </w:r>
      <w:r w:rsidR="008B1DA9">
        <w:rPr>
          <w:rFonts w:ascii="Arial" w:hAnsi="Arial" w:cs="Arial"/>
          <w:iCs/>
          <w:sz w:val="24"/>
          <w:szCs w:val="24"/>
        </w:rPr>
        <w:t xml:space="preserve">It is also an offence for officials at the </w:t>
      </w:r>
      <w:r w:rsidR="008B1DA9" w:rsidRPr="00F62AA7">
        <w:rPr>
          <w:rFonts w:ascii="Arial" w:hAnsi="Arial" w:cs="Arial"/>
          <w:iCs/>
          <w:sz w:val="24"/>
          <w:szCs w:val="24"/>
        </w:rPr>
        <w:t>Public Trustee and Guardian</w:t>
      </w:r>
      <w:r w:rsidR="008B1DA9">
        <w:rPr>
          <w:rFonts w:ascii="Arial" w:hAnsi="Arial" w:cs="Arial"/>
          <w:iCs/>
          <w:sz w:val="24"/>
          <w:szCs w:val="24"/>
        </w:rPr>
        <w:t xml:space="preserve"> to disclose information obtained </w:t>
      </w:r>
      <w:proofErr w:type="gramStart"/>
      <w:r w:rsidR="008B1DA9">
        <w:rPr>
          <w:rFonts w:ascii="Arial" w:hAnsi="Arial" w:cs="Arial"/>
          <w:iCs/>
          <w:sz w:val="24"/>
          <w:szCs w:val="24"/>
        </w:rPr>
        <w:t>in the course of</w:t>
      </w:r>
      <w:proofErr w:type="gramEnd"/>
      <w:r w:rsidR="008B1DA9">
        <w:rPr>
          <w:rFonts w:ascii="Arial" w:hAnsi="Arial" w:cs="Arial"/>
          <w:iCs/>
          <w:sz w:val="24"/>
          <w:szCs w:val="24"/>
        </w:rPr>
        <w:t xml:space="preserve"> their functions, other than in authorised circumstances (section 65A of the </w:t>
      </w:r>
      <w:r w:rsidR="008B1DA9" w:rsidRPr="008B1DA9">
        <w:rPr>
          <w:rFonts w:ascii="Arial" w:hAnsi="Arial" w:cs="Arial"/>
          <w:i/>
          <w:sz w:val="24"/>
          <w:szCs w:val="24"/>
        </w:rPr>
        <w:t>Public Trustee and Guardian Act 1985</w:t>
      </w:r>
      <w:r w:rsidR="008B1DA9">
        <w:rPr>
          <w:rFonts w:ascii="Arial" w:hAnsi="Arial" w:cs="Arial"/>
          <w:iCs/>
          <w:sz w:val="24"/>
          <w:szCs w:val="24"/>
        </w:rPr>
        <w:t xml:space="preserve">). </w:t>
      </w:r>
    </w:p>
    <w:p w14:paraId="57D4A0DB" w14:textId="37AA2619" w:rsidR="00960D93" w:rsidRPr="00F62AA7" w:rsidRDefault="008B1DA9" w:rsidP="00960D93">
      <w:pPr>
        <w:spacing w:before="120" w:after="120"/>
        <w:rPr>
          <w:rFonts w:ascii="Arial" w:hAnsi="Arial" w:cs="Arial"/>
          <w:sz w:val="24"/>
          <w:szCs w:val="24"/>
        </w:rPr>
      </w:pPr>
      <w:r>
        <w:rPr>
          <w:rFonts w:ascii="Arial" w:hAnsi="Arial" w:cs="Arial"/>
          <w:iCs/>
          <w:sz w:val="24"/>
          <w:szCs w:val="24"/>
        </w:rPr>
        <w:t>Access</w:t>
      </w:r>
      <w:r w:rsidR="00960D93" w:rsidRPr="00F62AA7">
        <w:rPr>
          <w:rFonts w:ascii="Arial" w:hAnsi="Arial" w:cs="Arial"/>
          <w:iCs/>
          <w:sz w:val="24"/>
          <w:szCs w:val="24"/>
        </w:rPr>
        <w:t xml:space="preserve"> to the wills register </w:t>
      </w:r>
      <w:r>
        <w:rPr>
          <w:rFonts w:ascii="Arial" w:hAnsi="Arial" w:cs="Arial"/>
          <w:iCs/>
          <w:sz w:val="24"/>
          <w:szCs w:val="24"/>
        </w:rPr>
        <w:t xml:space="preserve">by members of the public </w:t>
      </w:r>
      <w:r w:rsidR="00960D93" w:rsidRPr="00F62AA7">
        <w:rPr>
          <w:rFonts w:ascii="Arial" w:hAnsi="Arial" w:cs="Arial"/>
          <w:iCs/>
          <w:sz w:val="24"/>
          <w:szCs w:val="24"/>
        </w:rPr>
        <w:t>is also governed by legislative rules</w:t>
      </w:r>
      <w:r>
        <w:rPr>
          <w:rFonts w:ascii="Arial" w:hAnsi="Arial" w:cs="Arial"/>
          <w:iCs/>
          <w:sz w:val="24"/>
          <w:szCs w:val="24"/>
        </w:rPr>
        <w:t>.</w:t>
      </w:r>
      <w:r w:rsidR="00960D93" w:rsidRPr="00F62AA7">
        <w:rPr>
          <w:rFonts w:ascii="Arial" w:hAnsi="Arial" w:cs="Arial"/>
          <w:iCs/>
          <w:sz w:val="24"/>
          <w:szCs w:val="24"/>
        </w:rPr>
        <w:t xml:space="preserve"> </w:t>
      </w:r>
      <w:r>
        <w:rPr>
          <w:rFonts w:ascii="Arial" w:hAnsi="Arial" w:cs="Arial"/>
          <w:iCs/>
          <w:sz w:val="24"/>
          <w:szCs w:val="24"/>
        </w:rPr>
        <w:t>This means t</w:t>
      </w:r>
      <w:r w:rsidR="00960D93" w:rsidRPr="00F62AA7">
        <w:rPr>
          <w:rFonts w:ascii="Arial" w:hAnsi="Arial" w:cs="Arial"/>
          <w:iCs/>
          <w:sz w:val="24"/>
          <w:szCs w:val="24"/>
        </w:rPr>
        <w:t xml:space="preserve">he Public Trustee and Guardian may only disclose information about a will </w:t>
      </w:r>
      <w:r>
        <w:rPr>
          <w:rFonts w:ascii="Arial" w:hAnsi="Arial" w:cs="Arial"/>
          <w:iCs/>
          <w:sz w:val="24"/>
          <w:szCs w:val="24"/>
        </w:rPr>
        <w:t>to</w:t>
      </w:r>
      <w:r w:rsidR="00960D93" w:rsidRPr="00F62AA7">
        <w:rPr>
          <w:rFonts w:ascii="Arial" w:hAnsi="Arial" w:cs="Arial"/>
          <w:iCs/>
          <w:sz w:val="24"/>
          <w:szCs w:val="24"/>
        </w:rPr>
        <w:t xml:space="preserve"> those who are </w:t>
      </w:r>
      <w:r w:rsidR="00960D93">
        <w:rPr>
          <w:rFonts w:ascii="Arial" w:hAnsi="Arial" w:cs="Arial"/>
          <w:iCs/>
          <w:sz w:val="24"/>
          <w:szCs w:val="24"/>
        </w:rPr>
        <w:t xml:space="preserve">legitimately </w:t>
      </w:r>
      <w:r w:rsidR="00960D93" w:rsidRPr="00F62AA7">
        <w:rPr>
          <w:rFonts w:ascii="Arial" w:hAnsi="Arial" w:cs="Arial"/>
          <w:iCs/>
          <w:sz w:val="24"/>
          <w:szCs w:val="24"/>
        </w:rPr>
        <w:t xml:space="preserve">entitled to inspect </w:t>
      </w:r>
      <w:r>
        <w:rPr>
          <w:rFonts w:ascii="Arial" w:hAnsi="Arial" w:cs="Arial"/>
          <w:iCs/>
          <w:sz w:val="24"/>
          <w:szCs w:val="24"/>
        </w:rPr>
        <w:t>it (</w:t>
      </w:r>
      <w:r w:rsidRPr="008B1DA9">
        <w:rPr>
          <w:rFonts w:ascii="Arial" w:hAnsi="Arial" w:cs="Arial"/>
          <w:sz w:val="24"/>
          <w:szCs w:val="24"/>
        </w:rPr>
        <w:t>section 126</w:t>
      </w:r>
      <w:r w:rsidRPr="008B1DA9">
        <w:rPr>
          <w:rFonts w:ascii="Arial" w:hAnsi="Arial" w:cs="Arial"/>
          <w:i/>
          <w:iCs/>
          <w:sz w:val="24"/>
          <w:szCs w:val="24"/>
        </w:rPr>
        <w:t xml:space="preserve"> of the Administration and Probate Act 1929</w:t>
      </w:r>
      <w:r w:rsidRPr="008B1DA9">
        <w:rPr>
          <w:rFonts w:ascii="Arial" w:hAnsi="Arial" w:cs="Arial"/>
          <w:iCs/>
          <w:sz w:val="24"/>
          <w:szCs w:val="24"/>
        </w:rPr>
        <w:t>)</w:t>
      </w:r>
      <w:r w:rsidR="00960D93">
        <w:rPr>
          <w:rFonts w:ascii="Arial" w:hAnsi="Arial" w:cs="Arial"/>
          <w:iCs/>
          <w:sz w:val="24"/>
          <w:szCs w:val="24"/>
        </w:rPr>
        <w:t xml:space="preserve">. </w:t>
      </w:r>
    </w:p>
    <w:p w14:paraId="389EDABD" w14:textId="62CC6A15" w:rsidR="00FB1F76" w:rsidRPr="008B1DA9" w:rsidRDefault="008B1DA9" w:rsidP="006C4190">
      <w:pPr>
        <w:spacing w:before="120" w:after="120"/>
        <w:rPr>
          <w:rFonts w:ascii="Arial" w:hAnsi="Arial" w:cs="Arial"/>
          <w:iCs/>
          <w:sz w:val="24"/>
          <w:szCs w:val="24"/>
          <w:u w:val="single"/>
        </w:rPr>
      </w:pPr>
      <w:r>
        <w:rPr>
          <w:rFonts w:ascii="Arial" w:hAnsi="Arial" w:cs="Arial"/>
          <w:iCs/>
          <w:sz w:val="24"/>
          <w:szCs w:val="24"/>
        </w:rPr>
        <w:t xml:space="preserve">These legislative safeguards limit the extent of the intrusion into the testator’s privacy, </w:t>
      </w:r>
      <w:proofErr w:type="gramStart"/>
      <w:r>
        <w:rPr>
          <w:rFonts w:ascii="Arial" w:hAnsi="Arial" w:cs="Arial"/>
          <w:iCs/>
          <w:sz w:val="24"/>
          <w:szCs w:val="24"/>
        </w:rPr>
        <w:t>as a result of</w:t>
      </w:r>
      <w:proofErr w:type="gramEnd"/>
      <w:r>
        <w:rPr>
          <w:rFonts w:ascii="Arial" w:hAnsi="Arial" w:cs="Arial"/>
          <w:iCs/>
          <w:sz w:val="24"/>
          <w:szCs w:val="24"/>
        </w:rPr>
        <w:t xml:space="preserve"> the amendment. </w:t>
      </w:r>
      <w:r w:rsidR="00960D93">
        <w:rPr>
          <w:rFonts w:ascii="Arial" w:hAnsi="Arial" w:cs="Arial"/>
          <w:iCs/>
          <w:sz w:val="24"/>
          <w:szCs w:val="24"/>
        </w:rPr>
        <w:t>There is no less restrictive way to enable the transfer of wills.</w:t>
      </w:r>
    </w:p>
    <w:p w14:paraId="64771EC9" w14:textId="0669B526" w:rsidR="00C23927" w:rsidRPr="00E63579" w:rsidRDefault="00C23927" w:rsidP="006C4190">
      <w:pPr>
        <w:spacing w:before="120" w:after="120"/>
        <w:rPr>
          <w:rFonts w:ascii="Arial" w:eastAsia="Calibri" w:hAnsi="Arial" w:cs="Arial"/>
          <w:color w:val="000000" w:themeColor="text1"/>
          <w:sz w:val="24"/>
          <w:u w:val="single"/>
        </w:rPr>
      </w:pPr>
      <w:r w:rsidRPr="00E63579">
        <w:rPr>
          <w:rFonts w:ascii="Arial" w:eastAsia="Calibri" w:hAnsi="Arial" w:cs="Arial"/>
          <w:color w:val="000000" w:themeColor="text1"/>
          <w:sz w:val="24"/>
          <w:u w:val="single"/>
        </w:rPr>
        <w:t>Section 16 HRA – Right to Freedom of Expression</w:t>
      </w:r>
      <w:r w:rsidR="00451FA1">
        <w:rPr>
          <w:rFonts w:ascii="Arial" w:eastAsia="Calibri" w:hAnsi="Arial" w:cs="Arial"/>
          <w:color w:val="000000" w:themeColor="text1"/>
          <w:sz w:val="24"/>
          <w:u w:val="single"/>
        </w:rPr>
        <w:t xml:space="preserve"> –</w:t>
      </w:r>
      <w:r w:rsidR="001071F3">
        <w:rPr>
          <w:rFonts w:ascii="Arial" w:eastAsia="Calibri" w:hAnsi="Arial" w:cs="Arial"/>
          <w:color w:val="000000" w:themeColor="text1"/>
          <w:sz w:val="24"/>
          <w:u w:val="single"/>
        </w:rPr>
        <w:t xml:space="preserve"> vilification </w:t>
      </w:r>
      <w:r w:rsidR="00451FA1">
        <w:rPr>
          <w:rFonts w:ascii="Arial" w:eastAsia="Calibri" w:hAnsi="Arial" w:cs="Arial"/>
          <w:color w:val="000000" w:themeColor="text1"/>
          <w:sz w:val="24"/>
          <w:u w:val="single"/>
        </w:rPr>
        <w:t>amendments</w:t>
      </w:r>
    </w:p>
    <w:p w14:paraId="5298C0F2" w14:textId="0F31EF58"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CB6930">
        <w:rPr>
          <w:rFonts w:ascii="Arial" w:hAnsi="Arial" w:cs="Arial"/>
          <w:b/>
          <w:bCs/>
          <w:i/>
          <w:sz w:val="24"/>
          <w:szCs w:val="24"/>
        </w:rPr>
        <w:t>Nature of the right and the limitation (s28</w:t>
      </w:r>
      <w:r w:rsidR="00064462">
        <w:rPr>
          <w:rFonts w:ascii="Arial" w:hAnsi="Arial" w:cs="Arial"/>
          <w:b/>
          <w:bCs/>
          <w:i/>
          <w:sz w:val="24"/>
          <w:szCs w:val="24"/>
        </w:rPr>
        <w:t>(2)</w:t>
      </w:r>
      <w:r w:rsidRPr="00CB6930">
        <w:rPr>
          <w:rFonts w:ascii="Arial" w:hAnsi="Arial" w:cs="Arial"/>
          <w:b/>
          <w:bCs/>
          <w:i/>
          <w:sz w:val="24"/>
          <w:szCs w:val="24"/>
        </w:rPr>
        <w:t>(a) and (c))</w:t>
      </w:r>
    </w:p>
    <w:p w14:paraId="5CB1CB43" w14:textId="4410299A" w:rsidR="00E63579" w:rsidRPr="00CB6930" w:rsidRDefault="00C23927" w:rsidP="006C4190">
      <w:pPr>
        <w:spacing w:before="120" w:after="120"/>
        <w:rPr>
          <w:rFonts w:ascii="Arial" w:hAnsi="Arial" w:cs="Arial"/>
          <w:iCs/>
          <w:sz w:val="24"/>
          <w:szCs w:val="24"/>
        </w:rPr>
      </w:pPr>
      <w:r w:rsidRPr="00CB6930">
        <w:rPr>
          <w:rFonts w:ascii="Arial" w:hAnsi="Arial" w:cs="Arial"/>
          <w:iCs/>
          <w:sz w:val="24"/>
          <w:szCs w:val="24"/>
        </w:rPr>
        <w:t xml:space="preserve">The right to freedom of expression </w:t>
      </w:r>
      <w:r w:rsidR="00E63579" w:rsidRPr="00CB6930">
        <w:rPr>
          <w:rFonts w:ascii="Arial" w:hAnsi="Arial" w:cs="Arial"/>
          <w:iCs/>
          <w:sz w:val="24"/>
          <w:szCs w:val="24"/>
        </w:rPr>
        <w:t>provides</w:t>
      </w:r>
      <w:r w:rsidRPr="00CB6930">
        <w:rPr>
          <w:rFonts w:ascii="Arial" w:hAnsi="Arial" w:cs="Arial"/>
          <w:iCs/>
          <w:sz w:val="24"/>
          <w:szCs w:val="24"/>
        </w:rPr>
        <w:t xml:space="preserve"> </w:t>
      </w:r>
      <w:r w:rsidR="00E63579" w:rsidRPr="00CB6930">
        <w:rPr>
          <w:rFonts w:ascii="Arial" w:hAnsi="Arial" w:cs="Arial"/>
          <w:iCs/>
          <w:sz w:val="24"/>
          <w:szCs w:val="24"/>
        </w:rPr>
        <w:t>that everyone has</w:t>
      </w:r>
      <w:r w:rsidRPr="00CB6930">
        <w:rPr>
          <w:rFonts w:ascii="Arial" w:hAnsi="Arial" w:cs="Arial"/>
          <w:iCs/>
          <w:sz w:val="24"/>
          <w:szCs w:val="24"/>
        </w:rPr>
        <w:t xml:space="preserve"> the right to hold </w:t>
      </w:r>
      <w:r w:rsidR="00E63579" w:rsidRPr="00CB6930">
        <w:rPr>
          <w:rFonts w:ascii="Arial" w:hAnsi="Arial" w:cs="Arial"/>
          <w:iCs/>
          <w:sz w:val="24"/>
          <w:szCs w:val="24"/>
        </w:rPr>
        <w:t>opinions</w:t>
      </w:r>
      <w:r w:rsidRPr="00CB6930">
        <w:rPr>
          <w:rFonts w:ascii="Arial" w:hAnsi="Arial" w:cs="Arial"/>
          <w:iCs/>
          <w:sz w:val="24"/>
          <w:szCs w:val="24"/>
        </w:rPr>
        <w:t xml:space="preserve"> without interference and may </w:t>
      </w:r>
      <w:r w:rsidR="00E63579" w:rsidRPr="00CB6930">
        <w:rPr>
          <w:rFonts w:ascii="Arial" w:hAnsi="Arial" w:cs="Arial"/>
          <w:iCs/>
          <w:sz w:val="24"/>
          <w:szCs w:val="24"/>
        </w:rPr>
        <w:t>express</w:t>
      </w:r>
      <w:r w:rsidRPr="00CB6930">
        <w:rPr>
          <w:rFonts w:ascii="Arial" w:hAnsi="Arial" w:cs="Arial"/>
          <w:iCs/>
          <w:sz w:val="24"/>
          <w:szCs w:val="24"/>
        </w:rPr>
        <w:t xml:space="preserve"> themselves freely in any form. This right may be limited by the </w:t>
      </w:r>
      <w:r w:rsidR="00E63579" w:rsidRPr="00CB6930">
        <w:rPr>
          <w:rFonts w:ascii="Arial" w:hAnsi="Arial" w:cs="Arial"/>
          <w:iCs/>
          <w:sz w:val="24"/>
          <w:szCs w:val="24"/>
        </w:rPr>
        <w:t>amendments</w:t>
      </w:r>
      <w:r w:rsidRPr="00CB6930">
        <w:rPr>
          <w:rFonts w:ascii="Arial" w:hAnsi="Arial" w:cs="Arial"/>
          <w:iCs/>
          <w:sz w:val="24"/>
          <w:szCs w:val="24"/>
        </w:rPr>
        <w:t xml:space="preserve"> </w:t>
      </w:r>
      <w:r w:rsidR="00E4190D">
        <w:rPr>
          <w:rFonts w:ascii="Arial" w:hAnsi="Arial" w:cs="Arial"/>
          <w:iCs/>
          <w:sz w:val="24"/>
          <w:szCs w:val="24"/>
        </w:rPr>
        <w:t>to the</w:t>
      </w:r>
      <w:r w:rsidRPr="00CB6930">
        <w:rPr>
          <w:rFonts w:ascii="Arial" w:hAnsi="Arial" w:cs="Arial"/>
          <w:iCs/>
          <w:sz w:val="24"/>
          <w:szCs w:val="24"/>
        </w:rPr>
        <w:t xml:space="preserve"> </w:t>
      </w:r>
      <w:r w:rsidR="00E63579" w:rsidRPr="00095C1A">
        <w:rPr>
          <w:rFonts w:ascii="Arial" w:hAnsi="Arial" w:cs="Arial"/>
          <w:iCs/>
          <w:sz w:val="24"/>
          <w:szCs w:val="24"/>
        </w:rPr>
        <w:t>Discrimination</w:t>
      </w:r>
      <w:r w:rsidRPr="00095C1A">
        <w:rPr>
          <w:rFonts w:ascii="Arial" w:hAnsi="Arial" w:cs="Arial"/>
          <w:iCs/>
          <w:sz w:val="24"/>
          <w:szCs w:val="24"/>
        </w:rPr>
        <w:t xml:space="preserve"> Act </w:t>
      </w:r>
      <w:r w:rsidR="00095C1A" w:rsidRPr="00095C1A">
        <w:rPr>
          <w:rFonts w:ascii="Arial" w:hAnsi="Arial" w:cs="Arial"/>
          <w:iCs/>
          <w:sz w:val="24"/>
          <w:szCs w:val="24"/>
        </w:rPr>
        <w:t>and Criminal Code</w:t>
      </w:r>
      <w:r w:rsidR="00095C1A" w:rsidRPr="0027267B">
        <w:rPr>
          <w:rFonts w:ascii="Arial" w:hAnsi="Arial" w:cs="Arial"/>
          <w:iCs/>
          <w:sz w:val="24"/>
          <w:szCs w:val="24"/>
        </w:rPr>
        <w:t xml:space="preserve"> </w:t>
      </w:r>
      <w:r w:rsidRPr="00CB6930">
        <w:rPr>
          <w:rFonts w:ascii="Arial" w:hAnsi="Arial" w:cs="Arial"/>
          <w:iCs/>
          <w:sz w:val="24"/>
          <w:szCs w:val="24"/>
        </w:rPr>
        <w:t xml:space="preserve">to </w:t>
      </w:r>
      <w:r w:rsidR="00E4190D">
        <w:rPr>
          <w:rFonts w:ascii="Arial" w:hAnsi="Arial" w:cs="Arial"/>
          <w:iCs/>
          <w:sz w:val="24"/>
          <w:szCs w:val="24"/>
        </w:rPr>
        <w:t>protect against</w:t>
      </w:r>
      <w:r w:rsidRPr="00CB6930">
        <w:rPr>
          <w:rFonts w:ascii="Arial" w:hAnsi="Arial" w:cs="Arial"/>
          <w:iCs/>
          <w:sz w:val="24"/>
          <w:szCs w:val="24"/>
        </w:rPr>
        <w:t xml:space="preserve"> </w:t>
      </w:r>
      <w:r w:rsidR="00E4190D">
        <w:rPr>
          <w:rFonts w:ascii="Arial" w:hAnsi="Arial" w:cs="Arial"/>
          <w:iCs/>
          <w:sz w:val="24"/>
          <w:szCs w:val="24"/>
        </w:rPr>
        <w:t xml:space="preserve">unlawful </w:t>
      </w:r>
      <w:r w:rsidR="00E63579" w:rsidRPr="00CB6930">
        <w:rPr>
          <w:rFonts w:ascii="Arial" w:hAnsi="Arial" w:cs="Arial"/>
          <w:iCs/>
          <w:sz w:val="24"/>
          <w:szCs w:val="24"/>
        </w:rPr>
        <w:t>vilification</w:t>
      </w:r>
      <w:r w:rsidRPr="00CB6930">
        <w:rPr>
          <w:rFonts w:ascii="Arial" w:hAnsi="Arial" w:cs="Arial"/>
          <w:iCs/>
          <w:sz w:val="24"/>
          <w:szCs w:val="24"/>
        </w:rPr>
        <w:t xml:space="preserve"> </w:t>
      </w:r>
      <w:r w:rsidR="00095C1A">
        <w:rPr>
          <w:rFonts w:ascii="Arial" w:hAnsi="Arial" w:cs="Arial"/>
          <w:iCs/>
          <w:sz w:val="24"/>
          <w:szCs w:val="24"/>
        </w:rPr>
        <w:t>and serious vilification on</w:t>
      </w:r>
      <w:r w:rsidRPr="00CB6930">
        <w:rPr>
          <w:rFonts w:ascii="Arial" w:hAnsi="Arial" w:cs="Arial"/>
          <w:iCs/>
          <w:sz w:val="24"/>
          <w:szCs w:val="24"/>
        </w:rPr>
        <w:t xml:space="preserve"> the grounds of sex</w:t>
      </w:r>
      <w:r w:rsidR="00095C1A">
        <w:rPr>
          <w:rFonts w:ascii="Arial" w:hAnsi="Arial" w:cs="Arial"/>
          <w:iCs/>
          <w:sz w:val="24"/>
          <w:szCs w:val="24"/>
        </w:rPr>
        <w:t xml:space="preserve"> and association with a person or group of people who are identified by reference to the listed protected attributes.</w:t>
      </w:r>
    </w:p>
    <w:p w14:paraId="49DF51E2" w14:textId="59E83FA7"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Legitimate purpose (s28</w:t>
      </w:r>
      <w:r w:rsidR="00064462">
        <w:rPr>
          <w:rFonts w:ascii="Arial" w:hAnsi="Arial" w:cs="Arial"/>
          <w:b/>
          <w:bCs/>
          <w:i/>
          <w:sz w:val="24"/>
          <w:szCs w:val="24"/>
        </w:rPr>
        <w:t>(2)</w:t>
      </w:r>
      <w:r w:rsidRPr="00E63579">
        <w:rPr>
          <w:rFonts w:ascii="Arial" w:hAnsi="Arial" w:cs="Arial"/>
          <w:b/>
          <w:bCs/>
          <w:i/>
          <w:sz w:val="24"/>
          <w:szCs w:val="24"/>
        </w:rPr>
        <w:t>(b))</w:t>
      </w:r>
    </w:p>
    <w:p w14:paraId="133CA4B4" w14:textId="3C2B2B51" w:rsidR="00C23927" w:rsidRPr="00CB6930" w:rsidRDefault="00C23927" w:rsidP="006C4190">
      <w:pPr>
        <w:spacing w:before="120" w:after="120"/>
        <w:rPr>
          <w:rFonts w:ascii="Arial" w:hAnsi="Arial" w:cs="Arial"/>
          <w:iCs/>
          <w:sz w:val="24"/>
          <w:szCs w:val="24"/>
        </w:rPr>
      </w:pPr>
      <w:r w:rsidRPr="00CB6930">
        <w:rPr>
          <w:rFonts w:ascii="Arial" w:hAnsi="Arial" w:cs="Arial"/>
          <w:iCs/>
          <w:sz w:val="24"/>
          <w:szCs w:val="24"/>
        </w:rPr>
        <w:t xml:space="preserve">The purpose of this amendment is to </w:t>
      </w:r>
      <w:r w:rsidR="00E4190D">
        <w:rPr>
          <w:rFonts w:ascii="Arial" w:hAnsi="Arial" w:cs="Arial"/>
          <w:iCs/>
          <w:sz w:val="24"/>
          <w:szCs w:val="24"/>
        </w:rPr>
        <w:t xml:space="preserve">strengthen </w:t>
      </w:r>
      <w:r w:rsidRPr="00CB6930">
        <w:rPr>
          <w:rFonts w:ascii="Arial" w:hAnsi="Arial" w:cs="Arial"/>
          <w:iCs/>
          <w:sz w:val="24"/>
          <w:szCs w:val="24"/>
        </w:rPr>
        <w:t>protect</w:t>
      </w:r>
      <w:r w:rsidR="00E4190D">
        <w:rPr>
          <w:rFonts w:ascii="Arial" w:hAnsi="Arial" w:cs="Arial"/>
          <w:iCs/>
          <w:sz w:val="24"/>
          <w:szCs w:val="24"/>
        </w:rPr>
        <w:t>ions</w:t>
      </w:r>
      <w:r w:rsidRPr="00CB6930">
        <w:rPr>
          <w:rFonts w:ascii="Arial" w:hAnsi="Arial" w:cs="Arial"/>
          <w:iCs/>
          <w:sz w:val="24"/>
          <w:szCs w:val="24"/>
        </w:rPr>
        <w:t xml:space="preserve"> </w:t>
      </w:r>
      <w:r w:rsidR="00E4190D">
        <w:rPr>
          <w:rFonts w:ascii="Arial" w:hAnsi="Arial" w:cs="Arial"/>
          <w:iCs/>
          <w:sz w:val="24"/>
          <w:szCs w:val="24"/>
        </w:rPr>
        <w:t xml:space="preserve">against </w:t>
      </w:r>
      <w:r w:rsidRPr="00CB6930">
        <w:rPr>
          <w:rFonts w:ascii="Arial" w:hAnsi="Arial" w:cs="Arial"/>
          <w:iCs/>
          <w:sz w:val="24"/>
          <w:szCs w:val="24"/>
        </w:rPr>
        <w:t>vilification</w:t>
      </w:r>
      <w:r w:rsidR="00095C1A">
        <w:rPr>
          <w:rFonts w:ascii="Arial" w:hAnsi="Arial" w:cs="Arial"/>
          <w:iCs/>
          <w:sz w:val="24"/>
          <w:szCs w:val="24"/>
        </w:rPr>
        <w:t xml:space="preserve"> and serious vilificatio</w:t>
      </w:r>
      <w:r w:rsidR="00E4190D">
        <w:rPr>
          <w:rFonts w:ascii="Arial" w:hAnsi="Arial" w:cs="Arial"/>
          <w:iCs/>
          <w:sz w:val="24"/>
          <w:szCs w:val="24"/>
        </w:rPr>
        <w:t>n</w:t>
      </w:r>
      <w:r w:rsidRPr="00CB6930">
        <w:rPr>
          <w:rFonts w:ascii="Arial" w:hAnsi="Arial" w:cs="Arial"/>
          <w:iCs/>
          <w:sz w:val="24"/>
          <w:szCs w:val="24"/>
        </w:rPr>
        <w:t xml:space="preserve"> so that </w:t>
      </w:r>
      <w:r w:rsidR="00E4190D">
        <w:rPr>
          <w:rFonts w:ascii="Arial" w:hAnsi="Arial" w:cs="Arial"/>
          <w:iCs/>
          <w:sz w:val="24"/>
          <w:szCs w:val="24"/>
        </w:rPr>
        <w:t>people</w:t>
      </w:r>
      <w:r w:rsidRPr="00CB6930">
        <w:rPr>
          <w:rFonts w:ascii="Arial" w:hAnsi="Arial" w:cs="Arial"/>
          <w:iCs/>
          <w:sz w:val="24"/>
          <w:szCs w:val="24"/>
        </w:rPr>
        <w:t xml:space="preserve"> can live safe</w:t>
      </w:r>
      <w:r w:rsidR="00E4190D">
        <w:rPr>
          <w:rFonts w:ascii="Arial" w:hAnsi="Arial" w:cs="Arial"/>
          <w:iCs/>
          <w:sz w:val="24"/>
          <w:szCs w:val="24"/>
        </w:rPr>
        <w:t>ly</w:t>
      </w:r>
      <w:r w:rsidRPr="00CB6930">
        <w:rPr>
          <w:rFonts w:ascii="Arial" w:hAnsi="Arial" w:cs="Arial"/>
          <w:iCs/>
          <w:sz w:val="24"/>
          <w:szCs w:val="24"/>
        </w:rPr>
        <w:t xml:space="preserve"> </w:t>
      </w:r>
      <w:r w:rsidR="00E4190D">
        <w:rPr>
          <w:rFonts w:ascii="Arial" w:hAnsi="Arial" w:cs="Arial"/>
          <w:iCs/>
          <w:sz w:val="24"/>
          <w:szCs w:val="24"/>
        </w:rPr>
        <w:t>in the</w:t>
      </w:r>
      <w:r w:rsidRPr="00CB6930">
        <w:rPr>
          <w:rFonts w:ascii="Arial" w:hAnsi="Arial" w:cs="Arial"/>
          <w:iCs/>
          <w:sz w:val="24"/>
          <w:szCs w:val="24"/>
        </w:rPr>
        <w:t xml:space="preserve"> community. </w:t>
      </w:r>
    </w:p>
    <w:p w14:paraId="1A5FB8D6" w14:textId="7F05913A"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245AA014" w14:textId="43BBDC08" w:rsidR="0027267B" w:rsidRPr="0027267B" w:rsidRDefault="00E4190D" w:rsidP="006C4190">
      <w:pPr>
        <w:pStyle w:val="CS-Paragraphnumbering"/>
        <w:spacing w:before="240"/>
        <w:rPr>
          <w:rFonts w:ascii="Arial" w:eastAsia="Times New Roman" w:hAnsi="Arial" w:cs="Arial"/>
          <w:iCs/>
        </w:rPr>
      </w:pPr>
      <w:r>
        <w:rPr>
          <w:rFonts w:ascii="Arial" w:eastAsia="Times New Roman" w:hAnsi="Arial" w:cs="Arial"/>
          <w:iCs/>
        </w:rPr>
        <w:t xml:space="preserve">The </w:t>
      </w:r>
      <w:r w:rsidR="0027267B">
        <w:rPr>
          <w:rFonts w:ascii="Arial" w:eastAsia="Times New Roman" w:hAnsi="Arial" w:cs="Arial"/>
          <w:iCs/>
        </w:rPr>
        <w:t xml:space="preserve">protections in the Discrimination Act and Criminal Code </w:t>
      </w:r>
      <w:r w:rsidRPr="00E4190D">
        <w:rPr>
          <w:rFonts w:ascii="Arial" w:eastAsia="Times New Roman" w:hAnsi="Arial" w:cs="Arial"/>
          <w:iCs/>
        </w:rPr>
        <w:t xml:space="preserve">already </w:t>
      </w:r>
      <w:r w:rsidR="0027267B">
        <w:rPr>
          <w:rFonts w:ascii="Arial" w:eastAsia="Times New Roman" w:hAnsi="Arial" w:cs="Arial"/>
          <w:iCs/>
        </w:rPr>
        <w:t xml:space="preserve">include </w:t>
      </w:r>
      <w:r w:rsidRPr="00E4190D">
        <w:rPr>
          <w:rFonts w:ascii="Arial" w:eastAsia="Times New Roman" w:hAnsi="Arial" w:cs="Arial"/>
          <w:iCs/>
        </w:rPr>
        <w:t xml:space="preserve">disability, gender identity, HIV/AIDS status, race, religious conviction, sex characteristics, and sexuality as protected attributes in the context of vilification and serious vilification. However, the Human Rights Commission has identified that an expansion of these categories is necessary to ensure better protection against </w:t>
      </w:r>
      <w:r w:rsidRPr="0027267B">
        <w:rPr>
          <w:rFonts w:ascii="Arial" w:eastAsia="Times New Roman" w:hAnsi="Arial" w:cs="Arial"/>
          <w:iCs/>
        </w:rPr>
        <w:t>vilification in the ACT community.</w:t>
      </w:r>
    </w:p>
    <w:p w14:paraId="4A705E2B" w14:textId="31CC7B87" w:rsidR="00C23927" w:rsidRPr="00E63579" w:rsidRDefault="00E4190D" w:rsidP="006C4190">
      <w:pPr>
        <w:spacing w:before="120" w:after="120"/>
        <w:rPr>
          <w:rFonts w:ascii="Arial" w:hAnsi="Arial" w:cs="Arial"/>
          <w:iCs/>
          <w:sz w:val="24"/>
          <w:szCs w:val="24"/>
        </w:rPr>
      </w:pPr>
      <w:r w:rsidRPr="0027267B">
        <w:rPr>
          <w:rFonts w:ascii="Arial" w:hAnsi="Arial" w:cs="Arial"/>
          <w:iCs/>
          <w:sz w:val="24"/>
          <w:szCs w:val="24"/>
        </w:rPr>
        <w:lastRenderedPageBreak/>
        <w:t xml:space="preserve">By expanding protections against unlawful vilification and serious vilification to the attributes of sex and personal association, the amendments will strengthen </w:t>
      </w:r>
      <w:r w:rsidR="0027267B" w:rsidRPr="0027267B">
        <w:rPr>
          <w:rFonts w:ascii="Arial" w:hAnsi="Arial" w:cs="Arial"/>
          <w:iCs/>
          <w:sz w:val="24"/>
          <w:szCs w:val="24"/>
        </w:rPr>
        <w:t>these protection</w:t>
      </w:r>
      <w:r w:rsidR="0027267B">
        <w:rPr>
          <w:rFonts w:ascii="Arial" w:hAnsi="Arial" w:cs="Arial"/>
          <w:iCs/>
          <w:sz w:val="24"/>
          <w:szCs w:val="24"/>
        </w:rPr>
        <w:t>s</w:t>
      </w:r>
      <w:r w:rsidR="0027267B" w:rsidRPr="0027267B">
        <w:rPr>
          <w:rFonts w:ascii="Arial" w:hAnsi="Arial" w:cs="Arial"/>
          <w:iCs/>
          <w:sz w:val="24"/>
          <w:szCs w:val="24"/>
        </w:rPr>
        <w:t xml:space="preserve"> so that people </w:t>
      </w:r>
      <w:r w:rsidRPr="0027267B">
        <w:rPr>
          <w:rFonts w:ascii="Arial" w:hAnsi="Arial" w:cs="Arial"/>
          <w:iCs/>
          <w:sz w:val="24"/>
          <w:szCs w:val="24"/>
        </w:rPr>
        <w:t xml:space="preserve">in these </w:t>
      </w:r>
      <w:r w:rsidR="0027267B" w:rsidRPr="0027267B">
        <w:rPr>
          <w:rFonts w:ascii="Arial" w:hAnsi="Arial" w:cs="Arial"/>
          <w:iCs/>
          <w:sz w:val="24"/>
          <w:szCs w:val="24"/>
        </w:rPr>
        <w:t xml:space="preserve">new </w:t>
      </w:r>
      <w:r w:rsidRPr="0027267B">
        <w:rPr>
          <w:rFonts w:ascii="Arial" w:hAnsi="Arial" w:cs="Arial"/>
          <w:iCs/>
          <w:sz w:val="24"/>
          <w:szCs w:val="24"/>
        </w:rPr>
        <w:t>cohorts</w:t>
      </w:r>
      <w:r w:rsidR="00C23927" w:rsidRPr="0027267B">
        <w:rPr>
          <w:rFonts w:ascii="Arial" w:hAnsi="Arial" w:cs="Arial"/>
          <w:iCs/>
          <w:sz w:val="24"/>
          <w:szCs w:val="24"/>
        </w:rPr>
        <w:t xml:space="preserve"> are not aggrieved by </w:t>
      </w:r>
      <w:r w:rsidR="0027267B" w:rsidRPr="0027267B">
        <w:rPr>
          <w:rFonts w:ascii="Arial" w:hAnsi="Arial" w:cs="Arial"/>
          <w:iCs/>
          <w:sz w:val="24"/>
          <w:szCs w:val="24"/>
        </w:rPr>
        <w:t>vilifying conduct.</w:t>
      </w:r>
      <w:r w:rsidR="0027267B">
        <w:rPr>
          <w:rFonts w:ascii="Arial" w:hAnsi="Arial" w:cs="Arial"/>
          <w:iCs/>
          <w:sz w:val="24"/>
          <w:szCs w:val="24"/>
        </w:rPr>
        <w:t xml:space="preserve"> </w:t>
      </w:r>
    </w:p>
    <w:p w14:paraId="491A033C" w14:textId="5A7622DC" w:rsidR="00E63579"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Proportionality (s28</w:t>
      </w:r>
      <w:r w:rsidR="00064462">
        <w:rPr>
          <w:rFonts w:ascii="Arial" w:hAnsi="Arial" w:cs="Arial"/>
          <w:b/>
          <w:bCs/>
          <w:i/>
          <w:sz w:val="24"/>
          <w:szCs w:val="24"/>
        </w:rPr>
        <w:t>(2)</w:t>
      </w:r>
      <w:r w:rsidRPr="00E63579">
        <w:rPr>
          <w:rFonts w:ascii="Arial" w:hAnsi="Arial" w:cs="Arial"/>
          <w:b/>
          <w:bCs/>
          <w:i/>
          <w:sz w:val="24"/>
          <w:szCs w:val="24"/>
        </w:rPr>
        <w:t>(e))</w:t>
      </w:r>
    </w:p>
    <w:p w14:paraId="783BA248" w14:textId="01A735BB" w:rsidR="00A220C6" w:rsidRDefault="00C23927" w:rsidP="006C4190">
      <w:pPr>
        <w:spacing w:before="120" w:after="120"/>
        <w:rPr>
          <w:rFonts w:ascii="Arial" w:hAnsi="Arial" w:cs="Arial"/>
          <w:sz w:val="24"/>
          <w:szCs w:val="24"/>
          <w:lang w:eastAsia="en-AU"/>
        </w:rPr>
      </w:pPr>
      <w:r w:rsidRPr="00E63579">
        <w:rPr>
          <w:rFonts w:ascii="Arial" w:hAnsi="Arial" w:cs="Arial"/>
          <w:sz w:val="24"/>
          <w:szCs w:val="24"/>
          <w:lang w:eastAsia="en-AU"/>
        </w:rPr>
        <w:t xml:space="preserve">The only speech that will be </w:t>
      </w:r>
      <w:r w:rsidR="0027267B">
        <w:rPr>
          <w:rFonts w:ascii="Arial" w:hAnsi="Arial" w:cs="Arial"/>
          <w:sz w:val="24"/>
          <w:szCs w:val="24"/>
          <w:lang w:eastAsia="en-AU"/>
        </w:rPr>
        <w:t>restricted</w:t>
      </w:r>
      <w:r w:rsidRPr="00E63579">
        <w:rPr>
          <w:rFonts w:ascii="Arial" w:hAnsi="Arial" w:cs="Arial"/>
          <w:sz w:val="24"/>
          <w:szCs w:val="24"/>
          <w:lang w:eastAsia="en-AU"/>
        </w:rPr>
        <w:t xml:space="preserve"> by the amendment is speech which is </w:t>
      </w:r>
      <w:r w:rsidR="0027267B">
        <w:rPr>
          <w:rFonts w:ascii="Arial" w:hAnsi="Arial" w:cs="Arial"/>
          <w:sz w:val="24"/>
          <w:szCs w:val="24"/>
          <w:lang w:eastAsia="en-AU"/>
        </w:rPr>
        <w:t xml:space="preserve">within the scope of unlawful vilification under the Discrimination Act (i.e. speech that incites hatred towards, revulsion of, serious contempt for, or severe ridicule of a person or group of people on the ground of the listed attributes, other than in private) and serious vilification under the Criminal Code (i.e. speech that is threatening </w:t>
      </w:r>
      <w:r w:rsidR="00A220C6">
        <w:rPr>
          <w:rFonts w:ascii="Arial" w:hAnsi="Arial" w:cs="Arial"/>
          <w:sz w:val="24"/>
          <w:szCs w:val="24"/>
          <w:lang w:eastAsia="en-AU"/>
        </w:rPr>
        <w:t xml:space="preserve">and where the person is reckless about whether it incites hatred toward, revulsion of, serious contempt for, or severe ridicule of, a person or group of people on the ground of the listed attributes, other than in private or if the person is reckless about whether it is in private). </w:t>
      </w:r>
      <w:r w:rsidR="0027267B">
        <w:rPr>
          <w:rFonts w:ascii="Arial" w:hAnsi="Arial" w:cs="Arial"/>
          <w:sz w:val="24"/>
          <w:szCs w:val="24"/>
          <w:lang w:eastAsia="en-AU"/>
        </w:rPr>
        <w:t>Expanding these existing protections to additional attributes is the least restrictive way of achieving the objective</w:t>
      </w:r>
      <w:r w:rsidR="00A220C6">
        <w:rPr>
          <w:rFonts w:ascii="Arial" w:hAnsi="Arial" w:cs="Arial"/>
          <w:sz w:val="24"/>
          <w:szCs w:val="24"/>
          <w:lang w:eastAsia="en-AU"/>
        </w:rPr>
        <w:t xml:space="preserve"> of strengthening protections against vilification for these cohorts. </w:t>
      </w:r>
    </w:p>
    <w:p w14:paraId="0252DBB4" w14:textId="517D9FCA" w:rsidR="00A220C6" w:rsidRPr="00E63579" w:rsidRDefault="00A220C6" w:rsidP="006C4190">
      <w:pPr>
        <w:spacing w:before="120" w:after="120"/>
        <w:rPr>
          <w:rFonts w:ascii="Arial" w:hAnsi="Arial" w:cs="Arial"/>
          <w:sz w:val="24"/>
          <w:szCs w:val="24"/>
          <w:lang w:eastAsia="en-AU"/>
        </w:rPr>
      </w:pPr>
    </w:p>
    <w:p w14:paraId="4FD9CCDC" w14:textId="5B9C21C5" w:rsidR="00C23927" w:rsidRDefault="00F94A7B" w:rsidP="006C4190">
      <w:pPr>
        <w:spacing w:before="120" w:after="120"/>
        <w:rPr>
          <w:rFonts w:ascii="Arial" w:hAnsi="Arial" w:cs="Arial"/>
          <w:sz w:val="24"/>
          <w:szCs w:val="24"/>
          <w:u w:val="single"/>
          <w:lang w:eastAsia="en-AU"/>
        </w:rPr>
      </w:pPr>
      <w:bookmarkStart w:id="5" w:name="_Hlk212717238"/>
      <w:r>
        <w:rPr>
          <w:rFonts w:ascii="Arial" w:hAnsi="Arial" w:cs="Arial"/>
          <w:sz w:val="24"/>
          <w:szCs w:val="24"/>
          <w:u w:val="single"/>
          <w:lang w:eastAsia="en-AU"/>
        </w:rPr>
        <w:t>WWVP Act</w:t>
      </w:r>
      <w:r w:rsidR="00451FA1">
        <w:rPr>
          <w:rFonts w:ascii="Arial" w:hAnsi="Arial" w:cs="Arial"/>
          <w:sz w:val="24"/>
          <w:szCs w:val="24"/>
          <w:u w:val="single"/>
          <w:lang w:eastAsia="en-AU"/>
        </w:rPr>
        <w:t xml:space="preserve"> amendments</w:t>
      </w:r>
    </w:p>
    <w:p w14:paraId="1545CB2E" w14:textId="0014B50F" w:rsidR="008841DE" w:rsidRPr="00E63579" w:rsidRDefault="008841DE" w:rsidP="006C4190">
      <w:pPr>
        <w:spacing w:before="120" w:after="120"/>
        <w:rPr>
          <w:rFonts w:ascii="Arial" w:hAnsi="Arial" w:cs="Arial"/>
          <w:sz w:val="24"/>
          <w:szCs w:val="24"/>
          <w:u w:val="single"/>
          <w:lang w:eastAsia="en-AU"/>
        </w:rPr>
      </w:pPr>
      <w:r w:rsidRPr="00E63579">
        <w:rPr>
          <w:rFonts w:ascii="Arial" w:hAnsi="Arial" w:cs="Arial"/>
          <w:sz w:val="24"/>
          <w:szCs w:val="24"/>
          <w:u w:val="single"/>
          <w:lang w:eastAsia="en-AU"/>
        </w:rPr>
        <w:t xml:space="preserve">Section 27B </w:t>
      </w:r>
      <w:r w:rsidR="00EB7236">
        <w:rPr>
          <w:rFonts w:ascii="Arial" w:hAnsi="Arial" w:cs="Arial"/>
          <w:sz w:val="24"/>
          <w:szCs w:val="24"/>
          <w:u w:val="single"/>
          <w:lang w:eastAsia="en-AU"/>
        </w:rPr>
        <w:t xml:space="preserve">HRA </w:t>
      </w:r>
      <w:r w:rsidRPr="00E63579">
        <w:rPr>
          <w:rFonts w:ascii="Arial" w:hAnsi="Arial" w:cs="Arial"/>
          <w:sz w:val="24"/>
          <w:szCs w:val="24"/>
          <w:u w:val="single"/>
          <w:lang w:eastAsia="en-AU"/>
        </w:rPr>
        <w:t xml:space="preserve">– </w:t>
      </w:r>
      <w:r>
        <w:rPr>
          <w:rFonts w:ascii="Arial" w:hAnsi="Arial" w:cs="Arial"/>
          <w:sz w:val="24"/>
          <w:szCs w:val="24"/>
          <w:u w:val="single"/>
          <w:lang w:eastAsia="en-AU"/>
        </w:rPr>
        <w:t>R</w:t>
      </w:r>
      <w:r w:rsidRPr="00E63579">
        <w:rPr>
          <w:rFonts w:ascii="Arial" w:hAnsi="Arial" w:cs="Arial"/>
          <w:sz w:val="24"/>
          <w:szCs w:val="24"/>
          <w:u w:val="single"/>
          <w:lang w:eastAsia="en-AU"/>
        </w:rPr>
        <w:t>ight to work and work-related rights</w:t>
      </w:r>
    </w:p>
    <w:p w14:paraId="7EAEE701" w14:textId="6CFFC78E" w:rsidR="00C23927" w:rsidRPr="00CB6930"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CB6930">
        <w:rPr>
          <w:rFonts w:ascii="Arial" w:hAnsi="Arial" w:cs="Arial"/>
          <w:b/>
          <w:bCs/>
          <w:i/>
          <w:sz w:val="24"/>
          <w:szCs w:val="24"/>
        </w:rPr>
        <w:t>Nature of the right and the limitation (s28</w:t>
      </w:r>
      <w:r w:rsidR="00064462">
        <w:rPr>
          <w:rFonts w:ascii="Arial" w:hAnsi="Arial" w:cs="Arial"/>
          <w:b/>
          <w:bCs/>
          <w:i/>
          <w:sz w:val="24"/>
          <w:szCs w:val="24"/>
        </w:rPr>
        <w:t>(2)</w:t>
      </w:r>
      <w:r w:rsidRPr="00CB6930">
        <w:rPr>
          <w:rFonts w:ascii="Arial" w:hAnsi="Arial" w:cs="Arial"/>
          <w:b/>
          <w:bCs/>
          <w:i/>
          <w:sz w:val="24"/>
          <w:szCs w:val="24"/>
        </w:rPr>
        <w:t>(a) and (c))</w:t>
      </w:r>
    </w:p>
    <w:p w14:paraId="709BD7FF" w14:textId="77F9D5D6" w:rsidR="00EF453A" w:rsidRDefault="00C23927" w:rsidP="006C4190">
      <w:pPr>
        <w:spacing w:before="120" w:after="120"/>
        <w:rPr>
          <w:rFonts w:ascii="Arial" w:hAnsi="Arial" w:cs="Arial"/>
          <w:iCs/>
          <w:sz w:val="24"/>
          <w:szCs w:val="24"/>
        </w:rPr>
      </w:pPr>
      <w:r w:rsidRPr="00CB6930">
        <w:rPr>
          <w:rFonts w:ascii="Arial" w:hAnsi="Arial" w:cs="Arial"/>
          <w:iCs/>
          <w:sz w:val="24"/>
          <w:szCs w:val="24"/>
        </w:rPr>
        <w:t>The right to work</w:t>
      </w:r>
      <w:r w:rsidR="00172C8C">
        <w:rPr>
          <w:rFonts w:ascii="Arial" w:hAnsi="Arial" w:cs="Arial"/>
          <w:iCs/>
          <w:sz w:val="24"/>
          <w:szCs w:val="24"/>
        </w:rPr>
        <w:t xml:space="preserve"> and other work-related rights</w:t>
      </w:r>
      <w:r w:rsidRPr="00CB6930">
        <w:rPr>
          <w:rFonts w:ascii="Arial" w:hAnsi="Arial" w:cs="Arial"/>
          <w:iCs/>
          <w:sz w:val="24"/>
          <w:szCs w:val="24"/>
        </w:rPr>
        <w:t xml:space="preserve"> provides that everyone has the </w:t>
      </w:r>
      <w:r w:rsidR="00172C8C">
        <w:rPr>
          <w:rFonts w:ascii="Arial" w:hAnsi="Arial" w:cs="Arial"/>
          <w:iCs/>
          <w:sz w:val="24"/>
          <w:szCs w:val="24"/>
        </w:rPr>
        <w:t>right to work</w:t>
      </w:r>
      <w:r w:rsidRPr="00CB6930">
        <w:rPr>
          <w:rFonts w:ascii="Arial" w:hAnsi="Arial" w:cs="Arial"/>
          <w:iCs/>
          <w:sz w:val="24"/>
          <w:szCs w:val="24"/>
        </w:rPr>
        <w:t xml:space="preserve">, including the right to choose their occupation </w:t>
      </w:r>
      <w:r w:rsidR="00E63579" w:rsidRPr="00CB6930">
        <w:rPr>
          <w:rFonts w:ascii="Arial" w:hAnsi="Arial" w:cs="Arial"/>
          <w:iCs/>
          <w:sz w:val="24"/>
          <w:szCs w:val="24"/>
        </w:rPr>
        <w:t>o</w:t>
      </w:r>
      <w:r w:rsidRPr="00CB6930">
        <w:rPr>
          <w:rFonts w:ascii="Arial" w:hAnsi="Arial" w:cs="Arial"/>
          <w:iCs/>
          <w:sz w:val="24"/>
          <w:szCs w:val="24"/>
        </w:rPr>
        <w:t>r profession freely, and is entitled to en</w:t>
      </w:r>
      <w:r w:rsidR="00E63579" w:rsidRPr="00CB6930">
        <w:rPr>
          <w:rFonts w:ascii="Arial" w:hAnsi="Arial" w:cs="Arial"/>
          <w:iCs/>
          <w:sz w:val="24"/>
          <w:szCs w:val="24"/>
        </w:rPr>
        <w:t>j</w:t>
      </w:r>
      <w:r w:rsidRPr="00CB6930">
        <w:rPr>
          <w:rFonts w:ascii="Arial" w:hAnsi="Arial" w:cs="Arial"/>
          <w:iCs/>
          <w:sz w:val="24"/>
          <w:szCs w:val="24"/>
        </w:rPr>
        <w:t>o</w:t>
      </w:r>
      <w:r w:rsidR="00E63579" w:rsidRPr="00CB6930">
        <w:rPr>
          <w:rFonts w:ascii="Arial" w:hAnsi="Arial" w:cs="Arial"/>
          <w:iCs/>
          <w:sz w:val="24"/>
          <w:szCs w:val="24"/>
        </w:rPr>
        <w:t>y</w:t>
      </w:r>
      <w:r w:rsidRPr="00CB6930">
        <w:rPr>
          <w:rFonts w:ascii="Arial" w:hAnsi="Arial" w:cs="Arial"/>
          <w:iCs/>
          <w:sz w:val="24"/>
          <w:szCs w:val="24"/>
        </w:rPr>
        <w:t xml:space="preserve"> these </w:t>
      </w:r>
      <w:r w:rsidR="00E63579" w:rsidRPr="00CB6930">
        <w:rPr>
          <w:rFonts w:ascii="Arial" w:hAnsi="Arial" w:cs="Arial"/>
          <w:iCs/>
          <w:sz w:val="24"/>
          <w:szCs w:val="24"/>
        </w:rPr>
        <w:t>rights</w:t>
      </w:r>
      <w:r w:rsidRPr="00CB6930">
        <w:rPr>
          <w:rFonts w:ascii="Arial" w:hAnsi="Arial" w:cs="Arial"/>
          <w:iCs/>
          <w:sz w:val="24"/>
          <w:szCs w:val="24"/>
        </w:rPr>
        <w:t xml:space="preserve"> without discrimination.</w:t>
      </w:r>
      <w:r w:rsidR="005F0C13">
        <w:rPr>
          <w:rFonts w:ascii="Arial" w:hAnsi="Arial" w:cs="Arial"/>
          <w:iCs/>
          <w:sz w:val="24"/>
          <w:szCs w:val="24"/>
        </w:rPr>
        <w:t xml:space="preserve"> </w:t>
      </w:r>
      <w:r w:rsidRPr="00CB6930">
        <w:rPr>
          <w:rFonts w:ascii="Arial" w:hAnsi="Arial" w:cs="Arial"/>
          <w:iCs/>
          <w:sz w:val="24"/>
          <w:szCs w:val="24"/>
        </w:rPr>
        <w:t xml:space="preserve">The right to work will be limited by the </w:t>
      </w:r>
      <w:r w:rsidR="00E63579" w:rsidRPr="00CB6930">
        <w:rPr>
          <w:rFonts w:ascii="Arial" w:hAnsi="Arial" w:cs="Arial"/>
          <w:iCs/>
          <w:sz w:val="24"/>
          <w:szCs w:val="24"/>
        </w:rPr>
        <w:t>amendments</w:t>
      </w:r>
      <w:r w:rsidRPr="00CB6930">
        <w:rPr>
          <w:rFonts w:ascii="Arial" w:hAnsi="Arial" w:cs="Arial"/>
          <w:iCs/>
          <w:sz w:val="24"/>
          <w:szCs w:val="24"/>
        </w:rPr>
        <w:t xml:space="preserve"> to the WWVP Act</w:t>
      </w:r>
      <w:r w:rsidR="00172C8C">
        <w:rPr>
          <w:rFonts w:ascii="Arial" w:hAnsi="Arial" w:cs="Arial"/>
          <w:iCs/>
          <w:sz w:val="24"/>
          <w:szCs w:val="24"/>
        </w:rPr>
        <w:t xml:space="preserve"> which will provide an explicit authority for Access Canberra to access and receive information provided by the national </w:t>
      </w:r>
      <w:r w:rsidR="006A3F61">
        <w:rPr>
          <w:rFonts w:ascii="Arial" w:hAnsi="Arial" w:cs="Arial"/>
          <w:iCs/>
          <w:sz w:val="24"/>
          <w:szCs w:val="24"/>
        </w:rPr>
        <w:t xml:space="preserve">authority </w:t>
      </w:r>
      <w:r w:rsidR="00172C8C">
        <w:rPr>
          <w:rFonts w:ascii="Arial" w:hAnsi="Arial" w:cs="Arial"/>
          <w:iCs/>
          <w:sz w:val="24"/>
          <w:szCs w:val="24"/>
        </w:rPr>
        <w:t xml:space="preserve">under the </w:t>
      </w:r>
      <w:r w:rsidR="00172C8C" w:rsidRPr="00172C8C">
        <w:rPr>
          <w:rFonts w:ascii="Arial" w:hAnsi="Arial" w:cs="Arial"/>
          <w:iCs/>
          <w:sz w:val="24"/>
          <w:szCs w:val="24"/>
        </w:rPr>
        <w:t>Education and Care Services National Law 2011</w:t>
      </w:r>
      <w:r w:rsidR="005F0C13">
        <w:rPr>
          <w:rFonts w:ascii="Arial" w:hAnsi="Arial" w:cs="Arial"/>
          <w:iCs/>
          <w:sz w:val="24"/>
          <w:szCs w:val="24"/>
        </w:rPr>
        <w:t xml:space="preserve"> (National Law)</w:t>
      </w:r>
      <w:r w:rsidR="00172C8C" w:rsidRPr="00172C8C">
        <w:rPr>
          <w:rFonts w:ascii="Arial" w:hAnsi="Arial" w:cs="Arial"/>
          <w:iCs/>
          <w:sz w:val="24"/>
          <w:szCs w:val="24"/>
        </w:rPr>
        <w:t>, the Australian Children’s and Care Quality Authority (ACECQA).</w:t>
      </w:r>
      <w:r w:rsidR="00172C8C">
        <w:rPr>
          <w:rFonts w:ascii="Arial" w:hAnsi="Arial" w:cs="Arial"/>
          <w:iCs/>
          <w:sz w:val="24"/>
          <w:szCs w:val="24"/>
        </w:rPr>
        <w:t xml:space="preserve"> This information includes nationwide prohibition notices, which bar individuals from working in early childhood education </w:t>
      </w:r>
      <w:r w:rsidRPr="00CB6930">
        <w:rPr>
          <w:rFonts w:ascii="Arial" w:hAnsi="Arial" w:cs="Arial"/>
          <w:iCs/>
          <w:sz w:val="24"/>
          <w:szCs w:val="24"/>
        </w:rPr>
        <w:t>and</w:t>
      </w:r>
      <w:r w:rsidR="00686D73">
        <w:rPr>
          <w:rFonts w:ascii="Arial" w:hAnsi="Arial" w:cs="Arial"/>
          <w:iCs/>
          <w:sz w:val="24"/>
          <w:szCs w:val="24"/>
        </w:rPr>
        <w:t xml:space="preserve"> </w:t>
      </w:r>
      <w:r w:rsidRPr="00CB6930">
        <w:rPr>
          <w:rFonts w:ascii="Arial" w:hAnsi="Arial" w:cs="Arial"/>
          <w:iCs/>
          <w:sz w:val="24"/>
          <w:szCs w:val="24"/>
        </w:rPr>
        <w:t>care settings</w:t>
      </w:r>
      <w:r w:rsidR="00686D73">
        <w:rPr>
          <w:rFonts w:ascii="Arial" w:hAnsi="Arial" w:cs="Arial"/>
          <w:iCs/>
          <w:sz w:val="24"/>
          <w:szCs w:val="24"/>
        </w:rPr>
        <w:t xml:space="preserve"> if they may pose an unacceptable risk of harm to children.</w:t>
      </w:r>
      <w:r w:rsidR="00EF453A">
        <w:rPr>
          <w:rFonts w:ascii="Arial" w:hAnsi="Arial" w:cs="Arial"/>
          <w:iCs/>
          <w:sz w:val="24"/>
          <w:szCs w:val="24"/>
        </w:rPr>
        <w:t xml:space="preserve"> If an individual’s application for WWVP registration is refused </w:t>
      </w:r>
      <w:proofErr w:type="gramStart"/>
      <w:r w:rsidR="00EF453A">
        <w:rPr>
          <w:rFonts w:ascii="Arial" w:hAnsi="Arial" w:cs="Arial"/>
          <w:iCs/>
          <w:sz w:val="24"/>
          <w:szCs w:val="24"/>
        </w:rPr>
        <w:t>on the basis of</w:t>
      </w:r>
      <w:proofErr w:type="gramEnd"/>
      <w:r w:rsidR="00EF453A">
        <w:rPr>
          <w:rFonts w:ascii="Arial" w:hAnsi="Arial" w:cs="Arial"/>
          <w:iCs/>
          <w:sz w:val="24"/>
          <w:szCs w:val="24"/>
        </w:rPr>
        <w:t xml:space="preserve"> the individual being subject to a prohibition notice, this may</w:t>
      </w:r>
      <w:r w:rsidR="00686D73">
        <w:rPr>
          <w:rFonts w:ascii="Arial" w:hAnsi="Arial" w:cs="Arial"/>
          <w:iCs/>
          <w:sz w:val="24"/>
          <w:szCs w:val="24"/>
        </w:rPr>
        <w:t xml:space="preserve"> </w:t>
      </w:r>
      <w:r w:rsidR="00EF453A">
        <w:rPr>
          <w:rFonts w:ascii="Arial" w:hAnsi="Arial" w:cs="Arial"/>
          <w:iCs/>
          <w:sz w:val="24"/>
          <w:szCs w:val="24"/>
        </w:rPr>
        <w:t>limit</w:t>
      </w:r>
      <w:r w:rsidR="00686D73">
        <w:rPr>
          <w:rFonts w:ascii="Arial" w:hAnsi="Arial" w:cs="Arial"/>
          <w:iCs/>
          <w:sz w:val="24"/>
          <w:szCs w:val="24"/>
        </w:rPr>
        <w:t xml:space="preserve"> </w:t>
      </w:r>
      <w:r w:rsidR="005152FF">
        <w:rPr>
          <w:rFonts w:ascii="Arial" w:hAnsi="Arial" w:cs="Arial"/>
          <w:iCs/>
          <w:sz w:val="24"/>
          <w:szCs w:val="24"/>
        </w:rPr>
        <w:t>the</w:t>
      </w:r>
      <w:r w:rsidR="00EF453A">
        <w:rPr>
          <w:rFonts w:ascii="Arial" w:hAnsi="Arial" w:cs="Arial"/>
          <w:iCs/>
          <w:sz w:val="24"/>
          <w:szCs w:val="24"/>
        </w:rPr>
        <w:t xml:space="preserve"> individual’s</w:t>
      </w:r>
      <w:r w:rsidR="00686D73">
        <w:rPr>
          <w:rFonts w:ascii="Arial" w:hAnsi="Arial" w:cs="Arial"/>
          <w:iCs/>
          <w:sz w:val="24"/>
          <w:szCs w:val="24"/>
        </w:rPr>
        <w:t xml:space="preserve"> right to</w:t>
      </w:r>
      <w:r w:rsidR="00EF453A">
        <w:rPr>
          <w:rFonts w:ascii="Arial" w:hAnsi="Arial" w:cs="Arial"/>
          <w:iCs/>
          <w:sz w:val="24"/>
          <w:szCs w:val="24"/>
        </w:rPr>
        <w:t xml:space="preserve"> work by restricting their ability to engage in</w:t>
      </w:r>
      <w:r w:rsidR="00686D73">
        <w:rPr>
          <w:rFonts w:ascii="Arial" w:hAnsi="Arial" w:cs="Arial"/>
          <w:iCs/>
          <w:sz w:val="24"/>
          <w:szCs w:val="24"/>
        </w:rPr>
        <w:t xml:space="preserve"> regulated activities</w:t>
      </w:r>
      <w:r w:rsidR="00EF453A">
        <w:rPr>
          <w:rFonts w:ascii="Arial" w:hAnsi="Arial" w:cs="Arial"/>
          <w:iCs/>
          <w:sz w:val="24"/>
          <w:szCs w:val="24"/>
        </w:rPr>
        <w:t xml:space="preserve"> in Schedule 1 of the WWVP Act.</w:t>
      </w:r>
    </w:p>
    <w:p w14:paraId="45620902" w14:textId="39416151" w:rsidR="00FE340E" w:rsidRPr="005152FF"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5152FF">
        <w:rPr>
          <w:rFonts w:ascii="Arial" w:hAnsi="Arial" w:cs="Arial"/>
          <w:b/>
          <w:bCs/>
          <w:i/>
          <w:sz w:val="24"/>
          <w:szCs w:val="24"/>
        </w:rPr>
        <w:t>Legitimate purpose (s28</w:t>
      </w:r>
      <w:r w:rsidR="00064462">
        <w:rPr>
          <w:rFonts w:ascii="Arial" w:hAnsi="Arial" w:cs="Arial"/>
          <w:b/>
          <w:bCs/>
          <w:i/>
          <w:sz w:val="24"/>
          <w:szCs w:val="24"/>
        </w:rPr>
        <w:t>(2)</w:t>
      </w:r>
      <w:r w:rsidRPr="005152FF">
        <w:rPr>
          <w:rFonts w:ascii="Arial" w:hAnsi="Arial" w:cs="Arial"/>
          <w:b/>
          <w:bCs/>
          <w:i/>
          <w:sz w:val="24"/>
          <w:szCs w:val="24"/>
        </w:rPr>
        <w:t>(b))</w:t>
      </w:r>
    </w:p>
    <w:p w14:paraId="37AA49FC" w14:textId="3BCFFC0A" w:rsidR="00FE340E" w:rsidRPr="00FE340E" w:rsidRDefault="00FE340E" w:rsidP="006C4190">
      <w:pPr>
        <w:spacing w:before="120" w:after="120"/>
        <w:rPr>
          <w:rFonts w:ascii="Arial" w:hAnsi="Arial" w:cs="Arial"/>
          <w:sz w:val="24"/>
          <w:szCs w:val="24"/>
        </w:rPr>
      </w:pPr>
      <w:r w:rsidRPr="08B69F05">
        <w:rPr>
          <w:rFonts w:ascii="Arial" w:hAnsi="Arial" w:cs="Arial"/>
          <w:sz w:val="24"/>
          <w:szCs w:val="24"/>
        </w:rPr>
        <w:t xml:space="preserve">The legitimate purpose of the amendment is to better facilitate information sharing between </w:t>
      </w:r>
      <w:r w:rsidR="00483A04">
        <w:rPr>
          <w:rFonts w:ascii="Arial" w:hAnsi="Arial" w:cs="Arial"/>
          <w:sz w:val="24"/>
          <w:szCs w:val="24"/>
        </w:rPr>
        <w:t>Access</w:t>
      </w:r>
      <w:r w:rsidRPr="08B69F05">
        <w:rPr>
          <w:rFonts w:ascii="Arial" w:hAnsi="Arial" w:cs="Arial"/>
          <w:sz w:val="24"/>
          <w:szCs w:val="24"/>
        </w:rPr>
        <w:t xml:space="preserve"> Canberra and the national authority to ensure that people who are prohibited from working in early childhood education and care are known in each jurisdiction and prevented from working in those areas. This is ultimately to protect children from people who have been deemed unsafe to work in this environment </w:t>
      </w:r>
      <w:r w:rsidR="006A3F61">
        <w:rPr>
          <w:rFonts w:ascii="Arial" w:hAnsi="Arial" w:cs="Arial"/>
          <w:sz w:val="24"/>
          <w:szCs w:val="24"/>
        </w:rPr>
        <w:t xml:space="preserve">because they may </w:t>
      </w:r>
      <w:r w:rsidRPr="08B69F05">
        <w:rPr>
          <w:rFonts w:ascii="Arial" w:hAnsi="Arial" w:cs="Arial"/>
          <w:sz w:val="24"/>
          <w:szCs w:val="24"/>
        </w:rPr>
        <w:t>pos</w:t>
      </w:r>
      <w:r w:rsidR="006A3F61">
        <w:rPr>
          <w:rFonts w:ascii="Arial" w:hAnsi="Arial" w:cs="Arial"/>
          <w:sz w:val="24"/>
          <w:szCs w:val="24"/>
        </w:rPr>
        <w:t>e</w:t>
      </w:r>
      <w:r w:rsidRPr="08B69F05">
        <w:rPr>
          <w:rFonts w:ascii="Arial" w:hAnsi="Arial" w:cs="Arial"/>
          <w:sz w:val="24"/>
          <w:szCs w:val="24"/>
        </w:rPr>
        <w:t xml:space="preserve"> an unacceptable risk of harm to children. </w:t>
      </w:r>
    </w:p>
    <w:p w14:paraId="7E6EB97C" w14:textId="52EC8993" w:rsidR="00C23927" w:rsidRPr="00E63579"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E63579">
        <w:rPr>
          <w:rFonts w:ascii="Arial" w:hAnsi="Arial" w:cs="Arial"/>
          <w:b/>
          <w:bCs/>
          <w:i/>
          <w:sz w:val="24"/>
          <w:szCs w:val="24"/>
        </w:rPr>
        <w:lastRenderedPageBreak/>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4CF39819" w14:textId="5FAFB65F" w:rsidR="00FE340E" w:rsidRPr="008841DE" w:rsidRDefault="00FE340E" w:rsidP="006C4190">
      <w:pPr>
        <w:pStyle w:val="Paragraphtext"/>
        <w:spacing w:line="276" w:lineRule="auto"/>
        <w:rPr>
          <w:rFonts w:ascii="Arial" w:hAnsi="Arial" w:cs="Arial"/>
        </w:rPr>
      </w:pPr>
      <w:r w:rsidRPr="06F59F90">
        <w:rPr>
          <w:rFonts w:ascii="Arial" w:hAnsi="Arial" w:cs="Arial"/>
        </w:rPr>
        <w:t xml:space="preserve">Information sharing is necessary to ensure the correct people are prohibited from working with children and cannot obtain a working with vulnerable people card. The prohibition on people working in these areas is necessary to protect children from harm from individuals. </w:t>
      </w:r>
      <w:r w:rsidRPr="06F59F90">
        <w:rPr>
          <w:rFonts w:ascii="Arial" w:hAnsi="Arial" w:cs="Arial"/>
          <w:color w:val="auto"/>
        </w:rPr>
        <w:t xml:space="preserve">The amendment also allows Access Canberra to collect information about people in the National Register, for the purposes of correctly identifying people who are prohibited from working in certain areas. It is necessary for Access Canberra to receive prohibition notice information to properly protect children from risks to safety. </w:t>
      </w:r>
    </w:p>
    <w:p w14:paraId="728B7A32" w14:textId="7DB1F707" w:rsidR="00C23927" w:rsidRPr="00E63579"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E63579">
        <w:rPr>
          <w:rFonts w:ascii="Arial" w:hAnsi="Arial" w:cs="Arial"/>
          <w:b/>
          <w:bCs/>
          <w:i/>
          <w:sz w:val="24"/>
          <w:szCs w:val="24"/>
        </w:rPr>
        <w:t>Proportionality (s28</w:t>
      </w:r>
      <w:r w:rsidR="00064462">
        <w:rPr>
          <w:rFonts w:ascii="Arial" w:hAnsi="Arial" w:cs="Arial"/>
          <w:b/>
          <w:bCs/>
          <w:i/>
          <w:sz w:val="24"/>
          <w:szCs w:val="24"/>
        </w:rPr>
        <w:t>(2)</w:t>
      </w:r>
      <w:r w:rsidRPr="00E63579">
        <w:rPr>
          <w:rFonts w:ascii="Arial" w:hAnsi="Arial" w:cs="Arial"/>
          <w:b/>
          <w:bCs/>
          <w:i/>
          <w:sz w:val="24"/>
          <w:szCs w:val="24"/>
        </w:rPr>
        <w:t>(e))</w:t>
      </w:r>
    </w:p>
    <w:p w14:paraId="07567436" w14:textId="77777777" w:rsidR="008841DE" w:rsidRDefault="00FE340E" w:rsidP="006C4190">
      <w:pPr>
        <w:spacing w:before="120" w:after="120"/>
        <w:rPr>
          <w:rFonts w:ascii="Arial" w:hAnsi="Arial" w:cs="Arial"/>
          <w:sz w:val="24"/>
          <w:szCs w:val="24"/>
          <w:lang w:eastAsia="en-AU"/>
        </w:rPr>
      </w:pPr>
      <w:r w:rsidRPr="06F59F90">
        <w:rPr>
          <w:rFonts w:ascii="Arial" w:hAnsi="Arial" w:cs="Arial"/>
          <w:sz w:val="24"/>
          <w:szCs w:val="24"/>
          <w:lang w:eastAsia="en-AU"/>
        </w:rPr>
        <w:t xml:space="preserve">There is no less restrictive way to protect children from people who are the subject of a prohibition notice. This amendment will only increase information sharing to ensure that those who are already barred from working in early education and care settings cannot work in these areas in the ACT. People subject to a prohibition notice may still be able to work with other vulnerable people, depending on the nature of the prohibition and their offending. The prohibition on the right to work in these contexts promotes the right to protection of children </w:t>
      </w:r>
      <w:proofErr w:type="gramStart"/>
      <w:r w:rsidRPr="06F59F90">
        <w:rPr>
          <w:rFonts w:ascii="Arial" w:hAnsi="Arial" w:cs="Arial"/>
          <w:sz w:val="24"/>
          <w:szCs w:val="24"/>
          <w:lang w:eastAsia="en-AU"/>
        </w:rPr>
        <w:t>and also</w:t>
      </w:r>
      <w:proofErr w:type="gramEnd"/>
      <w:r w:rsidRPr="06F59F90">
        <w:rPr>
          <w:rFonts w:ascii="Arial" w:hAnsi="Arial" w:cs="Arial"/>
          <w:sz w:val="24"/>
          <w:szCs w:val="24"/>
          <w:lang w:eastAsia="en-AU"/>
        </w:rPr>
        <w:t xml:space="preserve"> the right to security of person for children.</w:t>
      </w:r>
    </w:p>
    <w:bookmarkEnd w:id="5"/>
    <w:p w14:paraId="4DB72204" w14:textId="77777777" w:rsidR="00483A04" w:rsidRDefault="00483A04" w:rsidP="006C4190">
      <w:pPr>
        <w:spacing w:before="120" w:after="120"/>
        <w:rPr>
          <w:rFonts w:ascii="Arial" w:hAnsi="Arial" w:cs="Arial"/>
          <w:sz w:val="24"/>
          <w:szCs w:val="24"/>
          <w:lang w:eastAsia="en-AU"/>
        </w:rPr>
      </w:pPr>
    </w:p>
    <w:p w14:paraId="68CCFF82" w14:textId="77777777" w:rsidR="008841DE" w:rsidRDefault="008841DE" w:rsidP="006C4190">
      <w:pPr>
        <w:spacing w:before="120" w:after="120"/>
        <w:rPr>
          <w:rFonts w:ascii="Arial" w:eastAsia="Calibri" w:hAnsi="Arial" w:cs="Arial"/>
          <w:color w:val="000000" w:themeColor="text1"/>
          <w:sz w:val="24"/>
          <w:u w:val="single"/>
        </w:rPr>
      </w:pPr>
      <w:r w:rsidRPr="00145291">
        <w:rPr>
          <w:rFonts w:ascii="Arial" w:eastAsia="Calibri" w:hAnsi="Arial" w:cs="Arial"/>
          <w:color w:val="000000" w:themeColor="text1"/>
          <w:sz w:val="24"/>
          <w:u w:val="single"/>
        </w:rPr>
        <w:t>Section 12 HRA – Right to Privacy</w:t>
      </w:r>
    </w:p>
    <w:p w14:paraId="2D8AEEEB" w14:textId="1B7DDBF0"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Nature of the right and the limitation (s28</w:t>
      </w:r>
      <w:r w:rsidR="00064462">
        <w:rPr>
          <w:rFonts w:ascii="Arial" w:hAnsi="Arial" w:cs="Arial"/>
          <w:b/>
          <w:bCs/>
          <w:i/>
          <w:sz w:val="24"/>
          <w:szCs w:val="24"/>
        </w:rPr>
        <w:t>(2)</w:t>
      </w:r>
      <w:r w:rsidRPr="008841DE">
        <w:rPr>
          <w:rFonts w:ascii="Arial" w:hAnsi="Arial" w:cs="Arial"/>
          <w:b/>
          <w:bCs/>
          <w:i/>
          <w:sz w:val="24"/>
          <w:szCs w:val="24"/>
        </w:rPr>
        <w:t>(a) and (c))</w:t>
      </w:r>
    </w:p>
    <w:p w14:paraId="04402E1C" w14:textId="751A32C0" w:rsidR="008841DE" w:rsidRPr="008841DE" w:rsidRDefault="008841DE" w:rsidP="006C4190">
      <w:pPr>
        <w:spacing w:before="120" w:after="120"/>
        <w:ind w:left="-76"/>
        <w:rPr>
          <w:rFonts w:ascii="Arial" w:eastAsia="Calibri" w:hAnsi="Arial" w:cs="Arial"/>
          <w:color w:val="000000" w:themeColor="text1"/>
          <w:sz w:val="24"/>
          <w:u w:val="single"/>
        </w:rPr>
      </w:pPr>
      <w:r w:rsidRPr="00CB6930">
        <w:rPr>
          <w:rFonts w:ascii="Arial" w:hAnsi="Arial" w:cs="Arial"/>
          <w:iCs/>
          <w:sz w:val="24"/>
          <w:szCs w:val="24"/>
        </w:rPr>
        <w:t>The right to privacy provides that everyone has the right not to have their privacy, family, home or correspondence inferred with unlawfully or arbitrarily.</w:t>
      </w:r>
      <w:r>
        <w:rPr>
          <w:rFonts w:ascii="Arial" w:hAnsi="Arial" w:cs="Arial"/>
          <w:iCs/>
          <w:sz w:val="24"/>
          <w:szCs w:val="24"/>
        </w:rPr>
        <w:t xml:space="preserve"> The amendments to the WWVP Act limit the right to privacy by providing an explicit authority for Access Canberra to access and receive information about an individual subject to a prohibition notice. Personal information that may be disclosed will include an individual</w:t>
      </w:r>
      <w:r w:rsidR="009A1360">
        <w:rPr>
          <w:rFonts w:ascii="Arial" w:hAnsi="Arial" w:cs="Arial"/>
          <w:iCs/>
          <w:sz w:val="24"/>
          <w:szCs w:val="24"/>
        </w:rPr>
        <w:t>’</w:t>
      </w:r>
      <w:r>
        <w:rPr>
          <w:rFonts w:ascii="Arial" w:hAnsi="Arial" w:cs="Arial"/>
          <w:iCs/>
          <w:sz w:val="24"/>
          <w:szCs w:val="24"/>
        </w:rPr>
        <w:t xml:space="preserve">s first and last name, date of birth, the fact that they have a prohibition notice in a particular state and territory, and the entity that issued the notice. </w:t>
      </w:r>
    </w:p>
    <w:p w14:paraId="20B67E8B" w14:textId="5823A46C"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Legitimate purpose (s28</w:t>
      </w:r>
      <w:r w:rsidR="00064462">
        <w:rPr>
          <w:rFonts w:ascii="Arial" w:hAnsi="Arial" w:cs="Arial"/>
          <w:b/>
          <w:bCs/>
          <w:i/>
          <w:sz w:val="24"/>
          <w:szCs w:val="24"/>
        </w:rPr>
        <w:t>(2)</w:t>
      </w:r>
      <w:r w:rsidRPr="008841DE">
        <w:rPr>
          <w:rFonts w:ascii="Arial" w:hAnsi="Arial" w:cs="Arial"/>
          <w:b/>
          <w:bCs/>
          <w:i/>
          <w:sz w:val="24"/>
          <w:szCs w:val="24"/>
        </w:rPr>
        <w:t xml:space="preserve">(b)) </w:t>
      </w:r>
    </w:p>
    <w:p w14:paraId="4125E57A" w14:textId="59BA380F" w:rsidR="008841DE" w:rsidRPr="008841DE" w:rsidRDefault="008841DE" w:rsidP="006C4190">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As</w:t>
      </w:r>
      <w:r w:rsidR="009A1360">
        <w:rPr>
          <w:rFonts w:ascii="Arial" w:eastAsia="Calibri" w:hAnsi="Arial" w:cs="Arial"/>
          <w:color w:val="000000" w:themeColor="text1"/>
          <w:sz w:val="24"/>
        </w:rPr>
        <w:t xml:space="preserve"> outlined</w:t>
      </w:r>
      <w:r>
        <w:rPr>
          <w:rFonts w:ascii="Arial" w:eastAsia="Calibri" w:hAnsi="Arial" w:cs="Arial"/>
          <w:color w:val="000000" w:themeColor="text1"/>
          <w:sz w:val="24"/>
        </w:rPr>
        <w:t xml:space="preserve"> above, the </w:t>
      </w:r>
      <w:r w:rsidRPr="08B69F05">
        <w:rPr>
          <w:rFonts w:ascii="Arial" w:hAnsi="Arial" w:cs="Arial"/>
          <w:sz w:val="24"/>
          <w:szCs w:val="24"/>
        </w:rPr>
        <w:t xml:space="preserve">legitimate purpose of the amendment is to better facilitate information sharing between </w:t>
      </w:r>
      <w:r w:rsidR="00483A04">
        <w:rPr>
          <w:rFonts w:ascii="Arial" w:hAnsi="Arial" w:cs="Arial"/>
          <w:sz w:val="24"/>
          <w:szCs w:val="24"/>
        </w:rPr>
        <w:t>Access</w:t>
      </w:r>
      <w:r w:rsidRPr="08B69F05">
        <w:rPr>
          <w:rFonts w:ascii="Arial" w:hAnsi="Arial" w:cs="Arial"/>
          <w:sz w:val="24"/>
          <w:szCs w:val="24"/>
        </w:rPr>
        <w:t xml:space="preserve"> Canberra and the national authority to ensure that people who are prohibited from working in early childhood education and care are known in each jurisdiction and prevented from working in those areas.</w:t>
      </w:r>
    </w:p>
    <w:p w14:paraId="6DDAA3E8" w14:textId="2398C60F"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8841DE">
        <w:rPr>
          <w:rFonts w:ascii="Arial" w:hAnsi="Arial" w:cs="Arial"/>
          <w:b/>
          <w:bCs/>
          <w:i/>
          <w:sz w:val="24"/>
          <w:szCs w:val="24"/>
        </w:rPr>
        <w:t>(d))</w:t>
      </w:r>
    </w:p>
    <w:p w14:paraId="21EA34B9" w14:textId="1D52FAA2" w:rsidR="008841DE" w:rsidRPr="008841DE" w:rsidRDefault="008841DE" w:rsidP="006C4190">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 xml:space="preserve">As </w:t>
      </w:r>
      <w:r w:rsidR="009A1360">
        <w:rPr>
          <w:rFonts w:ascii="Arial" w:eastAsia="Calibri" w:hAnsi="Arial" w:cs="Arial"/>
          <w:color w:val="000000" w:themeColor="text1"/>
          <w:sz w:val="24"/>
        </w:rPr>
        <w:t xml:space="preserve">outlined </w:t>
      </w:r>
      <w:r>
        <w:rPr>
          <w:rFonts w:ascii="Arial" w:eastAsia="Calibri" w:hAnsi="Arial" w:cs="Arial"/>
          <w:color w:val="000000" w:themeColor="text1"/>
          <w:sz w:val="24"/>
        </w:rPr>
        <w:t xml:space="preserve">above, </w:t>
      </w:r>
      <w:r w:rsidR="009A1360" w:rsidRPr="009A1360">
        <w:rPr>
          <w:rFonts w:ascii="Arial" w:eastAsia="Calibri" w:hAnsi="Arial" w:cs="Arial"/>
          <w:color w:val="000000" w:themeColor="text1"/>
          <w:sz w:val="24"/>
        </w:rPr>
        <w:t>it is necessary for Access Canberra to receive prohibition notice information to properly protect children from risks to safety.</w:t>
      </w:r>
    </w:p>
    <w:p w14:paraId="486A1F67" w14:textId="3E468914" w:rsidR="008841DE" w:rsidRPr="009A1360"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Proportionality (s28</w:t>
      </w:r>
      <w:r w:rsidR="00064462">
        <w:rPr>
          <w:rFonts w:ascii="Arial" w:hAnsi="Arial" w:cs="Arial"/>
          <w:b/>
          <w:bCs/>
          <w:i/>
          <w:sz w:val="24"/>
          <w:szCs w:val="24"/>
        </w:rPr>
        <w:t>(2)</w:t>
      </w:r>
      <w:r w:rsidRPr="008841DE">
        <w:rPr>
          <w:rFonts w:ascii="Arial" w:hAnsi="Arial" w:cs="Arial"/>
          <w:b/>
          <w:bCs/>
          <w:i/>
          <w:sz w:val="24"/>
          <w:szCs w:val="24"/>
        </w:rPr>
        <w:t>(e))</w:t>
      </w:r>
    </w:p>
    <w:p w14:paraId="0EC1B5FA" w14:textId="3B00257B" w:rsidR="009A1360" w:rsidRPr="005A7FC9" w:rsidRDefault="009A1360" w:rsidP="006C4190">
      <w:pPr>
        <w:spacing w:before="120" w:after="120"/>
        <w:rPr>
          <w:rFonts w:ascii="Arial" w:hAnsi="Arial" w:cs="Arial"/>
          <w:sz w:val="24"/>
          <w:szCs w:val="24"/>
          <w:lang w:eastAsia="en-AU"/>
        </w:rPr>
      </w:pPr>
      <w:r>
        <w:rPr>
          <w:rFonts w:ascii="Arial" w:hAnsi="Arial" w:cs="Arial"/>
          <w:sz w:val="24"/>
          <w:szCs w:val="24"/>
          <w:lang w:eastAsia="en-AU"/>
        </w:rPr>
        <w:t>As outlined above, there</w:t>
      </w:r>
      <w:r w:rsidRPr="06F59F90">
        <w:rPr>
          <w:rFonts w:ascii="Arial" w:hAnsi="Arial" w:cs="Arial"/>
          <w:sz w:val="24"/>
          <w:szCs w:val="24"/>
          <w:lang w:eastAsia="en-AU"/>
        </w:rPr>
        <w:t xml:space="preserve"> is no less restrictive way to protect children from people who are the subject of a prohibition notice.</w:t>
      </w:r>
      <w:r>
        <w:rPr>
          <w:rFonts w:ascii="Arial" w:hAnsi="Arial" w:cs="Arial"/>
          <w:sz w:val="24"/>
          <w:szCs w:val="24"/>
          <w:lang w:eastAsia="en-AU"/>
        </w:rPr>
        <w:t xml:space="preserve"> </w:t>
      </w:r>
      <w:r w:rsidR="005A7FC9">
        <w:rPr>
          <w:rFonts w:ascii="Arial" w:hAnsi="Arial" w:cs="Arial"/>
          <w:sz w:val="24"/>
          <w:szCs w:val="24"/>
          <w:lang w:eastAsia="en-AU"/>
        </w:rPr>
        <w:t xml:space="preserve">A </w:t>
      </w:r>
      <w:r w:rsidR="00780E36">
        <w:rPr>
          <w:rFonts w:ascii="Arial" w:hAnsi="Arial" w:cs="Arial"/>
          <w:sz w:val="24"/>
          <w:szCs w:val="24"/>
          <w:lang w:eastAsia="en-AU"/>
        </w:rPr>
        <w:t>key</w:t>
      </w:r>
      <w:r w:rsidR="005A7FC9">
        <w:rPr>
          <w:rFonts w:ascii="Arial" w:hAnsi="Arial" w:cs="Arial"/>
          <w:sz w:val="24"/>
          <w:szCs w:val="24"/>
          <w:lang w:eastAsia="en-AU"/>
        </w:rPr>
        <w:t xml:space="preserve"> </w:t>
      </w:r>
      <w:r w:rsidR="00780E36">
        <w:rPr>
          <w:rFonts w:ascii="Arial" w:hAnsi="Arial" w:cs="Arial"/>
          <w:sz w:val="24"/>
          <w:szCs w:val="24"/>
          <w:lang w:eastAsia="en-AU"/>
        </w:rPr>
        <w:t xml:space="preserve">privacy </w:t>
      </w:r>
      <w:r w:rsidR="005A7FC9">
        <w:rPr>
          <w:rFonts w:ascii="Arial" w:hAnsi="Arial" w:cs="Arial"/>
          <w:sz w:val="24"/>
          <w:szCs w:val="24"/>
          <w:lang w:eastAsia="en-AU"/>
        </w:rPr>
        <w:t xml:space="preserve">safeguard is the offence in </w:t>
      </w:r>
      <w:r w:rsidR="005A7FC9">
        <w:rPr>
          <w:rFonts w:ascii="Arial" w:hAnsi="Arial" w:cs="Arial"/>
          <w:sz w:val="24"/>
          <w:szCs w:val="24"/>
          <w:lang w:eastAsia="en-AU"/>
        </w:rPr>
        <w:lastRenderedPageBreak/>
        <w:t>s</w:t>
      </w:r>
      <w:r>
        <w:rPr>
          <w:rFonts w:ascii="Arial" w:hAnsi="Arial" w:cs="Arial"/>
          <w:sz w:val="24"/>
          <w:szCs w:val="24"/>
          <w:lang w:eastAsia="en-AU"/>
        </w:rPr>
        <w:t>ection 273 of the National Law</w:t>
      </w:r>
      <w:r w:rsidR="005A7FC9">
        <w:rPr>
          <w:rFonts w:ascii="Arial" w:hAnsi="Arial" w:cs="Arial"/>
          <w:sz w:val="24"/>
          <w:szCs w:val="24"/>
          <w:lang w:eastAsia="en-AU"/>
        </w:rPr>
        <w:t xml:space="preserve">, which </w:t>
      </w:r>
      <w:r>
        <w:rPr>
          <w:rFonts w:ascii="Arial" w:hAnsi="Arial" w:cs="Arial"/>
          <w:sz w:val="24"/>
          <w:szCs w:val="24"/>
          <w:lang w:eastAsia="en-AU"/>
        </w:rPr>
        <w:t>sets out a duty of confidentiality</w:t>
      </w:r>
      <w:r w:rsidR="005A7FC9">
        <w:rPr>
          <w:rFonts w:ascii="Arial" w:hAnsi="Arial" w:cs="Arial"/>
          <w:sz w:val="24"/>
          <w:szCs w:val="24"/>
          <w:lang w:eastAsia="en-AU"/>
        </w:rPr>
        <w:t xml:space="preserve">. This provision provides </w:t>
      </w:r>
      <w:r>
        <w:rPr>
          <w:rFonts w:ascii="Arial" w:hAnsi="Arial" w:cs="Arial"/>
          <w:sz w:val="24"/>
          <w:szCs w:val="24"/>
          <w:lang w:eastAsia="en-AU"/>
        </w:rPr>
        <w:t xml:space="preserve">that an individual exercising functions under the </w:t>
      </w:r>
      <w:r w:rsidR="008C5BFC">
        <w:rPr>
          <w:rFonts w:ascii="Arial" w:hAnsi="Arial" w:cs="Arial"/>
          <w:sz w:val="24"/>
          <w:szCs w:val="24"/>
          <w:lang w:eastAsia="en-AU"/>
        </w:rPr>
        <w:t>N</w:t>
      </w:r>
      <w:r>
        <w:rPr>
          <w:rFonts w:ascii="Arial" w:hAnsi="Arial" w:cs="Arial"/>
          <w:sz w:val="24"/>
          <w:szCs w:val="24"/>
          <w:lang w:eastAsia="en-AU"/>
        </w:rPr>
        <w:t xml:space="preserve">ational </w:t>
      </w:r>
      <w:r w:rsidR="008C5BFC">
        <w:rPr>
          <w:rFonts w:ascii="Arial" w:hAnsi="Arial" w:cs="Arial"/>
          <w:sz w:val="24"/>
          <w:szCs w:val="24"/>
          <w:lang w:eastAsia="en-AU"/>
        </w:rPr>
        <w:t>L</w:t>
      </w:r>
      <w:r>
        <w:rPr>
          <w:rFonts w:ascii="Arial" w:hAnsi="Arial" w:cs="Arial"/>
          <w:sz w:val="24"/>
          <w:szCs w:val="24"/>
          <w:lang w:eastAsia="en-AU"/>
        </w:rPr>
        <w:t>aw must not disclose to another person protected information. In this context, protect</w:t>
      </w:r>
      <w:r w:rsidR="00243F8A">
        <w:rPr>
          <w:rFonts w:ascii="Arial" w:hAnsi="Arial" w:cs="Arial"/>
          <w:sz w:val="24"/>
          <w:szCs w:val="24"/>
          <w:lang w:eastAsia="en-AU"/>
        </w:rPr>
        <w:t>ed</w:t>
      </w:r>
      <w:r>
        <w:rPr>
          <w:rFonts w:ascii="Arial" w:hAnsi="Arial" w:cs="Arial"/>
          <w:sz w:val="24"/>
          <w:szCs w:val="24"/>
          <w:lang w:eastAsia="en-AU"/>
        </w:rPr>
        <w:t xml:space="preserve"> information means information that is personal to a particular individual and that identifies or could lead to the identification of the individual, and that comes to a person’s knowledge </w:t>
      </w:r>
      <w:proofErr w:type="gramStart"/>
      <w:r>
        <w:rPr>
          <w:rFonts w:ascii="Arial" w:hAnsi="Arial" w:cs="Arial"/>
          <w:sz w:val="24"/>
          <w:szCs w:val="24"/>
          <w:lang w:eastAsia="en-AU"/>
        </w:rPr>
        <w:t>in the course of</w:t>
      </w:r>
      <w:proofErr w:type="gramEnd"/>
      <w:r>
        <w:rPr>
          <w:rFonts w:ascii="Arial" w:hAnsi="Arial" w:cs="Arial"/>
          <w:sz w:val="24"/>
          <w:szCs w:val="24"/>
          <w:lang w:eastAsia="en-AU"/>
        </w:rPr>
        <w:t xml:space="preserve">, or because of, the person exercising functions under the </w:t>
      </w:r>
      <w:r w:rsidR="008C5BFC">
        <w:rPr>
          <w:rFonts w:ascii="Arial" w:hAnsi="Arial" w:cs="Arial"/>
          <w:sz w:val="24"/>
          <w:szCs w:val="24"/>
          <w:lang w:eastAsia="en-AU"/>
        </w:rPr>
        <w:t>N</w:t>
      </w:r>
      <w:r>
        <w:rPr>
          <w:rFonts w:ascii="Arial" w:hAnsi="Arial" w:cs="Arial"/>
          <w:sz w:val="24"/>
          <w:szCs w:val="24"/>
          <w:lang w:eastAsia="en-AU"/>
        </w:rPr>
        <w:t xml:space="preserve">ational </w:t>
      </w:r>
      <w:r w:rsidR="008C5BFC">
        <w:rPr>
          <w:rFonts w:ascii="Arial" w:hAnsi="Arial" w:cs="Arial"/>
          <w:sz w:val="24"/>
          <w:szCs w:val="24"/>
          <w:lang w:eastAsia="en-AU"/>
        </w:rPr>
        <w:t>L</w:t>
      </w:r>
      <w:r>
        <w:rPr>
          <w:rFonts w:ascii="Arial" w:hAnsi="Arial" w:cs="Arial"/>
          <w:sz w:val="24"/>
          <w:szCs w:val="24"/>
          <w:lang w:eastAsia="en-AU"/>
        </w:rPr>
        <w:t xml:space="preserve">aw. </w:t>
      </w:r>
    </w:p>
    <w:p w14:paraId="284C4CF8" w14:textId="77777777" w:rsidR="00A2160B" w:rsidRDefault="00A2160B" w:rsidP="006C4190">
      <w:pPr>
        <w:spacing w:before="120" w:after="120"/>
        <w:rPr>
          <w:rFonts w:ascii="Arial" w:hAnsi="Arial" w:cs="Arial"/>
          <w:b/>
          <w:bCs/>
          <w:i/>
          <w:sz w:val="24"/>
          <w:szCs w:val="24"/>
        </w:rPr>
      </w:pPr>
    </w:p>
    <w:p w14:paraId="12396360" w14:textId="62ABEED1" w:rsidR="00A2160B" w:rsidRPr="00371D13" w:rsidRDefault="00A2160B" w:rsidP="006C4190">
      <w:pPr>
        <w:spacing w:before="120" w:after="120"/>
        <w:rPr>
          <w:rFonts w:ascii="Arial" w:eastAsia="Calibri" w:hAnsi="Arial" w:cs="Arial"/>
          <w:color w:val="000000" w:themeColor="text1"/>
          <w:sz w:val="24"/>
          <w:u w:val="single"/>
        </w:rPr>
      </w:pPr>
      <w:r w:rsidRPr="00E63579">
        <w:rPr>
          <w:rFonts w:ascii="Arial" w:eastAsia="Calibri" w:hAnsi="Arial" w:cs="Arial"/>
          <w:color w:val="000000" w:themeColor="text1"/>
          <w:sz w:val="24"/>
          <w:u w:val="single"/>
        </w:rPr>
        <w:t xml:space="preserve">Section </w:t>
      </w:r>
      <w:r w:rsidR="00371D13">
        <w:rPr>
          <w:rFonts w:ascii="Arial" w:eastAsia="Calibri" w:hAnsi="Arial" w:cs="Arial"/>
          <w:color w:val="000000" w:themeColor="text1"/>
          <w:sz w:val="24"/>
          <w:u w:val="single"/>
        </w:rPr>
        <w:t>18</w:t>
      </w:r>
      <w:r w:rsidRPr="00E63579">
        <w:rPr>
          <w:rFonts w:ascii="Arial" w:eastAsia="Calibri" w:hAnsi="Arial" w:cs="Arial"/>
          <w:color w:val="000000" w:themeColor="text1"/>
          <w:sz w:val="24"/>
          <w:u w:val="single"/>
        </w:rPr>
        <w:t xml:space="preserve"> HRA – </w:t>
      </w:r>
      <w:r w:rsidR="00371D13">
        <w:rPr>
          <w:rFonts w:ascii="Arial" w:eastAsia="Calibri" w:hAnsi="Arial" w:cs="Arial"/>
          <w:color w:val="000000" w:themeColor="text1"/>
          <w:sz w:val="24"/>
          <w:u w:val="single"/>
        </w:rPr>
        <w:t>Right to liberty and security of person</w:t>
      </w:r>
      <w:r>
        <w:rPr>
          <w:rFonts w:ascii="Arial" w:eastAsia="Calibri" w:hAnsi="Arial" w:cs="Arial"/>
          <w:color w:val="000000" w:themeColor="text1"/>
          <w:sz w:val="24"/>
          <w:u w:val="single"/>
        </w:rPr>
        <w:t xml:space="preserve"> – Human Rights Commission Act amendments </w:t>
      </w:r>
    </w:p>
    <w:p w14:paraId="24AAE132" w14:textId="7A8E2869" w:rsidR="00371D13" w:rsidRPr="00371D13" w:rsidRDefault="00371D13" w:rsidP="00371D13">
      <w:pPr>
        <w:pStyle w:val="ListParagraph"/>
        <w:numPr>
          <w:ilvl w:val="0"/>
          <w:numId w:val="37"/>
        </w:numPr>
        <w:spacing w:before="120" w:after="120"/>
        <w:ind w:left="284"/>
        <w:rPr>
          <w:rFonts w:ascii="Arial" w:eastAsia="Calibri" w:hAnsi="Arial" w:cs="Arial"/>
          <w:color w:val="000000" w:themeColor="text1"/>
          <w:sz w:val="24"/>
          <w:u w:val="single"/>
        </w:rPr>
      </w:pPr>
      <w:r w:rsidRPr="00371D13">
        <w:rPr>
          <w:rFonts w:ascii="Arial" w:hAnsi="Arial" w:cs="Arial"/>
          <w:b/>
          <w:bCs/>
          <w:i/>
          <w:sz w:val="24"/>
          <w:szCs w:val="24"/>
        </w:rPr>
        <w:t>Nature of the right and the limitation (s28</w:t>
      </w:r>
      <w:r w:rsidR="00064462">
        <w:rPr>
          <w:rFonts w:ascii="Arial" w:hAnsi="Arial" w:cs="Arial"/>
          <w:b/>
          <w:bCs/>
          <w:i/>
          <w:sz w:val="24"/>
          <w:szCs w:val="24"/>
        </w:rPr>
        <w:t>(2)</w:t>
      </w:r>
      <w:r w:rsidRPr="00371D13">
        <w:rPr>
          <w:rFonts w:ascii="Arial" w:hAnsi="Arial" w:cs="Arial"/>
          <w:b/>
          <w:bCs/>
          <w:i/>
          <w:sz w:val="24"/>
          <w:szCs w:val="24"/>
        </w:rPr>
        <w:t>(a) and (c))</w:t>
      </w:r>
    </w:p>
    <w:p w14:paraId="4A8DFA8E" w14:textId="021EEBC9" w:rsidR="00371D13" w:rsidRDefault="00DD0401" w:rsidP="00371D13">
      <w:pPr>
        <w:spacing w:before="120" w:after="120"/>
        <w:ind w:left="-76"/>
        <w:rPr>
          <w:rFonts w:ascii="Arial" w:hAnsi="Arial" w:cs="Arial"/>
          <w:iCs/>
          <w:sz w:val="24"/>
          <w:szCs w:val="24"/>
        </w:rPr>
      </w:pPr>
      <w:r>
        <w:rPr>
          <w:rFonts w:ascii="Arial" w:hAnsi="Arial" w:cs="Arial"/>
          <w:iCs/>
          <w:sz w:val="24"/>
          <w:szCs w:val="24"/>
        </w:rPr>
        <w:t xml:space="preserve">The right to liberty and security of person provides that everyone has the right to liberty and security of person. </w:t>
      </w:r>
      <w:proofErr w:type="gramStart"/>
      <w:r>
        <w:rPr>
          <w:rFonts w:ascii="Arial" w:hAnsi="Arial" w:cs="Arial"/>
          <w:iCs/>
          <w:sz w:val="24"/>
          <w:szCs w:val="24"/>
        </w:rPr>
        <w:t>In particular, no-one</w:t>
      </w:r>
      <w:proofErr w:type="gramEnd"/>
      <w:r>
        <w:rPr>
          <w:rFonts w:ascii="Arial" w:hAnsi="Arial" w:cs="Arial"/>
          <w:iCs/>
          <w:sz w:val="24"/>
          <w:szCs w:val="24"/>
        </w:rPr>
        <w:t xml:space="preserve"> may be arbitrarily arrested or detained. No-one may be deprived of liberty, except on the grounds and in accordance with the procedures established by law. </w:t>
      </w:r>
    </w:p>
    <w:p w14:paraId="45382CC1" w14:textId="71CE8E49" w:rsidR="00612D47" w:rsidRDefault="00DD0401" w:rsidP="00DD0401">
      <w:pPr>
        <w:spacing w:before="120" w:after="120"/>
        <w:ind w:left="-76"/>
        <w:rPr>
          <w:rFonts w:ascii="Arial" w:hAnsi="Arial" w:cs="Arial"/>
          <w:iCs/>
          <w:sz w:val="24"/>
          <w:szCs w:val="24"/>
        </w:rPr>
      </w:pPr>
      <w:r>
        <w:rPr>
          <w:rFonts w:ascii="Arial" w:hAnsi="Arial" w:cs="Arial"/>
          <w:iCs/>
          <w:sz w:val="24"/>
          <w:szCs w:val="24"/>
        </w:rPr>
        <w:t>Section 98</w:t>
      </w:r>
      <w:r w:rsidR="00612D47">
        <w:rPr>
          <w:rFonts w:ascii="Arial" w:hAnsi="Arial" w:cs="Arial"/>
          <w:iCs/>
          <w:sz w:val="24"/>
          <w:szCs w:val="24"/>
        </w:rPr>
        <w:t xml:space="preserve">(1) </w:t>
      </w:r>
      <w:r>
        <w:rPr>
          <w:rFonts w:ascii="Arial" w:hAnsi="Arial" w:cs="Arial"/>
          <w:iCs/>
          <w:sz w:val="24"/>
          <w:szCs w:val="24"/>
        </w:rPr>
        <w:t>of the Human Rights Commission Act makes it an offence if a person causes or threatens to cause a detriment to someone else because the other person has made a complaint under this Act. The offence has a maximum penalty of 50 penalty unit</w:t>
      </w:r>
      <w:r w:rsidR="005870B0">
        <w:rPr>
          <w:rFonts w:ascii="Arial" w:hAnsi="Arial" w:cs="Arial"/>
          <w:iCs/>
          <w:sz w:val="24"/>
          <w:szCs w:val="24"/>
        </w:rPr>
        <w:t>s</w:t>
      </w:r>
      <w:r>
        <w:rPr>
          <w:rFonts w:ascii="Arial" w:hAnsi="Arial" w:cs="Arial"/>
          <w:iCs/>
          <w:sz w:val="24"/>
          <w:szCs w:val="24"/>
        </w:rPr>
        <w:t xml:space="preserve">, imprisonment for 6 months or both. The amendment to section 98(1)(a)(i) limits this right as it expands the circumstances in which this offence applies to people amending a complaint. </w:t>
      </w:r>
    </w:p>
    <w:p w14:paraId="324C9F7B" w14:textId="167D6E3A" w:rsidR="00DD0401" w:rsidRPr="00DD0401" w:rsidRDefault="00612D47" w:rsidP="00612D47">
      <w:pPr>
        <w:spacing w:before="120" w:after="120"/>
        <w:ind w:left="-76"/>
        <w:rPr>
          <w:rFonts w:ascii="Arial" w:hAnsi="Arial" w:cs="Arial"/>
          <w:iCs/>
          <w:sz w:val="24"/>
          <w:szCs w:val="24"/>
        </w:rPr>
      </w:pPr>
      <w:r>
        <w:rPr>
          <w:rFonts w:ascii="Arial" w:hAnsi="Arial" w:cs="Arial"/>
          <w:iCs/>
          <w:sz w:val="24"/>
          <w:szCs w:val="24"/>
        </w:rPr>
        <w:t>Similarly, t</w:t>
      </w:r>
      <w:r w:rsidR="00DD0401">
        <w:rPr>
          <w:rFonts w:ascii="Arial" w:hAnsi="Arial" w:cs="Arial"/>
          <w:iCs/>
          <w:sz w:val="24"/>
          <w:szCs w:val="24"/>
        </w:rPr>
        <w:t>he amendment to introduce the new section 98(</w:t>
      </w:r>
      <w:proofErr w:type="gramStart"/>
      <w:r w:rsidR="00DD0401">
        <w:rPr>
          <w:rFonts w:ascii="Arial" w:hAnsi="Arial" w:cs="Arial"/>
          <w:iCs/>
          <w:sz w:val="24"/>
          <w:szCs w:val="24"/>
        </w:rPr>
        <w:t>2)(</w:t>
      </w:r>
      <w:proofErr w:type="gramEnd"/>
      <w:r w:rsidR="00DD0401">
        <w:rPr>
          <w:rFonts w:ascii="Arial" w:hAnsi="Arial" w:cs="Arial"/>
          <w:iCs/>
          <w:sz w:val="24"/>
          <w:szCs w:val="24"/>
        </w:rPr>
        <w:t xml:space="preserve">aa) limits this right as it makes it an offence </w:t>
      </w:r>
      <w:r>
        <w:rPr>
          <w:rFonts w:ascii="Arial" w:hAnsi="Arial" w:cs="Arial"/>
          <w:iCs/>
          <w:sz w:val="24"/>
          <w:szCs w:val="24"/>
        </w:rPr>
        <w:t xml:space="preserve">if </w:t>
      </w:r>
      <w:r w:rsidR="00770946">
        <w:rPr>
          <w:rFonts w:ascii="Arial" w:hAnsi="Arial" w:cs="Arial"/>
          <w:iCs/>
          <w:sz w:val="24"/>
          <w:szCs w:val="24"/>
        </w:rPr>
        <w:t>a</w:t>
      </w:r>
      <w:r>
        <w:rPr>
          <w:rFonts w:ascii="Arial" w:hAnsi="Arial" w:cs="Arial"/>
          <w:iCs/>
          <w:sz w:val="24"/>
          <w:szCs w:val="24"/>
        </w:rPr>
        <w:t xml:space="preserve"> person threatens or intimidates someone else with the intention of causing the other person to amend, or not to amend a complaint made under this Act. This offence has a maximum penalty of 50 penalty units, imprisonment for 6 months or both.</w:t>
      </w:r>
    </w:p>
    <w:p w14:paraId="43D1E6B0" w14:textId="6B278ACF" w:rsidR="00371D13" w:rsidRPr="008841DE"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Legitimate purpose (s28</w:t>
      </w:r>
      <w:r w:rsidR="00064462">
        <w:rPr>
          <w:rFonts w:ascii="Arial" w:hAnsi="Arial" w:cs="Arial"/>
          <w:b/>
          <w:bCs/>
          <w:i/>
          <w:sz w:val="24"/>
          <w:szCs w:val="24"/>
        </w:rPr>
        <w:t>(2)</w:t>
      </w:r>
      <w:r w:rsidRPr="008841DE">
        <w:rPr>
          <w:rFonts w:ascii="Arial" w:hAnsi="Arial" w:cs="Arial"/>
          <w:b/>
          <w:bCs/>
          <w:i/>
          <w:sz w:val="24"/>
          <w:szCs w:val="24"/>
        </w:rPr>
        <w:t xml:space="preserve">(b)) </w:t>
      </w:r>
    </w:p>
    <w:p w14:paraId="00700332" w14:textId="07DF8DE6" w:rsidR="00DD0401" w:rsidRPr="008841DE" w:rsidRDefault="00DD0401" w:rsidP="00770946">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 xml:space="preserve">The purpose of this amendment is to protect people </w:t>
      </w:r>
      <w:r w:rsidR="00770946">
        <w:rPr>
          <w:rFonts w:ascii="Arial" w:eastAsia="Calibri" w:hAnsi="Arial" w:cs="Arial"/>
          <w:color w:val="000000" w:themeColor="text1"/>
          <w:sz w:val="24"/>
        </w:rPr>
        <w:t>from being victimised for having amended</w:t>
      </w:r>
      <w:r w:rsidR="00EA5D41">
        <w:rPr>
          <w:rFonts w:ascii="Arial" w:eastAsia="Calibri" w:hAnsi="Arial" w:cs="Arial"/>
          <w:color w:val="000000" w:themeColor="text1"/>
          <w:sz w:val="24"/>
        </w:rPr>
        <w:t xml:space="preserve"> or </w:t>
      </w:r>
      <w:r w:rsidR="00B54A79">
        <w:rPr>
          <w:rFonts w:ascii="Arial" w:eastAsia="Calibri" w:hAnsi="Arial" w:cs="Arial"/>
          <w:color w:val="000000" w:themeColor="text1"/>
          <w:sz w:val="24"/>
        </w:rPr>
        <w:t xml:space="preserve">wanting to amend </w:t>
      </w:r>
      <w:r w:rsidR="00770946">
        <w:rPr>
          <w:rFonts w:ascii="Arial" w:eastAsia="Calibri" w:hAnsi="Arial" w:cs="Arial"/>
          <w:color w:val="000000" w:themeColor="text1"/>
          <w:sz w:val="24"/>
        </w:rPr>
        <w:t xml:space="preserve">a complaint under the Act. </w:t>
      </w:r>
      <w:r w:rsidR="00490410">
        <w:rPr>
          <w:rFonts w:ascii="Arial" w:eastAsia="Calibri" w:hAnsi="Arial" w:cs="Arial"/>
          <w:color w:val="000000" w:themeColor="text1"/>
          <w:sz w:val="24"/>
        </w:rPr>
        <w:t xml:space="preserve">It is also intended to </w:t>
      </w:r>
      <w:r w:rsidR="00EA5D41">
        <w:rPr>
          <w:rFonts w:ascii="Arial" w:eastAsia="Calibri" w:hAnsi="Arial" w:cs="Arial"/>
          <w:color w:val="000000" w:themeColor="text1"/>
          <w:sz w:val="24"/>
        </w:rPr>
        <w:t>protect</w:t>
      </w:r>
      <w:r w:rsidR="00490410">
        <w:rPr>
          <w:rFonts w:ascii="Arial" w:eastAsia="Calibri" w:hAnsi="Arial" w:cs="Arial"/>
          <w:color w:val="000000" w:themeColor="text1"/>
          <w:sz w:val="24"/>
        </w:rPr>
        <w:t xml:space="preserve"> all </w:t>
      </w:r>
      <w:r w:rsidR="00EA5D41">
        <w:rPr>
          <w:rFonts w:ascii="Arial" w:eastAsia="Calibri" w:hAnsi="Arial" w:cs="Arial"/>
          <w:color w:val="000000" w:themeColor="text1"/>
          <w:sz w:val="24"/>
        </w:rPr>
        <w:t xml:space="preserve">complainants from being pressured to change a complaint that is on foot before the Commission. </w:t>
      </w:r>
    </w:p>
    <w:p w14:paraId="1AF4D50C" w14:textId="2F402CC7" w:rsidR="00371D13" w:rsidRPr="008841DE"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8841DE">
        <w:rPr>
          <w:rFonts w:ascii="Arial" w:hAnsi="Arial" w:cs="Arial"/>
          <w:b/>
          <w:bCs/>
          <w:i/>
          <w:sz w:val="24"/>
          <w:szCs w:val="24"/>
        </w:rPr>
        <w:t>(d))</w:t>
      </w:r>
    </w:p>
    <w:p w14:paraId="3D9DE242" w14:textId="3812D36D" w:rsidR="00371D13" w:rsidRPr="008841DE" w:rsidRDefault="00770946" w:rsidP="00371D13">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Expanding the existing</w:t>
      </w:r>
      <w:r w:rsidR="00F51A0A">
        <w:rPr>
          <w:rFonts w:ascii="Arial" w:eastAsia="Calibri" w:hAnsi="Arial" w:cs="Arial"/>
          <w:color w:val="000000" w:themeColor="text1"/>
          <w:sz w:val="24"/>
        </w:rPr>
        <w:t xml:space="preserve"> </w:t>
      </w:r>
      <w:r>
        <w:rPr>
          <w:rFonts w:ascii="Arial" w:eastAsia="Calibri" w:hAnsi="Arial" w:cs="Arial"/>
          <w:color w:val="000000" w:themeColor="text1"/>
          <w:sz w:val="24"/>
        </w:rPr>
        <w:t xml:space="preserve">offences in section 98 will ensure that </w:t>
      </w:r>
      <w:r w:rsidR="005870B0">
        <w:rPr>
          <w:rFonts w:ascii="Arial" w:eastAsia="Calibri" w:hAnsi="Arial" w:cs="Arial"/>
          <w:color w:val="000000" w:themeColor="text1"/>
          <w:sz w:val="24"/>
        </w:rPr>
        <w:t>complainants amending a complaint or wanting to amend a complaint</w:t>
      </w:r>
      <w:r w:rsidR="00323D9C">
        <w:rPr>
          <w:rFonts w:ascii="Arial" w:eastAsia="Calibri" w:hAnsi="Arial" w:cs="Arial"/>
          <w:color w:val="000000" w:themeColor="text1"/>
          <w:sz w:val="24"/>
        </w:rPr>
        <w:t xml:space="preserve"> will </w:t>
      </w:r>
      <w:r>
        <w:rPr>
          <w:rFonts w:ascii="Arial" w:eastAsia="Calibri" w:hAnsi="Arial" w:cs="Arial"/>
          <w:color w:val="000000" w:themeColor="text1"/>
          <w:sz w:val="24"/>
        </w:rPr>
        <w:t>benefit from the victimisation protections under the Act</w:t>
      </w:r>
      <w:r w:rsidR="00323D9C">
        <w:rPr>
          <w:rFonts w:ascii="Arial" w:eastAsia="Calibri" w:hAnsi="Arial" w:cs="Arial"/>
          <w:color w:val="000000" w:themeColor="text1"/>
          <w:sz w:val="24"/>
        </w:rPr>
        <w:t xml:space="preserve">, and </w:t>
      </w:r>
      <w:r w:rsidR="00F51A0A">
        <w:rPr>
          <w:rFonts w:ascii="Arial" w:eastAsia="Calibri" w:hAnsi="Arial" w:cs="Arial"/>
          <w:color w:val="000000" w:themeColor="text1"/>
          <w:sz w:val="24"/>
        </w:rPr>
        <w:t xml:space="preserve">that </w:t>
      </w:r>
      <w:r w:rsidR="00323D9C">
        <w:rPr>
          <w:rFonts w:ascii="Arial" w:eastAsia="Calibri" w:hAnsi="Arial" w:cs="Arial"/>
          <w:color w:val="000000" w:themeColor="text1"/>
          <w:sz w:val="24"/>
        </w:rPr>
        <w:t xml:space="preserve">all complainants will be protected from being pressured to amend their complaint. </w:t>
      </w:r>
    </w:p>
    <w:p w14:paraId="6CFDE0F4" w14:textId="20633638" w:rsidR="00371D13" w:rsidRPr="009A1360"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Proportionality (s28</w:t>
      </w:r>
      <w:r w:rsidR="00064462">
        <w:rPr>
          <w:rFonts w:ascii="Arial" w:hAnsi="Arial" w:cs="Arial"/>
          <w:b/>
          <w:bCs/>
          <w:i/>
          <w:sz w:val="24"/>
          <w:szCs w:val="24"/>
        </w:rPr>
        <w:t>(2)</w:t>
      </w:r>
      <w:r w:rsidRPr="008841DE">
        <w:rPr>
          <w:rFonts w:ascii="Arial" w:hAnsi="Arial" w:cs="Arial"/>
          <w:b/>
          <w:bCs/>
          <w:i/>
          <w:sz w:val="24"/>
          <w:szCs w:val="24"/>
        </w:rPr>
        <w:t>(e))</w:t>
      </w:r>
    </w:p>
    <w:p w14:paraId="75DA14A1" w14:textId="21A09911" w:rsidR="00DB2E6D" w:rsidRPr="00E63579" w:rsidRDefault="00770946" w:rsidP="006C4190">
      <w:pPr>
        <w:spacing w:before="120" w:after="120"/>
        <w:rPr>
          <w:rFonts w:ascii="Arial" w:hAnsi="Arial" w:cs="Arial"/>
          <w:sz w:val="24"/>
          <w:szCs w:val="24"/>
          <w:lang w:eastAsia="en-AU"/>
        </w:rPr>
      </w:pPr>
      <w:r>
        <w:rPr>
          <w:rFonts w:ascii="Arial" w:eastAsia="Calibri" w:hAnsi="Arial" w:cs="Arial"/>
          <w:color w:val="000000" w:themeColor="text1"/>
          <w:sz w:val="24"/>
        </w:rPr>
        <w:t>The</w:t>
      </w:r>
      <w:r w:rsidR="00F51A0A">
        <w:rPr>
          <w:rFonts w:ascii="Arial" w:eastAsia="Calibri" w:hAnsi="Arial" w:cs="Arial"/>
          <w:color w:val="000000" w:themeColor="text1"/>
          <w:sz w:val="24"/>
        </w:rPr>
        <w:t xml:space="preserve"> inclusion of 6 months imprisonment as a possible</w:t>
      </w:r>
      <w:r>
        <w:rPr>
          <w:rFonts w:ascii="Arial" w:eastAsia="Calibri" w:hAnsi="Arial" w:cs="Arial"/>
          <w:color w:val="000000" w:themeColor="text1"/>
          <w:sz w:val="24"/>
        </w:rPr>
        <w:t xml:space="preserve"> maximum penalty for the</w:t>
      </w:r>
      <w:r w:rsidR="00F51A0A">
        <w:rPr>
          <w:rFonts w:ascii="Arial" w:eastAsia="Calibri" w:hAnsi="Arial" w:cs="Arial"/>
          <w:color w:val="000000" w:themeColor="text1"/>
          <w:sz w:val="24"/>
        </w:rPr>
        <w:t xml:space="preserve">se </w:t>
      </w:r>
      <w:r>
        <w:rPr>
          <w:rFonts w:ascii="Arial" w:eastAsia="Calibri" w:hAnsi="Arial" w:cs="Arial"/>
          <w:color w:val="000000" w:themeColor="text1"/>
          <w:sz w:val="24"/>
        </w:rPr>
        <w:t>offence</w:t>
      </w:r>
      <w:r w:rsidR="00F51A0A">
        <w:rPr>
          <w:rFonts w:ascii="Arial" w:eastAsia="Calibri" w:hAnsi="Arial" w:cs="Arial"/>
          <w:color w:val="000000" w:themeColor="text1"/>
          <w:sz w:val="24"/>
        </w:rPr>
        <w:t>s</w:t>
      </w:r>
      <w:r w:rsidR="00B54A79">
        <w:rPr>
          <w:rFonts w:ascii="Arial" w:eastAsia="Calibri" w:hAnsi="Arial" w:cs="Arial"/>
          <w:color w:val="000000" w:themeColor="text1"/>
          <w:sz w:val="24"/>
        </w:rPr>
        <w:t xml:space="preserve"> appropriately</w:t>
      </w:r>
      <w:r>
        <w:rPr>
          <w:rFonts w:ascii="Arial" w:eastAsia="Calibri" w:hAnsi="Arial" w:cs="Arial"/>
          <w:color w:val="000000" w:themeColor="text1"/>
          <w:sz w:val="24"/>
        </w:rPr>
        <w:t xml:space="preserve"> reflects the seriousness of the conduct and is necessary to </w:t>
      </w:r>
      <w:r w:rsidR="00B54A79">
        <w:rPr>
          <w:rFonts w:ascii="Arial" w:eastAsia="Calibri" w:hAnsi="Arial" w:cs="Arial"/>
          <w:color w:val="000000" w:themeColor="text1"/>
          <w:sz w:val="24"/>
        </w:rPr>
        <w:t xml:space="preserve">deter people from victimising complainants. </w:t>
      </w:r>
      <w:r w:rsidR="000C759C">
        <w:rPr>
          <w:rFonts w:ascii="Arial" w:eastAsia="Calibri" w:hAnsi="Arial" w:cs="Arial"/>
          <w:color w:val="000000" w:themeColor="text1"/>
          <w:sz w:val="24"/>
        </w:rPr>
        <w:t xml:space="preserve">The offences are not strict liability. </w:t>
      </w:r>
      <w:r w:rsidR="00B54A79">
        <w:rPr>
          <w:rFonts w:ascii="Arial" w:eastAsia="Calibri" w:hAnsi="Arial" w:cs="Arial"/>
          <w:color w:val="000000" w:themeColor="text1"/>
          <w:sz w:val="24"/>
        </w:rPr>
        <w:lastRenderedPageBreak/>
        <w:t>Expanding the existing offences in section 98 is the least restrictive way to achieve</w:t>
      </w:r>
      <w:r w:rsidR="00EA5D41">
        <w:rPr>
          <w:rFonts w:ascii="Arial" w:eastAsia="Calibri" w:hAnsi="Arial" w:cs="Arial"/>
          <w:color w:val="000000" w:themeColor="text1"/>
          <w:sz w:val="24"/>
        </w:rPr>
        <w:t xml:space="preserve"> the objective of protecting complainants from victimisatio</w:t>
      </w:r>
      <w:r w:rsidR="00BA0599">
        <w:rPr>
          <w:rFonts w:ascii="Arial" w:eastAsia="Calibri" w:hAnsi="Arial" w:cs="Arial"/>
          <w:color w:val="000000" w:themeColor="text1"/>
          <w:sz w:val="24"/>
        </w:rPr>
        <w:t xml:space="preserve">n in the described circumstances. </w:t>
      </w:r>
    </w:p>
    <w:p w14:paraId="481185F5" w14:textId="09142BBF" w:rsidR="00E90DF9" w:rsidRPr="0071132E" w:rsidRDefault="00EA5D41" w:rsidP="0071132E">
      <w:pPr>
        <w:spacing w:after="160" w:line="259" w:lineRule="auto"/>
        <w:rPr>
          <w:lang w:eastAsia="en-AU"/>
        </w:rPr>
      </w:pPr>
      <w:r>
        <w:rPr>
          <w:lang w:eastAsia="en-AU"/>
        </w:rPr>
        <w:br w:type="page"/>
      </w:r>
      <w:bookmarkEnd w:id="3"/>
    </w:p>
    <w:p w14:paraId="634CD2DB" w14:textId="77777777" w:rsidR="00E90DF9" w:rsidRDefault="00E90DF9" w:rsidP="006C4190">
      <w:pPr>
        <w:pStyle w:val="Heading2"/>
        <w:pageBreakBefore/>
        <w:spacing w:before="240" w:after="240" w:line="276" w:lineRule="auto"/>
      </w:pPr>
      <w:r w:rsidRPr="008C225D">
        <w:lastRenderedPageBreak/>
        <w:t>CLAUSE NOTES</w:t>
      </w:r>
    </w:p>
    <w:p w14:paraId="15420702" w14:textId="11EF5591" w:rsidR="00E90DF9" w:rsidRPr="007E12D1" w:rsidRDefault="00D42B20" w:rsidP="006C4190">
      <w:pPr>
        <w:rPr>
          <w:rFonts w:ascii="Arial" w:eastAsiaTheme="majorEastAsia" w:hAnsi="Arial" w:cstheme="majorBidi"/>
          <w:b/>
          <w:sz w:val="24"/>
          <w:szCs w:val="24"/>
        </w:rPr>
      </w:pPr>
      <w:r w:rsidRPr="007E12D1">
        <w:rPr>
          <w:rFonts w:ascii="Arial" w:eastAsiaTheme="majorEastAsia" w:hAnsi="Arial" w:cstheme="majorBidi"/>
          <w:b/>
          <w:sz w:val="24"/>
          <w:szCs w:val="24"/>
        </w:rPr>
        <w:t>Part 1</w:t>
      </w:r>
      <w:r w:rsidRPr="007E12D1">
        <w:rPr>
          <w:rFonts w:ascii="Arial" w:eastAsiaTheme="majorEastAsia" w:hAnsi="Arial" w:cstheme="majorBidi"/>
          <w:b/>
          <w:sz w:val="24"/>
          <w:szCs w:val="24"/>
        </w:rPr>
        <w:tab/>
      </w:r>
      <w:r w:rsidRPr="007E12D1">
        <w:rPr>
          <w:rFonts w:ascii="Arial" w:eastAsiaTheme="majorEastAsia" w:hAnsi="Arial" w:cstheme="majorBidi"/>
          <w:b/>
          <w:sz w:val="24"/>
          <w:szCs w:val="24"/>
        </w:rPr>
        <w:tab/>
        <w:t>Preliminary</w:t>
      </w:r>
    </w:p>
    <w:p w14:paraId="21139D56" w14:textId="2371F1D5" w:rsidR="00E90DF9" w:rsidRPr="007E12D1" w:rsidRDefault="00E90DF9" w:rsidP="006C4190">
      <w:pPr>
        <w:pStyle w:val="Heading3"/>
        <w:spacing w:line="276" w:lineRule="auto"/>
      </w:pPr>
      <w:r w:rsidRPr="007E12D1">
        <w:t>Clause 1</w:t>
      </w:r>
      <w:r w:rsidRPr="007E12D1">
        <w:tab/>
      </w:r>
      <w:r w:rsidR="00BC122A" w:rsidRPr="007E12D1">
        <w:tab/>
      </w:r>
      <w:r w:rsidR="007E12D1" w:rsidRPr="007E12D1">
        <w:t>Name of Act</w:t>
      </w:r>
    </w:p>
    <w:p w14:paraId="54449411" w14:textId="7DC835DD" w:rsidR="001035FC" w:rsidRPr="007E12D1" w:rsidRDefault="007E12D1" w:rsidP="006C4190">
      <w:pPr>
        <w:rPr>
          <w:rFonts w:ascii="Arial" w:hAnsi="Arial" w:cs="Arial"/>
          <w:sz w:val="24"/>
          <w:szCs w:val="24"/>
        </w:rPr>
      </w:pPr>
      <w:r w:rsidRPr="007E12D1">
        <w:rPr>
          <w:rFonts w:ascii="Arial" w:hAnsi="Arial" w:cs="Arial"/>
          <w:sz w:val="24"/>
          <w:szCs w:val="24"/>
        </w:rPr>
        <w:t xml:space="preserve">This clause provides that the name of the Act is the </w:t>
      </w:r>
      <w:r w:rsidRPr="007E12D1">
        <w:rPr>
          <w:rFonts w:ascii="Arial" w:hAnsi="Arial" w:cs="Arial"/>
          <w:i/>
          <w:iCs/>
          <w:sz w:val="24"/>
          <w:szCs w:val="24"/>
        </w:rPr>
        <w:t>Justice and Community Safety Legislation Amendment Act 2025 (No 3).</w:t>
      </w:r>
      <w:r w:rsidRPr="007E12D1">
        <w:rPr>
          <w:rFonts w:ascii="Arial" w:hAnsi="Arial" w:cs="Arial"/>
          <w:sz w:val="24"/>
          <w:szCs w:val="24"/>
        </w:rPr>
        <w:t xml:space="preserve"> </w:t>
      </w:r>
    </w:p>
    <w:p w14:paraId="0F25340A" w14:textId="618EA590" w:rsidR="00A8650A" w:rsidRPr="007E12D1" w:rsidRDefault="007E12D1" w:rsidP="006C4190">
      <w:pPr>
        <w:spacing w:before="120"/>
        <w:rPr>
          <w:rFonts w:ascii="Arial" w:hAnsi="Arial" w:cs="Arial"/>
          <w:b/>
          <w:bCs/>
          <w:sz w:val="24"/>
          <w:szCs w:val="24"/>
        </w:rPr>
      </w:pPr>
      <w:r>
        <w:rPr>
          <w:rFonts w:ascii="Arial" w:hAnsi="Arial" w:cs="Arial"/>
          <w:b/>
          <w:bCs/>
          <w:sz w:val="24"/>
          <w:szCs w:val="24"/>
        </w:rPr>
        <w:t xml:space="preserve">Clause </w:t>
      </w:r>
      <w:r w:rsidR="00D42B20" w:rsidRPr="007E12D1">
        <w:rPr>
          <w:rFonts w:ascii="Arial" w:hAnsi="Arial" w:cs="Arial"/>
          <w:b/>
          <w:bCs/>
          <w:sz w:val="24"/>
          <w:szCs w:val="24"/>
        </w:rPr>
        <w:t>2</w:t>
      </w:r>
      <w:r w:rsidR="00A8650A" w:rsidRPr="007E12D1">
        <w:rPr>
          <w:rFonts w:ascii="Arial" w:hAnsi="Arial" w:cs="Arial"/>
          <w:b/>
          <w:bCs/>
          <w:sz w:val="24"/>
          <w:szCs w:val="24"/>
        </w:rPr>
        <w:t xml:space="preserve"> </w:t>
      </w:r>
      <w:r w:rsidR="00A8650A" w:rsidRPr="007E12D1">
        <w:rPr>
          <w:rFonts w:ascii="Arial" w:hAnsi="Arial" w:cs="Arial"/>
          <w:b/>
          <w:bCs/>
          <w:sz w:val="24"/>
          <w:szCs w:val="24"/>
        </w:rPr>
        <w:tab/>
      </w:r>
      <w:r w:rsidRPr="007E12D1">
        <w:rPr>
          <w:rFonts w:ascii="Arial" w:hAnsi="Arial" w:cs="Arial"/>
          <w:b/>
          <w:bCs/>
          <w:sz w:val="24"/>
          <w:szCs w:val="24"/>
        </w:rPr>
        <w:tab/>
        <w:t>Commencement</w:t>
      </w:r>
    </w:p>
    <w:p w14:paraId="4108EEE0" w14:textId="0F3B4043" w:rsidR="007E12D1" w:rsidRPr="007E12D1" w:rsidRDefault="007E12D1" w:rsidP="006C4190">
      <w:pPr>
        <w:spacing w:before="120"/>
        <w:rPr>
          <w:rFonts w:ascii="Arial" w:hAnsi="Arial" w:cs="Arial"/>
          <w:sz w:val="28"/>
          <w:szCs w:val="28"/>
        </w:rPr>
      </w:pPr>
      <w:r w:rsidRPr="007E12D1">
        <w:rPr>
          <w:rFonts w:ascii="Arial" w:hAnsi="Arial" w:cs="Arial"/>
          <w:sz w:val="24"/>
          <w:szCs w:val="24"/>
        </w:rPr>
        <w:t>This clause provides for the commencement of the Act. The Act commenced on the 7</w:t>
      </w:r>
      <w:r w:rsidRPr="007E12D1">
        <w:rPr>
          <w:rFonts w:ascii="Arial" w:hAnsi="Arial" w:cs="Arial"/>
          <w:sz w:val="24"/>
          <w:szCs w:val="24"/>
          <w:vertAlign w:val="superscript"/>
        </w:rPr>
        <w:t>th</w:t>
      </w:r>
      <w:r w:rsidRPr="007E12D1">
        <w:rPr>
          <w:rFonts w:ascii="Arial" w:hAnsi="Arial" w:cs="Arial"/>
          <w:sz w:val="24"/>
          <w:szCs w:val="24"/>
        </w:rPr>
        <w:t xml:space="preserve"> day after its notification day.</w:t>
      </w:r>
    </w:p>
    <w:p w14:paraId="689CA830" w14:textId="2418D48F" w:rsidR="00A8650A" w:rsidRPr="007E12D1" w:rsidRDefault="00A8650A" w:rsidP="006C4190">
      <w:pPr>
        <w:ind w:left="2160" w:hanging="2160"/>
        <w:rPr>
          <w:rFonts w:ascii="Arial" w:hAnsi="Arial" w:cs="Arial"/>
          <w:b/>
          <w:bCs/>
          <w:sz w:val="24"/>
          <w:szCs w:val="24"/>
        </w:rPr>
      </w:pPr>
      <w:r w:rsidRPr="007E12D1">
        <w:rPr>
          <w:rFonts w:ascii="Arial" w:hAnsi="Arial" w:cs="Arial"/>
          <w:b/>
          <w:bCs/>
          <w:sz w:val="24"/>
          <w:szCs w:val="24"/>
        </w:rPr>
        <w:t xml:space="preserve">Clause </w:t>
      </w:r>
      <w:r w:rsidR="007E12D1" w:rsidRPr="007E12D1">
        <w:rPr>
          <w:rFonts w:ascii="Arial" w:hAnsi="Arial" w:cs="Arial"/>
          <w:b/>
          <w:bCs/>
          <w:sz w:val="24"/>
          <w:szCs w:val="24"/>
        </w:rPr>
        <w:t>3</w:t>
      </w:r>
      <w:r w:rsidRPr="007E12D1">
        <w:rPr>
          <w:rFonts w:ascii="Arial" w:hAnsi="Arial" w:cs="Arial"/>
          <w:b/>
          <w:bCs/>
          <w:sz w:val="24"/>
          <w:szCs w:val="24"/>
        </w:rPr>
        <w:tab/>
      </w:r>
      <w:r w:rsidR="007E12D1" w:rsidRPr="007E12D1">
        <w:rPr>
          <w:rFonts w:ascii="Arial" w:hAnsi="Arial" w:cs="Arial"/>
          <w:b/>
          <w:bCs/>
          <w:sz w:val="24"/>
          <w:szCs w:val="24"/>
        </w:rPr>
        <w:t>Legislation amended</w:t>
      </w:r>
    </w:p>
    <w:p w14:paraId="46492DC8" w14:textId="21AC11E7" w:rsidR="00A578C2" w:rsidRDefault="007E12D1" w:rsidP="006C4190">
      <w:pPr>
        <w:pStyle w:val="CS-Paragraphnumbering"/>
        <w:spacing w:before="240"/>
        <w:rPr>
          <w:rFonts w:ascii="Arial" w:hAnsi="Arial" w:cs="Arial"/>
        </w:rPr>
      </w:pPr>
      <w:r>
        <w:rPr>
          <w:rFonts w:ascii="Arial" w:hAnsi="Arial" w:cs="Arial"/>
        </w:rPr>
        <w:t>This clause identifies the legislation that will be amended in the Bill:</w:t>
      </w:r>
    </w:p>
    <w:p w14:paraId="7F506891" w14:textId="350EC450"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ACT Civil and Administrative Tribunal Act 2008 </w:t>
      </w:r>
    </w:p>
    <w:p w14:paraId="3EE425CC"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Crimes Act 1900 </w:t>
      </w:r>
    </w:p>
    <w:p w14:paraId="76463618"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Crimes (Sentencing) Act 2005 </w:t>
      </w:r>
    </w:p>
    <w:p w14:paraId="4539CAD1"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Criminal Code 2002 </w:t>
      </w:r>
    </w:p>
    <w:p w14:paraId="46CA99FA"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Discrimination Act 1991 </w:t>
      </w:r>
    </w:p>
    <w:p w14:paraId="739066CB"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Domestic Relationships Act 1994 </w:t>
      </w:r>
    </w:p>
    <w:p w14:paraId="0F528C8C"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Human Rights Commission Act 2005 </w:t>
      </w:r>
    </w:p>
    <w:p w14:paraId="0A481CAA"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Legal Profession Act 2006 </w:t>
      </w:r>
    </w:p>
    <w:p w14:paraId="11F3EEE6"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Legislation Act 2001 </w:t>
      </w:r>
    </w:p>
    <w:p w14:paraId="730BFD2E"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Major Events Act 2014 </w:t>
      </w:r>
    </w:p>
    <w:p w14:paraId="597E929F"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Official Visitor Act 2012  </w:t>
      </w:r>
    </w:p>
    <w:p w14:paraId="675B7E08"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Wills Act 1968 </w:t>
      </w:r>
    </w:p>
    <w:p w14:paraId="007ECB5C" w14:textId="6CF824FE"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Working with Vulnerable People (Background Checking) Act 2011</w:t>
      </w:r>
    </w:p>
    <w:p w14:paraId="7A01F450" w14:textId="77777777" w:rsidR="007E12D1" w:rsidRDefault="007E12D1" w:rsidP="007E12D1">
      <w:pPr>
        <w:rPr>
          <w:rFonts w:ascii="Arial" w:hAnsi="Arial" w:cs="Arial"/>
          <w:b/>
          <w:bCs/>
          <w:sz w:val="24"/>
          <w:szCs w:val="24"/>
        </w:rPr>
      </w:pPr>
    </w:p>
    <w:p w14:paraId="241F393B" w14:textId="68F0D400" w:rsidR="007E12D1" w:rsidRPr="00282732" w:rsidRDefault="007E12D1" w:rsidP="007E12D1">
      <w:pPr>
        <w:rPr>
          <w:rFonts w:ascii="Arial" w:hAnsi="Arial" w:cs="Arial"/>
          <w:b/>
          <w:bCs/>
          <w:sz w:val="24"/>
          <w:szCs w:val="24"/>
        </w:rPr>
      </w:pPr>
      <w:r w:rsidRPr="00282732">
        <w:rPr>
          <w:rFonts w:ascii="Arial" w:hAnsi="Arial" w:cs="Arial"/>
          <w:b/>
          <w:bCs/>
          <w:sz w:val="24"/>
          <w:szCs w:val="24"/>
        </w:rPr>
        <w:t>Part 2</w:t>
      </w:r>
      <w:r w:rsidRPr="00282732">
        <w:rPr>
          <w:rFonts w:ascii="Arial" w:hAnsi="Arial" w:cs="Arial"/>
          <w:b/>
          <w:bCs/>
          <w:sz w:val="24"/>
          <w:szCs w:val="24"/>
        </w:rPr>
        <w:tab/>
      </w:r>
      <w:r w:rsidRPr="00282732">
        <w:rPr>
          <w:rFonts w:ascii="Arial" w:hAnsi="Arial" w:cs="Arial"/>
          <w:b/>
          <w:bCs/>
          <w:sz w:val="24"/>
          <w:szCs w:val="24"/>
        </w:rPr>
        <w:tab/>
      </w:r>
      <w:r w:rsidRPr="00282732">
        <w:rPr>
          <w:rFonts w:ascii="Arial" w:hAnsi="Arial" w:cs="Arial"/>
          <w:b/>
          <w:bCs/>
          <w:sz w:val="24"/>
          <w:szCs w:val="24"/>
        </w:rPr>
        <w:tab/>
        <w:t>ACT Civil and Administrative Tribunal Act</w:t>
      </w:r>
    </w:p>
    <w:p w14:paraId="15D9738F" w14:textId="50C23E4C" w:rsidR="007E12D1" w:rsidRPr="00282732" w:rsidRDefault="007E12D1" w:rsidP="007E12D1">
      <w:pPr>
        <w:ind w:left="2160" w:hanging="2160"/>
        <w:rPr>
          <w:rFonts w:ascii="Arial" w:hAnsi="Arial" w:cs="Arial"/>
          <w:b/>
          <w:bCs/>
          <w:sz w:val="24"/>
          <w:szCs w:val="24"/>
        </w:rPr>
      </w:pPr>
      <w:r w:rsidRPr="00282732">
        <w:rPr>
          <w:rFonts w:ascii="Arial" w:hAnsi="Arial" w:cs="Arial"/>
          <w:b/>
          <w:bCs/>
          <w:sz w:val="24"/>
          <w:szCs w:val="24"/>
        </w:rPr>
        <w:t>Clause 4</w:t>
      </w:r>
      <w:r w:rsidRPr="00282732">
        <w:rPr>
          <w:rFonts w:ascii="Arial" w:hAnsi="Arial" w:cs="Arial"/>
          <w:b/>
          <w:bCs/>
          <w:sz w:val="24"/>
          <w:szCs w:val="24"/>
        </w:rPr>
        <w:tab/>
        <w:t>Powers in relation to witnesses etc</w:t>
      </w:r>
    </w:p>
    <w:p w14:paraId="498E5D46" w14:textId="0797EDF9" w:rsidR="007E12D1" w:rsidRPr="00282732" w:rsidRDefault="007E12D1" w:rsidP="007E12D1">
      <w:pPr>
        <w:ind w:left="2160" w:hanging="2160"/>
        <w:rPr>
          <w:rFonts w:ascii="Arial" w:hAnsi="Arial" w:cs="Arial"/>
          <w:b/>
          <w:bCs/>
          <w:sz w:val="24"/>
          <w:szCs w:val="24"/>
        </w:rPr>
      </w:pPr>
      <w:r w:rsidRPr="00282732">
        <w:rPr>
          <w:rFonts w:ascii="Arial" w:hAnsi="Arial" w:cs="Arial"/>
          <w:b/>
          <w:bCs/>
          <w:sz w:val="24"/>
          <w:szCs w:val="24"/>
        </w:rPr>
        <w:tab/>
        <w:t>Section 41</w:t>
      </w:r>
      <w:r w:rsidR="00A30CE4" w:rsidRPr="00282732">
        <w:rPr>
          <w:rFonts w:ascii="Arial" w:hAnsi="Arial" w:cs="Arial"/>
          <w:b/>
          <w:bCs/>
          <w:sz w:val="24"/>
          <w:szCs w:val="24"/>
        </w:rPr>
        <w:t xml:space="preserve"> </w:t>
      </w:r>
      <w:r w:rsidRPr="00282732">
        <w:rPr>
          <w:rFonts w:ascii="Arial" w:hAnsi="Arial" w:cs="Arial"/>
          <w:b/>
          <w:bCs/>
          <w:sz w:val="24"/>
          <w:szCs w:val="24"/>
        </w:rPr>
        <w:t>(3)</w:t>
      </w:r>
    </w:p>
    <w:p w14:paraId="4AE1B421" w14:textId="77777777" w:rsidR="00282732" w:rsidRPr="00282732" w:rsidRDefault="00282732" w:rsidP="00282732">
      <w:pPr>
        <w:rPr>
          <w:rFonts w:ascii="Arial" w:hAnsi="Arial" w:cs="Arial"/>
          <w:sz w:val="24"/>
          <w:szCs w:val="24"/>
        </w:rPr>
      </w:pPr>
      <w:r w:rsidRPr="00282732">
        <w:rPr>
          <w:rFonts w:ascii="Arial" w:hAnsi="Arial" w:cs="Arial"/>
          <w:sz w:val="24"/>
          <w:szCs w:val="24"/>
        </w:rPr>
        <w:t>This clause substitutes current section 41(3) with a new section providing that the tribunal may give leave to a party to inspect or make a copy of a document, or to inspect an item other than a document.</w:t>
      </w:r>
    </w:p>
    <w:p w14:paraId="44E4BAA7" w14:textId="4AF1CF78" w:rsidR="007E12D1" w:rsidRPr="00282732" w:rsidRDefault="00282732" w:rsidP="00282732">
      <w:pPr>
        <w:rPr>
          <w:rFonts w:ascii="Arial" w:hAnsi="Arial" w:cs="Arial"/>
          <w:sz w:val="24"/>
          <w:szCs w:val="24"/>
        </w:rPr>
      </w:pPr>
      <w:r w:rsidRPr="00282732">
        <w:rPr>
          <w:rFonts w:ascii="Arial" w:hAnsi="Arial" w:cs="Arial"/>
          <w:sz w:val="24"/>
          <w:szCs w:val="24"/>
        </w:rPr>
        <w:lastRenderedPageBreak/>
        <w:t>This amendment aligns section 41(3) with current section 41(1) and (2), which provide that the tribunal</w:t>
      </w:r>
      <w:r>
        <w:rPr>
          <w:rFonts w:ascii="Arial" w:hAnsi="Arial" w:cs="Arial"/>
          <w:sz w:val="24"/>
          <w:szCs w:val="24"/>
        </w:rPr>
        <w:t xml:space="preserve"> may require a person to produce, by subpoena, items other than documents. </w:t>
      </w:r>
    </w:p>
    <w:p w14:paraId="49EF5E67" w14:textId="22AF5F0D" w:rsidR="007E12D1" w:rsidRDefault="007E12D1" w:rsidP="007E12D1">
      <w:pPr>
        <w:rPr>
          <w:rFonts w:ascii="Arial" w:hAnsi="Arial" w:cs="Arial"/>
          <w:b/>
          <w:bCs/>
          <w:sz w:val="24"/>
          <w:szCs w:val="24"/>
        </w:rPr>
      </w:pPr>
      <w:r>
        <w:rPr>
          <w:rFonts w:ascii="Arial" w:hAnsi="Arial" w:cs="Arial"/>
          <w:b/>
          <w:bCs/>
          <w:sz w:val="24"/>
          <w:szCs w:val="24"/>
        </w:rPr>
        <w:t>Part 3</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Crimes Act 1900</w:t>
      </w:r>
    </w:p>
    <w:p w14:paraId="7F05613E" w14:textId="78182474" w:rsidR="007E12D1" w:rsidRPr="00303C8C" w:rsidRDefault="007E12D1" w:rsidP="007E12D1">
      <w:pPr>
        <w:ind w:left="2160" w:hanging="2160"/>
        <w:rPr>
          <w:rFonts w:ascii="Arial" w:hAnsi="Arial" w:cs="Arial"/>
          <w:b/>
          <w:bCs/>
          <w:i/>
          <w:iCs/>
          <w:sz w:val="24"/>
          <w:szCs w:val="24"/>
        </w:rPr>
      </w:pPr>
      <w:r w:rsidRPr="00303C8C">
        <w:rPr>
          <w:rFonts w:ascii="Arial" w:hAnsi="Arial" w:cs="Arial"/>
          <w:b/>
          <w:bCs/>
          <w:sz w:val="24"/>
          <w:szCs w:val="24"/>
        </w:rPr>
        <w:t>Clause 5</w:t>
      </w:r>
      <w:r w:rsidRPr="00303C8C">
        <w:rPr>
          <w:rFonts w:ascii="Arial" w:hAnsi="Arial" w:cs="Arial"/>
          <w:b/>
          <w:bCs/>
          <w:sz w:val="24"/>
          <w:szCs w:val="24"/>
        </w:rPr>
        <w:tab/>
        <w:t xml:space="preserve">Meaning of </w:t>
      </w:r>
      <w:r w:rsidRPr="00303C8C">
        <w:rPr>
          <w:rFonts w:ascii="Arial" w:hAnsi="Arial" w:cs="Arial"/>
          <w:b/>
          <w:bCs/>
          <w:i/>
          <w:iCs/>
          <w:sz w:val="24"/>
          <w:szCs w:val="24"/>
        </w:rPr>
        <w:t>aggravated offence—pt 2</w:t>
      </w:r>
    </w:p>
    <w:p w14:paraId="6FAB318F" w14:textId="563953D6" w:rsidR="007E12D1" w:rsidRPr="00303C8C" w:rsidRDefault="007E12D1" w:rsidP="007E12D1">
      <w:pPr>
        <w:ind w:left="2160" w:hanging="2160"/>
        <w:rPr>
          <w:rFonts w:ascii="Arial" w:hAnsi="Arial" w:cs="Arial"/>
          <w:b/>
          <w:bCs/>
          <w:i/>
          <w:iCs/>
          <w:sz w:val="24"/>
          <w:szCs w:val="24"/>
        </w:rPr>
      </w:pPr>
      <w:r w:rsidRPr="00303C8C">
        <w:rPr>
          <w:rFonts w:ascii="Arial" w:hAnsi="Arial" w:cs="Arial"/>
          <w:b/>
          <w:bCs/>
          <w:sz w:val="24"/>
          <w:szCs w:val="24"/>
        </w:rPr>
        <w:tab/>
        <w:t xml:space="preserve">Section 9A, definition of </w:t>
      </w:r>
      <w:r w:rsidRPr="00303C8C">
        <w:rPr>
          <w:rFonts w:ascii="Arial" w:hAnsi="Arial" w:cs="Arial"/>
          <w:b/>
          <w:bCs/>
          <w:i/>
          <w:iCs/>
          <w:sz w:val="24"/>
          <w:szCs w:val="24"/>
        </w:rPr>
        <w:t>aggravated offence,</w:t>
      </w:r>
    </w:p>
    <w:p w14:paraId="0C7080D6" w14:textId="3A1DDFF1" w:rsidR="007E12D1" w:rsidRPr="00303C8C" w:rsidRDefault="007E12D1" w:rsidP="007E12D1">
      <w:pPr>
        <w:ind w:left="2160" w:hanging="2160"/>
        <w:rPr>
          <w:rFonts w:ascii="Arial" w:hAnsi="Arial" w:cs="Arial"/>
          <w:b/>
          <w:bCs/>
          <w:sz w:val="24"/>
          <w:szCs w:val="24"/>
        </w:rPr>
      </w:pPr>
      <w:r w:rsidRPr="00303C8C">
        <w:rPr>
          <w:rFonts w:ascii="Arial" w:hAnsi="Arial" w:cs="Arial"/>
          <w:b/>
          <w:bCs/>
          <w:i/>
          <w:iCs/>
          <w:sz w:val="24"/>
          <w:szCs w:val="24"/>
        </w:rPr>
        <w:tab/>
      </w:r>
      <w:r w:rsidRPr="00303C8C">
        <w:rPr>
          <w:rFonts w:ascii="Arial" w:hAnsi="Arial" w:cs="Arial"/>
          <w:b/>
          <w:bCs/>
          <w:sz w:val="24"/>
          <w:szCs w:val="24"/>
        </w:rPr>
        <w:t>paragraph (a)</w:t>
      </w:r>
    </w:p>
    <w:p w14:paraId="530B4837" w14:textId="3759D263" w:rsidR="007E12D1" w:rsidRPr="00303C8C" w:rsidRDefault="00B44B34" w:rsidP="00B44B34">
      <w:pPr>
        <w:rPr>
          <w:rFonts w:ascii="Arial" w:hAnsi="Arial" w:cs="Arial"/>
          <w:sz w:val="24"/>
          <w:szCs w:val="24"/>
        </w:rPr>
      </w:pPr>
      <w:r w:rsidRPr="00303C8C">
        <w:rPr>
          <w:rFonts w:ascii="Arial" w:hAnsi="Arial" w:cs="Arial"/>
          <w:sz w:val="24"/>
          <w:szCs w:val="24"/>
        </w:rPr>
        <w:t xml:space="preserve">This clause omits the term ‘woman’ and substitutes it with ‘person’ so that the meaning of aggravated offence in pt 2 is inclusive of all pregnant people. </w:t>
      </w:r>
      <w:r w:rsidR="00303C8C" w:rsidRPr="00303C8C">
        <w:rPr>
          <w:rFonts w:ascii="Arial" w:hAnsi="Arial" w:cs="Arial"/>
          <w:sz w:val="24"/>
          <w:szCs w:val="24"/>
        </w:rPr>
        <w:t>This reflects the amendments to section 48</w:t>
      </w:r>
      <w:r w:rsidR="00E37169">
        <w:rPr>
          <w:rFonts w:ascii="Arial" w:hAnsi="Arial" w:cs="Arial"/>
          <w:sz w:val="24"/>
          <w:szCs w:val="24"/>
        </w:rPr>
        <w:t>A (2)</w:t>
      </w:r>
      <w:r w:rsidR="00303C8C" w:rsidRPr="00303C8C">
        <w:rPr>
          <w:rFonts w:ascii="Arial" w:hAnsi="Arial" w:cs="Arial"/>
          <w:sz w:val="24"/>
          <w:szCs w:val="24"/>
        </w:rPr>
        <w:t xml:space="preserve"> (Aggravated offences—pt 2 offences against pregnant women) in </w:t>
      </w:r>
      <w:r w:rsidR="00E259F6">
        <w:rPr>
          <w:rFonts w:ascii="Arial" w:hAnsi="Arial" w:cs="Arial"/>
          <w:sz w:val="24"/>
          <w:szCs w:val="24"/>
        </w:rPr>
        <w:t>this Part</w:t>
      </w:r>
      <w:r w:rsidR="00303C8C" w:rsidRPr="00303C8C">
        <w:rPr>
          <w:rFonts w:ascii="Arial" w:hAnsi="Arial" w:cs="Arial"/>
          <w:sz w:val="24"/>
          <w:szCs w:val="24"/>
        </w:rPr>
        <w:t xml:space="preserve">. </w:t>
      </w:r>
      <w:r w:rsidRPr="00303C8C">
        <w:rPr>
          <w:rFonts w:ascii="Arial" w:hAnsi="Arial" w:cs="Arial"/>
          <w:sz w:val="24"/>
          <w:szCs w:val="24"/>
        </w:rPr>
        <w:t xml:space="preserve"> </w:t>
      </w:r>
    </w:p>
    <w:p w14:paraId="69057D1B" w14:textId="6A912F23" w:rsidR="007E12D1" w:rsidRPr="00303C8C" w:rsidRDefault="007E12D1" w:rsidP="007E12D1">
      <w:pPr>
        <w:ind w:left="2160" w:hanging="2160"/>
        <w:rPr>
          <w:rFonts w:ascii="Arial" w:hAnsi="Arial" w:cs="Arial"/>
          <w:b/>
          <w:bCs/>
          <w:sz w:val="24"/>
          <w:szCs w:val="24"/>
        </w:rPr>
      </w:pPr>
      <w:r w:rsidRPr="00303C8C">
        <w:rPr>
          <w:rFonts w:ascii="Arial" w:hAnsi="Arial" w:cs="Arial"/>
          <w:b/>
          <w:bCs/>
          <w:sz w:val="24"/>
          <w:szCs w:val="24"/>
        </w:rPr>
        <w:t>Clause 6</w:t>
      </w:r>
      <w:r w:rsidRPr="00303C8C">
        <w:rPr>
          <w:rFonts w:ascii="Arial" w:hAnsi="Arial" w:cs="Arial"/>
          <w:b/>
          <w:bCs/>
          <w:sz w:val="24"/>
          <w:szCs w:val="24"/>
        </w:rPr>
        <w:tab/>
        <w:t>Section 15</w:t>
      </w:r>
      <w:r w:rsidR="00A30CE4" w:rsidRPr="00303C8C">
        <w:rPr>
          <w:rFonts w:ascii="Arial" w:hAnsi="Arial" w:cs="Arial"/>
          <w:b/>
          <w:bCs/>
          <w:sz w:val="24"/>
          <w:szCs w:val="24"/>
        </w:rPr>
        <w:t xml:space="preserve"> </w:t>
      </w:r>
      <w:r w:rsidRPr="00303C8C">
        <w:rPr>
          <w:rFonts w:ascii="Arial" w:hAnsi="Arial" w:cs="Arial"/>
          <w:b/>
          <w:bCs/>
          <w:sz w:val="24"/>
          <w:szCs w:val="24"/>
        </w:rPr>
        <w:t>(3), note etc</w:t>
      </w:r>
    </w:p>
    <w:p w14:paraId="129D6D39" w14:textId="347B5648" w:rsidR="007E12D1" w:rsidRPr="00E37169" w:rsidRDefault="00303C8C" w:rsidP="00303C8C">
      <w:pPr>
        <w:ind w:hanging="11"/>
        <w:rPr>
          <w:rFonts w:ascii="Arial" w:hAnsi="Arial" w:cs="Arial"/>
          <w:sz w:val="24"/>
          <w:szCs w:val="24"/>
        </w:rPr>
      </w:pPr>
      <w:r w:rsidRPr="00303C8C">
        <w:rPr>
          <w:rFonts w:ascii="Arial" w:hAnsi="Arial" w:cs="Arial"/>
          <w:sz w:val="24"/>
          <w:szCs w:val="24"/>
        </w:rPr>
        <w:t>This clause omits the term ‘women’ and substitutes it with ‘person’ in the notes at sections 15(3), 19(2), 20(2), 21(2), 23(2), 24(2) and 29(3), to reflect the amendments to Section 48A (</w:t>
      </w:r>
      <w:r w:rsidRPr="00E37169">
        <w:rPr>
          <w:rFonts w:ascii="Arial" w:hAnsi="Arial" w:cs="Arial"/>
          <w:sz w:val="24"/>
          <w:szCs w:val="24"/>
        </w:rPr>
        <w:t xml:space="preserve">Aggravated offences—pt 2 offences against pregnant women) in </w:t>
      </w:r>
      <w:r w:rsidR="00E259F6">
        <w:rPr>
          <w:rFonts w:ascii="Arial" w:hAnsi="Arial" w:cs="Arial"/>
          <w:sz w:val="24"/>
          <w:szCs w:val="24"/>
        </w:rPr>
        <w:t>this Part</w:t>
      </w:r>
      <w:r w:rsidRPr="00E37169">
        <w:rPr>
          <w:rFonts w:ascii="Arial" w:hAnsi="Arial" w:cs="Arial"/>
          <w:sz w:val="24"/>
          <w:szCs w:val="24"/>
        </w:rPr>
        <w:t>.</w:t>
      </w:r>
    </w:p>
    <w:p w14:paraId="2ABEF298" w14:textId="64693DCF"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Clause 7</w:t>
      </w:r>
      <w:r w:rsidRPr="00E37169">
        <w:rPr>
          <w:rFonts w:ascii="Arial" w:hAnsi="Arial" w:cs="Arial"/>
          <w:b/>
          <w:bCs/>
          <w:sz w:val="24"/>
          <w:szCs w:val="24"/>
        </w:rPr>
        <w:tab/>
        <w:t>Section 48A heading</w:t>
      </w:r>
    </w:p>
    <w:p w14:paraId="7A6D7207" w14:textId="4A29917B" w:rsidR="007E12D1" w:rsidRPr="00E37169" w:rsidRDefault="00E37169" w:rsidP="00E37169">
      <w:pPr>
        <w:ind w:hanging="11"/>
        <w:rPr>
          <w:rFonts w:ascii="Arial" w:hAnsi="Arial" w:cs="Arial"/>
          <w:sz w:val="24"/>
          <w:szCs w:val="24"/>
        </w:rPr>
      </w:pPr>
      <w:r w:rsidRPr="00E37169">
        <w:rPr>
          <w:rFonts w:ascii="Arial" w:hAnsi="Arial" w:cs="Arial"/>
          <w:sz w:val="24"/>
          <w:szCs w:val="24"/>
        </w:rPr>
        <w:t>This clause substitutes the heading in section 48A with ‘Aggravated offences—pt 2 offences against pregnant person’ so that the offence is inclusive of all pregnant people.</w:t>
      </w:r>
    </w:p>
    <w:p w14:paraId="767C9C51" w14:textId="4B7D857C"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Clause 8</w:t>
      </w:r>
      <w:r w:rsidRPr="00E37169">
        <w:rPr>
          <w:rFonts w:ascii="Arial" w:hAnsi="Arial" w:cs="Arial"/>
          <w:b/>
          <w:bCs/>
          <w:sz w:val="24"/>
          <w:szCs w:val="24"/>
        </w:rPr>
        <w:tab/>
        <w:t>Section 48A</w:t>
      </w:r>
      <w:r w:rsidR="00A30CE4" w:rsidRPr="00E37169">
        <w:rPr>
          <w:rFonts w:ascii="Arial" w:hAnsi="Arial" w:cs="Arial"/>
          <w:b/>
          <w:bCs/>
          <w:sz w:val="24"/>
          <w:szCs w:val="24"/>
        </w:rPr>
        <w:t xml:space="preserve"> </w:t>
      </w:r>
      <w:r w:rsidRPr="00E37169">
        <w:rPr>
          <w:rFonts w:ascii="Arial" w:hAnsi="Arial" w:cs="Arial"/>
          <w:b/>
          <w:bCs/>
          <w:sz w:val="24"/>
          <w:szCs w:val="24"/>
        </w:rPr>
        <w:t>(2)</w:t>
      </w:r>
      <w:r w:rsidR="00A30CE4" w:rsidRPr="00E37169">
        <w:rPr>
          <w:rFonts w:ascii="Arial" w:hAnsi="Arial" w:cs="Arial"/>
          <w:b/>
          <w:bCs/>
          <w:sz w:val="24"/>
          <w:szCs w:val="24"/>
        </w:rPr>
        <w:t xml:space="preserve"> </w:t>
      </w:r>
      <w:r w:rsidRPr="00E37169">
        <w:rPr>
          <w:rFonts w:ascii="Arial" w:hAnsi="Arial" w:cs="Arial"/>
          <w:b/>
          <w:bCs/>
          <w:sz w:val="24"/>
          <w:szCs w:val="24"/>
        </w:rPr>
        <w:t>(a) and (3)</w:t>
      </w:r>
    </w:p>
    <w:p w14:paraId="2585BAF3" w14:textId="6CC8BFFC" w:rsidR="007E12D1" w:rsidRPr="00E37169" w:rsidRDefault="00E37169" w:rsidP="00E37169">
      <w:pPr>
        <w:ind w:hanging="11"/>
        <w:rPr>
          <w:rFonts w:ascii="Arial" w:hAnsi="Arial" w:cs="Arial"/>
          <w:sz w:val="24"/>
          <w:szCs w:val="24"/>
        </w:rPr>
      </w:pPr>
      <w:r w:rsidRPr="00E37169">
        <w:rPr>
          <w:rFonts w:ascii="Arial" w:hAnsi="Arial" w:cs="Arial"/>
          <w:sz w:val="24"/>
          <w:szCs w:val="24"/>
        </w:rPr>
        <w:t xml:space="preserve">This clause substitutes the term ‘woman’ with ‘person’ so that the offence is inclusive of all pregnant people. </w:t>
      </w:r>
    </w:p>
    <w:p w14:paraId="47923D06" w14:textId="7BF9D3CE"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 xml:space="preserve">Clause 9 </w:t>
      </w:r>
      <w:r w:rsidRPr="00E37169">
        <w:rPr>
          <w:rFonts w:ascii="Arial" w:hAnsi="Arial" w:cs="Arial"/>
          <w:b/>
          <w:bCs/>
          <w:sz w:val="24"/>
          <w:szCs w:val="24"/>
        </w:rPr>
        <w:tab/>
        <w:t>Section 48B heading</w:t>
      </w:r>
    </w:p>
    <w:p w14:paraId="09066272" w14:textId="19B72709" w:rsidR="00E37169" w:rsidRPr="00DC7BE4" w:rsidRDefault="00E37169" w:rsidP="00E37169">
      <w:pPr>
        <w:tabs>
          <w:tab w:val="left" w:pos="3261"/>
        </w:tabs>
        <w:ind w:hanging="33"/>
        <w:rPr>
          <w:rFonts w:ascii="Arial" w:hAnsi="Arial" w:cs="Arial"/>
          <w:sz w:val="24"/>
          <w:szCs w:val="24"/>
        </w:rPr>
      </w:pPr>
      <w:r w:rsidRPr="00E37169">
        <w:rPr>
          <w:rFonts w:ascii="Arial" w:hAnsi="Arial" w:cs="Arial"/>
          <w:sz w:val="24"/>
          <w:szCs w:val="24"/>
        </w:rPr>
        <w:t xml:space="preserve">This clause substitutes </w:t>
      </w:r>
      <w:r w:rsidR="00DC7BE4">
        <w:rPr>
          <w:rFonts w:ascii="Arial" w:hAnsi="Arial" w:cs="Arial"/>
          <w:sz w:val="24"/>
          <w:szCs w:val="24"/>
        </w:rPr>
        <w:t xml:space="preserve">the </w:t>
      </w:r>
      <w:r w:rsidRPr="00E37169">
        <w:rPr>
          <w:rFonts w:ascii="Arial" w:hAnsi="Arial" w:cs="Arial"/>
          <w:sz w:val="24"/>
          <w:szCs w:val="24"/>
        </w:rPr>
        <w:t>heading at section 48B with ‘Alternative verdicts for aggravates offences—pt 2 offences against pregnant person’</w:t>
      </w:r>
      <w:r>
        <w:rPr>
          <w:rFonts w:ascii="Arial" w:hAnsi="Arial" w:cs="Arial"/>
          <w:sz w:val="24"/>
          <w:szCs w:val="24"/>
        </w:rPr>
        <w:t xml:space="preserve"> so that this provision is </w:t>
      </w:r>
      <w:r w:rsidRPr="00DC7BE4">
        <w:rPr>
          <w:rFonts w:ascii="Arial" w:hAnsi="Arial" w:cs="Arial"/>
          <w:sz w:val="24"/>
          <w:szCs w:val="24"/>
        </w:rPr>
        <w:t>inclusive of all pregnant people.</w:t>
      </w:r>
    </w:p>
    <w:p w14:paraId="01BD6702" w14:textId="60AF8778" w:rsidR="007E12D1" w:rsidRPr="00DC7BE4" w:rsidRDefault="007E12D1" w:rsidP="00DC7BE4">
      <w:pPr>
        <w:ind w:left="2160" w:hanging="2160"/>
        <w:rPr>
          <w:rFonts w:ascii="Arial" w:hAnsi="Arial" w:cs="Arial"/>
          <w:b/>
          <w:bCs/>
          <w:sz w:val="24"/>
          <w:szCs w:val="24"/>
        </w:rPr>
      </w:pPr>
      <w:r w:rsidRPr="00DC7BE4">
        <w:rPr>
          <w:rFonts w:ascii="Arial" w:hAnsi="Arial" w:cs="Arial"/>
          <w:b/>
          <w:bCs/>
          <w:sz w:val="24"/>
          <w:szCs w:val="24"/>
        </w:rPr>
        <w:t>Clause 10</w:t>
      </w:r>
      <w:r w:rsidRPr="00DC7BE4">
        <w:rPr>
          <w:rFonts w:ascii="Arial" w:hAnsi="Arial" w:cs="Arial"/>
          <w:b/>
          <w:bCs/>
          <w:sz w:val="24"/>
          <w:szCs w:val="24"/>
        </w:rPr>
        <w:tab/>
        <w:t>Aggravated offence may allege more than 1 factor of</w:t>
      </w:r>
      <w:r w:rsidR="00DC7BE4">
        <w:rPr>
          <w:rFonts w:ascii="Arial" w:hAnsi="Arial" w:cs="Arial"/>
          <w:b/>
          <w:bCs/>
          <w:sz w:val="24"/>
          <w:szCs w:val="24"/>
        </w:rPr>
        <w:t xml:space="preserve"> </w:t>
      </w:r>
      <w:r w:rsidRPr="00DC7BE4">
        <w:rPr>
          <w:rFonts w:ascii="Arial" w:hAnsi="Arial" w:cs="Arial"/>
          <w:b/>
          <w:bCs/>
          <w:sz w:val="24"/>
          <w:szCs w:val="24"/>
        </w:rPr>
        <w:t>aggravation</w:t>
      </w:r>
    </w:p>
    <w:p w14:paraId="0C901164" w14:textId="2976C4AF" w:rsidR="007E12D1" w:rsidRPr="00DC7BE4" w:rsidRDefault="007E12D1" w:rsidP="007E12D1">
      <w:pPr>
        <w:ind w:left="2160" w:hanging="2160"/>
        <w:rPr>
          <w:rFonts w:ascii="Arial" w:hAnsi="Arial" w:cs="Arial"/>
          <w:b/>
          <w:bCs/>
          <w:sz w:val="24"/>
          <w:szCs w:val="24"/>
        </w:rPr>
      </w:pPr>
      <w:r w:rsidRPr="00DC7BE4">
        <w:rPr>
          <w:rFonts w:ascii="Arial" w:hAnsi="Arial" w:cs="Arial"/>
          <w:b/>
          <w:bCs/>
          <w:sz w:val="24"/>
          <w:szCs w:val="24"/>
        </w:rPr>
        <w:tab/>
        <w:t>Section 434C</w:t>
      </w:r>
      <w:r w:rsidR="00A30CE4" w:rsidRPr="00DC7BE4">
        <w:rPr>
          <w:rFonts w:ascii="Arial" w:hAnsi="Arial" w:cs="Arial"/>
          <w:b/>
          <w:bCs/>
          <w:sz w:val="24"/>
          <w:szCs w:val="24"/>
        </w:rPr>
        <w:t xml:space="preserve"> </w:t>
      </w:r>
      <w:r w:rsidRPr="00DC7BE4">
        <w:rPr>
          <w:rFonts w:ascii="Arial" w:hAnsi="Arial" w:cs="Arial"/>
          <w:b/>
          <w:bCs/>
          <w:sz w:val="24"/>
          <w:szCs w:val="24"/>
        </w:rPr>
        <w:t>(1), example</w:t>
      </w:r>
    </w:p>
    <w:p w14:paraId="33A10CF6" w14:textId="55B2B96D" w:rsidR="007E12D1" w:rsidRPr="00DC7BE4" w:rsidRDefault="00E37169" w:rsidP="00DC7BE4">
      <w:pPr>
        <w:ind w:hanging="33"/>
        <w:rPr>
          <w:rFonts w:ascii="Arial" w:hAnsi="Arial" w:cs="Arial"/>
          <w:sz w:val="24"/>
          <w:szCs w:val="24"/>
        </w:rPr>
      </w:pPr>
      <w:r w:rsidRPr="00DC7BE4">
        <w:rPr>
          <w:rFonts w:ascii="Arial" w:hAnsi="Arial" w:cs="Arial"/>
          <w:sz w:val="24"/>
          <w:szCs w:val="24"/>
        </w:rPr>
        <w:t xml:space="preserve">This clause omits the term ‘woman’ and substitutes it with ‘person’ so that the example is inclusive of all pregnant people.  </w:t>
      </w:r>
    </w:p>
    <w:p w14:paraId="326B2118" w14:textId="4C6430DC" w:rsidR="007E12D1" w:rsidRPr="00DC7BE4" w:rsidRDefault="007E12D1" w:rsidP="007E12D1">
      <w:pPr>
        <w:ind w:left="2160" w:hanging="2160"/>
        <w:rPr>
          <w:rFonts w:ascii="Arial" w:hAnsi="Arial" w:cs="Arial"/>
          <w:b/>
          <w:bCs/>
          <w:sz w:val="24"/>
          <w:szCs w:val="24"/>
        </w:rPr>
      </w:pPr>
      <w:r w:rsidRPr="00DC7BE4">
        <w:rPr>
          <w:rFonts w:ascii="Arial" w:hAnsi="Arial" w:cs="Arial"/>
          <w:b/>
          <w:bCs/>
          <w:sz w:val="24"/>
          <w:szCs w:val="24"/>
        </w:rPr>
        <w:lastRenderedPageBreak/>
        <w:t>Clause 11</w:t>
      </w:r>
      <w:r w:rsidRPr="00DC7BE4">
        <w:rPr>
          <w:rFonts w:ascii="Arial" w:hAnsi="Arial" w:cs="Arial"/>
          <w:b/>
          <w:bCs/>
          <w:sz w:val="24"/>
          <w:szCs w:val="24"/>
        </w:rPr>
        <w:tab/>
        <w:t>Section 434C</w:t>
      </w:r>
      <w:r w:rsidR="00A30CE4" w:rsidRPr="00DC7BE4">
        <w:rPr>
          <w:rFonts w:ascii="Arial" w:hAnsi="Arial" w:cs="Arial"/>
          <w:b/>
          <w:bCs/>
          <w:sz w:val="24"/>
          <w:szCs w:val="24"/>
        </w:rPr>
        <w:t xml:space="preserve"> </w:t>
      </w:r>
      <w:r w:rsidRPr="00DC7BE4">
        <w:rPr>
          <w:rFonts w:ascii="Arial" w:hAnsi="Arial" w:cs="Arial"/>
          <w:b/>
          <w:bCs/>
          <w:sz w:val="24"/>
          <w:szCs w:val="24"/>
        </w:rPr>
        <w:t xml:space="preserve">(2), definition of </w:t>
      </w:r>
      <w:r w:rsidRPr="00DC7BE4">
        <w:rPr>
          <w:rFonts w:ascii="Arial" w:hAnsi="Arial" w:cs="Arial"/>
          <w:b/>
          <w:bCs/>
          <w:i/>
          <w:iCs/>
          <w:sz w:val="24"/>
          <w:szCs w:val="24"/>
        </w:rPr>
        <w:t>relevant factor of aggravation</w:t>
      </w:r>
      <w:r w:rsidRPr="00DC7BE4">
        <w:rPr>
          <w:rFonts w:ascii="Arial" w:hAnsi="Arial" w:cs="Arial"/>
          <w:b/>
          <w:bCs/>
          <w:sz w:val="24"/>
          <w:szCs w:val="24"/>
        </w:rPr>
        <w:t>, paragraph (a)</w:t>
      </w:r>
    </w:p>
    <w:p w14:paraId="7AFC61AD" w14:textId="658B7DAD" w:rsidR="00DC7BE4" w:rsidRPr="00E37169" w:rsidRDefault="00DC7BE4" w:rsidP="00DC7BE4">
      <w:pPr>
        <w:ind w:hanging="11"/>
        <w:rPr>
          <w:rFonts w:ascii="Arial" w:hAnsi="Arial" w:cs="Arial"/>
          <w:sz w:val="24"/>
          <w:szCs w:val="24"/>
        </w:rPr>
      </w:pPr>
      <w:r w:rsidRPr="00DC7BE4">
        <w:rPr>
          <w:rFonts w:ascii="Arial" w:hAnsi="Arial" w:cs="Arial"/>
          <w:sz w:val="24"/>
          <w:szCs w:val="24"/>
        </w:rPr>
        <w:t xml:space="preserve">This clause omits the term ‘woman’ and substitutes it with ‘person’ to reflect the amendments to Section 48A (Aggravated offences—pt 2 offences against pregnant women) in </w:t>
      </w:r>
      <w:r w:rsidR="00E259F6">
        <w:rPr>
          <w:rFonts w:ascii="Arial" w:hAnsi="Arial" w:cs="Arial"/>
          <w:sz w:val="24"/>
          <w:szCs w:val="24"/>
        </w:rPr>
        <w:t>this Part</w:t>
      </w:r>
      <w:r w:rsidRPr="00DC7BE4">
        <w:rPr>
          <w:rFonts w:ascii="Arial" w:hAnsi="Arial" w:cs="Arial"/>
          <w:sz w:val="24"/>
          <w:szCs w:val="24"/>
        </w:rPr>
        <w:t>.</w:t>
      </w:r>
    </w:p>
    <w:p w14:paraId="548ADAF5" w14:textId="3F3C1A8A" w:rsidR="00DC7BE4" w:rsidRPr="007E12D1" w:rsidRDefault="00DC7BE4" w:rsidP="00DC7BE4">
      <w:pPr>
        <w:ind w:hanging="33"/>
        <w:rPr>
          <w:rFonts w:ascii="Arial" w:hAnsi="Arial" w:cs="Arial"/>
          <w:sz w:val="24"/>
          <w:szCs w:val="24"/>
        </w:rPr>
      </w:pPr>
    </w:p>
    <w:p w14:paraId="679B346C" w14:textId="33500292" w:rsidR="007E12D1" w:rsidRPr="00DC7BE4" w:rsidRDefault="007E12D1" w:rsidP="007E12D1">
      <w:pPr>
        <w:ind w:left="2160" w:hanging="2160"/>
        <w:rPr>
          <w:rFonts w:ascii="Arial" w:hAnsi="Arial" w:cs="Arial"/>
          <w:b/>
          <w:bCs/>
          <w:i/>
          <w:iCs/>
          <w:sz w:val="24"/>
          <w:szCs w:val="24"/>
        </w:rPr>
      </w:pPr>
      <w:r w:rsidRPr="00DC7BE4">
        <w:rPr>
          <w:rFonts w:ascii="Arial" w:hAnsi="Arial" w:cs="Arial"/>
          <w:b/>
          <w:bCs/>
          <w:sz w:val="24"/>
          <w:szCs w:val="24"/>
        </w:rPr>
        <w:t>Clause 12</w:t>
      </w:r>
      <w:r w:rsidRPr="00DC7BE4">
        <w:rPr>
          <w:rFonts w:ascii="Arial" w:hAnsi="Arial" w:cs="Arial"/>
          <w:b/>
          <w:bCs/>
          <w:sz w:val="24"/>
          <w:szCs w:val="24"/>
        </w:rPr>
        <w:tab/>
        <w:t xml:space="preserve">Dictionary, definition of </w:t>
      </w:r>
      <w:r w:rsidRPr="00DC7BE4">
        <w:rPr>
          <w:rFonts w:ascii="Arial" w:hAnsi="Arial" w:cs="Arial"/>
          <w:b/>
          <w:bCs/>
          <w:i/>
          <w:iCs/>
          <w:sz w:val="24"/>
          <w:szCs w:val="24"/>
        </w:rPr>
        <w:t>actual bodily harm etc</w:t>
      </w:r>
    </w:p>
    <w:p w14:paraId="4836F158" w14:textId="1D9C27D4" w:rsidR="007E12D1" w:rsidRPr="00DC7BE4" w:rsidRDefault="00DC7BE4" w:rsidP="00DC7BE4">
      <w:pPr>
        <w:ind w:hanging="33"/>
        <w:rPr>
          <w:rFonts w:ascii="Arial" w:hAnsi="Arial" w:cs="Arial"/>
          <w:i/>
          <w:iCs/>
          <w:sz w:val="24"/>
          <w:szCs w:val="24"/>
        </w:rPr>
      </w:pPr>
      <w:r w:rsidRPr="00DC7BE4">
        <w:rPr>
          <w:rFonts w:ascii="Arial" w:hAnsi="Arial" w:cs="Arial"/>
          <w:sz w:val="24"/>
          <w:szCs w:val="24"/>
        </w:rPr>
        <w:t>This clause omits the term ‘woman’ and substitutes it with ‘person’ in the dictionary definitions of actual bodily harm, aggravated offence, and grievous bodily harm to make these definitions inclusive of all pregnant people.</w:t>
      </w:r>
      <w:r>
        <w:rPr>
          <w:rFonts w:ascii="Arial" w:hAnsi="Arial" w:cs="Arial"/>
          <w:sz w:val="24"/>
          <w:szCs w:val="24"/>
        </w:rPr>
        <w:t xml:space="preserve"> </w:t>
      </w:r>
    </w:p>
    <w:p w14:paraId="0A7A0585" w14:textId="1224AD06" w:rsidR="007E12D1" w:rsidRDefault="007E12D1" w:rsidP="007E12D1">
      <w:pPr>
        <w:ind w:left="2160" w:hanging="2160"/>
        <w:rPr>
          <w:rFonts w:ascii="Arial" w:hAnsi="Arial" w:cs="Arial"/>
          <w:b/>
          <w:bCs/>
          <w:sz w:val="24"/>
          <w:szCs w:val="24"/>
        </w:rPr>
      </w:pPr>
    </w:p>
    <w:p w14:paraId="57B09B74" w14:textId="01C55DD9"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Part 4</w:t>
      </w:r>
      <w:r w:rsidRPr="00DC6B0E">
        <w:rPr>
          <w:rFonts w:ascii="Arial" w:hAnsi="Arial" w:cs="Arial"/>
          <w:b/>
          <w:bCs/>
          <w:sz w:val="24"/>
          <w:szCs w:val="24"/>
        </w:rPr>
        <w:tab/>
        <w:t>Crimes (Sentencing) Act 2005</w:t>
      </w:r>
    </w:p>
    <w:p w14:paraId="1F7F6033" w14:textId="3E263CD0"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Clause 13</w:t>
      </w:r>
      <w:r w:rsidRPr="00DC6B0E">
        <w:rPr>
          <w:rFonts w:ascii="Arial" w:hAnsi="Arial" w:cs="Arial"/>
          <w:b/>
          <w:bCs/>
          <w:sz w:val="24"/>
          <w:szCs w:val="24"/>
        </w:rPr>
        <w:tab/>
        <w:t>Sentencing—relevant considerations</w:t>
      </w:r>
    </w:p>
    <w:p w14:paraId="4D9F08C9" w14:textId="0A956004"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ab/>
        <w:t>Section 33</w:t>
      </w:r>
      <w:r w:rsidR="00A30CE4" w:rsidRPr="00DC6B0E">
        <w:rPr>
          <w:rFonts w:ascii="Arial" w:hAnsi="Arial" w:cs="Arial"/>
          <w:b/>
          <w:bCs/>
          <w:sz w:val="24"/>
          <w:szCs w:val="24"/>
        </w:rPr>
        <w:t xml:space="preserve"> </w:t>
      </w:r>
      <w:r w:rsidRPr="00DC6B0E">
        <w:rPr>
          <w:rFonts w:ascii="Arial" w:hAnsi="Arial" w:cs="Arial"/>
          <w:b/>
          <w:bCs/>
          <w:sz w:val="24"/>
          <w:szCs w:val="24"/>
        </w:rPr>
        <w:t>(1)</w:t>
      </w:r>
      <w:r w:rsidR="00A30CE4" w:rsidRPr="00DC6B0E">
        <w:rPr>
          <w:rFonts w:ascii="Arial" w:hAnsi="Arial" w:cs="Arial"/>
          <w:b/>
          <w:bCs/>
          <w:sz w:val="24"/>
          <w:szCs w:val="24"/>
        </w:rPr>
        <w:t xml:space="preserve"> </w:t>
      </w:r>
      <w:r w:rsidRPr="00DC6B0E">
        <w:rPr>
          <w:rFonts w:ascii="Arial" w:hAnsi="Arial" w:cs="Arial"/>
          <w:b/>
          <w:bCs/>
          <w:sz w:val="24"/>
          <w:szCs w:val="24"/>
        </w:rPr>
        <w:t>(g)</w:t>
      </w:r>
    </w:p>
    <w:p w14:paraId="749A511A" w14:textId="0CC0301B" w:rsidR="007E12D1" w:rsidRPr="00DC6B0E" w:rsidRDefault="00282732" w:rsidP="00DC6B0E">
      <w:pPr>
        <w:ind w:hanging="33"/>
        <w:rPr>
          <w:rFonts w:ascii="Arial" w:hAnsi="Arial" w:cs="Arial"/>
          <w:sz w:val="24"/>
          <w:szCs w:val="24"/>
        </w:rPr>
      </w:pPr>
      <w:r w:rsidRPr="00DC6B0E">
        <w:rPr>
          <w:rFonts w:ascii="Arial" w:hAnsi="Arial" w:cs="Arial"/>
          <w:sz w:val="24"/>
          <w:szCs w:val="24"/>
        </w:rPr>
        <w:t xml:space="preserve">This clause omits the term ‘a pregnant woman’ and substitutes it with ‘pregnant’ so that this provision is inclusive of all pregnant people. </w:t>
      </w:r>
    </w:p>
    <w:p w14:paraId="5515F30B" w14:textId="0E733F4D" w:rsidR="007E12D1" w:rsidRPr="00DC6B0E" w:rsidRDefault="00A30CE4" w:rsidP="006C4190">
      <w:pPr>
        <w:pStyle w:val="CS-Paragraphnumbering"/>
        <w:spacing w:before="240"/>
        <w:rPr>
          <w:rFonts w:ascii="Arial" w:hAnsi="Arial" w:cs="Arial"/>
          <w:b/>
          <w:bCs/>
        </w:rPr>
      </w:pPr>
      <w:r w:rsidRPr="00DC6B0E">
        <w:rPr>
          <w:rFonts w:ascii="Arial" w:hAnsi="Arial" w:cs="Arial"/>
          <w:b/>
          <w:bCs/>
        </w:rPr>
        <w:t>Clause 14</w:t>
      </w:r>
      <w:r w:rsidRPr="00DC6B0E">
        <w:rPr>
          <w:rFonts w:ascii="Arial" w:hAnsi="Arial" w:cs="Arial"/>
          <w:b/>
          <w:bCs/>
        </w:rPr>
        <w:tab/>
      </w:r>
      <w:r w:rsidRPr="00DC6B0E">
        <w:rPr>
          <w:rFonts w:ascii="Arial" w:hAnsi="Arial" w:cs="Arial"/>
          <w:b/>
          <w:bCs/>
        </w:rPr>
        <w:tab/>
        <w:t xml:space="preserve">Section 33 (1) (g) (i) </w:t>
      </w:r>
    </w:p>
    <w:p w14:paraId="1CA1BB79" w14:textId="06A6BE54" w:rsidR="00A30CE4" w:rsidRDefault="00282732" w:rsidP="00DC6B0E">
      <w:pPr>
        <w:ind w:hanging="33"/>
        <w:rPr>
          <w:rFonts w:ascii="Arial" w:hAnsi="Arial" w:cs="Arial"/>
          <w:sz w:val="24"/>
          <w:szCs w:val="24"/>
        </w:rPr>
      </w:pPr>
      <w:r w:rsidRPr="00DC6B0E">
        <w:rPr>
          <w:rFonts w:ascii="Arial" w:hAnsi="Arial" w:cs="Arial"/>
          <w:sz w:val="24"/>
          <w:szCs w:val="24"/>
        </w:rPr>
        <w:t xml:space="preserve">This clause </w:t>
      </w:r>
      <w:r w:rsidR="00DC6B0E" w:rsidRPr="00DC6B0E">
        <w:rPr>
          <w:rFonts w:ascii="Arial" w:hAnsi="Arial" w:cs="Arial"/>
          <w:sz w:val="24"/>
          <w:szCs w:val="24"/>
        </w:rPr>
        <w:t xml:space="preserve">substitutes section 33 (1) (g) (i) with ‘whether the offender knew, or ought reasonably to have known, that the victim was pregnant; and’ so that this paragraph is inclusive of all pregnant people. </w:t>
      </w:r>
    </w:p>
    <w:p w14:paraId="46DD124D" w14:textId="77777777" w:rsidR="00DC6B0E" w:rsidRPr="00DC6B0E" w:rsidRDefault="00DC6B0E" w:rsidP="00DC6B0E">
      <w:pPr>
        <w:ind w:hanging="33"/>
        <w:rPr>
          <w:rFonts w:ascii="Arial" w:hAnsi="Arial" w:cs="Arial"/>
          <w:sz w:val="24"/>
          <w:szCs w:val="24"/>
        </w:rPr>
      </w:pPr>
    </w:p>
    <w:p w14:paraId="6FF3E841" w14:textId="0279C52E"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Part 5</w:t>
      </w:r>
      <w:r w:rsidRPr="00DC6B0E">
        <w:rPr>
          <w:rFonts w:ascii="Arial" w:hAnsi="Arial" w:cs="Arial"/>
          <w:b/>
          <w:bCs/>
          <w:sz w:val="24"/>
          <w:szCs w:val="24"/>
        </w:rPr>
        <w:tab/>
        <w:t>Criminal Code 2002</w:t>
      </w:r>
    </w:p>
    <w:p w14:paraId="2EDA1093" w14:textId="203A9C14"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Clause 15</w:t>
      </w:r>
      <w:r w:rsidRPr="00DC6B0E">
        <w:rPr>
          <w:rFonts w:ascii="Arial" w:hAnsi="Arial" w:cs="Arial"/>
          <w:b/>
          <w:bCs/>
          <w:sz w:val="24"/>
          <w:szCs w:val="24"/>
        </w:rPr>
        <w:tab/>
        <w:t>Serious vilification</w:t>
      </w:r>
    </w:p>
    <w:p w14:paraId="40789725" w14:textId="0907E5AE"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ab/>
        <w:t>New section 750 (1) (c) (va)</w:t>
      </w:r>
    </w:p>
    <w:p w14:paraId="4EC123FC" w14:textId="77777777" w:rsidR="00DC6B0E" w:rsidRPr="00DC6B0E" w:rsidRDefault="00DC6B0E" w:rsidP="00DC6B0E">
      <w:pPr>
        <w:ind w:hanging="33"/>
        <w:rPr>
          <w:rFonts w:ascii="Arial" w:hAnsi="Arial" w:cs="Arial"/>
          <w:sz w:val="24"/>
          <w:szCs w:val="24"/>
        </w:rPr>
      </w:pPr>
      <w:r w:rsidRPr="00DC6B0E">
        <w:rPr>
          <w:rFonts w:ascii="Arial" w:hAnsi="Arial" w:cs="Arial"/>
          <w:sz w:val="24"/>
          <w:szCs w:val="24"/>
        </w:rPr>
        <w:t>This clause inserts the attribute of ‘sex’</w:t>
      </w:r>
      <w:r>
        <w:rPr>
          <w:rFonts w:ascii="Arial" w:hAnsi="Arial" w:cs="Arial"/>
          <w:sz w:val="24"/>
          <w:szCs w:val="24"/>
        </w:rPr>
        <w:t xml:space="preserve"> to the list of attributes protected by the serious vilification offence at section 750. </w:t>
      </w:r>
    </w:p>
    <w:p w14:paraId="63EE3B35" w14:textId="731F657B"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Clause 16</w:t>
      </w:r>
      <w:r w:rsidRPr="00DC6B0E">
        <w:rPr>
          <w:rFonts w:ascii="Arial" w:hAnsi="Arial" w:cs="Arial"/>
          <w:b/>
          <w:bCs/>
          <w:sz w:val="24"/>
          <w:szCs w:val="24"/>
        </w:rPr>
        <w:tab/>
        <w:t>New Section 750 (1) (c) (viii)</w:t>
      </w:r>
    </w:p>
    <w:p w14:paraId="628E5848" w14:textId="2C2A5B87" w:rsidR="00DC6B0E" w:rsidRDefault="00DC6B0E" w:rsidP="00DC6B0E">
      <w:pPr>
        <w:ind w:hanging="33"/>
        <w:rPr>
          <w:rFonts w:ascii="Arial" w:hAnsi="Arial" w:cs="Arial"/>
          <w:sz w:val="24"/>
          <w:szCs w:val="24"/>
        </w:rPr>
      </w:pPr>
      <w:r w:rsidRPr="00DC6B0E">
        <w:rPr>
          <w:rFonts w:ascii="Arial" w:hAnsi="Arial" w:cs="Arial"/>
          <w:sz w:val="24"/>
          <w:szCs w:val="24"/>
        </w:rPr>
        <w:t>This clause inserts the attribute of ‘association (whether as a relative or otherwise) with a person who is, or a group of people who are, identified by reference to an attribute mentioned in subparagraphs (i) to (vii)’ to the list of attributes protected by the serious vilification offence at section 750.</w:t>
      </w:r>
      <w:r>
        <w:rPr>
          <w:rFonts w:ascii="Arial" w:hAnsi="Arial" w:cs="Arial"/>
          <w:sz w:val="24"/>
          <w:szCs w:val="24"/>
        </w:rPr>
        <w:t xml:space="preserve"> </w:t>
      </w:r>
    </w:p>
    <w:p w14:paraId="51A37A60" w14:textId="02B7CD88" w:rsidR="000C0B9A" w:rsidRDefault="000C0B9A" w:rsidP="000C0B9A">
      <w:pPr>
        <w:ind w:left="2160" w:hanging="2160"/>
        <w:rPr>
          <w:rFonts w:ascii="Arial" w:hAnsi="Arial" w:cs="Arial"/>
          <w:b/>
          <w:bCs/>
          <w:i/>
          <w:iCs/>
          <w:sz w:val="24"/>
          <w:szCs w:val="24"/>
        </w:rPr>
      </w:pPr>
      <w:r w:rsidRPr="00DC6B0E">
        <w:rPr>
          <w:rFonts w:ascii="Arial" w:hAnsi="Arial" w:cs="Arial"/>
          <w:b/>
          <w:bCs/>
          <w:sz w:val="24"/>
          <w:szCs w:val="24"/>
        </w:rPr>
        <w:t>Clause 1</w:t>
      </w:r>
      <w:r>
        <w:rPr>
          <w:rFonts w:ascii="Arial" w:hAnsi="Arial" w:cs="Arial"/>
          <w:b/>
          <w:bCs/>
          <w:sz w:val="24"/>
          <w:szCs w:val="24"/>
        </w:rPr>
        <w:t>7</w:t>
      </w:r>
      <w:r w:rsidRPr="00DC6B0E">
        <w:rPr>
          <w:rFonts w:ascii="Arial" w:hAnsi="Arial" w:cs="Arial"/>
          <w:b/>
          <w:bCs/>
          <w:sz w:val="24"/>
          <w:szCs w:val="24"/>
        </w:rPr>
        <w:tab/>
        <w:t>New Section 750 (</w:t>
      </w:r>
      <w:r>
        <w:rPr>
          <w:rFonts w:ascii="Arial" w:hAnsi="Arial" w:cs="Arial"/>
          <w:b/>
          <w:bCs/>
          <w:sz w:val="24"/>
          <w:szCs w:val="24"/>
        </w:rPr>
        <w:t xml:space="preserve">2), definition of </w:t>
      </w:r>
      <w:r>
        <w:rPr>
          <w:rFonts w:ascii="Arial" w:hAnsi="Arial" w:cs="Arial"/>
          <w:b/>
          <w:bCs/>
          <w:i/>
          <w:iCs/>
          <w:sz w:val="24"/>
          <w:szCs w:val="24"/>
        </w:rPr>
        <w:t>threatening act,</w:t>
      </w:r>
    </w:p>
    <w:p w14:paraId="243906C8" w14:textId="1C685245" w:rsidR="000C0B9A" w:rsidRPr="000C0B9A" w:rsidRDefault="000C0B9A" w:rsidP="000C0B9A">
      <w:pPr>
        <w:ind w:left="2160" w:hanging="2160"/>
        <w:rPr>
          <w:rFonts w:ascii="Arial" w:hAnsi="Arial" w:cs="Arial"/>
          <w:b/>
          <w:bCs/>
          <w:i/>
          <w:iCs/>
          <w:sz w:val="24"/>
          <w:szCs w:val="24"/>
        </w:rPr>
      </w:pPr>
      <w:r>
        <w:rPr>
          <w:rFonts w:ascii="Arial" w:hAnsi="Arial" w:cs="Arial"/>
          <w:b/>
          <w:bCs/>
          <w:sz w:val="24"/>
          <w:szCs w:val="24"/>
        </w:rPr>
        <w:lastRenderedPageBreak/>
        <w:tab/>
        <w:t>paragraph (a)</w:t>
      </w:r>
    </w:p>
    <w:p w14:paraId="02190749" w14:textId="4A08E290" w:rsidR="000C0B9A" w:rsidRDefault="000C0B9A" w:rsidP="000C0B9A">
      <w:pPr>
        <w:ind w:hanging="33"/>
        <w:rPr>
          <w:rFonts w:ascii="Arial" w:hAnsi="Arial" w:cs="Arial"/>
          <w:sz w:val="24"/>
          <w:szCs w:val="24"/>
        </w:rPr>
      </w:pPr>
      <w:r w:rsidRPr="00DC6B0E">
        <w:rPr>
          <w:rFonts w:ascii="Arial" w:hAnsi="Arial" w:cs="Arial"/>
          <w:sz w:val="24"/>
          <w:szCs w:val="24"/>
        </w:rPr>
        <w:t xml:space="preserve">This clause </w:t>
      </w:r>
      <w:r>
        <w:rPr>
          <w:rFonts w:ascii="Arial" w:hAnsi="Arial" w:cs="Arial"/>
          <w:sz w:val="24"/>
          <w:szCs w:val="24"/>
        </w:rPr>
        <w:t xml:space="preserve">is a minor consequential amendment to a subparagraph reference in the definition of threatening act at section 750.   </w:t>
      </w:r>
    </w:p>
    <w:p w14:paraId="091FDC14" w14:textId="18789ED7" w:rsidR="00A30CE4" w:rsidRDefault="00A30CE4" w:rsidP="000C0B9A">
      <w:pPr>
        <w:rPr>
          <w:rFonts w:ascii="Arial" w:hAnsi="Arial" w:cs="Arial"/>
          <w:b/>
          <w:bCs/>
          <w:sz w:val="24"/>
          <w:szCs w:val="24"/>
          <w:highlight w:val="yellow"/>
        </w:rPr>
      </w:pPr>
    </w:p>
    <w:p w14:paraId="1925C046" w14:textId="33B0C554" w:rsidR="00A30CE4" w:rsidRPr="00DC7BE4" w:rsidRDefault="00A30CE4" w:rsidP="00A30CE4">
      <w:pPr>
        <w:ind w:left="2160" w:hanging="2160"/>
        <w:rPr>
          <w:rFonts w:ascii="Arial" w:hAnsi="Arial" w:cs="Arial"/>
          <w:b/>
          <w:bCs/>
          <w:sz w:val="24"/>
          <w:szCs w:val="24"/>
        </w:rPr>
      </w:pPr>
      <w:r w:rsidRPr="00DC7BE4">
        <w:rPr>
          <w:rFonts w:ascii="Arial" w:hAnsi="Arial" w:cs="Arial"/>
          <w:b/>
          <w:bCs/>
          <w:sz w:val="24"/>
          <w:szCs w:val="24"/>
        </w:rPr>
        <w:t>Part 6</w:t>
      </w:r>
      <w:r w:rsidRPr="00DC7BE4">
        <w:rPr>
          <w:rFonts w:ascii="Arial" w:hAnsi="Arial" w:cs="Arial"/>
          <w:b/>
          <w:bCs/>
          <w:sz w:val="24"/>
          <w:szCs w:val="24"/>
        </w:rPr>
        <w:tab/>
        <w:t>Discrimination Act 1991</w:t>
      </w:r>
    </w:p>
    <w:p w14:paraId="4D6A43C3" w14:textId="5B2A1F37" w:rsidR="00A30CE4" w:rsidRPr="00DC7BE4" w:rsidRDefault="00A30CE4" w:rsidP="00A30CE4">
      <w:pPr>
        <w:ind w:left="2160" w:hanging="2160"/>
        <w:rPr>
          <w:rFonts w:ascii="Arial" w:hAnsi="Arial" w:cs="Arial"/>
          <w:b/>
          <w:bCs/>
          <w:i/>
          <w:iCs/>
          <w:sz w:val="24"/>
          <w:szCs w:val="24"/>
        </w:rPr>
      </w:pPr>
      <w:r w:rsidRPr="00DC7BE4">
        <w:rPr>
          <w:rFonts w:ascii="Arial" w:hAnsi="Arial" w:cs="Arial"/>
          <w:b/>
          <w:bCs/>
          <w:sz w:val="24"/>
          <w:szCs w:val="24"/>
        </w:rPr>
        <w:t>Clause 1</w:t>
      </w:r>
      <w:r w:rsidR="00206E93">
        <w:rPr>
          <w:rFonts w:ascii="Arial" w:hAnsi="Arial" w:cs="Arial"/>
          <w:b/>
          <w:bCs/>
          <w:sz w:val="24"/>
          <w:szCs w:val="24"/>
        </w:rPr>
        <w:t>8</w:t>
      </w:r>
      <w:r w:rsidRPr="00DC7BE4">
        <w:rPr>
          <w:rFonts w:ascii="Arial" w:hAnsi="Arial" w:cs="Arial"/>
          <w:b/>
          <w:bCs/>
          <w:sz w:val="24"/>
          <w:szCs w:val="24"/>
        </w:rPr>
        <w:tab/>
        <w:t xml:space="preserve">Meaning of </w:t>
      </w:r>
      <w:r w:rsidRPr="00DC7BE4">
        <w:rPr>
          <w:rFonts w:ascii="Arial" w:hAnsi="Arial" w:cs="Arial"/>
          <w:b/>
          <w:bCs/>
          <w:i/>
          <w:iCs/>
          <w:sz w:val="24"/>
          <w:szCs w:val="24"/>
        </w:rPr>
        <w:t>potential pregnancy</w:t>
      </w:r>
    </w:p>
    <w:p w14:paraId="085B21C1" w14:textId="63B7BDA5" w:rsidR="00A30CE4" w:rsidRPr="00DC7BE4" w:rsidRDefault="00A30CE4" w:rsidP="00A30CE4">
      <w:pPr>
        <w:ind w:left="2160" w:hanging="2160"/>
        <w:rPr>
          <w:rFonts w:ascii="Arial" w:hAnsi="Arial" w:cs="Arial"/>
          <w:b/>
          <w:bCs/>
          <w:i/>
          <w:iCs/>
          <w:sz w:val="24"/>
          <w:szCs w:val="24"/>
        </w:rPr>
      </w:pPr>
      <w:r w:rsidRPr="00DC7BE4">
        <w:rPr>
          <w:rFonts w:ascii="Arial" w:hAnsi="Arial" w:cs="Arial"/>
          <w:b/>
          <w:bCs/>
          <w:sz w:val="24"/>
          <w:szCs w:val="24"/>
        </w:rPr>
        <w:tab/>
        <w:t xml:space="preserve">Section 5A, definition of </w:t>
      </w:r>
      <w:r w:rsidRPr="00DC7BE4">
        <w:rPr>
          <w:rFonts w:ascii="Arial" w:hAnsi="Arial" w:cs="Arial"/>
          <w:b/>
          <w:bCs/>
          <w:i/>
          <w:iCs/>
          <w:sz w:val="24"/>
          <w:szCs w:val="24"/>
        </w:rPr>
        <w:t xml:space="preserve">potential pregnancy </w:t>
      </w:r>
    </w:p>
    <w:p w14:paraId="016C8AF4" w14:textId="21ACCEE5" w:rsidR="00A30CE4" w:rsidRPr="00DC7BE4" w:rsidRDefault="00DC7BE4" w:rsidP="00DC7BE4">
      <w:pPr>
        <w:ind w:hanging="33"/>
        <w:rPr>
          <w:rFonts w:ascii="Arial" w:hAnsi="Arial" w:cs="Arial"/>
          <w:sz w:val="24"/>
          <w:szCs w:val="24"/>
        </w:rPr>
      </w:pPr>
      <w:r w:rsidRPr="00DC7BE4">
        <w:rPr>
          <w:rFonts w:ascii="Arial" w:hAnsi="Arial" w:cs="Arial"/>
          <w:sz w:val="24"/>
          <w:szCs w:val="24"/>
        </w:rPr>
        <w:t xml:space="preserve">This clause omits the term ‘woman’ and substitutes it with ‘person’ to clarify that the protected attributed of pregnancy is inclusive of all pregnant people. </w:t>
      </w:r>
    </w:p>
    <w:p w14:paraId="7F7D3D59" w14:textId="60B96185"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1</w:t>
      </w:r>
      <w:r w:rsidR="00206E93">
        <w:rPr>
          <w:rFonts w:ascii="Arial" w:hAnsi="Arial" w:cs="Arial"/>
          <w:b/>
          <w:bCs/>
          <w:sz w:val="24"/>
          <w:szCs w:val="24"/>
        </w:rPr>
        <w:t>9</w:t>
      </w:r>
      <w:r w:rsidRPr="001334B9">
        <w:rPr>
          <w:rFonts w:ascii="Arial" w:hAnsi="Arial" w:cs="Arial"/>
          <w:b/>
          <w:bCs/>
          <w:sz w:val="24"/>
          <w:szCs w:val="24"/>
        </w:rPr>
        <w:tab/>
        <w:t>Unlawful vilification</w:t>
      </w:r>
    </w:p>
    <w:p w14:paraId="40244041" w14:textId="5FB8B46A"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New section 67A (1) (ea)</w:t>
      </w:r>
    </w:p>
    <w:p w14:paraId="0C66C4F6" w14:textId="32FF4224" w:rsidR="00A30CE4" w:rsidRPr="001334B9" w:rsidRDefault="00DC6B0E" w:rsidP="00DC6B0E">
      <w:pPr>
        <w:ind w:hanging="33"/>
        <w:rPr>
          <w:rFonts w:ascii="Arial" w:hAnsi="Arial" w:cs="Arial"/>
          <w:sz w:val="24"/>
          <w:szCs w:val="24"/>
        </w:rPr>
      </w:pPr>
      <w:r w:rsidRPr="001334B9">
        <w:rPr>
          <w:rFonts w:ascii="Arial" w:hAnsi="Arial" w:cs="Arial"/>
          <w:sz w:val="24"/>
          <w:szCs w:val="24"/>
        </w:rPr>
        <w:t>This clause inserts the attribute of ‘sex’ to the list of attributes protected by the unlawful vilification provision at section 67A.</w:t>
      </w:r>
    </w:p>
    <w:p w14:paraId="2E3D4C4A" w14:textId="058954A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 xml:space="preserve">Clause </w:t>
      </w:r>
      <w:r w:rsidR="00206E93">
        <w:rPr>
          <w:rFonts w:ascii="Arial" w:hAnsi="Arial" w:cs="Arial"/>
          <w:b/>
          <w:bCs/>
          <w:sz w:val="24"/>
          <w:szCs w:val="24"/>
        </w:rPr>
        <w:t>20</w:t>
      </w:r>
      <w:r w:rsidRPr="001334B9">
        <w:rPr>
          <w:rFonts w:ascii="Arial" w:hAnsi="Arial" w:cs="Arial"/>
          <w:b/>
          <w:bCs/>
          <w:sz w:val="24"/>
          <w:szCs w:val="24"/>
        </w:rPr>
        <w:t xml:space="preserve"> </w:t>
      </w:r>
      <w:r w:rsidRPr="001334B9">
        <w:rPr>
          <w:rFonts w:ascii="Arial" w:hAnsi="Arial" w:cs="Arial"/>
          <w:b/>
          <w:bCs/>
          <w:sz w:val="24"/>
          <w:szCs w:val="24"/>
        </w:rPr>
        <w:tab/>
        <w:t>New section 67A (1) (h)</w:t>
      </w:r>
    </w:p>
    <w:p w14:paraId="5FE7E67F" w14:textId="2B343A3B" w:rsidR="00A30CE4" w:rsidRPr="00DC6B0E" w:rsidRDefault="00DC6B0E" w:rsidP="00DC6B0E">
      <w:pPr>
        <w:ind w:hanging="33"/>
        <w:rPr>
          <w:rFonts w:ascii="Arial" w:hAnsi="Arial" w:cs="Arial"/>
          <w:sz w:val="24"/>
          <w:szCs w:val="24"/>
        </w:rPr>
      </w:pPr>
      <w:r w:rsidRPr="001334B9">
        <w:rPr>
          <w:rFonts w:ascii="Arial" w:hAnsi="Arial" w:cs="Arial"/>
          <w:sz w:val="24"/>
          <w:szCs w:val="24"/>
        </w:rPr>
        <w:t>This clause inserts the attribute of ‘association (whether as a relative or otherwise) with a person who is, or a group of people who are, identified by reference to an attribute mentioned in paragraphs (a) to (g)’ to the list of attributes protected by the unlawful vilification provision at section 67A.</w:t>
      </w:r>
      <w:r>
        <w:rPr>
          <w:rFonts w:ascii="Arial" w:hAnsi="Arial" w:cs="Arial"/>
          <w:sz w:val="24"/>
          <w:szCs w:val="24"/>
        </w:rPr>
        <w:t xml:space="preserve"> </w:t>
      </w:r>
    </w:p>
    <w:p w14:paraId="4EB5287B" w14:textId="736EA5D8" w:rsidR="00A30CE4" w:rsidRPr="001334B9" w:rsidRDefault="00A30CE4" w:rsidP="00A30CE4">
      <w:pPr>
        <w:ind w:left="2160" w:hanging="2160"/>
        <w:rPr>
          <w:rFonts w:ascii="Arial" w:hAnsi="Arial" w:cs="Arial"/>
          <w:b/>
          <w:bCs/>
          <w:i/>
          <w:iCs/>
          <w:sz w:val="24"/>
          <w:szCs w:val="24"/>
        </w:rPr>
      </w:pPr>
      <w:r w:rsidRPr="001334B9">
        <w:rPr>
          <w:rFonts w:ascii="Arial" w:hAnsi="Arial" w:cs="Arial"/>
          <w:b/>
          <w:bCs/>
          <w:sz w:val="24"/>
          <w:szCs w:val="24"/>
        </w:rPr>
        <w:t>Clause 2</w:t>
      </w:r>
      <w:r w:rsidR="00206E93">
        <w:rPr>
          <w:rFonts w:ascii="Arial" w:hAnsi="Arial" w:cs="Arial"/>
          <w:b/>
          <w:bCs/>
          <w:sz w:val="24"/>
          <w:szCs w:val="24"/>
        </w:rPr>
        <w:t>1</w:t>
      </w:r>
      <w:r w:rsidRPr="001334B9">
        <w:rPr>
          <w:rFonts w:ascii="Arial" w:hAnsi="Arial" w:cs="Arial"/>
          <w:b/>
          <w:bCs/>
          <w:sz w:val="24"/>
          <w:szCs w:val="24"/>
        </w:rPr>
        <w:tab/>
        <w:t xml:space="preserve">Dictionary, definitions of </w:t>
      </w:r>
      <w:r w:rsidRPr="001334B9">
        <w:rPr>
          <w:rFonts w:ascii="Arial" w:hAnsi="Arial" w:cs="Arial"/>
          <w:b/>
          <w:bCs/>
          <w:i/>
          <w:iCs/>
          <w:sz w:val="24"/>
          <w:szCs w:val="24"/>
        </w:rPr>
        <w:t>man</w:t>
      </w:r>
      <w:r w:rsidRPr="001334B9">
        <w:rPr>
          <w:rFonts w:ascii="Arial" w:hAnsi="Arial" w:cs="Arial"/>
          <w:b/>
          <w:bCs/>
          <w:sz w:val="24"/>
          <w:szCs w:val="24"/>
        </w:rPr>
        <w:t xml:space="preserve"> and</w:t>
      </w:r>
      <w:r w:rsidRPr="001334B9">
        <w:rPr>
          <w:rFonts w:ascii="Arial" w:hAnsi="Arial" w:cs="Arial"/>
          <w:b/>
          <w:bCs/>
          <w:i/>
          <w:iCs/>
          <w:sz w:val="24"/>
          <w:szCs w:val="24"/>
        </w:rPr>
        <w:t xml:space="preserve"> woman</w:t>
      </w:r>
    </w:p>
    <w:p w14:paraId="07CEE1AB" w14:textId="09BFFEC9" w:rsidR="001334B9" w:rsidRDefault="001334B9" w:rsidP="001334B9">
      <w:pPr>
        <w:ind w:hanging="33"/>
        <w:rPr>
          <w:rFonts w:ascii="Arial" w:hAnsi="Arial" w:cs="Arial"/>
          <w:sz w:val="24"/>
          <w:szCs w:val="24"/>
        </w:rPr>
      </w:pPr>
      <w:r w:rsidRPr="001334B9">
        <w:rPr>
          <w:rFonts w:ascii="Arial" w:hAnsi="Arial" w:cs="Arial"/>
          <w:sz w:val="24"/>
          <w:szCs w:val="24"/>
        </w:rPr>
        <w:t>This clause removes</w:t>
      </w:r>
      <w:r>
        <w:rPr>
          <w:rFonts w:ascii="Arial" w:hAnsi="Arial" w:cs="Arial"/>
          <w:sz w:val="24"/>
          <w:szCs w:val="24"/>
        </w:rPr>
        <w:t xml:space="preserve"> the definitions of ‘man’ and ‘woman’ which are no longer needed.</w:t>
      </w:r>
    </w:p>
    <w:p w14:paraId="5F456D21" w14:textId="77777777" w:rsidR="009B4604" w:rsidRDefault="009B4604" w:rsidP="001334B9">
      <w:pPr>
        <w:ind w:hanging="33"/>
        <w:rPr>
          <w:rFonts w:ascii="Arial" w:hAnsi="Arial" w:cs="Arial"/>
          <w:b/>
          <w:bCs/>
          <w:sz w:val="24"/>
          <w:szCs w:val="24"/>
          <w:highlight w:val="yellow"/>
        </w:rPr>
      </w:pPr>
    </w:p>
    <w:p w14:paraId="01052761" w14:textId="6807A19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Part 7</w:t>
      </w:r>
      <w:r w:rsidRPr="001334B9">
        <w:rPr>
          <w:rFonts w:ascii="Arial" w:hAnsi="Arial" w:cs="Arial"/>
          <w:b/>
          <w:bCs/>
          <w:sz w:val="24"/>
          <w:szCs w:val="24"/>
        </w:rPr>
        <w:tab/>
        <w:t>Domestic Relationships Act 1994</w:t>
      </w:r>
    </w:p>
    <w:p w14:paraId="1FE9F6E3" w14:textId="1FEDBD50"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2</w:t>
      </w:r>
      <w:r w:rsidRPr="001334B9">
        <w:rPr>
          <w:rFonts w:ascii="Arial" w:hAnsi="Arial" w:cs="Arial"/>
          <w:b/>
          <w:bCs/>
          <w:sz w:val="24"/>
          <w:szCs w:val="24"/>
        </w:rPr>
        <w:tab/>
        <w:t xml:space="preserve">How civil partnership is entered into </w:t>
      </w:r>
    </w:p>
    <w:p w14:paraId="51F4C820" w14:textId="4FB89A11"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Section 37D</w:t>
      </w:r>
    </w:p>
    <w:p w14:paraId="0357C181" w14:textId="06263D1A" w:rsidR="00A30CE4" w:rsidRDefault="001334B9" w:rsidP="001334B9">
      <w:pPr>
        <w:ind w:hanging="33"/>
        <w:rPr>
          <w:rFonts w:ascii="Arial" w:hAnsi="Arial" w:cs="Arial"/>
          <w:sz w:val="24"/>
          <w:szCs w:val="24"/>
        </w:rPr>
      </w:pPr>
      <w:r w:rsidRPr="001334B9">
        <w:rPr>
          <w:rFonts w:ascii="Arial" w:hAnsi="Arial" w:cs="Arial"/>
          <w:sz w:val="24"/>
          <w:szCs w:val="24"/>
        </w:rPr>
        <w:t>This clause omits the phrase ‘regardless of their sex’ so that the provision uses gender inclusive language.</w:t>
      </w:r>
      <w:r>
        <w:rPr>
          <w:rFonts w:ascii="Arial" w:hAnsi="Arial" w:cs="Arial"/>
          <w:sz w:val="24"/>
          <w:szCs w:val="24"/>
        </w:rPr>
        <w:t xml:space="preserve"> </w:t>
      </w:r>
    </w:p>
    <w:p w14:paraId="2003AE96" w14:textId="77777777" w:rsidR="009B4604" w:rsidRPr="001334B9" w:rsidRDefault="009B4604" w:rsidP="001334B9">
      <w:pPr>
        <w:ind w:hanging="33"/>
        <w:rPr>
          <w:rFonts w:ascii="Arial" w:hAnsi="Arial" w:cs="Arial"/>
          <w:sz w:val="24"/>
          <w:szCs w:val="24"/>
        </w:rPr>
      </w:pPr>
    </w:p>
    <w:p w14:paraId="1FAC4824" w14:textId="1118C45B"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Part 8</w:t>
      </w:r>
      <w:r w:rsidRPr="001334B9">
        <w:rPr>
          <w:rFonts w:ascii="Arial" w:hAnsi="Arial" w:cs="Arial"/>
          <w:b/>
          <w:bCs/>
          <w:sz w:val="24"/>
          <w:szCs w:val="24"/>
        </w:rPr>
        <w:tab/>
        <w:t>Human Rights Commission Act 2005</w:t>
      </w:r>
    </w:p>
    <w:p w14:paraId="5042DCEB" w14:textId="3751CA7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3</w:t>
      </w:r>
      <w:r w:rsidRPr="001334B9">
        <w:rPr>
          <w:rFonts w:ascii="Arial" w:hAnsi="Arial" w:cs="Arial"/>
          <w:b/>
          <w:bCs/>
          <w:sz w:val="24"/>
          <w:szCs w:val="24"/>
        </w:rPr>
        <w:tab/>
        <w:t>Discrimination commissioner’s functions</w:t>
      </w:r>
    </w:p>
    <w:p w14:paraId="0A86027A" w14:textId="514264B1"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lastRenderedPageBreak/>
        <w:tab/>
        <w:t>Section 23 (2) (c)</w:t>
      </w:r>
    </w:p>
    <w:p w14:paraId="713913E2" w14:textId="4011F92E" w:rsidR="00A30CE4" w:rsidRPr="001334B9" w:rsidRDefault="001334B9" w:rsidP="001334B9">
      <w:pPr>
        <w:ind w:hanging="33"/>
        <w:rPr>
          <w:rFonts w:ascii="Arial" w:hAnsi="Arial" w:cs="Arial"/>
          <w:sz w:val="24"/>
          <w:szCs w:val="24"/>
        </w:rPr>
      </w:pPr>
      <w:r w:rsidRPr="001334B9">
        <w:rPr>
          <w:rFonts w:ascii="Arial" w:hAnsi="Arial" w:cs="Arial"/>
          <w:sz w:val="24"/>
          <w:szCs w:val="24"/>
        </w:rPr>
        <w:t>This clause omits the phrase ‘men and women’ and substitutes it with</w:t>
      </w:r>
      <w:r>
        <w:rPr>
          <w:rFonts w:ascii="Arial" w:hAnsi="Arial" w:cs="Arial"/>
          <w:sz w:val="24"/>
          <w:szCs w:val="24"/>
        </w:rPr>
        <w:t xml:space="preserve"> the gender inclusive phrase</w:t>
      </w:r>
      <w:r w:rsidRPr="001334B9">
        <w:rPr>
          <w:rFonts w:ascii="Arial" w:hAnsi="Arial" w:cs="Arial"/>
          <w:sz w:val="24"/>
          <w:szCs w:val="24"/>
        </w:rPr>
        <w:t xml:space="preserve"> ‘all people’ </w:t>
      </w:r>
      <w:r>
        <w:rPr>
          <w:rFonts w:ascii="Arial" w:hAnsi="Arial" w:cs="Arial"/>
          <w:sz w:val="24"/>
          <w:szCs w:val="24"/>
        </w:rPr>
        <w:t xml:space="preserve">to reflect that the promotion of the recognition and acceptance within the community of the equality of all people is one of the functions of the commission in relation to discrimination. </w:t>
      </w:r>
    </w:p>
    <w:p w14:paraId="236BEFCC" w14:textId="01539B43"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4</w:t>
      </w:r>
      <w:r w:rsidRPr="001334B9">
        <w:rPr>
          <w:rFonts w:ascii="Arial" w:hAnsi="Arial" w:cs="Arial"/>
          <w:b/>
          <w:bCs/>
          <w:sz w:val="24"/>
          <w:szCs w:val="24"/>
        </w:rPr>
        <w:tab/>
        <w:t>Individual with more than 1 role</w:t>
      </w:r>
    </w:p>
    <w:p w14:paraId="6C251A7B" w14:textId="4C1F958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Section 34(3), example</w:t>
      </w:r>
    </w:p>
    <w:p w14:paraId="1C9C7772" w14:textId="41479404" w:rsidR="00A30CE4" w:rsidRPr="001334B9" w:rsidRDefault="001334B9" w:rsidP="001334B9">
      <w:pPr>
        <w:ind w:hanging="33"/>
        <w:rPr>
          <w:rFonts w:ascii="Arial" w:hAnsi="Arial" w:cs="Arial"/>
          <w:sz w:val="24"/>
          <w:szCs w:val="24"/>
        </w:rPr>
      </w:pPr>
      <w:r w:rsidRPr="001334B9">
        <w:rPr>
          <w:rFonts w:ascii="Arial" w:hAnsi="Arial" w:cs="Arial"/>
          <w:sz w:val="24"/>
          <w:szCs w:val="24"/>
        </w:rPr>
        <w:t xml:space="preserve">This clause is a technical amendment that omits the example at section 34 as it is now out of date since amendments made by the </w:t>
      </w:r>
      <w:r w:rsidRPr="001334B9">
        <w:rPr>
          <w:rFonts w:ascii="Arial" w:hAnsi="Arial" w:cs="Arial"/>
          <w:i/>
          <w:iCs/>
          <w:sz w:val="24"/>
          <w:szCs w:val="24"/>
        </w:rPr>
        <w:t xml:space="preserve">Protection of Rights (Services) Legislation Amendment Act 2016 </w:t>
      </w:r>
      <w:r w:rsidRPr="001334B9">
        <w:rPr>
          <w:rFonts w:ascii="Arial" w:hAnsi="Arial" w:cs="Arial"/>
          <w:sz w:val="24"/>
          <w:szCs w:val="24"/>
        </w:rPr>
        <w:t xml:space="preserve">increased the number of members and changed the quorum formula. </w:t>
      </w:r>
    </w:p>
    <w:p w14:paraId="25060C42" w14:textId="3BFDBAAF"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5</w:t>
      </w:r>
      <w:r w:rsidRPr="001334B9">
        <w:rPr>
          <w:rFonts w:ascii="Arial" w:hAnsi="Arial" w:cs="Arial"/>
          <w:b/>
          <w:bCs/>
          <w:sz w:val="24"/>
          <w:szCs w:val="24"/>
        </w:rPr>
        <w:tab/>
        <w:t>New section 44A</w:t>
      </w:r>
    </w:p>
    <w:p w14:paraId="101AFEB0" w14:textId="457048CC" w:rsidR="00A30CE4" w:rsidRPr="001334B9" w:rsidRDefault="001334B9" w:rsidP="0000498E">
      <w:pPr>
        <w:ind w:hanging="33"/>
        <w:rPr>
          <w:rFonts w:ascii="Arial" w:hAnsi="Arial" w:cs="Arial"/>
          <w:sz w:val="24"/>
          <w:szCs w:val="24"/>
        </w:rPr>
      </w:pPr>
      <w:r w:rsidRPr="001334B9">
        <w:rPr>
          <w:rFonts w:ascii="Arial" w:hAnsi="Arial" w:cs="Arial"/>
          <w:sz w:val="24"/>
          <w:szCs w:val="24"/>
        </w:rPr>
        <w:t>This clause</w:t>
      </w:r>
      <w:r w:rsidR="0000498E">
        <w:rPr>
          <w:rFonts w:ascii="Arial" w:hAnsi="Arial" w:cs="Arial"/>
          <w:sz w:val="24"/>
          <w:szCs w:val="24"/>
        </w:rPr>
        <w:t xml:space="preserve"> inserts a new section 44A which provides that a complainant may, with leave of the commission, amend a complaint at any time. </w:t>
      </w:r>
    </w:p>
    <w:p w14:paraId="58179D5A" w14:textId="78DA5778"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Clause 2</w:t>
      </w:r>
      <w:r w:rsidR="00206E93">
        <w:rPr>
          <w:rFonts w:ascii="Arial" w:hAnsi="Arial" w:cs="Arial"/>
          <w:b/>
          <w:bCs/>
          <w:sz w:val="24"/>
          <w:szCs w:val="24"/>
        </w:rPr>
        <w:t>6</w:t>
      </w:r>
      <w:r w:rsidRPr="0000498E">
        <w:rPr>
          <w:rFonts w:ascii="Arial" w:hAnsi="Arial" w:cs="Arial"/>
          <w:b/>
          <w:bCs/>
          <w:sz w:val="24"/>
          <w:szCs w:val="24"/>
        </w:rPr>
        <w:tab/>
        <w:t>Victimisation etc</w:t>
      </w:r>
    </w:p>
    <w:p w14:paraId="539F81C3" w14:textId="464E167B"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ab/>
        <w:t>Section 98 (1) (a) (i)</w:t>
      </w:r>
    </w:p>
    <w:p w14:paraId="0EF10CDF" w14:textId="5F44BEAF" w:rsidR="00004917" w:rsidRDefault="0000498E" w:rsidP="0000498E">
      <w:pPr>
        <w:ind w:hanging="33"/>
        <w:rPr>
          <w:rFonts w:ascii="Arial" w:hAnsi="Arial" w:cs="Arial"/>
          <w:sz w:val="24"/>
          <w:szCs w:val="24"/>
        </w:rPr>
      </w:pPr>
      <w:r w:rsidRPr="0000498E">
        <w:rPr>
          <w:rFonts w:ascii="Arial" w:hAnsi="Arial" w:cs="Arial"/>
          <w:sz w:val="24"/>
          <w:szCs w:val="24"/>
        </w:rPr>
        <w:t xml:space="preserve">This clause inserts ‘or amended’ so that </w:t>
      </w:r>
      <w:r w:rsidR="00004917">
        <w:rPr>
          <w:rFonts w:ascii="Arial" w:hAnsi="Arial" w:cs="Arial"/>
          <w:sz w:val="24"/>
          <w:szCs w:val="24"/>
        </w:rPr>
        <w:t xml:space="preserve">it is an offence if a person causes or threatens to cause a detriment to someone else because the other person has amended a complaint under this Act. </w:t>
      </w:r>
    </w:p>
    <w:p w14:paraId="604D0B68" w14:textId="0B0D7C3E"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Clause 2</w:t>
      </w:r>
      <w:r w:rsidR="00206E93">
        <w:rPr>
          <w:rFonts w:ascii="Arial" w:hAnsi="Arial" w:cs="Arial"/>
          <w:b/>
          <w:bCs/>
          <w:sz w:val="24"/>
          <w:szCs w:val="24"/>
        </w:rPr>
        <w:t>7</w:t>
      </w:r>
      <w:r w:rsidRPr="0000498E">
        <w:rPr>
          <w:rFonts w:ascii="Arial" w:hAnsi="Arial" w:cs="Arial"/>
          <w:b/>
          <w:bCs/>
          <w:sz w:val="24"/>
          <w:szCs w:val="24"/>
        </w:rPr>
        <w:tab/>
        <w:t>New section 98 (2) (aa)</w:t>
      </w:r>
    </w:p>
    <w:p w14:paraId="78D9E8F6" w14:textId="70F4B6F7" w:rsidR="00A30CE4" w:rsidRPr="0000498E" w:rsidRDefault="0000498E" w:rsidP="0000498E">
      <w:pPr>
        <w:ind w:hanging="33"/>
        <w:rPr>
          <w:rFonts w:ascii="Arial" w:hAnsi="Arial" w:cs="Arial"/>
          <w:sz w:val="24"/>
          <w:szCs w:val="24"/>
        </w:rPr>
      </w:pPr>
      <w:r w:rsidRPr="0000498E">
        <w:rPr>
          <w:rFonts w:ascii="Arial" w:hAnsi="Arial" w:cs="Arial"/>
          <w:sz w:val="24"/>
          <w:szCs w:val="24"/>
        </w:rPr>
        <w:t>This clause inserts a new section to the existing offence</w:t>
      </w:r>
      <w:r w:rsidR="009B4604">
        <w:rPr>
          <w:rFonts w:ascii="Arial" w:hAnsi="Arial" w:cs="Arial"/>
          <w:sz w:val="24"/>
          <w:szCs w:val="24"/>
        </w:rPr>
        <w:t xml:space="preserve"> at section 98,</w:t>
      </w:r>
      <w:r w:rsidRPr="0000498E">
        <w:rPr>
          <w:rFonts w:ascii="Arial" w:hAnsi="Arial" w:cs="Arial"/>
          <w:sz w:val="24"/>
          <w:szCs w:val="24"/>
        </w:rPr>
        <w:t xml:space="preserve"> so that it is an offence for the person to threaten or intimidate someone with the intention of causing the other person to amend, or not to amend, a complaint made under this Act.</w:t>
      </w:r>
    </w:p>
    <w:p w14:paraId="3F7597E3" w14:textId="5C5EEDFB"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Clause 2</w:t>
      </w:r>
      <w:r w:rsidR="00206E93">
        <w:rPr>
          <w:rFonts w:ascii="Arial" w:hAnsi="Arial" w:cs="Arial"/>
          <w:b/>
          <w:bCs/>
          <w:sz w:val="24"/>
          <w:szCs w:val="24"/>
        </w:rPr>
        <w:t>8</w:t>
      </w:r>
      <w:r w:rsidRPr="009B4604">
        <w:rPr>
          <w:rFonts w:ascii="Arial" w:hAnsi="Arial" w:cs="Arial"/>
          <w:b/>
          <w:bCs/>
          <w:sz w:val="24"/>
          <w:szCs w:val="24"/>
        </w:rPr>
        <w:t xml:space="preserve"> </w:t>
      </w:r>
      <w:r w:rsidRPr="009B4604">
        <w:rPr>
          <w:rFonts w:ascii="Arial" w:hAnsi="Arial" w:cs="Arial"/>
          <w:b/>
          <w:bCs/>
          <w:sz w:val="24"/>
          <w:szCs w:val="24"/>
        </w:rPr>
        <w:tab/>
        <w:t>Protection of others from liability</w:t>
      </w:r>
    </w:p>
    <w:p w14:paraId="6E578841" w14:textId="3C0EAE0F"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ab/>
        <w:t>Section 100A (1) (a)</w:t>
      </w:r>
    </w:p>
    <w:p w14:paraId="6701C4FF" w14:textId="0D0D6835" w:rsidR="007E12D1" w:rsidRDefault="009B4604" w:rsidP="006C4190">
      <w:pPr>
        <w:pStyle w:val="CS-Paragraphnumbering"/>
        <w:spacing w:before="240"/>
        <w:rPr>
          <w:rFonts w:ascii="Arial" w:hAnsi="Arial" w:cs="Arial"/>
        </w:rPr>
      </w:pPr>
      <w:r w:rsidRPr="009B4604">
        <w:rPr>
          <w:rFonts w:ascii="Arial" w:hAnsi="Arial" w:cs="Arial"/>
        </w:rPr>
        <w:t>This clause inserts ‘or amendment’ so that the protection of others from civil or criminal liability extends to the making or amendment of a complaint.</w:t>
      </w:r>
      <w:r>
        <w:rPr>
          <w:rFonts w:ascii="Arial" w:hAnsi="Arial" w:cs="Arial"/>
        </w:rPr>
        <w:t xml:space="preserve">  </w:t>
      </w:r>
    </w:p>
    <w:p w14:paraId="7D024D9A" w14:textId="77777777" w:rsidR="009B4604" w:rsidRDefault="009B4604" w:rsidP="006C4190">
      <w:pPr>
        <w:pStyle w:val="CS-Paragraphnumbering"/>
        <w:spacing w:before="240"/>
        <w:rPr>
          <w:rFonts w:ascii="Arial" w:hAnsi="Arial" w:cs="Arial"/>
        </w:rPr>
      </w:pPr>
    </w:p>
    <w:p w14:paraId="5A1FAAC3" w14:textId="77777777" w:rsidR="00306F26" w:rsidRDefault="00306F26" w:rsidP="00306F26">
      <w:pPr>
        <w:rPr>
          <w:rFonts w:ascii="Arial" w:hAnsi="Arial" w:cs="Arial"/>
          <w:b/>
          <w:bCs/>
          <w:sz w:val="24"/>
          <w:szCs w:val="24"/>
        </w:rPr>
      </w:pPr>
      <w:r w:rsidRPr="00DC4296">
        <w:rPr>
          <w:rFonts w:ascii="Arial" w:hAnsi="Arial" w:cs="Arial"/>
          <w:b/>
          <w:bCs/>
          <w:sz w:val="24"/>
          <w:szCs w:val="24"/>
        </w:rPr>
        <w:t xml:space="preserve">Part 9 </w:t>
      </w:r>
      <w:r w:rsidRPr="00DC4296">
        <w:rPr>
          <w:rFonts w:ascii="Arial" w:hAnsi="Arial" w:cs="Arial"/>
          <w:b/>
          <w:bCs/>
          <w:sz w:val="24"/>
          <w:szCs w:val="24"/>
        </w:rPr>
        <w:tab/>
      </w:r>
      <w:r w:rsidRPr="00DC4296">
        <w:rPr>
          <w:rFonts w:ascii="Arial" w:hAnsi="Arial" w:cs="Arial"/>
          <w:b/>
          <w:bCs/>
          <w:sz w:val="24"/>
          <w:szCs w:val="24"/>
        </w:rPr>
        <w:tab/>
        <w:t>Legal Profession Act 2006</w:t>
      </w:r>
    </w:p>
    <w:p w14:paraId="0BE6E252" w14:textId="6A0F3685" w:rsidR="00306F26" w:rsidRDefault="00306F26" w:rsidP="00306F26">
      <w:pPr>
        <w:rPr>
          <w:rFonts w:ascii="Arial" w:hAnsi="Arial" w:cs="Arial"/>
          <w:b/>
          <w:bCs/>
          <w:sz w:val="24"/>
          <w:szCs w:val="24"/>
        </w:rPr>
      </w:pPr>
      <w:r>
        <w:rPr>
          <w:rFonts w:ascii="Arial" w:hAnsi="Arial" w:cs="Arial"/>
          <w:b/>
          <w:bCs/>
          <w:sz w:val="24"/>
          <w:szCs w:val="24"/>
        </w:rPr>
        <w:t>Clause 2</w:t>
      </w:r>
      <w:r w:rsidR="00206E93">
        <w:rPr>
          <w:rFonts w:ascii="Arial" w:hAnsi="Arial" w:cs="Arial"/>
          <w:b/>
          <w:bCs/>
          <w:sz w:val="24"/>
          <w:szCs w:val="24"/>
        </w:rPr>
        <w:t>9</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Summary conclusion of complaint procedure by fine etc</w:t>
      </w:r>
    </w:p>
    <w:p w14:paraId="33851159" w14:textId="77777777" w:rsidR="00306F26" w:rsidRDefault="00306F26" w:rsidP="00306F26">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Section 413 (3) </w:t>
      </w:r>
    </w:p>
    <w:p w14:paraId="12F74798" w14:textId="77777777" w:rsidR="00306F26" w:rsidRPr="002B35CB" w:rsidRDefault="00306F26" w:rsidP="00306F26">
      <w:pPr>
        <w:rPr>
          <w:rFonts w:ascii="Arial" w:hAnsi="Arial" w:cs="Arial"/>
          <w:sz w:val="24"/>
          <w:szCs w:val="24"/>
        </w:rPr>
      </w:pPr>
      <w:r>
        <w:rPr>
          <w:rFonts w:ascii="Arial" w:hAnsi="Arial" w:cs="Arial"/>
          <w:sz w:val="24"/>
          <w:szCs w:val="24"/>
        </w:rPr>
        <w:lastRenderedPageBreak/>
        <w:t xml:space="preserve">This clause increases the maximum fine that the ACT Law Society can impose on a legal practitioner if they have completed an investigation of a complaint against the practitioner and are satisfied that the practitioner will be found guilty by the ACAT of unsatisfactory professional conduct. The previous maximum fine amount of $1,500 is </w:t>
      </w:r>
      <w:proofErr w:type="gramStart"/>
      <w:r>
        <w:rPr>
          <w:rFonts w:ascii="Arial" w:hAnsi="Arial" w:cs="Arial"/>
          <w:sz w:val="24"/>
          <w:szCs w:val="24"/>
        </w:rPr>
        <w:t>omitted, and</w:t>
      </w:r>
      <w:proofErr w:type="gramEnd"/>
      <w:r>
        <w:rPr>
          <w:rFonts w:ascii="Arial" w:hAnsi="Arial" w:cs="Arial"/>
          <w:sz w:val="24"/>
          <w:szCs w:val="24"/>
        </w:rPr>
        <w:t xml:space="preserve"> substituted with the increased limit of $10,000.  </w:t>
      </w:r>
    </w:p>
    <w:p w14:paraId="338257E7" w14:textId="32ECB806" w:rsidR="00306F26" w:rsidRDefault="00306F26" w:rsidP="00306F26">
      <w:pPr>
        <w:rPr>
          <w:rFonts w:ascii="Arial" w:hAnsi="Arial" w:cs="Arial"/>
          <w:b/>
          <w:bCs/>
          <w:sz w:val="24"/>
          <w:szCs w:val="24"/>
        </w:rPr>
      </w:pPr>
      <w:r>
        <w:rPr>
          <w:rFonts w:ascii="Arial" w:hAnsi="Arial" w:cs="Arial"/>
          <w:b/>
          <w:bCs/>
          <w:sz w:val="24"/>
          <w:szCs w:val="24"/>
        </w:rPr>
        <w:t xml:space="preserve">Clause </w:t>
      </w:r>
      <w:r w:rsidR="00206E93">
        <w:rPr>
          <w:rFonts w:ascii="Arial" w:hAnsi="Arial" w:cs="Arial"/>
          <w:b/>
          <w:bCs/>
          <w:sz w:val="24"/>
          <w:szCs w:val="24"/>
        </w:rPr>
        <w:t>30</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Fines – Australian legal practitioners</w:t>
      </w:r>
    </w:p>
    <w:p w14:paraId="2A730FE9" w14:textId="77777777" w:rsidR="00306F26" w:rsidRDefault="00306F26" w:rsidP="00306F26">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Section 427 (1) (a) </w:t>
      </w:r>
    </w:p>
    <w:p w14:paraId="1B363311" w14:textId="77777777" w:rsidR="00306F26" w:rsidRPr="00392DC5" w:rsidRDefault="00306F26" w:rsidP="00306F26">
      <w:pPr>
        <w:rPr>
          <w:rFonts w:ascii="Arial" w:hAnsi="Arial" w:cs="Arial"/>
          <w:sz w:val="24"/>
          <w:szCs w:val="24"/>
        </w:rPr>
      </w:pPr>
      <w:r>
        <w:rPr>
          <w:rFonts w:ascii="Arial" w:hAnsi="Arial" w:cs="Arial"/>
          <w:sz w:val="24"/>
          <w:szCs w:val="24"/>
        </w:rPr>
        <w:t xml:space="preserve">This clause increases the maximum fine that the ACT Civil and Administrative Tribunal can issue by way of fine if satisfied that the practitioner is guilty of unsatisfactory professional conduct. The clause omits the previous maximum fine amount of $10,000 and substitutes it with the increased limit of $25,000. </w:t>
      </w:r>
    </w:p>
    <w:p w14:paraId="0951C95A" w14:textId="7FAE5B97" w:rsidR="00306F26" w:rsidRDefault="00306F26" w:rsidP="00306F26">
      <w:pPr>
        <w:rPr>
          <w:rFonts w:ascii="Arial" w:hAnsi="Arial" w:cs="Arial"/>
          <w:b/>
          <w:bCs/>
          <w:sz w:val="24"/>
          <w:szCs w:val="24"/>
        </w:rPr>
      </w:pPr>
      <w:r>
        <w:rPr>
          <w:rFonts w:ascii="Arial" w:hAnsi="Arial" w:cs="Arial"/>
          <w:b/>
          <w:bCs/>
          <w:sz w:val="24"/>
          <w:szCs w:val="24"/>
        </w:rPr>
        <w:t>Clause 3</w:t>
      </w:r>
      <w:r w:rsidR="00206E93">
        <w:rPr>
          <w:rFonts w:ascii="Arial" w:hAnsi="Arial" w:cs="Arial"/>
          <w:b/>
          <w:bCs/>
          <w:sz w:val="24"/>
          <w:szCs w:val="24"/>
        </w:rPr>
        <w:t>1</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New chapter 13</w:t>
      </w:r>
    </w:p>
    <w:p w14:paraId="21A641B0" w14:textId="77777777" w:rsidR="00306F26" w:rsidRDefault="00306F26" w:rsidP="00306F26">
      <w:pPr>
        <w:rPr>
          <w:rFonts w:ascii="Arial" w:hAnsi="Arial" w:cs="Arial"/>
          <w:sz w:val="24"/>
          <w:szCs w:val="24"/>
        </w:rPr>
      </w:pPr>
      <w:r w:rsidRPr="0080336C">
        <w:rPr>
          <w:rFonts w:ascii="Arial" w:hAnsi="Arial" w:cs="Arial"/>
          <w:sz w:val="24"/>
          <w:szCs w:val="24"/>
        </w:rPr>
        <w:t>This clause in</w:t>
      </w:r>
      <w:r>
        <w:rPr>
          <w:rFonts w:ascii="Arial" w:hAnsi="Arial" w:cs="Arial"/>
          <w:sz w:val="24"/>
          <w:szCs w:val="24"/>
        </w:rPr>
        <w:t xml:space="preserve">serts New Chapter 30 into the </w:t>
      </w:r>
      <w:r>
        <w:rPr>
          <w:rFonts w:ascii="Arial" w:hAnsi="Arial" w:cs="Arial"/>
          <w:i/>
          <w:iCs/>
          <w:sz w:val="24"/>
          <w:szCs w:val="24"/>
        </w:rPr>
        <w:t>Legal Profession Act 2006</w:t>
      </w:r>
      <w:r>
        <w:rPr>
          <w:rFonts w:ascii="Arial" w:hAnsi="Arial" w:cs="Arial"/>
          <w:sz w:val="24"/>
          <w:szCs w:val="24"/>
        </w:rPr>
        <w:t xml:space="preserve">. This new Chapter contains the relevant transitional provisions. The new Chapter provides that the increased fine will only apply to conduct that happens, or is alleged to have happened, on or after Part 3 of the amending Act (being the </w:t>
      </w:r>
      <w:r>
        <w:rPr>
          <w:rFonts w:ascii="Arial" w:hAnsi="Arial" w:cs="Arial"/>
          <w:i/>
          <w:iCs/>
          <w:sz w:val="24"/>
          <w:szCs w:val="24"/>
        </w:rPr>
        <w:t xml:space="preserve">Justice and Community Safety Legislation Amendment Act 2025 (No 3) </w:t>
      </w:r>
      <w:r>
        <w:rPr>
          <w:rFonts w:ascii="Arial" w:hAnsi="Arial" w:cs="Arial"/>
          <w:sz w:val="24"/>
          <w:szCs w:val="24"/>
        </w:rPr>
        <w:t xml:space="preserve">commences. </w:t>
      </w:r>
    </w:p>
    <w:p w14:paraId="7AF11A72" w14:textId="77777777" w:rsidR="009B4604" w:rsidRPr="008C129E" w:rsidRDefault="009B4604" w:rsidP="00306F26">
      <w:pPr>
        <w:rPr>
          <w:rFonts w:ascii="Arial" w:hAnsi="Arial" w:cs="Arial"/>
          <w:sz w:val="24"/>
          <w:szCs w:val="24"/>
        </w:rPr>
      </w:pPr>
    </w:p>
    <w:p w14:paraId="40DE0058" w14:textId="0DB6C4DA"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Part 10</w:t>
      </w:r>
      <w:r w:rsidRPr="009B4604">
        <w:rPr>
          <w:rFonts w:ascii="Arial" w:hAnsi="Arial" w:cs="Arial"/>
          <w:b/>
          <w:bCs/>
          <w:sz w:val="24"/>
          <w:szCs w:val="24"/>
        </w:rPr>
        <w:tab/>
        <w:t>Legislation Act 2001</w:t>
      </w:r>
    </w:p>
    <w:p w14:paraId="6E744304" w14:textId="59778A02" w:rsidR="004002C7" w:rsidRPr="009B4604" w:rsidRDefault="00A30CE4" w:rsidP="00A30CE4">
      <w:pPr>
        <w:ind w:left="2160" w:hanging="2160"/>
        <w:rPr>
          <w:rFonts w:ascii="Arial" w:hAnsi="Arial" w:cs="Arial"/>
          <w:b/>
          <w:bCs/>
          <w:i/>
          <w:iCs/>
          <w:sz w:val="24"/>
          <w:szCs w:val="24"/>
        </w:rPr>
      </w:pPr>
      <w:r w:rsidRPr="009B4604">
        <w:rPr>
          <w:rFonts w:ascii="Arial" w:hAnsi="Arial" w:cs="Arial"/>
          <w:b/>
          <w:bCs/>
          <w:sz w:val="24"/>
          <w:szCs w:val="24"/>
        </w:rPr>
        <w:t>Clause 3</w:t>
      </w:r>
      <w:r w:rsidR="00387C2E">
        <w:rPr>
          <w:rFonts w:ascii="Arial" w:hAnsi="Arial" w:cs="Arial"/>
          <w:b/>
          <w:bCs/>
          <w:sz w:val="24"/>
          <w:szCs w:val="24"/>
        </w:rPr>
        <w:t>2</w:t>
      </w:r>
      <w:r w:rsidRPr="009B4604">
        <w:rPr>
          <w:rFonts w:ascii="Arial" w:hAnsi="Arial" w:cs="Arial"/>
          <w:b/>
          <w:bCs/>
          <w:sz w:val="24"/>
          <w:szCs w:val="24"/>
        </w:rPr>
        <w:t xml:space="preserve"> </w:t>
      </w:r>
      <w:r w:rsidRPr="009B4604">
        <w:rPr>
          <w:rFonts w:ascii="Arial" w:hAnsi="Arial" w:cs="Arial"/>
          <w:b/>
          <w:bCs/>
          <w:sz w:val="24"/>
          <w:szCs w:val="24"/>
        </w:rPr>
        <w:tab/>
        <w:t xml:space="preserve">References to </w:t>
      </w:r>
      <w:r w:rsidRPr="009B4604">
        <w:rPr>
          <w:rFonts w:ascii="Arial" w:hAnsi="Arial" w:cs="Arial"/>
          <w:b/>
          <w:bCs/>
          <w:i/>
          <w:iCs/>
          <w:sz w:val="24"/>
          <w:szCs w:val="24"/>
        </w:rPr>
        <w:t>domestic partner and domestic partnership</w:t>
      </w:r>
    </w:p>
    <w:p w14:paraId="2A9BEE36" w14:textId="77777777" w:rsidR="009B460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ab/>
        <w:t>Section 169 (1), note</w:t>
      </w:r>
    </w:p>
    <w:p w14:paraId="2FDAE540" w14:textId="55598E4D" w:rsidR="009B4604" w:rsidRPr="009B4604" w:rsidRDefault="009B4604" w:rsidP="009B4604">
      <w:pPr>
        <w:ind w:hanging="33"/>
        <w:rPr>
          <w:rFonts w:ascii="Arial" w:hAnsi="Arial" w:cs="Arial"/>
          <w:sz w:val="24"/>
          <w:szCs w:val="24"/>
        </w:rPr>
      </w:pPr>
      <w:r w:rsidRPr="009B4604">
        <w:rPr>
          <w:rFonts w:ascii="Arial" w:hAnsi="Arial" w:cs="Arial"/>
          <w:sz w:val="24"/>
          <w:szCs w:val="24"/>
        </w:rPr>
        <w:t xml:space="preserve">This clause omits the note at section 169(1) which provides the Macquarie dictionary definition of spouse. This definition is no longer needed.  </w:t>
      </w:r>
    </w:p>
    <w:p w14:paraId="2D5D67BB" w14:textId="5819D68C" w:rsidR="00A30CE4" w:rsidRDefault="00A30CE4" w:rsidP="00A30CE4">
      <w:pPr>
        <w:ind w:left="2160" w:hanging="2160"/>
        <w:rPr>
          <w:rFonts w:ascii="Arial" w:hAnsi="Arial" w:cs="Arial"/>
          <w:b/>
          <w:bCs/>
          <w:sz w:val="24"/>
          <w:szCs w:val="24"/>
        </w:rPr>
      </w:pPr>
      <w:r w:rsidRPr="009B4604">
        <w:rPr>
          <w:rFonts w:ascii="Arial" w:hAnsi="Arial" w:cs="Arial"/>
          <w:b/>
          <w:bCs/>
          <w:sz w:val="24"/>
          <w:szCs w:val="24"/>
        </w:rPr>
        <w:t>Clause 3</w:t>
      </w:r>
      <w:r w:rsidR="00387C2E">
        <w:rPr>
          <w:rFonts w:ascii="Arial" w:hAnsi="Arial" w:cs="Arial"/>
          <w:b/>
          <w:bCs/>
          <w:sz w:val="24"/>
          <w:szCs w:val="24"/>
        </w:rPr>
        <w:t>3</w:t>
      </w:r>
      <w:r w:rsidRPr="009B4604">
        <w:rPr>
          <w:rFonts w:ascii="Arial" w:hAnsi="Arial" w:cs="Arial"/>
          <w:b/>
          <w:bCs/>
          <w:sz w:val="24"/>
          <w:szCs w:val="24"/>
        </w:rPr>
        <w:t xml:space="preserve"> </w:t>
      </w:r>
      <w:r w:rsidRPr="009B4604">
        <w:rPr>
          <w:rFonts w:ascii="Arial" w:hAnsi="Arial" w:cs="Arial"/>
          <w:b/>
          <w:bCs/>
          <w:sz w:val="24"/>
          <w:szCs w:val="24"/>
        </w:rPr>
        <w:tab/>
        <w:t>Section 169(2)</w:t>
      </w:r>
    </w:p>
    <w:p w14:paraId="7A3D9341" w14:textId="7C5765CC" w:rsidR="00A30CE4" w:rsidRDefault="009B4604" w:rsidP="009B4604">
      <w:pPr>
        <w:ind w:hanging="33"/>
        <w:rPr>
          <w:rFonts w:ascii="Arial" w:hAnsi="Arial" w:cs="Arial"/>
          <w:sz w:val="24"/>
          <w:szCs w:val="24"/>
        </w:rPr>
      </w:pPr>
      <w:r>
        <w:rPr>
          <w:rFonts w:ascii="Arial" w:hAnsi="Arial" w:cs="Arial"/>
          <w:sz w:val="24"/>
          <w:szCs w:val="24"/>
        </w:rPr>
        <w:t>This clause omits the phrase ‘whether of a different or the same sex’</w:t>
      </w:r>
      <w:r w:rsidRPr="001334B9">
        <w:rPr>
          <w:rFonts w:ascii="Arial" w:hAnsi="Arial" w:cs="Arial"/>
          <w:sz w:val="24"/>
          <w:szCs w:val="24"/>
        </w:rPr>
        <w:t xml:space="preserve"> so that the provision uses gender inclusive language.</w:t>
      </w:r>
    </w:p>
    <w:p w14:paraId="2005CE63" w14:textId="77777777" w:rsidR="009B4604" w:rsidRPr="009B4604" w:rsidRDefault="009B4604" w:rsidP="00A30CE4">
      <w:pPr>
        <w:ind w:left="2160" w:hanging="2160"/>
        <w:rPr>
          <w:rFonts w:ascii="Arial" w:hAnsi="Arial" w:cs="Arial"/>
          <w:sz w:val="24"/>
          <w:szCs w:val="24"/>
        </w:rPr>
      </w:pPr>
    </w:p>
    <w:p w14:paraId="29032004" w14:textId="4E328C29"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Part 11</w:t>
      </w:r>
      <w:r w:rsidRPr="00EC4A1D">
        <w:rPr>
          <w:rFonts w:ascii="Arial" w:hAnsi="Arial" w:cs="Arial"/>
          <w:b/>
          <w:bCs/>
          <w:sz w:val="24"/>
          <w:szCs w:val="24"/>
        </w:rPr>
        <w:tab/>
        <w:t>Major Events Act 2014</w:t>
      </w:r>
    </w:p>
    <w:p w14:paraId="47C56CE1" w14:textId="6837C05B"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4</w:t>
      </w:r>
      <w:r w:rsidRPr="00EC4A1D">
        <w:rPr>
          <w:rFonts w:ascii="Arial" w:hAnsi="Arial" w:cs="Arial"/>
          <w:b/>
          <w:bCs/>
          <w:sz w:val="24"/>
          <w:szCs w:val="24"/>
        </w:rPr>
        <w:tab/>
        <w:t>Scanning, ordinary and frisk searches—requirements</w:t>
      </w:r>
    </w:p>
    <w:p w14:paraId="20201EB9" w14:textId="3AD54422"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ab/>
        <w:t>Section 19(2)</w:t>
      </w:r>
    </w:p>
    <w:p w14:paraId="453AECB9" w14:textId="0D09555D" w:rsidR="00EC4A1D" w:rsidRPr="00EC4A1D" w:rsidRDefault="00EC4A1D" w:rsidP="00EC4A1D">
      <w:pPr>
        <w:rPr>
          <w:rFonts w:ascii="Arial" w:hAnsi="Arial" w:cs="Arial"/>
          <w:sz w:val="24"/>
          <w:szCs w:val="24"/>
        </w:rPr>
      </w:pPr>
      <w:r w:rsidRPr="00EC4A1D">
        <w:rPr>
          <w:rFonts w:ascii="Arial" w:hAnsi="Arial" w:cs="Arial"/>
          <w:sz w:val="24"/>
          <w:szCs w:val="24"/>
        </w:rPr>
        <w:t xml:space="preserve">This clause amends section 19 (2) to substitute ‘major event venue’ and replace it with ‘event venue’, to </w:t>
      </w:r>
      <w:r w:rsidR="00006A9D">
        <w:rPr>
          <w:rFonts w:ascii="Arial" w:hAnsi="Arial" w:cs="Arial"/>
          <w:sz w:val="24"/>
          <w:szCs w:val="24"/>
        </w:rPr>
        <w:t xml:space="preserve">clarify that this </w:t>
      </w:r>
      <w:r w:rsidRPr="00EC4A1D">
        <w:rPr>
          <w:rFonts w:ascii="Arial" w:hAnsi="Arial" w:cs="Arial"/>
          <w:sz w:val="24"/>
          <w:szCs w:val="24"/>
        </w:rPr>
        <w:t xml:space="preserve">provision </w:t>
      </w:r>
      <w:r w:rsidR="00006A9D">
        <w:rPr>
          <w:rFonts w:ascii="Arial" w:hAnsi="Arial" w:cs="Arial"/>
          <w:sz w:val="24"/>
          <w:szCs w:val="24"/>
        </w:rPr>
        <w:t>applies to</w:t>
      </w:r>
      <w:r w:rsidRPr="00EC4A1D">
        <w:rPr>
          <w:rFonts w:ascii="Arial" w:hAnsi="Arial" w:cs="Arial"/>
          <w:sz w:val="24"/>
          <w:szCs w:val="24"/>
        </w:rPr>
        <w:t xml:space="preserve"> both Major Events and </w:t>
      </w:r>
      <w:r w:rsidRPr="00EC4A1D">
        <w:rPr>
          <w:rFonts w:ascii="Arial" w:hAnsi="Arial" w:cs="Arial"/>
          <w:sz w:val="24"/>
          <w:szCs w:val="24"/>
        </w:rPr>
        <w:lastRenderedPageBreak/>
        <w:t>Important Sporting Events under the Act</w:t>
      </w:r>
      <w:r w:rsidR="00006A9D">
        <w:rPr>
          <w:rFonts w:ascii="Arial" w:hAnsi="Arial" w:cs="Arial"/>
          <w:sz w:val="24"/>
          <w:szCs w:val="24"/>
        </w:rPr>
        <w:t>, as contemplated in the offences in Division 3.3 of the Act.</w:t>
      </w:r>
    </w:p>
    <w:p w14:paraId="3D445F1E" w14:textId="24AF90B0" w:rsidR="00387C2E" w:rsidRPr="00EC4A1D" w:rsidRDefault="00387C2E" w:rsidP="00387C2E">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5</w:t>
      </w:r>
      <w:r w:rsidRPr="00EC4A1D">
        <w:rPr>
          <w:rFonts w:ascii="Arial" w:hAnsi="Arial" w:cs="Arial"/>
          <w:b/>
          <w:bCs/>
          <w:sz w:val="24"/>
          <w:szCs w:val="24"/>
        </w:rPr>
        <w:tab/>
        <w:t>Offence—ban orders</w:t>
      </w:r>
    </w:p>
    <w:p w14:paraId="4F7ACDE3" w14:textId="13609D8B" w:rsidR="00387C2E" w:rsidRPr="00EC4A1D" w:rsidRDefault="00387C2E" w:rsidP="00387C2E">
      <w:pPr>
        <w:ind w:left="2160" w:hanging="2160"/>
        <w:rPr>
          <w:rFonts w:ascii="Arial" w:hAnsi="Arial" w:cs="Arial"/>
          <w:b/>
          <w:bCs/>
          <w:i/>
          <w:iCs/>
          <w:sz w:val="24"/>
          <w:szCs w:val="24"/>
        </w:rPr>
      </w:pPr>
      <w:r w:rsidRPr="00EC4A1D">
        <w:rPr>
          <w:rFonts w:ascii="Arial" w:hAnsi="Arial" w:cs="Arial"/>
          <w:b/>
          <w:bCs/>
          <w:sz w:val="24"/>
          <w:szCs w:val="24"/>
        </w:rPr>
        <w:tab/>
        <w:t xml:space="preserve">Section 24(8), definition of </w:t>
      </w:r>
      <w:r w:rsidRPr="00EC4A1D">
        <w:rPr>
          <w:rFonts w:ascii="Arial" w:hAnsi="Arial" w:cs="Arial"/>
          <w:b/>
          <w:bCs/>
          <w:i/>
          <w:iCs/>
          <w:sz w:val="24"/>
          <w:szCs w:val="24"/>
        </w:rPr>
        <w:t>ban order offence,</w:t>
      </w:r>
    </w:p>
    <w:p w14:paraId="1D3A1D20" w14:textId="73771B75" w:rsidR="00387C2E" w:rsidRPr="00EC4A1D" w:rsidRDefault="00387C2E" w:rsidP="00387C2E">
      <w:pPr>
        <w:ind w:left="2160" w:hanging="2160"/>
        <w:rPr>
          <w:rFonts w:ascii="Arial" w:hAnsi="Arial" w:cs="Arial"/>
          <w:b/>
          <w:bCs/>
          <w:sz w:val="24"/>
          <w:szCs w:val="24"/>
        </w:rPr>
      </w:pPr>
      <w:r w:rsidRPr="00EC4A1D">
        <w:rPr>
          <w:rFonts w:ascii="Arial" w:hAnsi="Arial" w:cs="Arial"/>
          <w:b/>
          <w:bCs/>
          <w:i/>
          <w:iCs/>
          <w:sz w:val="24"/>
          <w:szCs w:val="24"/>
        </w:rPr>
        <w:tab/>
      </w:r>
      <w:r w:rsidRPr="00EC4A1D">
        <w:rPr>
          <w:rFonts w:ascii="Arial" w:hAnsi="Arial" w:cs="Arial"/>
          <w:b/>
          <w:bCs/>
          <w:sz w:val="24"/>
          <w:szCs w:val="24"/>
        </w:rPr>
        <w:t>paragraph (a) (i)</w:t>
      </w:r>
    </w:p>
    <w:p w14:paraId="4E441291" w14:textId="46C00F05" w:rsidR="00EC4A1D" w:rsidRPr="00EC4A1D" w:rsidRDefault="00EC4A1D" w:rsidP="00EC4A1D">
      <w:pPr>
        <w:rPr>
          <w:rFonts w:ascii="Arial" w:hAnsi="Arial" w:cs="Arial"/>
          <w:sz w:val="24"/>
          <w:szCs w:val="24"/>
        </w:rPr>
      </w:pPr>
      <w:r w:rsidRPr="00EC4A1D">
        <w:rPr>
          <w:rFonts w:ascii="Arial" w:hAnsi="Arial" w:cs="Arial"/>
          <w:sz w:val="24"/>
          <w:szCs w:val="24"/>
        </w:rPr>
        <w:t>This clause amends section 24 (8) – which seeks to define ban order offence – to substitute to an incorrect reference to section 12 (Meaning of prohibited items) and replace it with a correct reference to refer to section 13 (Offences – unauthorised entry to event venue).</w:t>
      </w:r>
    </w:p>
    <w:p w14:paraId="7B53B5A9" w14:textId="20992790"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6</w:t>
      </w:r>
      <w:r w:rsidRPr="00EC4A1D">
        <w:rPr>
          <w:rFonts w:ascii="Arial" w:hAnsi="Arial" w:cs="Arial"/>
          <w:b/>
          <w:bCs/>
          <w:sz w:val="24"/>
          <w:szCs w:val="24"/>
        </w:rPr>
        <w:tab/>
        <w:t>Retention and return of certain prohibited items</w:t>
      </w:r>
    </w:p>
    <w:p w14:paraId="4D7DA904" w14:textId="39CD6E16"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ab/>
        <w:t>Section 61 (a) (ii)</w:t>
      </w:r>
    </w:p>
    <w:p w14:paraId="7A55759A" w14:textId="77777777" w:rsidR="00EC4A1D" w:rsidRPr="00EC4A1D" w:rsidRDefault="00EC4A1D" w:rsidP="00EC4A1D">
      <w:pPr>
        <w:rPr>
          <w:rFonts w:ascii="Arial" w:hAnsi="Arial" w:cs="Arial"/>
          <w:sz w:val="24"/>
          <w:szCs w:val="24"/>
        </w:rPr>
      </w:pPr>
      <w:r w:rsidRPr="00EC4A1D">
        <w:rPr>
          <w:rFonts w:ascii="Arial" w:hAnsi="Arial" w:cs="Arial"/>
          <w:sz w:val="24"/>
          <w:szCs w:val="24"/>
        </w:rPr>
        <w:t xml:space="preserve">This clause amends section 61 (a) (ii) to substitute ‘other prohibited item’ and replace it with ‘other prohibited item surrendered or confiscated under section 15 or seized under section 50.’ This improves clarify of the clause to clearly identify the items in scope of this section.  </w:t>
      </w:r>
    </w:p>
    <w:p w14:paraId="72F2B898" w14:textId="501C8217"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7</w:t>
      </w:r>
      <w:r w:rsidRPr="00EC4A1D">
        <w:rPr>
          <w:rFonts w:ascii="Arial" w:hAnsi="Arial" w:cs="Arial"/>
          <w:b/>
          <w:bCs/>
          <w:sz w:val="24"/>
          <w:szCs w:val="24"/>
        </w:rPr>
        <w:tab/>
        <w:t>Section 61 (c)</w:t>
      </w:r>
    </w:p>
    <w:p w14:paraId="4B6ECABA" w14:textId="77777777" w:rsidR="00EC4A1D" w:rsidRPr="00EC4A1D" w:rsidRDefault="00EC4A1D" w:rsidP="00EC4A1D">
      <w:pPr>
        <w:rPr>
          <w:rFonts w:ascii="Arial" w:hAnsi="Arial" w:cs="Arial"/>
          <w:sz w:val="24"/>
          <w:szCs w:val="24"/>
        </w:rPr>
      </w:pPr>
      <w:r w:rsidRPr="00EC4A1D">
        <w:rPr>
          <w:rFonts w:ascii="Arial" w:hAnsi="Arial" w:cs="Arial"/>
          <w:sz w:val="24"/>
          <w:szCs w:val="24"/>
        </w:rPr>
        <w:t>This clause amends section 61 (c) to substitute ‘prohibited item to which paragraph (a) does not apply’ and replace it with ‘returnable item’ to improve clarity of the clause by using the defined term, rather than an explanation of the term.</w:t>
      </w:r>
    </w:p>
    <w:p w14:paraId="5FF25679" w14:textId="77777777" w:rsidR="00A30CE4" w:rsidRDefault="00A30CE4" w:rsidP="00A30CE4">
      <w:pPr>
        <w:ind w:left="2160" w:hanging="2160"/>
        <w:rPr>
          <w:rFonts w:ascii="Arial" w:hAnsi="Arial" w:cs="Arial"/>
          <w:b/>
          <w:bCs/>
          <w:sz w:val="24"/>
          <w:szCs w:val="24"/>
        </w:rPr>
      </w:pPr>
    </w:p>
    <w:p w14:paraId="4109904A" w14:textId="62CBB33A"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Part 12</w:t>
      </w:r>
      <w:r w:rsidRPr="009B4604">
        <w:rPr>
          <w:rFonts w:ascii="Arial" w:hAnsi="Arial" w:cs="Arial"/>
          <w:b/>
          <w:bCs/>
          <w:sz w:val="24"/>
          <w:szCs w:val="24"/>
        </w:rPr>
        <w:tab/>
        <w:t>Official Visitor Act 2012</w:t>
      </w:r>
    </w:p>
    <w:p w14:paraId="29BA5C1C" w14:textId="4AC3C7EC"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Clause 3</w:t>
      </w:r>
      <w:r w:rsidR="005D5B7A">
        <w:rPr>
          <w:rFonts w:ascii="Arial" w:hAnsi="Arial" w:cs="Arial"/>
          <w:b/>
          <w:bCs/>
          <w:sz w:val="24"/>
          <w:szCs w:val="24"/>
        </w:rPr>
        <w:t>8</w:t>
      </w:r>
      <w:r w:rsidR="000F3266" w:rsidRPr="009B4604">
        <w:rPr>
          <w:rFonts w:ascii="Arial" w:hAnsi="Arial" w:cs="Arial"/>
          <w:b/>
          <w:bCs/>
          <w:sz w:val="24"/>
          <w:szCs w:val="24"/>
        </w:rPr>
        <w:tab/>
        <w:t>Appointment</w:t>
      </w:r>
    </w:p>
    <w:p w14:paraId="0F57EC7E" w14:textId="75C6BBD6" w:rsidR="000F3266" w:rsidRPr="009B4604" w:rsidRDefault="000F3266" w:rsidP="00A30CE4">
      <w:pPr>
        <w:ind w:left="2160" w:hanging="2160"/>
        <w:rPr>
          <w:rFonts w:ascii="Arial" w:hAnsi="Arial" w:cs="Arial"/>
          <w:b/>
          <w:bCs/>
          <w:sz w:val="24"/>
          <w:szCs w:val="24"/>
        </w:rPr>
      </w:pPr>
      <w:r w:rsidRPr="009B4604">
        <w:rPr>
          <w:rFonts w:ascii="Arial" w:hAnsi="Arial" w:cs="Arial"/>
          <w:b/>
          <w:bCs/>
          <w:sz w:val="24"/>
          <w:szCs w:val="24"/>
        </w:rPr>
        <w:tab/>
        <w:t>Section 10 (3) (a) and (b)</w:t>
      </w:r>
    </w:p>
    <w:p w14:paraId="07E69C35" w14:textId="3B72C3B3" w:rsidR="009B4604" w:rsidRPr="00362038" w:rsidRDefault="00E259F6" w:rsidP="009B4604">
      <w:pPr>
        <w:ind w:hanging="33"/>
        <w:rPr>
          <w:rFonts w:ascii="Arial" w:hAnsi="Arial" w:cs="Arial"/>
          <w:sz w:val="24"/>
          <w:szCs w:val="24"/>
        </w:rPr>
      </w:pPr>
      <w:r>
        <w:rPr>
          <w:rFonts w:ascii="Arial" w:hAnsi="Arial" w:cs="Arial"/>
          <w:sz w:val="24"/>
          <w:szCs w:val="24"/>
        </w:rPr>
        <w:t>This clause</w:t>
      </w:r>
      <w:r w:rsidR="009B4604" w:rsidRPr="009B4604">
        <w:rPr>
          <w:rFonts w:ascii="Arial" w:hAnsi="Arial" w:cs="Arial"/>
          <w:sz w:val="24"/>
          <w:szCs w:val="24"/>
        </w:rPr>
        <w:t xml:space="preserve"> substitutes sections 10 (3) (a) and (b) to provide that the Minister must not appoint a person as an official visitor for a visitable place if the person (a) is a public servant; or (b) has an actual or perceived conflict of interest that would prevent the official visitor from properly carrying out the functions of an official visitor for the </w:t>
      </w:r>
      <w:r w:rsidR="009B4604" w:rsidRPr="00362038">
        <w:rPr>
          <w:rFonts w:ascii="Arial" w:hAnsi="Arial" w:cs="Arial"/>
          <w:sz w:val="24"/>
          <w:szCs w:val="24"/>
        </w:rPr>
        <w:t>place.</w:t>
      </w:r>
      <w:r w:rsidR="00362038">
        <w:rPr>
          <w:rFonts w:ascii="Arial" w:hAnsi="Arial" w:cs="Arial"/>
          <w:sz w:val="24"/>
          <w:szCs w:val="24"/>
        </w:rPr>
        <w:t xml:space="preserve"> The amendments are intended to increase the clarify of the eligibility criteria for Official Visitors. Statutory office holders will no longer be automatically ineligible for appointment as an official visitor by virtue of being a public employee. </w:t>
      </w:r>
    </w:p>
    <w:p w14:paraId="2782E2D4" w14:textId="56A38697" w:rsidR="00A30CE4" w:rsidRPr="00362038" w:rsidRDefault="00A30CE4" w:rsidP="00A30CE4">
      <w:pPr>
        <w:ind w:left="2160" w:hanging="2160"/>
        <w:rPr>
          <w:rFonts w:ascii="Arial" w:hAnsi="Arial" w:cs="Arial"/>
          <w:b/>
          <w:bCs/>
          <w:i/>
          <w:iCs/>
          <w:sz w:val="24"/>
          <w:szCs w:val="24"/>
        </w:rPr>
      </w:pPr>
      <w:r w:rsidRPr="00362038">
        <w:rPr>
          <w:rFonts w:ascii="Arial" w:hAnsi="Arial" w:cs="Arial"/>
          <w:b/>
          <w:bCs/>
          <w:sz w:val="24"/>
          <w:szCs w:val="24"/>
        </w:rPr>
        <w:t xml:space="preserve">Clause </w:t>
      </w:r>
      <w:r w:rsidR="005D5B7A">
        <w:rPr>
          <w:rFonts w:ascii="Arial" w:hAnsi="Arial" w:cs="Arial"/>
          <w:b/>
          <w:bCs/>
          <w:sz w:val="24"/>
          <w:szCs w:val="24"/>
        </w:rPr>
        <w:t>39</w:t>
      </w:r>
      <w:r w:rsidR="000F3266" w:rsidRPr="00362038">
        <w:rPr>
          <w:rFonts w:ascii="Arial" w:hAnsi="Arial" w:cs="Arial"/>
          <w:b/>
          <w:bCs/>
          <w:sz w:val="24"/>
          <w:szCs w:val="24"/>
        </w:rPr>
        <w:tab/>
        <w:t xml:space="preserve">Section 10 (5), definition of </w:t>
      </w:r>
      <w:r w:rsidR="000F3266" w:rsidRPr="00362038">
        <w:rPr>
          <w:rFonts w:ascii="Arial" w:hAnsi="Arial" w:cs="Arial"/>
          <w:b/>
          <w:bCs/>
          <w:i/>
          <w:iCs/>
          <w:sz w:val="24"/>
          <w:szCs w:val="24"/>
        </w:rPr>
        <w:t xml:space="preserve">relevant interest </w:t>
      </w:r>
    </w:p>
    <w:p w14:paraId="2CC6A854" w14:textId="4448D8BA"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omits the definition of ‘relevant interest’ for consistency with the amendment</w:t>
      </w:r>
      <w:r>
        <w:rPr>
          <w:rFonts w:ascii="Arial" w:hAnsi="Arial" w:cs="Arial"/>
          <w:sz w:val="24"/>
          <w:szCs w:val="24"/>
        </w:rPr>
        <w:t>s in this Part.</w:t>
      </w:r>
      <w:r w:rsidR="00362038" w:rsidRPr="00362038">
        <w:rPr>
          <w:rFonts w:ascii="Arial" w:hAnsi="Arial" w:cs="Arial"/>
          <w:sz w:val="24"/>
          <w:szCs w:val="24"/>
        </w:rPr>
        <w:t xml:space="preserve"> </w:t>
      </w:r>
    </w:p>
    <w:p w14:paraId="6344B6AE" w14:textId="77A0ED81"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lastRenderedPageBreak/>
        <w:t xml:space="preserve">Clause </w:t>
      </w:r>
      <w:r w:rsidR="00387C2E">
        <w:rPr>
          <w:rFonts w:ascii="Arial" w:hAnsi="Arial" w:cs="Arial"/>
          <w:b/>
          <w:bCs/>
          <w:sz w:val="24"/>
          <w:szCs w:val="24"/>
        </w:rPr>
        <w:t>4</w:t>
      </w:r>
      <w:r w:rsidR="005D5B7A">
        <w:rPr>
          <w:rFonts w:ascii="Arial" w:hAnsi="Arial" w:cs="Arial"/>
          <w:b/>
          <w:bCs/>
          <w:sz w:val="24"/>
          <w:szCs w:val="24"/>
        </w:rPr>
        <w:t>0</w:t>
      </w:r>
      <w:r w:rsidR="000F3266" w:rsidRPr="00362038">
        <w:rPr>
          <w:rFonts w:ascii="Arial" w:hAnsi="Arial" w:cs="Arial"/>
          <w:b/>
          <w:bCs/>
          <w:sz w:val="24"/>
          <w:szCs w:val="24"/>
        </w:rPr>
        <w:tab/>
        <w:t xml:space="preserve">Ending appointment </w:t>
      </w:r>
    </w:p>
    <w:p w14:paraId="0F02753D" w14:textId="71972A89" w:rsidR="000F3266" w:rsidRPr="00362038" w:rsidRDefault="000F3266" w:rsidP="00A30CE4">
      <w:pPr>
        <w:ind w:left="2160" w:hanging="2160"/>
        <w:rPr>
          <w:rFonts w:ascii="Arial" w:hAnsi="Arial" w:cs="Arial"/>
          <w:b/>
          <w:bCs/>
          <w:sz w:val="24"/>
          <w:szCs w:val="24"/>
        </w:rPr>
      </w:pPr>
      <w:r w:rsidRPr="00362038">
        <w:rPr>
          <w:rFonts w:ascii="Arial" w:hAnsi="Arial" w:cs="Arial"/>
          <w:b/>
          <w:bCs/>
          <w:sz w:val="24"/>
          <w:szCs w:val="24"/>
        </w:rPr>
        <w:tab/>
        <w:t>Section 12 (3)</w:t>
      </w:r>
    </w:p>
    <w:p w14:paraId="62679ED6" w14:textId="722CD712"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omits the term ‘public employee’ and substitutes it with ‘public servant’ for consistency with the amendment</w:t>
      </w:r>
      <w:r>
        <w:rPr>
          <w:rFonts w:ascii="Arial" w:hAnsi="Arial" w:cs="Arial"/>
          <w:sz w:val="24"/>
          <w:szCs w:val="24"/>
        </w:rPr>
        <w:t>s</w:t>
      </w:r>
      <w:r w:rsidR="00362038" w:rsidRPr="00362038">
        <w:rPr>
          <w:rFonts w:ascii="Arial" w:hAnsi="Arial" w:cs="Arial"/>
          <w:sz w:val="24"/>
          <w:szCs w:val="24"/>
        </w:rPr>
        <w:t xml:space="preserve"> </w:t>
      </w:r>
      <w:r>
        <w:rPr>
          <w:rFonts w:ascii="Arial" w:hAnsi="Arial" w:cs="Arial"/>
          <w:sz w:val="24"/>
          <w:szCs w:val="24"/>
        </w:rPr>
        <w:t>in this Part.</w:t>
      </w:r>
    </w:p>
    <w:p w14:paraId="5E211EFB" w14:textId="4E163E15"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t>Clause 4</w:t>
      </w:r>
      <w:r w:rsidR="005D5B7A">
        <w:rPr>
          <w:rFonts w:ascii="Arial" w:hAnsi="Arial" w:cs="Arial"/>
          <w:b/>
          <w:bCs/>
          <w:sz w:val="24"/>
          <w:szCs w:val="24"/>
        </w:rPr>
        <w:t>1</w:t>
      </w:r>
      <w:r w:rsidR="000F3266" w:rsidRPr="00362038">
        <w:rPr>
          <w:rFonts w:ascii="Arial" w:hAnsi="Arial" w:cs="Arial"/>
          <w:b/>
          <w:bCs/>
          <w:sz w:val="24"/>
          <w:szCs w:val="24"/>
        </w:rPr>
        <w:tab/>
        <w:t>New section 14B</w:t>
      </w:r>
    </w:p>
    <w:p w14:paraId="7EE4D0B6" w14:textId="70632B59" w:rsidR="00362038"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inserts a new conflict of interest provision at section 14B. </w:t>
      </w:r>
    </w:p>
    <w:p w14:paraId="33920B50" w14:textId="6AC5C67B" w:rsidR="00362038" w:rsidRPr="00362038" w:rsidRDefault="00362038" w:rsidP="00362038">
      <w:pPr>
        <w:ind w:hanging="33"/>
        <w:rPr>
          <w:rFonts w:ascii="Arial" w:hAnsi="Arial" w:cs="Arial"/>
          <w:sz w:val="24"/>
          <w:szCs w:val="24"/>
        </w:rPr>
      </w:pPr>
      <w:r w:rsidRPr="00362038">
        <w:rPr>
          <w:rFonts w:ascii="Arial" w:hAnsi="Arial" w:cs="Arial"/>
          <w:sz w:val="24"/>
          <w:szCs w:val="24"/>
        </w:rPr>
        <w:t xml:space="preserve">Subsection (1) provides that an </w:t>
      </w:r>
      <w:r w:rsidR="00CC7BDE" w:rsidRPr="00362038">
        <w:rPr>
          <w:rFonts w:ascii="Arial" w:hAnsi="Arial" w:cs="Arial"/>
          <w:sz w:val="24"/>
          <w:szCs w:val="24"/>
        </w:rPr>
        <w:t>O</w:t>
      </w:r>
      <w:r w:rsidR="00CC7BDE">
        <w:rPr>
          <w:rFonts w:ascii="Arial" w:hAnsi="Arial" w:cs="Arial"/>
          <w:sz w:val="24"/>
          <w:szCs w:val="24"/>
        </w:rPr>
        <w:t>fficial Visitor</w:t>
      </w:r>
      <w:r w:rsidR="00CC7BDE" w:rsidRPr="00362038">
        <w:rPr>
          <w:rFonts w:ascii="Arial" w:hAnsi="Arial" w:cs="Arial"/>
          <w:sz w:val="24"/>
          <w:szCs w:val="24"/>
        </w:rPr>
        <w:t xml:space="preserve"> </w:t>
      </w:r>
      <w:r w:rsidRPr="00362038">
        <w:rPr>
          <w:rFonts w:ascii="Arial" w:hAnsi="Arial" w:cs="Arial"/>
          <w:sz w:val="24"/>
          <w:szCs w:val="24"/>
        </w:rPr>
        <w:t xml:space="preserve">must take all reasonable steps to avoid being placed in a position where a conflict of interest arises during the exercise of the official visitor’s functions. </w:t>
      </w:r>
    </w:p>
    <w:p w14:paraId="4A7FD0FD" w14:textId="19838292" w:rsidR="009B4604" w:rsidRPr="00362038" w:rsidRDefault="00362038" w:rsidP="00362038">
      <w:pPr>
        <w:ind w:hanging="33"/>
        <w:rPr>
          <w:rFonts w:ascii="Arial" w:hAnsi="Arial" w:cs="Arial"/>
          <w:sz w:val="24"/>
          <w:szCs w:val="24"/>
        </w:rPr>
      </w:pPr>
      <w:r w:rsidRPr="00362038">
        <w:rPr>
          <w:rFonts w:ascii="Arial" w:hAnsi="Arial" w:cs="Arial"/>
          <w:sz w:val="24"/>
          <w:szCs w:val="24"/>
        </w:rPr>
        <w:t xml:space="preserve">Subsection (2) provides that an </w:t>
      </w:r>
      <w:r w:rsidR="00CC7BDE" w:rsidRPr="00362038">
        <w:rPr>
          <w:rFonts w:ascii="Arial" w:hAnsi="Arial" w:cs="Arial"/>
          <w:sz w:val="24"/>
          <w:szCs w:val="24"/>
        </w:rPr>
        <w:t>O</w:t>
      </w:r>
      <w:r w:rsidR="00CC7BDE">
        <w:rPr>
          <w:rFonts w:ascii="Arial" w:hAnsi="Arial" w:cs="Arial"/>
          <w:sz w:val="24"/>
          <w:szCs w:val="24"/>
        </w:rPr>
        <w:t xml:space="preserve">fficial Visitor </w:t>
      </w:r>
      <w:r w:rsidRPr="00362038">
        <w:rPr>
          <w:rFonts w:ascii="Arial" w:hAnsi="Arial" w:cs="Arial"/>
          <w:sz w:val="24"/>
          <w:szCs w:val="24"/>
        </w:rPr>
        <w:t xml:space="preserve">must give written notice of the following to the </w:t>
      </w:r>
      <w:r w:rsidR="00E82284">
        <w:rPr>
          <w:rFonts w:ascii="Arial" w:hAnsi="Arial" w:cs="Arial"/>
          <w:sz w:val="24"/>
          <w:szCs w:val="24"/>
        </w:rPr>
        <w:t>O</w:t>
      </w:r>
      <w:r w:rsidRPr="00362038">
        <w:rPr>
          <w:rFonts w:ascii="Arial" w:hAnsi="Arial" w:cs="Arial"/>
          <w:sz w:val="24"/>
          <w:szCs w:val="24"/>
        </w:rPr>
        <w:t xml:space="preserve">fficial </w:t>
      </w:r>
      <w:r w:rsidR="00E82284">
        <w:rPr>
          <w:rFonts w:ascii="Arial" w:hAnsi="Arial" w:cs="Arial"/>
          <w:sz w:val="24"/>
          <w:szCs w:val="24"/>
        </w:rPr>
        <w:t>V</w:t>
      </w:r>
      <w:r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 (a) any paid employment the official visitor proposes to undertake; (b) any activity the official visitor proposes to undertake that may give rise to a conflict of interest during the exercise of the official visitor’s functions. This may include, for example, volunteering for a service provider in a visitable place or acquiring shares in a company involved in a visitable place. This subsection is intended to ensure the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 </w:t>
      </w:r>
      <w:proofErr w:type="gramStart"/>
      <w:r w:rsidRPr="00362038">
        <w:rPr>
          <w:rFonts w:ascii="Arial" w:hAnsi="Arial" w:cs="Arial"/>
          <w:sz w:val="24"/>
          <w:szCs w:val="24"/>
        </w:rPr>
        <w:t>is able to</w:t>
      </w:r>
      <w:proofErr w:type="gramEnd"/>
      <w:r w:rsidRPr="00362038">
        <w:rPr>
          <w:rFonts w:ascii="Arial" w:hAnsi="Arial" w:cs="Arial"/>
          <w:sz w:val="24"/>
          <w:szCs w:val="24"/>
        </w:rPr>
        <w:t xml:space="preserve"> monitor the independence of official visitors throughout the duration of their appointment. This will support the </w:t>
      </w:r>
      <w:r w:rsidR="00E82284">
        <w:rPr>
          <w:rFonts w:ascii="Arial" w:hAnsi="Arial" w:cs="Arial"/>
          <w:sz w:val="24"/>
          <w:szCs w:val="24"/>
        </w:rPr>
        <w:t>O</w:t>
      </w:r>
      <w:r w:rsidRPr="00362038">
        <w:rPr>
          <w:rFonts w:ascii="Arial" w:hAnsi="Arial" w:cs="Arial"/>
          <w:sz w:val="24"/>
          <w:szCs w:val="24"/>
        </w:rPr>
        <w:t xml:space="preserve">fficial </w:t>
      </w:r>
      <w:r w:rsidR="00E82284">
        <w:rPr>
          <w:rFonts w:ascii="Arial" w:hAnsi="Arial" w:cs="Arial"/>
          <w:sz w:val="24"/>
          <w:szCs w:val="24"/>
        </w:rPr>
        <w:t>V</w:t>
      </w:r>
      <w:r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oard’s ability to advise the Minister in relation to the obligation under section 12(2)(b) to terminate an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 </w:t>
      </w:r>
      <w:r w:rsidRPr="00362038">
        <w:rPr>
          <w:rFonts w:ascii="Arial" w:hAnsi="Arial" w:cs="Arial"/>
          <w:sz w:val="24"/>
          <w:szCs w:val="24"/>
        </w:rPr>
        <w:t xml:space="preserve">appointment if the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 </w:t>
      </w:r>
      <w:r w:rsidRPr="00362038">
        <w:rPr>
          <w:rFonts w:ascii="Arial" w:hAnsi="Arial" w:cs="Arial"/>
          <w:sz w:val="24"/>
          <w:szCs w:val="24"/>
        </w:rPr>
        <w:t xml:space="preserve">fails to take all reasonable steps to avoid being places in a position where a conflict of interest arises during the exercise of their functions. </w:t>
      </w:r>
    </w:p>
    <w:p w14:paraId="37AE60FF" w14:textId="4E1ED197"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t>Clause 4</w:t>
      </w:r>
      <w:r w:rsidR="005D5B7A">
        <w:rPr>
          <w:rFonts w:ascii="Arial" w:hAnsi="Arial" w:cs="Arial"/>
          <w:b/>
          <w:bCs/>
          <w:sz w:val="24"/>
          <w:szCs w:val="24"/>
        </w:rPr>
        <w:t>2</w:t>
      </w:r>
      <w:r w:rsidR="000F3266" w:rsidRPr="00362038">
        <w:rPr>
          <w:rFonts w:ascii="Arial" w:hAnsi="Arial" w:cs="Arial"/>
          <w:b/>
          <w:bCs/>
          <w:sz w:val="24"/>
          <w:szCs w:val="24"/>
        </w:rPr>
        <w:tab/>
        <w:t>New part 12</w:t>
      </w:r>
    </w:p>
    <w:p w14:paraId="133F9E5A" w14:textId="066D42D0"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inserts a new part 12</w:t>
      </w:r>
      <w:r w:rsidR="000A41D8">
        <w:rPr>
          <w:rFonts w:ascii="Arial" w:hAnsi="Arial" w:cs="Arial"/>
          <w:sz w:val="24"/>
          <w:szCs w:val="24"/>
        </w:rPr>
        <w:t xml:space="preserve">. Section 63 provides that Clare Doube is taken to have been appointed as a corrections </w:t>
      </w:r>
      <w:r w:rsidR="00CC7BDE">
        <w:rPr>
          <w:rFonts w:ascii="Arial" w:hAnsi="Arial" w:cs="Arial"/>
          <w:sz w:val="24"/>
          <w:szCs w:val="24"/>
        </w:rPr>
        <w:t xml:space="preserve">Official Visitor </w:t>
      </w:r>
      <w:r w:rsidR="000A41D8">
        <w:rPr>
          <w:rFonts w:ascii="Arial" w:hAnsi="Arial" w:cs="Arial"/>
          <w:sz w:val="24"/>
          <w:szCs w:val="24"/>
        </w:rPr>
        <w:t xml:space="preserve">for the period beginning on 1 September 2023 and ending on the commencement of the </w:t>
      </w:r>
      <w:r w:rsidR="000A41D8">
        <w:rPr>
          <w:rFonts w:ascii="Arial" w:hAnsi="Arial" w:cs="Arial"/>
          <w:i/>
          <w:iCs/>
          <w:sz w:val="24"/>
          <w:szCs w:val="24"/>
        </w:rPr>
        <w:t xml:space="preserve">Official Visitor (Corrections Management) Appointment 2025 (No 1). </w:t>
      </w:r>
      <w:r w:rsidR="000A41D8">
        <w:rPr>
          <w:rFonts w:ascii="Arial" w:hAnsi="Arial" w:cs="Arial"/>
          <w:sz w:val="24"/>
          <w:szCs w:val="24"/>
        </w:rPr>
        <w:t>Anything done, or purported to have been done, by Clare Doube during that period as a correction</w:t>
      </w:r>
      <w:r w:rsidR="00E87431">
        <w:rPr>
          <w:rFonts w:ascii="Arial" w:hAnsi="Arial" w:cs="Arial"/>
          <w:sz w:val="24"/>
          <w:szCs w:val="24"/>
        </w:rPr>
        <w:t>s</w:t>
      </w:r>
      <w:r w:rsidR="000A41D8">
        <w:rPr>
          <w:rFonts w:ascii="Arial" w:hAnsi="Arial" w:cs="Arial"/>
          <w:sz w:val="24"/>
          <w:szCs w:val="24"/>
        </w:rPr>
        <w:t xml:space="preserve"> </w:t>
      </w:r>
      <w:r w:rsidR="00E87431">
        <w:rPr>
          <w:rFonts w:ascii="Arial" w:hAnsi="Arial" w:cs="Arial"/>
          <w:sz w:val="24"/>
          <w:szCs w:val="24"/>
        </w:rPr>
        <w:t xml:space="preserve">Official Visitor </w:t>
      </w:r>
      <w:r w:rsidR="000A41D8">
        <w:rPr>
          <w:rFonts w:ascii="Arial" w:hAnsi="Arial" w:cs="Arial"/>
          <w:sz w:val="24"/>
          <w:szCs w:val="24"/>
        </w:rPr>
        <w:t xml:space="preserve">is taken to be, and always have been, valid as if the </w:t>
      </w:r>
      <w:r w:rsidR="000A41D8">
        <w:rPr>
          <w:rFonts w:ascii="Arial" w:hAnsi="Arial" w:cs="Arial"/>
          <w:i/>
          <w:iCs/>
          <w:sz w:val="24"/>
          <w:szCs w:val="24"/>
        </w:rPr>
        <w:t xml:space="preserve">Official Visitor (Corrections Management) Appointment 2023 (No 1) </w:t>
      </w:r>
      <w:r w:rsidR="000A41D8">
        <w:rPr>
          <w:rFonts w:ascii="Arial" w:hAnsi="Arial" w:cs="Arial"/>
          <w:sz w:val="24"/>
          <w:szCs w:val="24"/>
        </w:rPr>
        <w:t xml:space="preserve">had validly appointed Clare Doube as a corrections </w:t>
      </w:r>
      <w:r w:rsidR="00E87431">
        <w:rPr>
          <w:rFonts w:ascii="Arial" w:hAnsi="Arial" w:cs="Arial"/>
          <w:sz w:val="24"/>
          <w:szCs w:val="24"/>
        </w:rPr>
        <w:t>Official Visitor</w:t>
      </w:r>
      <w:r w:rsidR="000A41D8">
        <w:rPr>
          <w:rFonts w:ascii="Arial" w:hAnsi="Arial" w:cs="Arial"/>
          <w:sz w:val="24"/>
          <w:szCs w:val="24"/>
        </w:rPr>
        <w:t xml:space="preserve">. Section 64 provides that pt 12 expires on the day it commences. </w:t>
      </w:r>
    </w:p>
    <w:p w14:paraId="22BD663E" w14:textId="77777777" w:rsidR="00A30CE4" w:rsidRDefault="00A30CE4" w:rsidP="00A2160B">
      <w:pPr>
        <w:rPr>
          <w:rFonts w:ascii="Arial" w:hAnsi="Arial" w:cs="Arial"/>
          <w:b/>
          <w:bCs/>
          <w:sz w:val="24"/>
          <w:szCs w:val="24"/>
          <w:highlight w:val="yellow"/>
        </w:rPr>
      </w:pPr>
    </w:p>
    <w:p w14:paraId="6B6AC60A" w14:textId="098C58C2" w:rsidR="00A30CE4" w:rsidRPr="00387C2E" w:rsidRDefault="00A30CE4" w:rsidP="00A30CE4">
      <w:pPr>
        <w:ind w:left="2160" w:hanging="2160"/>
        <w:rPr>
          <w:rFonts w:ascii="Arial" w:hAnsi="Arial" w:cs="Arial"/>
          <w:b/>
          <w:bCs/>
          <w:sz w:val="24"/>
          <w:szCs w:val="24"/>
        </w:rPr>
      </w:pPr>
      <w:r w:rsidRPr="00387C2E">
        <w:rPr>
          <w:rFonts w:ascii="Arial" w:hAnsi="Arial" w:cs="Arial"/>
          <w:b/>
          <w:bCs/>
          <w:sz w:val="24"/>
          <w:szCs w:val="24"/>
        </w:rPr>
        <w:t>Part 13</w:t>
      </w:r>
      <w:r w:rsidRPr="00387C2E">
        <w:rPr>
          <w:rFonts w:ascii="Arial" w:hAnsi="Arial" w:cs="Arial"/>
          <w:b/>
          <w:bCs/>
          <w:sz w:val="24"/>
          <w:szCs w:val="24"/>
        </w:rPr>
        <w:tab/>
        <w:t>Wills Act 1968</w:t>
      </w:r>
    </w:p>
    <w:p w14:paraId="37CBDA00" w14:textId="434C4AD1" w:rsidR="00A30CE4" w:rsidRPr="00387C2E" w:rsidRDefault="00A30CE4" w:rsidP="00A30CE4">
      <w:pPr>
        <w:ind w:left="2160" w:hanging="2160"/>
        <w:rPr>
          <w:rFonts w:ascii="Arial" w:hAnsi="Arial" w:cs="Arial"/>
          <w:b/>
          <w:bCs/>
          <w:sz w:val="24"/>
          <w:szCs w:val="24"/>
        </w:rPr>
      </w:pPr>
      <w:r w:rsidRPr="00387C2E">
        <w:rPr>
          <w:rFonts w:ascii="Arial" w:hAnsi="Arial" w:cs="Arial"/>
          <w:b/>
          <w:bCs/>
          <w:sz w:val="24"/>
          <w:szCs w:val="24"/>
        </w:rPr>
        <w:t>Clause 4</w:t>
      </w:r>
      <w:r w:rsidR="005D5B7A">
        <w:rPr>
          <w:rFonts w:ascii="Arial" w:hAnsi="Arial" w:cs="Arial"/>
          <w:b/>
          <w:bCs/>
          <w:sz w:val="24"/>
          <w:szCs w:val="24"/>
        </w:rPr>
        <w:t>3</w:t>
      </w:r>
      <w:r w:rsidR="000F3266" w:rsidRPr="00387C2E">
        <w:rPr>
          <w:rFonts w:ascii="Arial" w:hAnsi="Arial" w:cs="Arial"/>
          <w:b/>
          <w:bCs/>
          <w:sz w:val="24"/>
          <w:szCs w:val="24"/>
        </w:rPr>
        <w:tab/>
        <w:t>New section 33</w:t>
      </w:r>
    </w:p>
    <w:p w14:paraId="31082135" w14:textId="495432FF" w:rsidR="00CF338F" w:rsidRPr="00CF338F" w:rsidRDefault="00E259F6" w:rsidP="00CF338F">
      <w:pPr>
        <w:rPr>
          <w:rFonts w:ascii="Arial" w:hAnsi="Arial" w:cs="Arial"/>
          <w:sz w:val="24"/>
          <w:szCs w:val="24"/>
        </w:rPr>
      </w:pPr>
      <w:r>
        <w:rPr>
          <w:rFonts w:ascii="Arial" w:hAnsi="Arial" w:cs="Arial"/>
          <w:sz w:val="24"/>
          <w:szCs w:val="24"/>
        </w:rPr>
        <w:t>This clause</w:t>
      </w:r>
      <w:r w:rsidR="00387C2E">
        <w:rPr>
          <w:rFonts w:ascii="Arial" w:hAnsi="Arial" w:cs="Arial"/>
          <w:sz w:val="24"/>
          <w:szCs w:val="24"/>
        </w:rPr>
        <w:t xml:space="preserve"> </w:t>
      </w:r>
      <w:r w:rsidR="00CF338F" w:rsidRPr="00CF338F">
        <w:rPr>
          <w:rFonts w:ascii="Arial" w:hAnsi="Arial" w:cs="Arial"/>
          <w:sz w:val="24"/>
          <w:szCs w:val="24"/>
        </w:rPr>
        <w:t xml:space="preserve">inserts new section 33 which applies to wills held by the legal aid commission which were made with their legal assistance. It allows the legal aid commission to deposit the will with the public trustee and guardian and give them the </w:t>
      </w:r>
      <w:r w:rsidR="00CF338F" w:rsidRPr="00CF338F">
        <w:rPr>
          <w:rFonts w:ascii="Arial" w:hAnsi="Arial" w:cs="Arial"/>
          <w:sz w:val="24"/>
          <w:szCs w:val="24"/>
        </w:rPr>
        <w:lastRenderedPageBreak/>
        <w:t xml:space="preserve">identifying information about the will. The new section also requires that the legal aid commission keep records on any will they deposit with the public trustee and guardian, including the date it was deposited. The definition for identifying information refers to the existing definition under section 32 (4) of the </w:t>
      </w:r>
      <w:r w:rsidR="00CF338F" w:rsidRPr="00CF338F">
        <w:rPr>
          <w:rFonts w:ascii="Arial" w:hAnsi="Arial" w:cs="Arial"/>
          <w:i/>
          <w:iCs/>
          <w:sz w:val="24"/>
          <w:szCs w:val="24"/>
        </w:rPr>
        <w:t>Wills Act 1968</w:t>
      </w:r>
      <w:r w:rsidR="00CF338F" w:rsidRPr="00CF338F">
        <w:rPr>
          <w:rFonts w:ascii="Arial" w:hAnsi="Arial" w:cs="Arial"/>
          <w:sz w:val="24"/>
          <w:szCs w:val="24"/>
        </w:rPr>
        <w:t>.</w:t>
      </w:r>
    </w:p>
    <w:p w14:paraId="7B7FCA17" w14:textId="77777777" w:rsidR="00A30CE4" w:rsidRDefault="00A30CE4" w:rsidP="000F3266">
      <w:pPr>
        <w:rPr>
          <w:rFonts w:ascii="Arial" w:hAnsi="Arial" w:cs="Arial"/>
          <w:b/>
          <w:bCs/>
          <w:sz w:val="24"/>
          <w:szCs w:val="24"/>
        </w:rPr>
      </w:pPr>
    </w:p>
    <w:p w14:paraId="59CAEBCB" w14:textId="4D803ACC"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Part 13</w:t>
      </w:r>
      <w:r w:rsidRPr="00473620">
        <w:rPr>
          <w:rFonts w:ascii="Arial" w:hAnsi="Arial" w:cs="Arial"/>
          <w:b/>
          <w:bCs/>
          <w:sz w:val="24"/>
          <w:szCs w:val="24"/>
        </w:rPr>
        <w:tab/>
        <w:t>Working with Vulnerable People (Background Checking) Act 2011</w:t>
      </w:r>
    </w:p>
    <w:p w14:paraId="58C4ADA6" w14:textId="660941ED"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Clause 4</w:t>
      </w:r>
      <w:r w:rsidR="005D5B7A">
        <w:rPr>
          <w:rFonts w:ascii="Arial" w:hAnsi="Arial" w:cs="Arial"/>
          <w:b/>
          <w:bCs/>
          <w:sz w:val="24"/>
          <w:szCs w:val="24"/>
        </w:rPr>
        <w:t>4</w:t>
      </w:r>
      <w:r w:rsidRPr="00473620">
        <w:rPr>
          <w:rFonts w:ascii="Arial" w:hAnsi="Arial" w:cs="Arial"/>
          <w:b/>
          <w:bCs/>
          <w:sz w:val="24"/>
          <w:szCs w:val="24"/>
        </w:rPr>
        <w:tab/>
        <w:t>Particular entities may give information to commissioner</w:t>
      </w:r>
    </w:p>
    <w:p w14:paraId="3CCBD991" w14:textId="57555C86"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ab/>
        <w:t>New section 63B (1A)</w:t>
      </w:r>
    </w:p>
    <w:p w14:paraId="7B9AEE86" w14:textId="31DAA4F9" w:rsidR="00473620" w:rsidRPr="00473620" w:rsidRDefault="00473620" w:rsidP="00473620">
      <w:pPr>
        <w:ind w:hanging="33"/>
        <w:rPr>
          <w:rFonts w:ascii="Arial" w:hAnsi="Arial" w:cs="Arial"/>
          <w:sz w:val="24"/>
          <w:szCs w:val="24"/>
        </w:rPr>
      </w:pPr>
      <w:r w:rsidRPr="00473620">
        <w:rPr>
          <w:rFonts w:ascii="Arial" w:hAnsi="Arial" w:cs="Arial"/>
          <w:sz w:val="24"/>
          <w:szCs w:val="24"/>
        </w:rPr>
        <w:t>Th</w:t>
      </w:r>
      <w:r>
        <w:rPr>
          <w:rFonts w:ascii="Arial" w:hAnsi="Arial" w:cs="Arial"/>
          <w:sz w:val="24"/>
          <w:szCs w:val="24"/>
        </w:rPr>
        <w:t>is</w:t>
      </w:r>
      <w:r w:rsidRPr="00473620">
        <w:rPr>
          <w:rFonts w:ascii="Arial" w:hAnsi="Arial" w:cs="Arial"/>
          <w:sz w:val="24"/>
          <w:szCs w:val="24"/>
        </w:rPr>
        <w:t xml:space="preserve"> clause allows the disclosure of prohibition notices given under the Education and Care Services National Law by the National Authority to the Commissioner for Fair Trading. The includes information ancillary to the prohibition notice, including information required to identify the person the prohibition notice relates to.</w:t>
      </w:r>
    </w:p>
    <w:p w14:paraId="5914FA6D" w14:textId="20635AB7" w:rsidR="000F3266" w:rsidRPr="00473620" w:rsidRDefault="000F3266" w:rsidP="000F3266">
      <w:pPr>
        <w:ind w:left="2160" w:hanging="2160"/>
        <w:rPr>
          <w:rFonts w:ascii="Arial" w:hAnsi="Arial" w:cs="Arial"/>
          <w:b/>
          <w:bCs/>
          <w:i/>
          <w:iCs/>
          <w:sz w:val="24"/>
          <w:szCs w:val="24"/>
        </w:rPr>
      </w:pPr>
      <w:r w:rsidRPr="00473620">
        <w:rPr>
          <w:rFonts w:ascii="Arial" w:hAnsi="Arial" w:cs="Arial"/>
          <w:b/>
          <w:bCs/>
          <w:sz w:val="24"/>
          <w:szCs w:val="24"/>
        </w:rPr>
        <w:t>Clause 4</w:t>
      </w:r>
      <w:r w:rsidR="005D5B7A">
        <w:rPr>
          <w:rFonts w:ascii="Arial" w:hAnsi="Arial" w:cs="Arial"/>
          <w:b/>
          <w:bCs/>
          <w:sz w:val="24"/>
          <w:szCs w:val="24"/>
        </w:rPr>
        <w:t>5</w:t>
      </w:r>
      <w:r w:rsidRPr="00473620">
        <w:rPr>
          <w:rFonts w:ascii="Arial" w:hAnsi="Arial" w:cs="Arial"/>
          <w:b/>
          <w:bCs/>
          <w:sz w:val="24"/>
          <w:szCs w:val="24"/>
        </w:rPr>
        <w:tab/>
        <w:t xml:space="preserve">Section 63B (3), new definitions of Education and Care Services National Law and </w:t>
      </w:r>
      <w:r w:rsidRPr="00473620">
        <w:rPr>
          <w:rFonts w:ascii="Arial" w:hAnsi="Arial" w:cs="Arial"/>
          <w:b/>
          <w:bCs/>
          <w:i/>
          <w:iCs/>
          <w:sz w:val="24"/>
          <w:szCs w:val="24"/>
        </w:rPr>
        <w:t xml:space="preserve">National Authority </w:t>
      </w:r>
    </w:p>
    <w:p w14:paraId="03D9190B" w14:textId="488CBE3C" w:rsidR="00473620" w:rsidRPr="00473620" w:rsidRDefault="00473620" w:rsidP="00473620">
      <w:pPr>
        <w:ind w:hanging="33"/>
        <w:rPr>
          <w:rFonts w:ascii="Arial" w:hAnsi="Arial" w:cs="Arial"/>
          <w:sz w:val="24"/>
          <w:szCs w:val="24"/>
        </w:rPr>
      </w:pPr>
      <w:r w:rsidRPr="00473620">
        <w:rPr>
          <w:rFonts w:ascii="Arial" w:hAnsi="Arial" w:cs="Arial"/>
          <w:sz w:val="24"/>
          <w:szCs w:val="24"/>
        </w:rPr>
        <w:t>This is a definitional clause that supports clause 4</w:t>
      </w:r>
      <w:r w:rsidR="000A78D8">
        <w:rPr>
          <w:rFonts w:ascii="Arial" w:hAnsi="Arial" w:cs="Arial"/>
          <w:sz w:val="24"/>
          <w:szCs w:val="24"/>
        </w:rPr>
        <w:t>4</w:t>
      </w:r>
      <w:r w:rsidRPr="00473620">
        <w:rPr>
          <w:rFonts w:ascii="Arial" w:hAnsi="Arial" w:cs="Arial"/>
          <w:sz w:val="24"/>
          <w:szCs w:val="24"/>
        </w:rPr>
        <w:t xml:space="preserve"> by defining the Education and Care Services National Law and the National Authority. The Education and Care Services National Law </w:t>
      </w:r>
      <w:proofErr w:type="gramStart"/>
      <w:r w:rsidRPr="00473620">
        <w:rPr>
          <w:rFonts w:ascii="Arial" w:hAnsi="Arial" w:cs="Arial"/>
          <w:sz w:val="24"/>
          <w:szCs w:val="24"/>
        </w:rPr>
        <w:t>is</w:t>
      </w:r>
      <w:proofErr w:type="gramEnd"/>
      <w:r w:rsidRPr="00473620">
        <w:rPr>
          <w:rFonts w:ascii="Arial" w:hAnsi="Arial" w:cs="Arial"/>
          <w:sz w:val="24"/>
          <w:szCs w:val="24"/>
        </w:rPr>
        <w:t xml:space="preserve"> a piece of national uniform legislation, and so in order that the law as legislated in each jurisdiction is captured under the definition the clause is drafted to cover the Education and Care Services National Law “as applying in any participating jurisdiction.”</w:t>
      </w:r>
    </w:p>
    <w:p w14:paraId="5690CC95" w14:textId="5EE306DC"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Clause 4</w:t>
      </w:r>
      <w:r w:rsidR="005D5B7A">
        <w:rPr>
          <w:rFonts w:ascii="Arial" w:hAnsi="Arial" w:cs="Arial"/>
          <w:b/>
          <w:bCs/>
          <w:sz w:val="24"/>
          <w:szCs w:val="24"/>
        </w:rPr>
        <w:t>6</w:t>
      </w:r>
      <w:r w:rsidRPr="00473620">
        <w:rPr>
          <w:rFonts w:ascii="Arial" w:hAnsi="Arial" w:cs="Arial"/>
          <w:b/>
          <w:bCs/>
          <w:sz w:val="24"/>
          <w:szCs w:val="24"/>
        </w:rPr>
        <w:tab/>
        <w:t>Schedule 3, part 3.2, item 3, column 3 etc</w:t>
      </w:r>
    </w:p>
    <w:p w14:paraId="4F079F64" w14:textId="3DD90B77" w:rsidR="00473620" w:rsidRPr="00473620" w:rsidRDefault="00473620" w:rsidP="00473620">
      <w:pPr>
        <w:ind w:hanging="33"/>
        <w:rPr>
          <w:rFonts w:ascii="Arial" w:hAnsi="Arial" w:cs="Arial"/>
          <w:sz w:val="24"/>
          <w:szCs w:val="24"/>
        </w:rPr>
      </w:pPr>
      <w:r w:rsidRPr="00473620">
        <w:rPr>
          <w:rFonts w:ascii="Arial" w:hAnsi="Arial" w:cs="Arial"/>
          <w:sz w:val="24"/>
          <w:szCs w:val="24"/>
        </w:rPr>
        <w:t>This clause is a technical amendment that brings the listed title of a Class A disqualifying offence in line with its new title in the Crimes Act. The change substitutes the word ‘woman’ with ‘person’.</w:t>
      </w:r>
    </w:p>
    <w:p w14:paraId="32C1C0B2" w14:textId="77777777" w:rsidR="000F3266" w:rsidRPr="00A30CE4" w:rsidRDefault="000F3266" w:rsidP="000F3266">
      <w:pPr>
        <w:ind w:left="2160" w:hanging="2160"/>
        <w:rPr>
          <w:rFonts w:ascii="Arial" w:hAnsi="Arial" w:cs="Arial"/>
          <w:b/>
          <w:bCs/>
          <w:sz w:val="24"/>
          <w:szCs w:val="24"/>
          <w:highlight w:val="yellow"/>
        </w:rPr>
      </w:pPr>
    </w:p>
    <w:p w14:paraId="1409DAA0" w14:textId="77777777" w:rsidR="000F3266" w:rsidRPr="00A30CE4" w:rsidRDefault="000F3266" w:rsidP="000F3266">
      <w:pPr>
        <w:ind w:left="2160" w:hanging="2160"/>
        <w:rPr>
          <w:rFonts w:ascii="Arial" w:hAnsi="Arial" w:cs="Arial"/>
          <w:b/>
          <w:bCs/>
          <w:sz w:val="24"/>
          <w:szCs w:val="24"/>
          <w:highlight w:val="yellow"/>
        </w:rPr>
      </w:pPr>
    </w:p>
    <w:p w14:paraId="1C89493A" w14:textId="77777777" w:rsidR="000F3266" w:rsidRPr="00A30CE4" w:rsidRDefault="000F3266" w:rsidP="00A30CE4">
      <w:pPr>
        <w:ind w:left="2160" w:hanging="2160"/>
        <w:rPr>
          <w:rFonts w:ascii="Arial" w:hAnsi="Arial" w:cs="Arial"/>
          <w:b/>
          <w:bCs/>
          <w:sz w:val="24"/>
          <w:szCs w:val="24"/>
        </w:rPr>
      </w:pPr>
    </w:p>
    <w:sectPr w:rsidR="000F3266" w:rsidRPr="00A30CE4"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49F7" w14:textId="77777777" w:rsidR="00D5145B" w:rsidRDefault="00D5145B" w:rsidP="00E90DF9">
      <w:pPr>
        <w:spacing w:after="0" w:line="240" w:lineRule="auto"/>
      </w:pPr>
      <w:r>
        <w:separator/>
      </w:r>
    </w:p>
  </w:endnote>
  <w:endnote w:type="continuationSeparator" w:id="0">
    <w:p w14:paraId="1E781098" w14:textId="77777777" w:rsidR="00D5145B" w:rsidRDefault="00D5145B"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F2C0" w14:textId="1B7BB59D" w:rsidR="00EA692E" w:rsidRPr="00EA692E" w:rsidRDefault="00EA692E" w:rsidP="00EA692E">
    <w:pPr>
      <w:pStyle w:val="Footer"/>
      <w:jc w:val="cente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3C023102" w:rsidR="00EA692E" w:rsidRPr="00EA692E" w:rsidRDefault="00EA692E" w:rsidP="00EA692E">
    <w:pPr>
      <w:pStyle w:val="Footer"/>
      <w:spacing w:before="60" w:line="240" w:lineRule="auto"/>
      <w:jc w:val="center"/>
      <w:rPr>
        <w:color w:val="FF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8AB92A8" w14:textId="4B8803AF" w:rsidR="00EA692E" w:rsidRPr="00EA692E" w:rsidRDefault="00EA692E" w:rsidP="00EA692E">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1D19" w14:textId="77777777" w:rsidR="00D5145B" w:rsidRDefault="00D5145B" w:rsidP="00E90DF9">
      <w:pPr>
        <w:spacing w:after="0" w:line="240" w:lineRule="auto"/>
      </w:pPr>
      <w:r>
        <w:separator/>
      </w:r>
    </w:p>
  </w:footnote>
  <w:footnote w:type="continuationSeparator" w:id="0">
    <w:p w14:paraId="4DF1A69A" w14:textId="77777777" w:rsidR="00D5145B" w:rsidRDefault="00D5145B"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2D0" w14:textId="1B04A006" w:rsidR="00EA692E" w:rsidRPr="00EA692E" w:rsidRDefault="00EA692E" w:rsidP="00EA692E">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E39" w14:textId="73F2FAAF" w:rsidR="00EA692E" w:rsidRPr="00EA692E" w:rsidRDefault="00EA692E" w:rsidP="00EA692E">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074"/>
    <w:multiLevelType w:val="hybridMultilevel"/>
    <w:tmpl w:val="C8AE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051C0"/>
    <w:multiLevelType w:val="hybridMultilevel"/>
    <w:tmpl w:val="579C7DAA"/>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973AF9"/>
    <w:multiLevelType w:val="hybridMultilevel"/>
    <w:tmpl w:val="2EB06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7AC0824"/>
    <w:multiLevelType w:val="hybridMultilevel"/>
    <w:tmpl w:val="20221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1D4757D3"/>
    <w:multiLevelType w:val="hybridMultilevel"/>
    <w:tmpl w:val="352AE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B54FA"/>
    <w:multiLevelType w:val="hybridMultilevel"/>
    <w:tmpl w:val="C27EFF68"/>
    <w:lvl w:ilvl="0" w:tplc="E6607B04">
      <w:start w:val="1"/>
      <w:numFmt w:val="decimal"/>
      <w:lvlText w:val="%1."/>
      <w:lvlJc w:val="left"/>
      <w:pPr>
        <w:ind w:left="720" w:hanging="360"/>
      </w:pPr>
      <w:rPr>
        <w:rFonts w:eastAsia="Times New Roman" w:hint="default"/>
        <w:b/>
        <w:i/>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E4615"/>
    <w:multiLevelType w:val="hybridMultilevel"/>
    <w:tmpl w:val="C210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2D7AAD"/>
    <w:multiLevelType w:val="hybridMultilevel"/>
    <w:tmpl w:val="6576ED9E"/>
    <w:lvl w:ilvl="0" w:tplc="5E3695A4">
      <w:start w:val="1"/>
      <w:numFmt w:val="decimal"/>
      <w:pStyle w:val="CS-RecommendationList"/>
      <w:lvlText w:val="%1."/>
      <w:lvlJc w:val="left"/>
      <w:pPr>
        <w:ind w:left="1080" w:hanging="360"/>
      </w:pPr>
      <w:rPr>
        <w:rFonts w:hint="default"/>
      </w:rPr>
    </w:lvl>
    <w:lvl w:ilvl="1" w:tplc="4468DA4E">
      <w:start w:val="1"/>
      <w:numFmt w:val="lowerLetter"/>
      <w:lvlText w:val="%2."/>
      <w:lvlJc w:val="left"/>
      <w:pPr>
        <w:ind w:left="1800" w:hanging="360"/>
      </w:pPr>
      <w:rPr>
        <w:i w:val="0"/>
        <w:iCs/>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22"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24"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013C43"/>
    <w:multiLevelType w:val="hybridMultilevel"/>
    <w:tmpl w:val="C8FC0C1E"/>
    <w:lvl w:ilvl="0" w:tplc="7676F990">
      <w:start w:val="1"/>
      <w:numFmt w:val="decimal"/>
      <w:lvlText w:val="%1."/>
      <w:lvlJc w:val="left"/>
      <w:pPr>
        <w:ind w:left="720" w:hanging="360"/>
      </w:pPr>
      <w:rPr>
        <w:rFonts w:hint="default"/>
        <w:b/>
        <w:i/>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7C0580"/>
    <w:multiLevelType w:val="hybridMultilevel"/>
    <w:tmpl w:val="9DF0ADCE"/>
    <w:lvl w:ilvl="0" w:tplc="FFFFFFFF">
      <w:numFmt w:val="bullet"/>
      <w:lvlText w:val="•"/>
      <w:lvlJc w:val="left"/>
      <w:pPr>
        <w:ind w:left="961"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BA2BD0"/>
    <w:multiLevelType w:val="hybridMultilevel"/>
    <w:tmpl w:val="00FE78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2C011CC"/>
    <w:multiLevelType w:val="hybridMultilevel"/>
    <w:tmpl w:val="3474C3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573E2A"/>
    <w:multiLevelType w:val="hybridMultilevel"/>
    <w:tmpl w:val="687E4060"/>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4"/>
  </w:num>
  <w:num w:numId="2" w16cid:durableId="1753313540">
    <w:abstractNumId w:val="35"/>
  </w:num>
  <w:num w:numId="3" w16cid:durableId="1150899877">
    <w:abstractNumId w:val="8"/>
  </w:num>
  <w:num w:numId="4" w16cid:durableId="1148745845">
    <w:abstractNumId w:val="10"/>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26"/>
  </w:num>
  <w:num w:numId="6" w16cid:durableId="1845628194">
    <w:abstractNumId w:val="33"/>
  </w:num>
  <w:num w:numId="7" w16cid:durableId="1857186583">
    <w:abstractNumId w:val="28"/>
  </w:num>
  <w:num w:numId="8" w16cid:durableId="108086278">
    <w:abstractNumId w:val="9"/>
  </w:num>
  <w:num w:numId="9" w16cid:durableId="2105959138">
    <w:abstractNumId w:val="24"/>
  </w:num>
  <w:num w:numId="10" w16cid:durableId="984549248">
    <w:abstractNumId w:val="22"/>
  </w:num>
  <w:num w:numId="11" w16cid:durableId="60373156">
    <w:abstractNumId w:val="23"/>
  </w:num>
  <w:num w:numId="12" w16cid:durableId="822547360">
    <w:abstractNumId w:val="21"/>
  </w:num>
  <w:num w:numId="13" w16cid:durableId="1209805124">
    <w:abstractNumId w:val="29"/>
  </w:num>
  <w:num w:numId="14" w16cid:durableId="1672247340">
    <w:abstractNumId w:val="5"/>
  </w:num>
  <w:num w:numId="15" w16cid:durableId="1737046865">
    <w:abstractNumId w:val="20"/>
  </w:num>
  <w:num w:numId="16" w16cid:durableId="47653677">
    <w:abstractNumId w:val="27"/>
  </w:num>
  <w:num w:numId="17" w16cid:durableId="1526287675">
    <w:abstractNumId w:val="18"/>
  </w:num>
  <w:num w:numId="18" w16cid:durableId="594245051">
    <w:abstractNumId w:val="15"/>
  </w:num>
  <w:num w:numId="19" w16cid:durableId="425462047">
    <w:abstractNumId w:val="3"/>
  </w:num>
  <w:num w:numId="20" w16cid:durableId="671029502">
    <w:abstractNumId w:val="16"/>
  </w:num>
  <w:num w:numId="21" w16cid:durableId="1210920393">
    <w:abstractNumId w:val="7"/>
  </w:num>
  <w:num w:numId="22" w16cid:durableId="1720468812">
    <w:abstractNumId w:val="14"/>
  </w:num>
  <w:num w:numId="23" w16cid:durableId="1026757066">
    <w:abstractNumId w:val="12"/>
  </w:num>
  <w:num w:numId="24" w16cid:durableId="1934509143">
    <w:abstractNumId w:val="6"/>
  </w:num>
  <w:num w:numId="25" w16cid:durableId="1170413268">
    <w:abstractNumId w:val="0"/>
  </w:num>
  <w:num w:numId="26" w16cid:durableId="1162351317">
    <w:abstractNumId w:val="10"/>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27" w16cid:durableId="1021585910">
    <w:abstractNumId w:val="30"/>
  </w:num>
  <w:num w:numId="28" w16cid:durableId="164905434">
    <w:abstractNumId w:val="2"/>
  </w:num>
  <w:num w:numId="29" w16cid:durableId="414860696">
    <w:abstractNumId w:val="19"/>
  </w:num>
  <w:num w:numId="30" w16cid:durableId="1440027329">
    <w:abstractNumId w:val="35"/>
    <w:lvlOverride w:ilvl="0">
      <w:lvl w:ilvl="0">
        <w:start w:val="1"/>
        <w:numFmt w:val="decimal"/>
        <w:lvlText w:val="%1)"/>
        <w:lvlJc w:val="left"/>
        <w:pPr>
          <w:ind w:left="340" w:hanging="340"/>
        </w:pPr>
        <w:rPr>
          <w:rFonts w:hint="default"/>
          <w:b w:val="0"/>
          <w:bCs/>
          <w:color w:val="auto"/>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0" w:hanging="340"/>
        </w:pPr>
        <w:rPr>
          <w:rFonts w:hint="default"/>
          <w:sz w:val="24"/>
        </w:rPr>
      </w:lvl>
    </w:lvlOverride>
    <w:lvlOverride w:ilvl="3">
      <w:lvl w:ilvl="3">
        <w:start w:val="1"/>
        <w:numFmt w:val="upperLetter"/>
        <w:lvlText w:val="(%4)"/>
        <w:lvlJc w:val="left"/>
        <w:pPr>
          <w:ind w:left="1360" w:hanging="340"/>
        </w:pPr>
        <w:rPr>
          <w:rFonts w:hint="default"/>
          <w:sz w:val="24"/>
        </w:rPr>
      </w:lvl>
    </w:lvlOverride>
    <w:lvlOverride w:ilvl="4">
      <w:lvl w:ilvl="4">
        <w:start w:val="1"/>
        <w:numFmt w:val="decimal"/>
        <w:lvlText w:val="%5."/>
        <w:lvlJc w:val="left"/>
        <w:pPr>
          <w:ind w:left="1814"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1" w16cid:durableId="178156469">
    <w:abstractNumId w:val="1"/>
  </w:num>
  <w:num w:numId="32" w16cid:durableId="614674374">
    <w:abstractNumId w:val="34"/>
  </w:num>
  <w:num w:numId="33" w16cid:durableId="1474642161">
    <w:abstractNumId w:val="32"/>
  </w:num>
  <w:num w:numId="34" w16cid:durableId="760180717">
    <w:abstractNumId w:val="11"/>
  </w:num>
  <w:num w:numId="35" w16cid:durableId="1574194652">
    <w:abstractNumId w:val="25"/>
  </w:num>
  <w:num w:numId="36" w16cid:durableId="222957509">
    <w:abstractNumId w:val="17"/>
  </w:num>
  <w:num w:numId="37" w16cid:durableId="946543126">
    <w:abstractNumId w:val="13"/>
  </w:num>
  <w:num w:numId="38" w16cid:durableId="14640779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04917"/>
    <w:rsid w:val="0000498E"/>
    <w:rsid w:val="0000502D"/>
    <w:rsid w:val="00006A9D"/>
    <w:rsid w:val="00020393"/>
    <w:rsid w:val="000317D8"/>
    <w:rsid w:val="00034D11"/>
    <w:rsid w:val="00044E69"/>
    <w:rsid w:val="00055F7A"/>
    <w:rsid w:val="00064462"/>
    <w:rsid w:val="00065B0D"/>
    <w:rsid w:val="00066063"/>
    <w:rsid w:val="00067DA4"/>
    <w:rsid w:val="00073928"/>
    <w:rsid w:val="00077793"/>
    <w:rsid w:val="00080A44"/>
    <w:rsid w:val="0008262C"/>
    <w:rsid w:val="00085C1E"/>
    <w:rsid w:val="00095C1A"/>
    <w:rsid w:val="000A1001"/>
    <w:rsid w:val="000A2C7F"/>
    <w:rsid w:val="000A41D8"/>
    <w:rsid w:val="000A78D8"/>
    <w:rsid w:val="000A7CE2"/>
    <w:rsid w:val="000C0B9A"/>
    <w:rsid w:val="000C250A"/>
    <w:rsid w:val="000C759C"/>
    <w:rsid w:val="000D192F"/>
    <w:rsid w:val="000D4096"/>
    <w:rsid w:val="000D7F33"/>
    <w:rsid w:val="000E5281"/>
    <w:rsid w:val="000E59C7"/>
    <w:rsid w:val="000E6C32"/>
    <w:rsid w:val="000F2B4C"/>
    <w:rsid w:val="000F3266"/>
    <w:rsid w:val="000F4294"/>
    <w:rsid w:val="0010297A"/>
    <w:rsid w:val="001035FC"/>
    <w:rsid w:val="001071F3"/>
    <w:rsid w:val="001144F2"/>
    <w:rsid w:val="001211F0"/>
    <w:rsid w:val="0012553A"/>
    <w:rsid w:val="001270C4"/>
    <w:rsid w:val="001334B9"/>
    <w:rsid w:val="00137FD0"/>
    <w:rsid w:val="001428F5"/>
    <w:rsid w:val="00145291"/>
    <w:rsid w:val="001463E5"/>
    <w:rsid w:val="0015151F"/>
    <w:rsid w:val="00160C4B"/>
    <w:rsid w:val="00167FA3"/>
    <w:rsid w:val="00172C8C"/>
    <w:rsid w:val="00177C39"/>
    <w:rsid w:val="00180A13"/>
    <w:rsid w:val="001A18B8"/>
    <w:rsid w:val="001B2E58"/>
    <w:rsid w:val="001B4060"/>
    <w:rsid w:val="001C5E20"/>
    <w:rsid w:val="001D1F43"/>
    <w:rsid w:val="001E1019"/>
    <w:rsid w:val="001E1B33"/>
    <w:rsid w:val="00206E93"/>
    <w:rsid w:val="00210A5A"/>
    <w:rsid w:val="00211D92"/>
    <w:rsid w:val="002152DB"/>
    <w:rsid w:val="002162F4"/>
    <w:rsid w:val="002168AC"/>
    <w:rsid w:val="00227FC5"/>
    <w:rsid w:val="00232021"/>
    <w:rsid w:val="00234FD4"/>
    <w:rsid w:val="00241719"/>
    <w:rsid w:val="00241B2C"/>
    <w:rsid w:val="00243F8A"/>
    <w:rsid w:val="00245795"/>
    <w:rsid w:val="00263821"/>
    <w:rsid w:val="00264C33"/>
    <w:rsid w:val="00264DE1"/>
    <w:rsid w:val="00266908"/>
    <w:rsid w:val="00266CB8"/>
    <w:rsid w:val="0027174E"/>
    <w:rsid w:val="0027267B"/>
    <w:rsid w:val="00273767"/>
    <w:rsid w:val="00282732"/>
    <w:rsid w:val="00297F9C"/>
    <w:rsid w:val="00297FBA"/>
    <w:rsid w:val="002A08CA"/>
    <w:rsid w:val="002D742A"/>
    <w:rsid w:val="002E4C14"/>
    <w:rsid w:val="002E6DC6"/>
    <w:rsid w:val="002F3C1B"/>
    <w:rsid w:val="002F7A54"/>
    <w:rsid w:val="00300FA4"/>
    <w:rsid w:val="00303C8C"/>
    <w:rsid w:val="00305639"/>
    <w:rsid w:val="00306F26"/>
    <w:rsid w:val="00310C5B"/>
    <w:rsid w:val="00312430"/>
    <w:rsid w:val="003156F5"/>
    <w:rsid w:val="00316B31"/>
    <w:rsid w:val="00320646"/>
    <w:rsid w:val="00323D9C"/>
    <w:rsid w:val="00332DB4"/>
    <w:rsid w:val="003357C1"/>
    <w:rsid w:val="00342D1B"/>
    <w:rsid w:val="00346C40"/>
    <w:rsid w:val="00362038"/>
    <w:rsid w:val="0036640C"/>
    <w:rsid w:val="00371D13"/>
    <w:rsid w:val="00376695"/>
    <w:rsid w:val="003777EC"/>
    <w:rsid w:val="003812E1"/>
    <w:rsid w:val="00387C2E"/>
    <w:rsid w:val="003A159F"/>
    <w:rsid w:val="003B000D"/>
    <w:rsid w:val="003B09DC"/>
    <w:rsid w:val="003B1115"/>
    <w:rsid w:val="003B4F70"/>
    <w:rsid w:val="003B4F8C"/>
    <w:rsid w:val="003C2BC3"/>
    <w:rsid w:val="003D24D1"/>
    <w:rsid w:val="003E5DE7"/>
    <w:rsid w:val="003F030B"/>
    <w:rsid w:val="003F18C8"/>
    <w:rsid w:val="004002C7"/>
    <w:rsid w:val="00404980"/>
    <w:rsid w:val="00415B99"/>
    <w:rsid w:val="004204EF"/>
    <w:rsid w:val="00447BF1"/>
    <w:rsid w:val="00451D67"/>
    <w:rsid w:val="00451FA1"/>
    <w:rsid w:val="00453BC5"/>
    <w:rsid w:val="00457BD9"/>
    <w:rsid w:val="004601F9"/>
    <w:rsid w:val="004625DC"/>
    <w:rsid w:val="00466629"/>
    <w:rsid w:val="00473620"/>
    <w:rsid w:val="00483A04"/>
    <w:rsid w:val="00490410"/>
    <w:rsid w:val="00493389"/>
    <w:rsid w:val="0049396A"/>
    <w:rsid w:val="00494175"/>
    <w:rsid w:val="00494FAC"/>
    <w:rsid w:val="004A2C06"/>
    <w:rsid w:val="004A3755"/>
    <w:rsid w:val="004A3C31"/>
    <w:rsid w:val="004B061C"/>
    <w:rsid w:val="004B18C5"/>
    <w:rsid w:val="004B3024"/>
    <w:rsid w:val="004B636B"/>
    <w:rsid w:val="004C092E"/>
    <w:rsid w:val="004C1D2A"/>
    <w:rsid w:val="004C304B"/>
    <w:rsid w:val="004D3155"/>
    <w:rsid w:val="004E7FB7"/>
    <w:rsid w:val="004F5764"/>
    <w:rsid w:val="00507BEB"/>
    <w:rsid w:val="00512851"/>
    <w:rsid w:val="005152FF"/>
    <w:rsid w:val="005202AC"/>
    <w:rsid w:val="00557AE0"/>
    <w:rsid w:val="00570BB6"/>
    <w:rsid w:val="005770D5"/>
    <w:rsid w:val="00577F43"/>
    <w:rsid w:val="005834A2"/>
    <w:rsid w:val="00584D96"/>
    <w:rsid w:val="005870B0"/>
    <w:rsid w:val="005A0277"/>
    <w:rsid w:val="005A7FC9"/>
    <w:rsid w:val="005B0897"/>
    <w:rsid w:val="005C3ADF"/>
    <w:rsid w:val="005C3B15"/>
    <w:rsid w:val="005D5B7A"/>
    <w:rsid w:val="005D5FB3"/>
    <w:rsid w:val="005E3BEB"/>
    <w:rsid w:val="005E74AF"/>
    <w:rsid w:val="005E7D40"/>
    <w:rsid w:val="005F0C13"/>
    <w:rsid w:val="005F12DB"/>
    <w:rsid w:val="00600393"/>
    <w:rsid w:val="00605FF3"/>
    <w:rsid w:val="00607E6C"/>
    <w:rsid w:val="00612D47"/>
    <w:rsid w:val="00615325"/>
    <w:rsid w:val="00622B9D"/>
    <w:rsid w:val="006302A8"/>
    <w:rsid w:val="00642595"/>
    <w:rsid w:val="0064278B"/>
    <w:rsid w:val="00652A47"/>
    <w:rsid w:val="00663329"/>
    <w:rsid w:val="006638CA"/>
    <w:rsid w:val="006726A1"/>
    <w:rsid w:val="006801DB"/>
    <w:rsid w:val="00686D73"/>
    <w:rsid w:val="006922F1"/>
    <w:rsid w:val="006A324A"/>
    <w:rsid w:val="006A3F61"/>
    <w:rsid w:val="006A7FDB"/>
    <w:rsid w:val="006C4190"/>
    <w:rsid w:val="006D5F9A"/>
    <w:rsid w:val="006E0283"/>
    <w:rsid w:val="006E743B"/>
    <w:rsid w:val="006E77B4"/>
    <w:rsid w:val="006F2DAD"/>
    <w:rsid w:val="006F4142"/>
    <w:rsid w:val="00700858"/>
    <w:rsid w:val="007027F4"/>
    <w:rsid w:val="0071132E"/>
    <w:rsid w:val="00717AEE"/>
    <w:rsid w:val="00745207"/>
    <w:rsid w:val="00756D1B"/>
    <w:rsid w:val="00757D85"/>
    <w:rsid w:val="00763534"/>
    <w:rsid w:val="00764182"/>
    <w:rsid w:val="0076572F"/>
    <w:rsid w:val="00770946"/>
    <w:rsid w:val="00770F50"/>
    <w:rsid w:val="0077371C"/>
    <w:rsid w:val="00780E36"/>
    <w:rsid w:val="0078328D"/>
    <w:rsid w:val="00783904"/>
    <w:rsid w:val="007950D6"/>
    <w:rsid w:val="007A2E3C"/>
    <w:rsid w:val="007A75C0"/>
    <w:rsid w:val="007B5FF4"/>
    <w:rsid w:val="007B670A"/>
    <w:rsid w:val="007C1F13"/>
    <w:rsid w:val="007C4A6C"/>
    <w:rsid w:val="007C63AB"/>
    <w:rsid w:val="007E12D1"/>
    <w:rsid w:val="007E5B1F"/>
    <w:rsid w:val="007F04FB"/>
    <w:rsid w:val="007F5EF3"/>
    <w:rsid w:val="00810494"/>
    <w:rsid w:val="008234FC"/>
    <w:rsid w:val="0083024F"/>
    <w:rsid w:val="0083229F"/>
    <w:rsid w:val="00841F0C"/>
    <w:rsid w:val="00843464"/>
    <w:rsid w:val="00845088"/>
    <w:rsid w:val="00845FF9"/>
    <w:rsid w:val="008512EC"/>
    <w:rsid w:val="008517C0"/>
    <w:rsid w:val="00861FF3"/>
    <w:rsid w:val="0086468A"/>
    <w:rsid w:val="00875712"/>
    <w:rsid w:val="008812E0"/>
    <w:rsid w:val="008841DE"/>
    <w:rsid w:val="00891B66"/>
    <w:rsid w:val="00893CB4"/>
    <w:rsid w:val="008A4D21"/>
    <w:rsid w:val="008A57BA"/>
    <w:rsid w:val="008A6AFC"/>
    <w:rsid w:val="008B1CA9"/>
    <w:rsid w:val="008B1DA9"/>
    <w:rsid w:val="008B2DE0"/>
    <w:rsid w:val="008B3998"/>
    <w:rsid w:val="008C5BFC"/>
    <w:rsid w:val="008C5E34"/>
    <w:rsid w:val="008C648A"/>
    <w:rsid w:val="008D2A0F"/>
    <w:rsid w:val="008D60A9"/>
    <w:rsid w:val="008D68EB"/>
    <w:rsid w:val="008E10B7"/>
    <w:rsid w:val="008E6134"/>
    <w:rsid w:val="008E7EF4"/>
    <w:rsid w:val="00903207"/>
    <w:rsid w:val="0090710F"/>
    <w:rsid w:val="00907DA3"/>
    <w:rsid w:val="00913043"/>
    <w:rsid w:val="009203C3"/>
    <w:rsid w:val="00923632"/>
    <w:rsid w:val="009424A5"/>
    <w:rsid w:val="00943394"/>
    <w:rsid w:val="00946BDA"/>
    <w:rsid w:val="00950749"/>
    <w:rsid w:val="009568DA"/>
    <w:rsid w:val="00960D93"/>
    <w:rsid w:val="009619A9"/>
    <w:rsid w:val="0096211D"/>
    <w:rsid w:val="009640F3"/>
    <w:rsid w:val="00966E47"/>
    <w:rsid w:val="009676A2"/>
    <w:rsid w:val="009704E7"/>
    <w:rsid w:val="0097538F"/>
    <w:rsid w:val="00980AA3"/>
    <w:rsid w:val="009829B3"/>
    <w:rsid w:val="00986020"/>
    <w:rsid w:val="009970F1"/>
    <w:rsid w:val="009A1360"/>
    <w:rsid w:val="009A5E2C"/>
    <w:rsid w:val="009B2F47"/>
    <w:rsid w:val="009B4604"/>
    <w:rsid w:val="009B505E"/>
    <w:rsid w:val="009C0DAD"/>
    <w:rsid w:val="009C0FB6"/>
    <w:rsid w:val="009C1EA8"/>
    <w:rsid w:val="009D17CD"/>
    <w:rsid w:val="009D3C49"/>
    <w:rsid w:val="009E0822"/>
    <w:rsid w:val="009E1F11"/>
    <w:rsid w:val="009F1A03"/>
    <w:rsid w:val="009F3939"/>
    <w:rsid w:val="00A15532"/>
    <w:rsid w:val="00A2160B"/>
    <w:rsid w:val="00A220C6"/>
    <w:rsid w:val="00A22C3E"/>
    <w:rsid w:val="00A30CE4"/>
    <w:rsid w:val="00A5001C"/>
    <w:rsid w:val="00A52883"/>
    <w:rsid w:val="00A52EB0"/>
    <w:rsid w:val="00A536CA"/>
    <w:rsid w:val="00A53E70"/>
    <w:rsid w:val="00A568A2"/>
    <w:rsid w:val="00A578C2"/>
    <w:rsid w:val="00A61647"/>
    <w:rsid w:val="00A6616B"/>
    <w:rsid w:val="00A84493"/>
    <w:rsid w:val="00A8650A"/>
    <w:rsid w:val="00A866B0"/>
    <w:rsid w:val="00A87CCE"/>
    <w:rsid w:val="00A93589"/>
    <w:rsid w:val="00A94D6F"/>
    <w:rsid w:val="00A9623B"/>
    <w:rsid w:val="00AA6225"/>
    <w:rsid w:val="00AD26E4"/>
    <w:rsid w:val="00AD3AB3"/>
    <w:rsid w:val="00AD4230"/>
    <w:rsid w:val="00AD5602"/>
    <w:rsid w:val="00AE1E44"/>
    <w:rsid w:val="00AE379A"/>
    <w:rsid w:val="00AF4818"/>
    <w:rsid w:val="00B07CF1"/>
    <w:rsid w:val="00B10812"/>
    <w:rsid w:val="00B1783F"/>
    <w:rsid w:val="00B256A2"/>
    <w:rsid w:val="00B4252F"/>
    <w:rsid w:val="00B42CEC"/>
    <w:rsid w:val="00B44B34"/>
    <w:rsid w:val="00B5093D"/>
    <w:rsid w:val="00B514CF"/>
    <w:rsid w:val="00B54A79"/>
    <w:rsid w:val="00B63CF5"/>
    <w:rsid w:val="00B64BBF"/>
    <w:rsid w:val="00B71E14"/>
    <w:rsid w:val="00B73B18"/>
    <w:rsid w:val="00B762E0"/>
    <w:rsid w:val="00B81CC5"/>
    <w:rsid w:val="00B81D74"/>
    <w:rsid w:val="00BA0599"/>
    <w:rsid w:val="00BA0A16"/>
    <w:rsid w:val="00BA46F5"/>
    <w:rsid w:val="00BB11E5"/>
    <w:rsid w:val="00BC122A"/>
    <w:rsid w:val="00BC76FC"/>
    <w:rsid w:val="00C058DF"/>
    <w:rsid w:val="00C05E8E"/>
    <w:rsid w:val="00C23927"/>
    <w:rsid w:val="00C24F8F"/>
    <w:rsid w:val="00C46BE1"/>
    <w:rsid w:val="00C47E4B"/>
    <w:rsid w:val="00C574BA"/>
    <w:rsid w:val="00C57909"/>
    <w:rsid w:val="00C57A11"/>
    <w:rsid w:val="00C60771"/>
    <w:rsid w:val="00C65440"/>
    <w:rsid w:val="00C67E56"/>
    <w:rsid w:val="00C720F0"/>
    <w:rsid w:val="00C746AF"/>
    <w:rsid w:val="00C828CF"/>
    <w:rsid w:val="00C85B35"/>
    <w:rsid w:val="00C869CC"/>
    <w:rsid w:val="00C90C96"/>
    <w:rsid w:val="00C96823"/>
    <w:rsid w:val="00CA1769"/>
    <w:rsid w:val="00CA5386"/>
    <w:rsid w:val="00CB25A7"/>
    <w:rsid w:val="00CB2D76"/>
    <w:rsid w:val="00CB6930"/>
    <w:rsid w:val="00CC3FDC"/>
    <w:rsid w:val="00CC58CE"/>
    <w:rsid w:val="00CC7BDE"/>
    <w:rsid w:val="00CE1888"/>
    <w:rsid w:val="00CF1633"/>
    <w:rsid w:val="00CF2AB7"/>
    <w:rsid w:val="00CF338F"/>
    <w:rsid w:val="00CF7263"/>
    <w:rsid w:val="00CF76B1"/>
    <w:rsid w:val="00D06E39"/>
    <w:rsid w:val="00D111D0"/>
    <w:rsid w:val="00D20CF8"/>
    <w:rsid w:val="00D22A93"/>
    <w:rsid w:val="00D272D4"/>
    <w:rsid w:val="00D3475C"/>
    <w:rsid w:val="00D35BCF"/>
    <w:rsid w:val="00D40DA5"/>
    <w:rsid w:val="00D42B20"/>
    <w:rsid w:val="00D5145B"/>
    <w:rsid w:val="00D54A85"/>
    <w:rsid w:val="00D6107B"/>
    <w:rsid w:val="00D66685"/>
    <w:rsid w:val="00D667A6"/>
    <w:rsid w:val="00D714D6"/>
    <w:rsid w:val="00D73742"/>
    <w:rsid w:val="00D8207B"/>
    <w:rsid w:val="00D866F8"/>
    <w:rsid w:val="00D93696"/>
    <w:rsid w:val="00D951C1"/>
    <w:rsid w:val="00DB05D2"/>
    <w:rsid w:val="00DB2E6D"/>
    <w:rsid w:val="00DB30A6"/>
    <w:rsid w:val="00DB701C"/>
    <w:rsid w:val="00DC6B0E"/>
    <w:rsid w:val="00DC7BE4"/>
    <w:rsid w:val="00DD0401"/>
    <w:rsid w:val="00DD500B"/>
    <w:rsid w:val="00DD5279"/>
    <w:rsid w:val="00DD553B"/>
    <w:rsid w:val="00DD58D2"/>
    <w:rsid w:val="00DD724D"/>
    <w:rsid w:val="00DF181D"/>
    <w:rsid w:val="00DF5BEB"/>
    <w:rsid w:val="00E03D17"/>
    <w:rsid w:val="00E05D80"/>
    <w:rsid w:val="00E07B57"/>
    <w:rsid w:val="00E1585D"/>
    <w:rsid w:val="00E22EF4"/>
    <w:rsid w:val="00E23154"/>
    <w:rsid w:val="00E259F6"/>
    <w:rsid w:val="00E26B3A"/>
    <w:rsid w:val="00E31FD3"/>
    <w:rsid w:val="00E35804"/>
    <w:rsid w:val="00E36DC4"/>
    <w:rsid w:val="00E37169"/>
    <w:rsid w:val="00E4190D"/>
    <w:rsid w:val="00E44CE0"/>
    <w:rsid w:val="00E468DD"/>
    <w:rsid w:val="00E63579"/>
    <w:rsid w:val="00E63C3D"/>
    <w:rsid w:val="00E70AAD"/>
    <w:rsid w:val="00E70D0A"/>
    <w:rsid w:val="00E73C3B"/>
    <w:rsid w:val="00E82284"/>
    <w:rsid w:val="00E87431"/>
    <w:rsid w:val="00E90DF9"/>
    <w:rsid w:val="00E91776"/>
    <w:rsid w:val="00E9482B"/>
    <w:rsid w:val="00EA1570"/>
    <w:rsid w:val="00EA5D41"/>
    <w:rsid w:val="00EA61F1"/>
    <w:rsid w:val="00EA692E"/>
    <w:rsid w:val="00EB2156"/>
    <w:rsid w:val="00EB2FD3"/>
    <w:rsid w:val="00EB7236"/>
    <w:rsid w:val="00EC3E3C"/>
    <w:rsid w:val="00EC4A1D"/>
    <w:rsid w:val="00ED407F"/>
    <w:rsid w:val="00ED7507"/>
    <w:rsid w:val="00EE17D3"/>
    <w:rsid w:val="00EE560A"/>
    <w:rsid w:val="00EE7847"/>
    <w:rsid w:val="00EF2740"/>
    <w:rsid w:val="00EF453A"/>
    <w:rsid w:val="00F131E1"/>
    <w:rsid w:val="00F34CFF"/>
    <w:rsid w:val="00F3669C"/>
    <w:rsid w:val="00F43D8E"/>
    <w:rsid w:val="00F51A0A"/>
    <w:rsid w:val="00F7027D"/>
    <w:rsid w:val="00F73B45"/>
    <w:rsid w:val="00F842CA"/>
    <w:rsid w:val="00F84E2A"/>
    <w:rsid w:val="00F91869"/>
    <w:rsid w:val="00F94A7B"/>
    <w:rsid w:val="00FA1C6A"/>
    <w:rsid w:val="00FA7473"/>
    <w:rsid w:val="00FB1F76"/>
    <w:rsid w:val="00FD0B8F"/>
    <w:rsid w:val="00FD7124"/>
    <w:rsid w:val="00FE167F"/>
    <w:rsid w:val="00FE25A1"/>
    <w:rsid w:val="00FE340E"/>
    <w:rsid w:val="00FE3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 w:type="paragraph" w:customStyle="1" w:styleId="CS-RecommendationList">
    <w:name w:val="CS - Recommendation List"/>
    <w:basedOn w:val="Normal"/>
    <w:qFormat/>
    <w:rsid w:val="001A18B8"/>
    <w:pPr>
      <w:numPr>
        <w:numId w:val="29"/>
      </w:numPr>
      <w:spacing w:after="240" w:line="240" w:lineRule="auto"/>
      <w:contextualSpacing/>
    </w:pPr>
    <w:rPr>
      <w:rFonts w:cs="Calibr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4828">
      <w:bodyDiv w:val="1"/>
      <w:marLeft w:val="0"/>
      <w:marRight w:val="0"/>
      <w:marTop w:val="0"/>
      <w:marBottom w:val="0"/>
      <w:divBdr>
        <w:top w:val="none" w:sz="0" w:space="0" w:color="auto"/>
        <w:left w:val="none" w:sz="0" w:space="0" w:color="auto"/>
        <w:bottom w:val="none" w:sz="0" w:space="0" w:color="auto"/>
        <w:right w:val="none" w:sz="0" w:space="0" w:color="auto"/>
      </w:divBdr>
    </w:div>
    <w:div w:id="89470457">
      <w:bodyDiv w:val="1"/>
      <w:marLeft w:val="0"/>
      <w:marRight w:val="0"/>
      <w:marTop w:val="0"/>
      <w:marBottom w:val="0"/>
      <w:divBdr>
        <w:top w:val="none" w:sz="0" w:space="0" w:color="auto"/>
        <w:left w:val="none" w:sz="0" w:space="0" w:color="auto"/>
        <w:bottom w:val="none" w:sz="0" w:space="0" w:color="auto"/>
        <w:right w:val="none" w:sz="0" w:space="0" w:color="auto"/>
      </w:divBdr>
    </w:div>
    <w:div w:id="136000705">
      <w:bodyDiv w:val="1"/>
      <w:marLeft w:val="0"/>
      <w:marRight w:val="0"/>
      <w:marTop w:val="0"/>
      <w:marBottom w:val="0"/>
      <w:divBdr>
        <w:top w:val="none" w:sz="0" w:space="0" w:color="auto"/>
        <w:left w:val="none" w:sz="0" w:space="0" w:color="auto"/>
        <w:bottom w:val="none" w:sz="0" w:space="0" w:color="auto"/>
        <w:right w:val="none" w:sz="0" w:space="0" w:color="auto"/>
      </w:divBdr>
    </w:div>
    <w:div w:id="161511838">
      <w:bodyDiv w:val="1"/>
      <w:marLeft w:val="0"/>
      <w:marRight w:val="0"/>
      <w:marTop w:val="0"/>
      <w:marBottom w:val="0"/>
      <w:divBdr>
        <w:top w:val="none" w:sz="0" w:space="0" w:color="auto"/>
        <w:left w:val="none" w:sz="0" w:space="0" w:color="auto"/>
        <w:bottom w:val="none" w:sz="0" w:space="0" w:color="auto"/>
        <w:right w:val="none" w:sz="0" w:space="0" w:color="auto"/>
      </w:divBdr>
    </w:div>
    <w:div w:id="242186955">
      <w:bodyDiv w:val="1"/>
      <w:marLeft w:val="0"/>
      <w:marRight w:val="0"/>
      <w:marTop w:val="0"/>
      <w:marBottom w:val="0"/>
      <w:divBdr>
        <w:top w:val="none" w:sz="0" w:space="0" w:color="auto"/>
        <w:left w:val="none" w:sz="0" w:space="0" w:color="auto"/>
        <w:bottom w:val="none" w:sz="0" w:space="0" w:color="auto"/>
        <w:right w:val="none" w:sz="0" w:space="0" w:color="auto"/>
      </w:divBdr>
    </w:div>
    <w:div w:id="395781766">
      <w:bodyDiv w:val="1"/>
      <w:marLeft w:val="0"/>
      <w:marRight w:val="0"/>
      <w:marTop w:val="0"/>
      <w:marBottom w:val="0"/>
      <w:divBdr>
        <w:top w:val="none" w:sz="0" w:space="0" w:color="auto"/>
        <w:left w:val="none" w:sz="0" w:space="0" w:color="auto"/>
        <w:bottom w:val="none" w:sz="0" w:space="0" w:color="auto"/>
        <w:right w:val="none" w:sz="0" w:space="0" w:color="auto"/>
      </w:divBdr>
    </w:div>
    <w:div w:id="505441979">
      <w:bodyDiv w:val="1"/>
      <w:marLeft w:val="0"/>
      <w:marRight w:val="0"/>
      <w:marTop w:val="0"/>
      <w:marBottom w:val="0"/>
      <w:divBdr>
        <w:top w:val="none" w:sz="0" w:space="0" w:color="auto"/>
        <w:left w:val="none" w:sz="0" w:space="0" w:color="auto"/>
        <w:bottom w:val="none" w:sz="0" w:space="0" w:color="auto"/>
        <w:right w:val="none" w:sz="0" w:space="0" w:color="auto"/>
      </w:divBdr>
    </w:div>
    <w:div w:id="683703054">
      <w:bodyDiv w:val="1"/>
      <w:marLeft w:val="0"/>
      <w:marRight w:val="0"/>
      <w:marTop w:val="0"/>
      <w:marBottom w:val="0"/>
      <w:divBdr>
        <w:top w:val="none" w:sz="0" w:space="0" w:color="auto"/>
        <w:left w:val="none" w:sz="0" w:space="0" w:color="auto"/>
        <w:bottom w:val="none" w:sz="0" w:space="0" w:color="auto"/>
        <w:right w:val="none" w:sz="0" w:space="0" w:color="auto"/>
      </w:divBdr>
    </w:div>
    <w:div w:id="1069302970">
      <w:bodyDiv w:val="1"/>
      <w:marLeft w:val="0"/>
      <w:marRight w:val="0"/>
      <w:marTop w:val="0"/>
      <w:marBottom w:val="0"/>
      <w:divBdr>
        <w:top w:val="none" w:sz="0" w:space="0" w:color="auto"/>
        <w:left w:val="none" w:sz="0" w:space="0" w:color="auto"/>
        <w:bottom w:val="none" w:sz="0" w:space="0" w:color="auto"/>
        <w:right w:val="none" w:sz="0" w:space="0" w:color="auto"/>
      </w:divBdr>
    </w:div>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371997981">
      <w:bodyDiv w:val="1"/>
      <w:marLeft w:val="0"/>
      <w:marRight w:val="0"/>
      <w:marTop w:val="0"/>
      <w:marBottom w:val="0"/>
      <w:divBdr>
        <w:top w:val="none" w:sz="0" w:space="0" w:color="auto"/>
        <w:left w:val="none" w:sz="0" w:space="0" w:color="auto"/>
        <w:bottom w:val="none" w:sz="0" w:space="0" w:color="auto"/>
        <w:right w:val="none" w:sz="0" w:space="0" w:color="auto"/>
      </w:divBdr>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1968386184">
      <w:bodyDiv w:val="1"/>
      <w:marLeft w:val="0"/>
      <w:marRight w:val="0"/>
      <w:marTop w:val="0"/>
      <w:marBottom w:val="0"/>
      <w:divBdr>
        <w:top w:val="none" w:sz="0" w:space="0" w:color="auto"/>
        <w:left w:val="none" w:sz="0" w:space="0" w:color="auto"/>
        <w:bottom w:val="none" w:sz="0" w:space="0" w:color="auto"/>
        <w:right w:val="none" w:sz="0" w:space="0" w:color="auto"/>
      </w:divBdr>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 w:id="2054230361">
      <w:bodyDiv w:val="1"/>
      <w:marLeft w:val="0"/>
      <w:marRight w:val="0"/>
      <w:marTop w:val="0"/>
      <w:marBottom w:val="0"/>
      <w:divBdr>
        <w:top w:val="none" w:sz="0" w:space="0" w:color="auto"/>
        <w:left w:val="none" w:sz="0" w:space="0" w:color="auto"/>
        <w:bottom w:val="none" w:sz="0" w:space="0" w:color="auto"/>
        <w:right w:val="none" w:sz="0" w:space="0" w:color="auto"/>
      </w:divBdr>
    </w:div>
    <w:div w:id="2065447188">
      <w:bodyDiv w:val="1"/>
      <w:marLeft w:val="0"/>
      <w:marRight w:val="0"/>
      <w:marTop w:val="0"/>
      <w:marBottom w:val="0"/>
      <w:divBdr>
        <w:top w:val="none" w:sz="0" w:space="0" w:color="auto"/>
        <w:left w:val="none" w:sz="0" w:space="0" w:color="auto"/>
        <w:bottom w:val="none" w:sz="0" w:space="0" w:color="auto"/>
        <w:right w:val="none" w:sz="0" w:space="0" w:color="auto"/>
      </w:divBdr>
    </w:div>
    <w:div w:id="20732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8101</Words>
  <Characters>41483</Characters>
  <Application>Microsoft Office Word</Application>
  <DocSecurity>4</DocSecurity>
  <Lines>1430</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Trpkovski, MelissaS</cp:lastModifiedBy>
  <cp:revision>2</cp:revision>
  <dcterms:created xsi:type="dcterms:W3CDTF">2026-02-04T06:07:00Z</dcterms:created>
  <dcterms:modified xsi:type="dcterms:W3CDTF">2026-02-04T06:07:00Z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