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9321" w14:textId="6BE9DE44" w:rsidR="00FD6165" w:rsidRPr="00FD6165" w:rsidRDefault="00F30536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511A2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</w:t>
                            </w:r>
                            <w:r w:rsidR="009A5042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51859321" w14:textId="6BE9DE44" w:rsidR="00FD6165" w:rsidRPr="00FD6165" w:rsidRDefault="00F30536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511A2B">
                        <w:rPr>
                          <w:rFonts w:ascii="Calibri" w:hAnsi="Calibri"/>
                          <w:b/>
                          <w:color w:val="FF0000"/>
                        </w:rPr>
                        <w:t>2</w:t>
                      </w:r>
                      <w:r w:rsidR="009A5042">
                        <w:rPr>
                          <w:rFonts w:ascii="Calibri" w:hAnsi="Calibri"/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7C20A37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22C19">
            <w:t>Health and Community Wellbeing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4A09BFE1" w:rsidR="0016396A" w:rsidRPr="003E689A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3E689A">
        <w:rPr>
          <w:rFonts w:asciiTheme="minorHAnsi" w:hAnsiTheme="minorHAnsi" w:cstheme="minorHAnsi"/>
          <w:sz w:val="22"/>
          <w:szCs w:val="22"/>
        </w:rPr>
        <w:t xml:space="preserve">Asked by </w:t>
      </w:r>
      <w:r w:rsidR="00922C19" w:rsidRPr="003E689A">
        <w:rPr>
          <w:rFonts w:asciiTheme="minorHAnsi" w:hAnsiTheme="minorHAnsi" w:cstheme="minorHAnsi"/>
          <w:b/>
          <w:bCs/>
          <w:sz w:val="22"/>
          <w:szCs w:val="22"/>
        </w:rPr>
        <w:t xml:space="preserve">MS </w:t>
      </w:r>
      <w:r w:rsidR="003E689A" w:rsidRPr="003E689A">
        <w:rPr>
          <w:rFonts w:asciiTheme="minorHAnsi" w:hAnsiTheme="minorHAnsi" w:cstheme="minorHAnsi"/>
          <w:b/>
          <w:bCs/>
          <w:sz w:val="22"/>
          <w:szCs w:val="22"/>
        </w:rPr>
        <w:t xml:space="preserve">LEANNE </w:t>
      </w:r>
      <w:r w:rsidR="00922C19" w:rsidRPr="003E689A">
        <w:rPr>
          <w:rFonts w:asciiTheme="minorHAnsi" w:hAnsiTheme="minorHAnsi" w:cstheme="minorHAnsi"/>
          <w:b/>
          <w:bCs/>
          <w:sz w:val="22"/>
          <w:szCs w:val="22"/>
        </w:rPr>
        <w:t>CASTLEY MLA</w:t>
      </w:r>
      <w:r w:rsidRPr="003E689A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2EB43729" w14:textId="77777777" w:rsidR="0016396A" w:rsidRPr="003E689A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52B4EF78" w14:textId="1DCFF667" w:rsidR="0016396A" w:rsidRPr="003E689A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3E689A">
        <w:rPr>
          <w:rFonts w:asciiTheme="minorHAnsi" w:hAnsiTheme="minorHAnsi" w:cstheme="minorHAnsi"/>
          <w:sz w:val="22"/>
          <w:szCs w:val="22"/>
        </w:rPr>
        <w:t>Ref</w:t>
      </w:r>
      <w:r w:rsidR="00AA76F2" w:rsidRPr="003E689A">
        <w:rPr>
          <w:rFonts w:asciiTheme="minorHAnsi" w:hAnsiTheme="minorHAnsi" w:cstheme="minorHAnsi"/>
          <w:sz w:val="22"/>
          <w:szCs w:val="22"/>
        </w:rPr>
        <w:t>erence</w:t>
      </w:r>
      <w:r w:rsidRPr="003E689A">
        <w:rPr>
          <w:rFonts w:asciiTheme="minorHAnsi" w:hAnsiTheme="minorHAnsi" w:cstheme="minorHAnsi"/>
          <w:sz w:val="22"/>
          <w:szCs w:val="22"/>
        </w:rPr>
        <w:t>:</w:t>
      </w:r>
      <w:r w:rsidR="00AA76F2" w:rsidRPr="003E689A">
        <w:rPr>
          <w:rFonts w:asciiTheme="minorHAnsi" w:hAnsiTheme="minorHAnsi" w:cstheme="minorHAnsi"/>
          <w:sz w:val="22"/>
          <w:szCs w:val="22"/>
        </w:rPr>
        <w:t xml:space="preserve"> Hearing on </w:t>
      </w:r>
      <w:r w:rsidR="00922C19" w:rsidRPr="003E689A">
        <w:rPr>
          <w:rFonts w:asciiTheme="minorHAnsi" w:hAnsiTheme="minorHAnsi" w:cstheme="minorHAnsi"/>
          <w:sz w:val="22"/>
          <w:szCs w:val="22"/>
        </w:rPr>
        <w:t>1 November 2022</w:t>
      </w:r>
      <w:r w:rsidR="00AA76F2" w:rsidRPr="003E689A">
        <w:rPr>
          <w:rFonts w:asciiTheme="minorHAnsi" w:hAnsiTheme="minorHAnsi" w:cstheme="minorHAnsi"/>
          <w:sz w:val="22"/>
          <w:szCs w:val="22"/>
        </w:rPr>
        <w:t xml:space="preserve">, </w:t>
      </w:r>
      <w:r w:rsidRPr="003E689A">
        <w:rPr>
          <w:rFonts w:asciiTheme="minorHAnsi" w:hAnsiTheme="minorHAnsi" w:cstheme="minorHAnsi"/>
          <w:sz w:val="22"/>
          <w:szCs w:val="22"/>
        </w:rPr>
        <w:t>Annual Report</w:t>
      </w:r>
      <w:r w:rsidR="00AA76F2" w:rsidRPr="003E689A">
        <w:rPr>
          <w:rFonts w:asciiTheme="minorHAnsi" w:hAnsiTheme="minorHAnsi" w:cstheme="minorHAnsi"/>
          <w:sz w:val="22"/>
          <w:szCs w:val="22"/>
        </w:rPr>
        <w:t xml:space="preserve"> of </w:t>
      </w:r>
      <w:r w:rsidR="00922C19" w:rsidRPr="003E689A">
        <w:rPr>
          <w:rFonts w:asciiTheme="minorHAnsi" w:hAnsiTheme="minorHAnsi" w:cstheme="minorHAnsi"/>
          <w:sz w:val="22"/>
          <w:szCs w:val="22"/>
        </w:rPr>
        <w:t>CHS</w:t>
      </w:r>
    </w:p>
    <w:p w14:paraId="0253A4B1" w14:textId="77777777" w:rsidR="0016396A" w:rsidRPr="003E689A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5DE1C276" w14:textId="07121A2F" w:rsidR="0016396A" w:rsidRPr="003E689A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3E689A">
        <w:rPr>
          <w:rFonts w:asciiTheme="minorHAnsi" w:hAnsiTheme="minorHAnsi" w:cstheme="minorHAnsi"/>
          <w:sz w:val="22"/>
          <w:szCs w:val="22"/>
        </w:rPr>
        <w:t xml:space="preserve">In relation to: </w:t>
      </w:r>
      <w:r w:rsidR="009A5042" w:rsidRPr="003E689A">
        <w:rPr>
          <w:rFonts w:asciiTheme="minorHAnsi" w:eastAsiaTheme="minorHAnsi" w:hAnsiTheme="minorHAnsi" w:cstheme="minorHAnsi"/>
          <w:sz w:val="22"/>
          <w:szCs w:val="22"/>
          <w:lang w:val="en-AU"/>
        </w:rPr>
        <w:t>Page 131, 132 CHS Annual report 2021-22</w:t>
      </w:r>
    </w:p>
    <w:p w14:paraId="38EE107F" w14:textId="77777777" w:rsidR="0016396A" w:rsidRPr="003E689A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642AF547" w14:textId="5DFE4EF4" w:rsidR="009A5042" w:rsidRPr="003E689A" w:rsidRDefault="009A5042" w:rsidP="009A5042">
      <w:pPr>
        <w:ind w:left="-142"/>
        <w:rPr>
          <w:rFonts w:asciiTheme="minorHAnsi" w:hAnsiTheme="minorHAnsi" w:cstheme="minorHAnsi"/>
          <w:sz w:val="22"/>
          <w:szCs w:val="22"/>
          <w:lang w:val="en-AU"/>
        </w:rPr>
      </w:pPr>
      <w:r w:rsidRPr="003E689A">
        <w:rPr>
          <w:rFonts w:asciiTheme="minorHAnsi" w:hAnsiTheme="minorHAnsi" w:cstheme="minorHAnsi"/>
          <w:sz w:val="22"/>
          <w:szCs w:val="22"/>
          <w:lang w:val="en-AU"/>
        </w:rPr>
        <w:t>The expansion of the women’s and children hospital which is due to be complete next year in September. The total expenditure to date is just over 50% of what is budgeted.</w:t>
      </w:r>
    </w:p>
    <w:p w14:paraId="5F108D51" w14:textId="310F793A" w:rsidR="009A5042" w:rsidRPr="003E689A" w:rsidRDefault="009A5042" w:rsidP="003D7B01">
      <w:pPr>
        <w:pStyle w:val="ListParagraph"/>
        <w:numPr>
          <w:ilvl w:val="0"/>
          <w:numId w:val="2"/>
        </w:numPr>
        <w:ind w:left="284" w:hanging="426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Will the project be complete by September 2023?</w:t>
      </w:r>
    </w:p>
    <w:p w14:paraId="3A0CA6A4" w14:textId="0FAC706E" w:rsidR="009A5042" w:rsidRPr="003E689A" w:rsidRDefault="009A5042" w:rsidP="003D7B01">
      <w:pPr>
        <w:pStyle w:val="ListParagraph"/>
        <w:numPr>
          <w:ilvl w:val="0"/>
          <w:numId w:val="2"/>
        </w:numPr>
        <w:ind w:left="284" w:hanging="426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What wards and facilities are still under construction and what has been complete?</w:t>
      </w:r>
    </w:p>
    <w:p w14:paraId="122993A3" w14:textId="77777777" w:rsidR="009A5042" w:rsidRPr="003E689A" w:rsidRDefault="009A5042" w:rsidP="009A5042">
      <w:pPr>
        <w:ind w:left="-142"/>
        <w:rPr>
          <w:rFonts w:asciiTheme="minorHAnsi" w:hAnsiTheme="minorHAnsi" w:cstheme="minorHAnsi"/>
          <w:sz w:val="22"/>
          <w:szCs w:val="22"/>
          <w:lang w:val="en-AU"/>
        </w:rPr>
      </w:pPr>
    </w:p>
    <w:p w14:paraId="4823C347" w14:textId="08D796A3" w:rsidR="009A5042" w:rsidRPr="003E689A" w:rsidRDefault="009A5042" w:rsidP="009A5042">
      <w:pPr>
        <w:ind w:left="-142"/>
        <w:rPr>
          <w:rFonts w:asciiTheme="minorHAnsi" w:hAnsiTheme="minorHAnsi" w:cstheme="minorHAnsi"/>
          <w:sz w:val="22"/>
          <w:szCs w:val="22"/>
          <w:lang w:val="en-AU"/>
        </w:rPr>
      </w:pPr>
      <w:r w:rsidRPr="003E689A">
        <w:rPr>
          <w:rFonts w:asciiTheme="minorHAnsi" w:hAnsiTheme="minorHAnsi" w:cstheme="minorHAnsi"/>
          <w:sz w:val="22"/>
          <w:szCs w:val="22"/>
          <w:lang w:val="en-AU"/>
        </w:rPr>
        <w:t>The Clinical Services and inpatient unit design and infrastructure expansion reduced the value for this project from around 41 million to 27 million.</w:t>
      </w:r>
    </w:p>
    <w:p w14:paraId="79602456" w14:textId="32A937EF" w:rsidR="009A5042" w:rsidRPr="003E689A" w:rsidRDefault="009A5042" w:rsidP="003D7B01">
      <w:pPr>
        <w:pStyle w:val="ListParagraph"/>
        <w:numPr>
          <w:ilvl w:val="0"/>
          <w:numId w:val="3"/>
        </w:numPr>
        <w:ind w:left="284" w:hanging="426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Why was the clinical services project reduced by such a significant amount?</w:t>
      </w:r>
    </w:p>
    <w:p w14:paraId="785EF39F" w14:textId="088BBF13" w:rsidR="009A5042" w:rsidRPr="003E689A" w:rsidRDefault="009A5042" w:rsidP="003D7B01">
      <w:pPr>
        <w:pStyle w:val="ListParagraph"/>
        <w:numPr>
          <w:ilvl w:val="0"/>
          <w:numId w:val="3"/>
        </w:numPr>
        <w:ind w:left="284" w:hanging="426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What is the Clinical services and inpatient design project?</w:t>
      </w:r>
    </w:p>
    <w:p w14:paraId="6DB508AE" w14:textId="58210B9D" w:rsidR="009A5042" w:rsidRPr="003E689A" w:rsidRDefault="009A5042" w:rsidP="003D7B01">
      <w:pPr>
        <w:pStyle w:val="ListParagraph"/>
        <w:numPr>
          <w:ilvl w:val="0"/>
          <w:numId w:val="4"/>
        </w:numPr>
        <w:jc w:val="left"/>
        <w:rPr>
          <w:sz w:val="22"/>
          <w:szCs w:val="22"/>
        </w:rPr>
      </w:pPr>
      <w:r w:rsidRPr="003E689A">
        <w:rPr>
          <w:sz w:val="22"/>
          <w:szCs w:val="22"/>
        </w:rPr>
        <w:t>Is the design being implemented? If not, why?</w:t>
      </w:r>
    </w:p>
    <w:p w14:paraId="551AE708" w14:textId="24599211" w:rsidR="009A5042" w:rsidRPr="003E689A" w:rsidRDefault="009A5042" w:rsidP="003D7B01">
      <w:pPr>
        <w:pStyle w:val="ListParagraph"/>
        <w:numPr>
          <w:ilvl w:val="0"/>
          <w:numId w:val="3"/>
        </w:numPr>
        <w:ind w:left="284" w:hanging="426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Was this project outsourced?</w:t>
      </w:r>
    </w:p>
    <w:p w14:paraId="4F83C9C5" w14:textId="04FE0DE7" w:rsidR="005719E5" w:rsidRPr="003E689A" w:rsidRDefault="009A5042" w:rsidP="003D7B01">
      <w:pPr>
        <w:pStyle w:val="ListParagraph"/>
        <w:numPr>
          <w:ilvl w:val="1"/>
          <w:numId w:val="5"/>
        </w:numPr>
        <w:jc w:val="left"/>
        <w:rPr>
          <w:sz w:val="22"/>
          <w:szCs w:val="22"/>
        </w:rPr>
      </w:pPr>
      <w:r w:rsidRPr="003E689A">
        <w:rPr>
          <w:sz w:val="22"/>
          <w:szCs w:val="22"/>
        </w:rPr>
        <w:t>Which company won the tender and what was their total cost?</w:t>
      </w:r>
    </w:p>
    <w:p w14:paraId="52CBC5D7" w14:textId="77777777" w:rsidR="009A5042" w:rsidRPr="003E689A" w:rsidRDefault="009A5042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0AD9B49F" w14:textId="7DE3E791" w:rsidR="0016396A" w:rsidRPr="003E689A" w:rsidRDefault="00922C19" w:rsidP="00500F63">
      <w:pPr>
        <w:ind w:left="-142"/>
        <w:rPr>
          <w:rFonts w:asciiTheme="minorHAnsi" w:hAnsiTheme="minorHAnsi" w:cstheme="minorHAnsi"/>
          <w:sz w:val="22"/>
          <w:szCs w:val="22"/>
        </w:rPr>
      </w:pPr>
      <w:r w:rsidRPr="003E689A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3E689A" w:rsidRPr="003E689A">
        <w:rPr>
          <w:rFonts w:asciiTheme="minorHAnsi" w:hAnsiTheme="minorHAnsi" w:cstheme="minorHAnsi"/>
          <w:b/>
          <w:bCs/>
          <w:sz w:val="22"/>
          <w:szCs w:val="22"/>
        </w:rPr>
        <w:t xml:space="preserve">INISTER </w:t>
      </w:r>
      <w:r w:rsidRPr="003E689A">
        <w:rPr>
          <w:rFonts w:asciiTheme="minorHAnsi" w:hAnsiTheme="minorHAnsi" w:cstheme="minorHAnsi"/>
          <w:b/>
          <w:bCs/>
          <w:sz w:val="22"/>
          <w:szCs w:val="22"/>
        </w:rPr>
        <w:t>STEPHEN-SMITH</w:t>
      </w:r>
      <w:r w:rsidR="005B45BB">
        <w:rPr>
          <w:rFonts w:asciiTheme="minorHAnsi" w:hAnsiTheme="minorHAnsi" w:cstheme="minorHAnsi"/>
          <w:b/>
          <w:bCs/>
          <w:sz w:val="22"/>
          <w:szCs w:val="22"/>
        </w:rPr>
        <w:t xml:space="preserve"> MLA</w:t>
      </w:r>
      <w:r w:rsidR="003E689A" w:rsidRPr="003E689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16396A" w:rsidRPr="003E689A">
        <w:rPr>
          <w:rFonts w:asciiTheme="minorHAnsi" w:hAnsiTheme="minorHAnsi" w:cstheme="minorHAnsi"/>
          <w:sz w:val="22"/>
          <w:szCs w:val="22"/>
        </w:rPr>
        <w:t xml:space="preserve">  </w:t>
      </w:r>
      <w:r w:rsidR="0016396A" w:rsidRPr="003E689A">
        <w:rPr>
          <w:rFonts w:asciiTheme="minorHAnsi" w:hAnsiTheme="minorHAnsi" w:cstheme="minorHAnsi"/>
          <w:sz w:val="22"/>
          <w:szCs w:val="22"/>
          <w:lang w:val="en-US"/>
        </w:rPr>
        <w:t>The answer to the Member’s question is as follows:</w:t>
      </w:r>
    </w:p>
    <w:p w14:paraId="6D72DA4A" w14:textId="2112AA1C" w:rsidR="00F65ED9" w:rsidRPr="00500F63" w:rsidRDefault="00645013" w:rsidP="00500F63">
      <w:pPr>
        <w:spacing w:before="240"/>
        <w:ind w:left="-142"/>
        <w:rPr>
          <w:rFonts w:asciiTheme="minorHAnsi" w:hAnsiTheme="minorHAnsi" w:cstheme="minorHAnsi"/>
          <w:b/>
          <w:bCs/>
          <w:sz w:val="22"/>
          <w:szCs w:val="22"/>
        </w:rPr>
      </w:pPr>
      <w:r w:rsidRPr="00500F63">
        <w:rPr>
          <w:rFonts w:asciiTheme="minorHAnsi" w:hAnsiTheme="minorHAnsi" w:cstheme="minorHAnsi"/>
          <w:b/>
          <w:bCs/>
          <w:sz w:val="22"/>
          <w:szCs w:val="22"/>
        </w:rPr>
        <w:t>Centenary Hospital for Women and Children (CHWC)</w:t>
      </w:r>
      <w:r w:rsidR="00F65ED9" w:rsidRPr="00500F63">
        <w:rPr>
          <w:rFonts w:asciiTheme="minorHAnsi" w:hAnsiTheme="minorHAnsi" w:cstheme="minorHAnsi"/>
          <w:b/>
          <w:bCs/>
          <w:sz w:val="22"/>
          <w:szCs w:val="22"/>
        </w:rPr>
        <w:t xml:space="preserve"> Expansion</w:t>
      </w:r>
      <w:r w:rsidRPr="00500F63">
        <w:rPr>
          <w:rFonts w:asciiTheme="minorHAnsi" w:hAnsiTheme="minorHAnsi" w:cstheme="minorHAnsi"/>
          <w:b/>
          <w:bCs/>
          <w:sz w:val="22"/>
          <w:szCs w:val="22"/>
        </w:rPr>
        <w:t xml:space="preserve"> Project</w:t>
      </w:r>
      <w:r w:rsidR="00500F6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6766CE4" w14:textId="0E1AA301" w:rsidR="00922C19" w:rsidRPr="003E689A" w:rsidRDefault="009A36F4" w:rsidP="00500F63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sz w:val="22"/>
          <w:szCs w:val="22"/>
        </w:rPr>
      </w:pPr>
      <w:r w:rsidRPr="003E689A">
        <w:rPr>
          <w:sz w:val="22"/>
          <w:szCs w:val="22"/>
        </w:rPr>
        <w:t xml:space="preserve">The </w:t>
      </w:r>
      <w:r w:rsidR="00645013" w:rsidRPr="003E689A">
        <w:rPr>
          <w:sz w:val="22"/>
          <w:szCs w:val="22"/>
        </w:rPr>
        <w:t>CHWC Expansion</w:t>
      </w:r>
      <w:r w:rsidRPr="003E689A">
        <w:rPr>
          <w:sz w:val="22"/>
          <w:szCs w:val="22"/>
        </w:rPr>
        <w:t xml:space="preserve"> </w:t>
      </w:r>
      <w:r w:rsidR="00645013" w:rsidRPr="003E689A">
        <w:rPr>
          <w:sz w:val="22"/>
          <w:szCs w:val="22"/>
        </w:rPr>
        <w:t>P</w:t>
      </w:r>
      <w:r w:rsidRPr="003E689A">
        <w:rPr>
          <w:sz w:val="22"/>
          <w:szCs w:val="22"/>
        </w:rPr>
        <w:t xml:space="preserve">roject is on track for completion in September 2023. </w:t>
      </w:r>
    </w:p>
    <w:p w14:paraId="035F3149" w14:textId="2EEC205A" w:rsidR="009A36F4" w:rsidRPr="003E689A" w:rsidRDefault="009A36F4" w:rsidP="00500F63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sz w:val="22"/>
          <w:szCs w:val="22"/>
        </w:rPr>
      </w:pPr>
      <w:r w:rsidRPr="003E689A">
        <w:rPr>
          <w:sz w:val="22"/>
          <w:szCs w:val="22"/>
        </w:rPr>
        <w:t xml:space="preserve">The program summary is provided in the table below. </w:t>
      </w:r>
    </w:p>
    <w:p w14:paraId="33A1F603" w14:textId="77777777" w:rsidR="00645013" w:rsidRPr="003E689A" w:rsidRDefault="00645013" w:rsidP="00645013">
      <w:pPr>
        <w:pStyle w:val="ListParagraph"/>
        <w:ind w:left="284"/>
        <w:jc w:val="left"/>
        <w:rPr>
          <w:sz w:val="22"/>
          <w:szCs w:val="22"/>
        </w:rPr>
      </w:pPr>
    </w:p>
    <w:tbl>
      <w:tblPr>
        <w:tblStyle w:val="TableGrid"/>
        <w:tblW w:w="6663" w:type="dxa"/>
        <w:tblInd w:w="-5" w:type="dxa"/>
        <w:tblLook w:val="04A0" w:firstRow="1" w:lastRow="0" w:firstColumn="1" w:lastColumn="0" w:noHBand="0" w:noVBand="1"/>
      </w:tblPr>
      <w:tblGrid>
        <w:gridCol w:w="678"/>
        <w:gridCol w:w="4142"/>
        <w:gridCol w:w="1843"/>
      </w:tblGrid>
      <w:tr w:rsidR="00500F63" w:rsidRPr="003E689A" w14:paraId="0CF8DF65" w14:textId="77777777" w:rsidTr="00500F63">
        <w:tc>
          <w:tcPr>
            <w:tcW w:w="6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69BFE0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F2CA17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Service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03FCCC4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Construction Completion Date</w:t>
            </w:r>
          </w:p>
        </w:tc>
      </w:tr>
      <w:tr w:rsidR="00500F63" w:rsidRPr="003E689A" w14:paraId="4CFB3E70" w14:textId="77777777" w:rsidTr="00500F63">
        <w:tc>
          <w:tcPr>
            <w:tcW w:w="678" w:type="dxa"/>
          </w:tcPr>
          <w:p w14:paraId="429EEF32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4142" w:type="dxa"/>
          </w:tcPr>
          <w:p w14:paraId="664B3245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Paediatric</w:t>
            </w:r>
            <w:proofErr w:type="spellEnd"/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High Care Unit</w:t>
            </w:r>
          </w:p>
        </w:tc>
        <w:tc>
          <w:tcPr>
            <w:tcW w:w="1843" w:type="dxa"/>
            <w:vAlign w:val="center"/>
          </w:tcPr>
          <w:p w14:paraId="6DD46A7D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October 2020</w:t>
            </w:r>
          </w:p>
        </w:tc>
      </w:tr>
      <w:tr w:rsidR="00500F63" w:rsidRPr="003E689A" w14:paraId="0DF24042" w14:textId="77777777" w:rsidTr="00500F63">
        <w:tc>
          <w:tcPr>
            <w:tcW w:w="678" w:type="dxa"/>
          </w:tcPr>
          <w:p w14:paraId="5D972C0C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4142" w:type="dxa"/>
          </w:tcPr>
          <w:p w14:paraId="0B81AEA4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Administration Building</w:t>
            </w:r>
          </w:p>
        </w:tc>
        <w:tc>
          <w:tcPr>
            <w:tcW w:w="1843" w:type="dxa"/>
            <w:vAlign w:val="center"/>
          </w:tcPr>
          <w:p w14:paraId="09157ABC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July 2021</w:t>
            </w:r>
          </w:p>
        </w:tc>
      </w:tr>
      <w:tr w:rsidR="00500F63" w:rsidRPr="003E689A" w14:paraId="6864D0F0" w14:textId="77777777" w:rsidTr="00500F63">
        <w:tc>
          <w:tcPr>
            <w:tcW w:w="678" w:type="dxa"/>
          </w:tcPr>
          <w:p w14:paraId="2197E697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4142" w:type="dxa"/>
          </w:tcPr>
          <w:p w14:paraId="5B75F4B0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</w:rPr>
              <w:t>Maternity Assessment Unit</w:t>
            </w:r>
          </w:p>
        </w:tc>
        <w:tc>
          <w:tcPr>
            <w:tcW w:w="1843" w:type="dxa"/>
          </w:tcPr>
          <w:p w14:paraId="5738E8DD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October 2022</w:t>
            </w:r>
          </w:p>
        </w:tc>
      </w:tr>
      <w:tr w:rsidR="00500F63" w:rsidRPr="003E689A" w14:paraId="23E12A64" w14:textId="77777777" w:rsidTr="00500F63">
        <w:tc>
          <w:tcPr>
            <w:tcW w:w="678" w:type="dxa"/>
          </w:tcPr>
          <w:p w14:paraId="7EB0667E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4142" w:type="dxa"/>
          </w:tcPr>
          <w:p w14:paraId="5058F1C6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</w:rPr>
              <w:t>Gynaecology Procedure Suite</w:t>
            </w:r>
          </w:p>
        </w:tc>
        <w:tc>
          <w:tcPr>
            <w:tcW w:w="1843" w:type="dxa"/>
          </w:tcPr>
          <w:p w14:paraId="7F401876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October 2022</w:t>
            </w:r>
          </w:p>
        </w:tc>
      </w:tr>
      <w:tr w:rsidR="00500F63" w:rsidRPr="003E689A" w14:paraId="58F05E89" w14:textId="77777777" w:rsidTr="00500F63">
        <w:tc>
          <w:tcPr>
            <w:tcW w:w="678" w:type="dxa"/>
          </w:tcPr>
          <w:p w14:paraId="1024109A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4142" w:type="dxa"/>
          </w:tcPr>
          <w:p w14:paraId="529DA85B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</w:rPr>
              <w:t>Clinical Administration, Teaching and Education Spaces</w:t>
            </w:r>
          </w:p>
        </w:tc>
        <w:tc>
          <w:tcPr>
            <w:tcW w:w="1843" w:type="dxa"/>
          </w:tcPr>
          <w:p w14:paraId="05507EAF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December 2022</w:t>
            </w:r>
          </w:p>
        </w:tc>
      </w:tr>
      <w:tr w:rsidR="00500F63" w:rsidRPr="003E689A" w14:paraId="22BAAC65" w14:textId="77777777" w:rsidTr="00500F63">
        <w:tc>
          <w:tcPr>
            <w:tcW w:w="678" w:type="dxa"/>
          </w:tcPr>
          <w:p w14:paraId="1867836A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4142" w:type="dxa"/>
          </w:tcPr>
          <w:p w14:paraId="56294496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</w:rPr>
              <w:t>Antenatal Ward &amp; Early Pregnancy Assessment Unit</w:t>
            </w:r>
          </w:p>
        </w:tc>
        <w:tc>
          <w:tcPr>
            <w:tcW w:w="1843" w:type="dxa"/>
          </w:tcPr>
          <w:p w14:paraId="0839087C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February 2023</w:t>
            </w:r>
          </w:p>
        </w:tc>
      </w:tr>
      <w:tr w:rsidR="00500F63" w:rsidRPr="003E689A" w14:paraId="6C15DB1D" w14:textId="77777777" w:rsidTr="00500F63">
        <w:tc>
          <w:tcPr>
            <w:tcW w:w="678" w:type="dxa"/>
          </w:tcPr>
          <w:p w14:paraId="6E746DAA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4142" w:type="dxa"/>
          </w:tcPr>
          <w:p w14:paraId="039FFDD6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Adolescent Unit &amp; Adolescent Mental Health Day Service</w:t>
            </w:r>
          </w:p>
        </w:tc>
        <w:tc>
          <w:tcPr>
            <w:tcW w:w="1843" w:type="dxa"/>
          </w:tcPr>
          <w:p w14:paraId="2BD99D96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June 2023</w:t>
            </w:r>
          </w:p>
        </w:tc>
      </w:tr>
      <w:tr w:rsidR="00500F63" w:rsidRPr="003E689A" w14:paraId="228F6B7A" w14:textId="77777777" w:rsidTr="00500F63">
        <w:tc>
          <w:tcPr>
            <w:tcW w:w="678" w:type="dxa"/>
          </w:tcPr>
          <w:p w14:paraId="1D83D5AF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4142" w:type="dxa"/>
          </w:tcPr>
          <w:p w14:paraId="65A94EA6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</w:rPr>
              <w:t>Neonatology Special Care Nursery</w:t>
            </w:r>
          </w:p>
        </w:tc>
        <w:tc>
          <w:tcPr>
            <w:tcW w:w="1843" w:type="dxa"/>
          </w:tcPr>
          <w:p w14:paraId="2B3B195D" w14:textId="77777777" w:rsidR="00500F63" w:rsidRPr="003E689A" w:rsidRDefault="00500F63" w:rsidP="0058414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September 2023</w:t>
            </w:r>
          </w:p>
        </w:tc>
      </w:tr>
    </w:tbl>
    <w:p w14:paraId="1A96DB5A" w14:textId="06760A64" w:rsidR="00645013" w:rsidRPr="00500F63" w:rsidRDefault="00645013" w:rsidP="00500F63">
      <w:pPr>
        <w:pStyle w:val="ListParagraph"/>
        <w:spacing w:before="240"/>
        <w:jc w:val="left"/>
        <w:rPr>
          <w:b/>
          <w:bCs/>
          <w:sz w:val="22"/>
          <w:szCs w:val="22"/>
        </w:rPr>
      </w:pPr>
      <w:r w:rsidRPr="00500F63">
        <w:rPr>
          <w:b/>
          <w:bCs/>
          <w:sz w:val="22"/>
          <w:szCs w:val="22"/>
        </w:rPr>
        <w:t>Clinical Services Design</w:t>
      </w:r>
      <w:r w:rsidR="00500F63">
        <w:rPr>
          <w:b/>
          <w:bCs/>
          <w:sz w:val="22"/>
          <w:szCs w:val="22"/>
        </w:rPr>
        <w:t>:</w:t>
      </w:r>
    </w:p>
    <w:p w14:paraId="3974B215" w14:textId="10F799A8" w:rsidR="00645013" w:rsidRPr="00500F63" w:rsidRDefault="00645013" w:rsidP="00500F63">
      <w:pPr>
        <w:pStyle w:val="ListParagraph"/>
        <w:numPr>
          <w:ilvl w:val="0"/>
          <w:numId w:val="6"/>
        </w:numPr>
        <w:spacing w:before="240"/>
        <w:ind w:left="284" w:hanging="284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Funding for the project has not reduced. The original project budget was $40.8 million. It</w:t>
      </w:r>
      <w:r w:rsidR="005B45BB">
        <w:rPr>
          <w:sz w:val="22"/>
          <w:szCs w:val="22"/>
        </w:rPr>
        <w:t> </w:t>
      </w:r>
      <w:r w:rsidRPr="003E689A">
        <w:rPr>
          <w:sz w:val="22"/>
          <w:szCs w:val="22"/>
        </w:rPr>
        <w:t xml:space="preserve">contained several separate components, with the main Emergency Department (ED) and Paediatric Streaming Expansion component representing $26.9 million that is reported against expenditure of $26.3 million as of 30 June 2022. </w:t>
      </w:r>
    </w:p>
    <w:p w14:paraId="478217AF" w14:textId="79D7EF59" w:rsidR="00645013" w:rsidRPr="003E689A" w:rsidRDefault="00FF2758" w:rsidP="00500F63">
      <w:pPr>
        <w:pStyle w:val="ListParagraph"/>
        <w:spacing w:before="240"/>
        <w:ind w:left="284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The</w:t>
      </w:r>
      <w:r w:rsidR="00645013" w:rsidRPr="003E689A">
        <w:rPr>
          <w:sz w:val="22"/>
          <w:szCs w:val="22"/>
        </w:rPr>
        <w:t xml:space="preserve"> balance of the original funding was redistributed to other projects as noted in the relevant budget papers from 2016-17</w:t>
      </w:r>
      <w:r w:rsidRPr="003E689A">
        <w:rPr>
          <w:sz w:val="22"/>
          <w:szCs w:val="22"/>
        </w:rPr>
        <w:t xml:space="preserve">, please see the below. </w:t>
      </w:r>
    </w:p>
    <w:p w14:paraId="6C06293B" w14:textId="77777777" w:rsidR="003E689A" w:rsidRPr="003E689A" w:rsidRDefault="003E689A" w:rsidP="00645013">
      <w:pPr>
        <w:pStyle w:val="ListParagraph"/>
        <w:spacing w:before="60" w:after="60"/>
        <w:ind w:left="284"/>
        <w:jc w:val="left"/>
        <w:rPr>
          <w:sz w:val="22"/>
          <w:szCs w:val="22"/>
        </w:rPr>
      </w:pPr>
    </w:p>
    <w:p w14:paraId="716638B9" w14:textId="4BA388C5" w:rsidR="00FF2758" w:rsidRPr="003E689A" w:rsidRDefault="00FF2758" w:rsidP="00645013">
      <w:pPr>
        <w:pStyle w:val="ListParagraph"/>
        <w:spacing w:before="60" w:after="60"/>
        <w:ind w:left="284"/>
        <w:jc w:val="left"/>
        <w:rPr>
          <w:sz w:val="22"/>
          <w:szCs w:val="22"/>
        </w:rPr>
      </w:pPr>
      <w:r w:rsidRPr="003E689A">
        <w:rPr>
          <w:noProof/>
          <w:sz w:val="22"/>
          <w:szCs w:val="22"/>
        </w:rPr>
        <w:drawing>
          <wp:inline distT="0" distB="0" distL="0" distR="0" wp14:anchorId="5BC2D0FF" wp14:editId="1030118A">
            <wp:extent cx="5731510" cy="17900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076A9" w14:textId="77777777" w:rsidR="00645013" w:rsidRPr="003E689A" w:rsidRDefault="00645013" w:rsidP="00645013">
      <w:pPr>
        <w:pStyle w:val="ListParagraph"/>
        <w:spacing w:before="60" w:after="60"/>
        <w:ind w:left="284"/>
        <w:jc w:val="left"/>
        <w:rPr>
          <w:sz w:val="22"/>
          <w:szCs w:val="22"/>
        </w:rPr>
      </w:pPr>
    </w:p>
    <w:p w14:paraId="52B22780" w14:textId="5A0F325C" w:rsidR="00645013" w:rsidRPr="003E689A" w:rsidRDefault="00645013" w:rsidP="00500F63">
      <w:pPr>
        <w:pStyle w:val="ListParagraph"/>
        <w:numPr>
          <w:ilvl w:val="0"/>
          <w:numId w:val="6"/>
        </w:numPr>
        <w:spacing w:before="240"/>
        <w:ind w:left="284" w:hanging="284"/>
        <w:jc w:val="left"/>
        <w:rPr>
          <w:sz w:val="22"/>
          <w:szCs w:val="22"/>
        </w:rPr>
      </w:pPr>
      <w:r w:rsidRPr="003E689A">
        <w:rPr>
          <w:sz w:val="22"/>
          <w:szCs w:val="22"/>
        </w:rPr>
        <w:t xml:space="preserve">In 2013-14, the ACT Government provided $40.8 million under the </w:t>
      </w:r>
      <w:r w:rsidRPr="003E689A">
        <w:rPr>
          <w:i/>
          <w:iCs/>
          <w:sz w:val="22"/>
          <w:szCs w:val="22"/>
        </w:rPr>
        <w:t xml:space="preserve">Clinical Services and Inpatient Unit and Infrastructure Expansion </w:t>
      </w:r>
      <w:r w:rsidRPr="003E689A">
        <w:rPr>
          <w:sz w:val="22"/>
          <w:szCs w:val="22"/>
        </w:rPr>
        <w:t>(CSIUDIE) project to:</w:t>
      </w:r>
    </w:p>
    <w:p w14:paraId="140BCCAA" w14:textId="7FAB7A49" w:rsidR="00645013" w:rsidRPr="003E689A" w:rsidRDefault="00645013" w:rsidP="00500F63">
      <w:pPr>
        <w:pStyle w:val="ListParagraph"/>
        <w:numPr>
          <w:ilvl w:val="0"/>
          <w:numId w:val="8"/>
        </w:numPr>
        <w:spacing w:before="240"/>
        <w:ind w:left="641" w:hanging="357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Prepare a Proof of Concept and forward design for major clinical buildings at the Canberra Hospital</w:t>
      </w:r>
      <w:r w:rsidR="00500F63">
        <w:rPr>
          <w:sz w:val="22"/>
          <w:szCs w:val="22"/>
        </w:rPr>
        <w:t>;</w:t>
      </w:r>
      <w:r w:rsidRPr="003E689A">
        <w:rPr>
          <w:sz w:val="22"/>
          <w:szCs w:val="22"/>
        </w:rPr>
        <w:t xml:space="preserve"> </w:t>
      </w:r>
    </w:p>
    <w:p w14:paraId="2B8FDCF1" w14:textId="72369F31" w:rsidR="00645013" w:rsidRPr="003E689A" w:rsidRDefault="00645013" w:rsidP="00500F63">
      <w:pPr>
        <w:pStyle w:val="ListParagraph"/>
        <w:numPr>
          <w:ilvl w:val="0"/>
          <w:numId w:val="8"/>
        </w:numPr>
        <w:spacing w:before="240"/>
        <w:ind w:left="641" w:hanging="357"/>
        <w:contextualSpacing/>
        <w:jc w:val="left"/>
        <w:rPr>
          <w:sz w:val="22"/>
          <w:szCs w:val="22"/>
        </w:rPr>
      </w:pPr>
      <w:r w:rsidRPr="003E689A">
        <w:rPr>
          <w:sz w:val="22"/>
          <w:szCs w:val="22"/>
        </w:rPr>
        <w:t>Expand the ED on finalisation of the proof of concept; and</w:t>
      </w:r>
    </w:p>
    <w:p w14:paraId="36577B86" w14:textId="3A9C27F1" w:rsidR="00F65ED9" w:rsidRPr="00500F63" w:rsidRDefault="00645013" w:rsidP="00500F63">
      <w:pPr>
        <w:pStyle w:val="ListParagraph"/>
        <w:numPr>
          <w:ilvl w:val="0"/>
          <w:numId w:val="8"/>
        </w:numPr>
        <w:spacing w:before="240"/>
        <w:ind w:left="641" w:hanging="357"/>
        <w:contextualSpacing/>
        <w:jc w:val="left"/>
        <w:rPr>
          <w:sz w:val="22"/>
          <w:szCs w:val="22"/>
        </w:rPr>
      </w:pPr>
      <w:r w:rsidRPr="003E689A">
        <w:rPr>
          <w:sz w:val="22"/>
          <w:szCs w:val="22"/>
        </w:rPr>
        <w:t xml:space="preserve">Provide a paediatric service in the ED at Canberra Hospital. </w:t>
      </w:r>
    </w:p>
    <w:p w14:paraId="5DAD9736" w14:textId="074DDDFA" w:rsidR="00F65ED9" w:rsidRPr="00500F63" w:rsidRDefault="00F65ED9" w:rsidP="00500F63">
      <w:pPr>
        <w:pStyle w:val="ListParagraph"/>
        <w:spacing w:before="240"/>
        <w:ind w:left="284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The POC and forward design scope for major clinical buildings was not progressed following a revaluation by government in 2015</w:t>
      </w:r>
      <w:r w:rsidR="002A1EC5">
        <w:rPr>
          <w:sz w:val="22"/>
          <w:szCs w:val="22"/>
        </w:rPr>
        <w:t>.</w:t>
      </w:r>
      <w:r w:rsidR="00500F63">
        <w:rPr>
          <w:sz w:val="22"/>
          <w:szCs w:val="22"/>
        </w:rPr>
        <w:t xml:space="preserve"> </w:t>
      </w:r>
      <w:r w:rsidR="002A1EC5">
        <w:rPr>
          <w:sz w:val="22"/>
          <w:szCs w:val="22"/>
        </w:rPr>
        <w:t>T</w:t>
      </w:r>
      <w:r w:rsidR="00500F63">
        <w:rPr>
          <w:sz w:val="22"/>
          <w:szCs w:val="22"/>
        </w:rPr>
        <w:t xml:space="preserve">he Canberra Hospital Master Plan </w:t>
      </w:r>
      <w:r w:rsidR="002A1EC5">
        <w:rPr>
          <w:sz w:val="22"/>
          <w:szCs w:val="22"/>
        </w:rPr>
        <w:t>is now</w:t>
      </w:r>
      <w:r w:rsidR="00500F63">
        <w:rPr>
          <w:sz w:val="22"/>
          <w:szCs w:val="22"/>
        </w:rPr>
        <w:t xml:space="preserve"> the guiding document for Canberra Hospital infrastructure</w:t>
      </w:r>
      <w:r w:rsidR="002A1EC5">
        <w:rPr>
          <w:sz w:val="22"/>
          <w:szCs w:val="22"/>
        </w:rPr>
        <w:t xml:space="preserve"> development</w:t>
      </w:r>
      <w:r w:rsidR="00500F63">
        <w:rPr>
          <w:sz w:val="22"/>
          <w:szCs w:val="22"/>
        </w:rPr>
        <w:t>.</w:t>
      </w:r>
      <w:r w:rsidRPr="003E689A">
        <w:rPr>
          <w:sz w:val="22"/>
          <w:szCs w:val="22"/>
        </w:rPr>
        <w:t xml:space="preserve"> Subsequent work in this area culminated in the development of the Canberra Hospital Expansion which is currently under construction and due for completion in 2024. </w:t>
      </w:r>
    </w:p>
    <w:p w14:paraId="1633E4D3" w14:textId="25AD4564" w:rsidR="00645013" w:rsidRPr="00500F63" w:rsidRDefault="00F65ED9" w:rsidP="00500F63">
      <w:pPr>
        <w:pStyle w:val="ListParagraph"/>
        <w:numPr>
          <w:ilvl w:val="2"/>
          <w:numId w:val="6"/>
        </w:numPr>
        <w:spacing w:before="240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In December 2016, the project delivered an expanded emergency department with an extra 1,000 square metres of refurbished space, including 21 treatment areas (an increase from 54</w:t>
      </w:r>
      <w:r w:rsidR="005B45BB">
        <w:rPr>
          <w:sz w:val="22"/>
          <w:szCs w:val="22"/>
        </w:rPr>
        <w:t> </w:t>
      </w:r>
      <w:r w:rsidRPr="003E689A">
        <w:rPr>
          <w:sz w:val="22"/>
          <w:szCs w:val="22"/>
        </w:rPr>
        <w:t>to 75), a dedicated parent’s room, triage assessment bay and clinical forensic medical service.  The expansion also delivered dedicated paediatric treatment areas, three new ambulance bays and a sub-acute area for treating patients with less-serious injuries.</w:t>
      </w:r>
    </w:p>
    <w:p w14:paraId="5D2058FD" w14:textId="3957E39D" w:rsidR="003D7B01" w:rsidRPr="003E689A" w:rsidRDefault="003D7B01" w:rsidP="00500F63">
      <w:pPr>
        <w:pStyle w:val="ListParagraph"/>
        <w:numPr>
          <w:ilvl w:val="0"/>
          <w:numId w:val="1"/>
        </w:numPr>
        <w:spacing w:before="240"/>
        <w:ind w:left="284" w:hanging="284"/>
        <w:jc w:val="left"/>
        <w:rPr>
          <w:sz w:val="22"/>
          <w:szCs w:val="22"/>
        </w:rPr>
      </w:pPr>
      <w:r w:rsidRPr="003E689A">
        <w:rPr>
          <w:sz w:val="22"/>
          <w:szCs w:val="22"/>
        </w:rPr>
        <w:lastRenderedPageBreak/>
        <w:t>Yes.</w:t>
      </w:r>
    </w:p>
    <w:p w14:paraId="34915141" w14:textId="0347309B" w:rsidR="00F30536" w:rsidRPr="003E689A" w:rsidRDefault="00F65ED9" w:rsidP="00500F63">
      <w:pPr>
        <w:pStyle w:val="ListParagraph"/>
        <w:numPr>
          <w:ilvl w:val="1"/>
          <w:numId w:val="1"/>
        </w:numPr>
        <w:spacing w:before="240"/>
        <w:ind w:left="709"/>
        <w:jc w:val="left"/>
        <w:rPr>
          <w:sz w:val="22"/>
          <w:szCs w:val="22"/>
        </w:rPr>
      </w:pPr>
      <w:r w:rsidRPr="003E689A">
        <w:rPr>
          <w:sz w:val="22"/>
          <w:szCs w:val="22"/>
        </w:rPr>
        <w:t>In August 2015, a contract for the main ED and PSE component was awarded to ISIS Group Australia Pty Ltd (now Shape Australia Pty Ltd) with a contract amount of $20.2 million (including GST). The final contract cost was $21.7 million (including GST).</w:t>
      </w:r>
    </w:p>
    <w:p w14:paraId="46419A40" w14:textId="77777777" w:rsidR="00F30536" w:rsidRPr="003E689A" w:rsidRDefault="00F30536" w:rsidP="00645013">
      <w:pPr>
        <w:rPr>
          <w:rFonts w:asciiTheme="minorHAnsi" w:hAnsiTheme="minorHAnsi" w:cstheme="minorHAnsi"/>
          <w:sz w:val="22"/>
          <w:szCs w:val="22"/>
        </w:rPr>
      </w:pPr>
    </w:p>
    <w:p w14:paraId="5DC75E98" w14:textId="77777777" w:rsidR="00F30536" w:rsidRPr="003E689A" w:rsidRDefault="00F30536" w:rsidP="00F30536">
      <w:pPr>
        <w:ind w:left="-426" w:firstLine="284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:rsidRPr="003E689A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Pr="003E689A" w:rsidRDefault="00F30536">
            <w:pPr>
              <w:spacing w:line="256" w:lineRule="auto"/>
              <w:ind w:left="-284" w:right="28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1837E" w14:textId="07DA2103" w:rsidR="00F30536" w:rsidRPr="003E689A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3E689A">
              <w:rPr>
                <w:sz w:val="22"/>
                <w:szCs w:val="22"/>
              </w:rPr>
              <w:t>Approved for circulation to the Standing Committee</w:t>
            </w:r>
            <w:r w:rsidR="00826989" w:rsidRPr="003E689A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3E689A" w:rsidRPr="003E689A">
                  <w:rPr>
                    <w:sz w:val="22"/>
                    <w:szCs w:val="22"/>
                  </w:rPr>
                  <w:t>Health and Community Wellbeing</w:t>
                </w:r>
              </w:sdtContent>
            </w:sdt>
            <w:r w:rsidR="00826989" w:rsidRPr="003E689A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Pr="003E689A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A7FB55" w14:textId="77777777" w:rsidR="00F30536" w:rsidRPr="003E689A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1E6E9" w14:textId="77777777" w:rsidR="00F30536" w:rsidRPr="003E689A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Pr="003E689A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89FA6" w14:textId="298FAC71" w:rsidR="00F30536" w:rsidRPr="003E689A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E689A"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="003E689A" w:rsidRPr="003E689A">
              <w:rPr>
                <w:rFonts w:asciiTheme="minorHAnsi" w:hAnsiTheme="minorHAnsi" w:cstheme="minorHAnsi"/>
                <w:sz w:val="22"/>
                <w:szCs w:val="22"/>
              </w:rPr>
              <w:t>Minister for Health, Rachel Stephen-Smith MLA</w:t>
            </w:r>
          </w:p>
          <w:p w14:paraId="06D175CE" w14:textId="77777777" w:rsidR="00F30536" w:rsidRPr="003E689A" w:rsidRDefault="00F30536">
            <w:pPr>
              <w:spacing w:line="256" w:lineRule="auto"/>
              <w:ind w:left="-284" w:right="28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A96A4" w14:textId="77777777" w:rsidR="00F30536" w:rsidRPr="003E689A" w:rsidRDefault="00F30536" w:rsidP="00F30536">
      <w:pPr>
        <w:rPr>
          <w:rFonts w:asciiTheme="minorHAnsi" w:hAnsiTheme="minorHAnsi" w:cstheme="minorHAnsi"/>
          <w:sz w:val="22"/>
          <w:szCs w:val="22"/>
          <w:lang w:eastAsia="en-AU"/>
        </w:rPr>
      </w:pPr>
    </w:p>
    <w:sectPr w:rsidR="00F30536" w:rsidRPr="003E689A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F382" w14:textId="77777777" w:rsidR="006154AB" w:rsidRDefault="006154AB">
      <w:r>
        <w:separator/>
      </w:r>
    </w:p>
  </w:endnote>
  <w:endnote w:type="continuationSeparator" w:id="0">
    <w:p w14:paraId="3019C880" w14:textId="77777777" w:rsidR="006154AB" w:rsidRDefault="006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90BC" w14:textId="77777777" w:rsidR="006154AB" w:rsidRDefault="006154AB">
      <w:r>
        <w:separator/>
      </w:r>
    </w:p>
  </w:footnote>
  <w:footnote w:type="continuationSeparator" w:id="0">
    <w:p w14:paraId="6B37A8D4" w14:textId="77777777" w:rsidR="006154AB" w:rsidRDefault="0061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4BD"/>
    <w:multiLevelType w:val="hybridMultilevel"/>
    <w:tmpl w:val="AACE2500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35A9B"/>
    <w:multiLevelType w:val="hybridMultilevel"/>
    <w:tmpl w:val="75FA7BF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514C9"/>
    <w:multiLevelType w:val="hybridMultilevel"/>
    <w:tmpl w:val="D72A0B8C"/>
    <w:lvl w:ilvl="0" w:tplc="51A205F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85BCF"/>
    <w:multiLevelType w:val="hybridMultilevel"/>
    <w:tmpl w:val="344238B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986F3D"/>
    <w:multiLevelType w:val="hybridMultilevel"/>
    <w:tmpl w:val="3BA81C5E"/>
    <w:lvl w:ilvl="0" w:tplc="0C090011">
      <w:start w:val="1"/>
      <w:numFmt w:val="decimal"/>
      <w:lvlText w:val="%1)"/>
      <w:lvlJc w:val="left"/>
      <w:pPr>
        <w:ind w:left="-106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-345" w:hanging="360"/>
      </w:pPr>
    </w:lvl>
    <w:lvl w:ilvl="2" w:tplc="0C090019">
      <w:start w:val="1"/>
      <w:numFmt w:val="lowerLetter"/>
      <w:lvlText w:val="%3."/>
      <w:lvlJc w:val="left"/>
      <w:pPr>
        <w:ind w:left="644" w:hanging="360"/>
      </w:pPr>
    </w:lvl>
    <w:lvl w:ilvl="3" w:tplc="0C09000F" w:tentative="1">
      <w:start w:val="1"/>
      <w:numFmt w:val="decimal"/>
      <w:lvlText w:val="%4."/>
      <w:lvlJc w:val="left"/>
      <w:pPr>
        <w:ind w:left="1095" w:hanging="360"/>
      </w:pPr>
    </w:lvl>
    <w:lvl w:ilvl="4" w:tplc="0C090019" w:tentative="1">
      <w:start w:val="1"/>
      <w:numFmt w:val="lowerLetter"/>
      <w:lvlText w:val="%5."/>
      <w:lvlJc w:val="left"/>
      <w:pPr>
        <w:ind w:left="1815" w:hanging="360"/>
      </w:pPr>
    </w:lvl>
    <w:lvl w:ilvl="5" w:tplc="0C09001B" w:tentative="1">
      <w:start w:val="1"/>
      <w:numFmt w:val="lowerRoman"/>
      <w:lvlText w:val="%6."/>
      <w:lvlJc w:val="right"/>
      <w:pPr>
        <w:ind w:left="2535" w:hanging="180"/>
      </w:pPr>
    </w:lvl>
    <w:lvl w:ilvl="6" w:tplc="0C09000F" w:tentative="1">
      <w:start w:val="1"/>
      <w:numFmt w:val="decimal"/>
      <w:lvlText w:val="%7."/>
      <w:lvlJc w:val="left"/>
      <w:pPr>
        <w:ind w:left="3255" w:hanging="360"/>
      </w:pPr>
    </w:lvl>
    <w:lvl w:ilvl="7" w:tplc="0C090019" w:tentative="1">
      <w:start w:val="1"/>
      <w:numFmt w:val="lowerLetter"/>
      <w:lvlText w:val="%8."/>
      <w:lvlJc w:val="left"/>
      <w:pPr>
        <w:ind w:left="3975" w:hanging="360"/>
      </w:pPr>
    </w:lvl>
    <w:lvl w:ilvl="8" w:tplc="0C09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5" w15:restartNumberingAfterBreak="0">
    <w:nsid w:val="61067A50"/>
    <w:multiLevelType w:val="hybridMultilevel"/>
    <w:tmpl w:val="37BA637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F937EF"/>
    <w:multiLevelType w:val="hybridMultilevel"/>
    <w:tmpl w:val="C55002CA"/>
    <w:lvl w:ilvl="0" w:tplc="94700F4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FD59AE"/>
    <w:multiLevelType w:val="hybridMultilevel"/>
    <w:tmpl w:val="AEBAA924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7251922">
    <w:abstractNumId w:val="5"/>
  </w:num>
  <w:num w:numId="2" w16cid:durableId="877356705">
    <w:abstractNumId w:val="0"/>
  </w:num>
  <w:num w:numId="3" w16cid:durableId="1793592111">
    <w:abstractNumId w:val="2"/>
  </w:num>
  <w:num w:numId="4" w16cid:durableId="923681594">
    <w:abstractNumId w:val="7"/>
  </w:num>
  <w:num w:numId="5" w16cid:durableId="940526448">
    <w:abstractNumId w:val="1"/>
  </w:num>
  <w:num w:numId="6" w16cid:durableId="499126648">
    <w:abstractNumId w:val="4"/>
  </w:num>
  <w:num w:numId="7" w16cid:durableId="428505722">
    <w:abstractNumId w:val="6"/>
  </w:num>
  <w:num w:numId="8" w16cid:durableId="180315905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0C5582"/>
    <w:rsid w:val="00132057"/>
    <w:rsid w:val="0016396A"/>
    <w:rsid w:val="001A7953"/>
    <w:rsid w:val="002068AD"/>
    <w:rsid w:val="00231216"/>
    <w:rsid w:val="0025177F"/>
    <w:rsid w:val="002535CC"/>
    <w:rsid w:val="00262485"/>
    <w:rsid w:val="002A16AD"/>
    <w:rsid w:val="002A1EC5"/>
    <w:rsid w:val="002A53C9"/>
    <w:rsid w:val="0033606A"/>
    <w:rsid w:val="00381494"/>
    <w:rsid w:val="003B4211"/>
    <w:rsid w:val="003D7B01"/>
    <w:rsid w:val="003E689A"/>
    <w:rsid w:val="003F2BB7"/>
    <w:rsid w:val="004023FC"/>
    <w:rsid w:val="00410730"/>
    <w:rsid w:val="0043031E"/>
    <w:rsid w:val="00435381"/>
    <w:rsid w:val="004710BD"/>
    <w:rsid w:val="00477B27"/>
    <w:rsid w:val="004A77A9"/>
    <w:rsid w:val="004C0F4C"/>
    <w:rsid w:val="004E05BB"/>
    <w:rsid w:val="00500F63"/>
    <w:rsid w:val="00511A2B"/>
    <w:rsid w:val="0057059D"/>
    <w:rsid w:val="005719E5"/>
    <w:rsid w:val="005B45BB"/>
    <w:rsid w:val="005C43F5"/>
    <w:rsid w:val="00600F07"/>
    <w:rsid w:val="006033E5"/>
    <w:rsid w:val="006154AB"/>
    <w:rsid w:val="00621AA6"/>
    <w:rsid w:val="006376BE"/>
    <w:rsid w:val="00645013"/>
    <w:rsid w:val="006457A4"/>
    <w:rsid w:val="00653886"/>
    <w:rsid w:val="006933A8"/>
    <w:rsid w:val="006F3A62"/>
    <w:rsid w:val="00714C23"/>
    <w:rsid w:val="00796DC4"/>
    <w:rsid w:val="007B1CEC"/>
    <w:rsid w:val="007E1B9F"/>
    <w:rsid w:val="008214FD"/>
    <w:rsid w:val="00825E12"/>
    <w:rsid w:val="00826989"/>
    <w:rsid w:val="00836190"/>
    <w:rsid w:val="00857745"/>
    <w:rsid w:val="008D2141"/>
    <w:rsid w:val="008D735E"/>
    <w:rsid w:val="008F6DC3"/>
    <w:rsid w:val="00922C19"/>
    <w:rsid w:val="00925A77"/>
    <w:rsid w:val="00954367"/>
    <w:rsid w:val="00971B5E"/>
    <w:rsid w:val="009A1A69"/>
    <w:rsid w:val="009A36F4"/>
    <w:rsid w:val="009A49B1"/>
    <w:rsid w:val="009A5042"/>
    <w:rsid w:val="009B2702"/>
    <w:rsid w:val="009B6EEF"/>
    <w:rsid w:val="009B7433"/>
    <w:rsid w:val="009C2DBC"/>
    <w:rsid w:val="009C7B09"/>
    <w:rsid w:val="00A02A4C"/>
    <w:rsid w:val="00A137B2"/>
    <w:rsid w:val="00A206D2"/>
    <w:rsid w:val="00AA76F2"/>
    <w:rsid w:val="00AC58BD"/>
    <w:rsid w:val="00B43E34"/>
    <w:rsid w:val="00B55C90"/>
    <w:rsid w:val="00BD156E"/>
    <w:rsid w:val="00C17C2C"/>
    <w:rsid w:val="00C31669"/>
    <w:rsid w:val="00C375C7"/>
    <w:rsid w:val="00C713F1"/>
    <w:rsid w:val="00CD7D07"/>
    <w:rsid w:val="00D9548B"/>
    <w:rsid w:val="00E56CE5"/>
    <w:rsid w:val="00E9429A"/>
    <w:rsid w:val="00E97EB4"/>
    <w:rsid w:val="00EC53C0"/>
    <w:rsid w:val="00F30536"/>
    <w:rsid w:val="00F30C72"/>
    <w:rsid w:val="00F3157F"/>
    <w:rsid w:val="00F3659B"/>
    <w:rsid w:val="00F65ED9"/>
    <w:rsid w:val="00F873CA"/>
    <w:rsid w:val="00FB36EC"/>
    <w:rsid w:val="00FB37D3"/>
    <w:rsid w:val="00FD6165"/>
    <w:rsid w:val="00FE090B"/>
    <w:rsid w:val="00FE220D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35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3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381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381"/>
    <w:rPr>
      <w:rFonts w:ascii="Palatino Linotype" w:eastAsia="Times New Roman" w:hAnsi="Palatino Linotype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8F809.74B9AFF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792E66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Bergin, Catherine</cp:lastModifiedBy>
  <cp:revision>10</cp:revision>
  <cp:lastPrinted>2022-01-29T00:19:00Z</cp:lastPrinted>
  <dcterms:created xsi:type="dcterms:W3CDTF">2022-11-07T04:57:00Z</dcterms:created>
  <dcterms:modified xsi:type="dcterms:W3CDTF">2022-11-20T22:29:00Z</dcterms:modified>
</cp:coreProperties>
</file>