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C797"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D87DBE4" w14:textId="56D13388" w:rsidR="00F37F93" w:rsidRPr="00A031A0" w:rsidRDefault="00F37F93" w:rsidP="00F37F93">
      <w:pPr>
        <w:pStyle w:val="Header"/>
        <w:tabs>
          <w:tab w:val="clear" w:pos="9026"/>
          <w:tab w:val="left" w:pos="7245"/>
        </w:tabs>
        <w:rPr>
          <w:sz w:val="24"/>
          <w:szCs w:val="24"/>
          <w:lang w:val="en-US"/>
        </w:rPr>
      </w:pPr>
      <w:r w:rsidRPr="00A031A0">
        <w:rPr>
          <w:sz w:val="24"/>
          <w:szCs w:val="24"/>
          <w:lang w:val="en-US"/>
        </w:rPr>
        <w:tab/>
      </w:r>
    </w:p>
    <w:p w14:paraId="2EF8AC36" w14:textId="77777777" w:rsidR="00E70472" w:rsidRPr="00A05B96" w:rsidRDefault="00E70472" w:rsidP="00E70472">
      <w:pPr>
        <w:tabs>
          <w:tab w:val="left" w:pos="5812"/>
        </w:tabs>
        <w:spacing w:after="0" w:line="240" w:lineRule="auto"/>
      </w:pPr>
      <w:r>
        <w:rPr>
          <w:sz w:val="24"/>
          <w:szCs w:val="24"/>
        </w:rPr>
        <w:t>Mr Peter Cain MLA</w:t>
      </w:r>
      <w:r>
        <w:rPr>
          <w:sz w:val="24"/>
          <w:szCs w:val="24"/>
        </w:rPr>
        <w:tab/>
      </w:r>
      <w:r>
        <w:rPr>
          <w:sz w:val="24"/>
          <w:szCs w:val="24"/>
        </w:rPr>
        <w:tab/>
      </w:r>
      <w:r w:rsidRPr="00A05B96">
        <w:rPr>
          <w:sz w:val="20"/>
          <w:szCs w:val="20"/>
        </w:rPr>
        <w:t xml:space="preserve">Our ref: </w:t>
      </w:r>
      <w:r>
        <w:rPr>
          <w:sz w:val="20"/>
          <w:szCs w:val="20"/>
        </w:rPr>
        <w:t>PRO23/2456</w:t>
      </w:r>
    </w:p>
    <w:p w14:paraId="14F35795" w14:textId="77777777" w:rsidR="00E70472" w:rsidRPr="00A031A0" w:rsidRDefault="00E70472" w:rsidP="00E70472">
      <w:pPr>
        <w:spacing w:after="0" w:line="240" w:lineRule="auto"/>
        <w:rPr>
          <w:sz w:val="24"/>
          <w:szCs w:val="24"/>
        </w:rPr>
      </w:pPr>
      <w:r>
        <w:rPr>
          <w:sz w:val="24"/>
          <w:szCs w:val="24"/>
        </w:rPr>
        <w:t>Chair</w:t>
      </w:r>
    </w:p>
    <w:p w14:paraId="567398F0" w14:textId="77777777" w:rsidR="00E70472" w:rsidRPr="00A031A0" w:rsidRDefault="00E70472" w:rsidP="00E70472">
      <w:pPr>
        <w:tabs>
          <w:tab w:val="left" w:pos="3420"/>
        </w:tabs>
        <w:spacing w:after="0" w:line="240" w:lineRule="auto"/>
        <w:rPr>
          <w:sz w:val="24"/>
          <w:szCs w:val="24"/>
        </w:rPr>
      </w:pPr>
      <w:r>
        <w:rPr>
          <w:sz w:val="24"/>
          <w:szCs w:val="24"/>
        </w:rPr>
        <w:t>Standing Committee on Justice and Community Safety (Legislative Scrutiny Role)</w:t>
      </w:r>
      <w:r w:rsidRPr="00A031A0">
        <w:rPr>
          <w:sz w:val="24"/>
          <w:szCs w:val="24"/>
        </w:rPr>
        <w:tab/>
      </w:r>
    </w:p>
    <w:p w14:paraId="2BBF16AA" w14:textId="77777777" w:rsidR="00E70472" w:rsidRPr="00A031A0" w:rsidRDefault="00E70472" w:rsidP="00E70472">
      <w:pPr>
        <w:spacing w:after="0" w:line="240" w:lineRule="auto"/>
        <w:rPr>
          <w:sz w:val="24"/>
          <w:szCs w:val="24"/>
          <w:lang w:val="en-US"/>
        </w:rPr>
      </w:pPr>
      <w:r>
        <w:rPr>
          <w:sz w:val="24"/>
          <w:szCs w:val="24"/>
        </w:rPr>
        <w:t>ACT Legislative Assembly</w:t>
      </w:r>
    </w:p>
    <w:p w14:paraId="5CD54BAD" w14:textId="77777777" w:rsidR="00E70472" w:rsidRPr="00A031A0" w:rsidRDefault="00E70472" w:rsidP="00E70472">
      <w:pPr>
        <w:spacing w:after="0" w:line="240" w:lineRule="auto"/>
        <w:rPr>
          <w:sz w:val="24"/>
          <w:szCs w:val="24"/>
        </w:rPr>
      </w:pPr>
      <w:r>
        <w:rPr>
          <w:sz w:val="24"/>
          <w:szCs w:val="24"/>
        </w:rPr>
        <w:t>GPO Box 1020</w:t>
      </w:r>
    </w:p>
    <w:p w14:paraId="7DC51678" w14:textId="77777777" w:rsidR="00E70472" w:rsidRPr="00A031A0" w:rsidRDefault="00E70472" w:rsidP="00E70472">
      <w:pPr>
        <w:spacing w:after="0" w:line="240" w:lineRule="auto"/>
        <w:rPr>
          <w:sz w:val="24"/>
          <w:szCs w:val="24"/>
        </w:rPr>
      </w:pPr>
      <w:r>
        <w:rPr>
          <w:sz w:val="24"/>
          <w:szCs w:val="24"/>
        </w:rPr>
        <w:t>CANBERRA  ACT  2601</w:t>
      </w:r>
    </w:p>
    <w:p w14:paraId="0CFBE5A5" w14:textId="77777777" w:rsidR="00E70472" w:rsidRDefault="00E70472" w:rsidP="00E70472">
      <w:pPr>
        <w:spacing w:after="0" w:line="240" w:lineRule="auto"/>
        <w:rPr>
          <w:sz w:val="24"/>
          <w:szCs w:val="24"/>
        </w:rPr>
      </w:pPr>
    </w:p>
    <w:p w14:paraId="36A59BB8" w14:textId="77777777" w:rsidR="00E70472" w:rsidRPr="00A031A0" w:rsidRDefault="00E70472" w:rsidP="00E70472">
      <w:pPr>
        <w:spacing w:after="0" w:line="240" w:lineRule="auto"/>
        <w:rPr>
          <w:sz w:val="24"/>
          <w:szCs w:val="24"/>
        </w:rPr>
      </w:pPr>
    </w:p>
    <w:p w14:paraId="0A53C534" w14:textId="77777777" w:rsidR="00E70472" w:rsidRPr="00A031A0" w:rsidRDefault="00E70472" w:rsidP="00E70472">
      <w:pPr>
        <w:spacing w:after="0" w:line="240" w:lineRule="auto"/>
        <w:rPr>
          <w:sz w:val="24"/>
          <w:szCs w:val="24"/>
        </w:rPr>
      </w:pPr>
      <w:r w:rsidRPr="00A031A0">
        <w:rPr>
          <w:sz w:val="24"/>
          <w:szCs w:val="24"/>
          <w:lang w:val="en-US"/>
        </w:rPr>
        <w:t xml:space="preserve">Dear </w:t>
      </w:r>
      <w:r>
        <w:rPr>
          <w:sz w:val="24"/>
          <w:szCs w:val="24"/>
          <w:lang w:val="en-US"/>
        </w:rPr>
        <w:t>Mr Cain</w:t>
      </w:r>
    </w:p>
    <w:p w14:paraId="4AC109D2" w14:textId="77777777" w:rsidR="00E70472" w:rsidRPr="00A031A0" w:rsidRDefault="00E70472" w:rsidP="00E70472">
      <w:pPr>
        <w:pStyle w:val="Header"/>
        <w:tabs>
          <w:tab w:val="left" w:pos="720"/>
        </w:tabs>
        <w:rPr>
          <w:sz w:val="24"/>
          <w:szCs w:val="24"/>
        </w:rPr>
      </w:pPr>
    </w:p>
    <w:p w14:paraId="6AA2A463" w14:textId="77777777" w:rsidR="00E70472" w:rsidRPr="008B7948" w:rsidRDefault="00E70472" w:rsidP="00E70472">
      <w:pPr>
        <w:spacing w:after="0" w:line="240" w:lineRule="auto"/>
        <w:rPr>
          <w:sz w:val="24"/>
          <w:szCs w:val="24"/>
        </w:rPr>
      </w:pPr>
      <w:r>
        <w:rPr>
          <w:sz w:val="24"/>
          <w:szCs w:val="24"/>
        </w:rPr>
        <w:t xml:space="preserve">I refer to the Standing Committee on Justice and Community Safety (Legislative Scrutiny Role) Scrutiny Report 32 of 22 August 2023 in which the Committee made comments on the </w:t>
      </w:r>
      <w:r>
        <w:rPr>
          <w:i/>
          <w:iCs/>
          <w:sz w:val="24"/>
          <w:szCs w:val="24"/>
        </w:rPr>
        <w:t xml:space="preserve">Electoral and Road Safety Legislation Amendment Bill 2023 </w:t>
      </w:r>
      <w:r>
        <w:rPr>
          <w:sz w:val="24"/>
          <w:szCs w:val="24"/>
        </w:rPr>
        <w:t xml:space="preserve">(the Bill). This Bill was introduced in the Legislative Assembly on 29 June 2023. </w:t>
      </w:r>
    </w:p>
    <w:p w14:paraId="7C8967C4" w14:textId="77777777" w:rsidR="00E70472" w:rsidRPr="00A031A0" w:rsidRDefault="00E70472" w:rsidP="00E70472">
      <w:pPr>
        <w:spacing w:after="0" w:line="240" w:lineRule="auto"/>
        <w:rPr>
          <w:sz w:val="24"/>
          <w:szCs w:val="24"/>
        </w:rPr>
      </w:pPr>
    </w:p>
    <w:p w14:paraId="3E5EC96F" w14:textId="77777777" w:rsidR="00E70472" w:rsidRDefault="00E70472" w:rsidP="00E70472">
      <w:pPr>
        <w:spacing w:after="0" w:line="240" w:lineRule="auto"/>
        <w:rPr>
          <w:sz w:val="24"/>
          <w:szCs w:val="24"/>
        </w:rPr>
      </w:pPr>
      <w:r>
        <w:rPr>
          <w:sz w:val="24"/>
          <w:szCs w:val="24"/>
        </w:rPr>
        <w:t>The Committee’s comments related to:</w:t>
      </w:r>
    </w:p>
    <w:p w14:paraId="55626B48" w14:textId="77777777" w:rsidR="00E70472" w:rsidRDefault="00E70472" w:rsidP="00E70472">
      <w:pPr>
        <w:pStyle w:val="ListParagraph"/>
        <w:numPr>
          <w:ilvl w:val="0"/>
          <w:numId w:val="2"/>
        </w:numPr>
        <w:spacing w:after="0" w:line="240" w:lineRule="auto"/>
        <w:rPr>
          <w:sz w:val="24"/>
          <w:szCs w:val="24"/>
        </w:rPr>
      </w:pPr>
      <w:r>
        <w:rPr>
          <w:sz w:val="24"/>
          <w:szCs w:val="24"/>
        </w:rPr>
        <w:t>further information on the operation of the new offences and penalties associated with signs or displayed of advertising and electoral material;</w:t>
      </w:r>
    </w:p>
    <w:p w14:paraId="3BBA9FB2" w14:textId="77777777" w:rsidR="00E70472" w:rsidRDefault="00E70472" w:rsidP="00E70472">
      <w:pPr>
        <w:pStyle w:val="ListParagraph"/>
        <w:numPr>
          <w:ilvl w:val="0"/>
          <w:numId w:val="2"/>
        </w:numPr>
        <w:spacing w:after="0" w:line="240" w:lineRule="auto"/>
        <w:rPr>
          <w:sz w:val="24"/>
          <w:szCs w:val="24"/>
        </w:rPr>
      </w:pPr>
      <w:r>
        <w:rPr>
          <w:sz w:val="24"/>
          <w:szCs w:val="24"/>
        </w:rPr>
        <w:t>further information on the potential impact of the reporting requirements on disclosure of party membership, and on candidates in previous election; and</w:t>
      </w:r>
    </w:p>
    <w:p w14:paraId="018D30C8" w14:textId="77777777" w:rsidR="00E70472" w:rsidRDefault="00E70472" w:rsidP="00E70472">
      <w:pPr>
        <w:pStyle w:val="ListParagraph"/>
        <w:numPr>
          <w:ilvl w:val="0"/>
          <w:numId w:val="2"/>
        </w:numPr>
        <w:spacing w:after="0" w:line="240" w:lineRule="auto"/>
        <w:rPr>
          <w:sz w:val="24"/>
          <w:szCs w:val="24"/>
        </w:rPr>
      </w:pPr>
      <w:r>
        <w:rPr>
          <w:sz w:val="24"/>
          <w:szCs w:val="24"/>
        </w:rPr>
        <w:t xml:space="preserve">additional justification in the Explanatory Statement accompanying the Bill on how the amendments to ban donations from foreign entities may limit certain human rights. </w:t>
      </w:r>
    </w:p>
    <w:p w14:paraId="20951637" w14:textId="77777777" w:rsidR="00E70472" w:rsidRDefault="00E70472" w:rsidP="00E70472">
      <w:pPr>
        <w:spacing w:after="0" w:line="240" w:lineRule="auto"/>
        <w:rPr>
          <w:sz w:val="24"/>
          <w:szCs w:val="24"/>
        </w:rPr>
      </w:pPr>
    </w:p>
    <w:p w14:paraId="1282003F" w14:textId="77777777" w:rsidR="00E70472" w:rsidRDefault="00E70472" w:rsidP="00E70472">
      <w:pPr>
        <w:spacing w:after="0" w:line="240" w:lineRule="auto"/>
        <w:rPr>
          <w:sz w:val="24"/>
          <w:szCs w:val="24"/>
        </w:rPr>
      </w:pPr>
      <w:r w:rsidRPr="3825C6BE">
        <w:rPr>
          <w:sz w:val="24"/>
          <w:szCs w:val="24"/>
        </w:rPr>
        <w:t xml:space="preserve">Having considered the Committee’s comments, I propose to bring forward government amendments and I also propose to provide a revised Explanatory Statement. </w:t>
      </w:r>
    </w:p>
    <w:p w14:paraId="20501BB6" w14:textId="77777777" w:rsidR="00E70472" w:rsidRDefault="00E70472" w:rsidP="00E70472">
      <w:pPr>
        <w:spacing w:after="0" w:line="240" w:lineRule="auto"/>
        <w:rPr>
          <w:sz w:val="24"/>
          <w:szCs w:val="24"/>
        </w:rPr>
      </w:pPr>
    </w:p>
    <w:p w14:paraId="3C43D465" w14:textId="77777777" w:rsidR="00E70472" w:rsidRPr="00CC3212" w:rsidRDefault="00E70472" w:rsidP="00E70472">
      <w:pPr>
        <w:spacing w:after="0" w:line="240" w:lineRule="auto"/>
        <w:rPr>
          <w:sz w:val="24"/>
          <w:szCs w:val="24"/>
          <w:u w:val="single"/>
        </w:rPr>
      </w:pPr>
      <w:r w:rsidRPr="00CC3212">
        <w:rPr>
          <w:sz w:val="24"/>
          <w:szCs w:val="24"/>
          <w:u w:val="single"/>
        </w:rPr>
        <w:t>Offences and penalties for advertising and electoral matter</w:t>
      </w:r>
    </w:p>
    <w:p w14:paraId="1137FC86" w14:textId="77777777" w:rsidR="00E70472" w:rsidRPr="00CC3212" w:rsidRDefault="00E70472" w:rsidP="00E70472">
      <w:pPr>
        <w:spacing w:after="0" w:line="240" w:lineRule="auto"/>
        <w:rPr>
          <w:sz w:val="24"/>
          <w:szCs w:val="24"/>
        </w:rPr>
      </w:pPr>
      <w:r w:rsidRPr="00CC3212">
        <w:rPr>
          <w:sz w:val="24"/>
          <w:szCs w:val="24"/>
        </w:rPr>
        <w:t xml:space="preserve">The Committee has requested further information on the operation of the new offences and penalties associated with signs or displays of advertising and electoral material.   </w:t>
      </w:r>
    </w:p>
    <w:p w14:paraId="2BDF69F6" w14:textId="77777777" w:rsidR="00E70472" w:rsidRPr="00CC3212" w:rsidRDefault="00E70472" w:rsidP="00E70472">
      <w:pPr>
        <w:spacing w:after="0" w:line="240" w:lineRule="auto"/>
        <w:rPr>
          <w:sz w:val="24"/>
          <w:szCs w:val="24"/>
        </w:rPr>
      </w:pPr>
      <w:r w:rsidRPr="00CC3212">
        <w:rPr>
          <w:sz w:val="24"/>
          <w:szCs w:val="24"/>
        </w:rPr>
        <w:t xml:space="preserve">The first request sought reasoning for elements of the offence to be defined through delegated instruments.  </w:t>
      </w:r>
    </w:p>
    <w:p w14:paraId="34F0CE92" w14:textId="77777777" w:rsidR="00E70472" w:rsidRPr="00CC3212" w:rsidRDefault="00E70472" w:rsidP="00E70472">
      <w:pPr>
        <w:spacing w:after="0" w:line="240" w:lineRule="auto"/>
        <w:rPr>
          <w:sz w:val="24"/>
          <w:szCs w:val="24"/>
        </w:rPr>
      </w:pPr>
      <w:r w:rsidRPr="00CC3212">
        <w:rPr>
          <w:sz w:val="24"/>
          <w:szCs w:val="24"/>
        </w:rPr>
        <w:lastRenderedPageBreak/>
        <w:t xml:space="preserve">Delegated instruments provide clarification on the details of the offence and are transparent and publicly available on the ACT’s Legislation Register. They also offer sufficient flexibility to easily revoke or amend instruments as required.  </w:t>
      </w:r>
    </w:p>
    <w:p w14:paraId="15318677" w14:textId="77777777" w:rsidR="00E70472" w:rsidRPr="00CC3212" w:rsidRDefault="00E70472" w:rsidP="00E70472">
      <w:pPr>
        <w:spacing w:after="0" w:line="240" w:lineRule="auto"/>
        <w:rPr>
          <w:sz w:val="24"/>
          <w:szCs w:val="24"/>
        </w:rPr>
      </w:pPr>
    </w:p>
    <w:p w14:paraId="28004B63" w14:textId="77777777" w:rsidR="00E70472" w:rsidRPr="00CC3212" w:rsidRDefault="00E70472" w:rsidP="00E70472">
      <w:pPr>
        <w:spacing w:after="0" w:line="240" w:lineRule="auto"/>
        <w:rPr>
          <w:sz w:val="24"/>
          <w:szCs w:val="24"/>
        </w:rPr>
      </w:pPr>
      <w:r w:rsidRPr="00CC3212">
        <w:rPr>
          <w:sz w:val="24"/>
          <w:szCs w:val="24"/>
        </w:rPr>
        <w:t xml:space="preserve">Restricting advertising on parked vehicles is an innovative initiative to address road safety. Detailing the offence in delegated instruments allows for a timely response to changes in laws, advertising trends, key road trauma impacts and emerging road safety research on driver distraction from roadside advertising.  It also allows for monitoring of the practical application of the offence and respond to, for example, any unintended vehicles captured beyond the scope of the purpose of the offence.  </w:t>
      </w:r>
    </w:p>
    <w:p w14:paraId="2E58EBBC" w14:textId="77777777" w:rsidR="00E70472" w:rsidRPr="00CC3212" w:rsidRDefault="00E70472" w:rsidP="00E70472">
      <w:pPr>
        <w:spacing w:after="0" w:line="240" w:lineRule="auto"/>
        <w:rPr>
          <w:sz w:val="24"/>
          <w:szCs w:val="24"/>
        </w:rPr>
      </w:pPr>
    </w:p>
    <w:p w14:paraId="24584BD0" w14:textId="77777777" w:rsidR="00E70472" w:rsidRPr="00CC3212" w:rsidRDefault="00E70472" w:rsidP="00E70472">
      <w:pPr>
        <w:spacing w:after="0" w:line="240" w:lineRule="auto"/>
        <w:rPr>
          <w:sz w:val="24"/>
          <w:szCs w:val="24"/>
        </w:rPr>
      </w:pPr>
      <w:r w:rsidRPr="00CC3212">
        <w:rPr>
          <w:sz w:val="24"/>
          <w:szCs w:val="24"/>
        </w:rPr>
        <w:t xml:space="preserve">Declared areas will be defined in a notifiable instrument, which allows for flexibility to respond to changes in road trauma risk areas (by location or speeds for example) as well as changes in infrastructure and the surrounding environment. </w:t>
      </w:r>
    </w:p>
    <w:p w14:paraId="6A612D19" w14:textId="77777777" w:rsidR="00E70472" w:rsidRPr="00CC3212" w:rsidRDefault="00E70472" w:rsidP="00E70472">
      <w:pPr>
        <w:spacing w:after="0" w:line="240" w:lineRule="auto"/>
        <w:rPr>
          <w:sz w:val="24"/>
          <w:szCs w:val="24"/>
        </w:rPr>
      </w:pPr>
    </w:p>
    <w:p w14:paraId="2D0BFD50" w14:textId="77777777" w:rsidR="00E70472" w:rsidRPr="00CC3212" w:rsidRDefault="00E70472" w:rsidP="00E70472">
      <w:pPr>
        <w:spacing w:after="0" w:line="240" w:lineRule="auto"/>
        <w:rPr>
          <w:sz w:val="24"/>
          <w:szCs w:val="24"/>
        </w:rPr>
      </w:pPr>
      <w:r w:rsidRPr="00CC3212">
        <w:rPr>
          <w:sz w:val="24"/>
          <w:szCs w:val="24"/>
        </w:rPr>
        <w:t xml:space="preserve">As outlined in the Explanatory Statement, instruments allow the Government to monitor the situation and respond to emerging road safety risks as they evolve. Implementation and </w:t>
      </w:r>
      <w:r w:rsidRPr="00CC3212">
        <w:rPr>
          <w:sz w:val="24"/>
          <w:szCs w:val="24"/>
        </w:rPr>
        <w:tab/>
        <w:t xml:space="preserve">changes to the offences will be coordinated with suitable public community education prior </w:t>
      </w:r>
      <w:r w:rsidRPr="00CC3212">
        <w:rPr>
          <w:sz w:val="24"/>
          <w:szCs w:val="24"/>
        </w:rPr>
        <w:tab/>
        <w:t xml:space="preserve">to commencement. </w:t>
      </w:r>
    </w:p>
    <w:p w14:paraId="4001A8C0" w14:textId="77777777" w:rsidR="00E70472" w:rsidRPr="00CC3212" w:rsidRDefault="00E70472" w:rsidP="00E70472">
      <w:pPr>
        <w:spacing w:after="0" w:line="240" w:lineRule="auto"/>
        <w:rPr>
          <w:sz w:val="24"/>
          <w:szCs w:val="24"/>
        </w:rPr>
      </w:pPr>
    </w:p>
    <w:p w14:paraId="1AB39A8E" w14:textId="77777777" w:rsidR="00E70472" w:rsidRPr="00CC3212" w:rsidRDefault="00E70472" w:rsidP="00E70472">
      <w:pPr>
        <w:spacing w:after="0" w:line="240" w:lineRule="auto"/>
        <w:rPr>
          <w:sz w:val="24"/>
          <w:szCs w:val="24"/>
        </w:rPr>
      </w:pPr>
      <w:r w:rsidRPr="00CC3212">
        <w:rPr>
          <w:sz w:val="24"/>
          <w:szCs w:val="24"/>
        </w:rPr>
        <w:t xml:space="preserve">The second part of the Committee’s question related to why any limitations of rights protected under the </w:t>
      </w:r>
      <w:r w:rsidRPr="004839CC">
        <w:rPr>
          <w:i/>
          <w:iCs/>
          <w:sz w:val="24"/>
          <w:szCs w:val="24"/>
        </w:rPr>
        <w:t>Human Rights Act 2004</w:t>
      </w:r>
      <w:r w:rsidRPr="004839CC">
        <w:rPr>
          <w:sz w:val="24"/>
          <w:szCs w:val="24"/>
        </w:rPr>
        <w:t xml:space="preserve"> (HRA) </w:t>
      </w:r>
      <w:r w:rsidRPr="00CC3212">
        <w:rPr>
          <w:sz w:val="24"/>
          <w:szCs w:val="24"/>
        </w:rPr>
        <w:t xml:space="preserve">associated with higher infringement notice penalties should be considered reasonable using the framework under section 28 of that Act. </w:t>
      </w:r>
    </w:p>
    <w:p w14:paraId="773CF407" w14:textId="77777777" w:rsidR="00E70472" w:rsidRPr="00CC3212" w:rsidRDefault="00E70472" w:rsidP="00E70472">
      <w:pPr>
        <w:spacing w:after="0" w:line="240" w:lineRule="auto"/>
        <w:rPr>
          <w:sz w:val="24"/>
          <w:szCs w:val="24"/>
        </w:rPr>
      </w:pPr>
    </w:p>
    <w:p w14:paraId="786AA474" w14:textId="77777777" w:rsidR="00E70472" w:rsidRPr="00DA2CCC" w:rsidRDefault="00E70472" w:rsidP="00E70472">
      <w:pPr>
        <w:spacing w:after="0" w:line="240" w:lineRule="auto"/>
        <w:rPr>
          <w:sz w:val="24"/>
          <w:szCs w:val="24"/>
        </w:rPr>
      </w:pPr>
      <w:r w:rsidRPr="00DA2CCC">
        <w:rPr>
          <w:sz w:val="24"/>
          <w:szCs w:val="24"/>
        </w:rPr>
        <w:t xml:space="preserve">The Bill introduced an increased infringement amount for parking and stopping offences, where the vehicle displayed advertising or electoral matter.  This increase was not considered to impose any additional limitations on human rights, a position which is supported by the compatibility statement.  </w:t>
      </w:r>
    </w:p>
    <w:p w14:paraId="2E33F658" w14:textId="77777777" w:rsidR="00E70472" w:rsidRPr="00DA2CCC" w:rsidRDefault="00E70472" w:rsidP="00E70472">
      <w:pPr>
        <w:spacing w:after="0" w:line="240" w:lineRule="auto"/>
        <w:rPr>
          <w:sz w:val="24"/>
          <w:szCs w:val="24"/>
        </w:rPr>
      </w:pPr>
    </w:p>
    <w:p w14:paraId="1A7E5FB8" w14:textId="77777777" w:rsidR="00E70472" w:rsidRDefault="00E70472" w:rsidP="00E70472">
      <w:pPr>
        <w:spacing w:after="0" w:line="240" w:lineRule="auto"/>
        <w:rPr>
          <w:sz w:val="24"/>
          <w:szCs w:val="24"/>
        </w:rPr>
      </w:pPr>
      <w:r w:rsidRPr="00DA2CCC">
        <w:rPr>
          <w:sz w:val="24"/>
          <w:szCs w:val="24"/>
        </w:rPr>
        <w:t xml:space="preserve">However, the Committee may note that the proposed Government amendments will now remove the $50 increased penalty for certain parking and stopping offences under the </w:t>
      </w:r>
      <w:r w:rsidRPr="00DA2CCC">
        <w:rPr>
          <w:i/>
          <w:iCs/>
          <w:sz w:val="24"/>
          <w:szCs w:val="24"/>
        </w:rPr>
        <w:t>Road Transport (Road Rules) Regulation 2017</w:t>
      </w:r>
      <w:r w:rsidRPr="00DA2CCC">
        <w:rPr>
          <w:sz w:val="24"/>
          <w:szCs w:val="24"/>
        </w:rPr>
        <w:t>.</w:t>
      </w:r>
      <w:r>
        <w:rPr>
          <w:sz w:val="24"/>
          <w:szCs w:val="24"/>
        </w:rPr>
        <w:t xml:space="preserve"> </w:t>
      </w:r>
    </w:p>
    <w:p w14:paraId="7D2ACFD6" w14:textId="77777777" w:rsidR="00E70472" w:rsidRDefault="00E70472" w:rsidP="00E70472">
      <w:pPr>
        <w:spacing w:after="0" w:line="240" w:lineRule="auto"/>
        <w:rPr>
          <w:sz w:val="24"/>
          <w:szCs w:val="24"/>
        </w:rPr>
      </w:pPr>
    </w:p>
    <w:p w14:paraId="6E743535" w14:textId="77777777" w:rsidR="00E70472" w:rsidRDefault="00E70472" w:rsidP="00E70472">
      <w:pPr>
        <w:spacing w:after="0" w:line="240" w:lineRule="auto"/>
        <w:rPr>
          <w:sz w:val="24"/>
          <w:szCs w:val="24"/>
        </w:rPr>
      </w:pPr>
      <w:r>
        <w:rPr>
          <w:sz w:val="24"/>
          <w:szCs w:val="24"/>
          <w:u w:val="single"/>
        </w:rPr>
        <w:t>Proposed government amendments to real time political donation reporting</w:t>
      </w:r>
    </w:p>
    <w:p w14:paraId="7B2A24D1" w14:textId="77777777" w:rsidR="00E70472" w:rsidRDefault="00E70472" w:rsidP="00E70472">
      <w:pPr>
        <w:spacing w:after="0" w:line="240" w:lineRule="auto"/>
        <w:rPr>
          <w:sz w:val="24"/>
          <w:szCs w:val="24"/>
        </w:rPr>
      </w:pPr>
      <w:r>
        <w:rPr>
          <w:sz w:val="24"/>
          <w:szCs w:val="24"/>
        </w:rPr>
        <w:t xml:space="preserve">The Committee raised concerns that the introduction of a $100 threshold for gift disclosure may require political parties to disclose the payment of membership fees by individuals and this may require all party members to agree to having their identity and membership of the party disclosed. </w:t>
      </w:r>
    </w:p>
    <w:p w14:paraId="1AD35BCA" w14:textId="77777777" w:rsidR="00E70472" w:rsidRDefault="00E70472" w:rsidP="00E70472">
      <w:pPr>
        <w:spacing w:after="0" w:line="240" w:lineRule="auto"/>
        <w:rPr>
          <w:sz w:val="24"/>
          <w:szCs w:val="24"/>
        </w:rPr>
      </w:pPr>
    </w:p>
    <w:p w14:paraId="39752395" w14:textId="77777777" w:rsidR="00E70472" w:rsidRDefault="00E70472" w:rsidP="00E70472">
      <w:pPr>
        <w:spacing w:after="0" w:line="240" w:lineRule="auto"/>
        <w:rPr>
          <w:sz w:val="24"/>
          <w:szCs w:val="24"/>
        </w:rPr>
      </w:pPr>
      <w:r>
        <w:rPr>
          <w:sz w:val="24"/>
          <w:szCs w:val="24"/>
        </w:rPr>
        <w:t xml:space="preserve">The Committee raised that this may limit the right to freedom of association under section 15 of the HRA and potentially limit the right to take part in public life protected under section 17 of the HRA. I also acknowledge a number of submissions to the Inquiry into the Bill undertaken by the Standing Committee on Justice and Community Safety similarly raised privacy concerns with these amendments. The Committee also raised concerns the continued use of the definition of ‘relevant period’ for these amendments may impose an additional burden on non-party candidates. </w:t>
      </w:r>
    </w:p>
    <w:p w14:paraId="5DE2E4BE" w14:textId="77777777" w:rsidR="00E70472" w:rsidRDefault="00E70472" w:rsidP="00E70472">
      <w:pPr>
        <w:spacing w:after="0" w:line="240" w:lineRule="auto"/>
        <w:rPr>
          <w:sz w:val="24"/>
          <w:szCs w:val="24"/>
        </w:rPr>
      </w:pPr>
    </w:p>
    <w:p w14:paraId="646E3027" w14:textId="77777777" w:rsidR="00E70472" w:rsidRDefault="00E70472" w:rsidP="00E70472">
      <w:pPr>
        <w:spacing w:after="0" w:line="240" w:lineRule="auto"/>
        <w:rPr>
          <w:sz w:val="24"/>
          <w:szCs w:val="24"/>
        </w:rPr>
      </w:pPr>
      <w:r>
        <w:rPr>
          <w:sz w:val="24"/>
          <w:szCs w:val="24"/>
        </w:rPr>
        <w:t xml:space="preserve">To address the concerns raised by the Committee and in submissions to the Inquiry, I am proposing to move a government amendment to omit </w:t>
      </w:r>
      <w:r w:rsidRPr="00C25C3C">
        <w:rPr>
          <w:sz w:val="24"/>
          <w:szCs w:val="24"/>
        </w:rPr>
        <w:t>the amendment</w:t>
      </w:r>
      <w:r>
        <w:rPr>
          <w:sz w:val="24"/>
          <w:szCs w:val="24"/>
        </w:rPr>
        <w:t>s</w:t>
      </w:r>
      <w:r w:rsidRPr="00C25C3C">
        <w:rPr>
          <w:sz w:val="24"/>
          <w:szCs w:val="24"/>
        </w:rPr>
        <w:t xml:space="preserve"> to reduce the gift disclosure threshold to $100</w:t>
      </w:r>
      <w:r>
        <w:rPr>
          <w:sz w:val="24"/>
          <w:szCs w:val="24"/>
        </w:rPr>
        <w:t xml:space="preserve">, other than the requirement for gifts to be disclosed within 7 days of receipt. The effect of </w:t>
      </w:r>
      <w:r>
        <w:rPr>
          <w:sz w:val="24"/>
          <w:szCs w:val="24"/>
        </w:rPr>
        <w:lastRenderedPageBreak/>
        <w:t>this will mean that any gifts from an individual that total over $1,000 in the relevant period will need to be disclosed within 7 days of receipt of when the total amount received reaches $1,000. Changes will also be made to omit the amendments in the Bill that lowered other disclosure and reporting thresholds to $100, so all of this will be retained at $1,000 as currently provided in the Electoral Act.</w:t>
      </w:r>
    </w:p>
    <w:p w14:paraId="723A2DEB" w14:textId="77777777" w:rsidR="00E70472" w:rsidRDefault="00E70472" w:rsidP="00E70472">
      <w:pPr>
        <w:spacing w:after="0" w:line="240" w:lineRule="auto"/>
        <w:rPr>
          <w:sz w:val="24"/>
          <w:szCs w:val="24"/>
        </w:rPr>
      </w:pPr>
    </w:p>
    <w:p w14:paraId="3D0083D6" w14:textId="77777777" w:rsidR="00E70472" w:rsidRDefault="00E70472" w:rsidP="00E70472">
      <w:pPr>
        <w:spacing w:after="0" w:line="240" w:lineRule="auto"/>
        <w:rPr>
          <w:sz w:val="24"/>
          <w:szCs w:val="24"/>
        </w:rPr>
      </w:pPr>
      <w:r>
        <w:rPr>
          <w:sz w:val="24"/>
          <w:szCs w:val="24"/>
          <w:u w:val="single"/>
        </w:rPr>
        <w:t>Revised Explanatory Statement on human rights limitations of banning donations from foreign entities</w:t>
      </w:r>
    </w:p>
    <w:p w14:paraId="57CE7F22" w14:textId="77777777" w:rsidR="00E70472" w:rsidRDefault="00E70472" w:rsidP="00E70472">
      <w:pPr>
        <w:spacing w:after="0" w:line="240" w:lineRule="auto"/>
        <w:rPr>
          <w:sz w:val="24"/>
          <w:szCs w:val="24"/>
        </w:rPr>
      </w:pPr>
      <w:r>
        <w:rPr>
          <w:sz w:val="24"/>
          <w:szCs w:val="24"/>
        </w:rPr>
        <w:t xml:space="preserve">The Committee requested consideration be given to amending the Explanatory Statement accompanying the Bill to recognise and make clear the justification for the limitation of freedom of expression or rights in criminal proceedings in the amendments to ban donations from foreign entities. </w:t>
      </w:r>
    </w:p>
    <w:p w14:paraId="27F025C0" w14:textId="77777777" w:rsidR="00E70472" w:rsidRDefault="00E70472" w:rsidP="00E70472">
      <w:pPr>
        <w:spacing w:after="0" w:line="240" w:lineRule="auto"/>
        <w:rPr>
          <w:sz w:val="24"/>
          <w:szCs w:val="24"/>
        </w:rPr>
      </w:pPr>
    </w:p>
    <w:p w14:paraId="42E50DE4" w14:textId="77777777" w:rsidR="00E70472" w:rsidRDefault="00E70472" w:rsidP="00E70472">
      <w:pPr>
        <w:spacing w:after="0" w:line="240" w:lineRule="auto"/>
        <w:rPr>
          <w:sz w:val="24"/>
          <w:szCs w:val="24"/>
        </w:rPr>
      </w:pPr>
      <w:r>
        <w:rPr>
          <w:sz w:val="24"/>
          <w:szCs w:val="24"/>
        </w:rPr>
        <w:t xml:space="preserve">The Bill includes offences for political entities which accept gifts from foreign entities unless they take reasonable steps to ensure the gift is not being given by or on behalf of a foreign entity. </w:t>
      </w:r>
    </w:p>
    <w:p w14:paraId="6852C72E" w14:textId="77777777" w:rsidR="00E70472" w:rsidRDefault="00E70472" w:rsidP="00E70472">
      <w:pPr>
        <w:spacing w:after="0" w:line="240" w:lineRule="auto"/>
        <w:rPr>
          <w:sz w:val="24"/>
          <w:szCs w:val="24"/>
        </w:rPr>
      </w:pPr>
    </w:p>
    <w:p w14:paraId="4AB02A5E" w14:textId="77777777" w:rsidR="00E70472" w:rsidRDefault="00E70472" w:rsidP="00E70472">
      <w:pPr>
        <w:spacing w:after="0" w:line="240" w:lineRule="auto"/>
        <w:rPr>
          <w:sz w:val="24"/>
          <w:szCs w:val="24"/>
        </w:rPr>
      </w:pPr>
      <w:r>
        <w:rPr>
          <w:sz w:val="24"/>
          <w:szCs w:val="24"/>
        </w:rPr>
        <w:t xml:space="preserve">The Committee indicated that these offences may, at least indirectly, limit the ability of political entities from engaging in political communication and therefore may limit the freedom of expression under the HRA. </w:t>
      </w:r>
    </w:p>
    <w:p w14:paraId="63563F3F" w14:textId="77777777" w:rsidR="00E70472" w:rsidRDefault="00E70472" w:rsidP="00E70472">
      <w:pPr>
        <w:spacing w:after="0" w:line="240" w:lineRule="auto"/>
        <w:rPr>
          <w:sz w:val="24"/>
          <w:szCs w:val="24"/>
        </w:rPr>
      </w:pPr>
    </w:p>
    <w:p w14:paraId="7EC551B0" w14:textId="77777777" w:rsidR="00E70472" w:rsidRDefault="00E70472" w:rsidP="00E70472">
      <w:pPr>
        <w:spacing w:after="0" w:line="240" w:lineRule="auto"/>
        <w:rPr>
          <w:sz w:val="24"/>
          <w:szCs w:val="24"/>
        </w:rPr>
      </w:pPr>
      <w:r>
        <w:rPr>
          <w:sz w:val="24"/>
          <w:szCs w:val="24"/>
        </w:rPr>
        <w:t xml:space="preserve">I do not agree with the Committee’s comments that this would limit the right of freedom of expression for </w:t>
      </w:r>
      <w:r w:rsidRPr="008F23F7">
        <w:rPr>
          <w:i/>
          <w:iCs/>
          <w:sz w:val="24"/>
          <w:szCs w:val="24"/>
        </w:rPr>
        <w:t>political</w:t>
      </w:r>
      <w:r>
        <w:rPr>
          <w:sz w:val="24"/>
          <w:szCs w:val="24"/>
        </w:rPr>
        <w:t xml:space="preserve"> entities. The right to freedom of expression protects the ability of individuals to express their opinions and beliefs and covers any means or style of expression, as well as the expression and receipt of communications. This amendment is simply limiting the funding a political entity may receive from foreign entities, and there is no limitation on a political entity’s ability to freely express their opinions or beliefs.  </w:t>
      </w:r>
    </w:p>
    <w:p w14:paraId="72DBCC2A" w14:textId="77777777" w:rsidR="00E70472" w:rsidRDefault="00E70472" w:rsidP="00E70472">
      <w:pPr>
        <w:spacing w:after="0" w:line="240" w:lineRule="auto"/>
        <w:rPr>
          <w:sz w:val="24"/>
          <w:szCs w:val="24"/>
        </w:rPr>
      </w:pPr>
    </w:p>
    <w:p w14:paraId="75345194" w14:textId="77777777" w:rsidR="00E70472" w:rsidRDefault="00E70472" w:rsidP="00E70472">
      <w:pPr>
        <w:spacing w:after="0" w:line="240" w:lineRule="auto"/>
        <w:rPr>
          <w:sz w:val="24"/>
          <w:szCs w:val="24"/>
        </w:rPr>
      </w:pPr>
      <w:r>
        <w:rPr>
          <w:sz w:val="24"/>
          <w:szCs w:val="24"/>
        </w:rPr>
        <w:t xml:space="preserve">Additionally, if this right was limited, it would only apply to those political entities which are individuals, as only individuals have human rights. It would not apply to political parties or associated entities within the definition of ‘political entity’ under the Electoral Act. </w:t>
      </w:r>
    </w:p>
    <w:p w14:paraId="732A9160" w14:textId="77777777" w:rsidR="00E70472" w:rsidRDefault="00E70472" w:rsidP="00E70472">
      <w:pPr>
        <w:spacing w:after="0" w:line="240" w:lineRule="auto"/>
        <w:rPr>
          <w:sz w:val="24"/>
          <w:szCs w:val="24"/>
        </w:rPr>
      </w:pPr>
    </w:p>
    <w:p w14:paraId="4317FE65" w14:textId="77777777" w:rsidR="00E70472" w:rsidRDefault="00E70472" w:rsidP="00E70472">
      <w:pPr>
        <w:spacing w:after="0" w:line="240" w:lineRule="auto"/>
        <w:rPr>
          <w:sz w:val="24"/>
          <w:szCs w:val="24"/>
        </w:rPr>
      </w:pPr>
      <w:r>
        <w:rPr>
          <w:sz w:val="24"/>
          <w:szCs w:val="24"/>
        </w:rPr>
        <w:t xml:space="preserve">However, although the Committee did not comment on this, I do believe these amendments limit the freedom of expression for </w:t>
      </w:r>
      <w:r>
        <w:rPr>
          <w:i/>
          <w:iCs/>
          <w:sz w:val="24"/>
          <w:szCs w:val="24"/>
        </w:rPr>
        <w:t>foreign</w:t>
      </w:r>
      <w:r>
        <w:rPr>
          <w:sz w:val="24"/>
          <w:szCs w:val="24"/>
        </w:rPr>
        <w:t xml:space="preserve"> entities as they are restricted from donating to political entities. The High Court of Australia has decided in some cases that restrictions on the ability for individuals to make political donations to political entities may infringe on the implied freedom of political communication. Given the close connection between the implied right and the right to freedom of expression, I consider these amendments would limit the right to freedom of expression for foreign entities who are individuals. </w:t>
      </w:r>
    </w:p>
    <w:p w14:paraId="0A873F89" w14:textId="77777777" w:rsidR="00E70472" w:rsidRDefault="00E70472" w:rsidP="00E70472">
      <w:pPr>
        <w:spacing w:after="0" w:line="240" w:lineRule="auto"/>
        <w:rPr>
          <w:sz w:val="24"/>
          <w:szCs w:val="24"/>
        </w:rPr>
      </w:pPr>
    </w:p>
    <w:p w14:paraId="019D3241" w14:textId="77777777" w:rsidR="00E70472" w:rsidRDefault="00E70472" w:rsidP="00E70472">
      <w:pPr>
        <w:spacing w:after="0" w:line="240" w:lineRule="auto"/>
        <w:rPr>
          <w:sz w:val="24"/>
          <w:szCs w:val="24"/>
        </w:rPr>
      </w:pPr>
      <w:r>
        <w:rPr>
          <w:sz w:val="24"/>
          <w:szCs w:val="24"/>
        </w:rPr>
        <w:t xml:space="preserve">The Explanatory Statement has been revised to acknowledge this limitation and provide reasoning as to why this limitation is justified in the circumstances. </w:t>
      </w:r>
    </w:p>
    <w:p w14:paraId="069DA608" w14:textId="77777777" w:rsidR="00E70472" w:rsidRDefault="00E70472" w:rsidP="00E70472">
      <w:pPr>
        <w:spacing w:after="0" w:line="240" w:lineRule="auto"/>
        <w:rPr>
          <w:sz w:val="24"/>
          <w:szCs w:val="24"/>
        </w:rPr>
      </w:pPr>
    </w:p>
    <w:p w14:paraId="68F74025" w14:textId="77777777" w:rsidR="00E70472" w:rsidRDefault="00E70472" w:rsidP="00E70472">
      <w:pPr>
        <w:spacing w:after="0" w:line="240" w:lineRule="auto"/>
        <w:rPr>
          <w:sz w:val="24"/>
          <w:szCs w:val="24"/>
        </w:rPr>
      </w:pPr>
      <w:r>
        <w:rPr>
          <w:sz w:val="24"/>
          <w:szCs w:val="24"/>
        </w:rPr>
        <w:t>Additionally, I acknowledge the Committee’s comments that these provisions may also limit a political entity’s (as far as they are an individual) right to be presumed innocent until proven guilty under section 22 of the HRA. The Explanatory Statement has been</w:t>
      </w:r>
      <w:r w:rsidRPr="008F23F7">
        <w:rPr>
          <w:sz w:val="24"/>
          <w:szCs w:val="24"/>
        </w:rPr>
        <w:t xml:space="preserve"> </w:t>
      </w:r>
      <w:r>
        <w:rPr>
          <w:sz w:val="24"/>
          <w:szCs w:val="24"/>
        </w:rPr>
        <w:t xml:space="preserve">revised to acknowledge this limitation and provide reasoning as to why this limitation is justified in the circumstances. </w:t>
      </w:r>
    </w:p>
    <w:p w14:paraId="7064BC77" w14:textId="77777777" w:rsidR="00E70472" w:rsidRDefault="00E70472" w:rsidP="00E70472">
      <w:pPr>
        <w:spacing w:after="0" w:line="240" w:lineRule="auto"/>
        <w:rPr>
          <w:sz w:val="24"/>
          <w:szCs w:val="24"/>
        </w:rPr>
      </w:pPr>
    </w:p>
    <w:p w14:paraId="639F06D5" w14:textId="77777777" w:rsidR="00E70472" w:rsidRDefault="00E70472" w:rsidP="00E70472">
      <w:pPr>
        <w:spacing w:after="0" w:line="240" w:lineRule="auto"/>
        <w:rPr>
          <w:rFonts w:ascii="Times New Roman" w:hAnsi="Times New Roman"/>
          <w:sz w:val="24"/>
          <w:szCs w:val="24"/>
        </w:rPr>
      </w:pPr>
      <w:r>
        <w:rPr>
          <w:sz w:val="24"/>
          <w:szCs w:val="24"/>
        </w:rPr>
        <w:lastRenderedPageBreak/>
        <w:t>Thank you for your consideration of the Bill. I trust the information above is of assistance to the Committee.</w:t>
      </w:r>
    </w:p>
    <w:p w14:paraId="66D5FEE8" w14:textId="77777777" w:rsidR="00E70472" w:rsidRDefault="00E70472" w:rsidP="00E70472">
      <w:pPr>
        <w:spacing w:after="0" w:line="240" w:lineRule="auto"/>
        <w:rPr>
          <w:rFonts w:ascii="Times New Roman" w:hAnsi="Times New Roman"/>
          <w:sz w:val="24"/>
          <w:szCs w:val="24"/>
        </w:rPr>
      </w:pPr>
    </w:p>
    <w:p w14:paraId="3AA0E8D7" w14:textId="77777777" w:rsidR="00E70472" w:rsidRPr="00A031A0" w:rsidRDefault="00E70472" w:rsidP="00E70472">
      <w:pPr>
        <w:spacing w:after="0" w:line="240" w:lineRule="auto"/>
        <w:rPr>
          <w:sz w:val="24"/>
          <w:szCs w:val="24"/>
        </w:rPr>
      </w:pPr>
      <w:r w:rsidRPr="00A031A0">
        <w:rPr>
          <w:sz w:val="24"/>
          <w:szCs w:val="24"/>
        </w:rPr>
        <w:t>Yours sincerely</w:t>
      </w:r>
    </w:p>
    <w:p w14:paraId="56AC8EA6" w14:textId="79D717A4" w:rsidR="00F37F93" w:rsidRDefault="00E70472" w:rsidP="00E70472">
      <w:pPr>
        <w:spacing w:after="0" w:line="240" w:lineRule="auto"/>
        <w:rPr>
          <w:sz w:val="24"/>
          <w:szCs w:val="24"/>
        </w:rPr>
      </w:pPr>
      <w:r w:rsidRPr="00A031A0">
        <w:rPr>
          <w:sz w:val="24"/>
          <w:szCs w:val="24"/>
        </w:rPr>
        <w:br/>
      </w:r>
    </w:p>
    <w:p w14:paraId="13287D66" w14:textId="77777777" w:rsidR="00F37F93" w:rsidRDefault="00F37F93" w:rsidP="00F37F93">
      <w:pPr>
        <w:spacing w:after="0" w:line="240" w:lineRule="auto"/>
        <w:rPr>
          <w:sz w:val="24"/>
          <w:szCs w:val="24"/>
        </w:rPr>
      </w:pPr>
    </w:p>
    <w:p w14:paraId="135F5C9E" w14:textId="77777777" w:rsidR="00F37F93" w:rsidRDefault="00F37F93" w:rsidP="00F37F93">
      <w:pPr>
        <w:spacing w:after="0" w:line="240" w:lineRule="auto"/>
        <w:rPr>
          <w:sz w:val="24"/>
          <w:szCs w:val="24"/>
        </w:rPr>
      </w:pPr>
      <w:r>
        <w:rPr>
          <w:sz w:val="24"/>
          <w:szCs w:val="24"/>
        </w:rPr>
        <w:t>Mick Gentleman M</w:t>
      </w:r>
      <w:r w:rsidRPr="00A031A0">
        <w:rPr>
          <w:sz w:val="24"/>
          <w:szCs w:val="24"/>
        </w:rPr>
        <w:t>LA</w:t>
      </w:r>
    </w:p>
    <w:p w14:paraId="73AA2BFD" w14:textId="3F87FC87" w:rsidR="008F4397" w:rsidRPr="006C4F9C" w:rsidRDefault="00E70472" w:rsidP="00E70472">
      <w:pPr>
        <w:spacing w:after="0" w:line="240" w:lineRule="auto"/>
        <w:rPr>
          <w:sz w:val="24"/>
          <w:szCs w:val="24"/>
        </w:rPr>
      </w:pPr>
      <w:r>
        <w:rPr>
          <w:sz w:val="24"/>
          <w:szCs w:val="24"/>
        </w:rPr>
        <w:t>Acting Special Minister of State</w:t>
      </w:r>
    </w:p>
    <w:sectPr w:rsidR="008F4397" w:rsidRPr="006C4F9C" w:rsidSect="00E708D1">
      <w:headerReference w:type="first" r:id="rId11"/>
      <w:footerReference w:type="first" r:id="rId12"/>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EA20" w14:textId="77777777" w:rsidR="00F37F93" w:rsidRDefault="00F37F93" w:rsidP="00AD7D31">
      <w:pPr>
        <w:spacing w:after="0" w:line="240" w:lineRule="auto"/>
      </w:pPr>
      <w:r>
        <w:separator/>
      </w:r>
    </w:p>
  </w:endnote>
  <w:endnote w:type="continuationSeparator" w:id="0">
    <w:p w14:paraId="2533B26C" w14:textId="77777777" w:rsidR="00F37F93" w:rsidRDefault="00F37F93"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5FAC" w14:textId="77777777" w:rsidR="008F4397" w:rsidRDefault="008F4397"/>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4F7934F2" w14:textId="77777777" w:rsidTr="00F3427A">
      <w:trPr>
        <w:trHeight w:val="340"/>
        <w:jc w:val="right"/>
      </w:trPr>
      <w:tc>
        <w:tcPr>
          <w:tcW w:w="6096" w:type="dxa"/>
          <w:gridSpan w:val="4"/>
          <w:tcBorders>
            <w:top w:val="nil"/>
            <w:bottom w:val="single" w:sz="4" w:space="0" w:color="724793"/>
          </w:tcBorders>
        </w:tcPr>
        <w:p w14:paraId="07472593"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759623A2" w14:textId="77777777" w:rsidTr="00F3427A">
      <w:trPr>
        <w:trHeight w:val="20"/>
        <w:jc w:val="right"/>
      </w:trPr>
      <w:tc>
        <w:tcPr>
          <w:tcW w:w="284" w:type="dxa"/>
          <w:tcBorders>
            <w:top w:val="single" w:sz="4" w:space="0" w:color="724793"/>
            <w:bottom w:val="nil"/>
          </w:tcBorders>
          <w:vAlign w:val="center"/>
        </w:tcPr>
        <w:p w14:paraId="77F0F8C2"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72842A4D"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700" w:type="dxa"/>
          <w:tcBorders>
            <w:top w:val="single" w:sz="4" w:space="0" w:color="724793"/>
          </w:tcBorders>
          <w:vAlign w:val="center"/>
        </w:tcPr>
        <w:p w14:paraId="5357C7AE"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B6D5340" wp14:editId="6C1F8DD2">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25386BD"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w:t>
          </w:r>
          <w:r w:rsidR="00136D09" w:rsidRPr="00136D09">
            <w:rPr>
              <w:color w:val="724793" w:themeColor="accent2"/>
              <w:spacing w:val="-4"/>
              <w:sz w:val="18"/>
              <w:szCs w:val="18"/>
            </w:rPr>
            <w:t>6205 0218</w:t>
          </w:r>
        </w:p>
      </w:tc>
      <w:tc>
        <w:tcPr>
          <w:tcW w:w="2127" w:type="dxa"/>
          <w:tcBorders>
            <w:top w:val="single" w:sz="4" w:space="0" w:color="724793"/>
          </w:tcBorders>
          <w:vAlign w:val="center"/>
        </w:tcPr>
        <w:p w14:paraId="699433DA"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190ADC0" wp14:editId="766646FC">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47AA1A1"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gentleman</w:t>
          </w:r>
          <w:r w:rsidRPr="00910ED5">
            <w:rPr>
              <w:color w:val="724793" w:themeColor="accent2"/>
              <w:spacing w:val="-4"/>
              <w:sz w:val="18"/>
              <w:szCs w:val="18"/>
            </w:rPr>
            <w:t>@act.gov.au</w:t>
          </w:r>
        </w:p>
      </w:tc>
    </w:tr>
    <w:tr w:rsidR="00F3427A" w:rsidRPr="00910ED5" w14:paraId="7A5A5911" w14:textId="77777777" w:rsidTr="00F3427A">
      <w:trPr>
        <w:trHeight w:val="20"/>
        <w:jc w:val="right"/>
      </w:trPr>
      <w:tc>
        <w:tcPr>
          <w:tcW w:w="284" w:type="dxa"/>
          <w:tcBorders>
            <w:top w:val="nil"/>
            <w:bottom w:val="nil"/>
          </w:tcBorders>
          <w:vAlign w:val="center"/>
        </w:tcPr>
        <w:p w14:paraId="1BE1FE35"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47E1F093"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4CBE2024" wp14:editId="34E3E2D0">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FAB36D0"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GENTLEMANMick</w:t>
          </w:r>
        </w:p>
      </w:tc>
      <w:tc>
        <w:tcPr>
          <w:tcW w:w="1700" w:type="dxa"/>
          <w:vAlign w:val="center"/>
        </w:tcPr>
        <w:p w14:paraId="41D70F85" w14:textId="77777777" w:rsidR="00F3427A" w:rsidRPr="00910ED5" w:rsidRDefault="008707AA" w:rsidP="00F3427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25812852" wp14:editId="66F494B3">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BAD3CB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Bq+c5aJBwAAM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proofErr w:type="spellStart"/>
          <w:r w:rsidR="00F3427A">
            <w:rPr>
              <w:color w:val="724793" w:themeColor="accent2"/>
              <w:spacing w:val="-4"/>
              <w:sz w:val="18"/>
              <w:szCs w:val="18"/>
            </w:rPr>
            <w:t>MickGentleman</w:t>
          </w:r>
          <w:proofErr w:type="spellEnd"/>
        </w:p>
      </w:tc>
      <w:tc>
        <w:tcPr>
          <w:tcW w:w="2127" w:type="dxa"/>
          <w:vAlign w:val="center"/>
        </w:tcPr>
        <w:p w14:paraId="727B2C2B"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4FF978BC" wp14:editId="309998BE">
                    <wp:extent cx="168275" cy="168275"/>
                    <wp:effectExtent l="0" t="0" r="3175" b="3175"/>
                    <wp:docPr id="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83C947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mick.gentleman</w:t>
          </w:r>
          <w:proofErr w:type="spellEnd"/>
        </w:p>
      </w:tc>
    </w:tr>
  </w:tbl>
  <w:p w14:paraId="7717CD4B"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0F857FB4" wp14:editId="0F80C53B">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672BBAA4"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8464" w14:textId="77777777" w:rsidR="00F37F93" w:rsidRDefault="00F37F93" w:rsidP="00AD7D31">
      <w:pPr>
        <w:spacing w:after="0" w:line="240" w:lineRule="auto"/>
      </w:pPr>
      <w:r>
        <w:separator/>
      </w:r>
    </w:p>
  </w:footnote>
  <w:footnote w:type="continuationSeparator" w:id="0">
    <w:p w14:paraId="05DF8E89" w14:textId="77777777" w:rsidR="00F37F93" w:rsidRDefault="00F37F93"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5FCA"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C529917" wp14:editId="37C7F474">
          <wp:simplePos x="0" y="0"/>
          <wp:positionH relativeFrom="margin">
            <wp:posOffset>-619758</wp:posOffset>
          </wp:positionH>
          <wp:positionV relativeFrom="paragraph">
            <wp:posOffset>-36195</wp:posOffset>
          </wp:positionV>
          <wp:extent cx="7538814" cy="1580719"/>
          <wp:effectExtent l="0" t="0" r="508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0CF9CB9A" wp14:editId="66049508">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21B424DE"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7C85BA45"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Industrial Relations and Workplace Safety</w:t>
    </w:r>
  </w:p>
  <w:p w14:paraId="3147ECDE"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58D635B0" wp14:editId="2CD67C5A">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26EE6"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E3FB1"/>
    <w:multiLevelType w:val="hybridMultilevel"/>
    <w:tmpl w:val="6AA47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99C180D"/>
    <w:multiLevelType w:val="hybridMultilevel"/>
    <w:tmpl w:val="A570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7761231">
    <w:abstractNumId w:val="0"/>
  </w:num>
  <w:num w:numId="2" w16cid:durableId="59841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93"/>
    <w:rsid w:val="00003B4A"/>
    <w:rsid w:val="000125FC"/>
    <w:rsid w:val="00027AFE"/>
    <w:rsid w:val="0006371F"/>
    <w:rsid w:val="000C331E"/>
    <w:rsid w:val="00131016"/>
    <w:rsid w:val="00136D09"/>
    <w:rsid w:val="001450DC"/>
    <w:rsid w:val="001505C2"/>
    <w:rsid w:val="001804F3"/>
    <w:rsid w:val="001851B2"/>
    <w:rsid w:val="00195EAD"/>
    <w:rsid w:val="001D7389"/>
    <w:rsid w:val="00240F3E"/>
    <w:rsid w:val="002450E9"/>
    <w:rsid w:val="002C47E8"/>
    <w:rsid w:val="002D4441"/>
    <w:rsid w:val="002E1D40"/>
    <w:rsid w:val="00313E4A"/>
    <w:rsid w:val="003E4068"/>
    <w:rsid w:val="0041104E"/>
    <w:rsid w:val="004517FA"/>
    <w:rsid w:val="005351C5"/>
    <w:rsid w:val="0055749D"/>
    <w:rsid w:val="005A75BF"/>
    <w:rsid w:val="005C4787"/>
    <w:rsid w:val="005E7DE1"/>
    <w:rsid w:val="0061634E"/>
    <w:rsid w:val="0064748B"/>
    <w:rsid w:val="00655CD8"/>
    <w:rsid w:val="00696899"/>
    <w:rsid w:val="006A1B70"/>
    <w:rsid w:val="006C4F9C"/>
    <w:rsid w:val="006C6335"/>
    <w:rsid w:val="00712BA7"/>
    <w:rsid w:val="00725519"/>
    <w:rsid w:val="00742013"/>
    <w:rsid w:val="00795E1D"/>
    <w:rsid w:val="007B465C"/>
    <w:rsid w:val="007D7FAC"/>
    <w:rsid w:val="007F5BA8"/>
    <w:rsid w:val="00806ACB"/>
    <w:rsid w:val="00834846"/>
    <w:rsid w:val="00855531"/>
    <w:rsid w:val="008707AA"/>
    <w:rsid w:val="008A04F4"/>
    <w:rsid w:val="008C5119"/>
    <w:rsid w:val="008D15E5"/>
    <w:rsid w:val="008D37E0"/>
    <w:rsid w:val="008F4397"/>
    <w:rsid w:val="00905F4F"/>
    <w:rsid w:val="009B6D21"/>
    <w:rsid w:val="009C2877"/>
    <w:rsid w:val="00A031A0"/>
    <w:rsid w:val="00A2718B"/>
    <w:rsid w:val="00A6097C"/>
    <w:rsid w:val="00AC16C5"/>
    <w:rsid w:val="00AD7D31"/>
    <w:rsid w:val="00AF08DA"/>
    <w:rsid w:val="00AF2B15"/>
    <w:rsid w:val="00B85096"/>
    <w:rsid w:val="00B91F55"/>
    <w:rsid w:val="00BC63C4"/>
    <w:rsid w:val="00C04DFF"/>
    <w:rsid w:val="00C82A72"/>
    <w:rsid w:val="00CA0045"/>
    <w:rsid w:val="00D95146"/>
    <w:rsid w:val="00DD766A"/>
    <w:rsid w:val="00E04FD9"/>
    <w:rsid w:val="00E70472"/>
    <w:rsid w:val="00E708D1"/>
    <w:rsid w:val="00E80BC3"/>
    <w:rsid w:val="00EA7B1C"/>
    <w:rsid w:val="00EB388C"/>
    <w:rsid w:val="00ED5634"/>
    <w:rsid w:val="00EE6CA3"/>
    <w:rsid w:val="00EF0A8B"/>
    <w:rsid w:val="00F14007"/>
    <w:rsid w:val="00F3427A"/>
    <w:rsid w:val="00F37F93"/>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BB4"/>
  <w15:chartTrackingRefBased/>
  <w15:docId w15:val="{3920EADA-3337-443F-BE96-3E4E58E1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customStyle="1" w:styleId="LO-normal">
    <w:name w:val="LO-normal"/>
    <w:qFormat/>
    <w:rsid w:val="00F37F93"/>
    <w:pPr>
      <w:suppressAutoHyphens/>
    </w:pPr>
    <w:rPr>
      <w:rFonts w:ascii="Arial" w:eastAsia="Arial" w:hAnsi="Arial" w:cs="Arial"/>
      <w:sz w:val="22"/>
      <w:szCs w:val="22"/>
      <w:lang w:val="en-US" w:eastAsia="zh-CN" w:bidi="hi-IN"/>
    </w:rPr>
  </w:style>
  <w:style w:type="paragraph" w:styleId="ListParagraph">
    <w:name w:val="List Paragraph"/>
    <w:basedOn w:val="Normal"/>
    <w:uiPriority w:val="34"/>
    <w:qFormat/>
    <w:rsid w:val="00E70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S327S2.act.gov.au\JACSHome01\C\Chris%20Bartram\My%20Documents\TRIM%20Emails\Templates\Mick%20Gentleman%20MLA%20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4575988F-E9DF-4193-AC77-D2605D588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Mick Gentleman MLA Letterhead</Template>
  <TotalTime>1</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Bartram, Chris</dc:creator>
  <cp:keywords/>
  <dc:description/>
  <cp:lastModifiedBy>Bartram, Chris</cp:lastModifiedBy>
  <cp:revision>2</cp:revision>
  <cp:lastPrinted>2018-08-24T07:17:00Z</cp:lastPrinted>
  <dcterms:created xsi:type="dcterms:W3CDTF">2023-10-17T04:08:00Z</dcterms:created>
  <dcterms:modified xsi:type="dcterms:W3CDTF">2023-10-17T04:08:00Z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