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4FF71" w14:textId="75E3076D" w:rsidR="00C02510" w:rsidRPr="00C8358A" w:rsidRDefault="00C02510" w:rsidP="00FE46F2">
      <w:pPr>
        <w:pStyle w:val="Cover-Committeename"/>
        <w:ind w:left="1701" w:right="1106"/>
      </w:pPr>
      <w:bookmarkStart w:id="0" w:name="_Toc79133346"/>
      <w:r w:rsidRPr="00C8358A">
        <w:t>Standing Committee on</w:t>
      </w:r>
      <w:r w:rsidR="00FE46F2">
        <w:t xml:space="preserve"> Justice and Community Safety (Legislative Scrutiny Role)</w:t>
      </w:r>
    </w:p>
    <w:p w14:paraId="6F1D36AD" w14:textId="69808A53" w:rsidR="00A23A3E" w:rsidRDefault="00FE46F2" w:rsidP="00C8358A">
      <w:pPr>
        <w:pStyle w:val="Title"/>
        <w:sectPr w:rsidR="00A23A3E" w:rsidSect="00D376C4">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titlePg/>
          <w:docGrid w:linePitch="360"/>
        </w:sectPr>
      </w:pPr>
      <w:r>
        <w:t>Scrutiny Repor</w:t>
      </w:r>
      <w:r w:rsidRPr="009306BB">
        <w:t xml:space="preserve">t </w:t>
      </w:r>
      <w:r w:rsidR="0083141E">
        <w:t>3</w:t>
      </w:r>
      <w:r w:rsidR="00A421F6">
        <w:t>1</w:t>
      </w:r>
    </w:p>
    <w:p w14:paraId="348D1164" w14:textId="2A8AD5BC" w:rsidR="00A23A3E" w:rsidRDefault="00123781" w:rsidP="009F5A83">
      <w:pPr>
        <w:pStyle w:val="Heading1nonumber"/>
      </w:pPr>
      <w:bookmarkStart w:id="1" w:name="_Toc137582435"/>
      <w:r>
        <w:lastRenderedPageBreak/>
        <w:t>About the</w:t>
      </w:r>
      <w:r w:rsidR="00A23A3E">
        <w:t xml:space="preserve"> committee</w:t>
      </w:r>
      <w:bookmarkEnd w:id="1"/>
    </w:p>
    <w:p w14:paraId="5F0FD841" w14:textId="4E43C4A1" w:rsidR="00123781" w:rsidRDefault="00D23E3A" w:rsidP="00FD01DA">
      <w:pPr>
        <w:pStyle w:val="Heading2"/>
      </w:pPr>
      <w:bookmarkStart w:id="2" w:name="_Toc137582436"/>
      <w:r>
        <w:t>Establishing resolution</w:t>
      </w:r>
      <w:bookmarkEnd w:id="2"/>
    </w:p>
    <w:p w14:paraId="12BE434B" w14:textId="49BF1CD6" w:rsidR="00024F1A" w:rsidRDefault="00123781" w:rsidP="00123781">
      <w:r>
        <w:t xml:space="preserve">The Assembly established </w:t>
      </w:r>
      <w:r w:rsidR="00024F1A">
        <w:t>the</w:t>
      </w:r>
      <w:r>
        <w:t xml:space="preserve"> </w:t>
      </w:r>
      <w:fldSimple w:instr=" STYLEREF  &quot;Cover - Committee name&quot;  \* MERGEFORMAT ">
        <w:r w:rsidR="00425F61">
          <w:rPr>
            <w:noProof/>
          </w:rPr>
          <w:t>Standing Committee on Justice and Community Safety (Legislative Scrutiny Role)</w:t>
        </w:r>
      </w:fldSimple>
      <w:r>
        <w:t xml:space="preserve"> on 2 December 2020. </w:t>
      </w:r>
    </w:p>
    <w:p w14:paraId="64CBB1EF" w14:textId="06545F2A" w:rsidR="005D0971" w:rsidRDefault="00024F1A" w:rsidP="005D0971">
      <w:pPr>
        <w:spacing w:after="120"/>
      </w:pPr>
      <w:r>
        <w:t>The Committee is responsible for the following areas</w:t>
      </w:r>
      <w:r w:rsidR="005D0971">
        <w:t>:</w:t>
      </w:r>
    </w:p>
    <w:p w14:paraId="016248E4" w14:textId="77777777" w:rsidR="00FB72F9" w:rsidRPr="00697120" w:rsidRDefault="00FB72F9" w:rsidP="00FB72F9">
      <w:pPr>
        <w:keepNext/>
        <w:keepLines/>
        <w:tabs>
          <w:tab w:val="left" w:pos="567"/>
        </w:tabs>
        <w:spacing w:before="60" w:after="60"/>
        <w:ind w:left="1134" w:hanging="567"/>
        <w:rPr>
          <w:rFonts w:ascii="Calibri" w:hAnsi="Calibri"/>
        </w:rPr>
      </w:pPr>
      <w:r w:rsidRPr="00697120">
        <w:rPr>
          <w:rFonts w:ascii="Calibri" w:hAnsi="Calibri"/>
        </w:rPr>
        <w:t>(10)</w:t>
      </w:r>
      <w:r w:rsidRPr="00697120">
        <w:rPr>
          <w:rFonts w:ascii="Calibri" w:hAnsi="Calibri"/>
        </w:rPr>
        <w:tab/>
        <w:t>the Standing Committee on Justice and Community Safety is also to perform a legislative scrutiny role of bills and subordinate legislation by:</w:t>
      </w:r>
    </w:p>
    <w:p w14:paraId="3292F9CB" w14:textId="77777777" w:rsidR="00FB72F9" w:rsidRPr="00697120" w:rsidRDefault="00FB72F9" w:rsidP="00FB72F9">
      <w:pPr>
        <w:keepNext/>
        <w:keepLines/>
        <w:tabs>
          <w:tab w:val="left" w:pos="567"/>
        </w:tabs>
        <w:spacing w:before="60" w:after="60"/>
        <w:ind w:left="1701" w:hanging="567"/>
        <w:rPr>
          <w:rFonts w:ascii="Calibri" w:hAnsi="Calibri"/>
        </w:rPr>
      </w:pPr>
      <w:r w:rsidRPr="00697120">
        <w:rPr>
          <w:rFonts w:ascii="Calibri" w:hAnsi="Calibri"/>
        </w:rPr>
        <w:t>(a)</w:t>
      </w:r>
      <w:r w:rsidRPr="00697120">
        <w:rPr>
          <w:rFonts w:ascii="Calibri" w:hAnsi="Calibri"/>
        </w:rPr>
        <w:tab/>
        <w:t>considering whether the clauses of bills (and amendments proposed by the Government to its own bills) introduced into the Assembly:</w:t>
      </w:r>
    </w:p>
    <w:p w14:paraId="4B85A59B" w14:textId="77777777" w:rsidR="00FB72F9" w:rsidRPr="00697120" w:rsidRDefault="00FB72F9" w:rsidP="00FB72F9">
      <w:pPr>
        <w:keepNext/>
        <w:keepLines/>
        <w:spacing w:before="60" w:after="60"/>
        <w:ind w:left="2268" w:hanging="567"/>
        <w:rPr>
          <w:rFonts w:ascii="Calibri" w:hAnsi="Calibri"/>
        </w:rPr>
      </w:pPr>
      <w:r w:rsidRPr="00697120">
        <w:rPr>
          <w:rFonts w:ascii="Calibri" w:hAnsi="Calibri"/>
        </w:rPr>
        <w:t>(i)</w:t>
      </w:r>
      <w:r w:rsidRPr="00697120">
        <w:rPr>
          <w:rFonts w:ascii="Calibri" w:hAnsi="Calibri"/>
        </w:rPr>
        <w:tab/>
        <w:t>unduly trespass on personal rights and liberties;</w:t>
      </w:r>
    </w:p>
    <w:p w14:paraId="612F0DE0" w14:textId="77777777" w:rsidR="00FB72F9" w:rsidRPr="00697120" w:rsidRDefault="00FB72F9" w:rsidP="00FB72F9">
      <w:pPr>
        <w:spacing w:before="60" w:after="60"/>
        <w:ind w:left="2268" w:hanging="567"/>
        <w:rPr>
          <w:rFonts w:ascii="Calibri" w:hAnsi="Calibri"/>
        </w:rPr>
      </w:pPr>
      <w:r w:rsidRPr="00697120">
        <w:rPr>
          <w:rFonts w:ascii="Calibri" w:hAnsi="Calibri"/>
        </w:rPr>
        <w:t>(ii)</w:t>
      </w:r>
      <w:r w:rsidRPr="00697120">
        <w:rPr>
          <w:rFonts w:ascii="Calibri" w:hAnsi="Calibri"/>
        </w:rPr>
        <w:tab/>
        <w:t>make rights, liberties and/or obligations unduly dependent upon insufficiently defined administrative powers;</w:t>
      </w:r>
    </w:p>
    <w:p w14:paraId="6534355F" w14:textId="77777777" w:rsidR="00FB72F9" w:rsidRPr="00697120" w:rsidRDefault="00FB72F9" w:rsidP="00FB72F9">
      <w:pPr>
        <w:spacing w:before="60" w:after="60"/>
        <w:ind w:left="2268" w:hanging="567"/>
        <w:rPr>
          <w:rFonts w:ascii="Calibri" w:hAnsi="Calibri"/>
        </w:rPr>
      </w:pPr>
      <w:r w:rsidRPr="00697120">
        <w:rPr>
          <w:rFonts w:ascii="Calibri" w:hAnsi="Calibri"/>
        </w:rPr>
        <w:t>(iii)</w:t>
      </w:r>
      <w:r w:rsidRPr="00697120">
        <w:rPr>
          <w:rFonts w:ascii="Calibri" w:hAnsi="Calibri"/>
        </w:rPr>
        <w:tab/>
        <w:t>make rights, liberties and/or obligations unduly dependent upon non-reviewable decisions;</w:t>
      </w:r>
    </w:p>
    <w:p w14:paraId="1EF0660A" w14:textId="77777777" w:rsidR="00FB72F9" w:rsidRPr="00697120" w:rsidRDefault="00FB72F9" w:rsidP="00FB72F9">
      <w:pPr>
        <w:spacing w:before="60" w:after="60"/>
        <w:ind w:left="2268" w:hanging="567"/>
        <w:rPr>
          <w:rFonts w:ascii="Calibri" w:hAnsi="Calibri"/>
        </w:rPr>
      </w:pPr>
      <w:r w:rsidRPr="00697120">
        <w:rPr>
          <w:rFonts w:ascii="Calibri" w:hAnsi="Calibri"/>
        </w:rPr>
        <w:t>(iv)</w:t>
      </w:r>
      <w:r w:rsidRPr="00697120">
        <w:rPr>
          <w:rFonts w:ascii="Calibri" w:hAnsi="Calibri"/>
        </w:rPr>
        <w:tab/>
        <w:t>inappropriately delegate legislative powers; or</w:t>
      </w:r>
    </w:p>
    <w:p w14:paraId="07875006" w14:textId="77777777" w:rsidR="00FB72F9" w:rsidRPr="00697120" w:rsidRDefault="00FB72F9" w:rsidP="00FB72F9">
      <w:pPr>
        <w:spacing w:before="60" w:after="60"/>
        <w:ind w:left="2268" w:hanging="567"/>
        <w:rPr>
          <w:rFonts w:ascii="Calibri" w:hAnsi="Calibri"/>
        </w:rPr>
      </w:pPr>
      <w:r w:rsidRPr="00697120">
        <w:rPr>
          <w:rFonts w:ascii="Calibri" w:hAnsi="Calibri"/>
        </w:rPr>
        <w:t>(v)</w:t>
      </w:r>
      <w:r w:rsidRPr="00697120">
        <w:rPr>
          <w:rFonts w:ascii="Calibri" w:hAnsi="Calibri"/>
        </w:rPr>
        <w:tab/>
        <w:t>insufficiently subject the exercise of legislative power to parliamentary scrutiny; and</w:t>
      </w:r>
    </w:p>
    <w:p w14:paraId="6D15A71B" w14:textId="77777777" w:rsidR="00FB72F9" w:rsidRPr="00697120" w:rsidRDefault="00FB72F9" w:rsidP="00FB72F9">
      <w:pPr>
        <w:spacing w:before="60" w:after="60"/>
        <w:ind w:left="2268" w:hanging="567"/>
        <w:rPr>
          <w:rFonts w:ascii="Calibri" w:hAnsi="Calibri"/>
        </w:rPr>
      </w:pPr>
      <w:r w:rsidRPr="00697120">
        <w:rPr>
          <w:rFonts w:ascii="Calibri" w:hAnsi="Calibri"/>
        </w:rPr>
        <w:t>(vi)</w:t>
      </w:r>
      <w:r w:rsidRPr="00697120">
        <w:rPr>
          <w:rFonts w:ascii="Calibri" w:hAnsi="Calibri"/>
        </w:rPr>
        <w:tab/>
        <w:t>consider whether any explanatory statement associated with legislation meets the technical or stylistic standards expected by the Assembly;</w:t>
      </w:r>
    </w:p>
    <w:p w14:paraId="72B8A819" w14:textId="77777777" w:rsidR="00FB72F9" w:rsidRPr="00697120" w:rsidRDefault="00FB72F9" w:rsidP="00FB72F9">
      <w:pPr>
        <w:tabs>
          <w:tab w:val="left" w:pos="567"/>
        </w:tabs>
        <w:spacing w:before="60" w:after="60"/>
        <w:ind w:left="1701" w:hanging="567"/>
        <w:rPr>
          <w:rFonts w:ascii="Calibri" w:hAnsi="Calibri"/>
        </w:rPr>
      </w:pPr>
      <w:r w:rsidRPr="00697120">
        <w:rPr>
          <w:rFonts w:ascii="Calibri" w:hAnsi="Calibri"/>
        </w:rPr>
        <w:t>(b)</w:t>
      </w:r>
      <w:r w:rsidRPr="00697120">
        <w:rPr>
          <w:rFonts w:ascii="Calibri" w:hAnsi="Calibri"/>
        </w:rPr>
        <w:tab/>
        <w:t xml:space="preserve">reporting to the Legislative Assembly about human rights issues raised by bills presented to the Assembly pursuant to section 38 of the </w:t>
      </w:r>
      <w:r w:rsidRPr="00697120">
        <w:rPr>
          <w:rFonts w:ascii="Calibri" w:hAnsi="Calibri"/>
          <w:i/>
        </w:rPr>
        <w:t>Human Rights Act 2004</w:t>
      </w:r>
      <w:r w:rsidRPr="00697120">
        <w:rPr>
          <w:rFonts w:ascii="Calibri" w:hAnsi="Calibri"/>
        </w:rPr>
        <w:t xml:space="preserve">; </w:t>
      </w:r>
    </w:p>
    <w:p w14:paraId="3115B980" w14:textId="77777777" w:rsidR="00FB72F9" w:rsidRPr="00697120" w:rsidRDefault="00FB72F9" w:rsidP="00FB72F9">
      <w:pPr>
        <w:tabs>
          <w:tab w:val="left" w:pos="567"/>
        </w:tabs>
        <w:spacing w:before="60" w:after="60"/>
        <w:ind w:left="1701" w:hanging="567"/>
        <w:rPr>
          <w:rFonts w:ascii="Calibri" w:hAnsi="Calibri"/>
        </w:rPr>
      </w:pPr>
      <w:r w:rsidRPr="00697120">
        <w:rPr>
          <w:rFonts w:ascii="Calibri" w:hAnsi="Calibri"/>
        </w:rPr>
        <w:t>(c)</w:t>
      </w:r>
      <w:r w:rsidRPr="00697120">
        <w:rPr>
          <w:rFonts w:ascii="Calibri" w:hAnsi="Calibri"/>
        </w:rPr>
        <w:tab/>
        <w:t>considering whether any instrument of a legislative nature made under an Act which is subject to disallowance and/or disapproval by the Assembly (including a regulation, rule or by-law):</w:t>
      </w:r>
    </w:p>
    <w:p w14:paraId="297A2510" w14:textId="77777777" w:rsidR="00FB72F9" w:rsidRPr="00697120" w:rsidRDefault="00FB72F9" w:rsidP="00FB72F9">
      <w:pPr>
        <w:spacing w:before="60" w:after="60"/>
        <w:ind w:left="2268" w:hanging="567"/>
        <w:rPr>
          <w:rFonts w:ascii="Calibri" w:hAnsi="Calibri"/>
        </w:rPr>
      </w:pPr>
      <w:r w:rsidRPr="00697120">
        <w:rPr>
          <w:rFonts w:ascii="Calibri" w:hAnsi="Calibri"/>
        </w:rPr>
        <w:t>(i)</w:t>
      </w:r>
      <w:r w:rsidRPr="00697120">
        <w:rPr>
          <w:rFonts w:ascii="Calibri" w:hAnsi="Calibri"/>
        </w:rPr>
        <w:tab/>
        <w:t>is in accord with the general objects of the Act under which it is made;</w:t>
      </w:r>
    </w:p>
    <w:p w14:paraId="4DECAE2E" w14:textId="77777777" w:rsidR="00FB72F9" w:rsidRPr="00697120" w:rsidRDefault="00FB72F9" w:rsidP="00FB72F9">
      <w:pPr>
        <w:spacing w:before="60" w:after="60"/>
        <w:ind w:left="2268" w:hanging="567"/>
        <w:rPr>
          <w:rFonts w:ascii="Calibri" w:hAnsi="Calibri"/>
        </w:rPr>
      </w:pPr>
      <w:r w:rsidRPr="00697120">
        <w:rPr>
          <w:rFonts w:ascii="Calibri" w:hAnsi="Calibri"/>
        </w:rPr>
        <w:t>(ii)</w:t>
      </w:r>
      <w:r w:rsidRPr="00697120">
        <w:rPr>
          <w:rFonts w:ascii="Calibri" w:hAnsi="Calibri"/>
        </w:rPr>
        <w:tab/>
        <w:t>unduly trespasses on rights previously established by law;</w:t>
      </w:r>
    </w:p>
    <w:p w14:paraId="0BE2EC9C" w14:textId="77777777" w:rsidR="00FB72F9" w:rsidRPr="00697120" w:rsidRDefault="00FB72F9" w:rsidP="00FB72F9">
      <w:pPr>
        <w:spacing w:before="60" w:after="60"/>
        <w:ind w:left="2268" w:hanging="567"/>
        <w:rPr>
          <w:rFonts w:ascii="Calibri" w:hAnsi="Calibri"/>
        </w:rPr>
      </w:pPr>
      <w:r w:rsidRPr="00697120">
        <w:rPr>
          <w:rFonts w:ascii="Calibri" w:hAnsi="Calibri"/>
        </w:rPr>
        <w:t>(iii)</w:t>
      </w:r>
      <w:r w:rsidRPr="00697120">
        <w:rPr>
          <w:rFonts w:ascii="Calibri" w:hAnsi="Calibri"/>
        </w:rPr>
        <w:tab/>
        <w:t>makes rights, liberties and/or obligations unduly dependent upon non-reviewable decisions; or</w:t>
      </w:r>
    </w:p>
    <w:p w14:paraId="1B9BE49B" w14:textId="77777777" w:rsidR="00FB72F9" w:rsidRPr="00697120" w:rsidRDefault="00FB72F9" w:rsidP="00FB72F9">
      <w:pPr>
        <w:spacing w:before="60" w:after="60"/>
        <w:ind w:left="2268" w:hanging="567"/>
        <w:rPr>
          <w:rFonts w:ascii="Calibri" w:hAnsi="Calibri"/>
        </w:rPr>
      </w:pPr>
      <w:r w:rsidRPr="00697120">
        <w:rPr>
          <w:rFonts w:ascii="Calibri" w:hAnsi="Calibri"/>
        </w:rPr>
        <w:t>(iv)</w:t>
      </w:r>
      <w:r w:rsidRPr="00697120">
        <w:rPr>
          <w:rFonts w:ascii="Calibri" w:hAnsi="Calibri"/>
        </w:rPr>
        <w:tab/>
        <w:t>contains matter which in the opinion of the Committee should properly be dealt with in an Act of the Legislative Assembly; and</w:t>
      </w:r>
    </w:p>
    <w:p w14:paraId="469DD02C" w14:textId="77777777" w:rsidR="00FB72F9" w:rsidRPr="00697120" w:rsidRDefault="00FB72F9" w:rsidP="00FB72F9">
      <w:pPr>
        <w:tabs>
          <w:tab w:val="left" w:pos="567"/>
        </w:tabs>
        <w:spacing w:before="60" w:after="60"/>
        <w:ind w:left="1701" w:hanging="567"/>
        <w:rPr>
          <w:rFonts w:ascii="Calibri" w:hAnsi="Calibri"/>
        </w:rPr>
      </w:pPr>
      <w:r w:rsidRPr="00697120">
        <w:rPr>
          <w:rFonts w:ascii="Calibri" w:hAnsi="Calibri"/>
        </w:rPr>
        <w:t>(d)</w:t>
      </w:r>
      <w:r w:rsidRPr="00697120">
        <w:rPr>
          <w:rFonts w:ascii="Calibri" w:hAnsi="Calibri"/>
        </w:rPr>
        <w:tab/>
        <w:t>consider whether any explanatory statement or explanatory memorandum associated with legislation and any regulatory impact statement meets the technical or stylistic standards expected by the Assembly;</w:t>
      </w:r>
    </w:p>
    <w:p w14:paraId="459E064D" w14:textId="75E1C869" w:rsidR="007A7A8B" w:rsidRDefault="007A7A8B" w:rsidP="007A7A8B">
      <w:pPr>
        <w:spacing w:before="120"/>
      </w:pPr>
      <w:r>
        <w:t xml:space="preserve">You can read the full establishing resolution </w:t>
      </w:r>
      <w:hyperlink r:id="rId14" w:anchor="tab1813250-1id" w:history="1">
        <w:r w:rsidRPr="006718E3">
          <w:rPr>
            <w:rStyle w:val="Hyperlink"/>
          </w:rPr>
          <w:t>on our website.</w:t>
        </w:r>
      </w:hyperlink>
    </w:p>
    <w:p w14:paraId="595A8310" w14:textId="686FEB4A" w:rsidR="00A23A3E" w:rsidRDefault="00A23A3E" w:rsidP="00FD01DA">
      <w:pPr>
        <w:pStyle w:val="Heading2"/>
      </w:pPr>
      <w:bookmarkStart w:id="3" w:name="_Toc137582437"/>
      <w:r>
        <w:lastRenderedPageBreak/>
        <w:t>Committee members</w:t>
      </w:r>
      <w:bookmarkEnd w:id="3"/>
    </w:p>
    <w:p w14:paraId="260B7CE2" w14:textId="6A0F5F28" w:rsidR="00A23A3E" w:rsidRDefault="00250DD6" w:rsidP="00AF7746">
      <w:pPr>
        <w:pStyle w:val="List"/>
        <w:keepNext/>
      </w:pPr>
      <w:r>
        <w:t>Peter Cain</w:t>
      </w:r>
      <w:r w:rsidR="00A23A3E">
        <w:t xml:space="preserve"> MLA, Chair</w:t>
      </w:r>
    </w:p>
    <w:p w14:paraId="365287C2" w14:textId="710EEF31" w:rsidR="00A23A3E" w:rsidRDefault="00AF7746" w:rsidP="00A23A3E">
      <w:pPr>
        <w:pStyle w:val="List"/>
      </w:pPr>
      <w:r>
        <w:t>Marisa Paterson</w:t>
      </w:r>
      <w:r w:rsidR="00A23A3E">
        <w:t xml:space="preserve"> MLA, Deputy Chair</w:t>
      </w:r>
    </w:p>
    <w:p w14:paraId="0F3B365B" w14:textId="6FEDBA64" w:rsidR="00A23A3E" w:rsidRDefault="00AF7746" w:rsidP="00A23A3E">
      <w:pPr>
        <w:pStyle w:val="List"/>
      </w:pPr>
      <w:r>
        <w:t xml:space="preserve">Andrew Braddock </w:t>
      </w:r>
      <w:r w:rsidR="00A23A3E">
        <w:t>MLA</w:t>
      </w:r>
    </w:p>
    <w:p w14:paraId="4764FEB1" w14:textId="764355CB" w:rsidR="00A23A3E" w:rsidRDefault="00A23A3E" w:rsidP="00FD01DA">
      <w:pPr>
        <w:pStyle w:val="Heading2"/>
      </w:pPr>
      <w:bookmarkStart w:id="4" w:name="_Toc137582438"/>
      <w:r>
        <w:t>Secretariat</w:t>
      </w:r>
      <w:bookmarkEnd w:id="4"/>
    </w:p>
    <w:p w14:paraId="759F8782" w14:textId="3B7EAEB5" w:rsidR="00751998" w:rsidRDefault="00751998" w:rsidP="00A23A3E">
      <w:pPr>
        <w:pStyle w:val="List"/>
      </w:pPr>
      <w:r>
        <w:t>Kate Mickelson, Acting Committee Secretary</w:t>
      </w:r>
    </w:p>
    <w:p w14:paraId="476D6512" w14:textId="520228AA" w:rsidR="00CC013B" w:rsidRDefault="00CC013B" w:rsidP="00A23A3E">
      <w:pPr>
        <w:pStyle w:val="List"/>
      </w:pPr>
      <w:r>
        <w:t xml:space="preserve">Anna Hough, Assistant Secretary </w:t>
      </w:r>
    </w:p>
    <w:p w14:paraId="2CCB9EE0" w14:textId="0868FD83" w:rsidR="00CC013B" w:rsidRPr="00A23A3E" w:rsidRDefault="00CC013B" w:rsidP="00A23A3E">
      <w:pPr>
        <w:pStyle w:val="List"/>
      </w:pPr>
      <w:r>
        <w:t>Satyen Sharma, Administration Officer</w:t>
      </w:r>
    </w:p>
    <w:p w14:paraId="671A7017" w14:textId="76F070F6" w:rsidR="00A23A3E" w:rsidRDefault="00AF7746" w:rsidP="00A23A3E">
      <w:pPr>
        <w:pStyle w:val="List"/>
      </w:pPr>
      <w:r>
        <w:t>Daniel Stewart, Legal Adviser (Bills)</w:t>
      </w:r>
    </w:p>
    <w:p w14:paraId="70D6AE7A" w14:textId="012A7AD7" w:rsidR="00AF7746" w:rsidRDefault="00AF7746" w:rsidP="00A23A3E">
      <w:pPr>
        <w:pStyle w:val="List"/>
      </w:pPr>
      <w:r>
        <w:t>Stephen Argument, Legal Adviser (Subordinate Legislation)</w:t>
      </w:r>
    </w:p>
    <w:p w14:paraId="5BE4FC1F" w14:textId="77777777" w:rsidR="00A23A3E" w:rsidRDefault="00A23A3E" w:rsidP="00FD01DA">
      <w:pPr>
        <w:pStyle w:val="Heading2"/>
      </w:pPr>
      <w:bookmarkStart w:id="5" w:name="_Toc137582439"/>
      <w:r>
        <w:t>Contact us</w:t>
      </w:r>
      <w:bookmarkEnd w:id="5"/>
    </w:p>
    <w:p w14:paraId="309C2876" w14:textId="07E182E0" w:rsidR="001D22FC" w:rsidRDefault="00A23A3E" w:rsidP="001D22FC">
      <w:pPr>
        <w:ind w:left="1134" w:hanging="1134"/>
      </w:pPr>
      <w:r>
        <w:rPr>
          <w:b/>
          <w:bCs/>
        </w:rPr>
        <w:t>Mail</w:t>
      </w:r>
      <w:r>
        <w:tab/>
      </w:r>
      <w:fldSimple w:instr=" STYLEREF  &quot;Cover - Committee name&quot;  \* MERGEFORMAT ">
        <w:r w:rsidR="00425F61">
          <w:rPr>
            <w:noProof/>
          </w:rPr>
          <w:t>Standing Committee on Justice and Community Safety (Legislative Scrutiny Role)</w:t>
        </w:r>
      </w:fldSimple>
      <w:r w:rsidR="001D22FC">
        <w:br/>
        <w:t>Legislative Assembly for the Australian Capital Territory</w:t>
      </w:r>
      <w:r w:rsidR="001D22FC">
        <w:br/>
        <w:t>GPO Box 1020</w:t>
      </w:r>
      <w:r w:rsidR="001D22FC">
        <w:br/>
        <w:t>CANBERRA ACT 2601</w:t>
      </w:r>
    </w:p>
    <w:p w14:paraId="664A1C88" w14:textId="4F9A06D1" w:rsidR="001D22FC" w:rsidRDefault="001D22FC" w:rsidP="001D22FC">
      <w:pPr>
        <w:ind w:left="1134" w:hanging="1134"/>
      </w:pPr>
      <w:r>
        <w:rPr>
          <w:b/>
          <w:bCs/>
        </w:rPr>
        <w:t>Phone</w:t>
      </w:r>
      <w:r>
        <w:rPr>
          <w:b/>
          <w:bCs/>
        </w:rPr>
        <w:tab/>
      </w:r>
      <w:r>
        <w:t xml:space="preserve">(02) </w:t>
      </w:r>
      <w:r w:rsidRPr="008E750D">
        <w:t>620</w:t>
      </w:r>
      <w:r w:rsidR="00AF7746">
        <w:t>5 0171</w:t>
      </w:r>
    </w:p>
    <w:p w14:paraId="3A6B4157" w14:textId="31C83397" w:rsidR="001D22FC" w:rsidRDefault="001D22FC" w:rsidP="001D22FC">
      <w:pPr>
        <w:ind w:left="1134" w:hanging="1134"/>
      </w:pPr>
      <w:r>
        <w:rPr>
          <w:b/>
          <w:bCs/>
        </w:rPr>
        <w:t>Email</w:t>
      </w:r>
      <w:r>
        <w:tab/>
      </w:r>
      <w:hyperlink r:id="rId15" w:history="1">
        <w:r w:rsidR="00AF7746" w:rsidRPr="008845EF">
          <w:rPr>
            <w:rStyle w:val="Hyperlink"/>
          </w:rPr>
          <w:t>scrutiny@parliament.act.gov.au</w:t>
        </w:r>
      </w:hyperlink>
      <w:r w:rsidR="00AF7746">
        <w:t xml:space="preserve"> </w:t>
      </w:r>
    </w:p>
    <w:p w14:paraId="27F322AD" w14:textId="14980520" w:rsidR="00ED3906" w:rsidRDefault="001D22FC" w:rsidP="00123781">
      <w:pPr>
        <w:spacing w:line="259" w:lineRule="auto"/>
        <w:ind w:left="1134" w:hanging="1134"/>
      </w:pPr>
      <w:r>
        <w:rPr>
          <w:b/>
          <w:bCs/>
        </w:rPr>
        <w:t>Website</w:t>
      </w:r>
      <w:r w:rsidR="00123781">
        <w:rPr>
          <w:b/>
          <w:bCs/>
        </w:rPr>
        <w:tab/>
      </w:r>
      <w:hyperlink r:id="rId16" w:history="1">
        <w:r w:rsidRPr="001D22FC">
          <w:rPr>
            <w:rStyle w:val="Hyperlink"/>
          </w:rPr>
          <w:t>parliament.act.gov.au/parliamentary-business/in-committees</w:t>
        </w:r>
      </w:hyperlink>
    </w:p>
    <w:p w14:paraId="34360D25" w14:textId="77777777" w:rsidR="00AF7746" w:rsidRPr="00AF7746" w:rsidRDefault="00AF7746" w:rsidP="00FD01DA">
      <w:pPr>
        <w:pStyle w:val="Heading2"/>
      </w:pPr>
      <w:bookmarkStart w:id="6" w:name="_Toc500938172"/>
      <w:bookmarkStart w:id="7" w:name="_Toc500947020"/>
      <w:bookmarkStart w:id="8" w:name="_Toc501547029"/>
      <w:bookmarkStart w:id="9" w:name="_Toc501547384"/>
      <w:bookmarkStart w:id="10" w:name="_Toc505005668"/>
      <w:bookmarkStart w:id="11" w:name="_Toc505153759"/>
      <w:bookmarkStart w:id="12" w:name="_Toc508283427"/>
      <w:bookmarkStart w:id="13" w:name="_Toc510081783"/>
      <w:bookmarkStart w:id="14" w:name="_Toc511812220"/>
      <w:bookmarkStart w:id="15" w:name="_Toc512240158"/>
      <w:bookmarkStart w:id="16" w:name="_Toc513192155"/>
      <w:bookmarkStart w:id="17" w:name="_Toc514832417"/>
      <w:bookmarkStart w:id="18" w:name="_Toc514837962"/>
      <w:bookmarkStart w:id="19" w:name="_Toc514943596"/>
      <w:bookmarkStart w:id="20" w:name="_Toc515352039"/>
      <w:bookmarkStart w:id="21" w:name="_Toc518297248"/>
      <w:bookmarkStart w:id="22" w:name="_Toc519069306"/>
      <w:bookmarkStart w:id="23" w:name="_Toc519069367"/>
      <w:bookmarkStart w:id="24" w:name="_Toc519520734"/>
      <w:bookmarkStart w:id="25" w:name="_Toc520188713"/>
      <w:bookmarkStart w:id="26" w:name="_Toc521054230"/>
      <w:bookmarkStart w:id="27" w:name="_Toc521054317"/>
      <w:bookmarkStart w:id="28" w:name="_Toc521054389"/>
      <w:bookmarkStart w:id="29" w:name="_Toc523753612"/>
      <w:bookmarkStart w:id="30" w:name="_Toc523814161"/>
      <w:bookmarkStart w:id="31" w:name="_Toc523900452"/>
      <w:bookmarkStart w:id="32" w:name="_Toc526855813"/>
      <w:bookmarkStart w:id="33" w:name="_Toc528155839"/>
      <w:bookmarkStart w:id="34" w:name="_Toc528157198"/>
      <w:bookmarkStart w:id="35" w:name="_Toc528310851"/>
      <w:bookmarkStart w:id="36" w:name="_Toc529974530"/>
      <w:bookmarkStart w:id="37" w:name="_Toc530039425"/>
      <w:bookmarkStart w:id="38" w:name="_Toc536527673"/>
      <w:bookmarkStart w:id="39" w:name="_Toc536527836"/>
      <w:bookmarkStart w:id="40" w:name="_Toc536615374"/>
      <w:bookmarkStart w:id="41" w:name="_Toc172152"/>
      <w:bookmarkStart w:id="42" w:name="_Toc506077"/>
      <w:bookmarkStart w:id="43" w:name="_Toc945921"/>
      <w:bookmarkStart w:id="44" w:name="_Toc965811"/>
      <w:bookmarkStart w:id="45" w:name="_Toc2839575"/>
      <w:bookmarkStart w:id="46" w:name="_Toc2850235"/>
      <w:bookmarkStart w:id="47" w:name="_Toc3271212"/>
      <w:bookmarkStart w:id="48" w:name="_Toc4588273"/>
      <w:bookmarkStart w:id="49" w:name="_Toc4652919"/>
      <w:bookmarkStart w:id="50" w:name="_Toc5003661"/>
      <w:bookmarkStart w:id="51" w:name="_Toc6211034"/>
      <w:bookmarkStart w:id="52" w:name="_Toc9499992"/>
      <w:bookmarkStart w:id="53" w:name="_Toc14266114"/>
      <w:bookmarkStart w:id="54" w:name="_Toc14334603"/>
      <w:bookmarkStart w:id="55" w:name="_Toc14775953"/>
      <w:bookmarkStart w:id="56" w:name="_Toc15285031"/>
      <w:bookmarkStart w:id="57" w:name="_Toc15630651"/>
      <w:bookmarkStart w:id="58" w:name="_Toc18415323"/>
      <w:bookmarkStart w:id="59" w:name="_Toc18487691"/>
      <w:bookmarkStart w:id="60" w:name="_Toc19708394"/>
      <w:bookmarkStart w:id="61" w:name="_Toc20131683"/>
      <w:bookmarkStart w:id="62" w:name="_Toc21595441"/>
      <w:bookmarkStart w:id="63" w:name="_Toc22025442"/>
      <w:bookmarkStart w:id="64" w:name="_Toc24463705"/>
      <w:bookmarkStart w:id="65" w:name="_Toc24617702"/>
      <w:bookmarkStart w:id="66" w:name="_Toc25050774"/>
      <w:bookmarkStart w:id="67" w:name="_Toc31202138"/>
      <w:bookmarkStart w:id="68" w:name="_Toc31202259"/>
      <w:bookmarkStart w:id="69" w:name="_Toc32390199"/>
      <w:bookmarkStart w:id="70" w:name="_Toc32566840"/>
      <w:bookmarkStart w:id="71" w:name="_Toc35437930"/>
      <w:bookmarkStart w:id="72" w:name="_Toc38270540"/>
      <w:bookmarkStart w:id="73" w:name="_Toc38362391"/>
      <w:bookmarkStart w:id="74" w:name="_Toc38441872"/>
      <w:bookmarkStart w:id="75" w:name="_Toc38442379"/>
      <w:bookmarkStart w:id="76" w:name="_Toc38976317"/>
      <w:bookmarkStart w:id="77" w:name="_Toc40693088"/>
      <w:bookmarkStart w:id="78" w:name="_Toc40693229"/>
      <w:bookmarkStart w:id="79" w:name="_Toc41570915"/>
      <w:bookmarkStart w:id="80" w:name="_Toc42874997"/>
      <w:bookmarkStart w:id="81" w:name="_Toc44074214"/>
      <w:bookmarkStart w:id="82" w:name="_Toc44317225"/>
      <w:bookmarkStart w:id="83" w:name="_Toc44323928"/>
      <w:bookmarkStart w:id="84" w:name="_Toc80105327"/>
      <w:bookmarkStart w:id="85" w:name="_Toc80347171"/>
      <w:bookmarkStart w:id="86" w:name="_Toc80613167"/>
      <w:bookmarkStart w:id="87" w:name="_Toc80613257"/>
      <w:bookmarkStart w:id="88" w:name="_Toc80701764"/>
      <w:bookmarkStart w:id="89" w:name="_Toc83302219"/>
      <w:bookmarkStart w:id="90" w:name="_Toc83639599"/>
      <w:bookmarkStart w:id="91" w:name="_Toc86229552"/>
      <w:bookmarkStart w:id="92" w:name="_Toc137582440"/>
      <w:r w:rsidRPr="00AF7746">
        <w:t>Role of Committee</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18A31E0F" w14:textId="77777777" w:rsidR="00AF7746" w:rsidRPr="00104A8B" w:rsidRDefault="00AF7746" w:rsidP="00AF7746">
      <w:r w:rsidRPr="00104A8B">
        <w:t>The Committee examines all Bills and subordinate legislation presented to the Assembly. It does not make any comments on the policy aspects of the legislation. The Committee’s terms of reference contain principles of scrutiny that enable it to operate in the best traditions of totally non-partisan, non-political technical scrutiny of legislation. These traditions have been adopted, without exception, by all scrutiny committees in Australia. Non-partisan, non-policy scrutiny allows the Committee to help the Assembly pass into law Acts and subordinate legislation which comply with the ideals set out in its terms of reference.</w:t>
      </w:r>
    </w:p>
    <w:p w14:paraId="5BCE2563" w14:textId="77777777" w:rsidR="00ED3906" w:rsidRDefault="00ED3906">
      <w:pPr>
        <w:spacing w:line="259" w:lineRule="auto"/>
      </w:pPr>
      <w:r>
        <w:br w:type="page"/>
      </w:r>
    </w:p>
    <w:bookmarkEnd w:id="0" w:displacedByCustomXml="next"/>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59926429" w14:textId="6A98F559" w:rsidR="008A6130" w:rsidRDefault="008A6130" w:rsidP="003C3CF9">
          <w:pPr>
            <w:pStyle w:val="TOCHeading"/>
          </w:pPr>
          <w:r>
            <w:t>Contents</w:t>
          </w:r>
        </w:p>
        <w:p w14:paraId="36AF01D6" w14:textId="5873D452" w:rsidR="002A075F" w:rsidRDefault="008A6130">
          <w:pPr>
            <w:pStyle w:val="TOC1"/>
            <w:rPr>
              <w:rFonts w:asciiTheme="minorHAnsi" w:eastAsiaTheme="minorEastAsia" w:hAnsiTheme="minorHAnsi"/>
              <w:b w:val="0"/>
              <w:bCs w:val="0"/>
              <w:color w:val="auto"/>
              <w:w w:val="100"/>
              <w:sz w:val="22"/>
              <w:lang w:eastAsia="en-AU"/>
            </w:rPr>
          </w:pPr>
          <w:r>
            <w:fldChar w:fldCharType="begin"/>
          </w:r>
          <w:r>
            <w:instrText xml:space="preserve"> TOC \o "1-3" \h \z \u </w:instrText>
          </w:r>
          <w:r>
            <w:fldChar w:fldCharType="separate"/>
          </w:r>
          <w:hyperlink w:anchor="_Toc137582435" w:history="1">
            <w:r w:rsidR="002A075F" w:rsidRPr="009926AC">
              <w:rPr>
                <w:rStyle w:val="Hyperlink"/>
              </w:rPr>
              <w:t>About the committee</w:t>
            </w:r>
            <w:r w:rsidR="002A075F">
              <w:rPr>
                <w:webHidden/>
              </w:rPr>
              <w:tab/>
            </w:r>
            <w:r w:rsidR="002A075F">
              <w:rPr>
                <w:webHidden/>
              </w:rPr>
              <w:fldChar w:fldCharType="begin"/>
            </w:r>
            <w:r w:rsidR="002A075F">
              <w:rPr>
                <w:webHidden/>
              </w:rPr>
              <w:instrText xml:space="preserve"> PAGEREF _Toc137582435 \h </w:instrText>
            </w:r>
            <w:r w:rsidR="002A075F">
              <w:rPr>
                <w:webHidden/>
              </w:rPr>
            </w:r>
            <w:r w:rsidR="002A075F">
              <w:rPr>
                <w:webHidden/>
              </w:rPr>
              <w:fldChar w:fldCharType="separate"/>
            </w:r>
            <w:r w:rsidR="002A075F">
              <w:rPr>
                <w:webHidden/>
              </w:rPr>
              <w:t>i</w:t>
            </w:r>
            <w:r w:rsidR="002A075F">
              <w:rPr>
                <w:webHidden/>
              </w:rPr>
              <w:fldChar w:fldCharType="end"/>
            </w:r>
          </w:hyperlink>
        </w:p>
        <w:p w14:paraId="72E63D0A" w14:textId="1CBBDD62" w:rsidR="002A075F" w:rsidRDefault="00F61391">
          <w:pPr>
            <w:pStyle w:val="TOC2"/>
            <w:rPr>
              <w:rFonts w:eastAsiaTheme="minorEastAsia"/>
              <w:lang w:eastAsia="en-AU"/>
            </w:rPr>
          </w:pPr>
          <w:hyperlink w:anchor="_Toc137582436" w:history="1">
            <w:r w:rsidR="002A075F" w:rsidRPr="009926AC">
              <w:rPr>
                <w:rStyle w:val="Hyperlink"/>
              </w:rPr>
              <w:t>Establishing resolution</w:t>
            </w:r>
            <w:r w:rsidR="002A075F">
              <w:rPr>
                <w:webHidden/>
              </w:rPr>
              <w:tab/>
            </w:r>
            <w:r w:rsidR="002A075F">
              <w:rPr>
                <w:webHidden/>
              </w:rPr>
              <w:fldChar w:fldCharType="begin"/>
            </w:r>
            <w:r w:rsidR="002A075F">
              <w:rPr>
                <w:webHidden/>
              </w:rPr>
              <w:instrText xml:space="preserve"> PAGEREF _Toc137582436 \h </w:instrText>
            </w:r>
            <w:r w:rsidR="002A075F">
              <w:rPr>
                <w:webHidden/>
              </w:rPr>
            </w:r>
            <w:r w:rsidR="002A075F">
              <w:rPr>
                <w:webHidden/>
              </w:rPr>
              <w:fldChar w:fldCharType="separate"/>
            </w:r>
            <w:r w:rsidR="002A075F">
              <w:rPr>
                <w:webHidden/>
              </w:rPr>
              <w:t>i</w:t>
            </w:r>
            <w:r w:rsidR="002A075F">
              <w:rPr>
                <w:webHidden/>
              </w:rPr>
              <w:fldChar w:fldCharType="end"/>
            </w:r>
          </w:hyperlink>
        </w:p>
        <w:p w14:paraId="05C0A1B9" w14:textId="2B5BFE14" w:rsidR="002A075F" w:rsidRDefault="00F61391">
          <w:pPr>
            <w:pStyle w:val="TOC2"/>
            <w:rPr>
              <w:rFonts w:eastAsiaTheme="minorEastAsia"/>
              <w:lang w:eastAsia="en-AU"/>
            </w:rPr>
          </w:pPr>
          <w:hyperlink w:anchor="_Toc137582437" w:history="1">
            <w:r w:rsidR="002A075F" w:rsidRPr="009926AC">
              <w:rPr>
                <w:rStyle w:val="Hyperlink"/>
              </w:rPr>
              <w:t>Committee members</w:t>
            </w:r>
            <w:r w:rsidR="002A075F">
              <w:rPr>
                <w:webHidden/>
              </w:rPr>
              <w:tab/>
            </w:r>
            <w:r w:rsidR="002A075F">
              <w:rPr>
                <w:webHidden/>
              </w:rPr>
              <w:fldChar w:fldCharType="begin"/>
            </w:r>
            <w:r w:rsidR="002A075F">
              <w:rPr>
                <w:webHidden/>
              </w:rPr>
              <w:instrText xml:space="preserve"> PAGEREF _Toc137582437 \h </w:instrText>
            </w:r>
            <w:r w:rsidR="002A075F">
              <w:rPr>
                <w:webHidden/>
              </w:rPr>
            </w:r>
            <w:r w:rsidR="002A075F">
              <w:rPr>
                <w:webHidden/>
              </w:rPr>
              <w:fldChar w:fldCharType="separate"/>
            </w:r>
            <w:r w:rsidR="002A075F">
              <w:rPr>
                <w:webHidden/>
              </w:rPr>
              <w:t>ii</w:t>
            </w:r>
            <w:r w:rsidR="002A075F">
              <w:rPr>
                <w:webHidden/>
              </w:rPr>
              <w:fldChar w:fldCharType="end"/>
            </w:r>
          </w:hyperlink>
        </w:p>
        <w:p w14:paraId="4A08D7B3" w14:textId="4A3651F7" w:rsidR="002A075F" w:rsidRDefault="00F61391">
          <w:pPr>
            <w:pStyle w:val="TOC2"/>
            <w:rPr>
              <w:rFonts w:eastAsiaTheme="minorEastAsia"/>
              <w:lang w:eastAsia="en-AU"/>
            </w:rPr>
          </w:pPr>
          <w:hyperlink w:anchor="_Toc137582438" w:history="1">
            <w:r w:rsidR="002A075F" w:rsidRPr="009926AC">
              <w:rPr>
                <w:rStyle w:val="Hyperlink"/>
              </w:rPr>
              <w:t>Secretariat</w:t>
            </w:r>
            <w:r w:rsidR="002A075F">
              <w:rPr>
                <w:webHidden/>
              </w:rPr>
              <w:tab/>
            </w:r>
            <w:r w:rsidR="002A075F">
              <w:rPr>
                <w:webHidden/>
              </w:rPr>
              <w:fldChar w:fldCharType="begin"/>
            </w:r>
            <w:r w:rsidR="002A075F">
              <w:rPr>
                <w:webHidden/>
              </w:rPr>
              <w:instrText xml:space="preserve"> PAGEREF _Toc137582438 \h </w:instrText>
            </w:r>
            <w:r w:rsidR="002A075F">
              <w:rPr>
                <w:webHidden/>
              </w:rPr>
            </w:r>
            <w:r w:rsidR="002A075F">
              <w:rPr>
                <w:webHidden/>
              </w:rPr>
              <w:fldChar w:fldCharType="separate"/>
            </w:r>
            <w:r w:rsidR="002A075F">
              <w:rPr>
                <w:webHidden/>
              </w:rPr>
              <w:t>ii</w:t>
            </w:r>
            <w:r w:rsidR="002A075F">
              <w:rPr>
                <w:webHidden/>
              </w:rPr>
              <w:fldChar w:fldCharType="end"/>
            </w:r>
          </w:hyperlink>
        </w:p>
        <w:p w14:paraId="5047CF49" w14:textId="7104D457" w:rsidR="002A075F" w:rsidRDefault="00F61391">
          <w:pPr>
            <w:pStyle w:val="TOC2"/>
            <w:rPr>
              <w:rFonts w:eastAsiaTheme="minorEastAsia"/>
              <w:lang w:eastAsia="en-AU"/>
            </w:rPr>
          </w:pPr>
          <w:hyperlink w:anchor="_Toc137582439" w:history="1">
            <w:r w:rsidR="002A075F" w:rsidRPr="009926AC">
              <w:rPr>
                <w:rStyle w:val="Hyperlink"/>
              </w:rPr>
              <w:t>Contact us</w:t>
            </w:r>
            <w:r w:rsidR="002A075F">
              <w:rPr>
                <w:webHidden/>
              </w:rPr>
              <w:tab/>
            </w:r>
            <w:r w:rsidR="002A075F">
              <w:rPr>
                <w:webHidden/>
              </w:rPr>
              <w:fldChar w:fldCharType="begin"/>
            </w:r>
            <w:r w:rsidR="002A075F">
              <w:rPr>
                <w:webHidden/>
              </w:rPr>
              <w:instrText xml:space="preserve"> PAGEREF _Toc137582439 \h </w:instrText>
            </w:r>
            <w:r w:rsidR="002A075F">
              <w:rPr>
                <w:webHidden/>
              </w:rPr>
            </w:r>
            <w:r w:rsidR="002A075F">
              <w:rPr>
                <w:webHidden/>
              </w:rPr>
              <w:fldChar w:fldCharType="separate"/>
            </w:r>
            <w:r w:rsidR="002A075F">
              <w:rPr>
                <w:webHidden/>
              </w:rPr>
              <w:t>ii</w:t>
            </w:r>
            <w:r w:rsidR="002A075F">
              <w:rPr>
                <w:webHidden/>
              </w:rPr>
              <w:fldChar w:fldCharType="end"/>
            </w:r>
          </w:hyperlink>
        </w:p>
        <w:p w14:paraId="6DE7F484" w14:textId="31511E5A" w:rsidR="002A075F" w:rsidRDefault="00F61391">
          <w:pPr>
            <w:pStyle w:val="TOC2"/>
            <w:rPr>
              <w:rFonts w:eastAsiaTheme="minorEastAsia"/>
              <w:lang w:eastAsia="en-AU"/>
            </w:rPr>
          </w:pPr>
          <w:hyperlink w:anchor="_Toc137582440" w:history="1">
            <w:r w:rsidR="002A075F" w:rsidRPr="009926AC">
              <w:rPr>
                <w:rStyle w:val="Hyperlink"/>
              </w:rPr>
              <w:t>Role of Committee</w:t>
            </w:r>
            <w:r w:rsidR="002A075F">
              <w:rPr>
                <w:webHidden/>
              </w:rPr>
              <w:tab/>
            </w:r>
            <w:r w:rsidR="002A075F">
              <w:rPr>
                <w:webHidden/>
              </w:rPr>
              <w:fldChar w:fldCharType="begin"/>
            </w:r>
            <w:r w:rsidR="002A075F">
              <w:rPr>
                <w:webHidden/>
              </w:rPr>
              <w:instrText xml:space="preserve"> PAGEREF _Toc137582440 \h </w:instrText>
            </w:r>
            <w:r w:rsidR="002A075F">
              <w:rPr>
                <w:webHidden/>
              </w:rPr>
            </w:r>
            <w:r w:rsidR="002A075F">
              <w:rPr>
                <w:webHidden/>
              </w:rPr>
              <w:fldChar w:fldCharType="separate"/>
            </w:r>
            <w:r w:rsidR="002A075F">
              <w:rPr>
                <w:webHidden/>
              </w:rPr>
              <w:t>ii</w:t>
            </w:r>
            <w:r w:rsidR="002A075F">
              <w:rPr>
                <w:webHidden/>
              </w:rPr>
              <w:fldChar w:fldCharType="end"/>
            </w:r>
          </w:hyperlink>
        </w:p>
        <w:p w14:paraId="769C535A" w14:textId="00539FE0" w:rsidR="002A075F" w:rsidRDefault="00F61391">
          <w:pPr>
            <w:pStyle w:val="TOC1"/>
            <w:rPr>
              <w:rFonts w:asciiTheme="minorHAnsi" w:eastAsiaTheme="minorEastAsia" w:hAnsiTheme="minorHAnsi"/>
              <w:b w:val="0"/>
              <w:bCs w:val="0"/>
              <w:color w:val="auto"/>
              <w:w w:val="100"/>
              <w:sz w:val="22"/>
              <w:lang w:eastAsia="en-AU"/>
            </w:rPr>
          </w:pPr>
          <w:hyperlink w:anchor="_Toc137582441" w:history="1">
            <w:r w:rsidR="002A075F" w:rsidRPr="009926AC">
              <w:rPr>
                <w:rStyle w:val="Hyperlink"/>
              </w:rPr>
              <w:t>1.</w:t>
            </w:r>
            <w:r w:rsidR="002A075F">
              <w:rPr>
                <w:rFonts w:asciiTheme="minorHAnsi" w:eastAsiaTheme="minorEastAsia" w:hAnsiTheme="minorHAnsi"/>
                <w:b w:val="0"/>
                <w:bCs w:val="0"/>
                <w:color w:val="auto"/>
                <w:w w:val="100"/>
                <w:sz w:val="22"/>
                <w:lang w:eastAsia="en-AU"/>
              </w:rPr>
              <w:tab/>
            </w:r>
            <w:r w:rsidR="002A075F" w:rsidRPr="009926AC">
              <w:rPr>
                <w:rStyle w:val="Hyperlink"/>
              </w:rPr>
              <w:t>Bills</w:t>
            </w:r>
            <w:r w:rsidR="002A075F">
              <w:rPr>
                <w:webHidden/>
              </w:rPr>
              <w:tab/>
            </w:r>
            <w:r w:rsidR="002A075F">
              <w:rPr>
                <w:webHidden/>
              </w:rPr>
              <w:fldChar w:fldCharType="begin"/>
            </w:r>
            <w:r w:rsidR="002A075F">
              <w:rPr>
                <w:webHidden/>
              </w:rPr>
              <w:instrText xml:space="preserve"> PAGEREF _Toc137582441 \h </w:instrText>
            </w:r>
            <w:r w:rsidR="002A075F">
              <w:rPr>
                <w:webHidden/>
              </w:rPr>
            </w:r>
            <w:r w:rsidR="002A075F">
              <w:rPr>
                <w:webHidden/>
              </w:rPr>
              <w:fldChar w:fldCharType="separate"/>
            </w:r>
            <w:r w:rsidR="002A075F">
              <w:rPr>
                <w:webHidden/>
              </w:rPr>
              <w:t>1</w:t>
            </w:r>
            <w:r w:rsidR="002A075F">
              <w:rPr>
                <w:webHidden/>
              </w:rPr>
              <w:fldChar w:fldCharType="end"/>
            </w:r>
          </w:hyperlink>
        </w:p>
        <w:p w14:paraId="66369702" w14:textId="60FA2A92" w:rsidR="002A075F" w:rsidRDefault="00F61391">
          <w:pPr>
            <w:pStyle w:val="TOC2"/>
            <w:rPr>
              <w:rFonts w:eastAsiaTheme="minorEastAsia"/>
              <w:lang w:eastAsia="en-AU"/>
            </w:rPr>
          </w:pPr>
          <w:hyperlink w:anchor="_Toc137582442" w:history="1">
            <w:r w:rsidR="002A075F" w:rsidRPr="009926AC">
              <w:rPr>
                <w:rStyle w:val="Hyperlink"/>
              </w:rPr>
              <w:t>Proposed Amendments – No Comment</w:t>
            </w:r>
            <w:r w:rsidR="002A075F">
              <w:rPr>
                <w:webHidden/>
              </w:rPr>
              <w:tab/>
            </w:r>
            <w:r w:rsidR="002A075F">
              <w:rPr>
                <w:webHidden/>
              </w:rPr>
              <w:fldChar w:fldCharType="begin"/>
            </w:r>
            <w:r w:rsidR="002A075F">
              <w:rPr>
                <w:webHidden/>
              </w:rPr>
              <w:instrText xml:space="preserve"> PAGEREF _Toc137582442 \h </w:instrText>
            </w:r>
            <w:r w:rsidR="002A075F">
              <w:rPr>
                <w:webHidden/>
              </w:rPr>
            </w:r>
            <w:r w:rsidR="002A075F">
              <w:rPr>
                <w:webHidden/>
              </w:rPr>
              <w:fldChar w:fldCharType="separate"/>
            </w:r>
            <w:r w:rsidR="002A075F">
              <w:rPr>
                <w:webHidden/>
              </w:rPr>
              <w:t>1</w:t>
            </w:r>
            <w:r w:rsidR="002A075F">
              <w:rPr>
                <w:webHidden/>
              </w:rPr>
              <w:fldChar w:fldCharType="end"/>
            </w:r>
          </w:hyperlink>
        </w:p>
        <w:p w14:paraId="574C168B" w14:textId="2D8DEC23" w:rsidR="002A075F" w:rsidRDefault="00F61391">
          <w:pPr>
            <w:pStyle w:val="TOC3"/>
            <w:rPr>
              <w:rFonts w:eastAsiaTheme="minorEastAsia"/>
              <w:lang w:eastAsia="en-AU"/>
            </w:rPr>
          </w:pPr>
          <w:hyperlink w:anchor="_Toc137582443" w:history="1">
            <w:r w:rsidR="002A075F" w:rsidRPr="009926AC">
              <w:rPr>
                <w:rStyle w:val="Hyperlink"/>
              </w:rPr>
              <w:t>Financial Management Amendment Bill 2021 (No 2)</w:t>
            </w:r>
            <w:r w:rsidR="002A075F">
              <w:rPr>
                <w:webHidden/>
              </w:rPr>
              <w:tab/>
            </w:r>
            <w:r w:rsidR="002A075F">
              <w:rPr>
                <w:webHidden/>
              </w:rPr>
              <w:fldChar w:fldCharType="begin"/>
            </w:r>
            <w:r w:rsidR="002A075F">
              <w:rPr>
                <w:webHidden/>
              </w:rPr>
              <w:instrText xml:space="preserve"> PAGEREF _Toc137582443 \h </w:instrText>
            </w:r>
            <w:r w:rsidR="002A075F">
              <w:rPr>
                <w:webHidden/>
              </w:rPr>
            </w:r>
            <w:r w:rsidR="002A075F">
              <w:rPr>
                <w:webHidden/>
              </w:rPr>
              <w:fldChar w:fldCharType="separate"/>
            </w:r>
            <w:r w:rsidR="002A075F">
              <w:rPr>
                <w:webHidden/>
              </w:rPr>
              <w:t>1</w:t>
            </w:r>
            <w:r w:rsidR="002A075F">
              <w:rPr>
                <w:webHidden/>
              </w:rPr>
              <w:fldChar w:fldCharType="end"/>
            </w:r>
          </w:hyperlink>
        </w:p>
        <w:p w14:paraId="1D09C524" w14:textId="150F8426" w:rsidR="002A075F" w:rsidRDefault="00F61391">
          <w:pPr>
            <w:pStyle w:val="TOC3"/>
            <w:rPr>
              <w:rFonts w:eastAsiaTheme="minorEastAsia"/>
              <w:lang w:eastAsia="en-AU"/>
            </w:rPr>
          </w:pPr>
          <w:hyperlink w:anchor="_Toc137582444" w:history="1">
            <w:r w:rsidR="002A075F" w:rsidRPr="009926AC">
              <w:rPr>
                <w:rStyle w:val="Hyperlink"/>
              </w:rPr>
              <w:t>Gaming Machine (Club Refuge) Amendment Bill 2022</w:t>
            </w:r>
            <w:r w:rsidR="002A075F">
              <w:rPr>
                <w:webHidden/>
              </w:rPr>
              <w:tab/>
            </w:r>
            <w:r w:rsidR="002A075F">
              <w:rPr>
                <w:webHidden/>
              </w:rPr>
              <w:fldChar w:fldCharType="begin"/>
            </w:r>
            <w:r w:rsidR="002A075F">
              <w:rPr>
                <w:webHidden/>
              </w:rPr>
              <w:instrText xml:space="preserve"> PAGEREF _Toc137582444 \h </w:instrText>
            </w:r>
            <w:r w:rsidR="002A075F">
              <w:rPr>
                <w:webHidden/>
              </w:rPr>
            </w:r>
            <w:r w:rsidR="002A075F">
              <w:rPr>
                <w:webHidden/>
              </w:rPr>
              <w:fldChar w:fldCharType="separate"/>
            </w:r>
            <w:r w:rsidR="002A075F">
              <w:rPr>
                <w:webHidden/>
              </w:rPr>
              <w:t>1</w:t>
            </w:r>
            <w:r w:rsidR="002A075F">
              <w:rPr>
                <w:webHidden/>
              </w:rPr>
              <w:fldChar w:fldCharType="end"/>
            </w:r>
          </w:hyperlink>
        </w:p>
        <w:p w14:paraId="1ADCA61C" w14:textId="3DB4CE5A" w:rsidR="002A075F" w:rsidRDefault="00F61391">
          <w:pPr>
            <w:pStyle w:val="TOC3"/>
            <w:rPr>
              <w:rFonts w:eastAsiaTheme="minorEastAsia"/>
              <w:lang w:eastAsia="en-AU"/>
            </w:rPr>
          </w:pPr>
          <w:hyperlink w:anchor="_Toc137582445" w:history="1">
            <w:r w:rsidR="002A075F" w:rsidRPr="009926AC">
              <w:rPr>
                <w:rStyle w:val="Hyperlink"/>
              </w:rPr>
              <w:t>Motor Accident Injuries Amendment Bill 2023</w:t>
            </w:r>
            <w:r w:rsidR="002A075F">
              <w:rPr>
                <w:webHidden/>
              </w:rPr>
              <w:tab/>
            </w:r>
            <w:r w:rsidR="002A075F">
              <w:rPr>
                <w:webHidden/>
              </w:rPr>
              <w:fldChar w:fldCharType="begin"/>
            </w:r>
            <w:r w:rsidR="002A075F">
              <w:rPr>
                <w:webHidden/>
              </w:rPr>
              <w:instrText xml:space="preserve"> PAGEREF _Toc137582445 \h </w:instrText>
            </w:r>
            <w:r w:rsidR="002A075F">
              <w:rPr>
                <w:webHidden/>
              </w:rPr>
            </w:r>
            <w:r w:rsidR="002A075F">
              <w:rPr>
                <w:webHidden/>
              </w:rPr>
              <w:fldChar w:fldCharType="separate"/>
            </w:r>
            <w:r w:rsidR="002A075F">
              <w:rPr>
                <w:webHidden/>
              </w:rPr>
              <w:t>2</w:t>
            </w:r>
            <w:r w:rsidR="002A075F">
              <w:rPr>
                <w:webHidden/>
              </w:rPr>
              <w:fldChar w:fldCharType="end"/>
            </w:r>
          </w:hyperlink>
        </w:p>
        <w:p w14:paraId="1DDD4436" w14:textId="0459FC15" w:rsidR="002A075F" w:rsidRDefault="00F61391">
          <w:pPr>
            <w:pStyle w:val="TOC3"/>
            <w:rPr>
              <w:rFonts w:eastAsiaTheme="minorEastAsia"/>
              <w:lang w:eastAsia="en-AU"/>
            </w:rPr>
          </w:pPr>
          <w:hyperlink w:anchor="_Toc137582446" w:history="1">
            <w:r w:rsidR="002A075F" w:rsidRPr="009926AC">
              <w:rPr>
                <w:rStyle w:val="Hyperlink"/>
              </w:rPr>
              <w:t>Planning and Environment Legislation Amendment Bill 2023</w:t>
            </w:r>
            <w:r w:rsidR="002A075F">
              <w:rPr>
                <w:webHidden/>
              </w:rPr>
              <w:tab/>
            </w:r>
            <w:r w:rsidR="002A075F">
              <w:rPr>
                <w:webHidden/>
              </w:rPr>
              <w:fldChar w:fldCharType="begin"/>
            </w:r>
            <w:r w:rsidR="002A075F">
              <w:rPr>
                <w:webHidden/>
              </w:rPr>
              <w:instrText xml:space="preserve"> PAGEREF _Toc137582446 \h </w:instrText>
            </w:r>
            <w:r w:rsidR="002A075F">
              <w:rPr>
                <w:webHidden/>
              </w:rPr>
            </w:r>
            <w:r w:rsidR="002A075F">
              <w:rPr>
                <w:webHidden/>
              </w:rPr>
              <w:fldChar w:fldCharType="separate"/>
            </w:r>
            <w:r w:rsidR="002A075F">
              <w:rPr>
                <w:webHidden/>
              </w:rPr>
              <w:t>2</w:t>
            </w:r>
            <w:r w:rsidR="002A075F">
              <w:rPr>
                <w:webHidden/>
              </w:rPr>
              <w:fldChar w:fldCharType="end"/>
            </w:r>
          </w:hyperlink>
        </w:p>
        <w:p w14:paraId="4C8E7C65" w14:textId="5F6EFA02" w:rsidR="002A075F" w:rsidRDefault="00F61391">
          <w:pPr>
            <w:pStyle w:val="TOC3"/>
            <w:rPr>
              <w:rFonts w:eastAsiaTheme="minorEastAsia"/>
              <w:lang w:eastAsia="en-AU"/>
            </w:rPr>
          </w:pPr>
          <w:hyperlink w:anchor="_Toc137582447" w:history="1">
            <w:r w:rsidR="002A075F" w:rsidRPr="009926AC">
              <w:rPr>
                <w:rStyle w:val="Hyperlink"/>
              </w:rPr>
              <w:t>Work Health and Safety Amendment Bill 2022</w:t>
            </w:r>
            <w:r w:rsidR="002A075F">
              <w:rPr>
                <w:webHidden/>
              </w:rPr>
              <w:tab/>
            </w:r>
            <w:r w:rsidR="002A075F">
              <w:rPr>
                <w:webHidden/>
              </w:rPr>
              <w:fldChar w:fldCharType="begin"/>
            </w:r>
            <w:r w:rsidR="002A075F">
              <w:rPr>
                <w:webHidden/>
              </w:rPr>
              <w:instrText xml:space="preserve"> PAGEREF _Toc137582447 \h </w:instrText>
            </w:r>
            <w:r w:rsidR="002A075F">
              <w:rPr>
                <w:webHidden/>
              </w:rPr>
            </w:r>
            <w:r w:rsidR="002A075F">
              <w:rPr>
                <w:webHidden/>
              </w:rPr>
              <w:fldChar w:fldCharType="separate"/>
            </w:r>
            <w:r w:rsidR="002A075F">
              <w:rPr>
                <w:webHidden/>
              </w:rPr>
              <w:t>3</w:t>
            </w:r>
            <w:r w:rsidR="002A075F">
              <w:rPr>
                <w:webHidden/>
              </w:rPr>
              <w:fldChar w:fldCharType="end"/>
            </w:r>
          </w:hyperlink>
        </w:p>
        <w:p w14:paraId="1147120D" w14:textId="40F9FA5E" w:rsidR="002A075F" w:rsidRDefault="00F61391">
          <w:pPr>
            <w:pStyle w:val="TOC2"/>
            <w:rPr>
              <w:rFonts w:eastAsiaTheme="minorEastAsia"/>
              <w:lang w:eastAsia="en-AU"/>
            </w:rPr>
          </w:pPr>
          <w:hyperlink w:anchor="_Toc137582448" w:history="1">
            <w:r w:rsidR="002A075F" w:rsidRPr="009926AC">
              <w:rPr>
                <w:rStyle w:val="Hyperlink"/>
              </w:rPr>
              <w:t>Government Responses – No Comment</w:t>
            </w:r>
            <w:r w:rsidR="002A075F">
              <w:rPr>
                <w:webHidden/>
              </w:rPr>
              <w:tab/>
            </w:r>
            <w:r w:rsidR="002A075F">
              <w:rPr>
                <w:webHidden/>
              </w:rPr>
              <w:fldChar w:fldCharType="begin"/>
            </w:r>
            <w:r w:rsidR="002A075F">
              <w:rPr>
                <w:webHidden/>
              </w:rPr>
              <w:instrText xml:space="preserve"> PAGEREF _Toc137582448 \h </w:instrText>
            </w:r>
            <w:r w:rsidR="002A075F">
              <w:rPr>
                <w:webHidden/>
              </w:rPr>
            </w:r>
            <w:r w:rsidR="002A075F">
              <w:rPr>
                <w:webHidden/>
              </w:rPr>
              <w:fldChar w:fldCharType="separate"/>
            </w:r>
            <w:r w:rsidR="002A075F">
              <w:rPr>
                <w:webHidden/>
              </w:rPr>
              <w:t>3</w:t>
            </w:r>
            <w:r w:rsidR="002A075F">
              <w:rPr>
                <w:webHidden/>
              </w:rPr>
              <w:fldChar w:fldCharType="end"/>
            </w:r>
          </w:hyperlink>
        </w:p>
        <w:p w14:paraId="6E8C2AA7" w14:textId="0613D1B0" w:rsidR="002A075F" w:rsidRDefault="00F61391">
          <w:pPr>
            <w:pStyle w:val="TOC1"/>
            <w:rPr>
              <w:rFonts w:asciiTheme="minorHAnsi" w:eastAsiaTheme="minorEastAsia" w:hAnsiTheme="minorHAnsi"/>
              <w:b w:val="0"/>
              <w:bCs w:val="0"/>
              <w:color w:val="auto"/>
              <w:w w:val="100"/>
              <w:sz w:val="22"/>
              <w:lang w:eastAsia="en-AU"/>
            </w:rPr>
          </w:pPr>
          <w:hyperlink w:anchor="_Toc137582449" w:history="1">
            <w:r w:rsidR="002A075F" w:rsidRPr="009926AC">
              <w:rPr>
                <w:rStyle w:val="Hyperlink"/>
              </w:rPr>
              <w:t>2.</w:t>
            </w:r>
            <w:r w:rsidR="002A075F">
              <w:rPr>
                <w:rFonts w:asciiTheme="minorHAnsi" w:eastAsiaTheme="minorEastAsia" w:hAnsiTheme="minorHAnsi"/>
                <w:b w:val="0"/>
                <w:bCs w:val="0"/>
                <w:color w:val="auto"/>
                <w:w w:val="100"/>
                <w:sz w:val="22"/>
                <w:lang w:eastAsia="en-AU"/>
              </w:rPr>
              <w:tab/>
            </w:r>
            <w:r w:rsidR="002A075F" w:rsidRPr="009926AC">
              <w:rPr>
                <w:rStyle w:val="Hyperlink"/>
              </w:rPr>
              <w:t>Subordinate Legislation</w:t>
            </w:r>
            <w:r w:rsidR="002A075F">
              <w:rPr>
                <w:webHidden/>
              </w:rPr>
              <w:tab/>
            </w:r>
            <w:r w:rsidR="002A075F">
              <w:rPr>
                <w:webHidden/>
              </w:rPr>
              <w:fldChar w:fldCharType="begin"/>
            </w:r>
            <w:r w:rsidR="002A075F">
              <w:rPr>
                <w:webHidden/>
              </w:rPr>
              <w:instrText xml:space="preserve"> PAGEREF _Toc137582449 \h </w:instrText>
            </w:r>
            <w:r w:rsidR="002A075F">
              <w:rPr>
                <w:webHidden/>
              </w:rPr>
            </w:r>
            <w:r w:rsidR="002A075F">
              <w:rPr>
                <w:webHidden/>
              </w:rPr>
              <w:fldChar w:fldCharType="separate"/>
            </w:r>
            <w:r w:rsidR="002A075F">
              <w:rPr>
                <w:webHidden/>
              </w:rPr>
              <w:t>4</w:t>
            </w:r>
            <w:r w:rsidR="002A075F">
              <w:rPr>
                <w:webHidden/>
              </w:rPr>
              <w:fldChar w:fldCharType="end"/>
            </w:r>
          </w:hyperlink>
        </w:p>
        <w:p w14:paraId="124D2FC6" w14:textId="151E51D6" w:rsidR="002A075F" w:rsidRDefault="00F61391">
          <w:pPr>
            <w:pStyle w:val="TOC2"/>
            <w:rPr>
              <w:rFonts w:eastAsiaTheme="minorEastAsia"/>
              <w:lang w:eastAsia="en-AU"/>
            </w:rPr>
          </w:pPr>
          <w:hyperlink w:anchor="_Toc137582450" w:history="1">
            <w:r w:rsidR="002A075F" w:rsidRPr="009926AC">
              <w:rPr>
                <w:rStyle w:val="Hyperlink"/>
              </w:rPr>
              <w:t>Disallowable Instruments—No comment</w:t>
            </w:r>
            <w:r w:rsidR="002A075F">
              <w:rPr>
                <w:webHidden/>
              </w:rPr>
              <w:tab/>
            </w:r>
            <w:r w:rsidR="002A075F">
              <w:rPr>
                <w:webHidden/>
              </w:rPr>
              <w:fldChar w:fldCharType="begin"/>
            </w:r>
            <w:r w:rsidR="002A075F">
              <w:rPr>
                <w:webHidden/>
              </w:rPr>
              <w:instrText xml:space="preserve"> PAGEREF _Toc137582450 \h </w:instrText>
            </w:r>
            <w:r w:rsidR="002A075F">
              <w:rPr>
                <w:webHidden/>
              </w:rPr>
            </w:r>
            <w:r w:rsidR="002A075F">
              <w:rPr>
                <w:webHidden/>
              </w:rPr>
              <w:fldChar w:fldCharType="separate"/>
            </w:r>
            <w:r w:rsidR="002A075F">
              <w:rPr>
                <w:webHidden/>
              </w:rPr>
              <w:t>4</w:t>
            </w:r>
            <w:r w:rsidR="002A075F">
              <w:rPr>
                <w:webHidden/>
              </w:rPr>
              <w:fldChar w:fldCharType="end"/>
            </w:r>
          </w:hyperlink>
        </w:p>
        <w:p w14:paraId="362E7002" w14:textId="6A08EC76" w:rsidR="002A075F" w:rsidRDefault="00F61391">
          <w:pPr>
            <w:pStyle w:val="TOC2"/>
            <w:rPr>
              <w:rFonts w:eastAsiaTheme="minorEastAsia"/>
              <w:lang w:eastAsia="en-AU"/>
            </w:rPr>
          </w:pPr>
          <w:hyperlink w:anchor="_Toc137582451" w:history="1">
            <w:r w:rsidR="002A075F" w:rsidRPr="009926AC">
              <w:rPr>
                <w:rStyle w:val="Hyperlink"/>
              </w:rPr>
              <w:t>Disallowable Instruments—Comment</w:t>
            </w:r>
            <w:r w:rsidR="002A075F">
              <w:rPr>
                <w:webHidden/>
              </w:rPr>
              <w:tab/>
            </w:r>
            <w:r w:rsidR="002A075F">
              <w:rPr>
                <w:webHidden/>
              </w:rPr>
              <w:fldChar w:fldCharType="begin"/>
            </w:r>
            <w:r w:rsidR="002A075F">
              <w:rPr>
                <w:webHidden/>
              </w:rPr>
              <w:instrText xml:space="preserve"> PAGEREF _Toc137582451 \h </w:instrText>
            </w:r>
            <w:r w:rsidR="002A075F">
              <w:rPr>
                <w:webHidden/>
              </w:rPr>
            </w:r>
            <w:r w:rsidR="002A075F">
              <w:rPr>
                <w:webHidden/>
              </w:rPr>
              <w:fldChar w:fldCharType="separate"/>
            </w:r>
            <w:r w:rsidR="002A075F">
              <w:rPr>
                <w:webHidden/>
              </w:rPr>
              <w:t>4</w:t>
            </w:r>
            <w:r w:rsidR="002A075F">
              <w:rPr>
                <w:webHidden/>
              </w:rPr>
              <w:fldChar w:fldCharType="end"/>
            </w:r>
          </w:hyperlink>
        </w:p>
        <w:p w14:paraId="2E8BD598" w14:textId="0E529329" w:rsidR="002A075F" w:rsidRDefault="00F61391">
          <w:pPr>
            <w:pStyle w:val="TOC3"/>
            <w:rPr>
              <w:rFonts w:eastAsiaTheme="minorEastAsia"/>
              <w:lang w:eastAsia="en-AU"/>
            </w:rPr>
          </w:pPr>
          <w:hyperlink w:anchor="_Toc137582452" w:history="1">
            <w:r w:rsidR="002A075F" w:rsidRPr="009926AC">
              <w:rPr>
                <w:rStyle w:val="Hyperlink"/>
              </w:rPr>
              <w:t>No Human Rights Issues</w:t>
            </w:r>
            <w:r w:rsidR="002A075F">
              <w:rPr>
                <w:webHidden/>
              </w:rPr>
              <w:tab/>
            </w:r>
            <w:r w:rsidR="002A075F">
              <w:rPr>
                <w:webHidden/>
              </w:rPr>
              <w:fldChar w:fldCharType="begin"/>
            </w:r>
            <w:r w:rsidR="002A075F">
              <w:rPr>
                <w:webHidden/>
              </w:rPr>
              <w:instrText xml:space="preserve"> PAGEREF _Toc137582452 \h </w:instrText>
            </w:r>
            <w:r w:rsidR="002A075F">
              <w:rPr>
                <w:webHidden/>
              </w:rPr>
            </w:r>
            <w:r w:rsidR="002A075F">
              <w:rPr>
                <w:webHidden/>
              </w:rPr>
              <w:fldChar w:fldCharType="separate"/>
            </w:r>
            <w:r w:rsidR="002A075F">
              <w:rPr>
                <w:webHidden/>
              </w:rPr>
              <w:t>4</w:t>
            </w:r>
            <w:r w:rsidR="002A075F">
              <w:rPr>
                <w:webHidden/>
              </w:rPr>
              <w:fldChar w:fldCharType="end"/>
            </w:r>
          </w:hyperlink>
        </w:p>
        <w:p w14:paraId="458DEC07" w14:textId="409B5587" w:rsidR="002A075F" w:rsidRDefault="00F61391">
          <w:pPr>
            <w:pStyle w:val="TOC2"/>
            <w:rPr>
              <w:rFonts w:eastAsiaTheme="minorEastAsia"/>
              <w:lang w:eastAsia="en-AU"/>
            </w:rPr>
          </w:pPr>
          <w:hyperlink w:anchor="_Toc137582453" w:history="1">
            <w:r w:rsidR="002A075F" w:rsidRPr="009926AC">
              <w:rPr>
                <w:rStyle w:val="Hyperlink"/>
              </w:rPr>
              <w:t>Subordinate Laws – Comment</w:t>
            </w:r>
            <w:r w:rsidR="002A075F">
              <w:rPr>
                <w:webHidden/>
              </w:rPr>
              <w:tab/>
            </w:r>
            <w:r w:rsidR="002A075F">
              <w:rPr>
                <w:webHidden/>
              </w:rPr>
              <w:fldChar w:fldCharType="begin"/>
            </w:r>
            <w:r w:rsidR="002A075F">
              <w:rPr>
                <w:webHidden/>
              </w:rPr>
              <w:instrText xml:space="preserve"> PAGEREF _Toc137582453 \h </w:instrText>
            </w:r>
            <w:r w:rsidR="002A075F">
              <w:rPr>
                <w:webHidden/>
              </w:rPr>
            </w:r>
            <w:r w:rsidR="002A075F">
              <w:rPr>
                <w:webHidden/>
              </w:rPr>
              <w:fldChar w:fldCharType="separate"/>
            </w:r>
            <w:r w:rsidR="002A075F">
              <w:rPr>
                <w:webHidden/>
              </w:rPr>
              <w:t>5</w:t>
            </w:r>
            <w:r w:rsidR="002A075F">
              <w:rPr>
                <w:webHidden/>
              </w:rPr>
              <w:fldChar w:fldCharType="end"/>
            </w:r>
          </w:hyperlink>
        </w:p>
        <w:p w14:paraId="70A4B124" w14:textId="7F27CC95" w:rsidR="002A075F" w:rsidRDefault="00F61391">
          <w:pPr>
            <w:pStyle w:val="TOC3"/>
            <w:rPr>
              <w:rFonts w:eastAsiaTheme="minorEastAsia"/>
              <w:lang w:eastAsia="en-AU"/>
            </w:rPr>
          </w:pPr>
          <w:hyperlink w:anchor="_Toc137582454" w:history="1">
            <w:r w:rsidR="002A075F" w:rsidRPr="009926AC">
              <w:rPr>
                <w:rStyle w:val="Hyperlink"/>
              </w:rPr>
              <w:t>Human Rights Issues</w:t>
            </w:r>
            <w:r w:rsidR="002A075F">
              <w:rPr>
                <w:webHidden/>
              </w:rPr>
              <w:tab/>
            </w:r>
            <w:r w:rsidR="002A075F">
              <w:rPr>
                <w:webHidden/>
              </w:rPr>
              <w:fldChar w:fldCharType="begin"/>
            </w:r>
            <w:r w:rsidR="002A075F">
              <w:rPr>
                <w:webHidden/>
              </w:rPr>
              <w:instrText xml:space="preserve"> PAGEREF _Toc137582454 \h </w:instrText>
            </w:r>
            <w:r w:rsidR="002A075F">
              <w:rPr>
                <w:webHidden/>
              </w:rPr>
            </w:r>
            <w:r w:rsidR="002A075F">
              <w:rPr>
                <w:webHidden/>
              </w:rPr>
              <w:fldChar w:fldCharType="separate"/>
            </w:r>
            <w:r w:rsidR="002A075F">
              <w:rPr>
                <w:webHidden/>
              </w:rPr>
              <w:t>5</w:t>
            </w:r>
            <w:r w:rsidR="002A075F">
              <w:rPr>
                <w:webHidden/>
              </w:rPr>
              <w:fldChar w:fldCharType="end"/>
            </w:r>
          </w:hyperlink>
        </w:p>
        <w:p w14:paraId="792CA1CB" w14:textId="1928F7C4" w:rsidR="002A075F" w:rsidRDefault="00F61391">
          <w:pPr>
            <w:pStyle w:val="TOC3"/>
            <w:rPr>
              <w:rFonts w:eastAsiaTheme="minorEastAsia"/>
              <w:lang w:eastAsia="en-AU"/>
            </w:rPr>
          </w:pPr>
          <w:hyperlink w:anchor="_Toc137582455" w:history="1">
            <w:r w:rsidR="002A075F" w:rsidRPr="009926AC">
              <w:rPr>
                <w:rStyle w:val="Hyperlink"/>
              </w:rPr>
              <w:t>Human Rights Issues</w:t>
            </w:r>
            <w:r w:rsidR="002A075F">
              <w:rPr>
                <w:webHidden/>
              </w:rPr>
              <w:tab/>
            </w:r>
            <w:r w:rsidR="002A075F">
              <w:rPr>
                <w:webHidden/>
              </w:rPr>
              <w:fldChar w:fldCharType="begin"/>
            </w:r>
            <w:r w:rsidR="002A075F">
              <w:rPr>
                <w:webHidden/>
              </w:rPr>
              <w:instrText xml:space="preserve"> PAGEREF _Toc137582455 \h </w:instrText>
            </w:r>
            <w:r w:rsidR="002A075F">
              <w:rPr>
                <w:webHidden/>
              </w:rPr>
            </w:r>
            <w:r w:rsidR="002A075F">
              <w:rPr>
                <w:webHidden/>
              </w:rPr>
              <w:fldChar w:fldCharType="separate"/>
            </w:r>
            <w:r w:rsidR="002A075F">
              <w:rPr>
                <w:webHidden/>
              </w:rPr>
              <w:t>6</w:t>
            </w:r>
            <w:r w:rsidR="002A075F">
              <w:rPr>
                <w:webHidden/>
              </w:rPr>
              <w:fldChar w:fldCharType="end"/>
            </w:r>
          </w:hyperlink>
        </w:p>
        <w:p w14:paraId="4047E25B" w14:textId="1D0D5FE0" w:rsidR="002A075F" w:rsidRDefault="00F61391">
          <w:pPr>
            <w:pStyle w:val="TOC1"/>
            <w:rPr>
              <w:rFonts w:asciiTheme="minorHAnsi" w:eastAsiaTheme="minorEastAsia" w:hAnsiTheme="minorHAnsi"/>
              <w:b w:val="0"/>
              <w:bCs w:val="0"/>
              <w:color w:val="auto"/>
              <w:w w:val="100"/>
              <w:sz w:val="22"/>
              <w:lang w:eastAsia="en-AU"/>
            </w:rPr>
          </w:pPr>
          <w:hyperlink w:anchor="_Toc137582456" w:history="1">
            <w:r w:rsidR="002A075F" w:rsidRPr="009926AC">
              <w:rPr>
                <w:rStyle w:val="Hyperlink"/>
              </w:rPr>
              <w:t>3.</w:t>
            </w:r>
            <w:r w:rsidR="002A075F">
              <w:rPr>
                <w:rFonts w:asciiTheme="minorHAnsi" w:eastAsiaTheme="minorEastAsia" w:hAnsiTheme="minorHAnsi"/>
                <w:b w:val="0"/>
                <w:bCs w:val="0"/>
                <w:color w:val="auto"/>
                <w:w w:val="100"/>
                <w:sz w:val="22"/>
                <w:lang w:eastAsia="en-AU"/>
              </w:rPr>
              <w:tab/>
            </w:r>
            <w:r w:rsidR="002A075F" w:rsidRPr="009926AC">
              <w:rPr>
                <w:rStyle w:val="Hyperlink"/>
              </w:rPr>
              <w:t>Outstanding responses</w:t>
            </w:r>
            <w:r w:rsidR="002A075F">
              <w:rPr>
                <w:webHidden/>
              </w:rPr>
              <w:tab/>
            </w:r>
            <w:r w:rsidR="002A075F">
              <w:rPr>
                <w:webHidden/>
              </w:rPr>
              <w:fldChar w:fldCharType="begin"/>
            </w:r>
            <w:r w:rsidR="002A075F">
              <w:rPr>
                <w:webHidden/>
              </w:rPr>
              <w:instrText xml:space="preserve"> PAGEREF _Toc137582456 \h </w:instrText>
            </w:r>
            <w:r w:rsidR="002A075F">
              <w:rPr>
                <w:webHidden/>
              </w:rPr>
            </w:r>
            <w:r w:rsidR="002A075F">
              <w:rPr>
                <w:webHidden/>
              </w:rPr>
              <w:fldChar w:fldCharType="separate"/>
            </w:r>
            <w:r w:rsidR="002A075F">
              <w:rPr>
                <w:webHidden/>
              </w:rPr>
              <w:t>8</w:t>
            </w:r>
            <w:r w:rsidR="002A075F">
              <w:rPr>
                <w:webHidden/>
              </w:rPr>
              <w:fldChar w:fldCharType="end"/>
            </w:r>
          </w:hyperlink>
        </w:p>
        <w:p w14:paraId="20C38F68" w14:textId="5A25592A" w:rsidR="002A075F" w:rsidRDefault="00F61391">
          <w:pPr>
            <w:pStyle w:val="TOC2"/>
            <w:rPr>
              <w:rFonts w:eastAsiaTheme="minorEastAsia"/>
              <w:lang w:eastAsia="en-AU"/>
            </w:rPr>
          </w:pPr>
          <w:hyperlink w:anchor="_Toc137582457" w:history="1">
            <w:r w:rsidR="002A075F" w:rsidRPr="009926AC">
              <w:rPr>
                <w:rStyle w:val="Hyperlink"/>
              </w:rPr>
              <w:t>Bills</w:t>
            </w:r>
            <w:r w:rsidR="002A075F">
              <w:rPr>
                <w:webHidden/>
              </w:rPr>
              <w:tab/>
            </w:r>
            <w:r w:rsidR="002A075F">
              <w:rPr>
                <w:webHidden/>
              </w:rPr>
              <w:fldChar w:fldCharType="begin"/>
            </w:r>
            <w:r w:rsidR="002A075F">
              <w:rPr>
                <w:webHidden/>
              </w:rPr>
              <w:instrText xml:space="preserve"> PAGEREF _Toc137582457 \h </w:instrText>
            </w:r>
            <w:r w:rsidR="002A075F">
              <w:rPr>
                <w:webHidden/>
              </w:rPr>
            </w:r>
            <w:r w:rsidR="002A075F">
              <w:rPr>
                <w:webHidden/>
              </w:rPr>
              <w:fldChar w:fldCharType="separate"/>
            </w:r>
            <w:r w:rsidR="002A075F">
              <w:rPr>
                <w:webHidden/>
              </w:rPr>
              <w:t>8</w:t>
            </w:r>
            <w:r w:rsidR="002A075F">
              <w:rPr>
                <w:webHidden/>
              </w:rPr>
              <w:fldChar w:fldCharType="end"/>
            </w:r>
          </w:hyperlink>
        </w:p>
        <w:p w14:paraId="0961542A" w14:textId="7674A667" w:rsidR="002A075F" w:rsidRDefault="00F61391">
          <w:pPr>
            <w:pStyle w:val="TOC3"/>
            <w:rPr>
              <w:rFonts w:eastAsiaTheme="minorEastAsia"/>
              <w:lang w:eastAsia="en-AU"/>
            </w:rPr>
          </w:pPr>
          <w:hyperlink w:anchor="_Toc137582458" w:history="1">
            <w:r w:rsidR="002A075F" w:rsidRPr="009926AC">
              <w:rPr>
                <w:rStyle w:val="Hyperlink"/>
              </w:rPr>
              <w:t>Report 12, dated 1 February 2022</w:t>
            </w:r>
            <w:r w:rsidR="002A075F">
              <w:rPr>
                <w:webHidden/>
              </w:rPr>
              <w:tab/>
            </w:r>
            <w:r w:rsidR="002A075F">
              <w:rPr>
                <w:webHidden/>
              </w:rPr>
              <w:fldChar w:fldCharType="begin"/>
            </w:r>
            <w:r w:rsidR="002A075F">
              <w:rPr>
                <w:webHidden/>
              </w:rPr>
              <w:instrText xml:space="preserve"> PAGEREF _Toc137582458 \h </w:instrText>
            </w:r>
            <w:r w:rsidR="002A075F">
              <w:rPr>
                <w:webHidden/>
              </w:rPr>
            </w:r>
            <w:r w:rsidR="002A075F">
              <w:rPr>
                <w:webHidden/>
              </w:rPr>
              <w:fldChar w:fldCharType="separate"/>
            </w:r>
            <w:r w:rsidR="002A075F">
              <w:rPr>
                <w:webHidden/>
              </w:rPr>
              <w:t>8</w:t>
            </w:r>
            <w:r w:rsidR="002A075F">
              <w:rPr>
                <w:webHidden/>
              </w:rPr>
              <w:fldChar w:fldCharType="end"/>
            </w:r>
          </w:hyperlink>
        </w:p>
        <w:p w14:paraId="75E67864" w14:textId="38841F10" w:rsidR="002A075F" w:rsidRDefault="00F61391">
          <w:pPr>
            <w:pStyle w:val="TOC3"/>
            <w:rPr>
              <w:rFonts w:eastAsiaTheme="minorEastAsia"/>
              <w:lang w:eastAsia="en-AU"/>
            </w:rPr>
          </w:pPr>
          <w:hyperlink w:anchor="_Toc137582459" w:history="1">
            <w:r w:rsidR="002A075F" w:rsidRPr="009926AC">
              <w:rPr>
                <w:rStyle w:val="Hyperlink"/>
              </w:rPr>
              <w:t>Report 28, dated 3 May 2023</w:t>
            </w:r>
            <w:r w:rsidR="002A075F">
              <w:rPr>
                <w:webHidden/>
              </w:rPr>
              <w:tab/>
            </w:r>
            <w:r w:rsidR="002A075F">
              <w:rPr>
                <w:webHidden/>
              </w:rPr>
              <w:fldChar w:fldCharType="begin"/>
            </w:r>
            <w:r w:rsidR="002A075F">
              <w:rPr>
                <w:webHidden/>
              </w:rPr>
              <w:instrText xml:space="preserve"> PAGEREF _Toc137582459 \h </w:instrText>
            </w:r>
            <w:r w:rsidR="002A075F">
              <w:rPr>
                <w:webHidden/>
              </w:rPr>
            </w:r>
            <w:r w:rsidR="002A075F">
              <w:rPr>
                <w:webHidden/>
              </w:rPr>
              <w:fldChar w:fldCharType="separate"/>
            </w:r>
            <w:r w:rsidR="002A075F">
              <w:rPr>
                <w:webHidden/>
              </w:rPr>
              <w:t>8</w:t>
            </w:r>
            <w:r w:rsidR="002A075F">
              <w:rPr>
                <w:webHidden/>
              </w:rPr>
              <w:fldChar w:fldCharType="end"/>
            </w:r>
          </w:hyperlink>
        </w:p>
        <w:p w14:paraId="25A589D1" w14:textId="6390F2D2" w:rsidR="002A075F" w:rsidRDefault="00F61391">
          <w:pPr>
            <w:pStyle w:val="TOC3"/>
            <w:rPr>
              <w:rFonts w:eastAsiaTheme="minorEastAsia"/>
              <w:lang w:eastAsia="en-AU"/>
            </w:rPr>
          </w:pPr>
          <w:hyperlink w:anchor="_Toc137582460" w:history="1">
            <w:r w:rsidR="002A075F" w:rsidRPr="009926AC">
              <w:rPr>
                <w:rStyle w:val="Hyperlink"/>
              </w:rPr>
              <w:t>Report 29, dated 23 May 2023</w:t>
            </w:r>
            <w:r w:rsidR="002A075F">
              <w:rPr>
                <w:webHidden/>
              </w:rPr>
              <w:tab/>
            </w:r>
            <w:r w:rsidR="002A075F">
              <w:rPr>
                <w:webHidden/>
              </w:rPr>
              <w:fldChar w:fldCharType="begin"/>
            </w:r>
            <w:r w:rsidR="002A075F">
              <w:rPr>
                <w:webHidden/>
              </w:rPr>
              <w:instrText xml:space="preserve"> PAGEREF _Toc137582460 \h </w:instrText>
            </w:r>
            <w:r w:rsidR="002A075F">
              <w:rPr>
                <w:webHidden/>
              </w:rPr>
            </w:r>
            <w:r w:rsidR="002A075F">
              <w:rPr>
                <w:webHidden/>
              </w:rPr>
              <w:fldChar w:fldCharType="separate"/>
            </w:r>
            <w:r w:rsidR="002A075F">
              <w:rPr>
                <w:webHidden/>
              </w:rPr>
              <w:t>8</w:t>
            </w:r>
            <w:r w:rsidR="002A075F">
              <w:rPr>
                <w:webHidden/>
              </w:rPr>
              <w:fldChar w:fldCharType="end"/>
            </w:r>
          </w:hyperlink>
        </w:p>
        <w:p w14:paraId="1E1CDF38" w14:textId="5AA4E992" w:rsidR="008A6130" w:rsidRDefault="008A6130" w:rsidP="003C3CF9">
          <w:r>
            <w:rPr>
              <w:b/>
              <w:bCs/>
              <w:noProof/>
            </w:rPr>
            <w:fldChar w:fldCharType="end"/>
          </w:r>
        </w:p>
      </w:sdtContent>
    </w:sdt>
    <w:p w14:paraId="3D31C645" w14:textId="72766EAB" w:rsidR="009F5A83" w:rsidRDefault="009F5A83">
      <w:pPr>
        <w:spacing w:line="259" w:lineRule="auto"/>
        <w:rPr>
          <w:rFonts w:ascii="Montserrat" w:eastAsiaTheme="majorEastAsia" w:hAnsi="Montserrat" w:cstheme="majorBidi"/>
          <w:b/>
          <w:color w:val="1A234C"/>
          <w:w w:val="90"/>
          <w:kern w:val="2"/>
          <w:sz w:val="36"/>
          <w:szCs w:val="32"/>
        </w:rPr>
      </w:pPr>
      <w:bookmarkStart w:id="93" w:name="_Toc79133347"/>
      <w:bookmarkStart w:id="94" w:name="_Hlk79475490"/>
      <w:r>
        <w:br w:type="page"/>
      </w:r>
    </w:p>
    <w:p w14:paraId="344C4F63" w14:textId="5C49D60C" w:rsidR="00B7541C" w:rsidRPr="00B7541C" w:rsidRDefault="00B7541C" w:rsidP="00B7541C">
      <w:pPr>
        <w:sectPr w:rsidR="00B7541C" w:rsidRPr="00B7541C" w:rsidSect="009F5A83">
          <w:footerReference w:type="default" r:id="rId17"/>
          <w:pgSz w:w="11906" w:h="16838"/>
          <w:pgMar w:top="1440" w:right="1440" w:bottom="1440" w:left="1440" w:header="708" w:footer="708" w:gutter="0"/>
          <w:pgNumType w:fmt="lowerRoman" w:start="1"/>
          <w:cols w:space="708"/>
          <w:docGrid w:linePitch="360"/>
        </w:sectPr>
      </w:pPr>
    </w:p>
    <w:p w14:paraId="1859149B" w14:textId="4AAB570C" w:rsidR="0083141E" w:rsidRDefault="0083141E" w:rsidP="0083141E">
      <w:pPr>
        <w:pStyle w:val="Heading1"/>
        <w:numPr>
          <w:ilvl w:val="0"/>
          <w:numId w:val="11"/>
        </w:numPr>
      </w:pPr>
      <w:bookmarkStart w:id="95" w:name="_Toc108788084"/>
      <w:bookmarkStart w:id="96" w:name="_Toc137582441"/>
      <w:bookmarkStart w:id="97" w:name="_Hlk79571513"/>
      <w:bookmarkEnd w:id="93"/>
      <w:r>
        <w:lastRenderedPageBreak/>
        <w:t>Bills</w:t>
      </w:r>
      <w:bookmarkEnd w:id="95"/>
      <w:bookmarkEnd w:id="96"/>
    </w:p>
    <w:p w14:paraId="4BDC4BF9" w14:textId="77777777" w:rsidR="005655AC" w:rsidRDefault="005655AC" w:rsidP="005655AC">
      <w:pPr>
        <w:pStyle w:val="Heading2"/>
      </w:pPr>
      <w:bookmarkStart w:id="98" w:name="_Toc137582442"/>
      <w:r>
        <w:t>Proposed Amendments – No Comment</w:t>
      </w:r>
      <w:bookmarkEnd w:id="98"/>
    </w:p>
    <w:p w14:paraId="236A8EE3" w14:textId="77777777" w:rsidR="00A421F6" w:rsidRDefault="00A421F6" w:rsidP="00A421F6">
      <w:pPr>
        <w:pStyle w:val="Heading3"/>
      </w:pPr>
      <w:bookmarkStart w:id="99" w:name="_Toc137582443"/>
      <w:r>
        <w:t>Financial Management Amendment Bill 2021 (No 2)</w:t>
      </w:r>
      <w:bookmarkEnd w:id="99"/>
      <w:r>
        <w:t xml:space="preserve"> </w:t>
      </w:r>
    </w:p>
    <w:p w14:paraId="49F86E62" w14:textId="77777777" w:rsidR="00A421F6" w:rsidRDefault="00A421F6" w:rsidP="00A421F6">
      <w:pPr>
        <w:pStyle w:val="ListNumber2"/>
      </w:pPr>
      <w:r>
        <w:t xml:space="preserve">On 8 June 2023, the Committee received proposed government amendments to the Financial Management Amendment Bill 2021 (No 2) from the Minister for Industrial Relations and Workplace Safety. The Bill will provide for the Minister to determine an insourcing framework for evaluating when services or works should be provided by the public sector or an external provider. In its </w:t>
      </w:r>
      <w:r>
        <w:rPr>
          <w:i/>
          <w:iCs/>
        </w:rPr>
        <w:t>Scrutiny Report 12,</w:t>
      </w:r>
      <w:r>
        <w:t xml:space="preserve"> the Committee raised concerns that there was insufficient justification provided for why this framework was not a disallowable instrument, particularly given its potential to be inconsistent with other legislation governing the Office of the Legislative Assembly,</w:t>
      </w:r>
      <w:r>
        <w:rPr>
          <w:rStyle w:val="FootnoteReference"/>
        </w:rPr>
        <w:footnoteReference w:id="1"/>
      </w:r>
      <w:r>
        <w:t xml:space="preserve"> </w:t>
      </w:r>
      <w:r>
        <w:rPr>
          <w:color w:val="000000"/>
          <w:shd w:val="clear" w:color="auto" w:fill="FFFFFF"/>
        </w:rPr>
        <w:t>Auditor-General,</w:t>
      </w:r>
      <w:r>
        <w:rPr>
          <w:rStyle w:val="FootnoteReference"/>
          <w:color w:val="000000"/>
          <w:shd w:val="clear" w:color="auto" w:fill="FFFFFF"/>
        </w:rPr>
        <w:footnoteReference w:id="2"/>
      </w:r>
      <w:r>
        <w:rPr>
          <w:color w:val="000000"/>
          <w:shd w:val="clear" w:color="auto" w:fill="FFFFFF"/>
        </w:rPr>
        <w:t xml:space="preserve"> Integrity Commission</w:t>
      </w:r>
      <w:r>
        <w:rPr>
          <w:rStyle w:val="FootnoteReference"/>
          <w:color w:val="000000"/>
          <w:shd w:val="clear" w:color="auto" w:fill="FFFFFF"/>
        </w:rPr>
        <w:footnoteReference w:id="3"/>
      </w:r>
      <w:r>
        <w:rPr>
          <w:color w:val="000000"/>
          <w:shd w:val="clear" w:color="auto" w:fill="FFFFFF"/>
        </w:rPr>
        <w:t xml:space="preserve"> and Electoral Commission.</w:t>
      </w:r>
      <w:r>
        <w:rPr>
          <w:rStyle w:val="FootnoteReference"/>
          <w:color w:val="000000"/>
          <w:shd w:val="clear" w:color="auto" w:fill="FFFFFF"/>
        </w:rPr>
        <w:footnoteReference w:id="4"/>
      </w:r>
      <w:r>
        <w:rPr>
          <w:color w:val="000000"/>
          <w:shd w:val="clear" w:color="auto" w:fill="FFFFFF"/>
        </w:rPr>
        <w:t xml:space="preserve"> The proposed amendment will respond to the Committee’s concerns by making the framework a disallowable instrument.</w:t>
      </w:r>
    </w:p>
    <w:p w14:paraId="5AAF9039" w14:textId="7002E940" w:rsidR="00A421F6" w:rsidRDefault="00A421F6" w:rsidP="00A421F6">
      <w:pPr>
        <w:pStyle w:val="ListNumber2"/>
      </w:pPr>
      <w:r>
        <w:t xml:space="preserve">The </w:t>
      </w:r>
      <w:r w:rsidR="006446CD">
        <w:t>proposed amendments</w:t>
      </w:r>
      <w:r>
        <w:t xml:space="preserve"> will also standardise the terminology used throughout the Bill to replace references to the public sector generally with references to the defined public sector entities, and illustrate the exclusion of Commonwealth entities from the Bill’s scope.</w:t>
      </w:r>
    </w:p>
    <w:p w14:paraId="2378AAC1" w14:textId="06C96F88" w:rsidR="009B2BC3" w:rsidRDefault="009B2BC3" w:rsidP="009B2BC3">
      <w:pPr>
        <w:pStyle w:val="ListNumber2"/>
      </w:pPr>
      <w:r>
        <w:t xml:space="preserve">On 19 June 2023, the Committee received proposed amendments to the Financial Management Amendment Bill 2021 (No 2) from Mr Cain MLA. The proposed amendments will remove from the definition of public sector entities an officer of the Assembly, the Office of the Legislative Assembly, the </w:t>
      </w:r>
      <w:r w:rsidR="00746D7F">
        <w:t>E</w:t>
      </w:r>
      <w:r>
        <w:t xml:space="preserve">lectoral </w:t>
      </w:r>
      <w:r w:rsidR="00746D7F">
        <w:t>C</w:t>
      </w:r>
      <w:r>
        <w:t xml:space="preserve">ommission and the </w:t>
      </w:r>
      <w:r w:rsidR="00746D7F">
        <w:t>I</w:t>
      </w:r>
      <w:r>
        <w:t xml:space="preserve">ntegrity </w:t>
      </w:r>
      <w:r w:rsidR="00746D7F">
        <w:t>C</w:t>
      </w:r>
      <w:r>
        <w:t xml:space="preserve">ommission. The effect of the proposed amendments will be to remove these entities from the obligations of the proposed insourcing framework put forward by the Bill. </w:t>
      </w:r>
    </w:p>
    <w:p w14:paraId="66BA63EC" w14:textId="64B589E9" w:rsidR="009B2BC3" w:rsidRDefault="009B2BC3" w:rsidP="009B2BC3">
      <w:pPr>
        <w:pStyle w:val="ListNumber2"/>
      </w:pPr>
      <w:r>
        <w:t>The Committee has no comments on these proposed amendments.</w:t>
      </w:r>
    </w:p>
    <w:p w14:paraId="62A1B11A" w14:textId="77777777" w:rsidR="00A421F6" w:rsidRDefault="00A421F6" w:rsidP="00A421F6">
      <w:pPr>
        <w:pStyle w:val="Heading3"/>
      </w:pPr>
      <w:bookmarkStart w:id="100" w:name="_Toc137582444"/>
      <w:r>
        <w:t>Gaming Machine (Club Refuge) Amendment Bill 2022</w:t>
      </w:r>
      <w:bookmarkEnd w:id="100"/>
    </w:p>
    <w:p w14:paraId="70142E39" w14:textId="77777777" w:rsidR="00A421F6" w:rsidRDefault="00A421F6" w:rsidP="00A421F6">
      <w:pPr>
        <w:pStyle w:val="ListNumber2"/>
      </w:pPr>
      <w:r>
        <w:t xml:space="preserve">On 2 June 2023 the Committee received proposed government amendments to the Gaming Machine (Club Refuge) Amendment Bill 2022 from the Attorney-General. The proposed amendments will amend the </w:t>
      </w:r>
      <w:bookmarkStart w:id="101" w:name="_Hlk137557592"/>
      <w:r>
        <w:rPr>
          <w:i/>
          <w:iCs/>
        </w:rPr>
        <w:t>Gambling and Racing Control (Code of Practice) Regulation 2002</w:t>
      </w:r>
      <w:bookmarkEnd w:id="101"/>
      <w:r>
        <w:t xml:space="preserve"> to require a club licensee, where a club refuge declaration is in force for the licensee’s club, to:</w:t>
      </w:r>
    </w:p>
    <w:p w14:paraId="513E439B" w14:textId="77777777" w:rsidR="00A421F6" w:rsidRDefault="00A421F6" w:rsidP="00A421F6">
      <w:pPr>
        <w:pStyle w:val="ListNumber3"/>
      </w:pPr>
      <w:r>
        <w:t>provide a refuge area which is separate from the club’s gaming area;</w:t>
      </w:r>
    </w:p>
    <w:p w14:paraId="5CB477BC" w14:textId="77777777" w:rsidR="00A421F6" w:rsidRDefault="00A421F6" w:rsidP="00A421F6">
      <w:pPr>
        <w:pStyle w:val="ListNumber3"/>
      </w:pPr>
      <w:r>
        <w:t>not serve alcohol in the refuge area;</w:t>
      </w:r>
    </w:p>
    <w:p w14:paraId="12624CC1" w14:textId="77777777" w:rsidR="00A421F6" w:rsidRDefault="00A421F6" w:rsidP="00A421F6">
      <w:pPr>
        <w:pStyle w:val="ListNumber3"/>
      </w:pPr>
      <w:r>
        <w:lastRenderedPageBreak/>
        <w:t>provide people accessing the club as a refuge area any information given to the community by the emergency services commissioner or information on other places that may be accessed as a refuge given by the director-general;</w:t>
      </w:r>
    </w:p>
    <w:p w14:paraId="60273957" w14:textId="77777777" w:rsidR="00A421F6" w:rsidRDefault="00A421F6" w:rsidP="00A421F6">
      <w:pPr>
        <w:pStyle w:val="ListNumber3"/>
      </w:pPr>
      <w:r>
        <w:t>ensure a gambling contact officer for the club is present; and</w:t>
      </w:r>
    </w:p>
    <w:p w14:paraId="5BCFA568" w14:textId="77777777" w:rsidR="00A421F6" w:rsidRDefault="00A421F6" w:rsidP="00A421F6">
      <w:pPr>
        <w:pStyle w:val="ListNumber3"/>
      </w:pPr>
      <w:r>
        <w:t>require the club licensee to ensure a person accessing the refuge area does not receive direct marketing about club membership.</w:t>
      </w:r>
    </w:p>
    <w:p w14:paraId="480968B6" w14:textId="77777777" w:rsidR="00A421F6" w:rsidRDefault="00A421F6" w:rsidP="00A421F6">
      <w:pPr>
        <w:pStyle w:val="ListNumber2"/>
      </w:pPr>
      <w:r>
        <w:t>The Committee has no comments on the proposed amendments.</w:t>
      </w:r>
    </w:p>
    <w:p w14:paraId="2C02F778" w14:textId="77777777" w:rsidR="00A421F6" w:rsidRDefault="00A421F6" w:rsidP="00A421F6">
      <w:pPr>
        <w:pStyle w:val="Heading3"/>
      </w:pPr>
      <w:bookmarkStart w:id="102" w:name="_Toc137582445"/>
      <w:r>
        <w:t>Motor Accident Injuries Amendment Bill 2023</w:t>
      </w:r>
      <w:bookmarkEnd w:id="102"/>
    </w:p>
    <w:p w14:paraId="08DC78E9" w14:textId="77777777" w:rsidR="00A421F6" w:rsidRDefault="00A421F6" w:rsidP="00A421F6">
      <w:pPr>
        <w:pStyle w:val="ListNumber2"/>
      </w:pPr>
      <w:r>
        <w:t>On 8 June 2023 the Committee received proposed government amendments to the Motor Accident Injuries Amendment Bill 2023 from the Special Minister of State. The proposed amendments will:</w:t>
      </w:r>
    </w:p>
    <w:p w14:paraId="0D172C9C" w14:textId="77777777" w:rsidR="00A421F6" w:rsidRDefault="00A421F6" w:rsidP="00A421F6">
      <w:pPr>
        <w:pStyle w:val="ListNumber3"/>
      </w:pPr>
      <w:r>
        <w:t xml:space="preserve">add an additional serious offence to the definition in section 48 of the </w:t>
      </w:r>
      <w:r>
        <w:rPr>
          <w:i/>
          <w:iCs/>
        </w:rPr>
        <w:t>Motor Accidents Injuries Act 2019</w:t>
      </w:r>
      <w:r>
        <w:t xml:space="preserve"> (an aggravated offence of </w:t>
      </w:r>
      <w:r>
        <w:rPr>
          <w:szCs w:val="22"/>
        </w:rPr>
        <w:t xml:space="preserve">section 5A (Races, attempts on speed records, speed trails etc) of the </w:t>
      </w:r>
      <w:r>
        <w:rPr>
          <w:i/>
          <w:iCs/>
          <w:szCs w:val="22"/>
        </w:rPr>
        <w:t xml:space="preserve">Road Transport (Safety and Traffic Management) Act 1999 </w:t>
      </w:r>
      <w:r>
        <w:rPr>
          <w:szCs w:val="22"/>
        </w:rPr>
        <w:t xml:space="preserve">which is included in the Road Safety Legislation Amendment Bill 2022) </w:t>
      </w:r>
      <w:r>
        <w:t xml:space="preserve">which can lead to suspension or end of </w:t>
      </w:r>
      <w:r>
        <w:rPr>
          <w:color w:val="000000"/>
          <w:shd w:val="clear" w:color="auto" w:fill="FFFFFF"/>
        </w:rPr>
        <w:t>income replacement benefits, treatment and care benefits or quality of life benefits if a person is charged, convicted or found guilty of the offence;</w:t>
      </w:r>
    </w:p>
    <w:p w14:paraId="4D17055C" w14:textId="77777777" w:rsidR="00A421F6" w:rsidRDefault="00A421F6" w:rsidP="00A421F6">
      <w:pPr>
        <w:pStyle w:val="ListNumber3"/>
      </w:pPr>
      <w:r>
        <w:rPr>
          <w:color w:val="000000"/>
          <w:shd w:val="clear" w:color="auto" w:fill="FFFFFF"/>
        </w:rPr>
        <w:t>add to the amendment of section 50 which limits entitlements to defined benefits under the Act where a person’s claim is accepted by a workers compensation scheme to include where a person’s claim is otherwise settled in accordance with the scheme;</w:t>
      </w:r>
    </w:p>
    <w:p w14:paraId="0735661A" w14:textId="77777777" w:rsidR="00A421F6" w:rsidRDefault="00A421F6" w:rsidP="00A421F6">
      <w:pPr>
        <w:pStyle w:val="ListNumber3"/>
      </w:pPr>
      <w:r>
        <w:rPr>
          <w:szCs w:val="22"/>
        </w:rPr>
        <w:t>recast various sections of the Act to align the terminology with the terminology used in workers compensation legislation;</w:t>
      </w:r>
      <w:r>
        <w:t xml:space="preserve"> and</w:t>
      </w:r>
    </w:p>
    <w:p w14:paraId="269AB875" w14:textId="77777777" w:rsidR="00A421F6" w:rsidRDefault="00A421F6" w:rsidP="00A421F6">
      <w:pPr>
        <w:pStyle w:val="ListNumber3"/>
      </w:pPr>
      <w:r>
        <w:t>make other minor or technical amendments.</w:t>
      </w:r>
    </w:p>
    <w:p w14:paraId="18A31F26" w14:textId="77777777" w:rsidR="00A421F6" w:rsidRDefault="00A421F6" w:rsidP="00A421F6">
      <w:pPr>
        <w:pStyle w:val="ListNumber2"/>
      </w:pPr>
      <w:r>
        <w:t>The Committee has no comment on the proposed amendments.</w:t>
      </w:r>
    </w:p>
    <w:p w14:paraId="44EEA296" w14:textId="77777777" w:rsidR="00A421F6" w:rsidRDefault="00A421F6" w:rsidP="00A421F6">
      <w:pPr>
        <w:pStyle w:val="Heading3"/>
      </w:pPr>
      <w:bookmarkStart w:id="103" w:name="_Toc137582446"/>
      <w:r>
        <w:t>Planning and Environment Legislation Amendment Bill 2023</w:t>
      </w:r>
      <w:bookmarkEnd w:id="103"/>
    </w:p>
    <w:p w14:paraId="11E02DA9" w14:textId="77777777" w:rsidR="00A421F6" w:rsidRDefault="00A421F6" w:rsidP="00A421F6">
      <w:pPr>
        <w:pStyle w:val="ListNumber2"/>
      </w:pPr>
      <w:r>
        <w:t xml:space="preserve">On 5 June 2023 the Committee received correspondence from the Minister for the Environment. That correspondence describes proposed government amendments which are intended to be moved during debate of the Planning and Environment Legislation Amendment Bill 2023. </w:t>
      </w:r>
    </w:p>
    <w:p w14:paraId="604465B7" w14:textId="77777777" w:rsidR="00A421F6" w:rsidRDefault="00A421F6" w:rsidP="00A421F6">
      <w:pPr>
        <w:pStyle w:val="ListNumber2"/>
      </w:pPr>
      <w:r>
        <w:t xml:space="preserve">The proposed amendments are described as amending section 2 of the </w:t>
      </w:r>
      <w:r>
        <w:rPr>
          <w:i/>
          <w:iCs/>
        </w:rPr>
        <w:t>Professional Engineers Act 2023</w:t>
      </w:r>
      <w:r>
        <w:t xml:space="preserve"> to disapply section 79 of the </w:t>
      </w:r>
      <w:r>
        <w:rPr>
          <w:i/>
          <w:iCs/>
        </w:rPr>
        <w:t>Legislation Act 2001</w:t>
      </w:r>
      <w:r>
        <w:t xml:space="preserve">. Section 2 of the Professional Engineers Act provides that the Act will commence on a day fixed by the Minister by written notice. Section 79 of the Legislation Act provides for the automatic commencement after 6 months of any law which did not commence on the day it was notified. By disapplying section 79, the proposed amendments will permit the commencement of the Professional Engineers Act to be delayed beyond 6 months. The </w:t>
      </w:r>
      <w:r>
        <w:lastRenderedPageBreak/>
        <w:t xml:space="preserve">correspondence from the Minister indicates that the delay in expected commencement of the Act is to enable consultation with the community and industry in the completion of the necessary regulations, disallowable and notifiable instruments. </w:t>
      </w:r>
    </w:p>
    <w:p w14:paraId="3AFEF599" w14:textId="77777777" w:rsidR="00A421F6" w:rsidRDefault="00A421F6" w:rsidP="00A421F6">
      <w:pPr>
        <w:pStyle w:val="ListNumber2"/>
      </w:pPr>
      <w:r>
        <w:t>The Committee thanks the Minister for bringing this matter to the Committee’s attention and has no comment on the proposed amendments.</w:t>
      </w:r>
    </w:p>
    <w:p w14:paraId="6220B96F" w14:textId="77777777" w:rsidR="00A421F6" w:rsidRDefault="00A421F6" w:rsidP="00A421F6">
      <w:pPr>
        <w:pStyle w:val="Heading3"/>
      </w:pPr>
      <w:bookmarkStart w:id="104" w:name="_Toc137582447"/>
      <w:r>
        <w:t>Work Health and Safety Amendment Bill 2022</w:t>
      </w:r>
      <w:bookmarkEnd w:id="104"/>
    </w:p>
    <w:p w14:paraId="1C76C2C6" w14:textId="3EB9D72B" w:rsidR="00A421F6" w:rsidRDefault="00A421F6" w:rsidP="00A421F6">
      <w:pPr>
        <w:pStyle w:val="ListNumber2"/>
      </w:pPr>
      <w:r>
        <w:t xml:space="preserve">On 6 June 2023 the Committee received proposed amendments to the Work Health and Safety Amendment Bill 2022 from the Speaker. The Committee reported on an earlier version of these proposed amendments in its </w:t>
      </w:r>
      <w:r>
        <w:rPr>
          <w:i/>
          <w:iCs/>
        </w:rPr>
        <w:t>Scrutiny Report 23</w:t>
      </w:r>
      <w:r>
        <w:t xml:space="preserve">. The proposed amendments prevent the </w:t>
      </w:r>
      <w:r>
        <w:rPr>
          <w:i/>
          <w:iCs/>
        </w:rPr>
        <w:t>Work Health and Safety Act 2011</w:t>
      </w:r>
      <w:r>
        <w:t xml:space="preserve"> limiting any power, privilege or immunity given to the Assembly, its committees or members under section 24 of the </w:t>
      </w:r>
      <w:r>
        <w:rPr>
          <w:i/>
          <w:iCs/>
        </w:rPr>
        <w:t>Australian Capital Territory (Self</w:t>
      </w:r>
      <w:r>
        <w:rPr>
          <w:rFonts w:ascii="Cambria Math" w:hAnsi="Cambria Math" w:cs="Cambria Math"/>
          <w:i/>
          <w:iCs/>
        </w:rPr>
        <w:noBreakHyphen/>
      </w:r>
      <w:r>
        <w:rPr>
          <w:i/>
          <w:iCs/>
        </w:rPr>
        <w:t>Government) Act 1988</w:t>
      </w:r>
      <w:r>
        <w:t xml:space="preserve"> (Cth). They also make it clear that the Work Health and Safety Act does not confer the power to improperly prohibit a proceeding of the Assembly or any of its committees. </w:t>
      </w:r>
    </w:p>
    <w:p w14:paraId="131AEB8B" w14:textId="77777777" w:rsidR="00A421F6" w:rsidRDefault="00A421F6" w:rsidP="00A421F6">
      <w:pPr>
        <w:pStyle w:val="ListNumber2"/>
      </w:pPr>
      <w:r>
        <w:t>The Committee has no comment on the proposed amendment.</w:t>
      </w:r>
    </w:p>
    <w:p w14:paraId="0ACADD29" w14:textId="77777777" w:rsidR="00A421F6" w:rsidRDefault="00A421F6" w:rsidP="00A421F6">
      <w:pPr>
        <w:pStyle w:val="Heading2"/>
      </w:pPr>
      <w:bookmarkStart w:id="105" w:name="_Toc137582448"/>
      <w:r>
        <w:t>Government Responses – No Comment</w:t>
      </w:r>
      <w:bookmarkEnd w:id="105"/>
    </w:p>
    <w:p w14:paraId="23932113" w14:textId="77777777" w:rsidR="00A421F6" w:rsidRDefault="00A421F6" w:rsidP="00A421F6">
      <w:pPr>
        <w:pStyle w:val="ListNumber2"/>
      </w:pPr>
      <w:r>
        <w:t>The Committee received a response to the Committee’s comments on the following Bill and has no further comments:</w:t>
      </w:r>
    </w:p>
    <w:p w14:paraId="5E688BB3" w14:textId="77777777" w:rsidR="00A421F6" w:rsidRDefault="00A421F6" w:rsidP="00A421F6">
      <w:pPr>
        <w:pStyle w:val="ListNumber3"/>
      </w:pPr>
      <w:r>
        <w:t>Financial Management Amendment Bill 2021 (No 2)</w:t>
      </w:r>
    </w:p>
    <w:p w14:paraId="6BC43BE6" w14:textId="673EC329" w:rsidR="00A421F6" w:rsidRPr="006A5F45" w:rsidRDefault="00A421F6" w:rsidP="00A421F6">
      <w:pPr>
        <w:pStyle w:val="ListNumber2"/>
      </w:pPr>
      <w:r w:rsidRPr="006A5F45">
        <w:t xml:space="preserve">This response can be viewed </w:t>
      </w:r>
      <w:hyperlink r:id="rId18" w:anchor="tab1813250-3id" w:history="1">
        <w:r w:rsidRPr="006A5F45">
          <w:rPr>
            <w:rStyle w:val="Hyperlink"/>
          </w:rPr>
          <w:t>online</w:t>
        </w:r>
      </w:hyperlink>
      <w:r w:rsidRPr="006A5F45">
        <w:t>.</w:t>
      </w:r>
    </w:p>
    <w:p w14:paraId="623AD9A5" w14:textId="77777777" w:rsidR="00A421F6" w:rsidRDefault="00A421F6" w:rsidP="00A421F6">
      <w:pPr>
        <w:pStyle w:val="ListNumber2"/>
      </w:pPr>
      <w:r>
        <w:t xml:space="preserve">The Committee wishes to thank </w:t>
      </w:r>
      <w:bookmarkStart w:id="106" w:name="_Hlk137564288"/>
      <w:r>
        <w:t xml:space="preserve">the Minister for Industrial Relations and Workplace Safety </w:t>
      </w:r>
      <w:bookmarkEnd w:id="106"/>
      <w:r>
        <w:t>for his helpful response.</w:t>
      </w:r>
    </w:p>
    <w:p w14:paraId="06BC68C9" w14:textId="77777777" w:rsidR="00A421F6" w:rsidRDefault="00A421F6" w:rsidP="00A421F6">
      <w:pPr>
        <w:pStyle w:val="ListNumber2"/>
        <w:numPr>
          <w:ilvl w:val="0"/>
          <w:numId w:val="0"/>
        </w:numPr>
        <w:ind w:left="851"/>
      </w:pPr>
    </w:p>
    <w:p w14:paraId="1AB60AE5" w14:textId="77777777" w:rsidR="009B1965" w:rsidRDefault="009B1965">
      <w:pPr>
        <w:spacing w:line="259" w:lineRule="auto"/>
        <w:rPr>
          <w:rFonts w:cstheme="minorHAnsi"/>
          <w:bCs/>
          <w:color w:val="000000" w:themeColor="text1"/>
          <w:szCs w:val="20"/>
        </w:rPr>
      </w:pPr>
      <w:r>
        <w:br w:type="page"/>
      </w:r>
    </w:p>
    <w:p w14:paraId="0E4B08F0" w14:textId="7F8E2CED" w:rsidR="00BF3890" w:rsidRPr="00783B5C" w:rsidRDefault="00E12E39" w:rsidP="00E12E39">
      <w:pPr>
        <w:pStyle w:val="Heading1"/>
      </w:pPr>
      <w:bookmarkStart w:id="107" w:name="_Toc137582449"/>
      <w:r>
        <w:lastRenderedPageBreak/>
        <w:t>Subordinate Legislation</w:t>
      </w:r>
      <w:bookmarkEnd w:id="107"/>
    </w:p>
    <w:p w14:paraId="78427C93" w14:textId="30E19020" w:rsidR="00E12E39" w:rsidRDefault="00E12E39" w:rsidP="00FD01DA">
      <w:pPr>
        <w:pStyle w:val="Heading2"/>
      </w:pPr>
      <w:bookmarkStart w:id="108" w:name="_Toc137582450"/>
      <w:r>
        <w:t>Disallowable Instruments</w:t>
      </w:r>
      <w:r w:rsidR="00323C69">
        <w:t>—</w:t>
      </w:r>
      <w:r>
        <w:t>No comment</w:t>
      </w:r>
      <w:bookmarkEnd w:id="108"/>
    </w:p>
    <w:p w14:paraId="6B6ADDC4" w14:textId="7B1F70E9" w:rsidR="00E12E39" w:rsidRDefault="00E12E39" w:rsidP="00E12E39">
      <w:pPr>
        <w:pStyle w:val="ListNumber2"/>
      </w:pPr>
      <w:r>
        <w:t>The Committee has examined the following disallowable instruments and has no comments on them:</w:t>
      </w:r>
    </w:p>
    <w:p w14:paraId="69076DB4" w14:textId="5BF19341" w:rsidR="00D82F58" w:rsidRPr="00D82F58" w:rsidRDefault="00D82F58" w:rsidP="00D82F58">
      <w:pPr>
        <w:pStyle w:val="ListNumber2"/>
        <w:numPr>
          <w:ilvl w:val="2"/>
          <w:numId w:val="3"/>
        </w:numPr>
        <w:rPr>
          <w:b/>
          <w:bCs w:val="0"/>
          <w:i/>
          <w:iCs/>
        </w:rPr>
      </w:pPr>
      <w:bookmarkStart w:id="109" w:name="_Hlk132969604"/>
      <w:r w:rsidRPr="00D82F58">
        <w:rPr>
          <w:b/>
          <w:bCs w:val="0"/>
        </w:rPr>
        <w:t xml:space="preserve">Disallowable Instrument DI2023-89 </w:t>
      </w:r>
      <w:r w:rsidRPr="00D82F58">
        <w:t xml:space="preserve">being the Cemeteries and Crematoria (Governing Board) Appointment 2023 (No 1) made under section 117 of the </w:t>
      </w:r>
      <w:r w:rsidRPr="00D82F58">
        <w:rPr>
          <w:i/>
          <w:iCs/>
        </w:rPr>
        <w:t>Cemeteries and Crematoria Act 2020</w:t>
      </w:r>
    </w:p>
    <w:p w14:paraId="5D08876D" w14:textId="7AD2D47C" w:rsidR="00D82F58" w:rsidRPr="00D82F58" w:rsidRDefault="00D82F58" w:rsidP="00D82F58">
      <w:pPr>
        <w:pStyle w:val="ListNumber2"/>
        <w:numPr>
          <w:ilvl w:val="2"/>
          <w:numId w:val="3"/>
        </w:numPr>
        <w:rPr>
          <w:i/>
          <w:iCs/>
        </w:rPr>
      </w:pPr>
      <w:r w:rsidRPr="00D82F58">
        <w:rPr>
          <w:b/>
          <w:bCs w:val="0"/>
        </w:rPr>
        <w:t xml:space="preserve">Disallowable Instrument DI2023-90 </w:t>
      </w:r>
      <w:r w:rsidRPr="00D82F58">
        <w:t xml:space="preserve">being the Cemeteries and Crematoria (Governing Board) Appointment 2023 (No 2) made under section 117 of the </w:t>
      </w:r>
      <w:r w:rsidRPr="00D82F58">
        <w:rPr>
          <w:i/>
          <w:iCs/>
        </w:rPr>
        <w:t>Cemeteries and Crematoria Act 2020</w:t>
      </w:r>
    </w:p>
    <w:p w14:paraId="75AF71E7" w14:textId="72A18F76" w:rsidR="00D82F58" w:rsidRPr="00D82F58" w:rsidRDefault="00D82F58" w:rsidP="00D82F58">
      <w:pPr>
        <w:pStyle w:val="ListNumber2"/>
        <w:numPr>
          <w:ilvl w:val="2"/>
          <w:numId w:val="3"/>
        </w:numPr>
        <w:rPr>
          <w:i/>
          <w:iCs/>
        </w:rPr>
      </w:pPr>
      <w:r w:rsidRPr="00D82F58">
        <w:rPr>
          <w:b/>
          <w:bCs w:val="0"/>
        </w:rPr>
        <w:t xml:space="preserve">Disallowable Instrument DI2023-91 </w:t>
      </w:r>
      <w:r w:rsidRPr="00D82F58">
        <w:t xml:space="preserve">being the Official Visitor (Disability Services) Appointment 2023 (No 1) made under section 10(1)(c) (Appointment) of the </w:t>
      </w:r>
      <w:r w:rsidRPr="00D82F58">
        <w:rPr>
          <w:i/>
          <w:iCs/>
        </w:rPr>
        <w:t>Official Visitor Act 2012</w:t>
      </w:r>
    </w:p>
    <w:p w14:paraId="3EDB5272" w14:textId="3EEE886C" w:rsidR="00E12E39" w:rsidRDefault="00E12E39" w:rsidP="00FD01DA">
      <w:pPr>
        <w:pStyle w:val="Heading2"/>
      </w:pPr>
      <w:bookmarkStart w:id="110" w:name="_Toc137582451"/>
      <w:bookmarkEnd w:id="109"/>
      <w:r>
        <w:t>Disallowable Instruments</w:t>
      </w:r>
      <w:r w:rsidR="009823E6">
        <w:t>—</w:t>
      </w:r>
      <w:r>
        <w:t>Comment</w:t>
      </w:r>
      <w:bookmarkEnd w:id="110"/>
    </w:p>
    <w:p w14:paraId="5820EA04" w14:textId="052DC7D8" w:rsidR="00E12E39" w:rsidRDefault="00E12E39" w:rsidP="00E12E39">
      <w:pPr>
        <w:pStyle w:val="ListNumber2"/>
      </w:pPr>
      <w:r>
        <w:t>The Committee has examined the following disallowable instruments and offers these comments on them:</w:t>
      </w:r>
    </w:p>
    <w:p w14:paraId="6512419C" w14:textId="4FECC8B2" w:rsidR="00E11CC8" w:rsidRDefault="0083141E" w:rsidP="00A07946">
      <w:pPr>
        <w:pStyle w:val="Heading3"/>
      </w:pPr>
      <w:bookmarkStart w:id="111" w:name="_Hlk118033655"/>
      <w:bookmarkStart w:id="112" w:name="_Toc137582452"/>
      <w:r w:rsidRPr="0083141E">
        <w:t>No Human Rights Issues</w:t>
      </w:r>
      <w:bookmarkEnd w:id="111"/>
      <w:bookmarkEnd w:id="112"/>
    </w:p>
    <w:p w14:paraId="6807C7D6" w14:textId="19F08E70" w:rsidR="00FD3EE8" w:rsidRPr="00FD3EE8" w:rsidRDefault="00FD3EE8" w:rsidP="00B170F4">
      <w:pPr>
        <w:pStyle w:val="ListNumber2"/>
        <w:numPr>
          <w:ilvl w:val="2"/>
          <w:numId w:val="3"/>
        </w:numPr>
      </w:pPr>
      <w:r w:rsidRPr="00FD3EE8">
        <w:rPr>
          <w:b/>
          <w:bCs w:val="0"/>
        </w:rPr>
        <w:t xml:space="preserve">Disallowable Instrument DI2023-95 </w:t>
      </w:r>
      <w:r w:rsidRPr="00FD3EE8">
        <w:t xml:space="preserve">being the Waste Management and Resource Recovery (Processing Refund Protocol) Determination 2023 made under section 64L of the </w:t>
      </w:r>
      <w:r w:rsidRPr="00FD3EE8">
        <w:rPr>
          <w:i/>
          <w:iCs/>
        </w:rPr>
        <w:t>Waste Management and Resource Recovery Act 2016</w:t>
      </w:r>
    </w:p>
    <w:p w14:paraId="63F43689" w14:textId="77777777" w:rsidR="00FD3EE8" w:rsidRDefault="00FD3EE8" w:rsidP="005D5C25">
      <w:pPr>
        <w:pStyle w:val="ListNumber2"/>
      </w:pPr>
      <w:r w:rsidRPr="00FD3EE8">
        <w:t xml:space="preserve">This instrument determines a Processing Refund Protocol, for section 64L of the </w:t>
      </w:r>
      <w:r w:rsidRPr="00FD3EE8">
        <w:rPr>
          <w:i/>
          <w:iCs/>
        </w:rPr>
        <w:t>Waste Management and Resource Recovery Act 2016</w:t>
      </w:r>
      <w:r w:rsidRPr="00FD3EE8">
        <w:t>.  The purpose a Processing Refund Protocol is to ‘determine a way to work out the processing refund payable to the material recovery facility operator.’  The instrument relates to the container deposit scheme.  A material recovery facility operator is defined in section 64B of the Act as a waste management business that processes waste collected as part of a waste collection service and holds a waste facility licence allowing the processing of waste (otherwise than by thermal treatment) at a waste facility.</w:t>
      </w:r>
    </w:p>
    <w:p w14:paraId="3329115C" w14:textId="2F8232CD" w:rsidR="00FD3EE8" w:rsidRDefault="00FD3EE8" w:rsidP="005D5C25">
      <w:pPr>
        <w:pStyle w:val="ListNumber2"/>
      </w:pPr>
      <w:r w:rsidRPr="00FD3EE8">
        <w:t>The instrument revokes and re-makes an earlier instrument (DI2022-266).  The changes made to the previous instrument are detailed in the explanatory statement for the instrument, which also offers the following explanation for why the changes are required:</w:t>
      </w:r>
    </w:p>
    <w:p w14:paraId="30E39FFD" w14:textId="34002250" w:rsidR="00FD3EE8" w:rsidRPr="00FD3EE8" w:rsidRDefault="00FD3EE8" w:rsidP="00FD3EE8">
      <w:pPr>
        <w:pStyle w:val="Quote"/>
        <w:rPr>
          <w:sz w:val="22"/>
          <w:szCs w:val="22"/>
        </w:rPr>
      </w:pPr>
      <w:r w:rsidRPr="00FD3EE8">
        <w:rPr>
          <w:sz w:val="22"/>
          <w:szCs w:val="22"/>
        </w:rPr>
        <w:t xml:space="preserve">The </w:t>
      </w:r>
      <w:r w:rsidRPr="00FD3EE8">
        <w:rPr>
          <w:i/>
          <w:iCs/>
          <w:sz w:val="22"/>
          <w:szCs w:val="22"/>
        </w:rPr>
        <w:t>Waste Management and Resource Recovery (Processing Refund Protocol) Determination 2022</w:t>
      </w:r>
      <w:r w:rsidRPr="00FD3EE8">
        <w:rPr>
          <w:sz w:val="22"/>
          <w:szCs w:val="22"/>
        </w:rPr>
        <w:t xml:space="preserve"> (DI2022-266) commenced on 22 December 2022. Amendments to the Processing Refund Protocol were required due to an incident occurring at the Hume Material Recovery Facility (MRF) deeming the </w:t>
      </w:r>
      <w:r w:rsidRPr="00FD3EE8">
        <w:rPr>
          <w:sz w:val="22"/>
          <w:szCs w:val="22"/>
        </w:rPr>
        <w:lastRenderedPageBreak/>
        <w:t>Hume MRF unable to processes and claim material under the ACT Container Deposit Scheme (CDS) and does not have a prejudicial effect.</w:t>
      </w:r>
    </w:p>
    <w:p w14:paraId="0A6A7006" w14:textId="7068A148" w:rsidR="00B170F4" w:rsidRDefault="00FD3EE8" w:rsidP="005D5C25">
      <w:pPr>
        <w:pStyle w:val="ListNumber2"/>
      </w:pPr>
      <w:r w:rsidRPr="00FD3EE8">
        <w:t>The explanatory statement for the instrument discusses human rights issues:</w:t>
      </w:r>
      <w:r w:rsidR="00B170F4">
        <w:t>:</w:t>
      </w:r>
    </w:p>
    <w:p w14:paraId="29D83E25" w14:textId="77777777" w:rsidR="00FD3EE8" w:rsidRPr="00FD3EE8" w:rsidRDefault="00FD3EE8" w:rsidP="00FD3EE8">
      <w:pPr>
        <w:pStyle w:val="Quote"/>
        <w:rPr>
          <w:b/>
          <w:bCs/>
          <w:sz w:val="22"/>
          <w:szCs w:val="22"/>
        </w:rPr>
      </w:pPr>
      <w:r w:rsidRPr="00FD3EE8">
        <w:rPr>
          <w:b/>
          <w:bCs/>
          <w:sz w:val="22"/>
          <w:szCs w:val="22"/>
        </w:rPr>
        <w:t>Human rights</w:t>
      </w:r>
    </w:p>
    <w:p w14:paraId="755015CB" w14:textId="00EBF563" w:rsidR="00B170F4" w:rsidRPr="00FD3EE8" w:rsidRDefault="00FD3EE8" w:rsidP="00FD3EE8">
      <w:pPr>
        <w:pStyle w:val="Quote"/>
        <w:rPr>
          <w:sz w:val="22"/>
          <w:szCs w:val="22"/>
        </w:rPr>
      </w:pPr>
      <w:r w:rsidRPr="00FD3EE8">
        <w:rPr>
          <w:sz w:val="22"/>
          <w:szCs w:val="22"/>
        </w:rPr>
        <w:t>As a result of the review to this instrument, only changes relevant to the processing of material outside of the ACT have been made and do not have an impact on human rights.</w:t>
      </w:r>
    </w:p>
    <w:p w14:paraId="66278918" w14:textId="31EFEFE5" w:rsidR="00C15DF3" w:rsidRPr="00C15DF3" w:rsidRDefault="00C15DF3" w:rsidP="00C15DF3">
      <w:pPr>
        <w:pStyle w:val="ListNumber2"/>
        <w:rPr>
          <w:b/>
          <w:bCs w:val="0"/>
        </w:rPr>
      </w:pPr>
      <w:r w:rsidRPr="00C15DF3">
        <w:rPr>
          <w:b/>
          <w:bCs w:val="0"/>
        </w:rPr>
        <w:t>The Committee draws the attention of the Legislative Assembly to the discussion of human rights issues in the explanatory statement for th</w:t>
      </w:r>
      <w:r w:rsidR="00FD3EE8">
        <w:rPr>
          <w:b/>
          <w:bCs w:val="0"/>
        </w:rPr>
        <w:t>is</w:t>
      </w:r>
      <w:r w:rsidRPr="00C15DF3">
        <w:rPr>
          <w:b/>
          <w:bCs w:val="0"/>
        </w:rPr>
        <w:t xml:space="preserve"> instrumen</w:t>
      </w:r>
      <w:r w:rsidR="00FD3EE8">
        <w:rPr>
          <w:b/>
          <w:bCs w:val="0"/>
        </w:rPr>
        <w:t>t</w:t>
      </w:r>
      <w:r w:rsidRPr="00C15DF3">
        <w:rPr>
          <w:b/>
          <w:bCs w:val="0"/>
        </w:rPr>
        <w:t>.</w:t>
      </w:r>
    </w:p>
    <w:p w14:paraId="15C33C48" w14:textId="1FC480E5" w:rsidR="00C15DF3" w:rsidRDefault="00C15DF3" w:rsidP="00C15DF3">
      <w:pPr>
        <w:pStyle w:val="ListNumber2"/>
        <w:rPr>
          <w:b/>
          <w:bCs w:val="0"/>
        </w:rPr>
      </w:pPr>
      <w:r w:rsidRPr="00C15DF3">
        <w:rPr>
          <w:b/>
          <w:bCs w:val="0"/>
        </w:rPr>
        <w:t>This comment does not require a response from the Minister.</w:t>
      </w:r>
    </w:p>
    <w:p w14:paraId="25796BE3" w14:textId="65BCA28F" w:rsidR="00FD3EE8" w:rsidRDefault="00FD3EE8" w:rsidP="009B1965">
      <w:pPr>
        <w:pStyle w:val="Heading2"/>
      </w:pPr>
      <w:bookmarkStart w:id="113" w:name="_Toc137582453"/>
      <w:r>
        <w:t>Subordinate Laws – Comment</w:t>
      </w:r>
      <w:bookmarkEnd w:id="113"/>
    </w:p>
    <w:p w14:paraId="0B80E749" w14:textId="20D6332A" w:rsidR="00FD3EE8" w:rsidRDefault="00FD3EE8" w:rsidP="00FD3EE8">
      <w:pPr>
        <w:pStyle w:val="ListNumber2"/>
      </w:pPr>
      <w:r w:rsidRPr="00FD3EE8">
        <w:t>The Committee has examined the following subordinate laws and offers these comments on them:</w:t>
      </w:r>
    </w:p>
    <w:p w14:paraId="547583EF" w14:textId="67F6898C" w:rsidR="004B4A34" w:rsidRDefault="004B4A34" w:rsidP="004B4A34">
      <w:pPr>
        <w:pStyle w:val="Heading3"/>
      </w:pPr>
      <w:bookmarkStart w:id="114" w:name="_Toc137582454"/>
      <w:r w:rsidRPr="004B4A34">
        <w:t>Human Rights Issues</w:t>
      </w:r>
      <w:bookmarkEnd w:id="114"/>
    </w:p>
    <w:p w14:paraId="59C264B3" w14:textId="550CC40A" w:rsidR="00FD3EE8" w:rsidRPr="004B4A34" w:rsidRDefault="00FD3EE8" w:rsidP="00FD3EE8">
      <w:pPr>
        <w:pStyle w:val="ListNumber2"/>
        <w:numPr>
          <w:ilvl w:val="2"/>
          <w:numId w:val="3"/>
        </w:numPr>
        <w:rPr>
          <w:i/>
          <w:iCs/>
        </w:rPr>
      </w:pPr>
      <w:r w:rsidRPr="00FD3EE8">
        <w:rPr>
          <w:b/>
          <w:bCs w:val="0"/>
        </w:rPr>
        <w:t xml:space="preserve">Subordinate Law SL2023-8 </w:t>
      </w:r>
      <w:r w:rsidRPr="00FD3EE8">
        <w:t xml:space="preserve">being the Gambling and Racing Control (Code of Practice) Amendment Regulation 2022 (No 1) made under the </w:t>
      </w:r>
      <w:r w:rsidRPr="004B4A34">
        <w:rPr>
          <w:i/>
          <w:iCs/>
        </w:rPr>
        <w:t>Gambling and Racing Control Act 1999</w:t>
      </w:r>
    </w:p>
    <w:p w14:paraId="119DFF39" w14:textId="77777777" w:rsidR="00FD3EE8" w:rsidRDefault="00FD3EE8" w:rsidP="004B4A34">
      <w:pPr>
        <w:pStyle w:val="ListNumber2"/>
      </w:pPr>
      <w:r>
        <w:t xml:space="preserve">This subordinate law amends the </w:t>
      </w:r>
      <w:r w:rsidRPr="004B4A34">
        <w:rPr>
          <w:i/>
          <w:iCs/>
        </w:rPr>
        <w:t>Gambling and Racing Control (Code of Practice) Regulation 2002</w:t>
      </w:r>
      <w:r>
        <w:t>, (according to the explanatory statement for the subordinate law) ‘to implement the consistent gambling messaging measure and staff training measure in the National Consumer Protection Framework for Online Wagering (NCPF).’  The explanatory statement goes on to state:</w:t>
      </w:r>
    </w:p>
    <w:p w14:paraId="7554D92A" w14:textId="77777777" w:rsidR="00FD3EE8" w:rsidRPr="004B4A34" w:rsidRDefault="00FD3EE8" w:rsidP="004B4A34">
      <w:pPr>
        <w:pStyle w:val="Quote"/>
        <w:rPr>
          <w:sz w:val="22"/>
          <w:szCs w:val="22"/>
        </w:rPr>
      </w:pPr>
      <w:r w:rsidRPr="004B4A34">
        <w:rPr>
          <w:sz w:val="22"/>
          <w:szCs w:val="22"/>
        </w:rPr>
        <w:t>The NCPF provides a nationally consistent framework to minimise gambling harm related to wagering activity. The NCPF was developed in response to the 2015 Review of Illegal Offshore Wagering and consists of 10 consumer protection measures for online wagering. The Commonwealth and all Australian States and Territories participate in the NCPF.</w:t>
      </w:r>
    </w:p>
    <w:p w14:paraId="531C0795" w14:textId="77777777" w:rsidR="00FD3EE8" w:rsidRPr="004B4A34" w:rsidRDefault="00FD3EE8" w:rsidP="004B4A34">
      <w:pPr>
        <w:pStyle w:val="ListNumber2"/>
      </w:pPr>
      <w:r>
        <w:t>The explanatory statement goes on to outline the relevant changes to the NCPF.</w:t>
      </w:r>
    </w:p>
    <w:p w14:paraId="755BCB8C" w14:textId="6A8C9347" w:rsidR="00FD3EE8" w:rsidRDefault="00FD3EE8" w:rsidP="004B4A34">
      <w:pPr>
        <w:pStyle w:val="ListNumber2"/>
      </w:pPr>
      <w:r>
        <w:t>The explanatory statement discusses human rights issues</w:t>
      </w:r>
      <w:r w:rsidR="004B4A34">
        <w:t>:</w:t>
      </w:r>
    </w:p>
    <w:p w14:paraId="5D9CB3B1" w14:textId="77777777" w:rsidR="00FD3EE8" w:rsidRPr="004B4A34" w:rsidRDefault="00FD3EE8" w:rsidP="004B4A34">
      <w:pPr>
        <w:pStyle w:val="Quote"/>
        <w:rPr>
          <w:b/>
          <w:bCs/>
          <w:sz w:val="22"/>
          <w:szCs w:val="22"/>
        </w:rPr>
      </w:pPr>
      <w:r w:rsidRPr="004B4A34">
        <w:rPr>
          <w:b/>
          <w:bCs/>
          <w:sz w:val="22"/>
          <w:szCs w:val="22"/>
        </w:rPr>
        <w:t>HUMAN RIGHTS IMPACTS</w:t>
      </w:r>
    </w:p>
    <w:p w14:paraId="5FA674A0" w14:textId="77777777" w:rsidR="00FD3EE8" w:rsidRPr="004B4A34" w:rsidRDefault="00FD3EE8" w:rsidP="004B4A34">
      <w:pPr>
        <w:pStyle w:val="Quote"/>
        <w:rPr>
          <w:sz w:val="22"/>
          <w:szCs w:val="22"/>
        </w:rPr>
      </w:pPr>
      <w:r w:rsidRPr="004B4A34">
        <w:rPr>
          <w:sz w:val="22"/>
          <w:szCs w:val="22"/>
        </w:rPr>
        <w:t>The Amendment Regulation imposes obligations on Tabcorp ACT (a corporation). Tabcorp ACT is currently the sole online wagering service provider licensed in the ACT.</w:t>
      </w:r>
    </w:p>
    <w:p w14:paraId="0FD50A79" w14:textId="77777777" w:rsidR="00FD3EE8" w:rsidRPr="004B4A34" w:rsidRDefault="00FD3EE8" w:rsidP="004B4A34">
      <w:pPr>
        <w:pStyle w:val="Quote"/>
        <w:rPr>
          <w:sz w:val="22"/>
          <w:szCs w:val="22"/>
        </w:rPr>
      </w:pPr>
      <w:r w:rsidRPr="004B4A34">
        <w:rPr>
          <w:sz w:val="22"/>
          <w:szCs w:val="22"/>
        </w:rPr>
        <w:lastRenderedPageBreak/>
        <w:t xml:space="preserve">Through reducing the risk of gambling harm, the measures included in the Amendment Regulation can be considered to support the right to the protection of the family and children (section 11 of the </w:t>
      </w:r>
      <w:r w:rsidRPr="004B4A34">
        <w:rPr>
          <w:i/>
          <w:iCs/>
          <w:sz w:val="22"/>
          <w:szCs w:val="22"/>
        </w:rPr>
        <w:t>Human Rights Act 2004</w:t>
      </w:r>
      <w:r w:rsidRPr="004B4A34">
        <w:rPr>
          <w:sz w:val="22"/>
          <w:szCs w:val="22"/>
        </w:rPr>
        <w:t xml:space="preserve"> (HRA)).</w:t>
      </w:r>
    </w:p>
    <w:p w14:paraId="7AFF9075" w14:textId="77777777" w:rsidR="00FD3EE8" w:rsidRPr="004B4A34" w:rsidRDefault="00FD3EE8" w:rsidP="004B4A34">
      <w:pPr>
        <w:pStyle w:val="Quote"/>
        <w:rPr>
          <w:b/>
          <w:sz w:val="22"/>
          <w:szCs w:val="22"/>
        </w:rPr>
      </w:pPr>
      <w:r w:rsidRPr="004B4A34">
        <w:rPr>
          <w:b/>
          <w:sz w:val="22"/>
          <w:szCs w:val="22"/>
        </w:rPr>
        <w:t>CONSISTENCY WITH HUMAN RIGHTS</w:t>
      </w:r>
    </w:p>
    <w:p w14:paraId="3955C3CD" w14:textId="77777777" w:rsidR="00FD3EE8" w:rsidRPr="004B4A34" w:rsidRDefault="00FD3EE8" w:rsidP="004B4A34">
      <w:pPr>
        <w:pStyle w:val="Quote"/>
        <w:rPr>
          <w:sz w:val="22"/>
          <w:szCs w:val="22"/>
        </w:rPr>
      </w:pPr>
      <w:r w:rsidRPr="004B4A34">
        <w:rPr>
          <w:sz w:val="22"/>
          <w:szCs w:val="22"/>
        </w:rPr>
        <w:t>International human rights law places obligations on governments to “respect, protect and fulfil” rights. The obligation to respect means governments must ensure its organs and agents do not commit violations themselves; the obligation to protect means governments must protect individuals and groups from having rights interfered with by third parties and punish perpetrators; and the obligation to fulfil means governments must take positive action to facilitate the full enjoyment of rights.</w:t>
      </w:r>
    </w:p>
    <w:p w14:paraId="2A456D82" w14:textId="77777777" w:rsidR="00FD3EE8" w:rsidRPr="004B4A34" w:rsidRDefault="00FD3EE8" w:rsidP="004B4A34">
      <w:pPr>
        <w:pStyle w:val="Quote"/>
        <w:rPr>
          <w:sz w:val="22"/>
          <w:szCs w:val="22"/>
        </w:rPr>
      </w:pPr>
      <w:r w:rsidRPr="004B4A34">
        <w:rPr>
          <w:sz w:val="22"/>
          <w:szCs w:val="22"/>
        </w:rPr>
        <w:t xml:space="preserve">The European Court of Human Rights has considered the positive obligation of governments to uphold rights in depth, noting governments must put in place legislative and administrative frameworks to deter conduct that infringes rights, and to undertake operational measures to protect an individual who is at risk of rights infringement. </w:t>
      </w:r>
    </w:p>
    <w:p w14:paraId="4486EC7E" w14:textId="77777777" w:rsidR="00FD3EE8" w:rsidRPr="004B4A34" w:rsidRDefault="00FD3EE8" w:rsidP="004B4A34">
      <w:pPr>
        <w:pStyle w:val="ListNumber2"/>
        <w:rPr>
          <w:b/>
          <w:bCs w:val="0"/>
        </w:rPr>
      </w:pPr>
      <w:r>
        <w:rPr>
          <w:b/>
          <w:bCs w:val="0"/>
        </w:rPr>
        <w:t>The Committee draws the attention of the Legislative Assembly to the discussion of human rights issues in the explanatory statement for this subordinate law.</w:t>
      </w:r>
    </w:p>
    <w:p w14:paraId="072B7691" w14:textId="77777777" w:rsidR="00FD3EE8" w:rsidRDefault="00FD3EE8" w:rsidP="004B4A34">
      <w:pPr>
        <w:pStyle w:val="ListNumber2"/>
        <w:rPr>
          <w:b/>
          <w:bCs w:val="0"/>
        </w:rPr>
      </w:pPr>
      <w:r>
        <w:rPr>
          <w:b/>
          <w:bCs w:val="0"/>
        </w:rPr>
        <w:t>This comment does not require a response from the Minister.</w:t>
      </w:r>
    </w:p>
    <w:p w14:paraId="0190A9A3" w14:textId="6D7831DE" w:rsidR="00FD3EE8" w:rsidRPr="004B4A34" w:rsidRDefault="004B4A34" w:rsidP="004B4A34">
      <w:pPr>
        <w:pStyle w:val="Heading3"/>
      </w:pPr>
      <w:bookmarkStart w:id="115" w:name="_Toc137582455"/>
      <w:r w:rsidRPr="004B4A34">
        <w:t>Human Rights Issues</w:t>
      </w:r>
      <w:bookmarkEnd w:id="115"/>
    </w:p>
    <w:p w14:paraId="0CDD4B0D" w14:textId="3A6AB5B3" w:rsidR="004B4A34" w:rsidRPr="004B4A34" w:rsidRDefault="004B4A34" w:rsidP="004B4A34">
      <w:pPr>
        <w:pStyle w:val="ListNumber2"/>
        <w:numPr>
          <w:ilvl w:val="2"/>
          <w:numId w:val="3"/>
        </w:numPr>
        <w:rPr>
          <w:b/>
          <w:bCs w:val="0"/>
        </w:rPr>
      </w:pPr>
      <w:r w:rsidRPr="004B4A34">
        <w:rPr>
          <w:b/>
          <w:bCs w:val="0"/>
        </w:rPr>
        <w:t xml:space="preserve">Subordinate Law SL2023-9 </w:t>
      </w:r>
      <w:r w:rsidRPr="004B4A34">
        <w:t xml:space="preserve">being the </w:t>
      </w:r>
      <w:r w:rsidRPr="004B4A34">
        <w:rPr>
          <w:i/>
          <w:iCs/>
        </w:rPr>
        <w:t>Victims of Crime Amendment Regulation 2023 (No 1)</w:t>
      </w:r>
      <w:r w:rsidRPr="004B4A34">
        <w:t xml:space="preserve"> made under the </w:t>
      </w:r>
      <w:r w:rsidRPr="004B4A34">
        <w:rPr>
          <w:i/>
          <w:iCs/>
        </w:rPr>
        <w:t>Victims of Crime Act 1994</w:t>
      </w:r>
    </w:p>
    <w:p w14:paraId="0CB9353A" w14:textId="77777777" w:rsidR="004B4A34" w:rsidRPr="004B4A34" w:rsidRDefault="004B4A34" w:rsidP="004B4A34">
      <w:pPr>
        <w:pStyle w:val="ListNumber2"/>
      </w:pPr>
      <w:r w:rsidRPr="004B4A34">
        <w:t xml:space="preserve">This subordinate law amends the </w:t>
      </w:r>
      <w:r w:rsidRPr="00FA0D75">
        <w:rPr>
          <w:i/>
          <w:iCs/>
        </w:rPr>
        <w:t>Victims of Crime Regulation 2000</w:t>
      </w:r>
      <w:r w:rsidRPr="004B4A34">
        <w:t xml:space="preserve">, (according to the explanatory statement for the subordinate law) ‘by increasing the pool of victims eligible to access support under the Scheme to include family members of victims who have been killed in motor vehicle accidents involving an offence.’  The explanatory statement indicates that it also deletes a duplicate provision in the Victims of Crime Regulation. </w:t>
      </w:r>
    </w:p>
    <w:p w14:paraId="383BA7B8" w14:textId="77777777" w:rsidR="004B4A34" w:rsidRPr="004B4A34" w:rsidRDefault="004B4A34" w:rsidP="004B4A34">
      <w:pPr>
        <w:pStyle w:val="ListNumber2"/>
      </w:pPr>
      <w:r w:rsidRPr="004B4A34">
        <w:t>The explanatory statement discusses human rights issues:</w:t>
      </w:r>
    </w:p>
    <w:p w14:paraId="639E19C7" w14:textId="77777777" w:rsidR="004B4A34" w:rsidRPr="004B4A34" w:rsidRDefault="004B4A34" w:rsidP="004B4A34">
      <w:pPr>
        <w:pStyle w:val="Quote"/>
        <w:rPr>
          <w:b/>
          <w:bCs/>
          <w:sz w:val="22"/>
          <w:szCs w:val="22"/>
        </w:rPr>
      </w:pPr>
      <w:r w:rsidRPr="004B4A34">
        <w:rPr>
          <w:b/>
          <w:bCs/>
          <w:sz w:val="22"/>
          <w:szCs w:val="22"/>
        </w:rPr>
        <w:t>CONSISTENCY WITH HUMAN RIGHTS</w:t>
      </w:r>
    </w:p>
    <w:p w14:paraId="434FE2A0" w14:textId="3D9951B9" w:rsidR="004B4A34" w:rsidRPr="004B4A34" w:rsidRDefault="004B4A34" w:rsidP="004B4A34">
      <w:pPr>
        <w:pStyle w:val="Quote"/>
        <w:rPr>
          <w:bCs/>
          <w:sz w:val="22"/>
          <w:szCs w:val="22"/>
        </w:rPr>
      </w:pPr>
      <w:r w:rsidRPr="004B4A34">
        <w:rPr>
          <w:bCs/>
          <w:sz w:val="22"/>
          <w:szCs w:val="22"/>
        </w:rPr>
        <w:t xml:space="preserve">The [subordinate law] supports the protection of the family and children under section 11 of the </w:t>
      </w:r>
      <w:r w:rsidRPr="004B4A34">
        <w:rPr>
          <w:bCs/>
          <w:i/>
          <w:iCs/>
          <w:sz w:val="22"/>
          <w:szCs w:val="22"/>
        </w:rPr>
        <w:t>Human Rights Act 2004</w:t>
      </w:r>
      <w:r w:rsidRPr="004B4A34">
        <w:rPr>
          <w:bCs/>
          <w:sz w:val="22"/>
          <w:szCs w:val="22"/>
        </w:rPr>
        <w:t xml:space="preserve"> (HR Act) by facilitating access of family members of a victim who has been killed in motor vehicle accidents involving an offence to support and assistance under the Scheme. This includes access to immediate crisis counselling, case coordination and ongoing therapeutic support</w:t>
      </w:r>
      <w:r>
        <w:rPr>
          <w:bCs/>
          <w:sz w:val="22"/>
          <w:szCs w:val="22"/>
        </w:rPr>
        <w:t>.</w:t>
      </w:r>
    </w:p>
    <w:p w14:paraId="6AB5ED36" w14:textId="77777777" w:rsidR="004B4A34" w:rsidRPr="004B4A34" w:rsidRDefault="004B4A34" w:rsidP="004B4A34">
      <w:pPr>
        <w:pStyle w:val="ListNumber2"/>
        <w:rPr>
          <w:b/>
          <w:bCs w:val="0"/>
        </w:rPr>
      </w:pPr>
      <w:r w:rsidRPr="004B4A34">
        <w:rPr>
          <w:b/>
          <w:bCs w:val="0"/>
        </w:rPr>
        <w:lastRenderedPageBreak/>
        <w:t>The Committee draws the attention of the Legislative Assembly to the discussion of human rights issues in the explanatory statement for this subordinate law.</w:t>
      </w:r>
    </w:p>
    <w:p w14:paraId="605A2FB2" w14:textId="77777777" w:rsidR="004B4A34" w:rsidRPr="004B4A34" w:rsidRDefault="004B4A34" w:rsidP="004B4A34">
      <w:pPr>
        <w:pStyle w:val="ListNumber2"/>
        <w:rPr>
          <w:b/>
          <w:bCs w:val="0"/>
        </w:rPr>
      </w:pPr>
      <w:r w:rsidRPr="004B4A34">
        <w:rPr>
          <w:b/>
          <w:bCs w:val="0"/>
        </w:rPr>
        <w:t>This comment does not require a response from the Minister.</w:t>
      </w:r>
    </w:p>
    <w:p w14:paraId="371E0F4E" w14:textId="77777777" w:rsidR="004B4A34" w:rsidRPr="00FD3EE8" w:rsidRDefault="004B4A34" w:rsidP="004B4A34">
      <w:pPr>
        <w:pStyle w:val="ListNumber2"/>
        <w:numPr>
          <w:ilvl w:val="0"/>
          <w:numId w:val="0"/>
        </w:numPr>
        <w:ind w:left="851"/>
      </w:pPr>
    </w:p>
    <w:p w14:paraId="2C6FAD13" w14:textId="211AA72D" w:rsidR="004B4A34" w:rsidRDefault="004B4A34">
      <w:pPr>
        <w:spacing w:line="259" w:lineRule="auto"/>
        <w:rPr>
          <w:rFonts w:ascii="Calibri" w:hAnsi="Calibri" w:cs="Calibri"/>
          <w:b/>
          <w:color w:val="000000" w:themeColor="text1"/>
          <w:szCs w:val="20"/>
          <w:lang w:eastAsia="en-AU"/>
        </w:rPr>
      </w:pPr>
      <w:r>
        <w:rPr>
          <w:rFonts w:ascii="Calibri" w:hAnsi="Calibri" w:cs="Calibri"/>
          <w:b/>
          <w:color w:val="000000" w:themeColor="text1"/>
          <w:szCs w:val="20"/>
          <w:lang w:eastAsia="en-AU"/>
        </w:rPr>
        <w:br w:type="page"/>
      </w:r>
    </w:p>
    <w:p w14:paraId="67960E4A" w14:textId="166DBA7D" w:rsidR="001825E5" w:rsidRDefault="00BF3890" w:rsidP="00E20157">
      <w:pPr>
        <w:pStyle w:val="Heading1"/>
      </w:pPr>
      <w:bookmarkStart w:id="116" w:name="_Toc137582456"/>
      <w:bookmarkEnd w:id="94"/>
      <w:bookmarkEnd w:id="97"/>
      <w:r>
        <w:lastRenderedPageBreak/>
        <w:t>Outstanding re</w:t>
      </w:r>
      <w:r w:rsidR="009306BB">
        <w:t>s</w:t>
      </w:r>
      <w:r>
        <w:t>ponses</w:t>
      </w:r>
      <w:bookmarkEnd w:id="116"/>
    </w:p>
    <w:p w14:paraId="2C2D7D4D" w14:textId="2533C6C5" w:rsidR="00BF3890" w:rsidRPr="00C86F23" w:rsidRDefault="00BF3890" w:rsidP="00FD01DA">
      <w:pPr>
        <w:pStyle w:val="Heading2"/>
      </w:pPr>
      <w:bookmarkStart w:id="117" w:name="_Toc505005688"/>
      <w:bookmarkStart w:id="118" w:name="_Toc505153779"/>
      <w:bookmarkStart w:id="119" w:name="_Toc508283444"/>
      <w:bookmarkStart w:id="120" w:name="_Toc510081804"/>
      <w:bookmarkStart w:id="121" w:name="_Toc511812230"/>
      <w:bookmarkStart w:id="122" w:name="_Toc512240173"/>
      <w:bookmarkStart w:id="123" w:name="_Toc513192173"/>
      <w:bookmarkStart w:id="124" w:name="_Toc514832434"/>
      <w:bookmarkStart w:id="125" w:name="_Toc514837980"/>
      <w:bookmarkStart w:id="126" w:name="_Toc514838144"/>
      <w:bookmarkStart w:id="127" w:name="_Toc514943619"/>
      <w:bookmarkStart w:id="128" w:name="_Toc515352064"/>
      <w:bookmarkStart w:id="129" w:name="_Toc518297261"/>
      <w:bookmarkStart w:id="130" w:name="_Toc519520755"/>
      <w:bookmarkStart w:id="131" w:name="_Toc520188735"/>
      <w:bookmarkStart w:id="132" w:name="_Toc521054338"/>
      <w:bookmarkStart w:id="133" w:name="_Toc521054410"/>
      <w:bookmarkStart w:id="134" w:name="_Toc523814181"/>
      <w:bookmarkStart w:id="135" w:name="_Toc523900477"/>
      <w:bookmarkStart w:id="136" w:name="_Toc526855826"/>
      <w:bookmarkStart w:id="137" w:name="_Toc528155854"/>
      <w:bookmarkStart w:id="138" w:name="_Toc528157213"/>
      <w:bookmarkStart w:id="139" w:name="_Toc528310867"/>
      <w:bookmarkStart w:id="140" w:name="_Toc529974547"/>
      <w:bookmarkStart w:id="141" w:name="_Toc530039442"/>
      <w:bookmarkStart w:id="142" w:name="_Toc536527689"/>
      <w:bookmarkStart w:id="143" w:name="_Toc536527863"/>
      <w:bookmarkStart w:id="144" w:name="_Toc536615405"/>
      <w:bookmarkStart w:id="145" w:name="_Toc172184"/>
      <w:bookmarkStart w:id="146" w:name="_Toc506087"/>
      <w:bookmarkStart w:id="147" w:name="_Toc965832"/>
      <w:bookmarkStart w:id="148" w:name="_Toc6211048"/>
      <w:bookmarkStart w:id="149" w:name="_Toc9500017"/>
      <w:bookmarkStart w:id="150" w:name="_Toc14334625"/>
      <w:bookmarkStart w:id="151" w:name="_Toc14775975"/>
      <w:bookmarkStart w:id="152" w:name="_Toc15285040"/>
      <w:bookmarkStart w:id="153" w:name="_Toc15630677"/>
      <w:bookmarkStart w:id="154" w:name="_Toc18415350"/>
      <w:bookmarkStart w:id="155" w:name="_Toc18487717"/>
      <w:bookmarkStart w:id="156" w:name="_Toc19708407"/>
      <w:bookmarkStart w:id="157" w:name="_Toc20131698"/>
      <w:bookmarkStart w:id="158" w:name="_Toc21595465"/>
      <w:bookmarkStart w:id="159" w:name="_Toc22025468"/>
      <w:bookmarkStart w:id="160" w:name="_Toc24463733"/>
      <w:bookmarkStart w:id="161" w:name="_Toc24617731"/>
      <w:bookmarkStart w:id="162" w:name="_Toc25050804"/>
      <w:bookmarkStart w:id="163" w:name="_Toc31202278"/>
      <w:bookmarkStart w:id="164" w:name="_Toc32390211"/>
      <w:bookmarkStart w:id="165" w:name="_Toc32566855"/>
      <w:bookmarkStart w:id="166" w:name="_Toc35437959"/>
      <w:bookmarkStart w:id="167" w:name="_Toc38270552"/>
      <w:bookmarkStart w:id="168" w:name="_Toc38362407"/>
      <w:bookmarkStart w:id="169" w:name="_Toc38442400"/>
      <w:bookmarkStart w:id="170" w:name="_Toc38976339"/>
      <w:bookmarkStart w:id="171" w:name="_Toc40693261"/>
      <w:bookmarkStart w:id="172" w:name="_Toc41570939"/>
      <w:bookmarkStart w:id="173" w:name="_Toc42875016"/>
      <w:bookmarkStart w:id="174" w:name="_Toc44074228"/>
      <w:bookmarkStart w:id="175" w:name="_Toc44323945"/>
      <w:bookmarkStart w:id="176" w:name="_Toc80613276"/>
      <w:bookmarkStart w:id="177" w:name="_Toc80701782"/>
      <w:bookmarkStart w:id="178" w:name="_Toc83302237"/>
      <w:bookmarkStart w:id="179" w:name="_Toc86229569"/>
      <w:bookmarkStart w:id="180" w:name="_Toc88029471"/>
      <w:bookmarkStart w:id="181" w:name="_Toc137582457"/>
      <w:r w:rsidRPr="00C86F23">
        <w:t>Bills</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14:paraId="33170E65" w14:textId="77777777" w:rsidR="00196FAB" w:rsidRPr="00C86F23" w:rsidRDefault="00196FAB" w:rsidP="00196FAB">
      <w:pPr>
        <w:pStyle w:val="Heading3"/>
      </w:pPr>
      <w:bookmarkStart w:id="182" w:name="_Toc130810366"/>
      <w:bookmarkStart w:id="183" w:name="_Toc137582458"/>
      <w:r w:rsidRPr="00C86F23">
        <w:t>Report 12, dated 1 February 2022</w:t>
      </w:r>
      <w:bookmarkEnd w:id="182"/>
      <w:bookmarkEnd w:id="183"/>
    </w:p>
    <w:p w14:paraId="169001AD" w14:textId="77777777" w:rsidR="00196FAB" w:rsidRPr="00C86F23" w:rsidRDefault="00196FAB" w:rsidP="00196FAB">
      <w:pPr>
        <w:pStyle w:val="Heading4"/>
      </w:pPr>
      <w:r w:rsidRPr="00C86F23">
        <w:t xml:space="preserve">Bills </w:t>
      </w:r>
    </w:p>
    <w:p w14:paraId="2D9CFA2E" w14:textId="77777777" w:rsidR="00196FAB" w:rsidRPr="00C86F23" w:rsidRDefault="00196FAB" w:rsidP="00196FAB">
      <w:pPr>
        <w:pStyle w:val="ListBullet2"/>
        <w:numPr>
          <w:ilvl w:val="0"/>
          <w:numId w:val="6"/>
        </w:numPr>
        <w:spacing w:line="280" w:lineRule="auto"/>
      </w:pPr>
      <w:r w:rsidRPr="00C86F23">
        <w:t>Electoral Amendment Bill 2021</w:t>
      </w:r>
    </w:p>
    <w:p w14:paraId="2F724E60" w14:textId="77777777" w:rsidR="00C86F23" w:rsidRDefault="00C86F23" w:rsidP="009B1965">
      <w:pPr>
        <w:pStyle w:val="Heading3"/>
        <w:spacing w:before="240"/>
      </w:pPr>
      <w:bookmarkStart w:id="184" w:name="_Toc137582459"/>
      <w:r>
        <w:t>Report 28, dated 3 May 2023</w:t>
      </w:r>
      <w:bookmarkEnd w:id="184"/>
    </w:p>
    <w:p w14:paraId="4F358095" w14:textId="77777777" w:rsidR="00C86F23" w:rsidRDefault="00C86F23" w:rsidP="00C86F23">
      <w:pPr>
        <w:pStyle w:val="Heading4"/>
      </w:pPr>
      <w:r>
        <w:t>Bills</w:t>
      </w:r>
    </w:p>
    <w:p w14:paraId="5292A773" w14:textId="77777777" w:rsidR="00C86F23" w:rsidRDefault="00C86F23" w:rsidP="00C86F23">
      <w:pPr>
        <w:pStyle w:val="ListBullet2"/>
        <w:numPr>
          <w:ilvl w:val="0"/>
          <w:numId w:val="6"/>
        </w:numPr>
        <w:spacing w:line="280" w:lineRule="auto"/>
      </w:pPr>
      <w:r w:rsidRPr="00D57347">
        <w:t>Human Rights Commission Amendment Bill 2023</w:t>
      </w:r>
    </w:p>
    <w:p w14:paraId="5F2EC004" w14:textId="77777777" w:rsidR="00C86F23" w:rsidRPr="00D57347" w:rsidRDefault="00C86F23" w:rsidP="00C86F23">
      <w:pPr>
        <w:pStyle w:val="ListBullet2"/>
        <w:numPr>
          <w:ilvl w:val="0"/>
          <w:numId w:val="6"/>
        </w:numPr>
        <w:spacing w:line="280" w:lineRule="auto"/>
      </w:pPr>
      <w:r>
        <w:t>Modern Slavery Legislation Amendment Bill 2023</w:t>
      </w:r>
    </w:p>
    <w:p w14:paraId="1B03F0A5" w14:textId="77777777" w:rsidR="00A30D50" w:rsidRDefault="00A30D50" w:rsidP="009B1965">
      <w:pPr>
        <w:pStyle w:val="Heading3"/>
        <w:spacing w:before="240"/>
      </w:pPr>
      <w:bookmarkStart w:id="185" w:name="_Toc137582460"/>
      <w:r>
        <w:t>Report 29, dated 23 May 2023</w:t>
      </w:r>
      <w:bookmarkEnd w:id="185"/>
    </w:p>
    <w:p w14:paraId="0133B82C" w14:textId="77777777" w:rsidR="00A30D50" w:rsidRDefault="00A30D50" w:rsidP="00A30D50">
      <w:pPr>
        <w:pStyle w:val="Heading4"/>
      </w:pPr>
      <w:r>
        <w:t>Bills</w:t>
      </w:r>
    </w:p>
    <w:p w14:paraId="382D1560" w14:textId="77777777" w:rsidR="00A30D50" w:rsidRDefault="00A30D50" w:rsidP="00A30D50">
      <w:pPr>
        <w:pStyle w:val="ListBullet2"/>
        <w:numPr>
          <w:ilvl w:val="0"/>
          <w:numId w:val="6"/>
        </w:numPr>
        <w:spacing w:line="280" w:lineRule="auto"/>
      </w:pPr>
      <w:r>
        <w:t>Biosecurity</w:t>
      </w:r>
      <w:r w:rsidRPr="00D57347">
        <w:t xml:space="preserve"> Bill 2023</w:t>
      </w:r>
    </w:p>
    <w:p w14:paraId="0BC7CA8C" w14:textId="77777777" w:rsidR="00A30D50" w:rsidRDefault="00A30D50" w:rsidP="00A30D50">
      <w:pPr>
        <w:pStyle w:val="ListBullet2"/>
        <w:numPr>
          <w:ilvl w:val="0"/>
          <w:numId w:val="6"/>
        </w:numPr>
        <w:spacing w:line="280" w:lineRule="auto"/>
      </w:pPr>
      <w:r>
        <w:t>Justice (Age of Criminal Responsibility) Legislation Amendment Bill 2023</w:t>
      </w:r>
    </w:p>
    <w:p w14:paraId="679974F4" w14:textId="3C959282" w:rsidR="00EB3179" w:rsidRDefault="00EB3179" w:rsidP="00BF3890"/>
    <w:p w14:paraId="06511F62" w14:textId="79FBD518" w:rsidR="00186961" w:rsidRDefault="00186961" w:rsidP="00186961"/>
    <w:p w14:paraId="4D2B0383" w14:textId="301558D7" w:rsidR="00BA3F12" w:rsidRDefault="00BA3F12" w:rsidP="00186961"/>
    <w:p w14:paraId="3DFDED66" w14:textId="6C6814F4" w:rsidR="00C72ADD" w:rsidRDefault="00F61391" w:rsidP="00186961">
      <w:r>
        <w:rPr>
          <w:noProof/>
        </w:rPr>
        <w:drawing>
          <wp:inline distT="0" distB="0" distL="0" distR="0" wp14:anchorId="56729438" wp14:editId="10498029">
            <wp:extent cx="2050530" cy="586596"/>
            <wp:effectExtent l="0" t="0" r="698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06255" cy="602537"/>
                    </a:xfrm>
                    <a:prstGeom prst="rect">
                      <a:avLst/>
                    </a:prstGeom>
                    <a:noFill/>
                    <a:ln>
                      <a:noFill/>
                    </a:ln>
                  </pic:spPr>
                </pic:pic>
              </a:graphicData>
            </a:graphic>
          </wp:inline>
        </w:drawing>
      </w:r>
    </w:p>
    <w:p w14:paraId="712DA088" w14:textId="77777777" w:rsidR="00186961" w:rsidRDefault="00186961" w:rsidP="00186961">
      <w:pPr>
        <w:spacing w:after="0" w:line="240" w:lineRule="auto"/>
      </w:pPr>
      <w:r>
        <w:t xml:space="preserve">Peter Cain MLA </w:t>
      </w:r>
    </w:p>
    <w:p w14:paraId="327ABB7E" w14:textId="77777777" w:rsidR="00F61391" w:rsidRDefault="00186961" w:rsidP="00F61391">
      <w:pPr>
        <w:spacing w:after="0" w:line="240" w:lineRule="auto"/>
      </w:pPr>
      <w:r>
        <w:t xml:space="preserve">Chair </w:t>
      </w:r>
    </w:p>
    <w:p w14:paraId="1F9D3E0E" w14:textId="082A6C82" w:rsidR="001D2063" w:rsidRPr="00EB3179" w:rsidRDefault="00F61391" w:rsidP="00F61391">
      <w:pPr>
        <w:spacing w:after="0" w:line="240" w:lineRule="auto"/>
      </w:pPr>
      <w:r>
        <w:t>20</w:t>
      </w:r>
      <w:r w:rsidR="009306BB">
        <w:t xml:space="preserve"> </w:t>
      </w:r>
      <w:r w:rsidR="00A30D50">
        <w:t>June</w:t>
      </w:r>
      <w:r w:rsidR="00186961">
        <w:t xml:space="preserve"> 202</w:t>
      </w:r>
      <w:r w:rsidR="00684FCA">
        <w:t>3</w:t>
      </w:r>
    </w:p>
    <w:sectPr w:rsidR="001D2063" w:rsidRPr="00EB3179" w:rsidSect="00603367">
      <w:footerReference w:type="even" r:id="rId20"/>
      <w:footerReference w:type="default" r:id="rId21"/>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88314" w14:textId="77777777" w:rsidR="00836FFE" w:rsidRDefault="00836FFE" w:rsidP="00D376C4">
      <w:pPr>
        <w:spacing w:after="0" w:line="240" w:lineRule="auto"/>
      </w:pPr>
      <w:r>
        <w:separator/>
      </w:r>
    </w:p>
  </w:endnote>
  <w:endnote w:type="continuationSeparator" w:id="0">
    <w:p w14:paraId="5E9C7E1E" w14:textId="77777777" w:rsidR="00836FFE" w:rsidRDefault="00836FFE"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D302393-916B-4B2F-82AF-FEBF34A0ACE0}"/>
    <w:embedBold r:id="rId2" w:fontKey="{86690905-1B3C-420B-9091-B1EF1ABFC60B}"/>
    <w:embedItalic r:id="rId3" w:fontKey="{6CC6BC2F-C58E-4B86-A559-B5CEDACD8B37}"/>
    <w:embedBoldItalic r:id="rId4" w:fontKey="{B7304DDB-8D59-40EE-A8E1-753654884F7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embedRegular r:id="rId5" w:fontKey="{38AD7F08-5CBC-41D7-9B2E-F807634E33D2}"/>
    <w:embedBold r:id="rId6" w:fontKey="{105D3774-6300-4227-8780-FE482781EA69}"/>
  </w:font>
  <w:font w:name="Montserrat SemiBold">
    <w:panose1 w:val="00000700000000000000"/>
    <w:charset w:val="00"/>
    <w:family w:val="auto"/>
    <w:pitch w:val="variable"/>
    <w:sig w:usb0="2000020F" w:usb1="00000003" w:usb2="00000000" w:usb3="00000000" w:csb0="00000197" w:csb1="00000000"/>
    <w:embedRegular r:id="rId7" w:fontKey="{54721EFC-E696-4A5E-A139-EF59067A03EE}"/>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embedRegular r:id="rId8" w:subsetted="1" w:fontKey="{34D3681E-BCA4-4BB2-8381-9214ABADF5D2}"/>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embedItalic r:id="rId9" w:fontKey="{3F3B5DD3-B266-42CF-BAAF-544EF2B12895}"/>
    <w:embedBoldItalic r:id="rId10" w:fontKey="{95B3DCC5-5B83-425D-87F2-9EE81AEBE58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A57A" w14:textId="33094473" w:rsidR="00836FFE" w:rsidRPr="00EE5B62" w:rsidRDefault="00623507"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00214315">
      <w:rPr>
        <w:rFonts w:ascii="Montserrat SemiBold" w:hAnsi="Montserrat SemiBold" w:cstheme="majorHAnsi"/>
        <w:noProof/>
        <w:color w:val="2F5496"/>
        <w:w w:val="90"/>
        <w:sz w:val="18"/>
        <w:szCs w:val="18"/>
      </w:rPr>
      <w:t>iv</w:t>
    </w:r>
    <w:r w:rsidRPr="00EE5B62">
      <w:rPr>
        <w:rFonts w:ascii="Montserrat SemiBold" w:hAnsi="Montserrat SemiBold" w:cstheme="majorHAnsi"/>
        <w:color w:val="2F5496"/>
        <w:w w:val="90"/>
        <w:sz w:val="18"/>
        <w:szCs w:val="18"/>
      </w:rPr>
      <w:fldChar w:fldCharType="end"/>
    </w:r>
    <w:r w:rsidR="00836FFE" w:rsidRPr="00EE5B62">
      <w:rPr>
        <w:rFonts w:ascii="Montserrat SemiBold" w:hAnsi="Montserrat SemiBold" w:cstheme="majorHAnsi"/>
        <w:color w:val="2F5496"/>
        <w:w w:val="90"/>
        <w:sz w:val="18"/>
        <w:szCs w:val="18"/>
      </w:rPr>
      <w:tab/>
    </w:r>
    <w:r w:rsidR="00836FFE" w:rsidRPr="00EE5B62">
      <w:rPr>
        <w:rFonts w:ascii="Montserrat SemiBold" w:hAnsi="Montserrat SemiBold" w:cstheme="majorHAnsi"/>
        <w:color w:val="2F5496"/>
        <w:w w:val="90"/>
        <w:sz w:val="18"/>
        <w:szCs w:val="18"/>
      </w:rPr>
      <w:fldChar w:fldCharType="begin"/>
    </w:r>
    <w:r w:rsidR="00836FFE" w:rsidRPr="00EE5B62">
      <w:rPr>
        <w:rFonts w:ascii="Montserrat SemiBold" w:hAnsi="Montserrat SemiBold" w:cstheme="majorHAnsi"/>
        <w:color w:val="2F5496"/>
        <w:w w:val="90"/>
        <w:sz w:val="18"/>
        <w:szCs w:val="18"/>
      </w:rPr>
      <w:instrText xml:space="preserve"> STYLEREF  Title  \* MERGEFORMAT </w:instrText>
    </w:r>
    <w:r w:rsidR="00836FFE" w:rsidRPr="00EE5B62">
      <w:rPr>
        <w:rFonts w:ascii="Montserrat SemiBold" w:hAnsi="Montserrat SemiBold" w:cstheme="majorHAnsi"/>
        <w:color w:val="2F5496"/>
        <w:w w:val="90"/>
        <w:sz w:val="18"/>
        <w:szCs w:val="18"/>
      </w:rPr>
      <w:fldChar w:fldCharType="separate"/>
    </w:r>
    <w:r w:rsidR="00F61391">
      <w:rPr>
        <w:rFonts w:ascii="Montserrat SemiBold" w:hAnsi="Montserrat SemiBold" w:cstheme="majorHAnsi"/>
        <w:noProof/>
        <w:color w:val="2F5496"/>
        <w:w w:val="90"/>
        <w:sz w:val="18"/>
        <w:szCs w:val="18"/>
      </w:rPr>
      <w:t>Scrutiny Report 31</w:t>
    </w:r>
    <w:r w:rsidR="00836FFE" w:rsidRPr="00EE5B62">
      <w:rPr>
        <w:rFonts w:ascii="Montserrat SemiBold" w:hAnsi="Montserrat SemiBold" w:cstheme="majorHAnsi"/>
        <w:color w:val="2F5496"/>
        <w:w w:val="9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8B878" w14:textId="25555379"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425F61">
      <w:rPr>
        <w:rFonts w:ascii="Montserrat SemiBold" w:hAnsi="Montserrat SemiBold" w:cstheme="majorHAnsi"/>
        <w:noProof/>
        <w:color w:val="2F5496"/>
        <w:w w:val="90"/>
        <w:sz w:val="18"/>
        <w:szCs w:val="18"/>
      </w:rPr>
      <w:t>Scrutiny Report 29</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578BFCD6"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F61391">
      <w:rPr>
        <w:rFonts w:cstheme="minorHAnsi"/>
        <w:noProof/>
        <w:color w:val="404040" w:themeColor="text1" w:themeTint="BF"/>
      </w:rPr>
      <w:t>Standing Committee on Justice and Community Safety (Legislative Scrutiny Role)</w:t>
    </w:r>
    <w:r w:rsidR="00F61391">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1321233216"/>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6B033186" w:rsidR="00836FFE" w:rsidRPr="00C8358A" w:rsidRDefault="00DF2CD1"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Approved for publication</w:t>
        </w:r>
      </w:p>
    </w:sdtContent>
  </w:sdt>
  <w:p w14:paraId="602D822B" w14:textId="1B7D7A30" w:rsidR="00836FFE" w:rsidRPr="00C8358A" w:rsidRDefault="00836FFE" w:rsidP="00F101AB">
    <w:pPr>
      <w:pStyle w:val="Footer"/>
      <w:tabs>
        <w:tab w:val="clear" w:pos="4513"/>
        <w:tab w:val="clear" w:pos="9026"/>
      </w:tabs>
      <w:rPr>
        <w:rFonts w:cstheme="minorHAnsi"/>
        <w:color w:val="404040" w:themeColor="text1" w:themeTint="BF"/>
      </w:rPr>
    </w:pPr>
  </w:p>
  <w:p w14:paraId="388934F0" w14:textId="126636E1" w:rsidR="00836FFE"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10th Assembly</w:t>
    </w:r>
  </w:p>
  <w:p w14:paraId="765405D7" w14:textId="595A4C5C"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DATE  \@ "MMMM yyyy"  \* MERGEFORMAT </w:instrText>
    </w:r>
    <w:r w:rsidRPr="00C8358A">
      <w:rPr>
        <w:rFonts w:cstheme="minorHAnsi"/>
        <w:color w:val="404040" w:themeColor="text1" w:themeTint="BF"/>
      </w:rPr>
      <w:fldChar w:fldCharType="separate"/>
    </w:r>
    <w:r w:rsidR="00F61391">
      <w:rPr>
        <w:rFonts w:cstheme="minorHAnsi"/>
        <w:noProof/>
        <w:color w:val="404040" w:themeColor="text1" w:themeTint="BF"/>
      </w:rPr>
      <w:t>June 2023</w:t>
    </w:r>
    <w:r w:rsidRPr="00C8358A">
      <w:rPr>
        <w:rFonts w:cstheme="minorHAnsi"/>
        <w:color w:val="404040" w:themeColor="text1" w:themeTint="BF"/>
      </w:rPr>
      <w:fldChar w:fldCharType="end"/>
    </w:r>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59A0D" w14:textId="416FF809" w:rsidR="00603367" w:rsidRPr="007A6EB9" w:rsidRDefault="00603367" w:rsidP="00E12092">
    <w:pPr>
      <w:pStyle w:val="Footer"/>
      <w:tabs>
        <w:tab w:val="clear" w:pos="4513"/>
        <w:tab w:val="clear" w:pos="9026"/>
        <w:tab w:val="right" w:pos="4536"/>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F61391">
      <w:rPr>
        <w:rFonts w:ascii="Montserrat SemiBold" w:hAnsi="Montserrat SemiBold" w:cstheme="majorHAnsi"/>
        <w:noProof/>
        <w:color w:val="2F5496"/>
        <w:w w:val="90"/>
        <w:sz w:val="18"/>
        <w:szCs w:val="18"/>
      </w:rPr>
      <w:t>Scrutiny Report 31</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214315">
      <w:rPr>
        <w:rFonts w:ascii="Montserrat SemiBold" w:hAnsi="Montserrat SemiBold" w:cstheme="majorHAnsi"/>
        <w:noProof/>
        <w:color w:val="2F5496"/>
        <w:w w:val="90"/>
        <w:sz w:val="18"/>
        <w:szCs w:val="18"/>
      </w:rPr>
      <w:t>iii</w:t>
    </w:r>
    <w:r w:rsidR="009F5A83">
      <w:rPr>
        <w:rFonts w:ascii="Montserrat SemiBold" w:hAnsi="Montserrat SemiBold" w:cstheme="majorHAnsi"/>
        <w:color w:val="2F5496"/>
        <w:w w:val="90"/>
        <w:sz w:val="18"/>
        <w:szCs w:val="18"/>
      </w:rPr>
      <w:fldChar w:fldCharType="end"/>
    </w:r>
  </w:p>
  <w:p w14:paraId="3143A310" w14:textId="77777777" w:rsidR="00603367" w:rsidRPr="007A6EB9" w:rsidRDefault="00603367" w:rsidP="009C2830">
    <w:pPr>
      <w:pStyle w:val="Footer"/>
      <w:jc w:val="right"/>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B23A" w14:textId="6F31BE32" w:rsidR="00877A94" w:rsidRPr="00EE5B62" w:rsidRDefault="00877A94" w:rsidP="009C2830">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sidR="001D2063">
      <w:rPr>
        <w:rFonts w:ascii="Montserrat SemiBold" w:hAnsi="Montserrat SemiBold" w:cstheme="majorHAnsi"/>
        <w:noProof/>
        <w:color w:val="2F5496"/>
        <w:w w:val="90"/>
        <w:sz w:val="18"/>
        <w:szCs w:val="18"/>
      </w:rPr>
      <w:t>2</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F61391">
      <w:rPr>
        <w:rFonts w:ascii="Montserrat SemiBold" w:hAnsi="Montserrat SemiBold" w:cstheme="majorHAnsi"/>
        <w:noProof/>
        <w:color w:val="2F5496"/>
        <w:w w:val="90"/>
        <w:sz w:val="18"/>
        <w:szCs w:val="18"/>
      </w:rPr>
      <w:t>Scrutiny Report 31</w:t>
    </w:r>
    <w:r w:rsidRPr="00EE5B62">
      <w:rPr>
        <w:rFonts w:ascii="Montserrat SemiBold" w:hAnsi="Montserrat SemiBold" w:cstheme="majorHAnsi"/>
        <w:color w:val="2F5496"/>
        <w:w w:val="90"/>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73ABD" w14:textId="57096D59" w:rsidR="009F5A83" w:rsidRPr="007A6EB9" w:rsidRDefault="009F5A83"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F61391">
      <w:rPr>
        <w:rFonts w:ascii="Montserrat SemiBold" w:hAnsi="Montserrat SemiBold" w:cstheme="majorHAnsi"/>
        <w:noProof/>
        <w:color w:val="2F5496"/>
        <w:w w:val="90"/>
        <w:sz w:val="18"/>
        <w:szCs w:val="18"/>
      </w:rPr>
      <w:t>Scrutiny Report 31</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001D2063">
      <w:rPr>
        <w:rFonts w:ascii="Montserrat SemiBold" w:hAnsi="Montserrat SemiBold" w:cstheme="majorHAnsi"/>
        <w:noProof/>
        <w:color w:val="2F5496"/>
        <w:w w:val="90"/>
        <w:sz w:val="18"/>
        <w:szCs w:val="18"/>
      </w:rPr>
      <w:t>1</w:t>
    </w:r>
    <w:r w:rsidRPr="007A6EB9">
      <w:rPr>
        <w:rFonts w:ascii="Montserrat SemiBold" w:hAnsi="Montserrat SemiBold" w:cstheme="majorHAnsi"/>
        <w:color w:val="2F5496"/>
        <w:w w:val="90"/>
        <w:sz w:val="18"/>
        <w:szCs w:val="18"/>
      </w:rPr>
      <w:fldChar w:fldCharType="end"/>
    </w:r>
  </w:p>
  <w:p w14:paraId="05954D7D" w14:textId="77777777" w:rsidR="009F5A83" w:rsidRPr="007A6EB9" w:rsidRDefault="009F5A83" w:rsidP="009C2830">
    <w:pPr>
      <w:pStyle w:val="Footer"/>
      <w:jc w:val="righ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877F7" w14:textId="77777777" w:rsidR="00836FFE" w:rsidRDefault="00836FFE" w:rsidP="00D376C4">
      <w:pPr>
        <w:spacing w:after="0" w:line="240" w:lineRule="auto"/>
      </w:pPr>
      <w:r>
        <w:separator/>
      </w:r>
    </w:p>
  </w:footnote>
  <w:footnote w:type="continuationSeparator" w:id="0">
    <w:p w14:paraId="68822C88" w14:textId="77777777" w:rsidR="00836FFE" w:rsidRDefault="00836FFE" w:rsidP="00D376C4">
      <w:pPr>
        <w:spacing w:after="0" w:line="240" w:lineRule="auto"/>
      </w:pPr>
      <w:r>
        <w:continuationSeparator/>
      </w:r>
    </w:p>
  </w:footnote>
  <w:footnote w:id="1">
    <w:p w14:paraId="050C9255" w14:textId="77777777" w:rsidR="00A421F6" w:rsidRDefault="00A421F6" w:rsidP="00A421F6">
      <w:pPr>
        <w:pStyle w:val="FootnoteText"/>
      </w:pPr>
      <w:r>
        <w:rPr>
          <w:rStyle w:val="FootnoteReference"/>
        </w:rPr>
        <w:footnoteRef/>
      </w:r>
      <w:r>
        <w:t xml:space="preserve"> Section 8, </w:t>
      </w:r>
      <w:r>
        <w:rPr>
          <w:rFonts w:ascii="Calibri" w:eastAsia="Calibri" w:hAnsi="Calibri" w:cs="Calibri"/>
          <w:i/>
          <w:iCs/>
          <w:color w:val="000000"/>
          <w:lang w:eastAsia="en-AU"/>
        </w:rPr>
        <w:t>Legislative Assembly (Office of the Legislative Assembly) Act 2012</w:t>
      </w:r>
    </w:p>
  </w:footnote>
  <w:footnote w:id="2">
    <w:p w14:paraId="4E5679E8" w14:textId="77777777" w:rsidR="00A421F6" w:rsidRDefault="00A421F6" w:rsidP="00A421F6">
      <w:pPr>
        <w:pStyle w:val="FootnoteText"/>
      </w:pPr>
      <w:r>
        <w:rPr>
          <w:rStyle w:val="FootnoteReference"/>
        </w:rPr>
        <w:footnoteRef/>
      </w:r>
      <w:r>
        <w:t xml:space="preserve"> Section 7, </w:t>
      </w:r>
      <w:r>
        <w:rPr>
          <w:i/>
          <w:iCs/>
        </w:rPr>
        <w:t>Auditor-General Act 1996</w:t>
      </w:r>
    </w:p>
  </w:footnote>
  <w:footnote w:id="3">
    <w:p w14:paraId="668F8781" w14:textId="77777777" w:rsidR="00A421F6" w:rsidRDefault="00A421F6" w:rsidP="00A421F6">
      <w:pPr>
        <w:pStyle w:val="FootnoteText"/>
      </w:pPr>
      <w:r>
        <w:rPr>
          <w:rStyle w:val="FootnoteReference"/>
        </w:rPr>
        <w:footnoteRef/>
      </w:r>
      <w:r>
        <w:t xml:space="preserve"> Section 22, </w:t>
      </w:r>
      <w:r>
        <w:rPr>
          <w:i/>
          <w:iCs/>
        </w:rPr>
        <w:t>Integrity Commission Act 2018</w:t>
      </w:r>
    </w:p>
  </w:footnote>
  <w:footnote w:id="4">
    <w:p w14:paraId="2B4E51FB" w14:textId="77777777" w:rsidR="00A421F6" w:rsidRDefault="00A421F6" w:rsidP="00A421F6">
      <w:pPr>
        <w:pStyle w:val="FootnoteText"/>
      </w:pPr>
      <w:r>
        <w:rPr>
          <w:rStyle w:val="FootnoteReference"/>
        </w:rPr>
        <w:footnoteRef/>
      </w:r>
      <w:r>
        <w:t xml:space="preserve"> Section 6B, </w:t>
      </w:r>
      <w:r>
        <w:rPr>
          <w:i/>
          <w:iCs/>
        </w:rPr>
        <w:t>Electoral Act 1992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7E832" w14:textId="77777777" w:rsidR="00D82F58" w:rsidRDefault="00D82F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7D183" w14:textId="77777777" w:rsidR="00D82F58" w:rsidRDefault="00D82F5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0464" w14:textId="2D20D4D8" w:rsidR="00836FFE" w:rsidRPr="00C02510" w:rsidRDefault="00836FFE" w:rsidP="008B350E">
    <w:pPr>
      <w:pStyle w:val="Header"/>
      <w:jc w:val="center"/>
      <w:rPr>
        <w:color w:val="1A234C"/>
      </w:rPr>
    </w:pPr>
  </w:p>
  <w:p w14:paraId="67852F50" w14:textId="6D268154" w:rsidR="00836FFE" w:rsidRPr="00917B49" w:rsidRDefault="00836FFE" w:rsidP="00917B49">
    <w:pPr>
      <w:pStyle w:val="Cover-Assemblyname"/>
    </w:pPr>
    <w:r>
      <w:rPr>
        <w:rFonts w:ascii="Arial" w:hAnsi="Arial"/>
        <w:noProof/>
        <w:color w:val="000000" w:themeColor="text1"/>
        <w:lang w:eastAsia="en-AU"/>
      </w:rPr>
      <w:drawing>
        <wp:anchor distT="0" distB="0" distL="114300" distR="114300" simplePos="0" relativeHeight="251659264" behindDoc="1" locked="0" layoutInCell="1" allowOverlap="1" wp14:anchorId="793C53F3" wp14:editId="4AF4A051">
          <wp:simplePos x="0" y="0"/>
          <wp:positionH relativeFrom="margin">
            <wp:align>left</wp:align>
          </wp:positionH>
          <wp:positionV relativeFrom="page">
            <wp:posOffset>853441</wp:posOffset>
          </wp:positionV>
          <wp:extent cx="839349" cy="83820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16"/>
    <w:lvl w:ilvl="0">
      <w:start w:val="1"/>
      <w:numFmt w:val="bullet"/>
      <w:lvlText w:val=""/>
      <w:lvlJc w:val="left"/>
      <w:pPr>
        <w:ind w:left="360" w:hanging="360"/>
      </w:pPr>
      <w:rPr>
        <w:rFonts w:ascii="Symbol" w:hAnsi="Symbol" w:hint="default"/>
        <w:color w:val="2F5496"/>
      </w:rPr>
    </w:lvl>
  </w:abstractNum>
  <w:abstractNum w:abstractNumId="1" w15:restartNumberingAfterBreak="0">
    <w:nsid w:val="03905FCE"/>
    <w:multiLevelType w:val="multilevel"/>
    <w:tmpl w:val="699AC34A"/>
    <w:lvl w:ilvl="0">
      <w:start w:val="1"/>
      <w:numFmt w:val="decimal"/>
      <w:pStyle w:val="Heading1"/>
      <w:lvlText w:val="%1."/>
      <w:lvlJc w:val="left"/>
      <w:pPr>
        <w:ind w:left="851" w:hanging="851"/>
      </w:pPr>
      <w:rPr>
        <w:rFonts w:hint="default"/>
      </w:rPr>
    </w:lvl>
    <w:lvl w:ilvl="1">
      <w:start w:val="1"/>
      <w:numFmt w:val="decimal"/>
      <w:pStyle w:val="ListNumber2"/>
      <w:lvlText w:val="%1.%2."/>
      <w:lvlJc w:val="left"/>
      <w:pPr>
        <w:ind w:left="851" w:hanging="851"/>
      </w:pPr>
      <w:rPr>
        <w:rFonts w:asciiTheme="minorHAnsi" w:hAnsiTheme="minorHAnsi" w:hint="default"/>
        <w:sz w:val="22"/>
      </w:rPr>
    </w:lvl>
    <w:lvl w:ilvl="2">
      <w:start w:val="1"/>
      <w:numFmt w:val="lowerLetter"/>
      <w:pStyle w:val="ListNumber3"/>
      <w:lvlText w:val="%3)"/>
      <w:lvlJc w:val="left"/>
      <w:pPr>
        <w:ind w:left="1418" w:hanging="567"/>
      </w:pPr>
      <w:rPr>
        <w:rFonts w:hint="default"/>
      </w:rPr>
    </w:lvl>
    <w:lvl w:ilvl="3">
      <w:start w:val="1"/>
      <w:numFmt w:val="lowerRoman"/>
      <w:pStyle w:val="ListNumber4"/>
      <w:lvlText w:val="%4)"/>
      <w:lvlJc w:val="left"/>
      <w:pPr>
        <w:ind w:left="1985" w:hanging="567"/>
      </w:pPr>
      <w:rPr>
        <w:rFonts w:hint="default"/>
      </w:rPr>
    </w:lvl>
    <w:lvl w:ilvl="4">
      <w:start w:val="1"/>
      <w:numFmt w:val="decimal"/>
      <w:pStyle w:val="ListNumber5"/>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2"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1715BD3"/>
    <w:multiLevelType w:val="multilevel"/>
    <w:tmpl w:val="44806D12"/>
    <w:lvl w:ilvl="0">
      <w:start w:val="1"/>
      <w:numFmt w:val="bullet"/>
      <w:lvlText w:val=""/>
      <w:lvlJc w:val="left"/>
      <w:pPr>
        <w:ind w:left="851" w:hanging="851"/>
      </w:pPr>
      <w:rPr>
        <w:rFonts w:ascii="Symbol" w:hAnsi="Symbol" w:hint="default"/>
      </w:rPr>
    </w:lvl>
    <w:lvl w:ilvl="1">
      <w:start w:val="1"/>
      <w:numFmt w:val="bullet"/>
      <w:lvlText w:val=""/>
      <w:lvlJc w:val="left"/>
      <w:pPr>
        <w:ind w:left="360" w:hanging="360"/>
      </w:pPr>
      <w:rPr>
        <w:rFonts w:ascii="Symbol" w:hAnsi="Symbol" w:hint="default"/>
      </w:rPr>
    </w:lvl>
    <w:lvl w:ilvl="2">
      <w:start w:val="1"/>
      <w:numFmt w:val="lowerLetter"/>
      <w:lvlText w:val="%3)"/>
      <w:lvlJc w:val="left"/>
      <w:pPr>
        <w:ind w:left="1418" w:hanging="567"/>
      </w:pPr>
      <w:rPr>
        <w:rFonts w:hint="default"/>
      </w:rPr>
    </w:lvl>
    <w:lvl w:ilvl="3">
      <w:start w:val="1"/>
      <w:numFmt w:val="lowerRoman"/>
      <w:lvlText w:val="%4)"/>
      <w:lvlJc w:val="left"/>
      <w:pPr>
        <w:ind w:left="1985" w:hanging="567"/>
      </w:pPr>
      <w:rPr>
        <w:rFonts w:hint="default"/>
      </w:rPr>
    </w:lvl>
    <w:lvl w:ilvl="4">
      <w:start w:val="1"/>
      <w:numFmt w:val="decimal"/>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4" w15:restartNumberingAfterBreak="0">
    <w:nsid w:val="1E445C3A"/>
    <w:multiLevelType w:val="hybridMultilevel"/>
    <w:tmpl w:val="965824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EBA75B3"/>
    <w:multiLevelType w:val="hybridMultilevel"/>
    <w:tmpl w:val="6352A4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0AD4CDA"/>
    <w:multiLevelType w:val="hybridMultilevel"/>
    <w:tmpl w:val="43D0CE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5BD7F31"/>
    <w:multiLevelType w:val="hybridMultilevel"/>
    <w:tmpl w:val="FB023848"/>
    <w:lvl w:ilvl="0" w:tplc="CBA4CEB2">
      <w:start w:val="1"/>
      <w:numFmt w:val="decimal"/>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8" w15:restartNumberingAfterBreak="0">
    <w:nsid w:val="29F675F9"/>
    <w:multiLevelType w:val="hybridMultilevel"/>
    <w:tmpl w:val="CC242506"/>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335872B8"/>
    <w:multiLevelType w:val="hybridMultilevel"/>
    <w:tmpl w:val="39944286"/>
    <w:lvl w:ilvl="0" w:tplc="6DBAF65E">
      <w:start w:val="1"/>
      <w:numFmt w:val="decimal"/>
      <w:pStyle w:val="CS-Paragraphnumbering"/>
      <w:lvlText w:val="%1."/>
      <w:lvlJc w:val="left"/>
      <w:pPr>
        <w:ind w:left="720" w:hanging="360"/>
      </w:pPr>
      <w:rPr>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896092C"/>
    <w:multiLevelType w:val="hybridMultilevel"/>
    <w:tmpl w:val="39EA2174"/>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1" w15:restartNumberingAfterBreak="0">
    <w:nsid w:val="42C94E40"/>
    <w:multiLevelType w:val="hybridMultilevel"/>
    <w:tmpl w:val="AB6CFC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AD5018F"/>
    <w:multiLevelType w:val="multilevel"/>
    <w:tmpl w:val="62107DBC"/>
    <w:lvl w:ilvl="0">
      <w:start w:val="1"/>
      <w:numFmt w:val="bullet"/>
      <w:lvlText w:val=""/>
      <w:lvlJc w:val="left"/>
      <w:pPr>
        <w:ind w:left="851" w:hanging="851"/>
      </w:pPr>
      <w:rPr>
        <w:rFonts w:ascii="Symbol" w:hAnsi="Symbol" w:hint="default"/>
      </w:rPr>
    </w:lvl>
    <w:lvl w:ilvl="1">
      <w:start w:val="1"/>
      <w:numFmt w:val="bullet"/>
      <w:lvlText w:val=""/>
      <w:lvlJc w:val="left"/>
      <w:pPr>
        <w:ind w:left="360" w:hanging="360"/>
      </w:pPr>
      <w:rPr>
        <w:rFonts w:ascii="Symbol" w:hAnsi="Symbol" w:hint="default"/>
      </w:rPr>
    </w:lvl>
    <w:lvl w:ilvl="2">
      <w:start w:val="1"/>
      <w:numFmt w:val="lowerLetter"/>
      <w:lvlText w:val="%3)"/>
      <w:lvlJc w:val="left"/>
      <w:pPr>
        <w:ind w:left="1418" w:hanging="567"/>
      </w:pPr>
    </w:lvl>
    <w:lvl w:ilvl="3">
      <w:start w:val="1"/>
      <w:numFmt w:val="lowerRoman"/>
      <w:lvlText w:val="%4)"/>
      <w:lvlJc w:val="left"/>
      <w:pPr>
        <w:ind w:left="1985" w:hanging="567"/>
      </w:pPr>
    </w:lvl>
    <w:lvl w:ilvl="4">
      <w:start w:val="1"/>
      <w:numFmt w:val="decimal"/>
      <w:lvlText w:val="%5)"/>
      <w:lvlJc w:val="left"/>
      <w:pPr>
        <w:ind w:left="2552" w:hanging="567"/>
      </w:pPr>
    </w:lvl>
    <w:lvl w:ilvl="5">
      <w:start w:val="1"/>
      <w:numFmt w:val="upperLetter"/>
      <w:lvlText w:val="%6)"/>
      <w:lvlJc w:val="left"/>
      <w:pPr>
        <w:ind w:left="3119" w:hanging="567"/>
      </w:pPr>
    </w:lvl>
    <w:lvl w:ilvl="6">
      <w:start w:val="1"/>
      <w:numFmt w:val="upperRoman"/>
      <w:lvlText w:val="%7)"/>
      <w:lvlJc w:val="left"/>
      <w:pPr>
        <w:ind w:left="3686" w:hanging="567"/>
      </w:pPr>
    </w:lvl>
    <w:lvl w:ilvl="7">
      <w:start w:val="1"/>
      <w:numFmt w:val="none"/>
      <w:lvlText w:val=""/>
      <w:lvlJc w:val="left"/>
      <w:pPr>
        <w:ind w:left="1701" w:hanging="1701"/>
      </w:pPr>
    </w:lvl>
    <w:lvl w:ilvl="8">
      <w:start w:val="1"/>
      <w:numFmt w:val="none"/>
      <w:lvlText w:val=""/>
      <w:lvlJc w:val="left"/>
      <w:pPr>
        <w:ind w:left="1701" w:hanging="1701"/>
      </w:pPr>
    </w:lvl>
  </w:abstractNum>
  <w:abstractNum w:abstractNumId="13" w15:restartNumberingAfterBreak="0">
    <w:nsid w:val="5C155AFC"/>
    <w:multiLevelType w:val="multilevel"/>
    <w:tmpl w:val="BB4E128A"/>
    <w:lvl w:ilvl="0">
      <w:start w:val="1"/>
      <w:numFmt w:val="bullet"/>
      <w:lvlText w:val=""/>
      <w:lvlJc w:val="left"/>
      <w:pPr>
        <w:ind w:left="851" w:hanging="851"/>
      </w:pPr>
      <w:rPr>
        <w:rFonts w:ascii="Symbol" w:hAnsi="Symbol" w:hint="default"/>
      </w:rPr>
    </w:lvl>
    <w:lvl w:ilvl="1">
      <w:start w:val="1"/>
      <w:numFmt w:val="bullet"/>
      <w:lvlText w:val=""/>
      <w:lvlJc w:val="left"/>
      <w:pPr>
        <w:ind w:left="360" w:hanging="360"/>
      </w:pPr>
      <w:rPr>
        <w:rFonts w:ascii="Symbol" w:hAnsi="Symbol" w:hint="default"/>
      </w:rPr>
    </w:lvl>
    <w:lvl w:ilvl="2">
      <w:start w:val="1"/>
      <w:numFmt w:val="bullet"/>
      <w:lvlText w:val=""/>
      <w:lvlJc w:val="left"/>
      <w:pPr>
        <w:ind w:left="1211" w:hanging="360"/>
      </w:pPr>
      <w:rPr>
        <w:rFonts w:ascii="Symbol" w:hAnsi="Symbol" w:hint="default"/>
      </w:rPr>
    </w:lvl>
    <w:lvl w:ilvl="3">
      <w:start w:val="1"/>
      <w:numFmt w:val="lowerRoman"/>
      <w:lvlText w:val="%4)"/>
      <w:lvlJc w:val="left"/>
      <w:pPr>
        <w:ind w:left="1985" w:hanging="567"/>
      </w:pPr>
      <w:rPr>
        <w:rFonts w:hint="default"/>
      </w:rPr>
    </w:lvl>
    <w:lvl w:ilvl="4">
      <w:start w:val="1"/>
      <w:numFmt w:val="decimal"/>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4" w15:restartNumberingAfterBreak="0">
    <w:nsid w:val="60266B5E"/>
    <w:multiLevelType w:val="multilevel"/>
    <w:tmpl w:val="F676C4E6"/>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6B6854BC"/>
    <w:multiLevelType w:val="hybridMultilevel"/>
    <w:tmpl w:val="2020C412"/>
    <w:lvl w:ilvl="0" w:tplc="5AC24A6A">
      <w:start w:val="1"/>
      <w:numFmt w:val="decimal"/>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16" w15:restartNumberingAfterBreak="0">
    <w:nsid w:val="70C62DE1"/>
    <w:multiLevelType w:val="hybridMultilevel"/>
    <w:tmpl w:val="BC0CC866"/>
    <w:lvl w:ilvl="0" w:tplc="0C090001">
      <w:start w:val="1"/>
      <w:numFmt w:val="bullet"/>
      <w:lvlText w:val=""/>
      <w:lvlJc w:val="left"/>
      <w:pPr>
        <w:ind w:left="1854" w:hanging="360"/>
      </w:pPr>
      <w:rPr>
        <w:rFonts w:ascii="Symbol" w:hAnsi="Symbol" w:hint="default"/>
      </w:rPr>
    </w:lvl>
    <w:lvl w:ilvl="1" w:tplc="0C090003">
      <w:start w:val="1"/>
      <w:numFmt w:val="bullet"/>
      <w:lvlText w:val="o"/>
      <w:lvlJc w:val="left"/>
      <w:pPr>
        <w:ind w:left="2574" w:hanging="360"/>
      </w:pPr>
      <w:rPr>
        <w:rFonts w:ascii="Courier New" w:hAnsi="Courier New" w:cs="Courier New" w:hint="default"/>
      </w:rPr>
    </w:lvl>
    <w:lvl w:ilvl="2" w:tplc="0C090005">
      <w:start w:val="1"/>
      <w:numFmt w:val="bullet"/>
      <w:lvlText w:val=""/>
      <w:lvlJc w:val="left"/>
      <w:pPr>
        <w:ind w:left="3294" w:hanging="360"/>
      </w:pPr>
      <w:rPr>
        <w:rFonts w:ascii="Wingdings" w:hAnsi="Wingdings" w:hint="default"/>
      </w:rPr>
    </w:lvl>
    <w:lvl w:ilvl="3" w:tplc="0C090001">
      <w:start w:val="1"/>
      <w:numFmt w:val="bullet"/>
      <w:lvlText w:val=""/>
      <w:lvlJc w:val="left"/>
      <w:pPr>
        <w:ind w:left="4014" w:hanging="360"/>
      </w:pPr>
      <w:rPr>
        <w:rFonts w:ascii="Symbol" w:hAnsi="Symbol" w:hint="default"/>
      </w:rPr>
    </w:lvl>
    <w:lvl w:ilvl="4" w:tplc="0C090003">
      <w:start w:val="1"/>
      <w:numFmt w:val="bullet"/>
      <w:lvlText w:val="o"/>
      <w:lvlJc w:val="left"/>
      <w:pPr>
        <w:ind w:left="4734" w:hanging="360"/>
      </w:pPr>
      <w:rPr>
        <w:rFonts w:ascii="Courier New" w:hAnsi="Courier New" w:cs="Courier New" w:hint="default"/>
      </w:rPr>
    </w:lvl>
    <w:lvl w:ilvl="5" w:tplc="0C090005">
      <w:start w:val="1"/>
      <w:numFmt w:val="bullet"/>
      <w:lvlText w:val=""/>
      <w:lvlJc w:val="left"/>
      <w:pPr>
        <w:ind w:left="5454" w:hanging="360"/>
      </w:pPr>
      <w:rPr>
        <w:rFonts w:ascii="Wingdings" w:hAnsi="Wingdings" w:hint="default"/>
      </w:rPr>
    </w:lvl>
    <w:lvl w:ilvl="6" w:tplc="0C090001">
      <w:start w:val="1"/>
      <w:numFmt w:val="bullet"/>
      <w:lvlText w:val=""/>
      <w:lvlJc w:val="left"/>
      <w:pPr>
        <w:ind w:left="6174" w:hanging="360"/>
      </w:pPr>
      <w:rPr>
        <w:rFonts w:ascii="Symbol" w:hAnsi="Symbol" w:hint="default"/>
      </w:rPr>
    </w:lvl>
    <w:lvl w:ilvl="7" w:tplc="0C090003">
      <w:start w:val="1"/>
      <w:numFmt w:val="bullet"/>
      <w:lvlText w:val="o"/>
      <w:lvlJc w:val="left"/>
      <w:pPr>
        <w:ind w:left="6894" w:hanging="360"/>
      </w:pPr>
      <w:rPr>
        <w:rFonts w:ascii="Courier New" w:hAnsi="Courier New" w:cs="Courier New" w:hint="default"/>
      </w:rPr>
    </w:lvl>
    <w:lvl w:ilvl="8" w:tplc="0C090005">
      <w:start w:val="1"/>
      <w:numFmt w:val="bullet"/>
      <w:lvlText w:val=""/>
      <w:lvlJc w:val="left"/>
      <w:pPr>
        <w:ind w:left="7614" w:hanging="360"/>
      </w:pPr>
      <w:rPr>
        <w:rFonts w:ascii="Wingdings" w:hAnsi="Wingdings" w:hint="default"/>
      </w:rPr>
    </w:lvl>
  </w:abstractNum>
  <w:num w:numId="1" w16cid:durableId="967861297">
    <w:abstractNumId w:val="1"/>
  </w:num>
  <w:num w:numId="2" w16cid:durableId="404229888">
    <w:abstractNumId w:val="11"/>
  </w:num>
  <w:num w:numId="3" w16cid:durableId="1209992874">
    <w:abstractNumId w:val="13"/>
  </w:num>
  <w:num w:numId="4" w16cid:durableId="468671968">
    <w:abstractNumId w:val="4"/>
  </w:num>
  <w:num w:numId="5" w16cid:durableId="1935699779">
    <w:abstractNumId w:val="6"/>
  </w:num>
  <w:num w:numId="6" w16cid:durableId="1991590714">
    <w:abstractNumId w:val="8"/>
  </w:num>
  <w:num w:numId="7" w16cid:durableId="417486762">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16817829">
    <w:abstractNumId w:val="5"/>
  </w:num>
  <w:num w:numId="9" w16cid:durableId="1389957681">
    <w:abstractNumId w:val="12"/>
  </w:num>
  <w:num w:numId="10" w16cid:durableId="498693074">
    <w:abstractNumId w:val="3"/>
  </w:num>
  <w:num w:numId="11" w16cid:durableId="165579385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48273214">
    <w:abstractNumId w:val="9"/>
  </w:num>
  <w:num w:numId="13" w16cid:durableId="237638333">
    <w:abstractNumId w:val="1"/>
  </w:num>
  <w:num w:numId="14" w16cid:durableId="1323007012">
    <w:abstractNumId w:val="1"/>
  </w:num>
  <w:num w:numId="15" w16cid:durableId="390035667">
    <w:abstractNumId w:val="1"/>
  </w:num>
  <w:num w:numId="16" w16cid:durableId="930773291">
    <w:abstractNumId w:val="1"/>
  </w:num>
  <w:num w:numId="17" w16cid:durableId="119691845">
    <w:abstractNumId w:val="1"/>
  </w:num>
  <w:num w:numId="18" w16cid:durableId="1539077652">
    <w:abstractNumId w:val="1"/>
  </w:num>
  <w:num w:numId="19" w16cid:durableId="870842378">
    <w:abstractNumId w:val="1"/>
  </w:num>
  <w:num w:numId="20" w16cid:durableId="1687634903">
    <w:abstractNumId w:val="1"/>
  </w:num>
  <w:num w:numId="21" w16cid:durableId="1425567729">
    <w:abstractNumId w:val="1"/>
  </w:num>
  <w:num w:numId="22" w16cid:durableId="1290165982">
    <w:abstractNumId w:val="1"/>
  </w:num>
  <w:num w:numId="23" w16cid:durableId="2013481572">
    <w:abstractNumId w:val="0"/>
  </w:num>
  <w:num w:numId="24" w16cid:durableId="328867211">
    <w:abstractNumId w:val="15"/>
  </w:num>
  <w:num w:numId="25" w16cid:durableId="23291419">
    <w:abstractNumId w:val="1"/>
  </w:num>
  <w:num w:numId="26" w16cid:durableId="1022589855">
    <w:abstractNumId w:val="1"/>
  </w:num>
  <w:num w:numId="27" w16cid:durableId="411896627">
    <w:abstractNumId w:val="1"/>
  </w:num>
  <w:num w:numId="28" w16cid:durableId="1141576083">
    <w:abstractNumId w:val="7"/>
  </w:num>
  <w:num w:numId="29" w16cid:durableId="1180850453">
    <w:abstractNumId w:val="1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37511864">
    <w:abstractNumId w:val="1"/>
  </w:num>
  <w:num w:numId="31" w16cid:durableId="1548369622">
    <w:abstractNumId w:val="16"/>
  </w:num>
  <w:num w:numId="32" w16cid:durableId="1349680584">
    <w:abstractNumId w:val="10"/>
  </w:num>
  <w:num w:numId="33" w16cid:durableId="947002704">
    <w:abstractNumId w:val="1"/>
  </w:num>
  <w:num w:numId="34" w16cid:durableId="666204180">
    <w:abstractNumId w:val="1"/>
  </w:num>
  <w:num w:numId="35" w16cid:durableId="1708869834">
    <w:abstractNumId w:val="1"/>
  </w:num>
  <w:num w:numId="36" w16cid:durableId="631787211">
    <w:abstractNumId w:val="1"/>
  </w:num>
  <w:num w:numId="37" w16cid:durableId="889343405">
    <w:abstractNumId w:val="1"/>
  </w:num>
  <w:num w:numId="38" w16cid:durableId="63338372">
    <w:abstractNumId w:val="1"/>
  </w:num>
  <w:num w:numId="39" w16cid:durableId="1676835100">
    <w:abstractNumId w:val="1"/>
  </w:num>
  <w:num w:numId="40" w16cid:durableId="1052343895">
    <w:abstractNumId w:val="1"/>
  </w:num>
  <w:num w:numId="41" w16cid:durableId="1623531943">
    <w:abstractNumId w:val="1"/>
  </w:num>
  <w:num w:numId="42" w16cid:durableId="1470636802">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saveSubset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9B9"/>
    <w:rsid w:val="00001385"/>
    <w:rsid w:val="00012A01"/>
    <w:rsid w:val="00024F1A"/>
    <w:rsid w:val="00030FBC"/>
    <w:rsid w:val="00034056"/>
    <w:rsid w:val="00047DD3"/>
    <w:rsid w:val="00056855"/>
    <w:rsid w:val="0006752F"/>
    <w:rsid w:val="0007046A"/>
    <w:rsid w:val="00070E76"/>
    <w:rsid w:val="000C6DDC"/>
    <w:rsid w:val="000F42DF"/>
    <w:rsid w:val="00121179"/>
    <w:rsid w:val="00123781"/>
    <w:rsid w:val="00142406"/>
    <w:rsid w:val="0014714E"/>
    <w:rsid w:val="00156E52"/>
    <w:rsid w:val="00172FBB"/>
    <w:rsid w:val="001738A0"/>
    <w:rsid w:val="00173A66"/>
    <w:rsid w:val="0018105F"/>
    <w:rsid w:val="001825E5"/>
    <w:rsid w:val="001846C9"/>
    <w:rsid w:val="0018634C"/>
    <w:rsid w:val="00186961"/>
    <w:rsid w:val="001905E4"/>
    <w:rsid w:val="001929A7"/>
    <w:rsid w:val="0019545D"/>
    <w:rsid w:val="00196AD1"/>
    <w:rsid w:val="00196FAB"/>
    <w:rsid w:val="001A220B"/>
    <w:rsid w:val="001A2EDD"/>
    <w:rsid w:val="001A529E"/>
    <w:rsid w:val="001B13A0"/>
    <w:rsid w:val="001B2507"/>
    <w:rsid w:val="001B2622"/>
    <w:rsid w:val="001B3C02"/>
    <w:rsid w:val="001C13BE"/>
    <w:rsid w:val="001C7708"/>
    <w:rsid w:val="001D10CD"/>
    <w:rsid w:val="001D2063"/>
    <w:rsid w:val="001D22FC"/>
    <w:rsid w:val="001D737A"/>
    <w:rsid w:val="001F30D0"/>
    <w:rsid w:val="00205761"/>
    <w:rsid w:val="002101BE"/>
    <w:rsid w:val="00214315"/>
    <w:rsid w:val="00216BB7"/>
    <w:rsid w:val="0023239C"/>
    <w:rsid w:val="00250DD6"/>
    <w:rsid w:val="002A075F"/>
    <w:rsid w:val="002A0C7F"/>
    <w:rsid w:val="002A33D1"/>
    <w:rsid w:val="002A5B08"/>
    <w:rsid w:val="002B4077"/>
    <w:rsid w:val="002B6F86"/>
    <w:rsid w:val="002C0BBA"/>
    <w:rsid w:val="002E6083"/>
    <w:rsid w:val="0032149C"/>
    <w:rsid w:val="00323C69"/>
    <w:rsid w:val="00344DF6"/>
    <w:rsid w:val="00362801"/>
    <w:rsid w:val="0036775A"/>
    <w:rsid w:val="003824EA"/>
    <w:rsid w:val="00387938"/>
    <w:rsid w:val="00396940"/>
    <w:rsid w:val="003C3CF9"/>
    <w:rsid w:val="003D6126"/>
    <w:rsid w:val="00402758"/>
    <w:rsid w:val="004108F2"/>
    <w:rsid w:val="00425F61"/>
    <w:rsid w:val="004508F1"/>
    <w:rsid w:val="00456DCF"/>
    <w:rsid w:val="0045759B"/>
    <w:rsid w:val="004608D6"/>
    <w:rsid w:val="0046189E"/>
    <w:rsid w:val="00471E8B"/>
    <w:rsid w:val="00483210"/>
    <w:rsid w:val="004B4A34"/>
    <w:rsid w:val="004E40B6"/>
    <w:rsid w:val="004E5149"/>
    <w:rsid w:val="00510D89"/>
    <w:rsid w:val="0051686C"/>
    <w:rsid w:val="00525DDB"/>
    <w:rsid w:val="00525ED8"/>
    <w:rsid w:val="0053759F"/>
    <w:rsid w:val="005622C3"/>
    <w:rsid w:val="005655AC"/>
    <w:rsid w:val="005B1346"/>
    <w:rsid w:val="005D0971"/>
    <w:rsid w:val="005D1067"/>
    <w:rsid w:val="00603039"/>
    <w:rsid w:val="00603367"/>
    <w:rsid w:val="006043AE"/>
    <w:rsid w:val="00623507"/>
    <w:rsid w:val="00624316"/>
    <w:rsid w:val="006323F8"/>
    <w:rsid w:val="0064416A"/>
    <w:rsid w:val="006446CD"/>
    <w:rsid w:val="00647E8B"/>
    <w:rsid w:val="006718E3"/>
    <w:rsid w:val="0068014A"/>
    <w:rsid w:val="00684FCA"/>
    <w:rsid w:val="0068593C"/>
    <w:rsid w:val="006A4F70"/>
    <w:rsid w:val="006A5F45"/>
    <w:rsid w:val="006A7A61"/>
    <w:rsid w:val="006B28A8"/>
    <w:rsid w:val="006C194B"/>
    <w:rsid w:val="006D1243"/>
    <w:rsid w:val="006E1E47"/>
    <w:rsid w:val="006F04A2"/>
    <w:rsid w:val="00700A3A"/>
    <w:rsid w:val="0074595F"/>
    <w:rsid w:val="007469DE"/>
    <w:rsid w:val="00746D7F"/>
    <w:rsid w:val="00751514"/>
    <w:rsid w:val="00751998"/>
    <w:rsid w:val="00757C24"/>
    <w:rsid w:val="00763C40"/>
    <w:rsid w:val="00777CC8"/>
    <w:rsid w:val="0078151A"/>
    <w:rsid w:val="00783B5C"/>
    <w:rsid w:val="00792238"/>
    <w:rsid w:val="00792CC2"/>
    <w:rsid w:val="00792E03"/>
    <w:rsid w:val="007959F7"/>
    <w:rsid w:val="007A6EB9"/>
    <w:rsid w:val="007A7A8B"/>
    <w:rsid w:val="007C1747"/>
    <w:rsid w:val="007C371D"/>
    <w:rsid w:val="007C3F24"/>
    <w:rsid w:val="007F4C62"/>
    <w:rsid w:val="00804756"/>
    <w:rsid w:val="00811FC8"/>
    <w:rsid w:val="0083141E"/>
    <w:rsid w:val="00836FFE"/>
    <w:rsid w:val="008379EB"/>
    <w:rsid w:val="00855AA7"/>
    <w:rsid w:val="00864F2E"/>
    <w:rsid w:val="00867AAF"/>
    <w:rsid w:val="00877A94"/>
    <w:rsid w:val="00894462"/>
    <w:rsid w:val="008A6130"/>
    <w:rsid w:val="008B0877"/>
    <w:rsid w:val="008B350E"/>
    <w:rsid w:val="008B6C91"/>
    <w:rsid w:val="008C6AB7"/>
    <w:rsid w:val="008D72C9"/>
    <w:rsid w:val="008E750D"/>
    <w:rsid w:val="008F6D17"/>
    <w:rsid w:val="00917B49"/>
    <w:rsid w:val="009276CD"/>
    <w:rsid w:val="009306BB"/>
    <w:rsid w:val="009350F2"/>
    <w:rsid w:val="0094145F"/>
    <w:rsid w:val="00956C6E"/>
    <w:rsid w:val="009661FD"/>
    <w:rsid w:val="00976637"/>
    <w:rsid w:val="009823E6"/>
    <w:rsid w:val="00992CD2"/>
    <w:rsid w:val="009A2EDC"/>
    <w:rsid w:val="009B1965"/>
    <w:rsid w:val="009B2BC3"/>
    <w:rsid w:val="009B4EFF"/>
    <w:rsid w:val="009C2830"/>
    <w:rsid w:val="009F3C9C"/>
    <w:rsid w:val="009F40CC"/>
    <w:rsid w:val="009F5A83"/>
    <w:rsid w:val="00A05604"/>
    <w:rsid w:val="00A070D4"/>
    <w:rsid w:val="00A07946"/>
    <w:rsid w:val="00A146A0"/>
    <w:rsid w:val="00A15179"/>
    <w:rsid w:val="00A16FB2"/>
    <w:rsid w:val="00A17F80"/>
    <w:rsid w:val="00A217C6"/>
    <w:rsid w:val="00A23A3E"/>
    <w:rsid w:val="00A30D50"/>
    <w:rsid w:val="00A421F6"/>
    <w:rsid w:val="00A443AB"/>
    <w:rsid w:val="00A52C2C"/>
    <w:rsid w:val="00A67677"/>
    <w:rsid w:val="00A71EFF"/>
    <w:rsid w:val="00A76A87"/>
    <w:rsid w:val="00A80815"/>
    <w:rsid w:val="00AA719E"/>
    <w:rsid w:val="00AB55C7"/>
    <w:rsid w:val="00AD6ED3"/>
    <w:rsid w:val="00AE0EAF"/>
    <w:rsid w:val="00AE6E38"/>
    <w:rsid w:val="00AF7746"/>
    <w:rsid w:val="00B053AB"/>
    <w:rsid w:val="00B170F4"/>
    <w:rsid w:val="00B21A37"/>
    <w:rsid w:val="00B50D75"/>
    <w:rsid w:val="00B658D4"/>
    <w:rsid w:val="00B7541C"/>
    <w:rsid w:val="00B808E4"/>
    <w:rsid w:val="00B949D1"/>
    <w:rsid w:val="00BA3F12"/>
    <w:rsid w:val="00BB1735"/>
    <w:rsid w:val="00BC0651"/>
    <w:rsid w:val="00BC35B6"/>
    <w:rsid w:val="00BC61B9"/>
    <w:rsid w:val="00BD1C7B"/>
    <w:rsid w:val="00BE0AB2"/>
    <w:rsid w:val="00BF3890"/>
    <w:rsid w:val="00BF47BB"/>
    <w:rsid w:val="00C02510"/>
    <w:rsid w:val="00C02A60"/>
    <w:rsid w:val="00C12C84"/>
    <w:rsid w:val="00C15DF3"/>
    <w:rsid w:val="00C16DCB"/>
    <w:rsid w:val="00C21E49"/>
    <w:rsid w:val="00C72ADD"/>
    <w:rsid w:val="00C8358A"/>
    <w:rsid w:val="00C837A0"/>
    <w:rsid w:val="00C86F23"/>
    <w:rsid w:val="00C87BA0"/>
    <w:rsid w:val="00C924CE"/>
    <w:rsid w:val="00C9695F"/>
    <w:rsid w:val="00CB5E57"/>
    <w:rsid w:val="00CC013B"/>
    <w:rsid w:val="00CC4BE7"/>
    <w:rsid w:val="00CD73BC"/>
    <w:rsid w:val="00CE0019"/>
    <w:rsid w:val="00CE44E2"/>
    <w:rsid w:val="00CE7F52"/>
    <w:rsid w:val="00D11F22"/>
    <w:rsid w:val="00D139EE"/>
    <w:rsid w:val="00D23E3A"/>
    <w:rsid w:val="00D3070C"/>
    <w:rsid w:val="00D376C4"/>
    <w:rsid w:val="00D56727"/>
    <w:rsid w:val="00D7159D"/>
    <w:rsid w:val="00D82F58"/>
    <w:rsid w:val="00D97152"/>
    <w:rsid w:val="00DA7289"/>
    <w:rsid w:val="00DD0188"/>
    <w:rsid w:val="00DE56A4"/>
    <w:rsid w:val="00DF2CD1"/>
    <w:rsid w:val="00DF6430"/>
    <w:rsid w:val="00DF689D"/>
    <w:rsid w:val="00E11576"/>
    <w:rsid w:val="00E11CC8"/>
    <w:rsid w:val="00E12092"/>
    <w:rsid w:val="00E12785"/>
    <w:rsid w:val="00E12E39"/>
    <w:rsid w:val="00E16824"/>
    <w:rsid w:val="00E20157"/>
    <w:rsid w:val="00E20929"/>
    <w:rsid w:val="00E26635"/>
    <w:rsid w:val="00E30B82"/>
    <w:rsid w:val="00E81E7D"/>
    <w:rsid w:val="00E84638"/>
    <w:rsid w:val="00E879B9"/>
    <w:rsid w:val="00E93618"/>
    <w:rsid w:val="00E96DA9"/>
    <w:rsid w:val="00EA57EC"/>
    <w:rsid w:val="00EB00DE"/>
    <w:rsid w:val="00EB3179"/>
    <w:rsid w:val="00EB5C39"/>
    <w:rsid w:val="00ED3906"/>
    <w:rsid w:val="00EE5AEE"/>
    <w:rsid w:val="00EE5B62"/>
    <w:rsid w:val="00EF64D1"/>
    <w:rsid w:val="00EF68D7"/>
    <w:rsid w:val="00F06C1C"/>
    <w:rsid w:val="00F077E2"/>
    <w:rsid w:val="00F101AB"/>
    <w:rsid w:val="00F312E9"/>
    <w:rsid w:val="00F4685A"/>
    <w:rsid w:val="00F5432D"/>
    <w:rsid w:val="00F55B41"/>
    <w:rsid w:val="00F61391"/>
    <w:rsid w:val="00F64542"/>
    <w:rsid w:val="00F72960"/>
    <w:rsid w:val="00F746ED"/>
    <w:rsid w:val="00F7656C"/>
    <w:rsid w:val="00F873F4"/>
    <w:rsid w:val="00F9280D"/>
    <w:rsid w:val="00F93BC5"/>
    <w:rsid w:val="00FA0D75"/>
    <w:rsid w:val="00FA2180"/>
    <w:rsid w:val="00FB72F9"/>
    <w:rsid w:val="00FD01DA"/>
    <w:rsid w:val="00FD3EE8"/>
    <w:rsid w:val="00FD5EC1"/>
    <w:rsid w:val="00FE46F2"/>
    <w:rsid w:val="00FF173A"/>
    <w:rsid w:val="00FF2043"/>
    <w:rsid w:val="00FF5B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3906"/>
    <w:pPr>
      <w:spacing w:line="283" w:lineRule="auto"/>
    </w:pPr>
  </w:style>
  <w:style w:type="paragraph" w:styleId="Heading1">
    <w:name w:val="heading 1"/>
    <w:next w:val="ListNumber2"/>
    <w:link w:val="Heading1Char"/>
    <w:uiPriority w:val="9"/>
    <w:qFormat/>
    <w:rsid w:val="009F5A83"/>
    <w:pPr>
      <w:keepNext/>
      <w:keepLines/>
      <w:numPr>
        <w:numId w:val="1"/>
      </w:numPr>
      <w:spacing w:before="240" w:after="240"/>
      <w:outlineLvl w:val="0"/>
    </w:pPr>
    <w:rPr>
      <w:rFonts w:ascii="Montserrat" w:eastAsiaTheme="majorEastAsia" w:hAnsi="Montserrat" w:cstheme="majorBidi"/>
      <w:b/>
      <w:color w:val="1A234C"/>
      <w:w w:val="90"/>
      <w:kern w:val="2"/>
      <w:sz w:val="36"/>
      <w:szCs w:val="32"/>
    </w:rPr>
  </w:style>
  <w:style w:type="paragraph" w:styleId="Heading2">
    <w:name w:val="heading 2"/>
    <w:basedOn w:val="Heading1"/>
    <w:next w:val="ListNumber2"/>
    <w:link w:val="Heading2Char"/>
    <w:autoRedefine/>
    <w:uiPriority w:val="9"/>
    <w:unhideWhenUsed/>
    <w:qFormat/>
    <w:rsid w:val="00FD01DA"/>
    <w:pPr>
      <w:numPr>
        <w:numId w:val="0"/>
      </w:numPr>
      <w:spacing w:after="200"/>
      <w:outlineLvl w:val="1"/>
    </w:pPr>
    <w:rPr>
      <w:color w:val="2F5496"/>
      <w:sz w:val="32"/>
      <w:szCs w:val="26"/>
    </w:rPr>
  </w:style>
  <w:style w:type="paragraph" w:styleId="Heading3">
    <w:name w:val="heading 3"/>
    <w:basedOn w:val="Heading2"/>
    <w:next w:val="ListNumber2"/>
    <w:link w:val="Heading3Char"/>
    <w:uiPriority w:val="9"/>
    <w:unhideWhenUsed/>
    <w:qFormat/>
    <w:rsid w:val="00A23A3E"/>
    <w:pPr>
      <w:spacing w:before="120"/>
      <w:outlineLvl w:val="2"/>
    </w:pPr>
    <w:rPr>
      <w:color w:val="7492CD"/>
      <w:sz w:val="28"/>
      <w:szCs w:val="24"/>
    </w:rPr>
  </w:style>
  <w:style w:type="paragraph" w:styleId="Heading4">
    <w:name w:val="heading 4"/>
    <w:basedOn w:val="Heading3"/>
    <w:next w:val="Normal"/>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8358A"/>
    <w:pPr>
      <w:spacing w:before="4000" w:after="360" w:line="259" w:lineRule="auto"/>
      <w:ind w:right="2790"/>
      <w:contextualSpacing/>
    </w:pPr>
    <w:rPr>
      <w:rFonts w:ascii="Montserrat" w:eastAsiaTheme="majorEastAsia" w:hAnsi="Montserrat" w:cstheme="majorBidi"/>
      <w:b/>
      <w:spacing w:val="-10"/>
      <w:w w:val="90"/>
      <w:kern w:val="28"/>
      <w:sz w:val="58"/>
      <w:szCs w:val="58"/>
    </w:rPr>
  </w:style>
  <w:style w:type="character" w:customStyle="1" w:styleId="TitleChar">
    <w:name w:val="Title Char"/>
    <w:basedOn w:val="DefaultParagraphFont"/>
    <w:link w:val="Title"/>
    <w:uiPriority w:val="10"/>
    <w:rsid w:val="00C8358A"/>
    <w:rPr>
      <w:rFonts w:ascii="Montserrat" w:eastAsiaTheme="majorEastAsia" w:hAnsi="Montserrat" w:cstheme="majorBidi"/>
      <w:b/>
      <w:spacing w:val="-10"/>
      <w:w w:val="90"/>
      <w:kern w:val="28"/>
      <w:sz w:val="58"/>
      <w:szCs w:val="58"/>
    </w:rPr>
  </w:style>
  <w:style w:type="paragraph" w:styleId="Subtitle">
    <w:name w:val="Subtitle"/>
    <w:basedOn w:val="Normal"/>
    <w:next w:val="Normal"/>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
    <w:uiPriority w:val="9"/>
    <w:rsid w:val="00FD01DA"/>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
    <w:next w:val="Normal"/>
    <w:autoRedefine/>
    <w:uiPriority w:val="39"/>
    <w:unhideWhenUsed/>
    <w:rsid w:val="00E30B82"/>
    <w:pPr>
      <w:tabs>
        <w:tab w:val="left" w:pos="425"/>
        <w:tab w:val="right" w:pos="9016"/>
      </w:tabs>
      <w:spacing w:before="160" w:after="60"/>
    </w:pPr>
    <w:rPr>
      <w:rFonts w:ascii="Montserrat" w:hAnsi="Montserrat"/>
      <w:b/>
      <w:bCs/>
      <w:noProof/>
      <w:color w:val="2F5496"/>
      <w:w w:val="90"/>
      <w:sz w:val="23"/>
    </w:rPr>
  </w:style>
  <w:style w:type="paragraph" w:styleId="TOC2">
    <w:name w:val="toc 2"/>
    <w:basedOn w:val="Normal"/>
    <w:next w:val="Normal"/>
    <w:autoRedefine/>
    <w:uiPriority w:val="39"/>
    <w:unhideWhenUsed/>
    <w:rsid w:val="00603039"/>
    <w:pPr>
      <w:tabs>
        <w:tab w:val="right" w:pos="9016"/>
      </w:tabs>
      <w:spacing w:before="60" w:after="60"/>
      <w:ind w:left="426"/>
    </w:pPr>
    <w:rPr>
      <w:noProof/>
    </w:rPr>
  </w:style>
  <w:style w:type="paragraph" w:styleId="TOC3">
    <w:name w:val="toc 3"/>
    <w:basedOn w:val="Normal"/>
    <w:next w:val="Normal"/>
    <w:autoRedefine/>
    <w:uiPriority w:val="39"/>
    <w:unhideWhenUsed/>
    <w:rsid w:val="004E40B6"/>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
    <w:uiPriority w:val="99"/>
    <w:unhideWhenUsed/>
    <w:qFormat/>
    <w:rsid w:val="00A23A3E"/>
    <w:pPr>
      <w:spacing w:after="40"/>
    </w:pPr>
  </w:style>
  <w:style w:type="paragraph" w:styleId="Header">
    <w:name w:val="header"/>
    <w:basedOn w:val="Normal"/>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customStyle="1" w:styleId="UnresolvedMention1">
    <w:name w:val="Unresolved Mention1"/>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
    <w:link w:val="Heading1nonumberChar"/>
    <w:autoRedefine/>
    <w:qFormat/>
    <w:rsid w:val="009F5A83"/>
    <w:pPr>
      <w:numPr>
        <w:numId w:val="0"/>
      </w:numPr>
    </w:pPr>
  </w:style>
  <w:style w:type="character" w:customStyle="1" w:styleId="Heading1nonumberChar">
    <w:name w:val="Heading 1 (no number) Char"/>
    <w:basedOn w:val="Heading1Char"/>
    <w:link w:val="Heading1nonumber"/>
    <w:rsid w:val="00ED3906"/>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A146A0"/>
    <w:pPr>
      <w:spacing w:before="120" w:after="120"/>
      <w:ind w:left="0"/>
      <w:contextualSpacing w:val="0"/>
    </w:pPr>
  </w:style>
  <w:style w:type="paragraph" w:styleId="ListBullet2">
    <w:name w:val="List Bullet 2"/>
    <w:basedOn w:val="ListParagraph"/>
    <w:uiPriority w:val="99"/>
    <w:unhideWhenUsed/>
    <w:rsid w:val="00A146A0"/>
    <w:pPr>
      <w:spacing w:before="120" w:after="120"/>
      <w:ind w:left="0"/>
      <w:contextualSpacing w:val="0"/>
    </w:pPr>
  </w:style>
  <w:style w:type="paragraph" w:styleId="ListBullet3">
    <w:name w:val="List Bullet 3"/>
    <w:basedOn w:val="ListParagraph"/>
    <w:uiPriority w:val="99"/>
    <w:unhideWhenUsed/>
    <w:rsid w:val="00A146A0"/>
    <w:pPr>
      <w:spacing w:before="120" w:after="120"/>
      <w:ind w:left="0"/>
      <w:contextualSpacing w:val="0"/>
    </w:pPr>
  </w:style>
  <w:style w:type="paragraph" w:styleId="ListParagraph">
    <w:name w:val="List Paragraph"/>
    <w:aliases w:val="List Paragraph1,List Paragraph11,Recommendation,Bullet point,L,List Paragraph111,F5 List Paragraph,Dot pt,CV text,Table text,Medium Grid 1 - Accent 21,Numbered Paragraph,List Paragraph2,NFP GP Bulleted List,FooterText,列出段,列出,列,lp1"/>
    <w:basedOn w:val="Normal"/>
    <w:link w:val="ListParagraphChar"/>
    <w:uiPriority w:val="34"/>
    <w:qFormat/>
    <w:rsid w:val="005D0971"/>
    <w:pPr>
      <w:spacing w:after="80"/>
      <w:ind w:left="720"/>
      <w:contextualSpacing/>
    </w:pPr>
  </w:style>
  <w:style w:type="paragraph" w:styleId="ListBullet4">
    <w:name w:val="List Bullet 4"/>
    <w:basedOn w:val="ListParagraph"/>
    <w:uiPriority w:val="99"/>
    <w:unhideWhenUsed/>
    <w:rsid w:val="00A146A0"/>
    <w:pPr>
      <w:spacing w:before="120" w:after="120"/>
      <w:ind w:left="0"/>
      <w:contextualSpacing w:val="0"/>
    </w:pPr>
  </w:style>
  <w:style w:type="paragraph" w:styleId="ListBullet5">
    <w:name w:val="List Bullet 5"/>
    <w:basedOn w:val="ListParagraph"/>
    <w:uiPriority w:val="99"/>
    <w:unhideWhenUsed/>
    <w:rsid w:val="00A146A0"/>
    <w:pPr>
      <w:spacing w:before="120" w:after="120"/>
      <w:ind w:left="0"/>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
    <w:uiPriority w:val="99"/>
    <w:unhideWhenUsed/>
    <w:qFormat/>
    <w:rsid w:val="00DE56A4"/>
    <w:pPr>
      <w:numPr>
        <w:ilvl w:val="1"/>
        <w:numId w:val="1"/>
      </w:num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pPr>
      <w:numPr>
        <w:ilvl w:val="2"/>
      </w:numPr>
    </w:pPr>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1C7708"/>
    <w:pPr>
      <w:adjustRightInd w:val="0"/>
      <w:spacing w:before="80" w:after="80" w:line="240" w:lineRule="auto"/>
    </w:pPr>
    <w:rPr>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2F5496"/>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1C7708"/>
    <w:pPr>
      <w:adjustRightInd w:val="0"/>
      <w:spacing w:before="80" w:after="80" w:line="240" w:lineRule="auto"/>
    </w:pPr>
    <w:rPr>
      <w:rFonts w:ascii="Calibri" w:hAnsi="Calibri" w:cstheme="minorHAnsi"/>
      <w:b/>
      <w:bCs/>
      <w:color w:val="2F5496"/>
      <w:sz w:val="20"/>
      <w:szCs w:val="20"/>
    </w:rPr>
  </w:style>
  <w:style w:type="paragraph" w:customStyle="1" w:styleId="Tablebody">
    <w:name w:val="Table body"/>
    <w:basedOn w:val="ListNumber3"/>
    <w:qFormat/>
    <w:rsid w:val="001C7708"/>
    <w:pPr>
      <w:numPr>
        <w:ilvl w:val="0"/>
        <w:numId w:val="0"/>
      </w:numPr>
      <w:adjustRightInd w:val="0"/>
      <w:spacing w:after="80" w:line="240" w:lineRule="auto"/>
    </w:pPr>
    <w:rPr>
      <w:sz w:val="20"/>
    </w:rPr>
  </w:style>
  <w:style w:type="paragraph" w:styleId="Caption">
    <w:name w:val="caption"/>
    <w:basedOn w:val="Normal"/>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
    <w:rsid w:val="00B7541C"/>
  </w:style>
  <w:style w:type="paragraph" w:customStyle="1" w:styleId="FrontmatterRecommendationlistbody">
    <w:name w:val="Front matter (Recommendation list body)"/>
    <w:basedOn w:val="Normal"/>
    <w:rsid w:val="00976637"/>
    <w:pPr>
      <w:spacing w:before="120" w:after="120" w:line="252" w:lineRule="auto"/>
    </w:pPr>
    <w:rPr>
      <w:color w:val="000000" w:themeColor="text1"/>
    </w:rPr>
  </w:style>
  <w:style w:type="paragraph" w:customStyle="1" w:styleId="Recommendationbody">
    <w:name w:val="Recommendation body"/>
    <w:basedOn w:val="Normal"/>
    <w:next w:val="ListNumber2"/>
    <w:rsid w:val="00B7541C"/>
    <w:pPr>
      <w:spacing w:before="120" w:after="120"/>
    </w:pPr>
  </w:style>
  <w:style w:type="table" w:customStyle="1" w:styleId="Recommendationbox">
    <w:name w:val="Recommendation box"/>
    <w:basedOn w:val="TableNormal"/>
    <w:uiPriority w:val="99"/>
    <w:rsid w:val="009A2EDC"/>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
    <w:link w:val="FootnoteTextChar"/>
    <w:uiPriority w:val="99"/>
    <w:unhideWhenUsed/>
    <w:rsid w:val="00EB3179"/>
    <w:pPr>
      <w:spacing w:after="0" w:line="240" w:lineRule="auto"/>
      <w:ind w:left="142" w:hanging="142"/>
    </w:pPr>
    <w:rPr>
      <w:sz w:val="20"/>
      <w:szCs w:val="20"/>
    </w:rPr>
  </w:style>
  <w:style w:type="character" w:customStyle="1" w:styleId="FootnoteTextChar">
    <w:name w:val="Footnote Text Char"/>
    <w:basedOn w:val="DefaultParagraphFont"/>
    <w:link w:val="FootnoteText"/>
    <w:uiPriority w:val="99"/>
    <w:rsid w:val="00EB3179"/>
    <w:rPr>
      <w:sz w:val="20"/>
      <w:szCs w:val="20"/>
    </w:rPr>
  </w:style>
  <w:style w:type="character" w:styleId="FootnoteReference">
    <w:name w:val="footnote reference"/>
    <w:aliases w:val="Footnote number,Footnotes refss"/>
    <w:basedOn w:val="DefaultParagraphFont"/>
    <w:uiPriority w:val="99"/>
    <w:unhideWhenUsed/>
    <w:rsid w:val="00EB3179"/>
    <w:rPr>
      <w:vertAlign w:val="superscript"/>
    </w:rPr>
  </w:style>
  <w:style w:type="paragraph" w:styleId="List2">
    <w:name w:val="List 2"/>
    <w:basedOn w:val="Normal"/>
    <w:uiPriority w:val="99"/>
    <w:semiHidden/>
    <w:unhideWhenUsed/>
    <w:rsid w:val="001B2622"/>
    <w:pPr>
      <w:ind w:left="566" w:hanging="283"/>
      <w:contextualSpacing/>
    </w:pPr>
  </w:style>
  <w:style w:type="character" w:customStyle="1" w:styleId="ListParagraphChar">
    <w:name w:val="List Paragraph Char"/>
    <w:aliases w:val="List Paragraph1 Char,List Paragraph11 Char,Recommendation Char,Bullet point Char,L Char,List Paragraph111 Char,F5 List Paragraph Char,Dot pt Char,CV text Char,Table text Char,Medium Grid 1 - Accent 21 Char,Numbered Paragraph Char"/>
    <w:link w:val="ListParagraph"/>
    <w:uiPriority w:val="34"/>
    <w:qFormat/>
    <w:locked/>
    <w:rsid w:val="00BF3890"/>
  </w:style>
  <w:style w:type="character" w:styleId="FollowedHyperlink">
    <w:name w:val="FollowedHyperlink"/>
    <w:basedOn w:val="DefaultParagraphFont"/>
    <w:uiPriority w:val="99"/>
    <w:semiHidden/>
    <w:unhideWhenUsed/>
    <w:rsid w:val="00250DD6"/>
    <w:rPr>
      <w:color w:val="954F72" w:themeColor="followedHyperlink"/>
      <w:u w:val="single"/>
    </w:rPr>
  </w:style>
  <w:style w:type="character" w:styleId="UnresolvedMention">
    <w:name w:val="Unresolved Mention"/>
    <w:basedOn w:val="DefaultParagraphFont"/>
    <w:uiPriority w:val="99"/>
    <w:semiHidden/>
    <w:unhideWhenUsed/>
    <w:rsid w:val="00186961"/>
    <w:rPr>
      <w:color w:val="605E5C"/>
      <w:shd w:val="clear" w:color="auto" w:fill="E1DFDD"/>
    </w:rPr>
  </w:style>
  <w:style w:type="paragraph" w:customStyle="1" w:styleId="Bodycopy">
    <w:name w:val="Body copy"/>
    <w:qFormat/>
    <w:rsid w:val="00992CD2"/>
    <w:pPr>
      <w:widowControl w:val="0"/>
      <w:tabs>
        <w:tab w:val="left" w:pos="1276"/>
      </w:tabs>
      <w:spacing w:before="200" w:after="200" w:line="300" w:lineRule="exact"/>
    </w:pPr>
    <w:rPr>
      <w:rFonts w:ascii="Calibri" w:eastAsia="Times New Roman" w:hAnsi="Calibri" w:cs="Calibri"/>
      <w:color w:val="000000"/>
      <w:szCs w:val="20"/>
      <w:lang w:eastAsia="en-AU"/>
    </w:rPr>
  </w:style>
  <w:style w:type="paragraph" w:customStyle="1" w:styleId="Paper">
    <w:name w:val="Paper"/>
    <w:uiPriority w:val="99"/>
    <w:rsid w:val="00C15DF3"/>
    <w:pPr>
      <w:spacing w:after="120" w:line="240" w:lineRule="auto"/>
    </w:pPr>
    <w:rPr>
      <w:rFonts w:ascii="Times New Roman" w:eastAsia="Times New Roman" w:hAnsi="Times New Roman" w:cs="Times New Roman"/>
      <w:sz w:val="24"/>
      <w:szCs w:val="20"/>
    </w:rPr>
  </w:style>
  <w:style w:type="paragraph" w:styleId="NormalWeb">
    <w:name w:val="Normal (Web)"/>
    <w:basedOn w:val="Normal"/>
    <w:uiPriority w:val="99"/>
    <w:unhideWhenUsed/>
    <w:rsid w:val="00C15DF3"/>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styleId="Revision">
    <w:name w:val="Revision"/>
    <w:hidden/>
    <w:uiPriority w:val="99"/>
    <w:semiHidden/>
    <w:rsid w:val="00B808E4"/>
    <w:pPr>
      <w:spacing w:after="0" w:line="240" w:lineRule="auto"/>
    </w:pPr>
  </w:style>
  <w:style w:type="paragraph" w:customStyle="1" w:styleId="CS-Paragraphnumbering">
    <w:name w:val="CS - Paragraph numbering"/>
    <w:basedOn w:val="Normal"/>
    <w:rsid w:val="00A07946"/>
    <w:pPr>
      <w:numPr>
        <w:numId w:val="12"/>
      </w:numPr>
      <w:spacing w:after="120" w:line="276" w:lineRule="auto"/>
      <w:ind w:right="-45"/>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19568">
      <w:bodyDiv w:val="1"/>
      <w:marLeft w:val="0"/>
      <w:marRight w:val="0"/>
      <w:marTop w:val="0"/>
      <w:marBottom w:val="0"/>
      <w:divBdr>
        <w:top w:val="none" w:sz="0" w:space="0" w:color="auto"/>
        <w:left w:val="none" w:sz="0" w:space="0" w:color="auto"/>
        <w:bottom w:val="none" w:sz="0" w:space="0" w:color="auto"/>
        <w:right w:val="none" w:sz="0" w:space="0" w:color="auto"/>
      </w:divBdr>
    </w:div>
    <w:div w:id="94909964">
      <w:bodyDiv w:val="1"/>
      <w:marLeft w:val="0"/>
      <w:marRight w:val="0"/>
      <w:marTop w:val="0"/>
      <w:marBottom w:val="0"/>
      <w:divBdr>
        <w:top w:val="none" w:sz="0" w:space="0" w:color="auto"/>
        <w:left w:val="none" w:sz="0" w:space="0" w:color="auto"/>
        <w:bottom w:val="none" w:sz="0" w:space="0" w:color="auto"/>
        <w:right w:val="none" w:sz="0" w:space="0" w:color="auto"/>
      </w:divBdr>
    </w:div>
    <w:div w:id="127091435">
      <w:bodyDiv w:val="1"/>
      <w:marLeft w:val="0"/>
      <w:marRight w:val="0"/>
      <w:marTop w:val="0"/>
      <w:marBottom w:val="0"/>
      <w:divBdr>
        <w:top w:val="none" w:sz="0" w:space="0" w:color="auto"/>
        <w:left w:val="none" w:sz="0" w:space="0" w:color="auto"/>
        <w:bottom w:val="none" w:sz="0" w:space="0" w:color="auto"/>
        <w:right w:val="none" w:sz="0" w:space="0" w:color="auto"/>
      </w:divBdr>
    </w:div>
    <w:div w:id="145822895">
      <w:bodyDiv w:val="1"/>
      <w:marLeft w:val="0"/>
      <w:marRight w:val="0"/>
      <w:marTop w:val="0"/>
      <w:marBottom w:val="0"/>
      <w:divBdr>
        <w:top w:val="none" w:sz="0" w:space="0" w:color="auto"/>
        <w:left w:val="none" w:sz="0" w:space="0" w:color="auto"/>
        <w:bottom w:val="none" w:sz="0" w:space="0" w:color="auto"/>
        <w:right w:val="none" w:sz="0" w:space="0" w:color="auto"/>
      </w:divBdr>
    </w:div>
    <w:div w:id="152141371">
      <w:bodyDiv w:val="1"/>
      <w:marLeft w:val="0"/>
      <w:marRight w:val="0"/>
      <w:marTop w:val="0"/>
      <w:marBottom w:val="0"/>
      <w:divBdr>
        <w:top w:val="none" w:sz="0" w:space="0" w:color="auto"/>
        <w:left w:val="none" w:sz="0" w:space="0" w:color="auto"/>
        <w:bottom w:val="none" w:sz="0" w:space="0" w:color="auto"/>
        <w:right w:val="none" w:sz="0" w:space="0" w:color="auto"/>
      </w:divBdr>
    </w:div>
    <w:div w:id="179856032">
      <w:bodyDiv w:val="1"/>
      <w:marLeft w:val="0"/>
      <w:marRight w:val="0"/>
      <w:marTop w:val="0"/>
      <w:marBottom w:val="0"/>
      <w:divBdr>
        <w:top w:val="none" w:sz="0" w:space="0" w:color="auto"/>
        <w:left w:val="none" w:sz="0" w:space="0" w:color="auto"/>
        <w:bottom w:val="none" w:sz="0" w:space="0" w:color="auto"/>
        <w:right w:val="none" w:sz="0" w:space="0" w:color="auto"/>
      </w:divBdr>
    </w:div>
    <w:div w:id="182135749">
      <w:bodyDiv w:val="1"/>
      <w:marLeft w:val="0"/>
      <w:marRight w:val="0"/>
      <w:marTop w:val="0"/>
      <w:marBottom w:val="0"/>
      <w:divBdr>
        <w:top w:val="none" w:sz="0" w:space="0" w:color="auto"/>
        <w:left w:val="none" w:sz="0" w:space="0" w:color="auto"/>
        <w:bottom w:val="none" w:sz="0" w:space="0" w:color="auto"/>
        <w:right w:val="none" w:sz="0" w:space="0" w:color="auto"/>
      </w:divBdr>
    </w:div>
    <w:div w:id="182715653">
      <w:bodyDiv w:val="1"/>
      <w:marLeft w:val="0"/>
      <w:marRight w:val="0"/>
      <w:marTop w:val="0"/>
      <w:marBottom w:val="0"/>
      <w:divBdr>
        <w:top w:val="none" w:sz="0" w:space="0" w:color="auto"/>
        <w:left w:val="none" w:sz="0" w:space="0" w:color="auto"/>
        <w:bottom w:val="none" w:sz="0" w:space="0" w:color="auto"/>
        <w:right w:val="none" w:sz="0" w:space="0" w:color="auto"/>
      </w:divBdr>
    </w:div>
    <w:div w:id="218978504">
      <w:bodyDiv w:val="1"/>
      <w:marLeft w:val="0"/>
      <w:marRight w:val="0"/>
      <w:marTop w:val="0"/>
      <w:marBottom w:val="0"/>
      <w:divBdr>
        <w:top w:val="none" w:sz="0" w:space="0" w:color="auto"/>
        <w:left w:val="none" w:sz="0" w:space="0" w:color="auto"/>
        <w:bottom w:val="none" w:sz="0" w:space="0" w:color="auto"/>
        <w:right w:val="none" w:sz="0" w:space="0" w:color="auto"/>
      </w:divBdr>
    </w:div>
    <w:div w:id="238098287">
      <w:bodyDiv w:val="1"/>
      <w:marLeft w:val="0"/>
      <w:marRight w:val="0"/>
      <w:marTop w:val="0"/>
      <w:marBottom w:val="0"/>
      <w:divBdr>
        <w:top w:val="none" w:sz="0" w:space="0" w:color="auto"/>
        <w:left w:val="none" w:sz="0" w:space="0" w:color="auto"/>
        <w:bottom w:val="none" w:sz="0" w:space="0" w:color="auto"/>
        <w:right w:val="none" w:sz="0" w:space="0" w:color="auto"/>
      </w:divBdr>
    </w:div>
    <w:div w:id="278491307">
      <w:bodyDiv w:val="1"/>
      <w:marLeft w:val="0"/>
      <w:marRight w:val="0"/>
      <w:marTop w:val="0"/>
      <w:marBottom w:val="0"/>
      <w:divBdr>
        <w:top w:val="none" w:sz="0" w:space="0" w:color="auto"/>
        <w:left w:val="none" w:sz="0" w:space="0" w:color="auto"/>
        <w:bottom w:val="none" w:sz="0" w:space="0" w:color="auto"/>
        <w:right w:val="none" w:sz="0" w:space="0" w:color="auto"/>
      </w:divBdr>
    </w:div>
    <w:div w:id="304895831">
      <w:bodyDiv w:val="1"/>
      <w:marLeft w:val="0"/>
      <w:marRight w:val="0"/>
      <w:marTop w:val="0"/>
      <w:marBottom w:val="0"/>
      <w:divBdr>
        <w:top w:val="none" w:sz="0" w:space="0" w:color="auto"/>
        <w:left w:val="none" w:sz="0" w:space="0" w:color="auto"/>
        <w:bottom w:val="none" w:sz="0" w:space="0" w:color="auto"/>
        <w:right w:val="none" w:sz="0" w:space="0" w:color="auto"/>
      </w:divBdr>
    </w:div>
    <w:div w:id="309141659">
      <w:bodyDiv w:val="1"/>
      <w:marLeft w:val="0"/>
      <w:marRight w:val="0"/>
      <w:marTop w:val="0"/>
      <w:marBottom w:val="0"/>
      <w:divBdr>
        <w:top w:val="none" w:sz="0" w:space="0" w:color="auto"/>
        <w:left w:val="none" w:sz="0" w:space="0" w:color="auto"/>
        <w:bottom w:val="none" w:sz="0" w:space="0" w:color="auto"/>
        <w:right w:val="none" w:sz="0" w:space="0" w:color="auto"/>
      </w:divBdr>
    </w:div>
    <w:div w:id="313721972">
      <w:bodyDiv w:val="1"/>
      <w:marLeft w:val="0"/>
      <w:marRight w:val="0"/>
      <w:marTop w:val="0"/>
      <w:marBottom w:val="0"/>
      <w:divBdr>
        <w:top w:val="none" w:sz="0" w:space="0" w:color="auto"/>
        <w:left w:val="none" w:sz="0" w:space="0" w:color="auto"/>
        <w:bottom w:val="none" w:sz="0" w:space="0" w:color="auto"/>
        <w:right w:val="none" w:sz="0" w:space="0" w:color="auto"/>
      </w:divBdr>
    </w:div>
    <w:div w:id="392973979">
      <w:bodyDiv w:val="1"/>
      <w:marLeft w:val="0"/>
      <w:marRight w:val="0"/>
      <w:marTop w:val="0"/>
      <w:marBottom w:val="0"/>
      <w:divBdr>
        <w:top w:val="none" w:sz="0" w:space="0" w:color="auto"/>
        <w:left w:val="none" w:sz="0" w:space="0" w:color="auto"/>
        <w:bottom w:val="none" w:sz="0" w:space="0" w:color="auto"/>
        <w:right w:val="none" w:sz="0" w:space="0" w:color="auto"/>
      </w:divBdr>
    </w:div>
    <w:div w:id="403989932">
      <w:bodyDiv w:val="1"/>
      <w:marLeft w:val="0"/>
      <w:marRight w:val="0"/>
      <w:marTop w:val="0"/>
      <w:marBottom w:val="0"/>
      <w:divBdr>
        <w:top w:val="none" w:sz="0" w:space="0" w:color="auto"/>
        <w:left w:val="none" w:sz="0" w:space="0" w:color="auto"/>
        <w:bottom w:val="none" w:sz="0" w:space="0" w:color="auto"/>
        <w:right w:val="none" w:sz="0" w:space="0" w:color="auto"/>
      </w:divBdr>
    </w:div>
    <w:div w:id="520120373">
      <w:bodyDiv w:val="1"/>
      <w:marLeft w:val="0"/>
      <w:marRight w:val="0"/>
      <w:marTop w:val="0"/>
      <w:marBottom w:val="0"/>
      <w:divBdr>
        <w:top w:val="none" w:sz="0" w:space="0" w:color="auto"/>
        <w:left w:val="none" w:sz="0" w:space="0" w:color="auto"/>
        <w:bottom w:val="none" w:sz="0" w:space="0" w:color="auto"/>
        <w:right w:val="none" w:sz="0" w:space="0" w:color="auto"/>
      </w:divBdr>
    </w:div>
    <w:div w:id="573006473">
      <w:bodyDiv w:val="1"/>
      <w:marLeft w:val="0"/>
      <w:marRight w:val="0"/>
      <w:marTop w:val="0"/>
      <w:marBottom w:val="0"/>
      <w:divBdr>
        <w:top w:val="none" w:sz="0" w:space="0" w:color="auto"/>
        <w:left w:val="none" w:sz="0" w:space="0" w:color="auto"/>
        <w:bottom w:val="none" w:sz="0" w:space="0" w:color="auto"/>
        <w:right w:val="none" w:sz="0" w:space="0" w:color="auto"/>
      </w:divBdr>
    </w:div>
    <w:div w:id="605189022">
      <w:bodyDiv w:val="1"/>
      <w:marLeft w:val="0"/>
      <w:marRight w:val="0"/>
      <w:marTop w:val="0"/>
      <w:marBottom w:val="0"/>
      <w:divBdr>
        <w:top w:val="none" w:sz="0" w:space="0" w:color="auto"/>
        <w:left w:val="none" w:sz="0" w:space="0" w:color="auto"/>
        <w:bottom w:val="none" w:sz="0" w:space="0" w:color="auto"/>
        <w:right w:val="none" w:sz="0" w:space="0" w:color="auto"/>
      </w:divBdr>
    </w:div>
    <w:div w:id="679888460">
      <w:bodyDiv w:val="1"/>
      <w:marLeft w:val="0"/>
      <w:marRight w:val="0"/>
      <w:marTop w:val="0"/>
      <w:marBottom w:val="0"/>
      <w:divBdr>
        <w:top w:val="none" w:sz="0" w:space="0" w:color="auto"/>
        <w:left w:val="none" w:sz="0" w:space="0" w:color="auto"/>
        <w:bottom w:val="none" w:sz="0" w:space="0" w:color="auto"/>
        <w:right w:val="none" w:sz="0" w:space="0" w:color="auto"/>
      </w:divBdr>
    </w:div>
    <w:div w:id="688527793">
      <w:bodyDiv w:val="1"/>
      <w:marLeft w:val="0"/>
      <w:marRight w:val="0"/>
      <w:marTop w:val="0"/>
      <w:marBottom w:val="0"/>
      <w:divBdr>
        <w:top w:val="none" w:sz="0" w:space="0" w:color="auto"/>
        <w:left w:val="none" w:sz="0" w:space="0" w:color="auto"/>
        <w:bottom w:val="none" w:sz="0" w:space="0" w:color="auto"/>
        <w:right w:val="none" w:sz="0" w:space="0" w:color="auto"/>
      </w:divBdr>
    </w:div>
    <w:div w:id="732890891">
      <w:bodyDiv w:val="1"/>
      <w:marLeft w:val="0"/>
      <w:marRight w:val="0"/>
      <w:marTop w:val="0"/>
      <w:marBottom w:val="0"/>
      <w:divBdr>
        <w:top w:val="none" w:sz="0" w:space="0" w:color="auto"/>
        <w:left w:val="none" w:sz="0" w:space="0" w:color="auto"/>
        <w:bottom w:val="none" w:sz="0" w:space="0" w:color="auto"/>
        <w:right w:val="none" w:sz="0" w:space="0" w:color="auto"/>
      </w:divBdr>
    </w:div>
    <w:div w:id="757944886">
      <w:bodyDiv w:val="1"/>
      <w:marLeft w:val="0"/>
      <w:marRight w:val="0"/>
      <w:marTop w:val="0"/>
      <w:marBottom w:val="0"/>
      <w:divBdr>
        <w:top w:val="none" w:sz="0" w:space="0" w:color="auto"/>
        <w:left w:val="none" w:sz="0" w:space="0" w:color="auto"/>
        <w:bottom w:val="none" w:sz="0" w:space="0" w:color="auto"/>
        <w:right w:val="none" w:sz="0" w:space="0" w:color="auto"/>
      </w:divBdr>
    </w:div>
    <w:div w:id="830414098">
      <w:bodyDiv w:val="1"/>
      <w:marLeft w:val="0"/>
      <w:marRight w:val="0"/>
      <w:marTop w:val="0"/>
      <w:marBottom w:val="0"/>
      <w:divBdr>
        <w:top w:val="none" w:sz="0" w:space="0" w:color="auto"/>
        <w:left w:val="none" w:sz="0" w:space="0" w:color="auto"/>
        <w:bottom w:val="none" w:sz="0" w:space="0" w:color="auto"/>
        <w:right w:val="none" w:sz="0" w:space="0" w:color="auto"/>
      </w:divBdr>
    </w:div>
    <w:div w:id="971012593">
      <w:bodyDiv w:val="1"/>
      <w:marLeft w:val="0"/>
      <w:marRight w:val="0"/>
      <w:marTop w:val="0"/>
      <w:marBottom w:val="0"/>
      <w:divBdr>
        <w:top w:val="none" w:sz="0" w:space="0" w:color="auto"/>
        <w:left w:val="none" w:sz="0" w:space="0" w:color="auto"/>
        <w:bottom w:val="none" w:sz="0" w:space="0" w:color="auto"/>
        <w:right w:val="none" w:sz="0" w:space="0" w:color="auto"/>
      </w:divBdr>
    </w:div>
    <w:div w:id="1028137782">
      <w:bodyDiv w:val="1"/>
      <w:marLeft w:val="0"/>
      <w:marRight w:val="0"/>
      <w:marTop w:val="0"/>
      <w:marBottom w:val="0"/>
      <w:divBdr>
        <w:top w:val="none" w:sz="0" w:space="0" w:color="auto"/>
        <w:left w:val="none" w:sz="0" w:space="0" w:color="auto"/>
        <w:bottom w:val="none" w:sz="0" w:space="0" w:color="auto"/>
        <w:right w:val="none" w:sz="0" w:space="0" w:color="auto"/>
      </w:divBdr>
    </w:div>
    <w:div w:id="1083187408">
      <w:bodyDiv w:val="1"/>
      <w:marLeft w:val="0"/>
      <w:marRight w:val="0"/>
      <w:marTop w:val="0"/>
      <w:marBottom w:val="0"/>
      <w:divBdr>
        <w:top w:val="none" w:sz="0" w:space="0" w:color="auto"/>
        <w:left w:val="none" w:sz="0" w:space="0" w:color="auto"/>
        <w:bottom w:val="none" w:sz="0" w:space="0" w:color="auto"/>
        <w:right w:val="none" w:sz="0" w:space="0" w:color="auto"/>
      </w:divBdr>
    </w:div>
    <w:div w:id="1100030510">
      <w:bodyDiv w:val="1"/>
      <w:marLeft w:val="0"/>
      <w:marRight w:val="0"/>
      <w:marTop w:val="0"/>
      <w:marBottom w:val="0"/>
      <w:divBdr>
        <w:top w:val="none" w:sz="0" w:space="0" w:color="auto"/>
        <w:left w:val="none" w:sz="0" w:space="0" w:color="auto"/>
        <w:bottom w:val="none" w:sz="0" w:space="0" w:color="auto"/>
        <w:right w:val="none" w:sz="0" w:space="0" w:color="auto"/>
      </w:divBdr>
    </w:div>
    <w:div w:id="1147748102">
      <w:bodyDiv w:val="1"/>
      <w:marLeft w:val="0"/>
      <w:marRight w:val="0"/>
      <w:marTop w:val="0"/>
      <w:marBottom w:val="0"/>
      <w:divBdr>
        <w:top w:val="none" w:sz="0" w:space="0" w:color="auto"/>
        <w:left w:val="none" w:sz="0" w:space="0" w:color="auto"/>
        <w:bottom w:val="none" w:sz="0" w:space="0" w:color="auto"/>
        <w:right w:val="none" w:sz="0" w:space="0" w:color="auto"/>
      </w:divBdr>
    </w:div>
    <w:div w:id="1184127781">
      <w:bodyDiv w:val="1"/>
      <w:marLeft w:val="0"/>
      <w:marRight w:val="0"/>
      <w:marTop w:val="0"/>
      <w:marBottom w:val="0"/>
      <w:divBdr>
        <w:top w:val="none" w:sz="0" w:space="0" w:color="auto"/>
        <w:left w:val="none" w:sz="0" w:space="0" w:color="auto"/>
        <w:bottom w:val="none" w:sz="0" w:space="0" w:color="auto"/>
        <w:right w:val="none" w:sz="0" w:space="0" w:color="auto"/>
      </w:divBdr>
    </w:div>
    <w:div w:id="1339380471">
      <w:bodyDiv w:val="1"/>
      <w:marLeft w:val="0"/>
      <w:marRight w:val="0"/>
      <w:marTop w:val="0"/>
      <w:marBottom w:val="0"/>
      <w:divBdr>
        <w:top w:val="none" w:sz="0" w:space="0" w:color="auto"/>
        <w:left w:val="none" w:sz="0" w:space="0" w:color="auto"/>
        <w:bottom w:val="none" w:sz="0" w:space="0" w:color="auto"/>
        <w:right w:val="none" w:sz="0" w:space="0" w:color="auto"/>
      </w:divBdr>
    </w:div>
    <w:div w:id="1345787381">
      <w:bodyDiv w:val="1"/>
      <w:marLeft w:val="0"/>
      <w:marRight w:val="0"/>
      <w:marTop w:val="0"/>
      <w:marBottom w:val="0"/>
      <w:divBdr>
        <w:top w:val="none" w:sz="0" w:space="0" w:color="auto"/>
        <w:left w:val="none" w:sz="0" w:space="0" w:color="auto"/>
        <w:bottom w:val="none" w:sz="0" w:space="0" w:color="auto"/>
        <w:right w:val="none" w:sz="0" w:space="0" w:color="auto"/>
      </w:divBdr>
    </w:div>
    <w:div w:id="1352029560">
      <w:bodyDiv w:val="1"/>
      <w:marLeft w:val="0"/>
      <w:marRight w:val="0"/>
      <w:marTop w:val="0"/>
      <w:marBottom w:val="0"/>
      <w:divBdr>
        <w:top w:val="none" w:sz="0" w:space="0" w:color="auto"/>
        <w:left w:val="none" w:sz="0" w:space="0" w:color="auto"/>
        <w:bottom w:val="none" w:sz="0" w:space="0" w:color="auto"/>
        <w:right w:val="none" w:sz="0" w:space="0" w:color="auto"/>
      </w:divBdr>
    </w:div>
    <w:div w:id="1357462686">
      <w:bodyDiv w:val="1"/>
      <w:marLeft w:val="0"/>
      <w:marRight w:val="0"/>
      <w:marTop w:val="0"/>
      <w:marBottom w:val="0"/>
      <w:divBdr>
        <w:top w:val="none" w:sz="0" w:space="0" w:color="auto"/>
        <w:left w:val="none" w:sz="0" w:space="0" w:color="auto"/>
        <w:bottom w:val="none" w:sz="0" w:space="0" w:color="auto"/>
        <w:right w:val="none" w:sz="0" w:space="0" w:color="auto"/>
      </w:divBdr>
    </w:div>
    <w:div w:id="1492526376">
      <w:bodyDiv w:val="1"/>
      <w:marLeft w:val="0"/>
      <w:marRight w:val="0"/>
      <w:marTop w:val="0"/>
      <w:marBottom w:val="0"/>
      <w:divBdr>
        <w:top w:val="none" w:sz="0" w:space="0" w:color="auto"/>
        <w:left w:val="none" w:sz="0" w:space="0" w:color="auto"/>
        <w:bottom w:val="none" w:sz="0" w:space="0" w:color="auto"/>
        <w:right w:val="none" w:sz="0" w:space="0" w:color="auto"/>
      </w:divBdr>
    </w:div>
    <w:div w:id="1526406957">
      <w:bodyDiv w:val="1"/>
      <w:marLeft w:val="0"/>
      <w:marRight w:val="0"/>
      <w:marTop w:val="0"/>
      <w:marBottom w:val="0"/>
      <w:divBdr>
        <w:top w:val="none" w:sz="0" w:space="0" w:color="auto"/>
        <w:left w:val="none" w:sz="0" w:space="0" w:color="auto"/>
        <w:bottom w:val="none" w:sz="0" w:space="0" w:color="auto"/>
        <w:right w:val="none" w:sz="0" w:space="0" w:color="auto"/>
      </w:divBdr>
    </w:div>
    <w:div w:id="1557354517">
      <w:bodyDiv w:val="1"/>
      <w:marLeft w:val="0"/>
      <w:marRight w:val="0"/>
      <w:marTop w:val="0"/>
      <w:marBottom w:val="0"/>
      <w:divBdr>
        <w:top w:val="none" w:sz="0" w:space="0" w:color="auto"/>
        <w:left w:val="none" w:sz="0" w:space="0" w:color="auto"/>
        <w:bottom w:val="none" w:sz="0" w:space="0" w:color="auto"/>
        <w:right w:val="none" w:sz="0" w:space="0" w:color="auto"/>
      </w:divBdr>
    </w:div>
    <w:div w:id="1580215557">
      <w:bodyDiv w:val="1"/>
      <w:marLeft w:val="0"/>
      <w:marRight w:val="0"/>
      <w:marTop w:val="0"/>
      <w:marBottom w:val="0"/>
      <w:divBdr>
        <w:top w:val="none" w:sz="0" w:space="0" w:color="auto"/>
        <w:left w:val="none" w:sz="0" w:space="0" w:color="auto"/>
        <w:bottom w:val="none" w:sz="0" w:space="0" w:color="auto"/>
        <w:right w:val="none" w:sz="0" w:space="0" w:color="auto"/>
      </w:divBdr>
    </w:div>
    <w:div w:id="1591892812">
      <w:bodyDiv w:val="1"/>
      <w:marLeft w:val="0"/>
      <w:marRight w:val="0"/>
      <w:marTop w:val="0"/>
      <w:marBottom w:val="0"/>
      <w:divBdr>
        <w:top w:val="none" w:sz="0" w:space="0" w:color="auto"/>
        <w:left w:val="none" w:sz="0" w:space="0" w:color="auto"/>
        <w:bottom w:val="none" w:sz="0" w:space="0" w:color="auto"/>
        <w:right w:val="none" w:sz="0" w:space="0" w:color="auto"/>
      </w:divBdr>
    </w:div>
    <w:div w:id="1598126720">
      <w:bodyDiv w:val="1"/>
      <w:marLeft w:val="0"/>
      <w:marRight w:val="0"/>
      <w:marTop w:val="0"/>
      <w:marBottom w:val="0"/>
      <w:divBdr>
        <w:top w:val="none" w:sz="0" w:space="0" w:color="auto"/>
        <w:left w:val="none" w:sz="0" w:space="0" w:color="auto"/>
        <w:bottom w:val="none" w:sz="0" w:space="0" w:color="auto"/>
        <w:right w:val="none" w:sz="0" w:space="0" w:color="auto"/>
      </w:divBdr>
    </w:div>
    <w:div w:id="1668511818">
      <w:bodyDiv w:val="1"/>
      <w:marLeft w:val="0"/>
      <w:marRight w:val="0"/>
      <w:marTop w:val="0"/>
      <w:marBottom w:val="0"/>
      <w:divBdr>
        <w:top w:val="none" w:sz="0" w:space="0" w:color="auto"/>
        <w:left w:val="none" w:sz="0" w:space="0" w:color="auto"/>
        <w:bottom w:val="none" w:sz="0" w:space="0" w:color="auto"/>
        <w:right w:val="none" w:sz="0" w:space="0" w:color="auto"/>
      </w:divBdr>
    </w:div>
    <w:div w:id="1759982345">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 w:id="1820463084">
      <w:bodyDiv w:val="1"/>
      <w:marLeft w:val="0"/>
      <w:marRight w:val="0"/>
      <w:marTop w:val="0"/>
      <w:marBottom w:val="0"/>
      <w:divBdr>
        <w:top w:val="none" w:sz="0" w:space="0" w:color="auto"/>
        <w:left w:val="none" w:sz="0" w:space="0" w:color="auto"/>
        <w:bottom w:val="none" w:sz="0" w:space="0" w:color="auto"/>
        <w:right w:val="none" w:sz="0" w:space="0" w:color="auto"/>
      </w:divBdr>
    </w:div>
    <w:div w:id="1887791579">
      <w:bodyDiv w:val="1"/>
      <w:marLeft w:val="0"/>
      <w:marRight w:val="0"/>
      <w:marTop w:val="0"/>
      <w:marBottom w:val="0"/>
      <w:divBdr>
        <w:top w:val="none" w:sz="0" w:space="0" w:color="auto"/>
        <w:left w:val="none" w:sz="0" w:space="0" w:color="auto"/>
        <w:bottom w:val="none" w:sz="0" w:space="0" w:color="auto"/>
        <w:right w:val="none" w:sz="0" w:space="0" w:color="auto"/>
      </w:divBdr>
    </w:div>
    <w:div w:id="1920826649">
      <w:bodyDiv w:val="1"/>
      <w:marLeft w:val="0"/>
      <w:marRight w:val="0"/>
      <w:marTop w:val="0"/>
      <w:marBottom w:val="0"/>
      <w:divBdr>
        <w:top w:val="none" w:sz="0" w:space="0" w:color="auto"/>
        <w:left w:val="none" w:sz="0" w:space="0" w:color="auto"/>
        <w:bottom w:val="none" w:sz="0" w:space="0" w:color="auto"/>
        <w:right w:val="none" w:sz="0" w:space="0" w:color="auto"/>
      </w:divBdr>
    </w:div>
    <w:div w:id="1982879501">
      <w:bodyDiv w:val="1"/>
      <w:marLeft w:val="0"/>
      <w:marRight w:val="0"/>
      <w:marTop w:val="0"/>
      <w:marBottom w:val="0"/>
      <w:divBdr>
        <w:top w:val="none" w:sz="0" w:space="0" w:color="auto"/>
        <w:left w:val="none" w:sz="0" w:space="0" w:color="auto"/>
        <w:bottom w:val="none" w:sz="0" w:space="0" w:color="auto"/>
        <w:right w:val="none" w:sz="0" w:space="0" w:color="auto"/>
      </w:divBdr>
    </w:div>
    <w:div w:id="1994988934">
      <w:bodyDiv w:val="1"/>
      <w:marLeft w:val="0"/>
      <w:marRight w:val="0"/>
      <w:marTop w:val="0"/>
      <w:marBottom w:val="0"/>
      <w:divBdr>
        <w:top w:val="none" w:sz="0" w:space="0" w:color="auto"/>
        <w:left w:val="none" w:sz="0" w:space="0" w:color="auto"/>
        <w:bottom w:val="none" w:sz="0" w:space="0" w:color="auto"/>
        <w:right w:val="none" w:sz="0" w:space="0" w:color="auto"/>
      </w:divBdr>
    </w:div>
    <w:div w:id="2070807440">
      <w:bodyDiv w:val="1"/>
      <w:marLeft w:val="0"/>
      <w:marRight w:val="0"/>
      <w:marTop w:val="0"/>
      <w:marBottom w:val="0"/>
      <w:divBdr>
        <w:top w:val="none" w:sz="0" w:space="0" w:color="auto"/>
        <w:left w:val="none" w:sz="0" w:space="0" w:color="auto"/>
        <w:bottom w:val="none" w:sz="0" w:space="0" w:color="auto"/>
        <w:right w:val="none" w:sz="0" w:space="0" w:color="auto"/>
      </w:divBdr>
    </w:div>
    <w:div w:id="2129081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parliament.act.gov.au/parliamentary-business/in-committees/committees/JCS_Scrutiny" TargetMode="Externa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www.parliament.act.gov.au/parliamentary-business/in-committees" TargetMode="Externa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crutiny@parliament.act.gov.au" TargetMode="Externa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parliament.act.gov.au/parliamentary-business/in-committees/committees/JCS_Scrutiny"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Montserrat SemiBold">
    <w:panose1 w:val="000007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034"/>
    <w:rsid w:val="00193F55"/>
    <w:rsid w:val="002A06B3"/>
    <w:rsid w:val="002B26EB"/>
    <w:rsid w:val="00361766"/>
    <w:rsid w:val="003D5807"/>
    <w:rsid w:val="00465034"/>
    <w:rsid w:val="0055485C"/>
    <w:rsid w:val="007E61D1"/>
    <w:rsid w:val="00970294"/>
    <w:rsid w:val="00AE778D"/>
    <w:rsid w:val="00CF42C5"/>
    <w:rsid w:val="00F21BD5"/>
    <w:rsid w:val="00F417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5034"/>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5D0C19-0D7E-4878-B366-FD2067583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2967</Words>
  <Characters>16918</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19846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Anne</dc:creator>
  <cp:keywords/>
  <dc:description/>
  <cp:lastModifiedBy>Hough, Anna</cp:lastModifiedBy>
  <cp:revision>3</cp:revision>
  <cp:lastPrinted>2023-05-23T03:37:00Z</cp:lastPrinted>
  <dcterms:created xsi:type="dcterms:W3CDTF">2023-06-20T04:36:00Z</dcterms:created>
  <dcterms:modified xsi:type="dcterms:W3CDTF">2023-06-20T05:41:00Z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2023-06-05T02:03:21Z</vt:lpwstr>
  </property>
  <property fmtid="{D5CDD505-2E9C-101B-9397-08002B2CF9AE}" pid="4" name="MSIP_Label_69af8531-eb46-4968-8cb3-105d2f5ea87e_Method">
    <vt:lpwstr>Privileged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a2574555-0e30-4a68-ba4b-b334715937d0</vt:lpwstr>
  </property>
  <property fmtid="{D5CDD505-2E9C-101B-9397-08002B2CF9AE}" pid="8" name="MSIP_Label_69af8531-eb46-4968-8cb3-105d2f5ea87e_ContentBits">
    <vt:lpwstr>0</vt:lpwstr>
  </property>
</Properties>
</file>