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C64BEE" w:rsidRDefault="009517FE" w:rsidP="009517FE">
      <w:pPr>
        <w:spacing w:before="7560" w:after="240" w:line="259" w:lineRule="auto"/>
        <w:jc w:val="right"/>
        <w:rPr>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C64BEE">
        <w:rPr>
          <w:sz w:val="42"/>
          <w:szCs w:val="42"/>
        </w:rPr>
        <w:t>Standing Committee on Justice and Community Safety (Legislative Scrutiny Role)</w:t>
      </w:r>
    </w:p>
    <w:p w:rsidR="000B0846" w:rsidRPr="00C64BEE" w:rsidRDefault="000B0846" w:rsidP="001F1D6D">
      <w:pPr>
        <w:pStyle w:val="Heading1"/>
        <w:spacing w:before="2200"/>
        <w:rPr>
          <w:rFonts w:asciiTheme="minorHAnsi" w:hAnsiTheme="minorHAnsi"/>
        </w:rPr>
      </w:pPr>
      <w:r w:rsidRPr="00C64BEE">
        <w:rPr>
          <w:rFonts w:asciiTheme="minorHAnsi" w:hAnsiTheme="minorHAnsi"/>
        </w:rPr>
        <w:t>S</w:t>
      </w:r>
      <w:r w:rsidR="00907785" w:rsidRPr="00C64BEE">
        <w:rPr>
          <w:rFonts w:asciiTheme="minorHAnsi" w:hAnsiTheme="minorHAnsi"/>
        </w:rPr>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B6224C" w:rsidRPr="00C64BEE">
        <w:rPr>
          <w:rFonts w:asciiTheme="minorHAnsi" w:hAnsiTheme="minorHAnsi"/>
        </w:rPr>
        <w:t>20</w:t>
      </w:r>
    </w:p>
    <w:p w:rsidR="00D4210F" w:rsidRPr="00C64BEE" w:rsidRDefault="00062087" w:rsidP="00A014F1">
      <w:pPr>
        <w:spacing w:before="1800" w:after="240"/>
        <w:jc w:val="right"/>
        <w:rPr>
          <w:sz w:val="24"/>
          <w:szCs w:val="24"/>
        </w:rPr>
      </w:pPr>
      <w:bookmarkStart w:id="13" w:name="_GoBack"/>
      <w:bookmarkEnd w:id="13"/>
      <w:r>
        <w:rPr>
          <w:sz w:val="24"/>
          <w:szCs w:val="24"/>
        </w:rPr>
        <w:t>7 AUGUST</w:t>
      </w:r>
      <w:r w:rsidR="00A014F1" w:rsidRPr="00C64BEE">
        <w:rPr>
          <w:sz w:val="24"/>
          <w:szCs w:val="24"/>
        </w:rPr>
        <w:t xml:space="preserve"> 2018</w:t>
      </w:r>
    </w:p>
    <w:p w:rsidR="00D4210F" w:rsidRPr="00C64BEE" w:rsidRDefault="00D4210F" w:rsidP="00D4210F">
      <w:r w:rsidRPr="00C64BEE">
        <w:br w:type="page"/>
      </w:r>
    </w:p>
    <w:p w:rsidR="000B0846" w:rsidRPr="00C64BEE" w:rsidRDefault="000B0846" w:rsidP="000B0846">
      <w:pPr>
        <w:spacing w:before="1800" w:after="240"/>
        <w:jc w:val="right"/>
      </w:pPr>
    </w:p>
    <w:p w:rsidR="00AE4D51" w:rsidRPr="00C64BEE" w:rsidRDefault="00AE4D51" w:rsidP="00AC094E">
      <w:pPr>
        <w:pStyle w:val="Heading2"/>
        <w:rPr>
          <w:rFonts w:asciiTheme="minorHAnsi" w:hAnsiTheme="minorHAnsi"/>
        </w:rPr>
        <w:sectPr w:rsidR="00AE4D51" w:rsidRPr="00C64B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4" w:name="_Toc500938168"/>
      <w:bookmarkStart w:id="15" w:name="_Toc500947016"/>
    </w:p>
    <w:p w:rsidR="002A185D" w:rsidRPr="00C64BEE" w:rsidRDefault="002A185D" w:rsidP="00AC094E">
      <w:pPr>
        <w:pStyle w:val="Heading2"/>
        <w:rPr>
          <w:rFonts w:asciiTheme="minorHAnsi" w:hAnsiTheme="minorHAnsi"/>
        </w:rPr>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00938169"/>
      <w:bookmarkStart w:id="31" w:name="_Toc500947017"/>
      <w:bookmarkStart w:id="32" w:name="_Toc501547026"/>
      <w:bookmarkStart w:id="33" w:name="_Toc501547381"/>
      <w:bookmarkStart w:id="34" w:name="_Toc505005665"/>
      <w:bookmarkStart w:id="35" w:name="_Toc505153756"/>
      <w:bookmarkStart w:id="36" w:name="_Toc508283424"/>
      <w:bookmarkStart w:id="37" w:name="_Toc510081780"/>
      <w:bookmarkStart w:id="38" w:name="_Toc511812217"/>
      <w:bookmarkStart w:id="39" w:name="_Toc512240155"/>
      <w:bookmarkStart w:id="40" w:name="_Toc513192152"/>
      <w:bookmarkStart w:id="41" w:name="_Toc514832414"/>
      <w:bookmarkEnd w:id="14"/>
      <w:bookmarkEnd w:id="15"/>
      <w:r w:rsidRPr="00C64BEE">
        <w:rPr>
          <w:rFonts w:asciiTheme="minorHAnsi" w:hAnsiTheme="minorHAnsi"/>
        </w:rPr>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B0846" w:rsidRPr="00C64BEE" w:rsidRDefault="000B0846" w:rsidP="002A185D">
      <w:pPr>
        <w:pStyle w:val="Heading3"/>
        <w:rPr>
          <w:rFonts w:asciiTheme="minorHAnsi" w:hAnsiTheme="minorHAnsi"/>
        </w:rPr>
      </w:pPr>
      <w:bookmarkStart w:id="42" w:name="_Toc514837959"/>
      <w:bookmarkStart w:id="43" w:name="_Toc514943593"/>
      <w:bookmarkStart w:id="44" w:name="_Toc515352036"/>
      <w:bookmarkStart w:id="45" w:name="_Toc518297245"/>
      <w:bookmarkStart w:id="46" w:name="_Toc519069303"/>
      <w:bookmarkStart w:id="47" w:name="_Toc519069364"/>
      <w:bookmarkStart w:id="48" w:name="_Toc519520731"/>
      <w:bookmarkStart w:id="49" w:name="_Toc520188710"/>
      <w:bookmarkStart w:id="50" w:name="_Toc521054227"/>
      <w:bookmarkStart w:id="51" w:name="_Toc521054314"/>
      <w:bookmarkStart w:id="52" w:name="_Toc521054386"/>
      <w:r w:rsidRPr="00C64BEE">
        <w:rPr>
          <w:rFonts w:asciiTheme="minorHAnsi" w:hAnsiTheme="minorHAnsi"/>
        </w:rPr>
        <w:t>C</w:t>
      </w:r>
      <w:r w:rsidR="00474136" w:rsidRPr="00C64BEE">
        <w:rPr>
          <w:rFonts w:asciiTheme="minorHAnsi" w:hAnsiTheme="minorHAnsi"/>
        </w:rPr>
        <w:t>ommittee Membership</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B0846" w:rsidRPr="00C64BEE" w:rsidRDefault="00A919BD" w:rsidP="009C4F5B">
      <w:pPr>
        <w:pStyle w:val="ListParagraph"/>
        <w:ind w:left="0"/>
      </w:pPr>
      <w:r w:rsidRPr="00C64BEE">
        <w:t xml:space="preserve">Ms Elizabeth Lee MLA </w:t>
      </w:r>
      <w:r w:rsidR="000B0846" w:rsidRPr="00C64BEE">
        <w:t>(Chair)</w:t>
      </w:r>
    </w:p>
    <w:p w:rsidR="000B0846" w:rsidRPr="00C64BEE" w:rsidRDefault="000B0846" w:rsidP="009C4F5B">
      <w:pPr>
        <w:pStyle w:val="ListParagraph"/>
        <w:ind w:left="0"/>
      </w:pPr>
      <w:r w:rsidRPr="00C64BEE">
        <w:t>Ms Bec Cody MLA (Deputy Chair)</w:t>
      </w:r>
    </w:p>
    <w:p w:rsidR="000B0846" w:rsidRPr="00C64BEE" w:rsidRDefault="00A919BD" w:rsidP="009C4F5B">
      <w:pPr>
        <w:pStyle w:val="ListParagraph"/>
        <w:ind w:left="0"/>
      </w:pPr>
      <w:r w:rsidRPr="00C64BEE">
        <w:t>Ms Nicole Lawder</w:t>
      </w:r>
      <w:r w:rsidR="00357A4D" w:rsidRPr="00C64BEE">
        <w:t xml:space="preserve"> MLA</w:t>
      </w:r>
    </w:p>
    <w:p w:rsidR="000B0846" w:rsidRPr="00C64BEE" w:rsidRDefault="000B0846" w:rsidP="009C4F5B">
      <w:pPr>
        <w:pStyle w:val="ListParagraph"/>
        <w:spacing w:after="360"/>
        <w:ind w:left="0"/>
      </w:pPr>
      <w:r w:rsidRPr="00C64BEE">
        <w:t>Mr Chris Steel MLA</w:t>
      </w:r>
    </w:p>
    <w:p w:rsidR="000B0846" w:rsidRPr="00C64BEE" w:rsidRDefault="000B0846" w:rsidP="002A185D">
      <w:pPr>
        <w:pStyle w:val="Heading3"/>
        <w:rPr>
          <w:rFonts w:asciiTheme="minorHAnsi" w:hAnsiTheme="minorHAnsi"/>
        </w:rPr>
      </w:pPr>
      <w:bookmarkStart w:id="53" w:name="_Toc500938170"/>
      <w:bookmarkStart w:id="54" w:name="_Toc500947018"/>
      <w:bookmarkStart w:id="55" w:name="_Toc501547027"/>
      <w:bookmarkStart w:id="56" w:name="_Toc501547382"/>
      <w:bookmarkStart w:id="57" w:name="_Toc505005666"/>
      <w:bookmarkStart w:id="58" w:name="_Toc505153757"/>
      <w:bookmarkStart w:id="59" w:name="_Toc508283425"/>
      <w:bookmarkStart w:id="60" w:name="_Toc510081781"/>
      <w:bookmarkStart w:id="61" w:name="_Toc511812218"/>
      <w:bookmarkStart w:id="62" w:name="_Toc512240156"/>
      <w:bookmarkStart w:id="63" w:name="_Toc513192153"/>
      <w:bookmarkStart w:id="64" w:name="_Toc514832415"/>
      <w:bookmarkStart w:id="65" w:name="_Toc514837960"/>
      <w:bookmarkStart w:id="66" w:name="_Toc514943594"/>
      <w:bookmarkStart w:id="67" w:name="_Toc515352037"/>
      <w:bookmarkStart w:id="68" w:name="_Toc518297246"/>
      <w:bookmarkStart w:id="69" w:name="_Toc519069304"/>
      <w:bookmarkStart w:id="70" w:name="_Toc519069365"/>
      <w:bookmarkStart w:id="71" w:name="_Toc519520732"/>
      <w:bookmarkStart w:id="72" w:name="_Toc520188711"/>
      <w:bookmarkStart w:id="73" w:name="_Toc521054228"/>
      <w:bookmarkStart w:id="74" w:name="_Toc521054315"/>
      <w:bookmarkStart w:id="75" w:name="_Toc521054387"/>
      <w:r w:rsidRPr="00C64BEE">
        <w:rPr>
          <w:rFonts w:asciiTheme="minorHAnsi" w:hAnsiTheme="minorHAnsi"/>
        </w:rPr>
        <w:t>S</w:t>
      </w:r>
      <w:bookmarkEnd w:id="53"/>
      <w:r w:rsidR="00474136" w:rsidRPr="00C64BEE">
        <w:rPr>
          <w:rFonts w:asciiTheme="minorHAnsi" w:hAnsiTheme="minorHAnsi"/>
        </w:rPr>
        <w:t>ecretariat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B0846" w:rsidRPr="00C64BEE" w:rsidRDefault="00301635" w:rsidP="009C4F5B">
      <w:pPr>
        <w:pStyle w:val="ListParagraph"/>
        <w:ind w:left="0"/>
      </w:pPr>
      <w:r w:rsidRPr="00C64BEE">
        <w:t>Ms Julia Agostino</w:t>
      </w:r>
      <w:r w:rsidR="000B0846" w:rsidRPr="00C64BEE">
        <w:t xml:space="preserve"> (Secretary)</w:t>
      </w:r>
    </w:p>
    <w:p w:rsidR="000B0846" w:rsidRPr="00C64BEE" w:rsidRDefault="000B0846" w:rsidP="009C4F5B">
      <w:pPr>
        <w:pStyle w:val="ListParagraph"/>
        <w:ind w:left="0"/>
      </w:pPr>
      <w:r w:rsidRPr="00C64BEE">
        <w:t>Ms Anne Shannon (Assistant Secretary)</w:t>
      </w:r>
    </w:p>
    <w:p w:rsidR="000B0846" w:rsidRPr="00C64BEE" w:rsidRDefault="000B0846" w:rsidP="009C4F5B">
      <w:pPr>
        <w:pStyle w:val="ListParagraph"/>
        <w:ind w:left="0"/>
      </w:pPr>
      <w:r w:rsidRPr="00C64BEE">
        <w:t>Mr Stephen Argument (Legal Adviser—Subordinate Legislation)</w:t>
      </w:r>
    </w:p>
    <w:p w:rsidR="000B0846" w:rsidRPr="00C64BEE" w:rsidRDefault="000B0846" w:rsidP="009C4F5B">
      <w:pPr>
        <w:pStyle w:val="ListParagraph"/>
        <w:spacing w:after="360"/>
        <w:ind w:left="0"/>
      </w:pPr>
      <w:r w:rsidRPr="00C64BEE">
        <w:t>Mr Daniel Stewart (Legal Adviser—Bills)</w:t>
      </w:r>
    </w:p>
    <w:p w:rsidR="000B0846" w:rsidRPr="00C64BEE" w:rsidRDefault="000B0846" w:rsidP="002A185D">
      <w:pPr>
        <w:pStyle w:val="Heading3"/>
        <w:rPr>
          <w:rFonts w:asciiTheme="minorHAnsi" w:hAnsiTheme="minorHAnsi"/>
        </w:rPr>
      </w:pPr>
      <w:bookmarkStart w:id="76" w:name="_Toc500938171"/>
      <w:bookmarkStart w:id="77" w:name="_Toc500947019"/>
      <w:bookmarkStart w:id="78" w:name="_Toc501547028"/>
      <w:bookmarkStart w:id="79" w:name="_Toc501547383"/>
      <w:bookmarkStart w:id="80" w:name="_Toc505005667"/>
      <w:bookmarkStart w:id="81" w:name="_Toc505153758"/>
      <w:bookmarkStart w:id="82" w:name="_Toc508283426"/>
      <w:bookmarkStart w:id="83" w:name="_Toc510081782"/>
      <w:bookmarkStart w:id="84" w:name="_Toc511812219"/>
      <w:bookmarkStart w:id="85" w:name="_Toc512240157"/>
      <w:bookmarkStart w:id="86" w:name="_Toc513192154"/>
      <w:bookmarkStart w:id="87" w:name="_Toc514832416"/>
      <w:bookmarkStart w:id="88" w:name="_Toc514837961"/>
      <w:bookmarkStart w:id="89" w:name="_Toc514943595"/>
      <w:bookmarkStart w:id="90" w:name="_Toc515352038"/>
      <w:bookmarkStart w:id="91" w:name="_Toc518297247"/>
      <w:bookmarkStart w:id="92" w:name="_Toc519069305"/>
      <w:bookmarkStart w:id="93" w:name="_Toc519069366"/>
      <w:bookmarkStart w:id="94" w:name="_Toc519520733"/>
      <w:bookmarkStart w:id="95" w:name="_Toc520188712"/>
      <w:bookmarkStart w:id="96" w:name="_Toc521054229"/>
      <w:bookmarkStart w:id="97" w:name="_Toc521054316"/>
      <w:bookmarkStart w:id="98" w:name="_Toc521054388"/>
      <w:r w:rsidRPr="00C64BEE">
        <w:rPr>
          <w:rFonts w:asciiTheme="minorHAnsi" w:hAnsiTheme="minorHAnsi"/>
        </w:rPr>
        <w:t>C</w:t>
      </w:r>
      <w:r w:rsidR="00474136" w:rsidRPr="00C64BEE">
        <w:rPr>
          <w:rFonts w:asciiTheme="minorHAnsi" w:hAnsiTheme="minorHAnsi"/>
        </w:rPr>
        <w:t>ontact Information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B0846" w:rsidRPr="00C64BEE" w:rsidRDefault="000B0846" w:rsidP="009C4F5B">
      <w:pPr>
        <w:pStyle w:val="ListParagraph"/>
        <w:tabs>
          <w:tab w:val="left" w:pos="1260"/>
        </w:tabs>
        <w:ind w:left="0"/>
      </w:pPr>
      <w:r w:rsidRPr="00C64BEE">
        <w:t>Telephone</w:t>
      </w:r>
      <w:r w:rsidRPr="00C64BEE">
        <w:tab/>
        <w:t>02 6205 0173</w:t>
      </w:r>
    </w:p>
    <w:p w:rsidR="000B0846" w:rsidRPr="00C64BEE" w:rsidRDefault="000B0846" w:rsidP="009C4F5B">
      <w:pPr>
        <w:pStyle w:val="ListParagraph"/>
        <w:tabs>
          <w:tab w:val="left" w:pos="1260"/>
        </w:tabs>
        <w:ind w:left="0"/>
      </w:pPr>
      <w:r w:rsidRPr="00C64BEE">
        <w:t>Facsimile</w:t>
      </w:r>
      <w:r w:rsidRPr="00C64BEE">
        <w:tab/>
        <w:t>02 6205 3109</w:t>
      </w:r>
    </w:p>
    <w:p w:rsidR="000B0846" w:rsidRPr="00C64BEE" w:rsidRDefault="000B0846" w:rsidP="009C4F5B">
      <w:pPr>
        <w:pStyle w:val="ListParagraph"/>
        <w:tabs>
          <w:tab w:val="left" w:pos="1260"/>
        </w:tabs>
        <w:ind w:left="0"/>
      </w:pPr>
      <w:r w:rsidRPr="00C64BEE">
        <w:t>Post</w:t>
      </w:r>
      <w:r w:rsidRPr="00C64BEE">
        <w:tab/>
        <w:t>GPO Box 1020, CANBERRA ACT 2601</w:t>
      </w:r>
    </w:p>
    <w:p w:rsidR="000B0846" w:rsidRPr="00C64BEE" w:rsidRDefault="000B0846" w:rsidP="009C4F5B">
      <w:pPr>
        <w:pStyle w:val="ListParagraph"/>
        <w:tabs>
          <w:tab w:val="left" w:pos="1260"/>
        </w:tabs>
        <w:ind w:left="0"/>
      </w:pPr>
      <w:r w:rsidRPr="00C64BEE">
        <w:t>Email</w:t>
      </w:r>
      <w:r w:rsidRPr="00C64BEE">
        <w:tab/>
        <w:t>scrutiny@parliament.act.gov.au</w:t>
      </w:r>
    </w:p>
    <w:p w:rsidR="000B0846" w:rsidRPr="00C64BEE" w:rsidRDefault="000B0846" w:rsidP="009C4F5B">
      <w:pPr>
        <w:pStyle w:val="ListParagraph"/>
        <w:tabs>
          <w:tab w:val="left" w:pos="1260"/>
        </w:tabs>
        <w:spacing w:after="360"/>
        <w:ind w:left="0"/>
      </w:pPr>
      <w:r w:rsidRPr="00C64BEE">
        <w:t>Website</w:t>
      </w:r>
      <w:r w:rsidRPr="00C64BEE">
        <w:tab/>
        <w:t>www.parliament.act.gov.au</w:t>
      </w:r>
    </w:p>
    <w:p w:rsidR="000B0846" w:rsidRPr="00C64BEE" w:rsidRDefault="000B0846" w:rsidP="002A185D">
      <w:pPr>
        <w:pStyle w:val="Heading3"/>
        <w:rPr>
          <w:rFonts w:asciiTheme="minorHAnsi" w:hAnsiTheme="minorHAnsi"/>
        </w:rPr>
      </w:pPr>
      <w:bookmarkStart w:id="99" w:name="_Toc500938172"/>
      <w:bookmarkStart w:id="100" w:name="_Toc500947020"/>
      <w:bookmarkStart w:id="101" w:name="_Toc501547029"/>
      <w:bookmarkStart w:id="102" w:name="_Toc501547384"/>
      <w:bookmarkStart w:id="103" w:name="_Toc505005668"/>
      <w:bookmarkStart w:id="104" w:name="_Toc505153759"/>
      <w:bookmarkStart w:id="105" w:name="_Toc508283427"/>
      <w:bookmarkStart w:id="106" w:name="_Toc510081783"/>
      <w:bookmarkStart w:id="107" w:name="_Toc511812220"/>
      <w:bookmarkStart w:id="108" w:name="_Toc512240158"/>
      <w:bookmarkStart w:id="109" w:name="_Toc513192155"/>
      <w:bookmarkStart w:id="110" w:name="_Toc514832417"/>
      <w:bookmarkStart w:id="111" w:name="_Toc514837962"/>
      <w:bookmarkStart w:id="112" w:name="_Toc514943596"/>
      <w:bookmarkStart w:id="113" w:name="_Toc515352039"/>
      <w:bookmarkStart w:id="114" w:name="_Toc518297248"/>
      <w:bookmarkStart w:id="115" w:name="_Toc519069306"/>
      <w:bookmarkStart w:id="116" w:name="_Toc519069367"/>
      <w:bookmarkStart w:id="117" w:name="_Toc519520734"/>
      <w:bookmarkStart w:id="118" w:name="_Toc520188713"/>
      <w:bookmarkStart w:id="119" w:name="_Toc521054230"/>
      <w:bookmarkStart w:id="120" w:name="_Toc521054317"/>
      <w:bookmarkStart w:id="121" w:name="_Toc521054389"/>
      <w:r w:rsidRPr="00C64BEE">
        <w:rPr>
          <w:rFonts w:asciiTheme="minorHAnsi" w:hAnsiTheme="minorHAnsi"/>
        </w:rPr>
        <w:t>R</w:t>
      </w:r>
      <w:r w:rsidR="00474136" w:rsidRPr="00C64BEE">
        <w:rPr>
          <w:rFonts w:asciiTheme="minorHAnsi" w:hAnsiTheme="minorHAnsi"/>
        </w:rPr>
        <w:t>ole of Committee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0B0846" w:rsidRPr="00C64BEE" w:rsidRDefault="000B0846" w:rsidP="000B0846">
      <w:r w:rsidRPr="00C64BEE">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C64BEE" w:rsidRDefault="00652A64" w:rsidP="00AC094E">
      <w:pPr>
        <w:pStyle w:val="Heading2"/>
        <w:rPr>
          <w:rFonts w:asciiTheme="minorHAnsi" w:hAnsiTheme="minorHAnsi"/>
        </w:rPr>
      </w:pPr>
      <w:r w:rsidRPr="00C64BEE">
        <w:rPr>
          <w:rFonts w:asciiTheme="minorHAnsi" w:hAnsiTheme="minorHAnsi"/>
        </w:rPr>
        <w:br w:type="page"/>
      </w:r>
      <w:bookmarkStart w:id="122" w:name="_Toc500938173"/>
      <w:bookmarkStart w:id="123" w:name="_Toc500947021"/>
      <w:bookmarkStart w:id="124" w:name="_Toc501547030"/>
      <w:bookmarkStart w:id="125" w:name="_Toc501547385"/>
      <w:bookmarkStart w:id="126" w:name="_Toc505005669"/>
      <w:bookmarkStart w:id="127" w:name="_Toc505153760"/>
      <w:bookmarkStart w:id="128" w:name="_Toc508283428"/>
      <w:bookmarkStart w:id="129" w:name="_Toc510081784"/>
      <w:bookmarkStart w:id="130" w:name="_Toc511812221"/>
      <w:bookmarkStart w:id="131" w:name="_Toc512240159"/>
      <w:bookmarkStart w:id="132" w:name="_Toc513192156"/>
      <w:bookmarkStart w:id="133" w:name="_Toc514832418"/>
      <w:bookmarkStart w:id="134" w:name="_Toc514837963"/>
      <w:bookmarkStart w:id="135" w:name="_Toc518297249"/>
      <w:bookmarkStart w:id="136" w:name="_Toc519069307"/>
      <w:bookmarkStart w:id="137" w:name="_Toc519069368"/>
      <w:bookmarkStart w:id="138" w:name="_Toc519520735"/>
      <w:bookmarkStart w:id="139" w:name="_Toc520188714"/>
      <w:bookmarkStart w:id="140" w:name="_Toc521054231"/>
      <w:bookmarkStart w:id="141" w:name="_Toc521054318"/>
      <w:bookmarkStart w:id="142" w:name="_Toc521054390"/>
      <w:r w:rsidR="00045F75" w:rsidRPr="00C64BEE">
        <w:rPr>
          <w:rFonts w:asciiTheme="minorHAnsi" w:hAnsiTheme="minorHAnsi"/>
        </w:rPr>
        <w:lastRenderedPageBreak/>
        <w:t>Resolution of Appointment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45F75" w:rsidRPr="00C64BEE" w:rsidRDefault="00045F75" w:rsidP="00045F75">
      <w:r w:rsidRPr="00C64BEE">
        <w:t>The Standing Committee on Justice and Community Safety when performing its legislative scrutiny role shall:</w:t>
      </w:r>
    </w:p>
    <w:p w:rsidR="00045F75" w:rsidRPr="00C64BEE" w:rsidRDefault="00045F75" w:rsidP="00034823">
      <w:pPr>
        <w:pStyle w:val="ListParagraph"/>
        <w:numPr>
          <w:ilvl w:val="0"/>
          <w:numId w:val="11"/>
        </w:numPr>
        <w:tabs>
          <w:tab w:val="left" w:pos="540"/>
        </w:tabs>
        <w:ind w:left="540" w:hanging="537"/>
        <w:contextualSpacing w:val="0"/>
      </w:pPr>
      <w:r w:rsidRPr="00C64BEE">
        <w:t>consider whether any instrument of a legislative nature made under an Act which is subject to disallowance and/or disapproval by the Assembly (including a regulation, rule or by-law):</w:t>
      </w:r>
    </w:p>
    <w:p w:rsidR="00045F75" w:rsidRPr="00C64BEE" w:rsidRDefault="00045F75" w:rsidP="00034823">
      <w:pPr>
        <w:pStyle w:val="ListParagraph"/>
        <w:numPr>
          <w:ilvl w:val="1"/>
          <w:numId w:val="11"/>
        </w:numPr>
        <w:ind w:left="1080" w:hanging="540"/>
        <w:contextualSpacing w:val="0"/>
      </w:pPr>
      <w:r w:rsidRPr="00C64BEE">
        <w:t xml:space="preserve">is in accord with the general objects of the Act under which it is made; </w:t>
      </w:r>
    </w:p>
    <w:p w:rsidR="00045F75" w:rsidRPr="00C64BEE" w:rsidRDefault="00045F75" w:rsidP="00034823">
      <w:pPr>
        <w:pStyle w:val="ListParagraph"/>
        <w:numPr>
          <w:ilvl w:val="1"/>
          <w:numId w:val="11"/>
        </w:numPr>
        <w:ind w:left="1080" w:hanging="540"/>
        <w:contextualSpacing w:val="0"/>
      </w:pPr>
      <w:r w:rsidRPr="00C64BEE">
        <w:t xml:space="preserve">unduly trespasses on rights previously established by law; </w:t>
      </w:r>
    </w:p>
    <w:p w:rsidR="00045F75" w:rsidRPr="00C64BEE" w:rsidRDefault="00045F75" w:rsidP="00034823">
      <w:pPr>
        <w:pStyle w:val="ListParagraph"/>
        <w:numPr>
          <w:ilvl w:val="1"/>
          <w:numId w:val="11"/>
        </w:numPr>
        <w:ind w:left="1080" w:hanging="540"/>
        <w:contextualSpacing w:val="0"/>
      </w:pPr>
      <w:r w:rsidRPr="00C64BEE">
        <w:t>makes rights, liberties and/or obligations unduly dependent upon non reviewable decisions; or</w:t>
      </w:r>
    </w:p>
    <w:p w:rsidR="00045F75" w:rsidRPr="00C64BEE" w:rsidRDefault="00045F75" w:rsidP="00034823">
      <w:pPr>
        <w:pStyle w:val="ListParagraph"/>
        <w:numPr>
          <w:ilvl w:val="1"/>
          <w:numId w:val="11"/>
        </w:numPr>
        <w:ind w:left="1080" w:hanging="540"/>
        <w:contextualSpacing w:val="0"/>
      </w:pPr>
      <w:r w:rsidRPr="00C64BEE">
        <w:t xml:space="preserve">contains matter which in the opinion of the Committee should properly be dealt with in an Act of the Legislative Assembly; </w:t>
      </w:r>
    </w:p>
    <w:p w:rsidR="00045F75" w:rsidRPr="00C64BEE" w:rsidRDefault="00045F75" w:rsidP="00034823">
      <w:pPr>
        <w:pStyle w:val="ListParagraph"/>
        <w:numPr>
          <w:ilvl w:val="0"/>
          <w:numId w:val="11"/>
        </w:numPr>
        <w:ind w:left="540" w:hanging="537"/>
        <w:contextualSpacing w:val="0"/>
      </w:pPr>
      <w:r w:rsidRPr="00C64BEE">
        <w:t>consider whether any explanatory statement or explanatory memorandum associated with legislation and any regulatory impact statement meets the technical or stylistic standards expected by the Committee;</w:t>
      </w:r>
    </w:p>
    <w:p w:rsidR="00045F75" w:rsidRPr="00C64BEE" w:rsidRDefault="00045F75" w:rsidP="00034823">
      <w:pPr>
        <w:pStyle w:val="ListParagraph"/>
        <w:numPr>
          <w:ilvl w:val="0"/>
          <w:numId w:val="11"/>
        </w:numPr>
        <w:ind w:left="540" w:hanging="537"/>
        <w:contextualSpacing w:val="0"/>
      </w:pPr>
      <w:r w:rsidRPr="00C64BEE">
        <w:t xml:space="preserve">consider whether the clauses of bills (and amendments proposed by the Government to its own bills) introduced into the Assembly: </w:t>
      </w:r>
    </w:p>
    <w:p w:rsidR="00045F75" w:rsidRPr="00C64BEE" w:rsidRDefault="00045F75" w:rsidP="00034823">
      <w:pPr>
        <w:pStyle w:val="ListParagraph"/>
        <w:numPr>
          <w:ilvl w:val="1"/>
          <w:numId w:val="11"/>
        </w:numPr>
        <w:ind w:left="1080" w:hanging="540"/>
        <w:contextualSpacing w:val="0"/>
      </w:pPr>
      <w:r w:rsidRPr="00C64BEE">
        <w:t xml:space="preserve">unduly trespass on personal rights and liberties;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insufficiently defined administrative powers;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non-reviewable decisions; </w:t>
      </w:r>
    </w:p>
    <w:p w:rsidR="00045F75" w:rsidRPr="00C64BEE" w:rsidRDefault="00045F75" w:rsidP="00034823">
      <w:pPr>
        <w:pStyle w:val="ListParagraph"/>
        <w:numPr>
          <w:ilvl w:val="1"/>
          <w:numId w:val="11"/>
        </w:numPr>
        <w:ind w:left="1080" w:hanging="540"/>
        <w:contextualSpacing w:val="0"/>
      </w:pPr>
      <w:r w:rsidRPr="00C64BEE">
        <w:t>inappropriately delegate legislative powers;  or</w:t>
      </w:r>
    </w:p>
    <w:p w:rsidR="00045F75" w:rsidRPr="00C64BEE" w:rsidRDefault="00045F75" w:rsidP="00034823">
      <w:pPr>
        <w:pStyle w:val="ListParagraph"/>
        <w:numPr>
          <w:ilvl w:val="1"/>
          <w:numId w:val="11"/>
        </w:numPr>
        <w:ind w:left="1080" w:hanging="540"/>
        <w:contextualSpacing w:val="0"/>
      </w:pPr>
      <w:r w:rsidRPr="00C64BEE">
        <w:t xml:space="preserve">insufficiently subject the exercise of legislative power to parliamentary scrutiny; </w:t>
      </w:r>
    </w:p>
    <w:p w:rsidR="00045F75" w:rsidRPr="00C64BEE" w:rsidRDefault="00045F75" w:rsidP="00034823">
      <w:pPr>
        <w:pStyle w:val="ListParagraph"/>
        <w:numPr>
          <w:ilvl w:val="0"/>
          <w:numId w:val="11"/>
        </w:numPr>
        <w:ind w:left="540" w:hanging="537"/>
        <w:contextualSpacing w:val="0"/>
      </w:pPr>
      <w:r w:rsidRPr="00C64BEE">
        <w:t xml:space="preserve">report to the Legislative Assembly about human rights issues raised by bills presented to the Assembly pursuant to section 38 of the </w:t>
      </w:r>
      <w:r w:rsidRPr="00C64BEE">
        <w:rPr>
          <w:i/>
        </w:rPr>
        <w:t>Human Rights Act 2004</w:t>
      </w:r>
      <w:r w:rsidRPr="00C64BEE">
        <w:t>; and</w:t>
      </w:r>
    </w:p>
    <w:p w:rsidR="00045F75" w:rsidRPr="00C64BEE" w:rsidRDefault="00045F75" w:rsidP="00034823">
      <w:pPr>
        <w:pStyle w:val="ListParagraph"/>
        <w:numPr>
          <w:ilvl w:val="0"/>
          <w:numId w:val="11"/>
        </w:numPr>
        <w:ind w:left="540" w:hanging="537"/>
        <w:contextualSpacing w:val="0"/>
      </w:pPr>
      <w:r w:rsidRPr="00C64BEE">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C64BEE" w:rsidRDefault="00126D9A">
      <w:r w:rsidRPr="00C64BEE">
        <w:br w:type="page"/>
      </w:r>
    </w:p>
    <w:p w:rsidR="009E5652" w:rsidRDefault="00D447D3" w:rsidP="009E5652">
      <w:pPr>
        <w:pStyle w:val="TOCHeading"/>
        <w:keepNext w:val="0"/>
        <w:keepLines w:val="0"/>
        <w:spacing w:before="120" w:after="480" w:line="500" w:lineRule="exact"/>
        <w:outlineLvl w:val="1"/>
        <w:rPr>
          <w:noProof/>
        </w:rPr>
      </w:pPr>
      <w:bookmarkStart w:id="143" w:name="_Toc514837964"/>
      <w:r w:rsidRPr="00C64BEE">
        <w:rPr>
          <w:rFonts w:asciiTheme="minorHAnsi" w:eastAsia="Times New Roman" w:hAnsiTheme="minorHAnsi" w:cs="Times New Roman"/>
          <w:smallCaps/>
          <w:spacing w:val="20"/>
          <w:kern w:val="42"/>
          <w:sz w:val="44"/>
          <w:szCs w:val="44"/>
        </w:rPr>
        <w:lastRenderedPageBreak/>
        <w:t>Table of Contents</w:t>
      </w:r>
      <w:bookmarkEnd w:id="143"/>
      <w:r w:rsidR="00C91B80" w:rsidRPr="00C64BEE">
        <w:rPr>
          <w:rFonts w:asciiTheme="minorHAnsi" w:hAnsiTheme="minorHAnsi"/>
        </w:rPr>
        <w:fldChar w:fldCharType="begin"/>
      </w:r>
      <w:r w:rsidR="00562E8A" w:rsidRPr="00C64BEE">
        <w:rPr>
          <w:rFonts w:asciiTheme="minorHAnsi" w:hAnsiTheme="minorHAnsi"/>
        </w:rPr>
        <w:instrText xml:space="preserve"> TOC \h \z \u \t "Heading 2,1,Heading 3,2,Heading 4,3" </w:instrText>
      </w:r>
      <w:r w:rsidR="00C91B80" w:rsidRPr="00C64BEE">
        <w:rPr>
          <w:rFonts w:asciiTheme="minorHAnsi" w:hAnsiTheme="minorHAnsi"/>
        </w:rPr>
        <w:fldChar w:fldCharType="separate"/>
      </w:r>
    </w:p>
    <w:p w:rsidR="009E5652" w:rsidRDefault="00C91B80">
      <w:pPr>
        <w:pStyle w:val="TOC1"/>
        <w:rPr>
          <w:rFonts w:asciiTheme="minorHAnsi" w:eastAsiaTheme="minorEastAsia" w:hAnsiTheme="minorHAnsi" w:cstheme="minorBidi"/>
          <w:b w:val="0"/>
          <w:bCs w:val="0"/>
          <w:smallCaps w:val="0"/>
          <w:noProof/>
          <w:spacing w:val="0"/>
          <w:sz w:val="22"/>
          <w:szCs w:val="22"/>
          <w:lang w:eastAsia="en-AU"/>
        </w:rPr>
      </w:pPr>
      <w:hyperlink w:anchor="_Toc521054391" w:history="1">
        <w:r w:rsidR="009E5652" w:rsidRPr="00081772">
          <w:rPr>
            <w:rStyle w:val="Hyperlink"/>
            <w:rFonts w:eastAsia="Calibri"/>
            <w:noProof/>
            <w:lang w:eastAsia="en-AU"/>
          </w:rPr>
          <w:t>Subordinate Legislation</w:t>
        </w:r>
        <w:r w:rsidR="009E5652">
          <w:rPr>
            <w:noProof/>
            <w:webHidden/>
          </w:rPr>
          <w:tab/>
        </w:r>
        <w:r>
          <w:rPr>
            <w:noProof/>
            <w:webHidden/>
          </w:rPr>
          <w:fldChar w:fldCharType="begin"/>
        </w:r>
        <w:r w:rsidR="009E5652">
          <w:rPr>
            <w:noProof/>
            <w:webHidden/>
          </w:rPr>
          <w:instrText xml:space="preserve"> PAGEREF _Toc521054391 \h </w:instrText>
        </w:r>
        <w:r>
          <w:rPr>
            <w:noProof/>
            <w:webHidden/>
          </w:rPr>
        </w:r>
        <w:r>
          <w:rPr>
            <w:noProof/>
            <w:webHidden/>
          </w:rPr>
          <w:fldChar w:fldCharType="separate"/>
        </w:r>
        <w:r w:rsidR="002F04E9">
          <w:rPr>
            <w:noProof/>
            <w:webHidden/>
          </w:rPr>
          <w:t>1</w:t>
        </w:r>
        <w:r>
          <w:rPr>
            <w:noProof/>
            <w:webHidden/>
          </w:rPr>
          <w:fldChar w:fldCharType="end"/>
        </w:r>
      </w:hyperlink>
    </w:p>
    <w:p w:rsidR="009E5652" w:rsidRDefault="00C91B80">
      <w:pPr>
        <w:pStyle w:val="TOC2"/>
        <w:rPr>
          <w:rFonts w:asciiTheme="minorHAnsi" w:eastAsiaTheme="minorEastAsia" w:hAnsiTheme="minorHAnsi" w:cstheme="minorBidi"/>
          <w:b w:val="0"/>
          <w:noProof/>
          <w:sz w:val="22"/>
          <w:szCs w:val="22"/>
          <w:lang w:eastAsia="en-AU"/>
        </w:rPr>
      </w:pPr>
      <w:hyperlink w:anchor="_Toc521054392" w:history="1">
        <w:r w:rsidR="009E5652" w:rsidRPr="00081772">
          <w:rPr>
            <w:rStyle w:val="Hyperlink"/>
            <w:rFonts w:eastAsia="Calibri"/>
            <w:noProof/>
            <w:lang w:eastAsia="en-AU"/>
          </w:rPr>
          <w:t>Disallowable Instruments—No comment</w:t>
        </w:r>
        <w:r w:rsidR="009E5652">
          <w:rPr>
            <w:noProof/>
            <w:webHidden/>
          </w:rPr>
          <w:tab/>
        </w:r>
        <w:r>
          <w:rPr>
            <w:noProof/>
            <w:webHidden/>
          </w:rPr>
          <w:fldChar w:fldCharType="begin"/>
        </w:r>
        <w:r w:rsidR="009E5652">
          <w:rPr>
            <w:noProof/>
            <w:webHidden/>
          </w:rPr>
          <w:instrText xml:space="preserve"> PAGEREF _Toc521054392 \h </w:instrText>
        </w:r>
        <w:r>
          <w:rPr>
            <w:noProof/>
            <w:webHidden/>
          </w:rPr>
        </w:r>
        <w:r>
          <w:rPr>
            <w:noProof/>
            <w:webHidden/>
          </w:rPr>
          <w:fldChar w:fldCharType="separate"/>
        </w:r>
        <w:r w:rsidR="002F04E9">
          <w:rPr>
            <w:noProof/>
            <w:webHidden/>
          </w:rPr>
          <w:t>1</w:t>
        </w:r>
        <w:r>
          <w:rPr>
            <w:noProof/>
            <w:webHidden/>
          </w:rPr>
          <w:fldChar w:fldCharType="end"/>
        </w:r>
      </w:hyperlink>
    </w:p>
    <w:p w:rsidR="009E5652" w:rsidRDefault="00C91B80">
      <w:pPr>
        <w:pStyle w:val="TOC2"/>
        <w:rPr>
          <w:rFonts w:asciiTheme="minorHAnsi" w:eastAsiaTheme="minorEastAsia" w:hAnsiTheme="minorHAnsi" w:cstheme="minorBidi"/>
          <w:b w:val="0"/>
          <w:noProof/>
          <w:sz w:val="22"/>
          <w:szCs w:val="22"/>
          <w:lang w:eastAsia="en-AU"/>
        </w:rPr>
      </w:pPr>
      <w:hyperlink w:anchor="_Toc521054393" w:history="1">
        <w:r w:rsidR="009E5652" w:rsidRPr="00081772">
          <w:rPr>
            <w:rStyle w:val="Hyperlink"/>
            <w:rFonts w:eastAsia="Calibri"/>
            <w:noProof/>
            <w:lang w:eastAsia="en-AU"/>
          </w:rPr>
          <w:t>Disallowable Instruments—Comment</w:t>
        </w:r>
        <w:r w:rsidR="009E5652">
          <w:rPr>
            <w:noProof/>
            <w:webHidden/>
          </w:rPr>
          <w:tab/>
        </w:r>
        <w:r>
          <w:rPr>
            <w:noProof/>
            <w:webHidden/>
          </w:rPr>
          <w:fldChar w:fldCharType="begin"/>
        </w:r>
        <w:r w:rsidR="009E5652">
          <w:rPr>
            <w:noProof/>
            <w:webHidden/>
          </w:rPr>
          <w:instrText xml:space="preserve"> PAGEREF _Toc521054393 \h </w:instrText>
        </w:r>
        <w:r>
          <w:rPr>
            <w:noProof/>
            <w:webHidden/>
          </w:rPr>
        </w:r>
        <w:r>
          <w:rPr>
            <w:noProof/>
            <w:webHidden/>
          </w:rPr>
          <w:fldChar w:fldCharType="separate"/>
        </w:r>
        <w:r w:rsidR="002F04E9">
          <w:rPr>
            <w:noProof/>
            <w:webHidden/>
          </w:rPr>
          <w:t>7</w:t>
        </w:r>
        <w:r>
          <w:rPr>
            <w:noProof/>
            <w:webHidden/>
          </w:rPr>
          <w:fldChar w:fldCharType="end"/>
        </w:r>
      </w:hyperlink>
    </w:p>
    <w:p w:rsidR="009E5652" w:rsidRDefault="00C91B80">
      <w:pPr>
        <w:pStyle w:val="TOC2"/>
        <w:rPr>
          <w:rFonts w:asciiTheme="minorHAnsi" w:eastAsiaTheme="minorEastAsia" w:hAnsiTheme="minorHAnsi" w:cstheme="minorBidi"/>
          <w:b w:val="0"/>
          <w:noProof/>
          <w:sz w:val="22"/>
          <w:szCs w:val="22"/>
          <w:lang w:eastAsia="en-AU"/>
        </w:rPr>
      </w:pPr>
      <w:hyperlink w:anchor="_Toc521054400" w:history="1">
        <w:r w:rsidR="009E5652" w:rsidRPr="00081772">
          <w:rPr>
            <w:rStyle w:val="Hyperlink"/>
            <w:rFonts w:eastAsia="Calibri"/>
            <w:noProof/>
            <w:lang w:eastAsia="en-AU"/>
          </w:rPr>
          <w:t>Subordinate Law—No comment</w:t>
        </w:r>
        <w:r w:rsidR="009E5652">
          <w:rPr>
            <w:noProof/>
            <w:webHidden/>
          </w:rPr>
          <w:tab/>
        </w:r>
        <w:r>
          <w:rPr>
            <w:noProof/>
            <w:webHidden/>
          </w:rPr>
          <w:fldChar w:fldCharType="begin"/>
        </w:r>
        <w:r w:rsidR="009E5652">
          <w:rPr>
            <w:noProof/>
            <w:webHidden/>
          </w:rPr>
          <w:instrText xml:space="preserve"> PAGEREF _Toc521054400 \h </w:instrText>
        </w:r>
        <w:r>
          <w:rPr>
            <w:noProof/>
            <w:webHidden/>
          </w:rPr>
        </w:r>
        <w:r>
          <w:rPr>
            <w:noProof/>
            <w:webHidden/>
          </w:rPr>
          <w:fldChar w:fldCharType="separate"/>
        </w:r>
        <w:r w:rsidR="002F04E9">
          <w:rPr>
            <w:noProof/>
            <w:webHidden/>
          </w:rPr>
          <w:t>21</w:t>
        </w:r>
        <w:r>
          <w:rPr>
            <w:noProof/>
            <w:webHidden/>
          </w:rPr>
          <w:fldChar w:fldCharType="end"/>
        </w:r>
      </w:hyperlink>
    </w:p>
    <w:p w:rsidR="009E5652" w:rsidRDefault="00C91B80">
      <w:pPr>
        <w:pStyle w:val="TOC2"/>
        <w:rPr>
          <w:rFonts w:asciiTheme="minorHAnsi" w:eastAsiaTheme="minorEastAsia" w:hAnsiTheme="minorHAnsi" w:cstheme="minorBidi"/>
          <w:b w:val="0"/>
          <w:noProof/>
          <w:sz w:val="22"/>
          <w:szCs w:val="22"/>
          <w:lang w:eastAsia="en-AU"/>
        </w:rPr>
      </w:pPr>
      <w:hyperlink w:anchor="_Toc521054401" w:history="1">
        <w:r w:rsidR="009E5652" w:rsidRPr="00081772">
          <w:rPr>
            <w:rStyle w:val="Hyperlink"/>
            <w:rFonts w:eastAsia="Calibri"/>
            <w:noProof/>
            <w:lang w:eastAsia="en-AU"/>
          </w:rPr>
          <w:t>Subordinate Laws—Comment</w:t>
        </w:r>
        <w:r w:rsidR="009E5652">
          <w:rPr>
            <w:noProof/>
            <w:webHidden/>
          </w:rPr>
          <w:tab/>
        </w:r>
        <w:r>
          <w:rPr>
            <w:noProof/>
            <w:webHidden/>
          </w:rPr>
          <w:fldChar w:fldCharType="begin"/>
        </w:r>
        <w:r w:rsidR="009E5652">
          <w:rPr>
            <w:noProof/>
            <w:webHidden/>
          </w:rPr>
          <w:instrText xml:space="preserve"> PAGEREF _Toc521054401 \h </w:instrText>
        </w:r>
        <w:r>
          <w:rPr>
            <w:noProof/>
            <w:webHidden/>
          </w:rPr>
        </w:r>
        <w:r>
          <w:rPr>
            <w:noProof/>
            <w:webHidden/>
          </w:rPr>
          <w:fldChar w:fldCharType="separate"/>
        </w:r>
        <w:r w:rsidR="002F04E9">
          <w:rPr>
            <w:noProof/>
            <w:webHidden/>
          </w:rPr>
          <w:t>22</w:t>
        </w:r>
        <w:r>
          <w:rPr>
            <w:noProof/>
            <w:webHidden/>
          </w:rPr>
          <w:fldChar w:fldCharType="end"/>
        </w:r>
      </w:hyperlink>
    </w:p>
    <w:p w:rsidR="009E5652" w:rsidRDefault="00C91B80">
      <w:pPr>
        <w:pStyle w:val="TOC2"/>
        <w:rPr>
          <w:rFonts w:asciiTheme="minorHAnsi" w:eastAsiaTheme="minorEastAsia" w:hAnsiTheme="minorHAnsi" w:cstheme="minorBidi"/>
          <w:b w:val="0"/>
          <w:noProof/>
          <w:sz w:val="22"/>
          <w:szCs w:val="22"/>
          <w:lang w:eastAsia="en-AU"/>
        </w:rPr>
      </w:pPr>
      <w:hyperlink w:anchor="_Toc521054405" w:history="1">
        <w:r w:rsidR="009E5652" w:rsidRPr="00081772">
          <w:rPr>
            <w:rStyle w:val="Hyperlink"/>
            <w:rFonts w:eastAsia="Calibri"/>
            <w:noProof/>
            <w:lang w:eastAsia="en-AU"/>
          </w:rPr>
          <w:t>Regulatory impact statements—No comment</w:t>
        </w:r>
        <w:r w:rsidR="009E5652">
          <w:rPr>
            <w:noProof/>
            <w:webHidden/>
          </w:rPr>
          <w:tab/>
        </w:r>
        <w:r>
          <w:rPr>
            <w:noProof/>
            <w:webHidden/>
          </w:rPr>
          <w:fldChar w:fldCharType="begin"/>
        </w:r>
        <w:r w:rsidR="009E5652">
          <w:rPr>
            <w:noProof/>
            <w:webHidden/>
          </w:rPr>
          <w:instrText xml:space="preserve"> PAGEREF _Toc521054405 \h </w:instrText>
        </w:r>
        <w:r>
          <w:rPr>
            <w:noProof/>
            <w:webHidden/>
          </w:rPr>
        </w:r>
        <w:r>
          <w:rPr>
            <w:noProof/>
            <w:webHidden/>
          </w:rPr>
          <w:fldChar w:fldCharType="separate"/>
        </w:r>
        <w:r w:rsidR="002F04E9">
          <w:rPr>
            <w:noProof/>
            <w:webHidden/>
          </w:rPr>
          <w:t>26</w:t>
        </w:r>
        <w:r>
          <w:rPr>
            <w:noProof/>
            <w:webHidden/>
          </w:rPr>
          <w:fldChar w:fldCharType="end"/>
        </w:r>
      </w:hyperlink>
    </w:p>
    <w:p w:rsidR="009E5652" w:rsidRDefault="00C91B80">
      <w:pPr>
        <w:pStyle w:val="TOC2"/>
        <w:rPr>
          <w:rFonts w:asciiTheme="minorHAnsi" w:eastAsiaTheme="minorEastAsia" w:hAnsiTheme="minorHAnsi" w:cstheme="minorBidi"/>
          <w:b w:val="0"/>
          <w:noProof/>
          <w:sz w:val="22"/>
          <w:szCs w:val="22"/>
          <w:lang w:eastAsia="en-AU"/>
        </w:rPr>
      </w:pPr>
      <w:hyperlink w:anchor="_Toc521054406" w:history="1">
        <w:r w:rsidR="009E5652" w:rsidRPr="00081772">
          <w:rPr>
            <w:rStyle w:val="Hyperlink"/>
            <w:rFonts w:eastAsia="Calibri"/>
            <w:noProof/>
            <w:lang w:eastAsia="en-AU"/>
          </w:rPr>
          <w:t>Regulatory impact statement—Comment</w:t>
        </w:r>
        <w:r w:rsidR="009E5652">
          <w:rPr>
            <w:noProof/>
            <w:webHidden/>
          </w:rPr>
          <w:tab/>
        </w:r>
        <w:r>
          <w:rPr>
            <w:noProof/>
            <w:webHidden/>
          </w:rPr>
          <w:fldChar w:fldCharType="begin"/>
        </w:r>
        <w:r w:rsidR="009E5652">
          <w:rPr>
            <w:noProof/>
            <w:webHidden/>
          </w:rPr>
          <w:instrText xml:space="preserve"> PAGEREF _Toc521054406 \h </w:instrText>
        </w:r>
        <w:r>
          <w:rPr>
            <w:noProof/>
            <w:webHidden/>
          </w:rPr>
        </w:r>
        <w:r>
          <w:rPr>
            <w:noProof/>
            <w:webHidden/>
          </w:rPr>
          <w:fldChar w:fldCharType="separate"/>
        </w:r>
        <w:r w:rsidR="002F04E9">
          <w:rPr>
            <w:noProof/>
            <w:webHidden/>
          </w:rPr>
          <w:t>26</w:t>
        </w:r>
        <w:r>
          <w:rPr>
            <w:noProof/>
            <w:webHidden/>
          </w:rPr>
          <w:fldChar w:fldCharType="end"/>
        </w:r>
      </w:hyperlink>
    </w:p>
    <w:p w:rsidR="009E5652" w:rsidRDefault="00C91B80">
      <w:pPr>
        <w:pStyle w:val="TOC1"/>
        <w:rPr>
          <w:rFonts w:asciiTheme="minorHAnsi" w:eastAsiaTheme="minorEastAsia" w:hAnsiTheme="minorHAnsi" w:cstheme="minorBidi"/>
          <w:b w:val="0"/>
          <w:bCs w:val="0"/>
          <w:smallCaps w:val="0"/>
          <w:noProof/>
          <w:spacing w:val="0"/>
          <w:sz w:val="22"/>
          <w:szCs w:val="22"/>
          <w:lang w:eastAsia="en-AU"/>
        </w:rPr>
      </w:pPr>
      <w:hyperlink w:anchor="_Toc521054408" w:history="1">
        <w:r w:rsidR="009E5652" w:rsidRPr="00081772">
          <w:rPr>
            <w:rStyle w:val="Hyperlink"/>
            <w:rFonts w:eastAsia="Calibri"/>
            <w:noProof/>
            <w:lang w:eastAsia="en-AU"/>
          </w:rPr>
          <w:t>Government Responses</w:t>
        </w:r>
        <w:r w:rsidR="009E5652">
          <w:rPr>
            <w:noProof/>
            <w:webHidden/>
          </w:rPr>
          <w:tab/>
        </w:r>
        <w:r>
          <w:rPr>
            <w:noProof/>
            <w:webHidden/>
          </w:rPr>
          <w:fldChar w:fldCharType="begin"/>
        </w:r>
        <w:r w:rsidR="009E5652">
          <w:rPr>
            <w:noProof/>
            <w:webHidden/>
          </w:rPr>
          <w:instrText xml:space="preserve"> PAGEREF _Toc521054408 \h </w:instrText>
        </w:r>
        <w:r>
          <w:rPr>
            <w:noProof/>
            <w:webHidden/>
          </w:rPr>
        </w:r>
        <w:r>
          <w:rPr>
            <w:noProof/>
            <w:webHidden/>
          </w:rPr>
          <w:fldChar w:fldCharType="separate"/>
        </w:r>
        <w:r w:rsidR="002F04E9">
          <w:rPr>
            <w:noProof/>
            <w:webHidden/>
          </w:rPr>
          <w:t>27</w:t>
        </w:r>
        <w:r>
          <w:rPr>
            <w:noProof/>
            <w:webHidden/>
          </w:rPr>
          <w:fldChar w:fldCharType="end"/>
        </w:r>
      </w:hyperlink>
    </w:p>
    <w:p w:rsidR="009E5652" w:rsidRDefault="00C91B80">
      <w:pPr>
        <w:pStyle w:val="TOC1"/>
        <w:rPr>
          <w:rFonts w:asciiTheme="minorHAnsi" w:eastAsiaTheme="minorEastAsia" w:hAnsiTheme="minorHAnsi" w:cstheme="minorBidi"/>
          <w:b w:val="0"/>
          <w:bCs w:val="0"/>
          <w:smallCaps w:val="0"/>
          <w:noProof/>
          <w:spacing w:val="0"/>
          <w:sz w:val="22"/>
          <w:szCs w:val="22"/>
          <w:lang w:eastAsia="en-AU"/>
        </w:rPr>
      </w:pPr>
      <w:hyperlink w:anchor="_Toc521054409" w:history="1">
        <w:r w:rsidR="009E5652" w:rsidRPr="00081772">
          <w:rPr>
            <w:rStyle w:val="Hyperlink"/>
            <w:noProof/>
          </w:rPr>
          <w:t>Outstanding Responses</w:t>
        </w:r>
        <w:r w:rsidR="009E5652">
          <w:rPr>
            <w:noProof/>
            <w:webHidden/>
          </w:rPr>
          <w:tab/>
        </w:r>
        <w:r>
          <w:rPr>
            <w:noProof/>
            <w:webHidden/>
          </w:rPr>
          <w:fldChar w:fldCharType="begin"/>
        </w:r>
        <w:r w:rsidR="009E5652">
          <w:rPr>
            <w:noProof/>
            <w:webHidden/>
          </w:rPr>
          <w:instrText xml:space="preserve"> PAGEREF _Toc521054409 \h </w:instrText>
        </w:r>
        <w:r>
          <w:rPr>
            <w:noProof/>
            <w:webHidden/>
          </w:rPr>
        </w:r>
        <w:r>
          <w:rPr>
            <w:noProof/>
            <w:webHidden/>
          </w:rPr>
          <w:fldChar w:fldCharType="separate"/>
        </w:r>
        <w:r w:rsidR="002F04E9">
          <w:rPr>
            <w:noProof/>
            <w:webHidden/>
          </w:rPr>
          <w:t>29</w:t>
        </w:r>
        <w:r>
          <w:rPr>
            <w:noProof/>
            <w:webHidden/>
          </w:rPr>
          <w:fldChar w:fldCharType="end"/>
        </w:r>
      </w:hyperlink>
    </w:p>
    <w:p w:rsidR="00351AD0" w:rsidRPr="00C64BEE" w:rsidRDefault="00C91B80" w:rsidP="008906CF">
      <w:pPr>
        <w:pStyle w:val="TOCHeading"/>
        <w:rPr>
          <w:rFonts w:asciiTheme="minorHAnsi" w:hAnsiTheme="minorHAnsi"/>
        </w:rPr>
      </w:pPr>
      <w:r w:rsidRPr="00C64BEE">
        <w:rPr>
          <w:rFonts w:asciiTheme="minorHAnsi" w:hAnsiTheme="minorHAnsi"/>
        </w:rPr>
        <w:fldChar w:fldCharType="end"/>
      </w:r>
    </w:p>
    <w:p w:rsidR="00351AD0" w:rsidRPr="00C64BEE" w:rsidRDefault="00351AD0" w:rsidP="00351AD0">
      <w:pPr>
        <w:sectPr w:rsidR="00351AD0" w:rsidRPr="00C64BEE" w:rsidSect="00E8247B">
          <w:headerReference w:type="even" r:id="rId15"/>
          <w:headerReference w:type="default" r:id="rId16"/>
          <w:footerReference w:type="even" r:id="rId17"/>
          <w:footerReference w:type="default" r:id="rId18"/>
          <w:pgSz w:w="11906" w:h="16838"/>
          <w:pgMar w:top="1440" w:right="1440" w:bottom="1440" w:left="1440" w:header="708" w:footer="708" w:gutter="0"/>
          <w:pgNumType w:fmt="lowerRoman" w:start="1"/>
          <w:cols w:space="708"/>
          <w:docGrid w:linePitch="360"/>
        </w:sectPr>
      </w:pPr>
      <w:r w:rsidRPr="00C64BEE">
        <w:br w:type="page"/>
      </w:r>
    </w:p>
    <w:p w:rsidR="00123DBF" w:rsidRPr="00C64BEE" w:rsidRDefault="00123DBF" w:rsidP="008906CF">
      <w:pPr>
        <w:pStyle w:val="TOCHeading"/>
        <w:rPr>
          <w:rFonts w:asciiTheme="minorHAnsi" w:hAnsiTheme="minorHAnsi"/>
        </w:rPr>
      </w:pPr>
    </w:p>
    <w:p w:rsidR="00632981" w:rsidRPr="00C64BEE" w:rsidRDefault="00632981">
      <w:pPr>
        <w:sectPr w:rsidR="00632981" w:rsidRPr="00C64BEE" w:rsidSect="00351AD0">
          <w:headerReference w:type="even" r:id="rId19"/>
          <w:footerReference w:type="even" r:id="rId20"/>
          <w:type w:val="continuous"/>
          <w:pgSz w:w="11906" w:h="16838"/>
          <w:pgMar w:top="1440" w:right="1440" w:bottom="1440" w:left="1440" w:header="708" w:footer="708" w:gutter="0"/>
          <w:cols w:space="708"/>
          <w:docGrid w:linePitch="360"/>
        </w:sectPr>
      </w:pPr>
    </w:p>
    <w:p w:rsidR="00F23CCD" w:rsidRPr="00C64BEE" w:rsidRDefault="00F23CCD" w:rsidP="00AC094E">
      <w:pPr>
        <w:pStyle w:val="Heading2"/>
        <w:rPr>
          <w:rFonts w:asciiTheme="minorHAnsi" w:eastAsia="Calibri" w:hAnsiTheme="minorHAnsi"/>
          <w:lang w:eastAsia="en-AU"/>
        </w:rPr>
      </w:pPr>
      <w:bookmarkStart w:id="144" w:name="_Toc501448810"/>
      <w:bookmarkStart w:id="145" w:name="_Toc514837969"/>
      <w:bookmarkStart w:id="146" w:name="_Toc521054391"/>
      <w:r w:rsidRPr="00C64BEE">
        <w:rPr>
          <w:rFonts w:asciiTheme="minorHAnsi" w:eastAsia="Calibri" w:hAnsiTheme="minorHAnsi"/>
          <w:lang w:eastAsia="en-AU"/>
        </w:rPr>
        <w:lastRenderedPageBreak/>
        <w:t>Subordinate Legislation</w:t>
      </w:r>
      <w:bookmarkEnd w:id="144"/>
      <w:bookmarkEnd w:id="145"/>
      <w:bookmarkEnd w:id="146"/>
    </w:p>
    <w:p w:rsidR="00F23CCD" w:rsidRPr="00C64BEE" w:rsidRDefault="00E6627C" w:rsidP="00AC094E">
      <w:pPr>
        <w:pStyle w:val="Heading3"/>
        <w:rPr>
          <w:rFonts w:asciiTheme="minorHAnsi" w:eastAsia="Calibri" w:hAnsiTheme="minorHAnsi"/>
          <w:lang w:eastAsia="en-AU"/>
        </w:rPr>
      </w:pPr>
      <w:bookmarkStart w:id="147" w:name="_Toc501448811"/>
      <w:bookmarkStart w:id="148" w:name="_Toc514837970"/>
      <w:bookmarkStart w:id="149" w:name="_Toc521054392"/>
      <w:r w:rsidRPr="00C64BEE">
        <w:rPr>
          <w:rFonts w:asciiTheme="minorHAnsi" w:eastAsia="Calibri" w:hAnsiTheme="minorHAnsi"/>
          <w:lang w:eastAsia="en-AU"/>
        </w:rPr>
        <w:t>Disallowable Instruments—No c</w:t>
      </w:r>
      <w:r w:rsidR="00F23CCD" w:rsidRPr="00C64BEE">
        <w:rPr>
          <w:rFonts w:asciiTheme="minorHAnsi" w:eastAsia="Calibri" w:hAnsiTheme="minorHAnsi"/>
          <w:lang w:eastAsia="en-AU"/>
        </w:rPr>
        <w:t>omment</w:t>
      </w:r>
      <w:bookmarkEnd w:id="147"/>
      <w:bookmarkEnd w:id="148"/>
      <w:bookmarkEnd w:id="149"/>
    </w:p>
    <w:p w:rsidR="00B533E0" w:rsidRPr="00C64BEE" w:rsidRDefault="00B533E0" w:rsidP="00AA3302">
      <w:pPr>
        <w:keepLines/>
        <w:spacing w:after="120"/>
        <w:rPr>
          <w:rFonts w:eastAsia="Calibri" w:cs="Times New Roman"/>
        </w:rPr>
      </w:pPr>
      <w:bookmarkStart w:id="150" w:name="_Toc501448813"/>
      <w:r w:rsidRPr="00C64BEE">
        <w:rPr>
          <w:rFonts w:eastAsia="Calibri" w:cs="Times New Roman"/>
        </w:rPr>
        <w:t>The Committee has examined the following disallowable instruments and offers no comment on them:</w:t>
      </w:r>
    </w:p>
    <w:p w:rsidR="00B13710" w:rsidRPr="00C64BEE" w:rsidRDefault="00B13710" w:rsidP="00B13710">
      <w:pPr>
        <w:pStyle w:val="ListParagraph"/>
        <w:numPr>
          <w:ilvl w:val="0"/>
          <w:numId w:val="34"/>
        </w:numPr>
        <w:spacing w:before="120" w:after="120" w:line="240" w:lineRule="auto"/>
        <w:ind w:left="360"/>
        <w:contextualSpacing w:val="0"/>
        <w:rPr>
          <w:b/>
        </w:rPr>
      </w:pPr>
      <w:bookmarkStart w:id="151" w:name="_Toc514837975"/>
      <w:bookmarkStart w:id="152" w:name="_Toc501448819"/>
      <w:bookmarkEnd w:id="150"/>
      <w:r w:rsidRPr="00C64BEE">
        <w:rPr>
          <w:b/>
        </w:rPr>
        <w:t xml:space="preserve">Disallowable Instrument DI2018-98 being the Nature Conservation (Fees) Determination 2018 made under section 368 of the </w:t>
      </w:r>
      <w:r w:rsidRPr="00C64BEE">
        <w:rPr>
          <w:i/>
        </w:rPr>
        <w:t>Nature Conservation Act 2014</w:t>
      </w:r>
      <w:r w:rsidRPr="00C64BEE">
        <w:rPr>
          <w:b/>
        </w:rPr>
        <w:t xml:space="preserve"> revokes DI2017-156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Disallowable Instrument DI2018-99 being the Public Place Names (</w:t>
      </w:r>
      <w:proofErr w:type="spellStart"/>
      <w:r w:rsidRPr="00C64BEE">
        <w:rPr>
          <w:b/>
        </w:rPr>
        <w:t>Strathnairn</w:t>
      </w:r>
      <w:proofErr w:type="spellEnd"/>
      <w:r w:rsidRPr="00C64BEE">
        <w:rPr>
          <w:b/>
        </w:rPr>
        <w:t xml:space="preserve">) Determination 2018 made under section 3 of the </w:t>
      </w:r>
      <w:r w:rsidRPr="00C64BEE">
        <w:rPr>
          <w:i/>
        </w:rPr>
        <w:t>Public Place Names Act 1989</w:t>
      </w:r>
      <w:r w:rsidRPr="00C64BEE">
        <w:rPr>
          <w:b/>
        </w:rPr>
        <w:t xml:space="preserve"> revokes DI2011-184, amends the determination published in Commonwealth of Australia Gazette No P9, dated 4 June 1982, and determines the names of 22 public places.</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DI2018-100 being the Climate Change and Greenhouse Gas Reduction (Climate Change Council Member) Appointment 2018 (No 1) made under section 20 of the </w:t>
      </w:r>
      <w:r w:rsidRPr="00C64BEE">
        <w:rPr>
          <w:i/>
        </w:rPr>
        <w:t>Climate Change and Greenhouse Gas Reduction Act 2010</w:t>
      </w:r>
      <w:r w:rsidRPr="00C64BEE">
        <w:rPr>
          <w:b/>
        </w:rPr>
        <w:t xml:space="preserve"> appoints a specified person as a member of the ACT Climate Change Council.</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DI2018-101 being the Climate Change and Greenhouse Gas Reduction (Climate Change Council Member) Appointment 2018 (No 2) made under section 20 of the </w:t>
      </w:r>
      <w:r w:rsidRPr="00C64BEE">
        <w:rPr>
          <w:i/>
        </w:rPr>
        <w:t>Climate Change and Greenhouse Gas Reduction Act 2010</w:t>
      </w:r>
      <w:r w:rsidRPr="00C64BEE">
        <w:rPr>
          <w:b/>
        </w:rPr>
        <w:t xml:space="preserve"> appoints a specified person as a member of the ACT Climate Change Council.</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DI2018-102 being the Climate Change and Greenhouse Gas Reduction (Climate Change Council Member) Appointment 2018 (No 3) made under section 20 of the </w:t>
      </w:r>
      <w:r w:rsidRPr="00C64BEE">
        <w:rPr>
          <w:i/>
        </w:rPr>
        <w:t>Climate Change and Greenhouse Gas Reduction Act 2010</w:t>
      </w:r>
      <w:r w:rsidRPr="00C64BEE">
        <w:rPr>
          <w:b/>
        </w:rPr>
        <w:t xml:space="preserve"> appoints a specified person as a member of the ACT Climate Change Council.</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DI2018-103 being the Climate Change and Greenhouse Gas Reduction (Climate Change Council Member) Appointment 2018 (No 4) made under section 20 of the </w:t>
      </w:r>
      <w:r w:rsidRPr="00C64BEE">
        <w:rPr>
          <w:i/>
        </w:rPr>
        <w:t>Climate Change and Greenhouse Gas Reduction Act 2010</w:t>
      </w:r>
      <w:r w:rsidRPr="00C64BEE">
        <w:rPr>
          <w:b/>
        </w:rPr>
        <w:t xml:space="preserve"> appoints a specified person as a member of the ACT Climate Change Council.</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DI2018-104 being the Climate Change and Greenhouse Gas Reduction (Climate Change Council Member) Appointment 2018 (No 5) made under section 20 of the </w:t>
      </w:r>
      <w:r w:rsidRPr="00C64BEE">
        <w:rPr>
          <w:i/>
        </w:rPr>
        <w:t>Climate Change and Greenhouse Gas Reduction Act 2010</w:t>
      </w:r>
      <w:r w:rsidRPr="00C64BEE">
        <w:rPr>
          <w:b/>
        </w:rPr>
        <w:t xml:space="preserve"> appoints a specified person as a member of the ACT Climate Change Council.</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DI2018-105 being the Climate Change and Greenhouse Gas Reduction (Climate Change Council Chair) Appointment 2018 (No 1) made under section 21 of the </w:t>
      </w:r>
      <w:r w:rsidRPr="00C64BEE">
        <w:rPr>
          <w:i/>
        </w:rPr>
        <w:t>Climate Change and Greenhouse Gas Reduction Act 2010</w:t>
      </w:r>
      <w:r w:rsidRPr="00C64BEE">
        <w:rPr>
          <w:b/>
        </w:rPr>
        <w:t xml:space="preserve"> appoints a specified person as chair of the ACT Climate Change Council.</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DI2018-106 being the Electoral (Fees) Determination 2018 made under section 340B of the </w:t>
      </w:r>
      <w:r w:rsidRPr="00C64BEE">
        <w:rPr>
          <w:i/>
        </w:rPr>
        <w:t>Electoral Act 1992</w:t>
      </w:r>
      <w:r w:rsidRPr="00C64BEE">
        <w:rPr>
          <w:b/>
        </w:rPr>
        <w:t xml:space="preserve"> revokes DI2017-114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DI2018-107 being the Road Transport (General) Application of Road Transport Legislation Declaration 2018 (No 6) made under section 13 of the </w:t>
      </w:r>
      <w:r w:rsidRPr="00C64BEE">
        <w:rPr>
          <w:i/>
        </w:rPr>
        <w:t>Road Transport (General) Act 1999</w:t>
      </w:r>
      <w:r w:rsidRPr="00C64BEE">
        <w:rPr>
          <w:b/>
        </w:rPr>
        <w:t xml:space="preserve"> declares that certain parts of the road transport legislation do not apply to an entrant vehicle, or the driver of an entrant vehicle, participating in a special stage of the National Capital Rally.</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lastRenderedPageBreak/>
        <w:t xml:space="preserve">Disallowable Instrument DI2018-114 being the Dangerous Goods (Road Transport) Fees and Charges Determination 2018 made under section 194 of the </w:t>
      </w:r>
      <w:r w:rsidRPr="00C64BEE">
        <w:rPr>
          <w:i/>
        </w:rPr>
        <w:t>Dangerous Goods (Road Transport) Act 2009</w:t>
      </w:r>
      <w:r w:rsidRPr="00C64BEE">
        <w:rPr>
          <w:b/>
        </w:rPr>
        <w:t xml:space="preserve"> revokes DI2017-189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DI2018-115 being the Lotteries (Fees) Determination 2018 (No 1) made under section 18A of the </w:t>
      </w:r>
      <w:r w:rsidRPr="00C64BEE">
        <w:rPr>
          <w:i/>
        </w:rPr>
        <w:t>Lotteries Act 1964</w:t>
      </w:r>
      <w:r w:rsidRPr="00C64BEE">
        <w:rPr>
          <w:b/>
        </w:rPr>
        <w:t xml:space="preserve"> revokes DI2017-106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DI2018-116 being the Taxation Administration (Amounts Payable—Duty) Determination 2018 (No 1) made under section 139 of the </w:t>
      </w:r>
      <w:r w:rsidRPr="00C64BEE">
        <w:rPr>
          <w:i/>
        </w:rPr>
        <w:t>Taxation Administration Act 1999</w:t>
      </w:r>
      <w:r w:rsidRPr="00C64BEE">
        <w:rPr>
          <w:b/>
        </w:rPr>
        <w:t xml:space="preserve"> revokes DI2017-79 and determines differential rates of duty, or the method by which an amount of duty is payable under the </w:t>
      </w:r>
      <w:r w:rsidRPr="00C64BEE">
        <w:rPr>
          <w:b/>
          <w:i/>
        </w:rPr>
        <w:t>Duties Act 1999</w:t>
      </w:r>
      <w:r w:rsidRPr="00C64BEE">
        <w:rPr>
          <w:b/>
        </w:rPr>
        <w: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DI2018-117 being the Taxation Administration (Amounts Payable—Home Buyer Concession Scheme) Determination 2018 (No 1) made under section 139 of the </w:t>
      </w:r>
      <w:r w:rsidRPr="00C64BEE">
        <w:rPr>
          <w:i/>
        </w:rPr>
        <w:t>Taxation Administration Act 1999</w:t>
      </w:r>
      <w:r w:rsidRPr="00C64BEE">
        <w:rPr>
          <w:b/>
        </w:rPr>
        <w:t xml:space="preserve"> revokes DI2017-226 and determines, for the purposes of the Scheme, the eligibility criteria of the eligible property, determination of amounts, method of calculation of duty payable and eligibility requirements.</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DI2018-118 being the Taxation Administration (Amounts Payable—Pensioner Duty Concession Scheme) Determination 2018 (No 1) made under section 139 of the </w:t>
      </w:r>
      <w:r w:rsidRPr="00C64BEE">
        <w:rPr>
          <w:i/>
        </w:rPr>
        <w:t>Taxation Administration Act 1999</w:t>
      </w:r>
      <w:r w:rsidRPr="00C64BEE">
        <w:rPr>
          <w:b/>
        </w:rPr>
        <w:t xml:space="preserve"> revokes DI2017-227 and determines, for the purposes of the Scheme, the types of eligible property, determination of amounts, method of calculation of duty payable and eligibility requirements.</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DI2018-119 being the Board of Senior Secondary Studies Appointment 2018 (No 3) made under section 8 of the </w:t>
      </w:r>
      <w:r w:rsidRPr="00C64BEE">
        <w:rPr>
          <w:i/>
        </w:rPr>
        <w:t>Board of Senior Secondary Studies Act 1997</w:t>
      </w:r>
      <w:r w:rsidRPr="00C64BEE">
        <w:rPr>
          <w:b/>
        </w:rPr>
        <w:t xml:space="preserve"> appoints a specified person as chair of the ACT Board of Senior Secondary Studies.</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w:t>
      </w:r>
      <w:bookmarkStart w:id="153" w:name="_Hlk520728447"/>
      <w:r w:rsidRPr="00C64BEE">
        <w:rPr>
          <w:b/>
        </w:rPr>
        <w:t xml:space="preserve">DI2018-120 being the Road Transport (General) (Parking Permit Fees) Determination 2018 (No 2) </w:t>
      </w:r>
      <w:bookmarkEnd w:id="153"/>
      <w:r w:rsidRPr="00C64BEE">
        <w:rPr>
          <w:b/>
        </w:rPr>
        <w:t xml:space="preserve">made under section 96 of the </w:t>
      </w:r>
      <w:r w:rsidRPr="00C64BEE">
        <w:rPr>
          <w:i/>
        </w:rPr>
        <w:t xml:space="preserve">Road Transport (General) Act 1999 </w:t>
      </w:r>
      <w:r w:rsidRPr="00C64BEE">
        <w:rPr>
          <w:b/>
        </w:rPr>
        <w:t>revokes DI2018-75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DI2018-121 being the Emergencies (Security and Emergency Management Senior Officials Group) Appointment 2018 (No 1) made under section 142(2) of the </w:t>
      </w:r>
      <w:r w:rsidRPr="00C64BEE">
        <w:rPr>
          <w:i/>
        </w:rPr>
        <w:t>Emergencies Act 2004</w:t>
      </w:r>
      <w:r w:rsidRPr="00C64BEE">
        <w:rPr>
          <w:b/>
        </w:rPr>
        <w:t xml:space="preserve"> appoints the people occupying specified positions as members of the Security and Emergency Management Senior Officials Group (SEMSOG).</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DI2018-122 being the Gambling and Racing Control (Governing Board) Appointment 2018 (No 2) made under sections 11 and 12 of the </w:t>
      </w:r>
      <w:r w:rsidRPr="00C64BEE">
        <w:rPr>
          <w:rFonts w:asciiTheme="minorHAnsi" w:hAnsiTheme="minorHAnsi"/>
          <w:i/>
          <w:sz w:val="22"/>
          <w:szCs w:val="22"/>
        </w:rPr>
        <w:t xml:space="preserve">Gambling and Racing Control Act 1999 </w:t>
      </w:r>
      <w:r w:rsidRPr="00C64BEE">
        <w:rPr>
          <w:rFonts w:asciiTheme="minorHAnsi" w:hAnsiTheme="minorHAnsi"/>
          <w:b/>
          <w:sz w:val="22"/>
          <w:szCs w:val="22"/>
        </w:rPr>
        <w:t xml:space="preserve">and sections 78 and 79 of the </w:t>
      </w:r>
      <w:r w:rsidRPr="00C64BEE">
        <w:rPr>
          <w:rFonts w:asciiTheme="minorHAnsi" w:hAnsiTheme="minorHAnsi"/>
          <w:i/>
          <w:sz w:val="22"/>
          <w:szCs w:val="22"/>
        </w:rPr>
        <w:t xml:space="preserve">Financial Management Act </w:t>
      </w:r>
      <w:r w:rsidRPr="00C64BEE">
        <w:rPr>
          <w:rFonts w:asciiTheme="minorHAnsi" w:hAnsiTheme="minorHAnsi"/>
          <w:b/>
          <w:sz w:val="22"/>
          <w:szCs w:val="22"/>
        </w:rPr>
        <w:t>appoints a specified person as a member and deputy chair of the ACT Gambling and Racing Commission.</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DI2018-123 being the Civil Law (Wrongs) Professional Standards Council Appointment 2018 (No 5) made under Schedule 4, section 4.38 of the </w:t>
      </w:r>
      <w:r w:rsidRPr="00C64BEE">
        <w:rPr>
          <w:rFonts w:asciiTheme="minorHAnsi" w:hAnsiTheme="minorHAnsi"/>
          <w:i/>
          <w:sz w:val="22"/>
          <w:szCs w:val="22"/>
        </w:rPr>
        <w:t xml:space="preserve">Civil Law (Wrongs) Act 2002 </w:t>
      </w:r>
      <w:r w:rsidRPr="00C64BEE">
        <w:rPr>
          <w:rFonts w:asciiTheme="minorHAnsi" w:hAnsiTheme="minorHAnsi"/>
          <w:b/>
          <w:sz w:val="22"/>
          <w:szCs w:val="22"/>
        </w:rPr>
        <w:t>appoints a specified person as a member of the ACT Professional Standards Council.</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DI2018-131 being the Road Transport (General) Concession Determination 2018 (No 1) made under section 96 of the </w:t>
      </w:r>
      <w:r w:rsidRPr="00C64BEE">
        <w:rPr>
          <w:rFonts w:asciiTheme="minorHAnsi" w:hAnsiTheme="minorHAnsi"/>
          <w:i/>
          <w:sz w:val="22"/>
          <w:szCs w:val="22"/>
        </w:rPr>
        <w:t xml:space="preserve">Road Transport (General) Act 1999 </w:t>
      </w:r>
      <w:r w:rsidRPr="00C64BEE">
        <w:rPr>
          <w:rFonts w:asciiTheme="minorHAnsi" w:hAnsiTheme="minorHAnsi"/>
          <w:b/>
          <w:sz w:val="22"/>
          <w:szCs w:val="22"/>
        </w:rPr>
        <w:t>revokes DI2016-47 and determines the concessional fees payable by eligible persons for vehicle registration and driver licensing.</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DI2018-134 being the Cemeteries and Crematoria (Public Cemetery Fees) Determination 2018 (No 1) made under section 49 of the </w:t>
      </w:r>
      <w:r w:rsidRPr="00C64BEE">
        <w:rPr>
          <w:rFonts w:asciiTheme="minorHAnsi" w:hAnsiTheme="minorHAnsi"/>
          <w:i/>
          <w:sz w:val="22"/>
          <w:szCs w:val="22"/>
        </w:rPr>
        <w:t xml:space="preserve">Cemeteries and Crematoria Act 2003 </w:t>
      </w:r>
      <w:r w:rsidRPr="00C64BEE">
        <w:rPr>
          <w:rFonts w:asciiTheme="minorHAnsi" w:hAnsiTheme="minorHAnsi"/>
          <w:b/>
          <w:sz w:val="22"/>
          <w:szCs w:val="22"/>
        </w:rPr>
        <w:t>revokes DI2017-46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lastRenderedPageBreak/>
        <w:t xml:space="preserve">Disallowable Instrument DI2018-135 being the Emergencies (Fees) Determination 2018 made under section 201 of the </w:t>
      </w:r>
      <w:r w:rsidRPr="00C64BEE">
        <w:rPr>
          <w:rFonts w:asciiTheme="minorHAnsi" w:hAnsiTheme="minorHAnsi"/>
          <w:i/>
          <w:sz w:val="22"/>
          <w:szCs w:val="22"/>
        </w:rPr>
        <w:t xml:space="preserve">Emergencies Act 2004 </w:t>
      </w:r>
      <w:r w:rsidRPr="00C64BEE">
        <w:rPr>
          <w:rFonts w:asciiTheme="minorHAnsi" w:hAnsiTheme="minorHAnsi"/>
          <w:b/>
          <w:sz w:val="22"/>
          <w:szCs w:val="22"/>
        </w:rPr>
        <w:t>revokes DI2017-98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DI2018-136 being the Firearms (Fees) Determination 2018 made under section 270 of the </w:t>
      </w:r>
      <w:r w:rsidRPr="00C64BEE">
        <w:rPr>
          <w:rFonts w:asciiTheme="minorHAnsi" w:hAnsiTheme="minorHAnsi"/>
          <w:i/>
          <w:sz w:val="22"/>
          <w:szCs w:val="22"/>
        </w:rPr>
        <w:t xml:space="preserve">Firearms Act 1996 </w:t>
      </w:r>
      <w:r w:rsidRPr="00C64BEE">
        <w:rPr>
          <w:rFonts w:asciiTheme="minorHAnsi" w:hAnsiTheme="minorHAnsi"/>
          <w:b/>
          <w:sz w:val="22"/>
          <w:szCs w:val="22"/>
        </w:rPr>
        <w:t>revokes DI2017-99 and determines fees payable for the purposes of the Act.</w:t>
      </w:r>
    </w:p>
    <w:p w:rsidR="00B13710" w:rsidRPr="00C64BEE" w:rsidRDefault="00B13710" w:rsidP="00B13710">
      <w:pPr>
        <w:pStyle w:val="Paper"/>
        <w:keepLines/>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DI2018-137 being the Working with Vulnerable People Background Checking (Fees) Determination 2018 (No 1) made under section 68 of the </w:t>
      </w:r>
      <w:r w:rsidRPr="00C64BEE">
        <w:rPr>
          <w:rFonts w:asciiTheme="minorHAnsi" w:hAnsiTheme="minorHAnsi"/>
          <w:i/>
          <w:sz w:val="22"/>
          <w:szCs w:val="22"/>
        </w:rPr>
        <w:t xml:space="preserve">Working with Vulnerable People (Background Checking) Act 2011 </w:t>
      </w:r>
      <w:r w:rsidRPr="00C64BEE">
        <w:rPr>
          <w:rFonts w:asciiTheme="minorHAnsi" w:hAnsiTheme="minorHAnsi"/>
          <w:b/>
          <w:sz w:val="22"/>
          <w:szCs w:val="22"/>
        </w:rPr>
        <w:t>repeals DI2017-174 and determines the fees for services provided by the Working With Vulnerable People Screening Unit.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Disallowable Instrument DI2018-139 being the Official Visitor (Mental Health) Appointment 2018 (No 1) made under paragraph 10(1</w:t>
      </w:r>
      <w:proofErr w:type="gramStart"/>
      <w:r w:rsidRPr="00C64BEE">
        <w:rPr>
          <w:rFonts w:asciiTheme="minorHAnsi" w:hAnsiTheme="minorHAnsi"/>
          <w:b/>
          <w:sz w:val="22"/>
          <w:szCs w:val="22"/>
        </w:rPr>
        <w:t>)(</w:t>
      </w:r>
      <w:proofErr w:type="gramEnd"/>
      <w:r w:rsidRPr="00C64BEE">
        <w:rPr>
          <w:rFonts w:asciiTheme="minorHAnsi" w:hAnsiTheme="minorHAnsi"/>
          <w:b/>
          <w:sz w:val="22"/>
          <w:szCs w:val="22"/>
        </w:rPr>
        <w:t xml:space="preserve">e) of the </w:t>
      </w:r>
      <w:r w:rsidRPr="00C64BEE">
        <w:rPr>
          <w:rFonts w:asciiTheme="minorHAnsi" w:hAnsiTheme="minorHAnsi"/>
          <w:i/>
          <w:sz w:val="22"/>
          <w:szCs w:val="22"/>
        </w:rPr>
        <w:t xml:space="preserve">Official Visitor Act 2012 </w:t>
      </w:r>
      <w:r w:rsidRPr="00C64BEE">
        <w:rPr>
          <w:rFonts w:asciiTheme="minorHAnsi" w:hAnsiTheme="minorHAnsi"/>
          <w:b/>
          <w:sz w:val="22"/>
          <w:szCs w:val="22"/>
        </w:rPr>
        <w:t>appoints specified persons as official visitors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DI2018-141 being the Clinical Waste (Fees) Determination 2018 made under section 40 of the </w:t>
      </w:r>
      <w:r w:rsidRPr="00C64BEE">
        <w:rPr>
          <w:rFonts w:asciiTheme="minorHAnsi" w:hAnsiTheme="minorHAnsi"/>
          <w:i/>
          <w:sz w:val="22"/>
          <w:szCs w:val="22"/>
        </w:rPr>
        <w:t xml:space="preserve">Clinical Waste Act 1990 </w:t>
      </w:r>
      <w:r w:rsidRPr="00C64BEE">
        <w:rPr>
          <w:rFonts w:asciiTheme="minorHAnsi" w:hAnsiTheme="minorHAnsi"/>
          <w:b/>
          <w:sz w:val="22"/>
          <w:szCs w:val="22"/>
        </w:rPr>
        <w:t>revokes DI2017-109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DI2018-148 being the Building and Construction Industry Training Levy (Governing Board) Appointment 2018 (No 1) made under section 7 of the </w:t>
      </w:r>
      <w:r w:rsidRPr="00C64BEE">
        <w:rPr>
          <w:rFonts w:asciiTheme="minorHAnsi" w:hAnsiTheme="minorHAnsi"/>
          <w:i/>
          <w:sz w:val="22"/>
          <w:szCs w:val="22"/>
        </w:rPr>
        <w:t xml:space="preserve">Building and Construction Industry Training Levy Act 1999 </w:t>
      </w:r>
      <w:r w:rsidRPr="00C64BEE">
        <w:rPr>
          <w:rFonts w:asciiTheme="minorHAnsi" w:hAnsiTheme="minorHAnsi"/>
          <w:b/>
          <w:sz w:val="22"/>
          <w:szCs w:val="22"/>
        </w:rPr>
        <w:t xml:space="preserve">and section 78 of the </w:t>
      </w:r>
      <w:r w:rsidRPr="00C64BEE">
        <w:rPr>
          <w:rFonts w:asciiTheme="minorHAnsi" w:hAnsiTheme="minorHAnsi"/>
          <w:i/>
          <w:sz w:val="22"/>
          <w:szCs w:val="22"/>
        </w:rPr>
        <w:t xml:space="preserve">Financial Management Act 1996 </w:t>
      </w:r>
      <w:r w:rsidRPr="00C64BEE">
        <w:rPr>
          <w:rFonts w:asciiTheme="minorHAnsi" w:hAnsiTheme="minorHAnsi"/>
          <w:b/>
          <w:sz w:val="22"/>
          <w:szCs w:val="22"/>
        </w:rPr>
        <w:t>appoints a specified person as a member of the Building and Construction Industry Training Fund Authority Board, representing the interests of employees in the building and construction industry.</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DI2018-149 being the Building and Construction Industry Training Levy (Governing Board) Appointment 2018 (No 2) made under section 7 of the </w:t>
      </w:r>
      <w:r w:rsidRPr="00C64BEE">
        <w:rPr>
          <w:rFonts w:asciiTheme="minorHAnsi" w:hAnsiTheme="minorHAnsi"/>
          <w:i/>
          <w:sz w:val="22"/>
          <w:szCs w:val="22"/>
        </w:rPr>
        <w:t xml:space="preserve">Building and Construction Industry Training Levy Act 1999 </w:t>
      </w:r>
      <w:r w:rsidRPr="00C64BEE">
        <w:rPr>
          <w:rFonts w:asciiTheme="minorHAnsi" w:hAnsiTheme="minorHAnsi"/>
          <w:b/>
          <w:sz w:val="22"/>
          <w:szCs w:val="22"/>
        </w:rPr>
        <w:t xml:space="preserve">and section 78 of the </w:t>
      </w:r>
      <w:r w:rsidRPr="00C64BEE">
        <w:rPr>
          <w:rFonts w:asciiTheme="minorHAnsi" w:hAnsiTheme="minorHAnsi"/>
          <w:i/>
          <w:sz w:val="22"/>
          <w:szCs w:val="22"/>
        </w:rPr>
        <w:t xml:space="preserve">Financial Management Act 1996 </w:t>
      </w:r>
      <w:r w:rsidRPr="00C64BEE">
        <w:rPr>
          <w:rFonts w:asciiTheme="minorHAnsi" w:hAnsiTheme="minorHAnsi"/>
          <w:b/>
          <w:sz w:val="22"/>
          <w:szCs w:val="22"/>
        </w:rPr>
        <w:t>appoints a specified person as a member of the Building and Construction Industry Training Fund Authority Board, representing the interests of employers in the building and construction industry.</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DI2018-150 being the Building and Construction Industry Training Levy (Governing Board) Appointment 2018 (No 3) made under section 7 of the </w:t>
      </w:r>
      <w:r w:rsidRPr="00C64BEE">
        <w:rPr>
          <w:rFonts w:asciiTheme="minorHAnsi" w:hAnsiTheme="minorHAnsi"/>
          <w:i/>
          <w:sz w:val="22"/>
          <w:szCs w:val="22"/>
        </w:rPr>
        <w:t xml:space="preserve">Building and Construction Industry Training Levy Act 1999 </w:t>
      </w:r>
      <w:r w:rsidRPr="00C64BEE">
        <w:rPr>
          <w:rFonts w:asciiTheme="minorHAnsi" w:hAnsiTheme="minorHAnsi"/>
          <w:b/>
          <w:sz w:val="22"/>
          <w:szCs w:val="22"/>
        </w:rPr>
        <w:t xml:space="preserve">and section 78 of the </w:t>
      </w:r>
      <w:r w:rsidRPr="00C64BEE">
        <w:rPr>
          <w:rFonts w:asciiTheme="minorHAnsi" w:hAnsiTheme="minorHAnsi"/>
          <w:i/>
          <w:sz w:val="22"/>
          <w:szCs w:val="22"/>
        </w:rPr>
        <w:t xml:space="preserve">Financial Management Act 1996 </w:t>
      </w:r>
      <w:r w:rsidRPr="00C64BEE">
        <w:rPr>
          <w:rFonts w:asciiTheme="minorHAnsi" w:hAnsiTheme="minorHAnsi"/>
          <w:b/>
          <w:sz w:val="22"/>
          <w:szCs w:val="22"/>
        </w:rPr>
        <w:t>appoints a specified person as a member of the Building and Construction Industry Training Fund Authority Board, representing the interests of employees in the building and construction industry.</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DI2018-151 being the Building and Construction Industry Training Levy (Governing Board) Appointment 2018 (No 4) made under section 7 of the </w:t>
      </w:r>
      <w:r w:rsidRPr="00C64BEE">
        <w:rPr>
          <w:rFonts w:asciiTheme="minorHAnsi" w:hAnsiTheme="minorHAnsi"/>
          <w:i/>
          <w:sz w:val="22"/>
          <w:szCs w:val="22"/>
        </w:rPr>
        <w:t xml:space="preserve">Building and Construction Industry Training Levy Act 1999 </w:t>
      </w:r>
      <w:r w:rsidRPr="00C64BEE">
        <w:rPr>
          <w:rFonts w:asciiTheme="minorHAnsi" w:hAnsiTheme="minorHAnsi"/>
          <w:b/>
          <w:sz w:val="22"/>
          <w:szCs w:val="22"/>
        </w:rPr>
        <w:t xml:space="preserve">and section 78 of the </w:t>
      </w:r>
      <w:r w:rsidRPr="00C64BEE">
        <w:rPr>
          <w:rFonts w:asciiTheme="minorHAnsi" w:hAnsiTheme="minorHAnsi"/>
          <w:i/>
          <w:sz w:val="22"/>
          <w:szCs w:val="22"/>
        </w:rPr>
        <w:t xml:space="preserve">Financial Management Act 1996 </w:t>
      </w:r>
      <w:r w:rsidRPr="00C64BEE">
        <w:rPr>
          <w:rFonts w:asciiTheme="minorHAnsi" w:hAnsiTheme="minorHAnsi"/>
          <w:b/>
          <w:sz w:val="22"/>
          <w:szCs w:val="22"/>
        </w:rPr>
        <w:t>appoints a specified person as a member of the Building and Construction Industry Training Fund Authority Board, representing the interests of employers in the building and construction industry.</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DI2018-153 being the Health (Fees) Determination 2018 (No 1) made under section 192 of the </w:t>
      </w:r>
      <w:r w:rsidRPr="00C64BEE">
        <w:rPr>
          <w:rFonts w:asciiTheme="minorHAnsi" w:hAnsiTheme="minorHAnsi"/>
          <w:i/>
          <w:sz w:val="22"/>
          <w:szCs w:val="22"/>
        </w:rPr>
        <w:t xml:space="preserve">Health Act 1993 </w:t>
      </w:r>
      <w:r w:rsidRPr="00C64BEE">
        <w:rPr>
          <w:rFonts w:asciiTheme="minorHAnsi" w:hAnsiTheme="minorHAnsi"/>
          <w:b/>
          <w:sz w:val="22"/>
          <w:szCs w:val="22"/>
        </w:rPr>
        <w:t>revokes DI2017-193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DI2018-154 being the Stock (Fees) Determination 2018 made under section 68 of the </w:t>
      </w:r>
      <w:r w:rsidRPr="00C64BEE">
        <w:rPr>
          <w:rFonts w:asciiTheme="minorHAnsi" w:hAnsiTheme="minorHAnsi"/>
          <w:i/>
          <w:sz w:val="22"/>
          <w:szCs w:val="22"/>
        </w:rPr>
        <w:t xml:space="preserve">Stock Act 2005 </w:t>
      </w:r>
      <w:r w:rsidRPr="00C64BEE">
        <w:rPr>
          <w:rFonts w:asciiTheme="minorHAnsi" w:hAnsiTheme="minorHAnsi"/>
          <w:b/>
          <w:sz w:val="22"/>
          <w:szCs w:val="22"/>
        </w:rPr>
        <w:t>revokes DI2017-160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lastRenderedPageBreak/>
        <w:t xml:space="preserve">Disallowable Instrument DI2018-155 being the Architects (Fees) Determination 2018 made under section 91 of the </w:t>
      </w:r>
      <w:r w:rsidRPr="00C64BEE">
        <w:rPr>
          <w:rFonts w:asciiTheme="minorHAnsi" w:hAnsiTheme="minorHAnsi"/>
          <w:i/>
          <w:sz w:val="22"/>
          <w:szCs w:val="22"/>
        </w:rPr>
        <w:t xml:space="preserve">Architects Act 2004 </w:t>
      </w:r>
      <w:r w:rsidRPr="00C64BEE">
        <w:rPr>
          <w:rFonts w:asciiTheme="minorHAnsi" w:hAnsiTheme="minorHAnsi"/>
          <w:b/>
          <w:sz w:val="22"/>
          <w:szCs w:val="22"/>
        </w:rPr>
        <w:t>revokes DI2017-147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DI2018-156 being the Building (Fees) Determination 2018 made under section 150 of the </w:t>
      </w:r>
      <w:r w:rsidRPr="00C64BEE">
        <w:rPr>
          <w:rFonts w:asciiTheme="minorHAnsi" w:hAnsiTheme="minorHAnsi"/>
          <w:i/>
          <w:sz w:val="22"/>
          <w:szCs w:val="22"/>
        </w:rPr>
        <w:t xml:space="preserve">Building Act 2004 </w:t>
      </w:r>
      <w:r w:rsidRPr="00C64BEE">
        <w:rPr>
          <w:rFonts w:asciiTheme="minorHAnsi" w:hAnsiTheme="minorHAnsi"/>
          <w:b/>
          <w:sz w:val="22"/>
          <w:szCs w:val="22"/>
        </w:rPr>
        <w:t>revokes DI2017-148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DI2018-157 being the Stock (Minimum Stock Levy) Determination 2018 made under section 7A of the </w:t>
      </w:r>
      <w:r w:rsidRPr="00C64BEE">
        <w:rPr>
          <w:rFonts w:asciiTheme="minorHAnsi" w:hAnsiTheme="minorHAnsi"/>
          <w:i/>
          <w:sz w:val="22"/>
          <w:szCs w:val="22"/>
        </w:rPr>
        <w:t xml:space="preserve">Stock Act 2005 </w:t>
      </w:r>
      <w:r w:rsidRPr="00C64BEE">
        <w:rPr>
          <w:rFonts w:asciiTheme="minorHAnsi" w:hAnsiTheme="minorHAnsi"/>
          <w:b/>
          <w:sz w:val="22"/>
          <w:szCs w:val="22"/>
        </w:rPr>
        <w:t>revokes DI2017-161 and sets the minimum stock levy.</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DI2018-158 being the Stock (Levy) Determination 2018 made under section 6 of the </w:t>
      </w:r>
      <w:r w:rsidRPr="00C64BEE">
        <w:rPr>
          <w:rFonts w:asciiTheme="minorHAnsi" w:hAnsiTheme="minorHAnsi"/>
          <w:i/>
          <w:sz w:val="22"/>
          <w:szCs w:val="22"/>
        </w:rPr>
        <w:t xml:space="preserve">Stock Act 2005 </w:t>
      </w:r>
      <w:r w:rsidRPr="00C64BEE">
        <w:rPr>
          <w:rFonts w:asciiTheme="minorHAnsi" w:hAnsiTheme="minorHAnsi"/>
          <w:b/>
          <w:sz w:val="22"/>
          <w:szCs w:val="22"/>
        </w:rPr>
        <w:t>revokes DI2017-162 and determines the levy amount per stock unit and the number of animals making up a stock unit.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DI2018-159 being the Community Title (Fees) Determination 2018 made under section 96 of the </w:t>
      </w:r>
      <w:r w:rsidRPr="00C64BEE">
        <w:rPr>
          <w:rFonts w:asciiTheme="minorHAnsi" w:hAnsiTheme="minorHAnsi"/>
          <w:i/>
          <w:sz w:val="22"/>
          <w:szCs w:val="22"/>
        </w:rPr>
        <w:t xml:space="preserve">Community Title Act 2001 </w:t>
      </w:r>
      <w:r w:rsidRPr="00C64BEE">
        <w:rPr>
          <w:rFonts w:asciiTheme="minorHAnsi" w:hAnsiTheme="minorHAnsi"/>
          <w:b/>
          <w:sz w:val="22"/>
          <w:szCs w:val="22"/>
        </w:rPr>
        <w:t>revokes DI2017-149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DI2018-160 being the Construction Occupations (Licensing) (Fees) Determination 2018 made under section 127 of the </w:t>
      </w:r>
      <w:r w:rsidRPr="00C64BEE">
        <w:rPr>
          <w:rFonts w:asciiTheme="minorHAnsi" w:hAnsiTheme="minorHAnsi"/>
          <w:i/>
          <w:sz w:val="22"/>
          <w:szCs w:val="22"/>
        </w:rPr>
        <w:t xml:space="preserve">Construction Occupations (Licensing) Act 2004 </w:t>
      </w:r>
      <w:r w:rsidRPr="00C64BEE">
        <w:rPr>
          <w:rFonts w:asciiTheme="minorHAnsi" w:hAnsiTheme="minorHAnsi"/>
          <w:b/>
          <w:sz w:val="22"/>
          <w:szCs w:val="22"/>
        </w:rPr>
        <w:t>revokes DI2017-283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DI2018-161 being the Electricity Safety (Fees) Determination 2018 made under section 64 of the </w:t>
      </w:r>
      <w:r w:rsidRPr="00C64BEE">
        <w:rPr>
          <w:rFonts w:asciiTheme="minorHAnsi" w:hAnsiTheme="minorHAnsi"/>
          <w:i/>
          <w:sz w:val="22"/>
          <w:szCs w:val="22"/>
        </w:rPr>
        <w:t xml:space="preserve">Electricity Safety Act 1971 </w:t>
      </w:r>
      <w:r w:rsidRPr="00C64BEE">
        <w:rPr>
          <w:rFonts w:asciiTheme="minorHAnsi" w:hAnsiTheme="minorHAnsi"/>
          <w:b/>
          <w:sz w:val="22"/>
          <w:szCs w:val="22"/>
        </w:rPr>
        <w:t>revokes DI2017-151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DI2018-162 being the Environment Protection (Fees) Determination 2018 made under section 165 of the </w:t>
      </w:r>
      <w:r w:rsidRPr="00C64BEE">
        <w:rPr>
          <w:rFonts w:asciiTheme="minorHAnsi" w:hAnsiTheme="minorHAnsi"/>
          <w:i/>
          <w:sz w:val="22"/>
          <w:szCs w:val="22"/>
        </w:rPr>
        <w:t xml:space="preserve">Environment Protection Act 1997 </w:t>
      </w:r>
      <w:r w:rsidRPr="00C64BEE">
        <w:rPr>
          <w:rFonts w:asciiTheme="minorHAnsi" w:hAnsiTheme="minorHAnsi"/>
          <w:b/>
          <w:sz w:val="22"/>
          <w:szCs w:val="22"/>
        </w:rPr>
        <w:t>revokes DI2017-252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DI2018-163 being the Fisheries (Fees) Determination 2018 made under section 114 of the </w:t>
      </w:r>
      <w:r w:rsidRPr="00C64BEE">
        <w:rPr>
          <w:rFonts w:asciiTheme="minorHAnsi" w:hAnsiTheme="minorHAnsi"/>
          <w:i/>
          <w:sz w:val="22"/>
          <w:szCs w:val="22"/>
        </w:rPr>
        <w:t xml:space="preserve">Fisheries Act 2000 </w:t>
      </w:r>
      <w:r w:rsidRPr="00C64BEE">
        <w:rPr>
          <w:rFonts w:asciiTheme="minorHAnsi" w:hAnsiTheme="minorHAnsi"/>
          <w:b/>
          <w:sz w:val="22"/>
          <w:szCs w:val="22"/>
        </w:rPr>
        <w:t>revokes DI2017-153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DI2018-164 being the Gas Safety (Fees) Determination 2018 made under section 67 of the </w:t>
      </w:r>
      <w:r w:rsidRPr="00C64BEE">
        <w:rPr>
          <w:rFonts w:asciiTheme="minorHAnsi" w:hAnsiTheme="minorHAnsi"/>
          <w:i/>
          <w:sz w:val="22"/>
          <w:szCs w:val="22"/>
        </w:rPr>
        <w:t xml:space="preserve">Gas Safety Act 2000 </w:t>
      </w:r>
      <w:r w:rsidRPr="00C64BEE">
        <w:rPr>
          <w:rFonts w:asciiTheme="minorHAnsi" w:hAnsiTheme="minorHAnsi"/>
          <w:b/>
          <w:sz w:val="22"/>
          <w:szCs w:val="22"/>
        </w:rPr>
        <w:t>revokes DI2017-154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DI2018-165 being the Heritage (Fees) Determination 2018 made under section 120 of the </w:t>
      </w:r>
      <w:r w:rsidRPr="00C64BEE">
        <w:rPr>
          <w:rFonts w:asciiTheme="minorHAnsi" w:hAnsiTheme="minorHAnsi"/>
          <w:i/>
          <w:sz w:val="22"/>
          <w:szCs w:val="22"/>
        </w:rPr>
        <w:t xml:space="preserve">Heritage Act 2004 </w:t>
      </w:r>
      <w:r w:rsidRPr="00C64BEE">
        <w:rPr>
          <w:rFonts w:asciiTheme="minorHAnsi" w:hAnsiTheme="minorHAnsi"/>
          <w:b/>
          <w:sz w:val="22"/>
          <w:szCs w:val="22"/>
        </w:rPr>
        <w:t>revokes DI2017-155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DI2018-166 being the Nature Conservation (Fees) Determination 2018 (No 2) made under section 368 of the </w:t>
      </w:r>
      <w:r w:rsidRPr="00C64BEE">
        <w:rPr>
          <w:rFonts w:asciiTheme="minorHAnsi" w:hAnsiTheme="minorHAnsi"/>
          <w:i/>
          <w:sz w:val="22"/>
          <w:szCs w:val="22"/>
        </w:rPr>
        <w:t xml:space="preserve">Nature Conservation Act 2014 </w:t>
      </w:r>
      <w:r w:rsidRPr="00C64BEE">
        <w:rPr>
          <w:rFonts w:asciiTheme="minorHAnsi" w:hAnsiTheme="minorHAnsi"/>
          <w:b/>
          <w:sz w:val="22"/>
          <w:szCs w:val="22"/>
        </w:rPr>
        <w:t>revokes DI2018-98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DI2018-167 being the Planning and Development (Fees) Determination 2018 made under section 424 of the </w:t>
      </w:r>
      <w:r w:rsidRPr="00C64BEE">
        <w:rPr>
          <w:rFonts w:asciiTheme="minorHAnsi" w:hAnsiTheme="minorHAnsi"/>
          <w:i/>
          <w:sz w:val="22"/>
          <w:szCs w:val="22"/>
        </w:rPr>
        <w:t xml:space="preserve">Planning and Development Act 2007 </w:t>
      </w:r>
      <w:r w:rsidRPr="00C64BEE">
        <w:rPr>
          <w:rFonts w:asciiTheme="minorHAnsi" w:hAnsiTheme="minorHAnsi"/>
          <w:b/>
          <w:sz w:val="22"/>
          <w:szCs w:val="22"/>
        </w:rPr>
        <w:t>revokes DI2017-157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DI2018-168 being the Surveyors (Fees) Determination 2018 made under section 80 of the </w:t>
      </w:r>
      <w:r w:rsidRPr="00C64BEE">
        <w:rPr>
          <w:rFonts w:asciiTheme="minorHAnsi" w:hAnsiTheme="minorHAnsi"/>
          <w:i/>
          <w:sz w:val="22"/>
          <w:szCs w:val="22"/>
        </w:rPr>
        <w:t xml:space="preserve">Surveyors Act 2007 </w:t>
      </w:r>
      <w:r w:rsidRPr="00C64BEE">
        <w:rPr>
          <w:rFonts w:asciiTheme="minorHAnsi" w:hAnsiTheme="minorHAnsi"/>
          <w:b/>
          <w:sz w:val="22"/>
          <w:szCs w:val="22"/>
        </w:rPr>
        <w:t>revokes DI2017-158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DI2018-169 being the Unit Titles (Fees) Determination 2018 made under section 179 of the </w:t>
      </w:r>
      <w:r w:rsidRPr="00C64BEE">
        <w:rPr>
          <w:rFonts w:asciiTheme="minorHAnsi" w:hAnsiTheme="minorHAnsi"/>
          <w:i/>
          <w:sz w:val="22"/>
          <w:szCs w:val="22"/>
        </w:rPr>
        <w:t xml:space="preserve">Unit Titles Act 2001 </w:t>
      </w:r>
      <w:r w:rsidRPr="00C64BEE">
        <w:rPr>
          <w:rFonts w:asciiTheme="minorHAnsi" w:hAnsiTheme="minorHAnsi"/>
          <w:b/>
          <w:sz w:val="22"/>
          <w:szCs w:val="22"/>
        </w:rPr>
        <w:t>revokes DI2017-159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lastRenderedPageBreak/>
        <w:t xml:space="preserve">Disallowable Instrument DI2018-170 being the Water and Sewerage (Fees) Determination 2018 made under section 45 of the </w:t>
      </w:r>
      <w:r w:rsidRPr="00C64BEE">
        <w:rPr>
          <w:rFonts w:asciiTheme="minorHAnsi" w:hAnsiTheme="minorHAnsi"/>
          <w:i/>
          <w:sz w:val="22"/>
          <w:szCs w:val="22"/>
        </w:rPr>
        <w:t xml:space="preserve">Water and Sewerage Act 2000 </w:t>
      </w:r>
      <w:r w:rsidRPr="00C64BEE">
        <w:rPr>
          <w:rFonts w:asciiTheme="minorHAnsi" w:hAnsiTheme="minorHAnsi"/>
          <w:b/>
          <w:sz w:val="22"/>
          <w:szCs w:val="22"/>
        </w:rPr>
        <w:t>revokes DI2017-163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DI2018-171 being the Water Resources (Fees) Determination 2018 made under section 107 of the </w:t>
      </w:r>
      <w:r w:rsidRPr="00C64BEE">
        <w:rPr>
          <w:rFonts w:asciiTheme="minorHAnsi" w:hAnsiTheme="minorHAnsi"/>
          <w:i/>
          <w:sz w:val="22"/>
          <w:szCs w:val="22"/>
        </w:rPr>
        <w:t xml:space="preserve">Water Resources Act 2007 </w:t>
      </w:r>
      <w:r w:rsidRPr="00C64BEE">
        <w:rPr>
          <w:rFonts w:asciiTheme="minorHAnsi" w:hAnsiTheme="minorHAnsi"/>
          <w:b/>
          <w:sz w:val="22"/>
          <w:szCs w:val="22"/>
        </w:rPr>
        <w:t>revokes DI2017-164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color w:val="000000"/>
          <w:sz w:val="22"/>
          <w:szCs w:val="22"/>
        </w:rPr>
      </w:pPr>
      <w:r w:rsidRPr="00C64BEE">
        <w:rPr>
          <w:rFonts w:asciiTheme="minorHAnsi" w:hAnsiTheme="minorHAnsi"/>
          <w:b/>
          <w:color w:val="000000"/>
          <w:sz w:val="22"/>
          <w:szCs w:val="22"/>
        </w:rPr>
        <w:t xml:space="preserve">Disallowable Instrument DI2018-172 being the Taxation Administration (Amounts Payable—Rates) Determination 2018 (No 1) made under section 46 (2)(f) and 139 of the </w:t>
      </w:r>
      <w:r w:rsidRPr="00C64BEE">
        <w:rPr>
          <w:rFonts w:asciiTheme="minorHAnsi" w:hAnsiTheme="minorHAnsi"/>
          <w:i/>
          <w:color w:val="000000"/>
          <w:sz w:val="22"/>
          <w:szCs w:val="22"/>
        </w:rPr>
        <w:t xml:space="preserve">Rates Act 2004 and Taxation Administration Act 1999 </w:t>
      </w:r>
      <w:r w:rsidRPr="00C64BEE">
        <w:rPr>
          <w:rFonts w:asciiTheme="minorHAnsi" w:hAnsiTheme="minorHAnsi"/>
          <w:b/>
          <w:color w:val="000000"/>
          <w:sz w:val="22"/>
          <w:szCs w:val="22"/>
        </w:rPr>
        <w:t>revokes DI2007-135, DI2015-167, DI2016-218, DI2016</w:t>
      </w:r>
      <w:r w:rsidRPr="00C64BEE">
        <w:rPr>
          <w:rFonts w:asciiTheme="minorHAnsi" w:hAnsiTheme="minorHAnsi"/>
          <w:b/>
          <w:color w:val="000000"/>
          <w:sz w:val="22"/>
          <w:szCs w:val="22"/>
        </w:rPr>
        <w:noBreakHyphen/>
        <w:t xml:space="preserve">219, DI2017-139, DI2017-142, DI2017-143 and DI2017-144 and determines amounts for fixed charge and percentage rates for the purposes of the </w:t>
      </w:r>
      <w:r w:rsidRPr="00C64BEE">
        <w:rPr>
          <w:rFonts w:asciiTheme="minorHAnsi" w:hAnsiTheme="minorHAnsi"/>
          <w:b/>
          <w:i/>
          <w:color w:val="000000"/>
          <w:sz w:val="22"/>
          <w:szCs w:val="22"/>
        </w:rPr>
        <w:t>Rates Act 2004</w:t>
      </w:r>
      <w:r w:rsidRPr="00C64BEE">
        <w:rPr>
          <w:rFonts w:asciiTheme="minorHAnsi" w:hAnsiTheme="minorHAnsi"/>
          <w:b/>
          <w:color w:val="000000"/>
          <w:sz w:val="22"/>
          <w:szCs w:val="22"/>
        </w:rPr>
        <w: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DI2018-173 being the Public Unleased Land (Fees) Determination 2018 (No 1) made under section 130 of the </w:t>
      </w:r>
      <w:r w:rsidRPr="00C64BEE">
        <w:rPr>
          <w:rFonts w:asciiTheme="minorHAnsi" w:hAnsiTheme="minorHAnsi"/>
          <w:i/>
          <w:sz w:val="22"/>
          <w:szCs w:val="22"/>
        </w:rPr>
        <w:t xml:space="preserve">Public Unleased Land Act 2013 </w:t>
      </w:r>
      <w:r w:rsidRPr="00C64BEE">
        <w:rPr>
          <w:rFonts w:asciiTheme="minorHAnsi" w:hAnsiTheme="minorHAnsi"/>
          <w:b/>
          <w:sz w:val="22"/>
          <w:szCs w:val="22"/>
        </w:rPr>
        <w:t>revokes DI2017-186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DI2018-174 being the Legal Aid (Review Committee Panels) Appointment 2018 (No 2) made under section 37 of the </w:t>
      </w:r>
      <w:r w:rsidRPr="00C64BEE">
        <w:rPr>
          <w:rFonts w:asciiTheme="minorHAnsi" w:hAnsiTheme="minorHAnsi"/>
          <w:i/>
          <w:sz w:val="22"/>
          <w:szCs w:val="22"/>
        </w:rPr>
        <w:t xml:space="preserve">Legal Aid Act 1977 </w:t>
      </w:r>
      <w:r w:rsidRPr="00C64BEE">
        <w:rPr>
          <w:rFonts w:asciiTheme="minorHAnsi" w:hAnsiTheme="minorHAnsi"/>
          <w:b/>
          <w:sz w:val="22"/>
          <w:szCs w:val="22"/>
        </w:rPr>
        <w:t>appoints specified persons as part-time members of the Legal Aid Commission review committee panel.</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DI2018-176 being the Waste Management and Resource Recovery (Fees) Determination 2018 (No 1) made under section 126 of the </w:t>
      </w:r>
      <w:r w:rsidRPr="00C64BEE">
        <w:rPr>
          <w:rFonts w:asciiTheme="minorHAnsi" w:hAnsiTheme="minorHAnsi"/>
          <w:i/>
          <w:sz w:val="22"/>
          <w:szCs w:val="22"/>
        </w:rPr>
        <w:t xml:space="preserve">Waste Management and Resource Recovery Act 2016 </w:t>
      </w:r>
      <w:r w:rsidRPr="00C64BEE">
        <w:rPr>
          <w:rFonts w:asciiTheme="minorHAnsi" w:hAnsiTheme="minorHAnsi"/>
          <w:b/>
          <w:sz w:val="22"/>
          <w:szCs w:val="22"/>
        </w:rPr>
        <w:t>revokes DI2017-178 and DI2017-187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DI2018-178 being the Animal Welfare (Fees) Determination 2018 (No 1) made under section 110 of the </w:t>
      </w:r>
      <w:r w:rsidRPr="00C64BEE">
        <w:rPr>
          <w:rFonts w:asciiTheme="minorHAnsi" w:hAnsiTheme="minorHAnsi"/>
          <w:i/>
          <w:sz w:val="22"/>
          <w:szCs w:val="22"/>
        </w:rPr>
        <w:t xml:space="preserve">Animal Welfare Act 1992 </w:t>
      </w:r>
      <w:r w:rsidRPr="00C64BEE">
        <w:rPr>
          <w:rFonts w:asciiTheme="minorHAnsi" w:hAnsiTheme="minorHAnsi"/>
          <w:b/>
          <w:sz w:val="22"/>
          <w:szCs w:val="22"/>
        </w:rPr>
        <w:t>revokes DI2017-181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DI2018-179 being the Taxation Administration (Amounts Payable—Land Tax) Determination 2018 (No 1) made under section 139 of the </w:t>
      </w:r>
      <w:r w:rsidRPr="00C64BEE">
        <w:rPr>
          <w:rFonts w:asciiTheme="minorHAnsi" w:hAnsiTheme="minorHAnsi"/>
          <w:i/>
          <w:sz w:val="22"/>
          <w:szCs w:val="22"/>
        </w:rPr>
        <w:t xml:space="preserve">Taxation Administration Act 1999 </w:t>
      </w:r>
      <w:r w:rsidRPr="00C64BEE">
        <w:rPr>
          <w:rFonts w:asciiTheme="minorHAnsi" w:hAnsiTheme="minorHAnsi"/>
          <w:b/>
          <w:sz w:val="22"/>
          <w:szCs w:val="22"/>
        </w:rPr>
        <w:t xml:space="preserve">revokes DI2017-141 and determines the fixed charge and percentage rates for land tax and a flat percentage rate for the foreign ownership surcharge for the purposes of the </w:t>
      </w:r>
      <w:r w:rsidRPr="00C64BEE">
        <w:rPr>
          <w:rFonts w:asciiTheme="minorHAnsi" w:hAnsiTheme="minorHAnsi"/>
          <w:b/>
          <w:i/>
          <w:sz w:val="22"/>
          <w:szCs w:val="22"/>
        </w:rPr>
        <w:t>Land Tax Act 2004</w:t>
      </w:r>
      <w:r w:rsidRPr="00C64BEE">
        <w:rPr>
          <w:rFonts w:asciiTheme="minorHAnsi" w:hAnsiTheme="minorHAnsi"/>
          <w:b/>
          <w:sz w:val="22"/>
          <w:szCs w:val="22"/>
        </w:rPr>
        <w: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DI2018-180 being the Taxation Administration (Amounts Payable—Land Rent) Determination 2018 (No 1) made under section 139 of the </w:t>
      </w:r>
      <w:r w:rsidRPr="00C64BEE">
        <w:rPr>
          <w:rFonts w:asciiTheme="minorHAnsi" w:hAnsiTheme="minorHAnsi"/>
          <w:i/>
          <w:sz w:val="22"/>
          <w:szCs w:val="22"/>
        </w:rPr>
        <w:t xml:space="preserve">Taxation Administration Act 1999 </w:t>
      </w:r>
      <w:r w:rsidRPr="00C64BEE">
        <w:rPr>
          <w:rFonts w:asciiTheme="minorHAnsi" w:hAnsiTheme="minorHAnsi"/>
          <w:b/>
          <w:sz w:val="22"/>
          <w:szCs w:val="22"/>
        </w:rPr>
        <w:t xml:space="preserve">revokes DI2017-140 and determines the percentages and income threshold amounts for the purposes of the </w:t>
      </w:r>
      <w:r w:rsidRPr="00C64BEE">
        <w:rPr>
          <w:rFonts w:asciiTheme="minorHAnsi" w:hAnsiTheme="minorHAnsi"/>
          <w:b/>
          <w:i/>
          <w:sz w:val="22"/>
          <w:szCs w:val="22"/>
        </w:rPr>
        <w:t>Land Rent Act 2008</w:t>
      </w:r>
      <w:r w:rsidRPr="00C64BEE">
        <w:rPr>
          <w:rFonts w:asciiTheme="minorHAnsi" w:hAnsiTheme="minorHAnsi"/>
          <w:b/>
          <w:sz w:val="22"/>
          <w:szCs w:val="22"/>
        </w:rPr>
        <w: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DI2018-181 being the Rates, Land Tax and Land Rent and Duties (Certificate and Statement Fees) Determination 2018 (No 1) made under section 252AB of the </w:t>
      </w:r>
      <w:r w:rsidRPr="00C64BEE">
        <w:rPr>
          <w:rFonts w:asciiTheme="minorHAnsi" w:hAnsiTheme="minorHAnsi"/>
          <w:i/>
          <w:sz w:val="22"/>
          <w:szCs w:val="22"/>
        </w:rPr>
        <w:t>Duties Act 1999</w:t>
      </w:r>
      <w:r w:rsidRPr="00C64BEE">
        <w:rPr>
          <w:rFonts w:asciiTheme="minorHAnsi" w:hAnsiTheme="minorHAnsi"/>
          <w:b/>
          <w:sz w:val="22"/>
          <w:szCs w:val="22"/>
        </w:rPr>
        <w:t xml:space="preserve">, section 78 of the </w:t>
      </w:r>
      <w:r w:rsidRPr="00C64BEE">
        <w:rPr>
          <w:rFonts w:asciiTheme="minorHAnsi" w:hAnsiTheme="minorHAnsi"/>
          <w:i/>
          <w:sz w:val="22"/>
          <w:szCs w:val="22"/>
        </w:rPr>
        <w:t>Rates Act 2004</w:t>
      </w:r>
      <w:r w:rsidRPr="00C64BEE">
        <w:rPr>
          <w:rFonts w:asciiTheme="minorHAnsi" w:hAnsiTheme="minorHAnsi"/>
          <w:b/>
          <w:sz w:val="22"/>
          <w:szCs w:val="22"/>
        </w:rPr>
        <w:t xml:space="preserve">, section 32 of the </w:t>
      </w:r>
      <w:r w:rsidRPr="00C64BEE">
        <w:rPr>
          <w:rFonts w:asciiTheme="minorHAnsi" w:hAnsiTheme="minorHAnsi"/>
          <w:i/>
          <w:sz w:val="22"/>
          <w:szCs w:val="22"/>
        </w:rPr>
        <w:t xml:space="preserve">Land Rent Act 2008 </w:t>
      </w:r>
      <w:r w:rsidRPr="00C64BEE">
        <w:rPr>
          <w:rFonts w:asciiTheme="minorHAnsi" w:hAnsiTheme="minorHAnsi"/>
          <w:b/>
          <w:sz w:val="22"/>
          <w:szCs w:val="22"/>
        </w:rPr>
        <w:t>and section 43 of the</w:t>
      </w:r>
      <w:r w:rsidRPr="00C64BEE">
        <w:rPr>
          <w:rFonts w:asciiTheme="minorHAnsi" w:hAnsiTheme="minorHAnsi"/>
          <w:i/>
          <w:sz w:val="22"/>
          <w:szCs w:val="22"/>
        </w:rPr>
        <w:t xml:space="preserve"> Land Tax Act 2004 </w:t>
      </w:r>
      <w:r w:rsidRPr="00C64BEE">
        <w:rPr>
          <w:rFonts w:asciiTheme="minorHAnsi" w:hAnsiTheme="minorHAnsi"/>
          <w:b/>
          <w:sz w:val="22"/>
          <w:szCs w:val="22"/>
        </w:rPr>
        <w:t>revokes DI2017-145 and determines the fee payable for lodging an application to the Commissioner for ACT Revenue for a certificate, for the purposes of the Acts.</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DI2018-182 being the Adoption (Fees) Determination 2018 (No 1) made under section 118 of the </w:t>
      </w:r>
      <w:r w:rsidRPr="00C64BEE">
        <w:rPr>
          <w:rFonts w:asciiTheme="minorHAnsi" w:hAnsiTheme="minorHAnsi"/>
          <w:i/>
          <w:sz w:val="22"/>
          <w:szCs w:val="22"/>
        </w:rPr>
        <w:t xml:space="preserve">Adoption Act 1993 </w:t>
      </w:r>
      <w:r w:rsidRPr="00C64BEE">
        <w:rPr>
          <w:rFonts w:asciiTheme="minorHAnsi" w:hAnsiTheme="minorHAnsi"/>
          <w:b/>
          <w:sz w:val="22"/>
          <w:szCs w:val="22"/>
        </w:rPr>
        <w:t xml:space="preserve">repeals DI2017-185 and determines fees payable by </w:t>
      </w:r>
      <w:proofErr w:type="spellStart"/>
      <w:r w:rsidRPr="00C64BEE">
        <w:rPr>
          <w:rFonts w:asciiTheme="minorHAnsi" w:hAnsiTheme="minorHAnsi"/>
          <w:b/>
          <w:sz w:val="22"/>
          <w:szCs w:val="22"/>
        </w:rPr>
        <w:t>intercountry</w:t>
      </w:r>
      <w:proofErr w:type="spellEnd"/>
      <w:r w:rsidRPr="00C64BEE">
        <w:rPr>
          <w:rFonts w:asciiTheme="minorHAnsi" w:hAnsiTheme="minorHAnsi"/>
          <w:b/>
          <w:sz w:val="22"/>
          <w:szCs w:val="22"/>
        </w:rPr>
        <w:t xml:space="preserve"> and step-parent adoption applicants to Child and Youth Protection Services.</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DI2018-183 being the Road Transport (General) (Pay Parking Area Fees) Determination 2018 (No 2) made under section 96 of the </w:t>
      </w:r>
      <w:r w:rsidRPr="00C64BEE">
        <w:rPr>
          <w:rFonts w:asciiTheme="minorHAnsi" w:hAnsiTheme="minorHAnsi"/>
          <w:i/>
          <w:sz w:val="22"/>
          <w:szCs w:val="22"/>
        </w:rPr>
        <w:t xml:space="preserve">Road Transport (General) Act 1999 </w:t>
      </w:r>
      <w:r w:rsidRPr="00C64BEE">
        <w:rPr>
          <w:rFonts w:asciiTheme="minorHAnsi" w:hAnsiTheme="minorHAnsi"/>
          <w:b/>
          <w:sz w:val="22"/>
          <w:szCs w:val="22"/>
        </w:rPr>
        <w:t>revokes DI2018-74 and determines relevant parking fees for Territory-operated pay parking areas.</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lastRenderedPageBreak/>
        <w:t xml:space="preserve">Disallowable Instrument DI2018-184 being the Juries (Payment) Determination 2018 made under sections 49 and 51 of the </w:t>
      </w:r>
      <w:r w:rsidRPr="00C64BEE">
        <w:rPr>
          <w:rFonts w:asciiTheme="minorHAnsi" w:hAnsiTheme="minorHAnsi"/>
          <w:i/>
          <w:sz w:val="22"/>
          <w:szCs w:val="22"/>
        </w:rPr>
        <w:t xml:space="preserve">Juries Act 1967 </w:t>
      </w:r>
      <w:r w:rsidRPr="00C64BEE">
        <w:rPr>
          <w:rFonts w:asciiTheme="minorHAnsi" w:hAnsiTheme="minorHAnsi"/>
          <w:b/>
          <w:sz w:val="22"/>
          <w:szCs w:val="22"/>
        </w:rPr>
        <w:t>revokes DI2017-115 and determines payments made to jurors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DI2018-185 being the Legislative Assembly (Members' Staff) Members' Salary Cap Determination 2018 (No 1) made under subsections 10(3) and 20(4) of the </w:t>
      </w:r>
      <w:r w:rsidRPr="00C64BEE">
        <w:rPr>
          <w:rFonts w:asciiTheme="minorHAnsi" w:hAnsiTheme="minorHAnsi"/>
          <w:i/>
          <w:sz w:val="22"/>
          <w:szCs w:val="22"/>
        </w:rPr>
        <w:t xml:space="preserve">Legislative Assembly (Members' Staff) Act 1989 </w:t>
      </w:r>
      <w:r w:rsidRPr="00C64BEE">
        <w:rPr>
          <w:rFonts w:asciiTheme="minorHAnsi" w:hAnsiTheme="minorHAnsi"/>
          <w:b/>
          <w:sz w:val="22"/>
          <w:szCs w:val="22"/>
        </w:rPr>
        <w:t>revokes DI2017-119 and determines the conditions under which Members may employ staff and engage consultants or contractors.</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DI2018-186 being the Victims of Crime (Fees) Determination 2018 (No 1) made under section 50 (1) of the </w:t>
      </w:r>
      <w:r w:rsidRPr="00C64BEE">
        <w:rPr>
          <w:rFonts w:asciiTheme="minorHAnsi" w:hAnsiTheme="minorHAnsi"/>
          <w:i/>
          <w:sz w:val="22"/>
          <w:szCs w:val="22"/>
        </w:rPr>
        <w:t xml:space="preserve">Victims of Crime Regulation 2000 </w:t>
      </w:r>
      <w:r w:rsidRPr="00C64BEE">
        <w:rPr>
          <w:rFonts w:asciiTheme="minorHAnsi" w:hAnsiTheme="minorHAnsi"/>
          <w:b/>
          <w:sz w:val="22"/>
          <w:szCs w:val="22"/>
        </w:rPr>
        <w:t>revokes all previous Victims of Crime Regulation 200 (Fees) determinations and determines the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DI2018-187 being the Legislative Assembly (Members' Staff) Speaker's Salary Cap Determination 2018 (No 1) made under subsections 5(3) and 17(4) of the </w:t>
      </w:r>
      <w:r w:rsidRPr="00C64BEE">
        <w:rPr>
          <w:rFonts w:asciiTheme="minorHAnsi" w:hAnsiTheme="minorHAnsi"/>
          <w:i/>
          <w:sz w:val="22"/>
          <w:szCs w:val="22"/>
        </w:rPr>
        <w:t xml:space="preserve">Legislative Assembly (Members' Staff) Act 1989 </w:t>
      </w:r>
      <w:r w:rsidRPr="00C64BEE">
        <w:rPr>
          <w:rFonts w:asciiTheme="minorHAnsi" w:hAnsiTheme="minorHAnsi"/>
          <w:b/>
          <w:sz w:val="22"/>
          <w:szCs w:val="22"/>
        </w:rPr>
        <w:t>revokes DI2017-117 and determines the conditions under which the Speaker may employ staff and engage consultants or contractors.</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DI2018-197 being the Freedom of Information (Fees) Determination 2018 made under section 104 of the </w:t>
      </w:r>
      <w:r w:rsidRPr="00C64BEE">
        <w:rPr>
          <w:rFonts w:asciiTheme="minorHAnsi" w:hAnsiTheme="minorHAnsi"/>
          <w:i/>
          <w:sz w:val="22"/>
          <w:szCs w:val="22"/>
        </w:rPr>
        <w:t xml:space="preserve">Freedom of Information Act 2016 </w:t>
      </w:r>
      <w:r w:rsidRPr="00C64BEE">
        <w:rPr>
          <w:rFonts w:asciiTheme="minorHAnsi" w:hAnsiTheme="minorHAnsi"/>
          <w:b/>
          <w:sz w:val="22"/>
          <w:szCs w:val="22"/>
        </w:rPr>
        <w:t>revokes DI2017-312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pacing w:val="-2"/>
          <w:sz w:val="22"/>
          <w:szCs w:val="22"/>
        </w:rPr>
      </w:pPr>
      <w:r w:rsidRPr="00C64BEE">
        <w:rPr>
          <w:rFonts w:asciiTheme="minorHAnsi" w:hAnsiTheme="minorHAnsi"/>
          <w:b/>
          <w:spacing w:val="-2"/>
          <w:sz w:val="22"/>
          <w:szCs w:val="22"/>
        </w:rPr>
        <w:t xml:space="preserve">Disallowable Instrument DI2018-198 being the Guardianship and Management of Property (Fees) Determination 2018 made under section 75 of the </w:t>
      </w:r>
      <w:r w:rsidRPr="00C64BEE">
        <w:rPr>
          <w:rFonts w:asciiTheme="minorHAnsi" w:hAnsiTheme="minorHAnsi"/>
          <w:i/>
          <w:spacing w:val="-2"/>
          <w:sz w:val="22"/>
          <w:szCs w:val="22"/>
        </w:rPr>
        <w:t xml:space="preserve">Guardianship and Management of Property Act 1991 </w:t>
      </w:r>
      <w:r w:rsidRPr="00C64BEE">
        <w:rPr>
          <w:rFonts w:asciiTheme="minorHAnsi" w:hAnsiTheme="minorHAnsi"/>
          <w:b/>
          <w:spacing w:val="-2"/>
          <w:sz w:val="22"/>
          <w:szCs w:val="22"/>
        </w:rPr>
        <w:t>revokes DI2017-111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DI2018-201 being the Public Sector Management Amendment Standards 2018 (No 1) made under section 251 of the </w:t>
      </w:r>
      <w:r w:rsidRPr="00C64BEE">
        <w:rPr>
          <w:rFonts w:asciiTheme="minorHAnsi" w:hAnsiTheme="minorHAnsi"/>
          <w:i/>
          <w:sz w:val="22"/>
          <w:szCs w:val="22"/>
        </w:rPr>
        <w:t xml:space="preserve">Public Sector Management Act 1994 </w:t>
      </w:r>
      <w:r w:rsidRPr="00C64BEE">
        <w:rPr>
          <w:rFonts w:asciiTheme="minorHAnsi" w:hAnsiTheme="minorHAnsi"/>
          <w:b/>
          <w:sz w:val="22"/>
          <w:szCs w:val="22"/>
        </w:rPr>
        <w:t>introduces a revised executive classification structure, and adjusts the allowance in lieu of an executive vehicle.</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DI2018-203 being the Canberra Institute of Technology (Institute Board Chair) Appointment 2018 made under section 9 of the </w:t>
      </w:r>
      <w:r w:rsidRPr="00C64BEE">
        <w:rPr>
          <w:rFonts w:asciiTheme="minorHAnsi" w:hAnsiTheme="minorHAnsi"/>
          <w:i/>
          <w:sz w:val="22"/>
          <w:szCs w:val="22"/>
        </w:rPr>
        <w:t xml:space="preserve">Canberra Institute of Technology Act 1987 </w:t>
      </w:r>
      <w:r w:rsidRPr="00C64BEE">
        <w:rPr>
          <w:rFonts w:asciiTheme="minorHAnsi" w:hAnsiTheme="minorHAnsi"/>
          <w:b/>
          <w:sz w:val="22"/>
          <w:szCs w:val="22"/>
        </w:rPr>
        <w:t xml:space="preserve">and section 79 of the </w:t>
      </w:r>
      <w:r w:rsidRPr="00C64BEE">
        <w:rPr>
          <w:rFonts w:asciiTheme="minorHAnsi" w:hAnsiTheme="minorHAnsi"/>
          <w:i/>
          <w:sz w:val="22"/>
          <w:szCs w:val="22"/>
        </w:rPr>
        <w:t xml:space="preserve">Financial Management Act 1996 </w:t>
      </w:r>
      <w:r w:rsidRPr="00C64BEE">
        <w:rPr>
          <w:rFonts w:asciiTheme="minorHAnsi" w:hAnsiTheme="minorHAnsi"/>
          <w:b/>
          <w:sz w:val="22"/>
          <w:szCs w:val="22"/>
        </w:rPr>
        <w:t>appoints a specified person, a non-elected member with expertise and knowledge of industry and business, as chair of the Institute Board.</w:t>
      </w:r>
    </w:p>
    <w:p w:rsidR="00B13710" w:rsidRPr="00C64BEE" w:rsidRDefault="00B13710" w:rsidP="00B13710">
      <w:pPr>
        <w:pStyle w:val="Paper"/>
        <w:keepLines/>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DI2018-204 being the Canberra Institute of Technology (Institute Board Deputy Chair) Appointment 2018 made under section 9 of the </w:t>
      </w:r>
      <w:r w:rsidRPr="00C64BEE">
        <w:rPr>
          <w:rFonts w:asciiTheme="minorHAnsi" w:hAnsiTheme="minorHAnsi"/>
          <w:i/>
          <w:sz w:val="22"/>
          <w:szCs w:val="22"/>
        </w:rPr>
        <w:t xml:space="preserve">Canberra Institute of Technology Act 1987 </w:t>
      </w:r>
      <w:r w:rsidRPr="00C64BEE">
        <w:rPr>
          <w:rFonts w:asciiTheme="minorHAnsi" w:hAnsiTheme="minorHAnsi"/>
          <w:b/>
          <w:sz w:val="22"/>
          <w:szCs w:val="22"/>
        </w:rPr>
        <w:t xml:space="preserve">and section 79 of the </w:t>
      </w:r>
      <w:r w:rsidRPr="00C64BEE">
        <w:rPr>
          <w:rFonts w:asciiTheme="minorHAnsi" w:hAnsiTheme="minorHAnsi"/>
          <w:i/>
          <w:sz w:val="22"/>
          <w:szCs w:val="22"/>
        </w:rPr>
        <w:t xml:space="preserve">Financial Management Act 1996 </w:t>
      </w:r>
      <w:r w:rsidRPr="00C64BEE">
        <w:rPr>
          <w:rFonts w:asciiTheme="minorHAnsi" w:hAnsiTheme="minorHAnsi"/>
          <w:b/>
          <w:sz w:val="22"/>
          <w:szCs w:val="22"/>
        </w:rPr>
        <w:t>appoints a specified person, a non-elected member with expertise and knowledge of industry and business, as deputy chair of the Institute Board.</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DI2018-205 being the Canberra Institute of Technology (Institute Board Member) Appointment 2018 (No 1) made under section 9 of the </w:t>
      </w:r>
      <w:r w:rsidRPr="00C64BEE">
        <w:rPr>
          <w:rFonts w:asciiTheme="minorHAnsi" w:hAnsiTheme="minorHAnsi"/>
          <w:i/>
          <w:sz w:val="22"/>
          <w:szCs w:val="22"/>
        </w:rPr>
        <w:t xml:space="preserve">Canberra Institute of Technology Act 1987 </w:t>
      </w:r>
      <w:r w:rsidRPr="00C64BEE">
        <w:rPr>
          <w:rFonts w:asciiTheme="minorHAnsi" w:hAnsiTheme="minorHAnsi"/>
          <w:b/>
          <w:sz w:val="22"/>
          <w:szCs w:val="22"/>
        </w:rPr>
        <w:t xml:space="preserve">and section 78 of the </w:t>
      </w:r>
      <w:r w:rsidRPr="00C64BEE">
        <w:rPr>
          <w:rFonts w:asciiTheme="minorHAnsi" w:hAnsiTheme="minorHAnsi"/>
          <w:i/>
          <w:sz w:val="22"/>
          <w:szCs w:val="22"/>
        </w:rPr>
        <w:t xml:space="preserve">Financial Management Act 1996 </w:t>
      </w:r>
      <w:r w:rsidRPr="00C64BEE">
        <w:rPr>
          <w:rFonts w:asciiTheme="minorHAnsi" w:hAnsiTheme="minorHAnsi"/>
          <w:b/>
          <w:sz w:val="22"/>
          <w:szCs w:val="22"/>
        </w:rPr>
        <w:t>appoints a specified person as a member of the Institute Board, with expertise in industry and business, or vocational education and training and digital learning, or social policy issues including access, equity and diversity issues, or finance, or governance, human resources, risk management, or law.</w:t>
      </w:r>
    </w:p>
    <w:p w:rsidR="00B13710" w:rsidRPr="00C64BEE" w:rsidRDefault="00B13710" w:rsidP="00B13710">
      <w:pPr>
        <w:pStyle w:val="Paper"/>
        <w:keepLines/>
        <w:numPr>
          <w:ilvl w:val="0"/>
          <w:numId w:val="33"/>
        </w:numPr>
        <w:spacing w:before="120"/>
        <w:ind w:left="360"/>
        <w:rPr>
          <w:rFonts w:asciiTheme="minorHAnsi" w:hAnsiTheme="minorHAnsi"/>
          <w:b/>
          <w:spacing w:val="-2"/>
          <w:sz w:val="22"/>
          <w:szCs w:val="22"/>
        </w:rPr>
      </w:pPr>
      <w:r w:rsidRPr="00C64BEE">
        <w:rPr>
          <w:rFonts w:asciiTheme="minorHAnsi" w:hAnsiTheme="minorHAnsi"/>
          <w:b/>
          <w:spacing w:val="-2"/>
          <w:sz w:val="22"/>
          <w:szCs w:val="22"/>
        </w:rPr>
        <w:lastRenderedPageBreak/>
        <w:t xml:space="preserve">Disallowable Instrument DI2018-206 being the Canberra Institute of Technology (Institute Board Member) Appointment 2018 (No 2) made under section 9 of the </w:t>
      </w:r>
      <w:r w:rsidRPr="00C64BEE">
        <w:rPr>
          <w:rFonts w:asciiTheme="minorHAnsi" w:hAnsiTheme="minorHAnsi"/>
          <w:i/>
          <w:spacing w:val="-2"/>
          <w:sz w:val="22"/>
          <w:szCs w:val="22"/>
        </w:rPr>
        <w:t xml:space="preserve">Canberra Institute of Technology Act 1987 </w:t>
      </w:r>
      <w:r w:rsidRPr="00C64BEE">
        <w:rPr>
          <w:rFonts w:asciiTheme="minorHAnsi" w:hAnsiTheme="minorHAnsi"/>
          <w:b/>
          <w:spacing w:val="-2"/>
          <w:sz w:val="22"/>
          <w:szCs w:val="22"/>
        </w:rPr>
        <w:t xml:space="preserve">and section 78 of the </w:t>
      </w:r>
      <w:r w:rsidRPr="00C64BEE">
        <w:rPr>
          <w:rFonts w:asciiTheme="minorHAnsi" w:hAnsiTheme="minorHAnsi"/>
          <w:i/>
          <w:sz w:val="22"/>
          <w:szCs w:val="22"/>
        </w:rPr>
        <w:t>Financial</w:t>
      </w:r>
      <w:r w:rsidRPr="00C64BEE">
        <w:rPr>
          <w:rFonts w:asciiTheme="minorHAnsi" w:hAnsiTheme="minorHAnsi"/>
          <w:i/>
          <w:spacing w:val="-2"/>
          <w:sz w:val="22"/>
          <w:szCs w:val="22"/>
        </w:rPr>
        <w:t xml:space="preserve"> Management Act 1996 </w:t>
      </w:r>
      <w:r w:rsidRPr="00C64BEE">
        <w:rPr>
          <w:rFonts w:asciiTheme="minorHAnsi" w:hAnsiTheme="minorHAnsi"/>
          <w:b/>
          <w:spacing w:val="-2"/>
          <w:sz w:val="22"/>
          <w:szCs w:val="22"/>
        </w:rPr>
        <w:t>appoints a specified person as a member of the Institute Board, with expertise in industry and business, or vocational education and training and digital learning, or social policy issues including access, equity and diversity issues, or finance, or governance, human resources, risk management, or law.</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DI2018-207 being the Utilities (Technical Regulation) (Electricity </w:t>
      </w:r>
      <w:proofErr w:type="spellStart"/>
      <w:r w:rsidRPr="00C64BEE">
        <w:rPr>
          <w:rFonts w:asciiTheme="minorHAnsi" w:hAnsiTheme="minorHAnsi"/>
          <w:b/>
          <w:sz w:val="22"/>
          <w:szCs w:val="22"/>
        </w:rPr>
        <w:t>Powerline</w:t>
      </w:r>
      <w:proofErr w:type="spellEnd"/>
      <w:r w:rsidRPr="00C64BEE">
        <w:rPr>
          <w:rFonts w:asciiTheme="minorHAnsi" w:hAnsiTheme="minorHAnsi"/>
          <w:b/>
          <w:sz w:val="22"/>
          <w:szCs w:val="22"/>
        </w:rPr>
        <w:t xml:space="preserve"> Vegetation Management Code) Approval 2018, including a regulatory impact statement made under section 14 of the </w:t>
      </w:r>
      <w:r w:rsidRPr="00C64BEE">
        <w:rPr>
          <w:rFonts w:asciiTheme="minorHAnsi" w:hAnsiTheme="minorHAnsi"/>
          <w:i/>
          <w:sz w:val="22"/>
          <w:szCs w:val="22"/>
        </w:rPr>
        <w:t xml:space="preserve">Utilities (Technical Regulation) Act 2014 </w:t>
      </w:r>
      <w:r w:rsidRPr="00C64BEE">
        <w:rPr>
          <w:rFonts w:asciiTheme="minorHAnsi" w:hAnsiTheme="minorHAnsi"/>
          <w:b/>
          <w:sz w:val="22"/>
          <w:szCs w:val="22"/>
        </w:rPr>
        <w:t xml:space="preserve">approves the ACT Electricity </w:t>
      </w:r>
      <w:proofErr w:type="spellStart"/>
      <w:r w:rsidRPr="00C64BEE">
        <w:rPr>
          <w:rFonts w:asciiTheme="minorHAnsi" w:hAnsiTheme="minorHAnsi"/>
          <w:b/>
          <w:sz w:val="22"/>
          <w:szCs w:val="22"/>
        </w:rPr>
        <w:t>Powerline</w:t>
      </w:r>
      <w:proofErr w:type="spellEnd"/>
      <w:r w:rsidRPr="00C64BEE">
        <w:rPr>
          <w:rFonts w:asciiTheme="minorHAnsi" w:hAnsiTheme="minorHAnsi"/>
          <w:b/>
          <w:sz w:val="22"/>
          <w:szCs w:val="22"/>
        </w:rPr>
        <w:t xml:space="preserve"> Vegetation Management Code 2018.</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DI2018-208 being the Waste Management and Resource Recovery (Processing Refund Protocol) Determination 2018 made under section 64L of the </w:t>
      </w:r>
      <w:r w:rsidRPr="00C64BEE">
        <w:rPr>
          <w:rFonts w:asciiTheme="minorHAnsi" w:hAnsiTheme="minorHAnsi"/>
          <w:i/>
          <w:sz w:val="22"/>
          <w:szCs w:val="22"/>
        </w:rPr>
        <w:t xml:space="preserve">Waste Management and Resource Recovery Act 2016 </w:t>
      </w:r>
      <w:r w:rsidRPr="00C64BEE">
        <w:rPr>
          <w:rFonts w:asciiTheme="minorHAnsi" w:hAnsiTheme="minorHAnsi"/>
          <w:b/>
          <w:sz w:val="22"/>
          <w:szCs w:val="22"/>
        </w:rPr>
        <w:t>approves the ACT Container Deposit Scheme Processing Refund Protocol made by the Waste Manager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DI2018-210 being the Road Transport (Safety and Traffic Management) Parking Authority Declaration 2018 (No 1) made under subsection 33(2) of the </w:t>
      </w:r>
      <w:r w:rsidRPr="00C64BEE">
        <w:rPr>
          <w:rFonts w:asciiTheme="minorHAnsi" w:hAnsiTheme="minorHAnsi"/>
          <w:i/>
          <w:sz w:val="22"/>
          <w:szCs w:val="22"/>
        </w:rPr>
        <w:t xml:space="preserve">Road Transport (Safety and Traffic Management) Regulation 2017 </w:t>
      </w:r>
      <w:r w:rsidRPr="00C64BEE">
        <w:rPr>
          <w:rFonts w:asciiTheme="minorHAnsi" w:hAnsiTheme="minorHAnsi"/>
          <w:b/>
          <w:sz w:val="22"/>
          <w:szCs w:val="22"/>
        </w:rPr>
        <w:t>revokes DI2006-77 and declares the Director-General of ACT Health to be a parking authority for The Canberra Hospital, Brian Hennessey House and the University of Canberra Hospital.</w:t>
      </w:r>
    </w:p>
    <w:p w:rsidR="00B13710" w:rsidRPr="00C64BEE" w:rsidRDefault="00B13710" w:rsidP="00B13710">
      <w:pPr>
        <w:pStyle w:val="ListParagraph"/>
        <w:numPr>
          <w:ilvl w:val="0"/>
          <w:numId w:val="33"/>
        </w:numPr>
        <w:spacing w:before="120" w:after="120" w:line="240" w:lineRule="auto"/>
        <w:ind w:left="284" w:hanging="284"/>
        <w:contextualSpacing w:val="0"/>
        <w:rPr>
          <w:b/>
        </w:rPr>
      </w:pPr>
      <w:r w:rsidRPr="00C64BEE">
        <w:rPr>
          <w:b/>
        </w:rPr>
        <w:t xml:space="preserve">Disallowable Instrument DI2018-211 being the Blood Donation (Transmittable Diseases) Blood Donor Form 2018 (No 1) made under subsection 10(3) of the </w:t>
      </w:r>
      <w:r w:rsidRPr="00C64BEE">
        <w:rPr>
          <w:i/>
        </w:rPr>
        <w:t>Blood Donation (Transmittable Diseases) Act 1985</w:t>
      </w:r>
      <w:r w:rsidRPr="00C64BEE">
        <w:rPr>
          <w:b/>
        </w:rPr>
        <w:t xml:space="preserve"> revokes DI2017-198 and AF2017-184 and approves the blood donation declaration form. </w:t>
      </w:r>
    </w:p>
    <w:p w:rsidR="00B13710" w:rsidRPr="00C64BEE" w:rsidRDefault="00B13710" w:rsidP="00B13710">
      <w:pPr>
        <w:pStyle w:val="ListParagraph"/>
        <w:numPr>
          <w:ilvl w:val="0"/>
          <w:numId w:val="33"/>
        </w:numPr>
        <w:spacing w:before="120" w:after="120" w:line="240" w:lineRule="auto"/>
        <w:ind w:left="284" w:hanging="284"/>
        <w:contextualSpacing w:val="0"/>
        <w:rPr>
          <w:b/>
        </w:rPr>
      </w:pPr>
      <w:r w:rsidRPr="00C64BEE">
        <w:rPr>
          <w:b/>
        </w:rPr>
        <w:t xml:space="preserve">Disallowable Instrument DI2018-212 being the Nature Conservation (Scientific Committee) Appointment 2018 made under section 36 of the </w:t>
      </w:r>
      <w:r w:rsidRPr="00C64BEE">
        <w:rPr>
          <w:i/>
        </w:rPr>
        <w:t>Nature Conservation Act 2014</w:t>
      </w:r>
      <w:r w:rsidRPr="00C64BEE">
        <w:rPr>
          <w:b/>
        </w:rPr>
        <w:t xml:space="preserve"> appoints specified persons as chair, deputy chair and members of the Scientific Committee. </w:t>
      </w:r>
    </w:p>
    <w:p w:rsidR="00B13710" w:rsidRPr="00C64BEE" w:rsidRDefault="00B13710" w:rsidP="00B13710">
      <w:pPr>
        <w:pStyle w:val="ListParagraph"/>
        <w:numPr>
          <w:ilvl w:val="0"/>
          <w:numId w:val="33"/>
        </w:numPr>
        <w:spacing w:before="120" w:after="120" w:line="240" w:lineRule="auto"/>
        <w:ind w:left="284" w:hanging="284"/>
        <w:contextualSpacing w:val="0"/>
        <w:rPr>
          <w:b/>
        </w:rPr>
      </w:pPr>
      <w:r w:rsidRPr="00C64BEE">
        <w:rPr>
          <w:b/>
        </w:rPr>
        <w:t xml:space="preserve">Disallowable Instrument DI2018-213 being the Public Place Names (Taylor) Determination 2018 (No 2) made under section 3 of the </w:t>
      </w:r>
      <w:r w:rsidRPr="00C64BEE">
        <w:rPr>
          <w:i/>
        </w:rPr>
        <w:t>Public Place Names Act 1989</w:t>
      </w:r>
      <w:r w:rsidRPr="00C64BEE">
        <w:rPr>
          <w:b/>
        </w:rPr>
        <w:t xml:space="preserve"> determines the names of 11 roads in the Division of Taylor. </w:t>
      </w:r>
    </w:p>
    <w:p w:rsidR="00B13710" w:rsidRPr="00C64BEE" w:rsidRDefault="00B13710" w:rsidP="00B13710">
      <w:pPr>
        <w:pStyle w:val="ListParagraph"/>
        <w:numPr>
          <w:ilvl w:val="0"/>
          <w:numId w:val="33"/>
        </w:numPr>
        <w:spacing w:before="120" w:after="120" w:line="240" w:lineRule="auto"/>
        <w:ind w:left="284" w:hanging="284"/>
        <w:contextualSpacing w:val="0"/>
        <w:rPr>
          <w:b/>
        </w:rPr>
      </w:pPr>
      <w:r w:rsidRPr="00C64BEE">
        <w:rPr>
          <w:b/>
        </w:rPr>
        <w:t xml:space="preserve">Disallowable Instrument DI2018-214 being the Public Place Names (Throsby) Determination 2018 made under section 3 of the </w:t>
      </w:r>
      <w:r w:rsidRPr="00C64BEE">
        <w:rPr>
          <w:i/>
        </w:rPr>
        <w:t>Public Place Names Act 1989</w:t>
      </w:r>
      <w:r w:rsidRPr="00C64BEE">
        <w:rPr>
          <w:b/>
        </w:rPr>
        <w:t xml:space="preserve"> determines the name of a park in the Division of Throsby. </w:t>
      </w:r>
    </w:p>
    <w:p w:rsidR="006074ED" w:rsidRPr="00C64BEE" w:rsidRDefault="006074ED" w:rsidP="006074ED">
      <w:pPr>
        <w:pStyle w:val="Heading3"/>
        <w:rPr>
          <w:rFonts w:asciiTheme="minorHAnsi" w:eastAsia="Calibri" w:hAnsiTheme="minorHAnsi"/>
          <w:lang w:eastAsia="en-AU"/>
        </w:rPr>
      </w:pPr>
      <w:bookmarkStart w:id="154" w:name="_Toc521054393"/>
      <w:r w:rsidRPr="00C64BEE">
        <w:rPr>
          <w:rFonts w:asciiTheme="minorHAnsi" w:eastAsia="Calibri" w:hAnsiTheme="minorHAnsi"/>
          <w:lang w:eastAsia="en-AU"/>
        </w:rPr>
        <w:t>Disallowable Instruments—Comment</w:t>
      </w:r>
      <w:bookmarkEnd w:id="154"/>
    </w:p>
    <w:p w:rsidR="006074ED" w:rsidRPr="00C64BEE" w:rsidRDefault="006074ED" w:rsidP="00A63970">
      <w:pPr>
        <w:keepLines/>
        <w:spacing w:after="120"/>
        <w:rPr>
          <w:rFonts w:eastAsia="Calibri" w:cs="Times New Roman"/>
        </w:rPr>
      </w:pPr>
      <w:r w:rsidRPr="00C64BEE">
        <w:rPr>
          <w:rFonts w:eastAsia="Calibri" w:cs="Times New Roman"/>
        </w:rPr>
        <w:t>The Committee has examined the following disallowable instruments and offers these comments on them:</w:t>
      </w:r>
    </w:p>
    <w:p w:rsidR="006074ED" w:rsidRPr="00C64BEE" w:rsidRDefault="006074ED" w:rsidP="006074ED">
      <w:pPr>
        <w:spacing w:before="120" w:after="120" w:line="240" w:lineRule="auto"/>
        <w:rPr>
          <w:rFonts w:eastAsia="Times New Roman" w:cs="Calibri"/>
          <w:i/>
          <w:sz w:val="24"/>
          <w:szCs w:val="20"/>
        </w:rPr>
      </w:pPr>
      <w:bookmarkStart w:id="155" w:name="_Hlk488053906"/>
      <w:bookmarkStart w:id="156" w:name="_Hlk494963894"/>
      <w:r w:rsidRPr="00C64BEE">
        <w:rPr>
          <w:rFonts w:eastAsia="Times New Roman" w:cs="Calibri"/>
          <w:i/>
          <w:sz w:val="24"/>
          <w:szCs w:val="20"/>
        </w:rPr>
        <w:t>Issues with fees determinations</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DI2018-109 being the Dangerous Substances (Fees) Determination 2018 made under section 221 of the </w:t>
      </w:r>
      <w:r w:rsidRPr="00C64BEE">
        <w:rPr>
          <w:i/>
        </w:rPr>
        <w:t>Dangerous Substances Act 2004</w:t>
      </w:r>
      <w:r w:rsidRPr="00C64BEE">
        <w:rPr>
          <w:b/>
        </w:rPr>
        <w:t xml:space="preserve"> revokes DI2017-102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DI2018-110 being the Machinery (Fees) Determination 2018 made under section 5 of the </w:t>
      </w:r>
      <w:r w:rsidRPr="00C64BEE">
        <w:rPr>
          <w:i/>
        </w:rPr>
        <w:t>Machinery Act 1949</w:t>
      </w:r>
      <w:r w:rsidRPr="00C64BEE">
        <w:rPr>
          <w:b/>
        </w:rPr>
        <w:t xml:space="preserve"> revokes DI2017-103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DI2018-111 being the Scaffolding and Lifts (Fees) Determination 2018 made under section 21 of the </w:t>
      </w:r>
      <w:r w:rsidRPr="00C64BEE">
        <w:rPr>
          <w:i/>
        </w:rPr>
        <w:t>Scaffolding and Lifts Act 1912</w:t>
      </w:r>
      <w:r w:rsidRPr="00C64BEE">
        <w:rPr>
          <w:b/>
        </w:rPr>
        <w:t xml:space="preserve"> revokes DI2017-107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lastRenderedPageBreak/>
        <w:t xml:space="preserve">Disallowable Instrument DI2018-112 being the Workers Compensation (Fees) Determination 2018 made under section 221 of the </w:t>
      </w:r>
      <w:r w:rsidRPr="00C64BEE">
        <w:rPr>
          <w:i/>
        </w:rPr>
        <w:t>Workers Compensation Act 1951</w:t>
      </w:r>
      <w:r w:rsidRPr="00C64BEE">
        <w:rPr>
          <w:b/>
        </w:rPr>
        <w:t xml:space="preserve"> revokes DI2017-104 and determines fees payable for the purposes of the Act.</w:t>
      </w:r>
    </w:p>
    <w:p w:rsidR="00B13710" w:rsidRPr="00C64BEE" w:rsidRDefault="00B13710" w:rsidP="00B13710">
      <w:pPr>
        <w:pStyle w:val="ListParagraph"/>
        <w:numPr>
          <w:ilvl w:val="0"/>
          <w:numId w:val="34"/>
        </w:numPr>
        <w:spacing w:before="120" w:after="120" w:line="240" w:lineRule="auto"/>
        <w:ind w:left="360"/>
        <w:contextualSpacing w:val="0"/>
        <w:rPr>
          <w:b/>
        </w:rPr>
      </w:pPr>
      <w:r w:rsidRPr="00C64BEE">
        <w:rPr>
          <w:b/>
        </w:rPr>
        <w:t xml:space="preserve">Disallowable Instrument DI2018-113 being the Work Health and Safety (Fees) Determination 2018 made under section 278 of the </w:t>
      </w:r>
      <w:r w:rsidRPr="00C64BEE">
        <w:rPr>
          <w:i/>
        </w:rPr>
        <w:t>Work Health and Safety Act 2011</w:t>
      </w:r>
      <w:r w:rsidRPr="00C64BEE">
        <w:rPr>
          <w:b/>
        </w:rPr>
        <w:t xml:space="preserve"> revokes DI2017-105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w:t>
      </w:r>
      <w:bookmarkStart w:id="157" w:name="_Hlk520730799"/>
      <w:r w:rsidRPr="00C64BEE">
        <w:rPr>
          <w:rFonts w:asciiTheme="minorHAnsi" w:hAnsiTheme="minorHAnsi"/>
          <w:b/>
          <w:sz w:val="22"/>
          <w:szCs w:val="22"/>
        </w:rPr>
        <w:t xml:space="preserve">DI2018-125 being the Road Transport (General) Vehicle Registration and Related Fees Determination 2018 (No 2) </w:t>
      </w:r>
      <w:bookmarkEnd w:id="157"/>
      <w:r w:rsidRPr="00C64BEE">
        <w:rPr>
          <w:rFonts w:asciiTheme="minorHAnsi" w:hAnsiTheme="minorHAnsi"/>
          <w:b/>
          <w:sz w:val="22"/>
          <w:szCs w:val="22"/>
        </w:rPr>
        <w:t xml:space="preserve">made under section 96 of the </w:t>
      </w:r>
      <w:r w:rsidRPr="00C64BEE">
        <w:rPr>
          <w:rFonts w:asciiTheme="minorHAnsi" w:hAnsiTheme="minorHAnsi"/>
          <w:i/>
          <w:sz w:val="22"/>
          <w:szCs w:val="22"/>
        </w:rPr>
        <w:t xml:space="preserve">Road Transport (General) Act 1999 </w:t>
      </w:r>
      <w:r w:rsidRPr="00C64BEE">
        <w:rPr>
          <w:rFonts w:asciiTheme="minorHAnsi" w:hAnsiTheme="minorHAnsi"/>
          <w:b/>
          <w:sz w:val="22"/>
          <w:szCs w:val="22"/>
        </w:rPr>
        <w:t>revokes DI2018-80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DI2018-126 being the Road Transport (General) Driver Licence and Related Fees Determination 2018 (No 1) made under section 96 of the </w:t>
      </w:r>
      <w:r w:rsidRPr="00C64BEE">
        <w:rPr>
          <w:rFonts w:asciiTheme="minorHAnsi" w:hAnsiTheme="minorHAnsi"/>
          <w:i/>
          <w:sz w:val="22"/>
          <w:szCs w:val="22"/>
        </w:rPr>
        <w:t xml:space="preserve">Road Transport (General) Act 1999 </w:t>
      </w:r>
      <w:r w:rsidRPr="00C64BEE">
        <w:rPr>
          <w:rFonts w:asciiTheme="minorHAnsi" w:hAnsiTheme="minorHAnsi"/>
          <w:b/>
          <w:sz w:val="22"/>
          <w:szCs w:val="22"/>
        </w:rPr>
        <w:t>revokes DI2017-212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DI2018-127 being the Road Transport (General) Numberplate Fees Determination 2018 (No 2) made under section 96 of the </w:t>
      </w:r>
      <w:r w:rsidRPr="00C64BEE">
        <w:rPr>
          <w:rFonts w:asciiTheme="minorHAnsi" w:hAnsiTheme="minorHAnsi"/>
          <w:i/>
          <w:sz w:val="22"/>
          <w:szCs w:val="22"/>
        </w:rPr>
        <w:t xml:space="preserve">Road Transport (General) Act 1999 </w:t>
      </w:r>
      <w:r w:rsidRPr="00C64BEE">
        <w:rPr>
          <w:rFonts w:asciiTheme="minorHAnsi" w:hAnsiTheme="minorHAnsi"/>
          <w:b/>
          <w:sz w:val="22"/>
          <w:szCs w:val="22"/>
        </w:rPr>
        <w:t>revokes DI2018-81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DI2018-128 being the Road Transport (General) Refund and Dishonoured Payments Fees Determination 2018 (No 1) made under section 96 of the </w:t>
      </w:r>
      <w:r w:rsidRPr="00C64BEE">
        <w:rPr>
          <w:rFonts w:asciiTheme="minorHAnsi" w:hAnsiTheme="minorHAnsi"/>
          <w:i/>
          <w:sz w:val="22"/>
          <w:szCs w:val="22"/>
        </w:rPr>
        <w:t xml:space="preserve">Road Transport (General) Act 1999 </w:t>
      </w:r>
      <w:r w:rsidRPr="00C64BEE">
        <w:rPr>
          <w:rFonts w:asciiTheme="minorHAnsi" w:hAnsiTheme="minorHAnsi"/>
          <w:b/>
          <w:sz w:val="22"/>
          <w:szCs w:val="22"/>
        </w:rPr>
        <w:t>revokes DI2017-135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DI2018-129 being the Road Transport (General) Fees for Publications Determination 2018 (No 1) made under section 96 of the </w:t>
      </w:r>
      <w:r w:rsidRPr="00C64BEE">
        <w:rPr>
          <w:rFonts w:asciiTheme="minorHAnsi" w:hAnsiTheme="minorHAnsi"/>
          <w:i/>
          <w:sz w:val="22"/>
          <w:szCs w:val="22"/>
        </w:rPr>
        <w:t xml:space="preserve">Road Transport (General) Act 1999 </w:t>
      </w:r>
      <w:r w:rsidRPr="00C64BEE">
        <w:rPr>
          <w:rFonts w:asciiTheme="minorHAnsi" w:hAnsiTheme="minorHAnsi"/>
          <w:b/>
          <w:sz w:val="22"/>
          <w:szCs w:val="22"/>
        </w:rPr>
        <w:t>revokes DI2017-136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DI2018-138 being the Agents (Fees) Determination 2018 made under section 176 of the </w:t>
      </w:r>
      <w:r w:rsidRPr="00C64BEE">
        <w:rPr>
          <w:rFonts w:asciiTheme="minorHAnsi" w:hAnsiTheme="minorHAnsi"/>
          <w:i/>
          <w:sz w:val="22"/>
          <w:szCs w:val="22"/>
        </w:rPr>
        <w:t xml:space="preserve">Agents Act 2003 </w:t>
      </w:r>
      <w:r w:rsidRPr="00C64BEE">
        <w:rPr>
          <w:rFonts w:asciiTheme="minorHAnsi" w:hAnsiTheme="minorHAnsi"/>
          <w:b/>
          <w:sz w:val="22"/>
          <w:szCs w:val="22"/>
        </w:rPr>
        <w:t>revokes DI2017-68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w:t>
      </w:r>
      <w:bookmarkStart w:id="158" w:name="_Hlk520733634"/>
      <w:r w:rsidRPr="00C64BEE">
        <w:rPr>
          <w:rFonts w:asciiTheme="minorHAnsi" w:hAnsiTheme="minorHAnsi"/>
          <w:b/>
          <w:sz w:val="22"/>
          <w:szCs w:val="22"/>
        </w:rPr>
        <w:t xml:space="preserve">DI2018-140 being the Births, Deaths and Marriages Registration (Fees) Determination 2018 </w:t>
      </w:r>
      <w:bookmarkEnd w:id="158"/>
      <w:r w:rsidRPr="00C64BEE">
        <w:rPr>
          <w:rFonts w:asciiTheme="minorHAnsi" w:hAnsiTheme="minorHAnsi"/>
          <w:b/>
          <w:sz w:val="22"/>
          <w:szCs w:val="22"/>
        </w:rPr>
        <w:t xml:space="preserve">made under section 67 of the </w:t>
      </w:r>
      <w:r w:rsidRPr="00C64BEE">
        <w:rPr>
          <w:rFonts w:asciiTheme="minorHAnsi" w:hAnsiTheme="minorHAnsi"/>
          <w:i/>
          <w:sz w:val="22"/>
          <w:szCs w:val="22"/>
        </w:rPr>
        <w:t xml:space="preserve">Births, Deaths and Marriages Registration Act 1997 </w:t>
      </w:r>
      <w:r w:rsidRPr="00C64BEE">
        <w:rPr>
          <w:rFonts w:asciiTheme="minorHAnsi" w:hAnsiTheme="minorHAnsi"/>
          <w:b/>
          <w:sz w:val="22"/>
          <w:szCs w:val="22"/>
        </w:rPr>
        <w:t>revokes DI2017-69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DI2018-142 being the Classification (Publications, Films and Computer Games) (Enforcement) (Fees) Determination 2018 made under section 67 of the </w:t>
      </w:r>
      <w:r w:rsidRPr="00C64BEE">
        <w:rPr>
          <w:rFonts w:asciiTheme="minorHAnsi" w:hAnsiTheme="minorHAnsi"/>
          <w:i/>
          <w:sz w:val="22"/>
          <w:szCs w:val="22"/>
        </w:rPr>
        <w:t xml:space="preserve">Classification (Publications, Films and Computer Games) (Enforcement) Act 1995 </w:t>
      </w:r>
      <w:r w:rsidRPr="00C64BEE">
        <w:rPr>
          <w:rFonts w:asciiTheme="minorHAnsi" w:hAnsiTheme="minorHAnsi"/>
          <w:b/>
          <w:sz w:val="22"/>
          <w:szCs w:val="22"/>
        </w:rPr>
        <w:t>revokes DI2017-71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DI2018-143 being the Co-operatives National Law (ACT) (Fees) Determination 2018 made under schedule 1 of the </w:t>
      </w:r>
      <w:r w:rsidRPr="00C64BEE">
        <w:rPr>
          <w:rFonts w:asciiTheme="minorHAnsi" w:hAnsiTheme="minorHAnsi"/>
          <w:i/>
          <w:sz w:val="22"/>
          <w:szCs w:val="22"/>
        </w:rPr>
        <w:t xml:space="preserve">Co-operatives National Law (ACT) Act 2017 </w:t>
      </w:r>
      <w:r w:rsidRPr="00C64BEE">
        <w:rPr>
          <w:rFonts w:asciiTheme="minorHAnsi" w:hAnsiTheme="minorHAnsi"/>
          <w:b/>
          <w:sz w:val="22"/>
          <w:szCs w:val="22"/>
        </w:rPr>
        <w:t>revokes DI2017-271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DI2018-144 being the Prostitution (Fees) Determination 2018 made under section 29 of the </w:t>
      </w:r>
      <w:r w:rsidRPr="00C64BEE">
        <w:rPr>
          <w:rFonts w:asciiTheme="minorHAnsi" w:hAnsiTheme="minorHAnsi"/>
          <w:i/>
          <w:sz w:val="22"/>
          <w:szCs w:val="22"/>
        </w:rPr>
        <w:t xml:space="preserve">Prostitution Act 1992 </w:t>
      </w:r>
      <w:r w:rsidRPr="00C64BEE">
        <w:rPr>
          <w:rFonts w:asciiTheme="minorHAnsi" w:hAnsiTheme="minorHAnsi"/>
          <w:b/>
          <w:sz w:val="22"/>
          <w:szCs w:val="22"/>
        </w:rPr>
        <w:t>revokes DI2017-74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DI2018-145 being the Registration of Deeds (Fees) Determination 2018 made under section 8 of the </w:t>
      </w:r>
      <w:r w:rsidRPr="00C64BEE">
        <w:rPr>
          <w:rFonts w:asciiTheme="minorHAnsi" w:hAnsiTheme="minorHAnsi"/>
          <w:i/>
          <w:sz w:val="22"/>
          <w:szCs w:val="22"/>
        </w:rPr>
        <w:t xml:space="preserve">Registration of Deeds Act 1957 </w:t>
      </w:r>
      <w:r w:rsidRPr="00C64BEE">
        <w:rPr>
          <w:rFonts w:asciiTheme="minorHAnsi" w:hAnsiTheme="minorHAnsi"/>
          <w:b/>
          <w:sz w:val="22"/>
          <w:szCs w:val="22"/>
        </w:rPr>
        <w:t>revokes DI2017-75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lastRenderedPageBreak/>
        <w:t xml:space="preserve">Disallowable Instrument DI2018-146 being the Retirement Villages (Fees) Determination 2018 made under section 262 of the </w:t>
      </w:r>
      <w:r w:rsidRPr="00C64BEE">
        <w:rPr>
          <w:rFonts w:asciiTheme="minorHAnsi" w:hAnsiTheme="minorHAnsi"/>
          <w:i/>
          <w:sz w:val="22"/>
          <w:szCs w:val="22"/>
        </w:rPr>
        <w:t xml:space="preserve">Retirement Villages Act 2012 </w:t>
      </w:r>
      <w:r w:rsidRPr="00C64BEE">
        <w:rPr>
          <w:rFonts w:asciiTheme="minorHAnsi" w:hAnsiTheme="minorHAnsi"/>
          <w:b/>
          <w:sz w:val="22"/>
          <w:szCs w:val="22"/>
        </w:rPr>
        <w:t>revokes DI2017-76 and determines fees payable for the purposes of the Act.</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DI2018-147 being the Traders (Licensing) (Fees) Determination 2018 made under section 52 of the </w:t>
      </w:r>
      <w:r w:rsidRPr="00C64BEE">
        <w:rPr>
          <w:rFonts w:asciiTheme="minorHAnsi" w:hAnsiTheme="minorHAnsi"/>
          <w:i/>
          <w:sz w:val="22"/>
          <w:szCs w:val="22"/>
        </w:rPr>
        <w:t xml:space="preserve">Traders (Licensing) Act 2016 </w:t>
      </w:r>
      <w:r w:rsidRPr="00C64BEE">
        <w:rPr>
          <w:rFonts w:asciiTheme="minorHAnsi" w:hAnsiTheme="minorHAnsi"/>
          <w:b/>
          <w:sz w:val="22"/>
          <w:szCs w:val="22"/>
        </w:rPr>
        <w:t xml:space="preserve">replaces the fees determinations made under the </w:t>
      </w:r>
      <w:r w:rsidRPr="00C64BEE">
        <w:rPr>
          <w:rFonts w:asciiTheme="minorHAnsi" w:hAnsiTheme="minorHAnsi"/>
          <w:i/>
          <w:sz w:val="22"/>
          <w:szCs w:val="22"/>
        </w:rPr>
        <w:t>Fair Trading (Motor Vehicle Repair Industry) Act 2010</w:t>
      </w:r>
      <w:r w:rsidRPr="00C64BEE">
        <w:rPr>
          <w:rFonts w:asciiTheme="minorHAnsi" w:hAnsiTheme="minorHAnsi"/>
          <w:b/>
          <w:sz w:val="22"/>
          <w:szCs w:val="22"/>
        </w:rPr>
        <w:t xml:space="preserve">, </w:t>
      </w:r>
      <w:r w:rsidRPr="00C64BEE">
        <w:rPr>
          <w:rFonts w:asciiTheme="minorHAnsi" w:hAnsiTheme="minorHAnsi"/>
          <w:i/>
          <w:sz w:val="22"/>
          <w:szCs w:val="22"/>
        </w:rPr>
        <w:t>Pawnbrokers Act 1902</w:t>
      </w:r>
      <w:r w:rsidRPr="00C64BEE">
        <w:rPr>
          <w:rFonts w:asciiTheme="minorHAnsi" w:hAnsiTheme="minorHAnsi"/>
          <w:b/>
          <w:sz w:val="22"/>
          <w:szCs w:val="22"/>
        </w:rPr>
        <w:t xml:space="preserve">, </w:t>
      </w:r>
      <w:r w:rsidRPr="00C64BEE">
        <w:rPr>
          <w:rFonts w:asciiTheme="minorHAnsi" w:hAnsiTheme="minorHAnsi"/>
          <w:i/>
          <w:sz w:val="22"/>
          <w:szCs w:val="22"/>
        </w:rPr>
        <w:t>Sale of Motor Vehicles Act 1977</w:t>
      </w:r>
      <w:r w:rsidRPr="00C64BEE">
        <w:rPr>
          <w:rFonts w:asciiTheme="minorHAnsi" w:hAnsiTheme="minorHAnsi"/>
          <w:b/>
          <w:sz w:val="22"/>
          <w:szCs w:val="22"/>
        </w:rPr>
        <w:t xml:space="preserve"> and </w:t>
      </w:r>
      <w:r w:rsidRPr="00C64BEE">
        <w:rPr>
          <w:rFonts w:asciiTheme="minorHAnsi" w:hAnsiTheme="minorHAnsi"/>
          <w:i/>
          <w:sz w:val="22"/>
          <w:szCs w:val="22"/>
        </w:rPr>
        <w:t>Second-hand Dealers Act 1906</w:t>
      </w:r>
      <w:r w:rsidRPr="00C64BEE">
        <w:rPr>
          <w:rFonts w:asciiTheme="minorHAnsi" w:hAnsiTheme="minorHAnsi"/>
          <w:b/>
          <w:sz w:val="22"/>
          <w:szCs w:val="22"/>
        </w:rPr>
        <w:t xml:space="preserve"> for the purpose of issuing and renewing licenses.</w:t>
      </w:r>
    </w:p>
    <w:p w:rsidR="00B13710" w:rsidRPr="00C64BEE" w:rsidRDefault="00B13710" w:rsidP="00B13710">
      <w:pPr>
        <w:pStyle w:val="Paper"/>
        <w:numPr>
          <w:ilvl w:val="0"/>
          <w:numId w:val="34"/>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DI2018-175 being the Domestic Animals (Fees) Determination 2018 (No 2) made under section 144 of the </w:t>
      </w:r>
      <w:r w:rsidRPr="00C64BEE">
        <w:rPr>
          <w:rFonts w:asciiTheme="minorHAnsi" w:hAnsiTheme="minorHAnsi"/>
          <w:i/>
          <w:sz w:val="22"/>
          <w:szCs w:val="22"/>
        </w:rPr>
        <w:t xml:space="preserve">Domestic Animals Act 2000 </w:t>
      </w:r>
      <w:r w:rsidRPr="00C64BEE">
        <w:rPr>
          <w:rFonts w:asciiTheme="minorHAnsi" w:hAnsiTheme="minorHAnsi"/>
          <w:b/>
          <w:sz w:val="22"/>
          <w:szCs w:val="22"/>
        </w:rPr>
        <w:t>revokes DI2018-77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DI2018-177 being the Tree Protection (Fees) Determination 2018 (No 1) made under section 109 of the </w:t>
      </w:r>
      <w:r w:rsidRPr="00C64BEE">
        <w:rPr>
          <w:rFonts w:asciiTheme="minorHAnsi" w:hAnsiTheme="minorHAnsi"/>
          <w:i/>
          <w:sz w:val="22"/>
          <w:szCs w:val="22"/>
        </w:rPr>
        <w:t xml:space="preserve">Tree Protection Act 2005 </w:t>
      </w:r>
      <w:r w:rsidRPr="00C64BEE">
        <w:rPr>
          <w:rFonts w:asciiTheme="minorHAnsi" w:hAnsiTheme="minorHAnsi"/>
          <w:b/>
          <w:sz w:val="22"/>
          <w:szCs w:val="22"/>
        </w:rPr>
        <w:t>revokes DI2017-179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w:t>
      </w:r>
      <w:bookmarkStart w:id="159" w:name="_Hlk520737900"/>
      <w:r w:rsidRPr="00C64BEE">
        <w:rPr>
          <w:rFonts w:asciiTheme="minorHAnsi" w:hAnsiTheme="minorHAnsi"/>
          <w:b/>
          <w:sz w:val="22"/>
          <w:szCs w:val="22"/>
        </w:rPr>
        <w:t xml:space="preserve">DI2018-188 being the Associations Incorporation (Fees) Determination 2018 </w:t>
      </w:r>
      <w:bookmarkEnd w:id="159"/>
      <w:r w:rsidRPr="00C64BEE">
        <w:rPr>
          <w:rFonts w:asciiTheme="minorHAnsi" w:hAnsiTheme="minorHAnsi"/>
          <w:b/>
          <w:sz w:val="22"/>
          <w:szCs w:val="22"/>
        </w:rPr>
        <w:t xml:space="preserve">made under section 125 of the </w:t>
      </w:r>
      <w:r w:rsidRPr="00C64BEE">
        <w:rPr>
          <w:rFonts w:asciiTheme="minorHAnsi" w:hAnsiTheme="minorHAnsi"/>
          <w:i/>
          <w:sz w:val="22"/>
          <w:szCs w:val="22"/>
        </w:rPr>
        <w:t xml:space="preserve">Associations Incorporation Act 1991 </w:t>
      </w:r>
      <w:r w:rsidRPr="00C64BEE">
        <w:rPr>
          <w:rFonts w:asciiTheme="minorHAnsi" w:hAnsiTheme="minorHAnsi"/>
          <w:b/>
          <w:sz w:val="22"/>
          <w:szCs w:val="22"/>
        </w:rPr>
        <w:t>revokes DI2017-84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DI2018-189 being the Land Titles (Fees) Determination 2018 made under section 139 of the </w:t>
      </w:r>
      <w:r w:rsidRPr="00C64BEE">
        <w:rPr>
          <w:rFonts w:asciiTheme="minorHAnsi" w:hAnsiTheme="minorHAnsi"/>
          <w:i/>
          <w:sz w:val="22"/>
          <w:szCs w:val="22"/>
        </w:rPr>
        <w:t xml:space="preserve">Land Titles Act 1925 </w:t>
      </w:r>
      <w:r w:rsidRPr="00C64BEE">
        <w:rPr>
          <w:rFonts w:asciiTheme="minorHAnsi" w:hAnsiTheme="minorHAnsi"/>
          <w:b/>
          <w:sz w:val="22"/>
          <w:szCs w:val="22"/>
        </w:rPr>
        <w:t>revokes DI2017-190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DI2018-190 being the Liquor (Fees) Determination 2018 made under section 227 of the </w:t>
      </w:r>
      <w:r w:rsidRPr="00C64BEE">
        <w:rPr>
          <w:rFonts w:asciiTheme="minorHAnsi" w:hAnsiTheme="minorHAnsi"/>
          <w:i/>
          <w:sz w:val="22"/>
          <w:szCs w:val="22"/>
        </w:rPr>
        <w:t xml:space="preserve">Liquor Act 2010 </w:t>
      </w:r>
      <w:r w:rsidRPr="00C64BEE">
        <w:rPr>
          <w:rFonts w:asciiTheme="minorHAnsi" w:hAnsiTheme="minorHAnsi"/>
          <w:b/>
          <w:sz w:val="22"/>
          <w:szCs w:val="22"/>
        </w:rPr>
        <w:t>revokes DI2017-92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DI2018-191 being the Partnership (Fees) Determination 2018 made under section 99 of the </w:t>
      </w:r>
      <w:r w:rsidRPr="00C64BEE">
        <w:rPr>
          <w:rFonts w:asciiTheme="minorHAnsi" w:hAnsiTheme="minorHAnsi"/>
          <w:i/>
          <w:sz w:val="22"/>
          <w:szCs w:val="22"/>
        </w:rPr>
        <w:t xml:space="preserve">Partnership Act 1963 </w:t>
      </w:r>
      <w:r w:rsidRPr="00C64BEE">
        <w:rPr>
          <w:rFonts w:asciiTheme="minorHAnsi" w:hAnsiTheme="minorHAnsi"/>
          <w:b/>
          <w:sz w:val="22"/>
          <w:szCs w:val="22"/>
        </w:rPr>
        <w:t>revokes DI2017-86 and determines the fee payable for an application for registration as an incorporated limited partnership.</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DI2018-192 being the Security Industry (Fees) Determination 2018 made under section 50 of the </w:t>
      </w:r>
      <w:r w:rsidRPr="00C64BEE">
        <w:rPr>
          <w:rFonts w:asciiTheme="minorHAnsi" w:hAnsiTheme="minorHAnsi"/>
          <w:i/>
          <w:sz w:val="22"/>
          <w:szCs w:val="22"/>
        </w:rPr>
        <w:t xml:space="preserve">Security Industry Act 2003 </w:t>
      </w:r>
      <w:r w:rsidRPr="00C64BEE">
        <w:rPr>
          <w:rFonts w:asciiTheme="minorHAnsi" w:hAnsiTheme="minorHAnsi"/>
          <w:b/>
          <w:sz w:val="22"/>
          <w:szCs w:val="22"/>
        </w:rPr>
        <w:t>revokes DI2017-87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DI2018-193 being the Gaming Machine (Fees) Determination 2018 made under section 177 of the </w:t>
      </w:r>
      <w:r w:rsidRPr="00C64BEE">
        <w:rPr>
          <w:rFonts w:asciiTheme="minorHAnsi" w:hAnsiTheme="minorHAnsi"/>
          <w:i/>
          <w:sz w:val="22"/>
          <w:szCs w:val="22"/>
        </w:rPr>
        <w:t xml:space="preserve">Gaming Machine Act 2004 </w:t>
      </w:r>
      <w:r w:rsidRPr="00C64BEE">
        <w:rPr>
          <w:rFonts w:asciiTheme="minorHAnsi" w:hAnsiTheme="minorHAnsi"/>
          <w:b/>
          <w:sz w:val="22"/>
          <w:szCs w:val="22"/>
        </w:rPr>
        <w:t>revokes DI2017-89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DI2018-194 being the Race and Sports Bookmaking (Fees) Determination 2018 made under section 97 of the </w:t>
      </w:r>
      <w:r w:rsidRPr="00C64BEE">
        <w:rPr>
          <w:rFonts w:asciiTheme="minorHAnsi" w:hAnsiTheme="minorHAnsi"/>
          <w:i/>
          <w:sz w:val="22"/>
          <w:szCs w:val="22"/>
        </w:rPr>
        <w:t xml:space="preserve">Race and Sports Bookmaking Act 2001 </w:t>
      </w:r>
      <w:r w:rsidRPr="00C64BEE">
        <w:rPr>
          <w:rFonts w:asciiTheme="minorHAnsi" w:hAnsiTheme="minorHAnsi"/>
          <w:b/>
          <w:sz w:val="22"/>
          <w:szCs w:val="22"/>
        </w:rPr>
        <w:t>revokes DI2017-90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DI2018-195 being the Unlawful Gambling (Charitable Gaming Application Fees) Determination 2018 made under section 48 of the </w:t>
      </w:r>
      <w:r w:rsidRPr="00C64BEE">
        <w:rPr>
          <w:rFonts w:asciiTheme="minorHAnsi" w:hAnsiTheme="minorHAnsi"/>
          <w:i/>
          <w:sz w:val="22"/>
          <w:szCs w:val="22"/>
        </w:rPr>
        <w:t xml:space="preserve">Unlawful Gambling Act 2009 </w:t>
      </w:r>
      <w:r w:rsidRPr="00C64BEE">
        <w:rPr>
          <w:rFonts w:asciiTheme="minorHAnsi" w:hAnsiTheme="minorHAnsi"/>
          <w:b/>
          <w:sz w:val="22"/>
          <w:szCs w:val="22"/>
        </w:rPr>
        <w:t>revokes DI2017-91 and determines the fee to accompany an application by a charitable organisation to conduct charitable gaming under the Unlawful Gambling Act 2009.</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DI2018-196 being the Casino Control (Fees) Determination 2018 made under section 143 of the </w:t>
      </w:r>
      <w:r w:rsidRPr="00C64BEE">
        <w:rPr>
          <w:rFonts w:asciiTheme="minorHAnsi" w:hAnsiTheme="minorHAnsi"/>
          <w:i/>
          <w:sz w:val="22"/>
          <w:szCs w:val="22"/>
        </w:rPr>
        <w:t xml:space="preserve">Casino Control Act 2006 </w:t>
      </w:r>
      <w:r w:rsidRPr="00C64BEE">
        <w:rPr>
          <w:rFonts w:asciiTheme="minorHAnsi" w:hAnsiTheme="minorHAnsi"/>
          <w:b/>
          <w:sz w:val="22"/>
          <w:szCs w:val="22"/>
        </w:rPr>
        <w:t>revokes DI2017-88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DI2018-199 being the Public Trustee and Guardian (Fees) Determination 2018 made under section 75 of the </w:t>
      </w:r>
      <w:r w:rsidRPr="00C64BEE">
        <w:rPr>
          <w:rFonts w:asciiTheme="minorHAnsi" w:hAnsiTheme="minorHAnsi"/>
          <w:i/>
          <w:sz w:val="22"/>
          <w:szCs w:val="22"/>
        </w:rPr>
        <w:t xml:space="preserve">Public Trustee and Guardian Act 1985 </w:t>
      </w:r>
      <w:r w:rsidRPr="00C64BEE">
        <w:rPr>
          <w:rFonts w:asciiTheme="minorHAnsi" w:hAnsiTheme="minorHAnsi"/>
          <w:b/>
          <w:sz w:val="22"/>
          <w:szCs w:val="22"/>
        </w:rPr>
        <w:t>revokes DI2017-112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lastRenderedPageBreak/>
        <w:t xml:space="preserve">Disallowable Instrument DI2018-200 being the Unit Titles (Management) (Fees) Determination 2018 made under section 119 of the </w:t>
      </w:r>
      <w:r w:rsidRPr="00C64BEE">
        <w:rPr>
          <w:rFonts w:asciiTheme="minorHAnsi" w:hAnsiTheme="minorHAnsi"/>
          <w:i/>
          <w:sz w:val="22"/>
          <w:szCs w:val="22"/>
        </w:rPr>
        <w:t xml:space="preserve">Unit Titles (Management) Act 2011 </w:t>
      </w:r>
      <w:r w:rsidRPr="00C64BEE">
        <w:rPr>
          <w:rFonts w:asciiTheme="minorHAnsi" w:hAnsiTheme="minorHAnsi"/>
          <w:b/>
          <w:sz w:val="22"/>
          <w:szCs w:val="22"/>
        </w:rPr>
        <w:t>revokes DI2017-97 and determines fees payable for the purposes of the Act.</w:t>
      </w:r>
    </w:p>
    <w:p w:rsidR="00B13710" w:rsidRPr="00C64BEE" w:rsidRDefault="00B13710" w:rsidP="00B13710">
      <w:pPr>
        <w:pStyle w:val="Paper"/>
        <w:numPr>
          <w:ilvl w:val="0"/>
          <w:numId w:val="33"/>
        </w:numPr>
        <w:spacing w:before="120"/>
        <w:ind w:left="360"/>
        <w:rPr>
          <w:rFonts w:asciiTheme="minorHAnsi" w:hAnsiTheme="minorHAnsi"/>
          <w:b/>
          <w:sz w:val="22"/>
          <w:szCs w:val="22"/>
        </w:rPr>
      </w:pPr>
      <w:r w:rsidRPr="00C64BEE">
        <w:rPr>
          <w:rFonts w:asciiTheme="minorHAnsi" w:hAnsiTheme="minorHAnsi"/>
          <w:b/>
          <w:sz w:val="22"/>
          <w:szCs w:val="22"/>
        </w:rPr>
        <w:t xml:space="preserve">Disallowable Instrument DI2018-209 being the Court Procedures (Fees) Determination 2018 made under section 13 of the </w:t>
      </w:r>
      <w:r w:rsidRPr="00C64BEE">
        <w:rPr>
          <w:rFonts w:asciiTheme="minorHAnsi" w:hAnsiTheme="minorHAnsi"/>
          <w:i/>
          <w:sz w:val="22"/>
          <w:szCs w:val="22"/>
        </w:rPr>
        <w:t xml:space="preserve">Court Procedures Act 2004 </w:t>
      </w:r>
      <w:r w:rsidRPr="00C64BEE">
        <w:rPr>
          <w:rFonts w:asciiTheme="minorHAnsi" w:hAnsiTheme="minorHAnsi"/>
          <w:b/>
          <w:sz w:val="22"/>
          <w:szCs w:val="22"/>
        </w:rPr>
        <w:t>revokes DI2017-110 and determines fees payable for the purposes of the Act.</w:t>
      </w:r>
    </w:p>
    <w:p w:rsidR="006074ED" w:rsidRPr="00C64BEE" w:rsidRDefault="006074ED" w:rsidP="00A63970">
      <w:pPr>
        <w:keepLines/>
        <w:spacing w:after="120"/>
        <w:rPr>
          <w:rFonts w:eastAsia="Calibri" w:cs="Times New Roman"/>
        </w:rPr>
      </w:pPr>
      <w:r w:rsidRPr="00C64BEE">
        <w:rPr>
          <w:rFonts w:eastAsia="Calibri" w:cs="Times New Roman"/>
        </w:rPr>
        <w:t xml:space="preserve">As is to be expected at this time of the year, the Committee has considered, for this Scrutiny Report, over 60 instruments that determine fees, for the purposes of various Acts.  The Committee’s expectations, in relation to fees determinations (and other matters) are set out in the Committee’s document titled </w:t>
      </w:r>
      <w:hyperlink r:id="rId21" w:history="1">
        <w:r w:rsidR="00B62440" w:rsidRPr="00EC220B">
          <w:rPr>
            <w:rFonts w:eastAsia="Calibri" w:cs="Times New Roman"/>
            <w:i/>
            <w:color w:val="0000CC"/>
            <w:u w:val="single"/>
          </w:rPr>
          <w:t>Subordinate legislation—Technical and stylistic standards—Tips/Traps</w:t>
        </w:r>
      </w:hyperlink>
      <w:r w:rsidR="00B62440" w:rsidRPr="00C64BEE">
        <w:rPr>
          <w:rFonts w:eastAsia="Calibri" w:cs="Times New Roman"/>
          <w:vertAlign w:val="superscript"/>
        </w:rPr>
        <w:footnoteReference w:id="1"/>
      </w:r>
      <w:r w:rsidRPr="00C64BEE">
        <w:rPr>
          <w:rFonts w:eastAsia="Calibri" w:cs="Times New Roman"/>
        </w:rPr>
        <w:t>.  In that document, the Committee states:</w:t>
      </w:r>
    </w:p>
    <w:p w:rsidR="006074ED" w:rsidRPr="009E5652" w:rsidRDefault="006074ED" w:rsidP="009E5652">
      <w:pPr>
        <w:ind w:left="360"/>
        <w:rPr>
          <w:b/>
        </w:rPr>
      </w:pPr>
      <w:r w:rsidRPr="009E5652">
        <w:rPr>
          <w:b/>
        </w:rPr>
        <w:t>FEES DETERMINATIONS</w:t>
      </w:r>
    </w:p>
    <w:p w:rsidR="006074ED" w:rsidRPr="00C64BEE" w:rsidRDefault="006074ED" w:rsidP="00E90629">
      <w:pPr>
        <w:keepLines/>
        <w:spacing w:after="120"/>
        <w:ind w:left="360"/>
        <w:rPr>
          <w:rFonts w:eastAsia="Calibri" w:cs="Times New Roman"/>
        </w:rPr>
      </w:pPr>
      <w:r w:rsidRPr="00C64BEE">
        <w:rPr>
          <w:rFonts w:eastAsia="Calibri" w:cs="Times New Roman"/>
        </w:rPr>
        <w:t>The Committee prefers that instruments that determine fees indicate (either in the instrument itself or in the Explanatory Statement) the amount of the “old” fee, the amount of the new fee, any percentage increase and also the reason for any increase (</w:t>
      </w:r>
      <w:proofErr w:type="spellStart"/>
      <w:r w:rsidRPr="00C64BEE">
        <w:rPr>
          <w:rFonts w:eastAsia="Calibri" w:cs="Times New Roman"/>
        </w:rPr>
        <w:t>eg</w:t>
      </w:r>
      <w:proofErr w:type="spellEnd"/>
      <w:r w:rsidRPr="00C64BEE">
        <w:rPr>
          <w:rFonts w:eastAsia="Calibri" w:cs="Times New Roman"/>
        </w:rPr>
        <w:t xml:space="preserve"> an adjustment based on the CPI).  Given the importance of fees to the administration of the ACT, it assists the Committee (and the Legislative Assembly) if fees determinations expressly identify the magnitude of any fees increases.</w:t>
      </w:r>
    </w:p>
    <w:p w:rsidR="006074ED" w:rsidRPr="00C64BEE" w:rsidRDefault="006074ED" w:rsidP="00E90629">
      <w:pPr>
        <w:keepLines/>
        <w:spacing w:after="120"/>
        <w:ind w:left="360"/>
        <w:rPr>
          <w:rFonts w:eastAsia="Calibri" w:cs="Times New Roman"/>
        </w:rPr>
      </w:pPr>
      <w:r w:rsidRPr="00C64BEE">
        <w:rPr>
          <w:rFonts w:eastAsia="Calibri" w:cs="Times New Roman"/>
        </w:rPr>
        <w:t xml:space="preserve">The Committee also prefers that fees determinations expressly address the mandatory requirements of subsection 56(5) of the </w:t>
      </w:r>
      <w:r w:rsidRPr="00C64BEE">
        <w:rPr>
          <w:rFonts w:eastAsia="Calibri" w:cs="Times New Roman"/>
          <w:i/>
        </w:rPr>
        <w:t>Legislation Act 2001</w:t>
      </w:r>
      <w:r w:rsidRPr="00C64BEE">
        <w:rPr>
          <w:rFonts w:eastAsia="Calibri" w:cs="Times New Roman"/>
        </w:rPr>
        <w:t>, which provides that a fees determination must provide:</w:t>
      </w:r>
    </w:p>
    <w:p w:rsidR="006074ED" w:rsidRPr="00C64BEE" w:rsidRDefault="006074ED" w:rsidP="00E90629">
      <w:pPr>
        <w:keepLines/>
        <w:spacing w:after="120"/>
        <w:ind w:left="360"/>
        <w:rPr>
          <w:rFonts w:eastAsia="Calibri" w:cs="Times New Roman"/>
        </w:rPr>
      </w:pPr>
      <w:r w:rsidRPr="00C64BEE">
        <w:rPr>
          <w:rFonts w:eastAsia="Calibri" w:cs="Times New Roman"/>
        </w:rPr>
        <w:t>•</w:t>
      </w:r>
      <w:r w:rsidRPr="00C64BEE">
        <w:rPr>
          <w:rFonts w:eastAsia="Calibri" w:cs="Times New Roman"/>
        </w:rPr>
        <w:tab/>
      </w:r>
      <w:proofErr w:type="gramStart"/>
      <w:r w:rsidRPr="00C64BEE">
        <w:rPr>
          <w:rFonts w:eastAsia="Calibri" w:cs="Times New Roman"/>
        </w:rPr>
        <w:t>by</w:t>
      </w:r>
      <w:proofErr w:type="gramEnd"/>
      <w:r w:rsidRPr="00C64BEE">
        <w:rPr>
          <w:rFonts w:eastAsia="Calibri" w:cs="Times New Roman"/>
        </w:rPr>
        <w:t xml:space="preserve"> whom the fee is payable; and</w:t>
      </w:r>
    </w:p>
    <w:p w:rsidR="006074ED" w:rsidRPr="00C64BEE" w:rsidRDefault="006074ED" w:rsidP="009656E3">
      <w:pPr>
        <w:keepLines/>
        <w:spacing w:before="120" w:after="120"/>
        <w:ind w:left="360"/>
        <w:rPr>
          <w:rFonts w:eastAsia="Calibri" w:cs="Times New Roman"/>
        </w:rPr>
      </w:pPr>
      <w:r w:rsidRPr="00C64BEE">
        <w:rPr>
          <w:rFonts w:eastAsia="Calibri" w:cs="Times New Roman"/>
        </w:rPr>
        <w:t>•</w:t>
      </w:r>
      <w:r w:rsidRPr="00C64BEE">
        <w:rPr>
          <w:rFonts w:eastAsia="Calibri" w:cs="Times New Roman"/>
        </w:rPr>
        <w:tab/>
      </w:r>
      <w:proofErr w:type="gramStart"/>
      <w:r w:rsidRPr="00C64BEE">
        <w:rPr>
          <w:rFonts w:eastAsia="Calibri" w:cs="Times New Roman"/>
        </w:rPr>
        <w:t>to</w:t>
      </w:r>
      <w:proofErr w:type="gramEnd"/>
      <w:r w:rsidRPr="00C64BEE">
        <w:rPr>
          <w:rFonts w:eastAsia="Calibri" w:cs="Times New Roman"/>
        </w:rPr>
        <w:t xml:space="preserve"> whom the fee is to be paid</w:t>
      </w:r>
    </w:p>
    <w:p w:rsidR="006074ED" w:rsidRPr="00C64BEE" w:rsidRDefault="006074ED" w:rsidP="00A63970">
      <w:pPr>
        <w:keepLines/>
        <w:spacing w:after="120"/>
        <w:rPr>
          <w:rFonts w:eastAsia="Calibri" w:cs="Times New Roman"/>
        </w:rPr>
      </w:pPr>
      <w:r w:rsidRPr="00C64BEE">
        <w:rPr>
          <w:rFonts w:eastAsia="Calibri" w:cs="Times New Roman"/>
        </w:rPr>
        <w:t>For the batch of fees determinations considered for this Scrutiny Report, while the Committee considers that the standard of the determinations (in terms of them meeting the Committee’s long-held views about fees determinations) is much-improved from, say, 10 years ago, there is still a level of inconsistency in the extent to which the current batch of fees determinations meet the Committee’s expectations.  Issues identified by the Committee, in relation to the current batch of fees determinations, are set out below.</w:t>
      </w:r>
    </w:p>
    <w:p w:rsidR="006074ED" w:rsidRPr="00C64BEE" w:rsidRDefault="006074ED" w:rsidP="00A63970">
      <w:pPr>
        <w:keepLines/>
        <w:spacing w:after="120"/>
        <w:rPr>
          <w:rFonts w:eastAsia="Calibri" w:cs="Times New Roman"/>
        </w:rPr>
      </w:pPr>
      <w:r w:rsidRPr="00C64BEE">
        <w:rPr>
          <w:rFonts w:eastAsia="Calibri" w:cs="Times New Roman"/>
        </w:rPr>
        <w:t xml:space="preserve">The first five instruments mentioned </w:t>
      </w:r>
      <w:r w:rsidR="00B006AA" w:rsidRPr="00C64BEE">
        <w:rPr>
          <w:rFonts w:eastAsia="Calibri" w:cs="Times New Roman"/>
        </w:rPr>
        <w:t xml:space="preserve">(DI2018-109 to DI2018-113) </w:t>
      </w:r>
      <w:r w:rsidRPr="00C64BEE">
        <w:rPr>
          <w:rFonts w:eastAsia="Calibri" w:cs="Times New Roman"/>
        </w:rPr>
        <w:t>above set fees payable under various Acts.  In each case, the explanatory statement for the instrument states:</w:t>
      </w:r>
    </w:p>
    <w:p w:rsidR="006074ED" w:rsidRPr="00C64BEE" w:rsidRDefault="006074ED" w:rsidP="00907407">
      <w:pPr>
        <w:keepLines/>
        <w:spacing w:after="120"/>
        <w:ind w:left="360"/>
        <w:rPr>
          <w:rFonts w:eastAsia="Calibri" w:cs="Times New Roman"/>
        </w:rPr>
      </w:pPr>
      <w:r w:rsidRPr="00C64BEE">
        <w:rPr>
          <w:rFonts w:eastAsia="Calibri" w:cs="Times New Roman"/>
        </w:rPr>
        <w:t xml:space="preserve">Fees </w:t>
      </w:r>
      <w:proofErr w:type="gramStart"/>
      <w:r w:rsidRPr="00C64BEE">
        <w:rPr>
          <w:rFonts w:eastAsia="Calibri" w:cs="Times New Roman"/>
        </w:rPr>
        <w:t>in the 2018-19 Financial Year</w:t>
      </w:r>
      <w:proofErr w:type="gramEnd"/>
      <w:r w:rsidRPr="00C64BEE">
        <w:rPr>
          <w:rFonts w:eastAsia="Calibri" w:cs="Times New Roman"/>
        </w:rPr>
        <w:t xml:space="preserve"> have been generally increased from fees in the previous Financial Year by an indexation of 4% and rounded to an appropriate value.</w:t>
      </w:r>
    </w:p>
    <w:p w:rsidR="006074ED" w:rsidRPr="00C64BEE" w:rsidRDefault="006074ED" w:rsidP="00A63970">
      <w:pPr>
        <w:keepLines/>
        <w:spacing w:after="120"/>
        <w:rPr>
          <w:rFonts w:eastAsia="Calibri" w:cs="Times New Roman"/>
        </w:rPr>
      </w:pPr>
      <w:r w:rsidRPr="00C64BEE">
        <w:rPr>
          <w:rFonts w:eastAsia="Calibri" w:cs="Times New Roman"/>
        </w:rPr>
        <w:t>The Committee notes that, in the case of the first five instruments mentioned above, the various fees increases are quantified but the reasons for the increases are not given.</w:t>
      </w:r>
    </w:p>
    <w:p w:rsidR="006074ED" w:rsidRPr="00C64BEE" w:rsidRDefault="009656E3" w:rsidP="00A63970">
      <w:pPr>
        <w:keepLines/>
        <w:spacing w:after="120"/>
        <w:rPr>
          <w:rFonts w:eastAsia="Calibri" w:cs="Times New Roman"/>
        </w:rPr>
      </w:pPr>
      <w:r w:rsidRPr="00C64BEE">
        <w:rPr>
          <w:rFonts w:eastAsia="Calibri" w:cs="Times New Roman"/>
        </w:rPr>
        <w:lastRenderedPageBreak/>
        <w:t xml:space="preserve">In making this comment, the Committee notes that explanatory statements for other instruments considered by the Committee for this Scrutiny Report indicate that a 4% increase in fees is “in accordance with Government policy regarding regulatory fees increases for 2018-2019” (see, </w:t>
      </w:r>
      <w:proofErr w:type="spellStart"/>
      <w:r w:rsidRPr="00C64BEE">
        <w:rPr>
          <w:rFonts w:eastAsia="Calibri" w:cs="Times New Roman"/>
        </w:rPr>
        <w:t>eg</w:t>
      </w:r>
      <w:proofErr w:type="spellEnd"/>
      <w:r w:rsidRPr="00C64BEE">
        <w:rPr>
          <w:rFonts w:eastAsia="Calibri" w:cs="Times New Roman"/>
        </w:rPr>
        <w:t>, DI2018-115—Lotteries (Fees) Determination 2018 (No 1)).  Further, the Committee notes that the explanatory statement for DI2018-120—Road Transport (General) (Parking Permit Fees) Determination 2018 (No 2) states the reasons for both the 4% fees increases and the other common fees increase, being 2.5%, stating:</w:t>
      </w:r>
    </w:p>
    <w:p w:rsidR="006074ED" w:rsidRPr="00C64BEE" w:rsidRDefault="006074ED" w:rsidP="00907407">
      <w:pPr>
        <w:keepLines/>
        <w:spacing w:after="120"/>
        <w:ind w:left="360"/>
        <w:rPr>
          <w:rFonts w:eastAsia="Calibri" w:cs="Times New Roman"/>
        </w:rPr>
      </w:pPr>
      <w:r w:rsidRPr="00C64BEE">
        <w:rPr>
          <w:rFonts w:eastAsia="Calibri" w:cs="Times New Roman"/>
        </w:rPr>
        <w:t>The instrument applies a 4% increase to the regulatory fees, rounded down to the nearest ten cents, and applied a 2.5% increase (the forecast Wage Price Index for the 2018-19 budget) to the administration fees, rounded down to the nearest ten cents. This gives effect to the Government’s policy for fee increases as announced in the 2015-16 Budget and [the Chief Minister, Treasury and Economic Development Directorate’s] Fees and Charges Policy and Guidelines.</w:t>
      </w:r>
    </w:p>
    <w:p w:rsidR="006074ED" w:rsidRPr="00C64BEE" w:rsidRDefault="006074ED" w:rsidP="00A63970">
      <w:pPr>
        <w:keepLines/>
        <w:spacing w:after="120"/>
        <w:rPr>
          <w:rFonts w:eastAsia="Calibri" w:cs="Times New Roman"/>
        </w:rPr>
      </w:pPr>
      <w:r w:rsidRPr="00C64BEE">
        <w:rPr>
          <w:rFonts w:eastAsia="Calibri" w:cs="Times New Roman"/>
        </w:rPr>
        <w:t>The Committee notes that the application of a 4% increase to “regulatory” fees and a 2.5% to “administration” fees is applied with relative consistency, throughout the various fees determinations considered by the Committee, for this Scrutiny Report.  Though there are exception</w:t>
      </w:r>
      <w:r w:rsidR="004B6AD2" w:rsidRPr="00C64BEE">
        <w:rPr>
          <w:rFonts w:eastAsia="Calibri" w:cs="Times New Roman"/>
        </w:rPr>
        <w:t xml:space="preserve">s to this approach, </w:t>
      </w:r>
      <w:proofErr w:type="spellStart"/>
      <w:r w:rsidR="004B6AD2" w:rsidRPr="00C64BEE">
        <w:rPr>
          <w:rFonts w:eastAsia="Calibri" w:cs="Times New Roman"/>
        </w:rPr>
        <w:t>eg</w:t>
      </w:r>
      <w:proofErr w:type="spellEnd"/>
      <w:r w:rsidR="004B6AD2" w:rsidRPr="00C64BEE">
        <w:rPr>
          <w:rFonts w:eastAsia="Calibri" w:cs="Times New Roman"/>
        </w:rPr>
        <w:t xml:space="preserve"> DI2018-134—</w:t>
      </w:r>
      <w:r w:rsidRPr="00C64BEE">
        <w:rPr>
          <w:rFonts w:eastAsia="Calibri" w:cs="Times New Roman"/>
        </w:rPr>
        <w:t>Cemeteries and Crematoria (Public Cemetery Fees) Determin</w:t>
      </w:r>
      <w:r w:rsidR="004B6AD2" w:rsidRPr="00C64BEE">
        <w:rPr>
          <w:rFonts w:eastAsia="Calibri" w:cs="Times New Roman"/>
        </w:rPr>
        <w:t xml:space="preserve">ation 2018 (No 1) </w:t>
      </w:r>
      <w:r w:rsidRPr="00C64BEE">
        <w:rPr>
          <w:rFonts w:eastAsia="Calibri" w:cs="Times New Roman"/>
        </w:rPr>
        <w:t>where fees increases particular to the relevant Act are specified (and explained).</w:t>
      </w:r>
    </w:p>
    <w:p w:rsidR="006074ED" w:rsidRPr="00C64BEE" w:rsidRDefault="006074ED" w:rsidP="00A63970">
      <w:pPr>
        <w:keepLines/>
        <w:spacing w:after="120"/>
        <w:rPr>
          <w:rFonts w:eastAsia="Calibri" w:cs="Times New Roman"/>
        </w:rPr>
      </w:pPr>
      <w:r w:rsidRPr="00C64BEE">
        <w:rPr>
          <w:rFonts w:eastAsia="Calibri" w:cs="Times New Roman"/>
        </w:rPr>
        <w:t xml:space="preserve">The Committee also notes that, unlike the majority of other fees determinations considered by the Committee for this Scrutiny Report (see, </w:t>
      </w:r>
      <w:proofErr w:type="spellStart"/>
      <w:r w:rsidRPr="00C64BEE">
        <w:rPr>
          <w:rFonts w:eastAsia="Calibri" w:cs="Times New Roman"/>
        </w:rPr>
        <w:t>eg</w:t>
      </w:r>
      <w:proofErr w:type="spellEnd"/>
      <w:r w:rsidRPr="00C64BEE">
        <w:rPr>
          <w:rFonts w:eastAsia="Calibri" w:cs="Times New Roman"/>
        </w:rPr>
        <w:t xml:space="preserve">, </w:t>
      </w:r>
      <w:r w:rsidR="004B6AD2" w:rsidRPr="00C64BEE">
        <w:rPr>
          <w:rFonts w:eastAsia="Calibri" w:cs="Times New Roman"/>
        </w:rPr>
        <w:t>DI2018-106—</w:t>
      </w:r>
      <w:r w:rsidRPr="00C64BEE">
        <w:rPr>
          <w:rFonts w:eastAsia="Calibri" w:cs="Times New Roman"/>
        </w:rPr>
        <w:t xml:space="preserve">Electoral (Fees) Determination 2018, and </w:t>
      </w:r>
      <w:r w:rsidR="004B6AD2" w:rsidRPr="00C64BEE">
        <w:rPr>
          <w:rFonts w:eastAsia="Calibri" w:cs="Times New Roman"/>
        </w:rPr>
        <w:t>DI2018-114—</w:t>
      </w:r>
      <w:r w:rsidRPr="00C64BEE">
        <w:rPr>
          <w:rFonts w:eastAsia="Calibri" w:cs="Times New Roman"/>
        </w:rPr>
        <w:t>Dangerous Goods (Road Transport) Fees and Charges Determination 2018</w:t>
      </w:r>
      <w:r w:rsidR="00ED2B9C" w:rsidRPr="00C64BEE">
        <w:rPr>
          <w:rFonts w:eastAsia="Calibri" w:cs="Times New Roman"/>
        </w:rPr>
        <w:t>)</w:t>
      </w:r>
      <w:r w:rsidR="009656E3" w:rsidRPr="00C64BEE">
        <w:rPr>
          <w:rFonts w:eastAsia="Calibri" w:cs="Times New Roman"/>
        </w:rPr>
        <w:t>)</w:t>
      </w:r>
      <w:r w:rsidRPr="00C64BEE">
        <w:rPr>
          <w:rFonts w:eastAsia="Calibri" w:cs="Times New Roman"/>
        </w:rPr>
        <w:t>, the basis of any rounding of the fees is not specified.</w:t>
      </w:r>
      <w:r w:rsidRPr="00C64BEE">
        <w:rPr>
          <w:rFonts w:eastAsia="Calibri" w:cs="Times New Roman"/>
          <w:vertAlign w:val="superscript"/>
        </w:rPr>
        <w:footnoteReference w:id="2"/>
      </w:r>
    </w:p>
    <w:p w:rsidR="004B6AD2" w:rsidRPr="00C64BEE" w:rsidRDefault="006074ED" w:rsidP="00A63970">
      <w:pPr>
        <w:keepLines/>
        <w:spacing w:after="120"/>
        <w:rPr>
          <w:rFonts w:eastAsia="Calibri" w:cs="Times New Roman"/>
        </w:rPr>
      </w:pPr>
      <w:r w:rsidRPr="00C64BEE">
        <w:rPr>
          <w:rFonts w:eastAsia="Calibri" w:cs="Times New Roman"/>
        </w:rPr>
        <w:t>The same issue (</w:t>
      </w:r>
      <w:proofErr w:type="spellStart"/>
      <w:r w:rsidRPr="00C64BEE">
        <w:rPr>
          <w:rFonts w:eastAsia="Calibri" w:cs="Times New Roman"/>
        </w:rPr>
        <w:t>ie</w:t>
      </w:r>
      <w:proofErr w:type="spellEnd"/>
      <w:r w:rsidRPr="00C64BEE">
        <w:rPr>
          <w:rFonts w:eastAsia="Calibri" w:cs="Times New Roman"/>
        </w:rPr>
        <w:t xml:space="preserve"> the reason for the fees increase not being specified) arises in relation to</w:t>
      </w:r>
      <w:r w:rsidR="004B6AD2" w:rsidRPr="00C64BEE">
        <w:rPr>
          <w:rFonts w:eastAsia="Calibri" w:cs="Times New Roman"/>
        </w:rPr>
        <w:t>:</w:t>
      </w:r>
    </w:p>
    <w:p w:rsidR="004B6AD2" w:rsidRPr="00C64BEE" w:rsidRDefault="004B6AD2" w:rsidP="00406890">
      <w:pPr>
        <w:pStyle w:val="ListParagraph"/>
        <w:numPr>
          <w:ilvl w:val="0"/>
          <w:numId w:val="36"/>
        </w:numPr>
        <w:spacing w:after="120" w:line="240" w:lineRule="exact"/>
        <w:ind w:left="360"/>
        <w:contextualSpacing w:val="0"/>
      </w:pPr>
      <w:r w:rsidRPr="00C64BEE">
        <w:t>DI2018</w:t>
      </w:r>
      <w:r w:rsidRPr="00C64BEE">
        <w:noBreakHyphen/>
        <w:t>138—</w:t>
      </w:r>
      <w:r w:rsidR="006074ED" w:rsidRPr="00C64BEE">
        <w:t>A</w:t>
      </w:r>
      <w:r w:rsidRPr="00C64BEE">
        <w:t>gents (Fees) Determination 2018.</w:t>
      </w:r>
    </w:p>
    <w:p w:rsidR="004B6AD2" w:rsidRPr="00C64BEE" w:rsidRDefault="004B6AD2" w:rsidP="004B6AD2">
      <w:pPr>
        <w:pStyle w:val="ListParagraph"/>
        <w:numPr>
          <w:ilvl w:val="0"/>
          <w:numId w:val="36"/>
        </w:numPr>
        <w:spacing w:before="120" w:after="120" w:line="240" w:lineRule="exact"/>
        <w:ind w:left="360"/>
        <w:contextualSpacing w:val="0"/>
      </w:pPr>
      <w:r w:rsidRPr="00C64BEE">
        <w:t>DI2018-140—</w:t>
      </w:r>
      <w:r w:rsidR="006074ED" w:rsidRPr="00C64BEE">
        <w:t>Births, Deaths and Marriages Registr</w:t>
      </w:r>
      <w:r w:rsidRPr="00C64BEE">
        <w:t>ation (Fees) Determination 2018.</w:t>
      </w:r>
    </w:p>
    <w:p w:rsidR="004B6AD2" w:rsidRPr="00C64BEE" w:rsidRDefault="006074ED" w:rsidP="004B6AD2">
      <w:pPr>
        <w:pStyle w:val="ListParagraph"/>
        <w:numPr>
          <w:ilvl w:val="0"/>
          <w:numId w:val="36"/>
        </w:numPr>
        <w:spacing w:before="120" w:after="120" w:line="240" w:lineRule="exact"/>
        <w:ind w:left="360"/>
        <w:contextualSpacing w:val="0"/>
      </w:pPr>
      <w:r w:rsidRPr="00C64BEE">
        <w:t>DI2018-142</w:t>
      </w:r>
      <w:r w:rsidR="004B6AD2" w:rsidRPr="00C64BEE">
        <w:t>—Classification (Publications, Films and Computer Games) (Enforcement) (Fees) Determination 2018.</w:t>
      </w:r>
    </w:p>
    <w:p w:rsidR="004B6AD2" w:rsidRPr="00C64BEE" w:rsidRDefault="004B6AD2" w:rsidP="004B6AD2">
      <w:pPr>
        <w:pStyle w:val="ListParagraph"/>
        <w:numPr>
          <w:ilvl w:val="0"/>
          <w:numId w:val="36"/>
        </w:numPr>
        <w:spacing w:before="120" w:after="120" w:line="240" w:lineRule="exact"/>
        <w:ind w:left="360"/>
        <w:contextualSpacing w:val="0"/>
      </w:pPr>
      <w:r w:rsidRPr="00C64BEE">
        <w:t>DI2018-143—Co-operatives National Law (ACT) (Fees) Determination 2018.</w:t>
      </w:r>
    </w:p>
    <w:p w:rsidR="004B6AD2" w:rsidRPr="00C64BEE" w:rsidRDefault="004B6AD2" w:rsidP="004B6AD2">
      <w:pPr>
        <w:pStyle w:val="ListParagraph"/>
        <w:numPr>
          <w:ilvl w:val="0"/>
          <w:numId w:val="36"/>
        </w:numPr>
        <w:spacing w:before="120" w:after="120" w:line="240" w:lineRule="exact"/>
        <w:ind w:left="360"/>
        <w:contextualSpacing w:val="0"/>
      </w:pPr>
      <w:r w:rsidRPr="00C64BEE">
        <w:t>DI2018-144—Prostitution (Fees) Determination 2018.</w:t>
      </w:r>
    </w:p>
    <w:p w:rsidR="004B6AD2" w:rsidRPr="00C64BEE" w:rsidRDefault="004B6AD2" w:rsidP="004B6AD2">
      <w:pPr>
        <w:pStyle w:val="ListParagraph"/>
        <w:numPr>
          <w:ilvl w:val="0"/>
          <w:numId w:val="36"/>
        </w:numPr>
        <w:spacing w:before="120" w:after="120" w:line="240" w:lineRule="exact"/>
        <w:ind w:left="360"/>
        <w:contextualSpacing w:val="0"/>
      </w:pPr>
      <w:r w:rsidRPr="00C64BEE">
        <w:t>DI2018-145—Registration of Deeds (Fees) Determination 2018.</w:t>
      </w:r>
    </w:p>
    <w:p w:rsidR="004B6AD2" w:rsidRPr="00C64BEE" w:rsidRDefault="004B6AD2" w:rsidP="004B6AD2">
      <w:pPr>
        <w:pStyle w:val="ListParagraph"/>
        <w:numPr>
          <w:ilvl w:val="0"/>
          <w:numId w:val="36"/>
        </w:numPr>
        <w:spacing w:before="120" w:after="120" w:line="240" w:lineRule="exact"/>
        <w:ind w:left="360"/>
        <w:contextualSpacing w:val="0"/>
      </w:pPr>
      <w:r w:rsidRPr="00C64BEE">
        <w:t>DI2018-146—Retirement Villages (Fees) Determination 2018.</w:t>
      </w:r>
    </w:p>
    <w:p w:rsidR="004B6AD2" w:rsidRPr="00C64BEE" w:rsidRDefault="004B6AD2" w:rsidP="004B6AD2">
      <w:pPr>
        <w:pStyle w:val="ListParagraph"/>
        <w:numPr>
          <w:ilvl w:val="0"/>
          <w:numId w:val="36"/>
        </w:numPr>
        <w:spacing w:before="120" w:after="120" w:line="240" w:lineRule="exact"/>
        <w:ind w:left="360"/>
        <w:contextualSpacing w:val="0"/>
      </w:pPr>
      <w:r w:rsidRPr="00C64BEE">
        <w:t>DI2018-147—Traders (Licensing) (Fees) Determination 2018.</w:t>
      </w:r>
    </w:p>
    <w:p w:rsidR="004B6AD2" w:rsidRPr="00C64BEE" w:rsidRDefault="004B6AD2" w:rsidP="004B6AD2">
      <w:pPr>
        <w:pStyle w:val="ListParagraph"/>
        <w:numPr>
          <w:ilvl w:val="0"/>
          <w:numId w:val="36"/>
        </w:numPr>
        <w:spacing w:before="120" w:after="120" w:line="240" w:lineRule="exact"/>
        <w:ind w:left="360"/>
        <w:contextualSpacing w:val="0"/>
      </w:pPr>
      <w:r w:rsidRPr="00C64BEE">
        <w:t>DI2018-175—</w:t>
      </w:r>
      <w:r w:rsidR="002F1D67" w:rsidRPr="00C64BEE">
        <w:rPr>
          <w:rFonts w:eastAsia="Calibri" w:cs="Times New Roman"/>
        </w:rPr>
        <w:t>Domestic Animals (Fees) Determination 2018 (No 2).</w:t>
      </w:r>
    </w:p>
    <w:p w:rsidR="002F1D67" w:rsidRPr="00C64BEE" w:rsidRDefault="004B6AD2" w:rsidP="002F1D67">
      <w:pPr>
        <w:pStyle w:val="ListParagraph"/>
        <w:keepLines/>
        <w:numPr>
          <w:ilvl w:val="0"/>
          <w:numId w:val="36"/>
        </w:numPr>
        <w:spacing w:before="120" w:after="120" w:line="240" w:lineRule="exact"/>
        <w:ind w:left="360"/>
        <w:contextualSpacing w:val="0"/>
        <w:rPr>
          <w:rFonts w:eastAsia="Calibri" w:cs="Times New Roman"/>
        </w:rPr>
      </w:pPr>
      <w:r w:rsidRPr="00C64BEE">
        <w:t>DI</w:t>
      </w:r>
      <w:r w:rsidR="002F1D67" w:rsidRPr="00C64BEE">
        <w:t>1018-177—</w:t>
      </w:r>
      <w:r w:rsidR="002F1D67" w:rsidRPr="00C64BEE">
        <w:rPr>
          <w:rFonts w:eastAsia="Calibri" w:cs="Times New Roman"/>
        </w:rPr>
        <w:t>Tree Protection (Fees) Determination 2018 (No 1).</w:t>
      </w:r>
    </w:p>
    <w:p w:rsidR="002F1D67" w:rsidRPr="00C64BEE" w:rsidRDefault="002F1D67" w:rsidP="002F1D67">
      <w:pPr>
        <w:pStyle w:val="ListParagraph"/>
        <w:keepLines/>
        <w:numPr>
          <w:ilvl w:val="0"/>
          <w:numId w:val="36"/>
        </w:numPr>
        <w:spacing w:before="120" w:after="120" w:line="240" w:lineRule="exact"/>
        <w:ind w:left="360"/>
        <w:contextualSpacing w:val="0"/>
        <w:rPr>
          <w:rFonts w:eastAsia="Calibri" w:cs="Times New Roman"/>
        </w:rPr>
      </w:pPr>
      <w:r w:rsidRPr="00C64BEE">
        <w:rPr>
          <w:rFonts w:eastAsia="Calibri" w:cs="Times New Roman"/>
        </w:rPr>
        <w:t>DI2018-199—Public Trustee and Guardian (Fees) Determination 2018.</w:t>
      </w:r>
    </w:p>
    <w:p w:rsidR="002F1D67" w:rsidRPr="00C64BEE" w:rsidRDefault="002F1D67" w:rsidP="002F1D67">
      <w:pPr>
        <w:pStyle w:val="ListParagraph"/>
        <w:keepLines/>
        <w:numPr>
          <w:ilvl w:val="0"/>
          <w:numId w:val="36"/>
        </w:numPr>
        <w:spacing w:before="120" w:after="120" w:line="240" w:lineRule="exact"/>
        <w:ind w:left="360"/>
        <w:contextualSpacing w:val="0"/>
        <w:rPr>
          <w:rFonts w:eastAsia="Calibri" w:cs="Times New Roman"/>
        </w:rPr>
      </w:pPr>
      <w:r w:rsidRPr="00C64BEE">
        <w:rPr>
          <w:rFonts w:eastAsia="Calibri" w:cs="Times New Roman"/>
        </w:rPr>
        <w:t>DI2018-200—Unit Titles (Management) (Fees) Determination 2018.</w:t>
      </w:r>
    </w:p>
    <w:p w:rsidR="002F1D67" w:rsidRPr="00C64BEE" w:rsidRDefault="002F1D67" w:rsidP="002F1D67">
      <w:pPr>
        <w:pStyle w:val="ListParagraph"/>
        <w:keepLines/>
        <w:numPr>
          <w:ilvl w:val="0"/>
          <w:numId w:val="36"/>
        </w:numPr>
        <w:spacing w:before="120" w:after="120" w:line="240" w:lineRule="exact"/>
        <w:ind w:left="360"/>
        <w:contextualSpacing w:val="0"/>
        <w:rPr>
          <w:rFonts w:eastAsia="Calibri" w:cs="Times New Roman"/>
        </w:rPr>
      </w:pPr>
      <w:r w:rsidRPr="00C64BEE">
        <w:rPr>
          <w:rFonts w:eastAsia="Calibri" w:cs="Times New Roman"/>
        </w:rPr>
        <w:t>DI2018-209—Court Procedures (Fees) Determination 2018.</w:t>
      </w:r>
    </w:p>
    <w:p w:rsidR="00406890" w:rsidRPr="00C64BEE" w:rsidRDefault="006074ED" w:rsidP="002F1D67">
      <w:pPr>
        <w:keepLines/>
        <w:spacing w:after="120"/>
        <w:rPr>
          <w:rFonts w:eastAsia="Calibri" w:cs="Times New Roman"/>
        </w:rPr>
      </w:pPr>
      <w:r w:rsidRPr="00C64BEE">
        <w:rPr>
          <w:rFonts w:eastAsia="Calibri" w:cs="Times New Roman"/>
        </w:rPr>
        <w:lastRenderedPageBreak/>
        <w:t>A slightly different manifestation of the same issue arises in relation to</w:t>
      </w:r>
      <w:r w:rsidR="00406890" w:rsidRPr="00C64BEE">
        <w:rPr>
          <w:rFonts w:eastAsia="Calibri" w:cs="Times New Roman"/>
        </w:rPr>
        <w:t xml:space="preserve"> the explanatory statements for:</w:t>
      </w:r>
    </w:p>
    <w:p w:rsidR="00406890" w:rsidRPr="00C64BEE" w:rsidRDefault="00406890" w:rsidP="00406890">
      <w:pPr>
        <w:pStyle w:val="ListParagraph"/>
        <w:numPr>
          <w:ilvl w:val="0"/>
          <w:numId w:val="36"/>
        </w:numPr>
        <w:spacing w:after="120" w:line="240" w:lineRule="exact"/>
        <w:ind w:left="360"/>
        <w:contextualSpacing w:val="0"/>
      </w:pPr>
      <w:r w:rsidRPr="00C64BEE">
        <w:t>DI2018-188—Associations Incorporation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DI2018-189—Land Titles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DI2018-190—Liquor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DI2018-191—Partnership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DI2018-192—Security Industry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DI2018-193—Gaming Machine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DI2018-194—Race and Sports Bookmaking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DI2018-195—Unlawful Gambling (Charitable Gaming Application Fees) Determination 2018.</w:t>
      </w:r>
    </w:p>
    <w:p w:rsidR="00406890" w:rsidRPr="00C64BEE" w:rsidRDefault="00406890" w:rsidP="00406890">
      <w:pPr>
        <w:pStyle w:val="ListParagraph"/>
        <w:numPr>
          <w:ilvl w:val="0"/>
          <w:numId w:val="36"/>
        </w:numPr>
        <w:spacing w:before="120" w:after="120" w:line="240" w:lineRule="exact"/>
        <w:ind w:left="360"/>
        <w:contextualSpacing w:val="0"/>
      </w:pPr>
      <w:r w:rsidRPr="00C64BEE">
        <w:t>DI2018-196—Casino Control (Fees) Determination 2018.</w:t>
      </w:r>
    </w:p>
    <w:p w:rsidR="006074ED" w:rsidRPr="00C64BEE" w:rsidRDefault="006074ED" w:rsidP="002F1D67">
      <w:pPr>
        <w:keepLines/>
        <w:spacing w:after="120"/>
        <w:rPr>
          <w:rFonts w:eastAsia="Calibri" w:cs="Times New Roman"/>
        </w:rPr>
      </w:pPr>
      <w:r w:rsidRPr="00C64BEE">
        <w:rPr>
          <w:rFonts w:eastAsia="Calibri" w:cs="Times New Roman"/>
        </w:rPr>
        <w:t xml:space="preserve">For example, the explanatory statement for </w:t>
      </w:r>
      <w:r w:rsidR="001B5859" w:rsidRPr="00C64BEE">
        <w:rPr>
          <w:rFonts w:eastAsia="Calibri" w:cs="Times New Roman"/>
        </w:rPr>
        <w:t>DI2018-188—</w:t>
      </w:r>
      <w:r w:rsidRPr="00C64BEE">
        <w:rPr>
          <w:rFonts w:eastAsia="Calibri" w:cs="Times New Roman"/>
        </w:rPr>
        <w:t>Associations Incorporation (F</w:t>
      </w:r>
      <w:r w:rsidR="00907407" w:rsidRPr="00C64BEE">
        <w:rPr>
          <w:rFonts w:eastAsia="Calibri" w:cs="Times New Roman"/>
        </w:rPr>
        <w:t xml:space="preserve">ees) Determination 2018 </w:t>
      </w:r>
      <w:r w:rsidRPr="00C64BEE">
        <w:rPr>
          <w:rFonts w:eastAsia="Calibri" w:cs="Times New Roman"/>
        </w:rPr>
        <w:t>states:</w:t>
      </w:r>
    </w:p>
    <w:p w:rsidR="006074ED" w:rsidRPr="00C64BEE" w:rsidRDefault="006074ED" w:rsidP="00907407">
      <w:pPr>
        <w:keepLines/>
        <w:spacing w:after="120"/>
        <w:ind w:left="360"/>
        <w:rPr>
          <w:rFonts w:eastAsia="Calibri" w:cs="Times New Roman"/>
        </w:rPr>
      </w:pPr>
      <w:r w:rsidRPr="00C64BEE">
        <w:rPr>
          <w:rFonts w:eastAsia="Calibri" w:cs="Times New Roman"/>
        </w:rPr>
        <w:t xml:space="preserve">Fees in the 2018-19 financial </w:t>
      </w:r>
      <w:proofErr w:type="gramStart"/>
      <w:r w:rsidRPr="00C64BEE">
        <w:rPr>
          <w:rFonts w:eastAsia="Calibri" w:cs="Times New Roman"/>
        </w:rPr>
        <w:t>year</w:t>
      </w:r>
      <w:proofErr w:type="gramEnd"/>
      <w:r w:rsidRPr="00C64BEE">
        <w:rPr>
          <w:rFonts w:eastAsia="Calibri" w:cs="Times New Roman"/>
        </w:rPr>
        <w:t xml:space="preserve"> have been increased from fees in the previous financial year by indexation of 4%. Calculations are rounded down to the nearest dollar, with the exception of fees that have remained static for over three years, in which case calculations are rounded up to the nearest dollar.</w:t>
      </w:r>
    </w:p>
    <w:p w:rsidR="006074ED" w:rsidRPr="00C64BEE" w:rsidRDefault="006074ED" w:rsidP="00A63970">
      <w:pPr>
        <w:keepLines/>
        <w:spacing w:after="120"/>
        <w:rPr>
          <w:rFonts w:eastAsia="Calibri" w:cs="Times New Roman"/>
        </w:rPr>
      </w:pPr>
      <w:r w:rsidRPr="00C64BEE">
        <w:rPr>
          <w:rFonts w:eastAsia="Calibri" w:cs="Times New Roman"/>
        </w:rPr>
        <w:t>Again, no reason is provided for the relevant fees increases.</w:t>
      </w:r>
    </w:p>
    <w:p w:rsidR="006074ED" w:rsidRPr="00C64BEE" w:rsidRDefault="001B5859" w:rsidP="00A63970">
      <w:pPr>
        <w:keepLines/>
        <w:spacing w:after="120"/>
        <w:rPr>
          <w:rFonts w:eastAsia="Calibri" w:cs="Times New Roman"/>
        </w:rPr>
      </w:pPr>
      <w:r w:rsidRPr="00C64BEE">
        <w:rPr>
          <w:rFonts w:eastAsia="Calibri" w:cs="Times New Roman"/>
        </w:rPr>
        <w:t>In relation to DI2018-125—Road Transport (General) Vehicle Registration and Related Fees Determination 2018 (No 2),</w:t>
      </w:r>
      <w:r w:rsidR="006074ED" w:rsidRPr="00C64BEE">
        <w:rPr>
          <w:rFonts w:eastAsia="Calibri" w:cs="Times New Roman"/>
        </w:rPr>
        <w:t xml:space="preserve"> the Committee notes that the explanatory statement for the instrument states:</w:t>
      </w:r>
    </w:p>
    <w:p w:rsidR="006074ED" w:rsidRPr="00C64BEE" w:rsidRDefault="006074ED" w:rsidP="001B5859">
      <w:pPr>
        <w:keepLines/>
        <w:spacing w:after="120"/>
        <w:ind w:left="360"/>
        <w:rPr>
          <w:rFonts w:eastAsia="Calibri" w:cs="Times New Roman"/>
        </w:rPr>
      </w:pPr>
      <w:r w:rsidRPr="00C64BEE">
        <w:rPr>
          <w:rFonts w:eastAsia="Calibri" w:cs="Times New Roman"/>
        </w:rPr>
        <w:t xml:space="preserve">Vehicle registration fees have been increased by 5%, rounded down to the nearest ten cents.  Other fees and charges have been increased by 4%, rounded down to the nearest ten cents.  </w:t>
      </w:r>
    </w:p>
    <w:p w:rsidR="006074ED" w:rsidRPr="00C64BEE" w:rsidRDefault="006074ED" w:rsidP="00A63970">
      <w:pPr>
        <w:keepLines/>
        <w:spacing w:after="120"/>
        <w:rPr>
          <w:rFonts w:eastAsia="Calibri" w:cs="Times New Roman"/>
        </w:rPr>
      </w:pPr>
      <w:r w:rsidRPr="00C64BEE">
        <w:rPr>
          <w:rFonts w:eastAsia="Calibri" w:cs="Times New Roman"/>
        </w:rPr>
        <w:t>Later in the explanatory statement, there is the following statement:</w:t>
      </w:r>
    </w:p>
    <w:p w:rsidR="006074ED" w:rsidRPr="00C64BEE" w:rsidRDefault="006074ED" w:rsidP="006174C7">
      <w:pPr>
        <w:keepLines/>
        <w:spacing w:after="120"/>
        <w:ind w:left="360"/>
        <w:rPr>
          <w:rFonts w:eastAsia="Calibri" w:cs="Times New Roman"/>
        </w:rPr>
      </w:pPr>
      <w:r w:rsidRPr="00C64BEE">
        <w:rPr>
          <w:rFonts w:eastAsia="Calibri" w:cs="Times New Roman"/>
        </w:rPr>
        <w:t xml:space="preserve">The preference of the Standing Committee on Justice and Community Safety (Legislative Scrutiny Role) </w:t>
      </w:r>
      <w:proofErr w:type="gramStart"/>
      <w:r w:rsidRPr="00C64BEE">
        <w:rPr>
          <w:rFonts w:eastAsia="Calibri" w:cs="Times New Roman"/>
        </w:rPr>
        <w:t>that Instruments</w:t>
      </w:r>
      <w:proofErr w:type="gramEnd"/>
      <w:r w:rsidRPr="00C64BEE">
        <w:rPr>
          <w:rFonts w:eastAsia="Calibri" w:cs="Times New Roman"/>
        </w:rPr>
        <w:t xml:space="preserve"> or Explanatory Statements identify the amount of the old and new fee, any percentage increase and also the reason for any increase in the Instrument or the Explanatory Statement has been taken into account in the preparation of the Instrument and the Explanatory Statement.</w:t>
      </w:r>
    </w:p>
    <w:p w:rsidR="006074ED" w:rsidRPr="00C64BEE" w:rsidRDefault="006074ED" w:rsidP="00A63970">
      <w:pPr>
        <w:keepLines/>
        <w:spacing w:after="120"/>
        <w:rPr>
          <w:rFonts w:eastAsia="Calibri" w:cs="Times New Roman"/>
        </w:rPr>
      </w:pPr>
      <w:r w:rsidRPr="00C64BEE">
        <w:rPr>
          <w:rFonts w:eastAsia="Calibri" w:cs="Times New Roman"/>
        </w:rPr>
        <w:t>Despite the statement immediately above, no reasons are actually provided in relation to the various fees increases mentioned.</w:t>
      </w:r>
    </w:p>
    <w:p w:rsidR="006174C7" w:rsidRPr="00C64BEE" w:rsidRDefault="006074ED" w:rsidP="00A63970">
      <w:pPr>
        <w:keepLines/>
        <w:spacing w:after="120"/>
        <w:rPr>
          <w:rFonts w:eastAsia="Calibri" w:cs="Times New Roman"/>
        </w:rPr>
      </w:pPr>
      <w:r w:rsidRPr="00C64BEE">
        <w:rPr>
          <w:rFonts w:eastAsia="Calibri" w:cs="Times New Roman"/>
        </w:rPr>
        <w:t>The same issue arises in relation to the explanatory statements for</w:t>
      </w:r>
      <w:r w:rsidR="006174C7" w:rsidRPr="00C64BEE">
        <w:rPr>
          <w:rFonts w:eastAsia="Calibri" w:cs="Times New Roman"/>
        </w:rPr>
        <w:t>:</w:t>
      </w:r>
    </w:p>
    <w:p w:rsidR="006174C7" w:rsidRPr="00C64BEE" w:rsidRDefault="006074ED" w:rsidP="006174C7">
      <w:pPr>
        <w:pStyle w:val="ListParagraph"/>
        <w:numPr>
          <w:ilvl w:val="0"/>
          <w:numId w:val="36"/>
        </w:numPr>
        <w:spacing w:after="120" w:line="240" w:lineRule="exact"/>
        <w:ind w:left="360"/>
        <w:contextualSpacing w:val="0"/>
        <w:rPr>
          <w:spacing w:val="2"/>
        </w:rPr>
      </w:pPr>
      <w:r w:rsidRPr="00C64BEE">
        <w:rPr>
          <w:spacing w:val="2"/>
        </w:rPr>
        <w:t>DI2018-126</w:t>
      </w:r>
      <w:r w:rsidR="006174C7" w:rsidRPr="00C64BEE">
        <w:rPr>
          <w:spacing w:val="2"/>
        </w:rPr>
        <w:t>—Road Transport (General) Driver Licence and Related Fees Determination 2018 (No 1).</w:t>
      </w:r>
    </w:p>
    <w:p w:rsidR="006174C7" w:rsidRPr="00C64BEE" w:rsidRDefault="006174C7" w:rsidP="006174C7">
      <w:pPr>
        <w:pStyle w:val="ListParagraph"/>
        <w:numPr>
          <w:ilvl w:val="0"/>
          <w:numId w:val="36"/>
        </w:numPr>
        <w:spacing w:before="120" w:after="120" w:line="240" w:lineRule="exact"/>
        <w:ind w:left="360"/>
        <w:contextualSpacing w:val="0"/>
      </w:pPr>
      <w:r w:rsidRPr="00C64BEE">
        <w:t>DI2018-127—Road Transport (General) Numberplate Fees Determination 2018 (No 2).</w:t>
      </w:r>
    </w:p>
    <w:p w:rsidR="006174C7" w:rsidRPr="00C64BEE" w:rsidRDefault="006174C7" w:rsidP="006174C7">
      <w:pPr>
        <w:pStyle w:val="ListParagraph"/>
        <w:numPr>
          <w:ilvl w:val="0"/>
          <w:numId w:val="36"/>
        </w:numPr>
        <w:spacing w:before="120" w:after="120" w:line="240" w:lineRule="exact"/>
        <w:ind w:left="360"/>
        <w:contextualSpacing w:val="0"/>
      </w:pPr>
      <w:r w:rsidRPr="00C64BEE">
        <w:t>DI2018-128—Road Transport (General) Refund and Dishonoured Payments Fees Determination 2018 (No 1).</w:t>
      </w:r>
    </w:p>
    <w:p w:rsidR="006174C7" w:rsidRPr="00C64BEE" w:rsidRDefault="006174C7" w:rsidP="006174C7">
      <w:pPr>
        <w:pStyle w:val="ListParagraph"/>
        <w:numPr>
          <w:ilvl w:val="0"/>
          <w:numId w:val="36"/>
        </w:numPr>
        <w:spacing w:before="120" w:after="120" w:line="240" w:lineRule="exact"/>
        <w:ind w:left="360"/>
        <w:contextualSpacing w:val="0"/>
      </w:pPr>
      <w:r w:rsidRPr="00C64BEE">
        <w:t>DI2018-129—Road Transport (General) Fees for Publications Determination 2018 (No 1).</w:t>
      </w:r>
    </w:p>
    <w:p w:rsidR="006074ED" w:rsidRPr="00C64BEE" w:rsidRDefault="006074ED" w:rsidP="00A63970">
      <w:pPr>
        <w:keepLines/>
        <w:spacing w:after="120"/>
        <w:rPr>
          <w:rFonts w:eastAsia="Calibri" w:cs="Times New Roman"/>
        </w:rPr>
      </w:pPr>
      <w:r w:rsidRPr="00C64BEE">
        <w:rPr>
          <w:rFonts w:eastAsia="Calibri" w:cs="Times New Roman"/>
        </w:rPr>
        <w:lastRenderedPageBreak/>
        <w:t>That is, despite a statement about the Committee’s preferences, no reasons are provided for the v</w:t>
      </w:r>
      <w:r w:rsidR="00BC0181" w:rsidRPr="00C64BEE">
        <w:rPr>
          <w:rFonts w:eastAsia="Calibri" w:cs="Times New Roman"/>
        </w:rPr>
        <w:t>arious fees increases.</w:t>
      </w:r>
    </w:p>
    <w:p w:rsidR="006074ED" w:rsidRPr="00C64BEE" w:rsidRDefault="006074ED" w:rsidP="00A61304">
      <w:pPr>
        <w:keepLines/>
        <w:spacing w:before="200" w:after="120"/>
        <w:rPr>
          <w:rFonts w:eastAsia="Calibri" w:cs="Times New Roman"/>
        </w:rPr>
      </w:pPr>
      <w:r w:rsidRPr="00C64BEE">
        <w:rPr>
          <w:rFonts w:eastAsia="Calibri" w:cs="Times New Roman"/>
        </w:rPr>
        <w:t>In making these comments, the Committee notes that there is no legislative basis for its requirements but that, rather, the Committee relies on principle (2) of the Committee’s terms of reference, which requires it to consider whether any explanatory statement or explanatory memorandum associated with legislation and any regulatory impact statement meets the technical or stylistic standards expected by the Committee.</w:t>
      </w:r>
    </w:p>
    <w:p w:rsidR="006074ED" w:rsidRPr="00C64BEE" w:rsidRDefault="006074ED" w:rsidP="00A61304">
      <w:pPr>
        <w:keepLines/>
        <w:spacing w:before="200" w:after="120"/>
        <w:rPr>
          <w:rFonts w:eastAsia="Calibri" w:cs="Times New Roman"/>
        </w:rPr>
      </w:pPr>
      <w:r w:rsidRPr="00C64BEE">
        <w:rPr>
          <w:rFonts w:eastAsia="Calibri" w:cs="Times New Roman"/>
        </w:rPr>
        <w:t>The Committee requests that the Ministers responsible for the instruments mentioned above provide the Committee with the reasons for the various fees increases.</w:t>
      </w:r>
    </w:p>
    <w:p w:rsidR="006074ED" w:rsidRPr="00C64BEE" w:rsidRDefault="006074ED" w:rsidP="00A61304">
      <w:pPr>
        <w:keepLines/>
        <w:spacing w:before="200" w:after="120"/>
        <w:rPr>
          <w:rFonts w:eastAsia="Calibri" w:cs="Times New Roman"/>
          <w:b/>
        </w:rPr>
      </w:pPr>
      <w:r w:rsidRPr="00C64BEE">
        <w:rPr>
          <w:rFonts w:eastAsia="Calibri" w:cs="Times New Roman"/>
          <w:b/>
        </w:rPr>
        <w:t>The Committee draws the attention of the Legislative Assembly to the instruments mentioned above, under principle (2) of the Committee’s terms of reference, on the basis that the explanatory statements for the various instruments do not meet the technical or stylistic standards expected by the Committee.</w:t>
      </w:r>
    </w:p>
    <w:p w:rsidR="006074ED" w:rsidRPr="00C64BEE" w:rsidRDefault="006074ED" w:rsidP="00A61304">
      <w:pPr>
        <w:keepLines/>
        <w:spacing w:before="200" w:after="120"/>
        <w:rPr>
          <w:rFonts w:eastAsia="Calibri" w:cs="Times New Roman"/>
          <w:b/>
        </w:rPr>
      </w:pPr>
      <w:r w:rsidRPr="00C64BEE">
        <w:rPr>
          <w:rFonts w:eastAsia="Calibri" w:cs="Times New Roman"/>
          <w:b/>
        </w:rPr>
        <w:t>This comment requires a response from the Minister(s).</w:t>
      </w:r>
    </w:p>
    <w:p w:rsidR="006074ED" w:rsidRPr="00C64BEE" w:rsidRDefault="006074ED" w:rsidP="00BC0181">
      <w:pPr>
        <w:pStyle w:val="Heading4"/>
        <w:rPr>
          <w:rFonts w:asciiTheme="minorHAnsi" w:eastAsia="Times New Roman" w:hAnsiTheme="minorHAnsi"/>
          <w:b w:val="0"/>
          <w:i/>
          <w:sz w:val="22"/>
          <w:lang w:eastAsia="en-AU"/>
        </w:rPr>
      </w:pPr>
      <w:bookmarkStart w:id="160" w:name="_Toc521054322"/>
      <w:bookmarkStart w:id="161" w:name="_Toc521054394"/>
      <w:r w:rsidRPr="00C64BEE">
        <w:rPr>
          <w:rFonts w:asciiTheme="minorHAnsi" w:eastAsia="Times New Roman" w:hAnsiTheme="minorHAnsi"/>
          <w:b w:val="0"/>
          <w:i/>
          <w:sz w:val="22"/>
          <w:lang w:eastAsia="en-AU"/>
        </w:rPr>
        <w:t>Human rights issues</w:t>
      </w:r>
      <w:bookmarkEnd w:id="160"/>
      <w:bookmarkEnd w:id="161"/>
    </w:p>
    <w:p w:rsidR="006074ED" w:rsidRPr="00C64BEE" w:rsidRDefault="006074ED" w:rsidP="00744FCE">
      <w:pPr>
        <w:pStyle w:val="ListParagraph"/>
        <w:spacing w:before="180"/>
        <w:ind w:left="0"/>
        <w:rPr>
          <w:b/>
          <w:spacing w:val="-2"/>
        </w:rPr>
      </w:pPr>
      <w:r w:rsidRPr="00C64BEE">
        <w:rPr>
          <w:b/>
          <w:spacing w:val="-2"/>
        </w:rPr>
        <w:t xml:space="preserve">Disallowable Instrument DI2018-124 being the Children and Young People (Care and Protection Organisation) Guidelines 2018 (No 1) made under section 887 of the </w:t>
      </w:r>
      <w:r w:rsidRPr="00C64BEE">
        <w:rPr>
          <w:i/>
          <w:spacing w:val="-2"/>
        </w:rPr>
        <w:t>Children and Young People Act 2008</w:t>
      </w:r>
      <w:r w:rsidRPr="00C64BEE">
        <w:rPr>
          <w:b/>
          <w:i/>
          <w:spacing w:val="-2"/>
        </w:rPr>
        <w:t xml:space="preserve"> </w:t>
      </w:r>
      <w:r w:rsidRPr="00C64BEE">
        <w:rPr>
          <w:b/>
          <w:spacing w:val="-2"/>
        </w:rPr>
        <w:t>makes the Children and Young People Care and Protection Organisation Standards, May 2018.</w:t>
      </w:r>
    </w:p>
    <w:p w:rsidR="006074ED" w:rsidRPr="00C64BEE" w:rsidRDefault="006074ED" w:rsidP="00744FCE">
      <w:pPr>
        <w:keepLines/>
        <w:spacing w:before="200" w:after="120"/>
        <w:rPr>
          <w:rFonts w:eastAsia="Calibri" w:cs="Times New Roman"/>
        </w:rPr>
      </w:pPr>
      <w:r w:rsidRPr="00C64BEE">
        <w:rPr>
          <w:rFonts w:eastAsia="Calibri" w:cs="Times New Roman"/>
        </w:rPr>
        <w:t xml:space="preserve">The Committee notes that this instrument sets standards, under section 887 of the </w:t>
      </w:r>
      <w:r w:rsidRPr="00C64BEE">
        <w:rPr>
          <w:rFonts w:eastAsia="Calibri" w:cs="Times New Roman"/>
          <w:i/>
        </w:rPr>
        <w:t>Children and Young People Act 2018</w:t>
      </w:r>
      <w:r w:rsidRPr="00C64BEE">
        <w:rPr>
          <w:rFonts w:eastAsia="Calibri" w:cs="Times New Roman"/>
        </w:rPr>
        <w:t>, in relation to the approval of “suitable entities” for care and protection purposes.  In particular, the standards set require organisations that seek to be approved as a “suitable entity”, for a care and protection purpose, to demonstrate that they have the capacity to comply, and are likely to comply, with the standards.</w:t>
      </w:r>
    </w:p>
    <w:p w:rsidR="006074ED" w:rsidRPr="00C64BEE" w:rsidRDefault="006074ED" w:rsidP="00744FCE">
      <w:pPr>
        <w:keepLines/>
        <w:spacing w:before="200" w:after="120"/>
        <w:rPr>
          <w:rFonts w:eastAsia="Calibri" w:cs="Times New Roman"/>
        </w:rPr>
      </w:pPr>
      <w:r w:rsidRPr="00C64BEE">
        <w:rPr>
          <w:rFonts w:eastAsia="Calibri" w:cs="Times New Roman"/>
        </w:rPr>
        <w:t xml:space="preserve">The instrument states (on page 4, under “Purpose”): </w:t>
      </w:r>
    </w:p>
    <w:p w:rsidR="006074ED" w:rsidRPr="00C64BEE" w:rsidRDefault="006074ED" w:rsidP="00A61304">
      <w:pPr>
        <w:keepLines/>
        <w:spacing w:after="120"/>
        <w:ind w:left="360"/>
        <w:rPr>
          <w:rFonts w:eastAsia="Calibri" w:cs="Times New Roman"/>
        </w:rPr>
      </w:pPr>
      <w:r w:rsidRPr="00C64BEE">
        <w:rPr>
          <w:rFonts w:eastAsia="Calibri" w:cs="Times New Roman"/>
        </w:rPr>
        <w:t xml:space="preserve">The Standards establish the minimum requirements for demonstrating compliance as a suitable entity for the provision of a care and protection service, based on the statutory responsibilities of the service providers as described in the Children and Young People Act 2008. </w:t>
      </w:r>
    </w:p>
    <w:p w:rsidR="006074ED" w:rsidRPr="00C64BEE" w:rsidRDefault="006074ED" w:rsidP="00A61304">
      <w:pPr>
        <w:keepLines/>
        <w:spacing w:before="180" w:after="120"/>
        <w:ind w:left="360"/>
        <w:rPr>
          <w:rFonts w:eastAsia="Calibri" w:cs="Times New Roman"/>
        </w:rPr>
      </w:pPr>
      <w:r w:rsidRPr="00C64BEE">
        <w:rPr>
          <w:rFonts w:eastAsia="Calibri" w:cs="Times New Roman"/>
        </w:rPr>
        <w:t xml:space="preserve">The Standards reflect the child focussed priority of the a Step up for our Kids Strategy and seek outcomes that ensure the rights of children and young people are upheld, that services are child safe and child friendly and children, young people and their families receive quality services. </w:t>
      </w:r>
    </w:p>
    <w:p w:rsidR="006074ED" w:rsidRPr="00C64BEE" w:rsidRDefault="006074ED" w:rsidP="00A61304">
      <w:pPr>
        <w:keepLines/>
        <w:spacing w:before="180" w:after="120"/>
        <w:ind w:left="360"/>
        <w:rPr>
          <w:rFonts w:eastAsia="Calibri" w:cs="Times New Roman"/>
        </w:rPr>
      </w:pPr>
      <w:r w:rsidRPr="00C64BEE">
        <w:rPr>
          <w:rFonts w:eastAsia="Calibri" w:cs="Times New Roman"/>
        </w:rPr>
        <w:t xml:space="preserve">The rights of children and young people arise from the United Nations Convention on the Rights of the Child, the </w:t>
      </w:r>
      <w:r w:rsidRPr="00C64BEE">
        <w:rPr>
          <w:rFonts w:eastAsia="Calibri" w:cs="Times New Roman"/>
          <w:i/>
        </w:rPr>
        <w:t>Human Rights Act 2004</w:t>
      </w:r>
      <w:r w:rsidRPr="00C64BEE">
        <w:rPr>
          <w:rFonts w:eastAsia="Calibri" w:cs="Times New Roman"/>
        </w:rPr>
        <w:t xml:space="preserve"> (ACT), the </w:t>
      </w:r>
      <w:r w:rsidRPr="00C64BEE">
        <w:rPr>
          <w:rFonts w:eastAsia="Calibri" w:cs="Times New Roman"/>
          <w:i/>
        </w:rPr>
        <w:t>Children and Young People Act 2008</w:t>
      </w:r>
      <w:r w:rsidRPr="00C64BEE">
        <w:rPr>
          <w:rFonts w:eastAsia="Calibri" w:cs="Times New Roman"/>
        </w:rPr>
        <w:t xml:space="preserve">, the </w:t>
      </w:r>
      <w:r w:rsidRPr="00C64BEE">
        <w:rPr>
          <w:rFonts w:eastAsia="Calibri" w:cs="Times New Roman"/>
          <w:i/>
        </w:rPr>
        <w:t>Children and Young People (ACT Out of Home Care) Standards 2016</w:t>
      </w:r>
      <w:r w:rsidRPr="00C64BEE">
        <w:rPr>
          <w:rFonts w:eastAsia="Calibri" w:cs="Times New Roman"/>
        </w:rPr>
        <w:t xml:space="preserve"> and the Charter of Rights for Children and Young People in Out of Home Care in the ACT.</w:t>
      </w:r>
    </w:p>
    <w:p w:rsidR="006074ED" w:rsidRPr="00C64BEE" w:rsidRDefault="006074ED" w:rsidP="00A61304">
      <w:pPr>
        <w:spacing w:after="120"/>
        <w:rPr>
          <w:rFonts w:eastAsia="Calibri" w:cs="Times New Roman"/>
        </w:rPr>
      </w:pPr>
      <w:r w:rsidRPr="00C64BEE">
        <w:rPr>
          <w:rFonts w:eastAsia="Calibri" w:cs="Times New Roman"/>
        </w:rPr>
        <w:t xml:space="preserve">The Committee notes that, in addition to the reference (in the paragraph immediately above) to the </w:t>
      </w:r>
      <w:r w:rsidRPr="00C64BEE">
        <w:rPr>
          <w:rFonts w:eastAsia="Calibri" w:cs="Times New Roman"/>
          <w:i/>
        </w:rPr>
        <w:t>Human Rights Act 2004</w:t>
      </w:r>
      <w:r w:rsidRPr="00C64BEE">
        <w:rPr>
          <w:rFonts w:eastAsia="Calibri" w:cs="Times New Roman"/>
        </w:rPr>
        <w:t>, the instrument refers, on various pages (see pages 10, 11, 13, 18, 22, 24, 31 and 44), under the heading “Further Guidance”, to various human rights instruments, including the United Nations Convention on the Rights of the Child.  However, there is no discussion of human rights issues in the explanatory statement for the instrument.  In the circumstances, the Committee would have expected to see some discussion of human rights issues in the explanatory statement.</w:t>
      </w:r>
    </w:p>
    <w:p w:rsidR="006074ED" w:rsidRPr="00C64BEE" w:rsidRDefault="006074ED" w:rsidP="00A63970">
      <w:pPr>
        <w:keepLines/>
        <w:spacing w:after="120"/>
        <w:rPr>
          <w:rFonts w:eastAsia="Calibri" w:cs="Times New Roman"/>
          <w:b/>
        </w:rPr>
      </w:pPr>
      <w:r w:rsidRPr="00C64BEE">
        <w:rPr>
          <w:rFonts w:eastAsia="Calibri" w:cs="Times New Roman"/>
          <w:b/>
        </w:rPr>
        <w:lastRenderedPageBreak/>
        <w:t>The Committee seeks the Minister’s advice as to any human rights issues arising from this instrument.</w:t>
      </w:r>
    </w:p>
    <w:p w:rsidR="006074ED" w:rsidRPr="00C64BEE" w:rsidRDefault="006074ED" w:rsidP="00A63970">
      <w:pPr>
        <w:keepLines/>
        <w:spacing w:after="120"/>
        <w:rPr>
          <w:rFonts w:eastAsia="Calibri" w:cs="Times New Roman"/>
          <w:b/>
        </w:rPr>
      </w:pPr>
      <w:r w:rsidRPr="00C64BEE">
        <w:rPr>
          <w:rFonts w:eastAsia="Calibri" w:cs="Times New Roman"/>
          <w:b/>
        </w:rPr>
        <w:t>This comment requires a response from the Minister.</w:t>
      </w:r>
    </w:p>
    <w:p w:rsidR="006074ED" w:rsidRPr="00C64BEE" w:rsidRDefault="006074ED" w:rsidP="00744FCE">
      <w:pPr>
        <w:pStyle w:val="Heading4"/>
        <w:rPr>
          <w:rFonts w:asciiTheme="minorHAnsi" w:eastAsia="Times New Roman" w:hAnsiTheme="minorHAnsi"/>
          <w:b w:val="0"/>
          <w:i/>
          <w:sz w:val="22"/>
          <w:lang w:eastAsia="en-AU"/>
        </w:rPr>
      </w:pPr>
      <w:bookmarkStart w:id="162" w:name="_Toc521054323"/>
      <w:bookmarkStart w:id="163" w:name="_Toc521054395"/>
      <w:r w:rsidRPr="00C64BEE">
        <w:rPr>
          <w:rFonts w:asciiTheme="minorHAnsi" w:eastAsia="Times New Roman" w:hAnsiTheme="minorHAnsi"/>
          <w:b w:val="0"/>
          <w:i/>
          <w:sz w:val="22"/>
          <w:lang w:eastAsia="en-AU"/>
        </w:rPr>
        <w:t>Have the persons appointed by these instruments been properly appointed?</w:t>
      </w:r>
      <w:bookmarkEnd w:id="162"/>
      <w:bookmarkEnd w:id="163"/>
    </w:p>
    <w:p w:rsidR="006074ED" w:rsidRPr="00C64BEE" w:rsidRDefault="006074ED" w:rsidP="00744FCE">
      <w:pPr>
        <w:numPr>
          <w:ilvl w:val="0"/>
          <w:numId w:val="33"/>
        </w:numPr>
        <w:spacing w:before="120" w:after="120" w:line="240" w:lineRule="auto"/>
        <w:ind w:left="360"/>
        <w:rPr>
          <w:rFonts w:eastAsia="Times New Roman" w:cs="Times New Roman"/>
          <w:b/>
        </w:rPr>
      </w:pPr>
      <w:r w:rsidRPr="00C64BEE">
        <w:rPr>
          <w:rFonts w:eastAsia="Times New Roman" w:cs="Times New Roman"/>
          <w:b/>
        </w:rPr>
        <w:t xml:space="preserve">Disallowable Instrument DI2018-130 being the Work Health and Safety (Work Safety Council Employee Representative) Appointment 2018 (No 1) made under Schedule 2, section 2.3 of the </w:t>
      </w:r>
      <w:r w:rsidRPr="00C64BEE">
        <w:rPr>
          <w:rFonts w:eastAsia="Times New Roman" w:cs="Times New Roman"/>
          <w:i/>
        </w:rPr>
        <w:t xml:space="preserve">Work Health and Safety Act 2011 </w:t>
      </w:r>
      <w:r w:rsidRPr="00C64BEE">
        <w:rPr>
          <w:rFonts w:eastAsia="Times New Roman" w:cs="Times New Roman"/>
          <w:b/>
        </w:rPr>
        <w:t>appoints a specified person as a member of the Work Safety Council, representing the interests of employees.</w:t>
      </w:r>
    </w:p>
    <w:p w:rsidR="006074ED" w:rsidRPr="00C64BEE" w:rsidRDefault="006074ED" w:rsidP="006074ED">
      <w:pPr>
        <w:numPr>
          <w:ilvl w:val="0"/>
          <w:numId w:val="33"/>
        </w:numPr>
        <w:spacing w:before="120" w:after="120" w:line="240" w:lineRule="auto"/>
        <w:ind w:left="360"/>
        <w:rPr>
          <w:rFonts w:eastAsia="Times New Roman" w:cs="Times New Roman"/>
          <w:b/>
        </w:rPr>
      </w:pPr>
      <w:r w:rsidRPr="00C64BEE">
        <w:rPr>
          <w:rFonts w:eastAsia="Times New Roman" w:cs="Times New Roman"/>
          <w:b/>
        </w:rPr>
        <w:t xml:space="preserve">Disallowable Instrument DI2018-132 being the Work Health and Safety (Work Safety Council Employee Representative) Appointment 2018 (No 2) made under Schedule 2, section 2.3 of the </w:t>
      </w:r>
      <w:r w:rsidRPr="00C64BEE">
        <w:rPr>
          <w:rFonts w:eastAsia="Times New Roman" w:cs="Times New Roman"/>
          <w:i/>
        </w:rPr>
        <w:t xml:space="preserve">Work Health and Safety Act 2011 </w:t>
      </w:r>
      <w:r w:rsidRPr="00C64BEE">
        <w:rPr>
          <w:rFonts w:eastAsia="Times New Roman" w:cs="Times New Roman"/>
          <w:b/>
        </w:rPr>
        <w:t>appoints a specified person as a member of the Work Safety Council, representing the interests of employees.</w:t>
      </w:r>
    </w:p>
    <w:p w:rsidR="006074ED" w:rsidRPr="00C64BEE" w:rsidRDefault="006074ED" w:rsidP="006074ED">
      <w:pPr>
        <w:numPr>
          <w:ilvl w:val="0"/>
          <w:numId w:val="33"/>
        </w:numPr>
        <w:spacing w:before="120" w:after="120" w:line="240" w:lineRule="auto"/>
        <w:ind w:left="360"/>
        <w:rPr>
          <w:rFonts w:eastAsia="Times New Roman" w:cs="Times New Roman"/>
          <w:b/>
        </w:rPr>
      </w:pPr>
      <w:r w:rsidRPr="00C64BEE">
        <w:rPr>
          <w:rFonts w:eastAsia="Times New Roman" w:cs="Times New Roman"/>
          <w:b/>
        </w:rPr>
        <w:t xml:space="preserve">Disallowable Instrument DI2018-133 being the Work Health and Safety (Work Safety Council Employer Representative) Appointment 2018 (No 2) made under Schedule 2, section 2.3 of the </w:t>
      </w:r>
      <w:r w:rsidRPr="00C64BEE">
        <w:rPr>
          <w:rFonts w:eastAsia="Times New Roman" w:cs="Times New Roman"/>
          <w:i/>
        </w:rPr>
        <w:t xml:space="preserve">Work Health and Safety Act 2011 </w:t>
      </w:r>
      <w:r w:rsidRPr="00C64BEE">
        <w:rPr>
          <w:rFonts w:eastAsia="Times New Roman" w:cs="Times New Roman"/>
          <w:b/>
        </w:rPr>
        <w:t>appoints a specified person as a member of the Work Safety Council, representing the interests of employers.</w:t>
      </w:r>
    </w:p>
    <w:p w:rsidR="006074ED" w:rsidRPr="00C64BEE" w:rsidRDefault="006074ED" w:rsidP="00A63970">
      <w:pPr>
        <w:keepLines/>
        <w:spacing w:after="120"/>
        <w:rPr>
          <w:rFonts w:eastAsia="Calibri" w:cs="Times New Roman"/>
        </w:rPr>
      </w:pPr>
      <w:r w:rsidRPr="00C64BEE">
        <w:rPr>
          <w:rFonts w:eastAsia="Times New Roman" w:cs="Calibri"/>
          <w:sz w:val="24"/>
          <w:szCs w:val="20"/>
        </w:rPr>
        <w:t>T</w:t>
      </w:r>
      <w:r w:rsidRPr="00C64BEE">
        <w:rPr>
          <w:rFonts w:eastAsia="Calibri" w:cs="Times New Roman"/>
        </w:rPr>
        <w:t xml:space="preserve">he first instrument mentioned above appoints a specified person to the Work Safety Council, “to represent the interests of employers”.  The explanatory statement for the instrument indicates that the appointment is made under paragraph 2.3(a) of Schedule 2 to the </w:t>
      </w:r>
      <w:r w:rsidRPr="00C64BEE">
        <w:rPr>
          <w:rFonts w:eastAsia="Calibri" w:cs="Times New Roman"/>
          <w:i/>
        </w:rPr>
        <w:t>Work Health and Safety Act 2011</w:t>
      </w:r>
      <w:r w:rsidRPr="00C64BEE">
        <w:rPr>
          <w:rFonts w:eastAsia="Calibri" w:cs="Times New Roman"/>
        </w:rPr>
        <w:t>.  Section 2.3 of Schedule 2 provides:</w:t>
      </w:r>
    </w:p>
    <w:p w:rsidR="006074ED" w:rsidRPr="00C64BEE" w:rsidRDefault="000941F6" w:rsidP="005E56E4">
      <w:pPr>
        <w:keepLines/>
        <w:tabs>
          <w:tab w:val="left" w:pos="1350"/>
        </w:tabs>
        <w:spacing w:after="120"/>
        <w:ind w:left="360"/>
        <w:rPr>
          <w:rFonts w:eastAsia="Calibri" w:cs="Times New Roman"/>
          <w:b/>
        </w:rPr>
      </w:pPr>
      <w:bookmarkStart w:id="164" w:name="_Toc508871715"/>
      <w:bookmarkEnd w:id="164"/>
      <w:r w:rsidRPr="00C64BEE">
        <w:rPr>
          <w:rFonts w:eastAsia="Calibri" w:cs="Times New Roman"/>
          <w:b/>
        </w:rPr>
        <w:t>2.3</w:t>
      </w:r>
      <w:r w:rsidRPr="00C64BEE">
        <w:rPr>
          <w:rFonts w:eastAsia="Calibri" w:cs="Times New Roman"/>
          <w:b/>
        </w:rPr>
        <w:tab/>
      </w:r>
      <w:r w:rsidR="005E56E4" w:rsidRPr="00C64BEE">
        <w:rPr>
          <w:rFonts w:eastAsia="Calibri" w:cs="Times New Roman"/>
          <w:b/>
        </w:rPr>
        <w:t>Membership</w:t>
      </w:r>
    </w:p>
    <w:p w:rsidR="006074ED" w:rsidRPr="00C64BEE" w:rsidRDefault="006074ED" w:rsidP="005E56E4">
      <w:pPr>
        <w:keepLines/>
        <w:spacing w:after="120"/>
        <w:ind w:left="1350"/>
        <w:rPr>
          <w:rFonts w:eastAsia="Calibri" w:cs="Times New Roman"/>
        </w:rPr>
      </w:pPr>
      <w:r w:rsidRPr="00C64BEE">
        <w:rPr>
          <w:rFonts w:eastAsia="Calibri" w:cs="Times New Roman"/>
        </w:rPr>
        <w:t xml:space="preserve">The council consists of— </w:t>
      </w:r>
    </w:p>
    <w:p w:rsidR="006074ED" w:rsidRPr="00C64BEE" w:rsidRDefault="006074ED" w:rsidP="005E56E4">
      <w:pPr>
        <w:keepLines/>
        <w:spacing w:after="120"/>
        <w:ind w:left="1800" w:hanging="450"/>
        <w:rPr>
          <w:rFonts w:eastAsia="Calibri" w:cs="Times New Roman"/>
        </w:rPr>
      </w:pPr>
      <w:r w:rsidRPr="00C64BEE">
        <w:rPr>
          <w:rFonts w:eastAsia="Calibri" w:cs="Times New Roman"/>
        </w:rPr>
        <w:t>(a)</w:t>
      </w:r>
      <w:r w:rsidR="005E56E4" w:rsidRPr="00C64BEE">
        <w:rPr>
          <w:rFonts w:eastAsia="Calibri" w:cs="Times New Roman"/>
        </w:rPr>
        <w:tab/>
      </w:r>
      <w:r w:rsidRPr="00C64BEE">
        <w:rPr>
          <w:rFonts w:eastAsia="Calibri" w:cs="Times New Roman"/>
        </w:rPr>
        <w:t xml:space="preserve">4 members appointed by the Minister after consultation with the people or bodies that the Minister considers represent the interests of employees; and </w:t>
      </w:r>
    </w:p>
    <w:p w:rsidR="006074ED" w:rsidRPr="00C64BEE" w:rsidRDefault="006074ED" w:rsidP="005E56E4">
      <w:pPr>
        <w:keepLines/>
        <w:spacing w:after="120"/>
        <w:ind w:left="1800" w:hanging="450"/>
        <w:rPr>
          <w:rFonts w:eastAsia="Calibri" w:cs="Times New Roman"/>
        </w:rPr>
      </w:pPr>
      <w:r w:rsidRPr="00C64BEE">
        <w:rPr>
          <w:rFonts w:eastAsia="Calibri" w:cs="Times New Roman"/>
        </w:rPr>
        <w:t>(b)</w:t>
      </w:r>
      <w:r w:rsidR="005E56E4" w:rsidRPr="00C64BEE">
        <w:rPr>
          <w:rFonts w:eastAsia="Calibri" w:cs="Times New Roman"/>
        </w:rPr>
        <w:tab/>
      </w:r>
      <w:r w:rsidRPr="00C64BEE">
        <w:rPr>
          <w:rFonts w:eastAsia="Calibri" w:cs="Times New Roman"/>
        </w:rPr>
        <w:t xml:space="preserve">4 members appointed by the Minister after consultation with the people or bodies that the Minister considers represent the interests of employers; and </w:t>
      </w:r>
    </w:p>
    <w:p w:rsidR="006074ED" w:rsidRPr="00C64BEE" w:rsidRDefault="006074ED" w:rsidP="005E56E4">
      <w:pPr>
        <w:keepLines/>
        <w:spacing w:after="120"/>
        <w:ind w:left="1800" w:hanging="450"/>
        <w:rPr>
          <w:rFonts w:eastAsia="Calibri" w:cs="Times New Roman"/>
        </w:rPr>
      </w:pPr>
      <w:r w:rsidRPr="00C64BEE">
        <w:rPr>
          <w:rFonts w:eastAsia="Calibri" w:cs="Times New Roman"/>
        </w:rPr>
        <w:t>(c)</w:t>
      </w:r>
      <w:r w:rsidR="005E56E4" w:rsidRPr="00C64BEE">
        <w:rPr>
          <w:rFonts w:eastAsia="Calibri" w:cs="Times New Roman"/>
        </w:rPr>
        <w:tab/>
      </w:r>
      <w:r w:rsidRPr="00C64BEE">
        <w:rPr>
          <w:rFonts w:eastAsia="Calibri" w:cs="Times New Roman"/>
        </w:rPr>
        <w:t xml:space="preserve">4 other members appointed by the Minister; and </w:t>
      </w:r>
    </w:p>
    <w:p w:rsidR="006074ED" w:rsidRPr="00C64BEE" w:rsidRDefault="006074ED" w:rsidP="005E56E4">
      <w:pPr>
        <w:keepLines/>
        <w:spacing w:after="120"/>
        <w:ind w:left="1800" w:hanging="450"/>
        <w:rPr>
          <w:rFonts w:eastAsia="Calibri" w:cs="Times New Roman"/>
        </w:rPr>
      </w:pPr>
      <w:r w:rsidRPr="00C64BEE">
        <w:rPr>
          <w:rFonts w:eastAsia="Calibri" w:cs="Times New Roman"/>
        </w:rPr>
        <w:t>(d)</w:t>
      </w:r>
      <w:r w:rsidR="005E56E4" w:rsidRPr="00C64BEE">
        <w:rPr>
          <w:rFonts w:eastAsia="Calibri" w:cs="Times New Roman"/>
        </w:rPr>
        <w:tab/>
      </w:r>
      <w:proofErr w:type="gramStart"/>
      <w:r w:rsidRPr="00C64BEE">
        <w:rPr>
          <w:rFonts w:eastAsia="Calibri" w:cs="Times New Roman"/>
        </w:rPr>
        <w:t>the</w:t>
      </w:r>
      <w:proofErr w:type="gramEnd"/>
      <w:r w:rsidRPr="00C64BEE">
        <w:rPr>
          <w:rFonts w:eastAsia="Calibri" w:cs="Times New Roman"/>
        </w:rPr>
        <w:t xml:space="preserve"> commissioner. </w:t>
      </w:r>
    </w:p>
    <w:p w:rsidR="006074ED" w:rsidRPr="00C64BEE" w:rsidRDefault="006074ED" w:rsidP="005E56E4">
      <w:pPr>
        <w:keepLines/>
        <w:tabs>
          <w:tab w:val="left" w:pos="2160"/>
        </w:tabs>
        <w:spacing w:after="120"/>
        <w:ind w:left="2160" w:hanging="810"/>
        <w:rPr>
          <w:rFonts w:eastAsia="Calibri" w:cs="Times New Roman"/>
          <w:sz w:val="20"/>
          <w:szCs w:val="20"/>
        </w:rPr>
      </w:pPr>
      <w:r w:rsidRPr="00C64BEE">
        <w:rPr>
          <w:rFonts w:eastAsia="Calibri" w:cs="Times New Roman"/>
          <w:i/>
          <w:sz w:val="20"/>
          <w:szCs w:val="20"/>
        </w:rPr>
        <w:t>Note 1</w:t>
      </w:r>
      <w:r w:rsidR="005E56E4" w:rsidRPr="00C64BEE">
        <w:rPr>
          <w:rFonts w:eastAsia="Calibri" w:cs="Times New Roman"/>
          <w:sz w:val="20"/>
          <w:szCs w:val="20"/>
        </w:rPr>
        <w:tab/>
      </w:r>
      <w:r w:rsidRPr="00C64BEE">
        <w:rPr>
          <w:rFonts w:eastAsia="Calibri" w:cs="Times New Roman"/>
          <w:sz w:val="20"/>
          <w:szCs w:val="20"/>
        </w:rPr>
        <w:t>For the making of appointments (including acting appointments)</w:t>
      </w:r>
      <w:proofErr w:type="gramStart"/>
      <w:r w:rsidRPr="00C64BEE">
        <w:rPr>
          <w:rFonts w:eastAsia="Calibri" w:cs="Times New Roman"/>
          <w:sz w:val="20"/>
          <w:szCs w:val="20"/>
        </w:rPr>
        <w:t>,</w:t>
      </w:r>
      <w:proofErr w:type="gramEnd"/>
      <w:r w:rsidRPr="00C64BEE">
        <w:rPr>
          <w:rFonts w:eastAsia="Calibri" w:cs="Times New Roman"/>
          <w:sz w:val="20"/>
          <w:szCs w:val="20"/>
        </w:rPr>
        <w:t xml:space="preserve"> see the Legislation Act, pt 19.3. </w:t>
      </w:r>
    </w:p>
    <w:p w:rsidR="006074ED" w:rsidRPr="00C64BEE" w:rsidRDefault="006074ED" w:rsidP="005E56E4">
      <w:pPr>
        <w:keepLines/>
        <w:tabs>
          <w:tab w:val="left" w:pos="2160"/>
        </w:tabs>
        <w:spacing w:after="120"/>
        <w:ind w:left="2160" w:hanging="810"/>
        <w:rPr>
          <w:rFonts w:eastAsia="Calibri" w:cs="Times New Roman"/>
          <w:sz w:val="20"/>
          <w:szCs w:val="20"/>
        </w:rPr>
      </w:pPr>
      <w:r w:rsidRPr="00C64BEE">
        <w:rPr>
          <w:rFonts w:eastAsia="Calibri" w:cs="Times New Roman"/>
          <w:i/>
          <w:sz w:val="20"/>
          <w:szCs w:val="20"/>
        </w:rPr>
        <w:t>Note 2</w:t>
      </w:r>
      <w:r w:rsidR="005E56E4" w:rsidRPr="00C64BEE">
        <w:rPr>
          <w:rFonts w:eastAsia="Calibri" w:cs="Times New Roman"/>
          <w:sz w:val="20"/>
          <w:szCs w:val="20"/>
        </w:rPr>
        <w:tab/>
      </w:r>
      <w:r w:rsidRPr="00C64BEE">
        <w:rPr>
          <w:rFonts w:eastAsia="Calibri" w:cs="Times New Roman"/>
          <w:sz w:val="20"/>
          <w:szCs w:val="20"/>
        </w:rPr>
        <w:t xml:space="preserve">In particular, a person may be appointed for a particular provision of a law (see Legislation Act, </w:t>
      </w:r>
      <w:hyperlink r:id="rId22" w:history="1">
        <w:r w:rsidRPr="00C64BEE">
          <w:rPr>
            <w:rFonts w:eastAsia="Calibri" w:cs="Times New Roman"/>
            <w:sz w:val="20"/>
            <w:szCs w:val="20"/>
          </w:rPr>
          <w:t>s 7</w:t>
        </w:r>
      </w:hyperlink>
      <w:r w:rsidRPr="00C64BEE">
        <w:rPr>
          <w:rFonts w:eastAsia="Calibri" w:cs="Times New Roman"/>
          <w:sz w:val="20"/>
          <w:szCs w:val="20"/>
        </w:rPr>
        <w:t xml:space="preserve"> (3)) and an appointment may be made by naming a person or nominating the occupant of a position (see Legislation Act, </w:t>
      </w:r>
      <w:hyperlink r:id="rId23" w:history="1">
        <w:r w:rsidRPr="00C64BEE">
          <w:rPr>
            <w:rFonts w:eastAsia="Calibri" w:cs="Times New Roman"/>
            <w:sz w:val="20"/>
            <w:szCs w:val="20"/>
          </w:rPr>
          <w:t>s 207).</w:t>
        </w:r>
      </w:hyperlink>
      <w:r w:rsidRPr="00C64BEE">
        <w:rPr>
          <w:rFonts w:eastAsia="Calibri" w:cs="Times New Roman"/>
          <w:sz w:val="20"/>
          <w:szCs w:val="20"/>
        </w:rPr>
        <w:t xml:space="preserve"> </w:t>
      </w:r>
    </w:p>
    <w:p w:rsidR="006074ED" w:rsidRPr="00C64BEE" w:rsidRDefault="006074ED" w:rsidP="005E56E4">
      <w:pPr>
        <w:keepLines/>
        <w:tabs>
          <w:tab w:val="left" w:pos="2160"/>
        </w:tabs>
        <w:spacing w:after="120"/>
        <w:ind w:left="2160" w:hanging="810"/>
        <w:rPr>
          <w:rFonts w:eastAsia="Calibri" w:cs="Times New Roman"/>
          <w:sz w:val="20"/>
          <w:szCs w:val="20"/>
        </w:rPr>
      </w:pPr>
      <w:r w:rsidRPr="00C64BEE">
        <w:rPr>
          <w:rFonts w:eastAsia="Calibri" w:cs="Times New Roman"/>
          <w:i/>
          <w:sz w:val="20"/>
          <w:szCs w:val="20"/>
        </w:rPr>
        <w:t>Note 3</w:t>
      </w:r>
      <w:r w:rsidR="005E56E4" w:rsidRPr="00C64BEE">
        <w:rPr>
          <w:rFonts w:eastAsia="Calibri" w:cs="Times New Roman"/>
          <w:sz w:val="20"/>
          <w:szCs w:val="20"/>
        </w:rPr>
        <w:tab/>
      </w:r>
      <w:r w:rsidRPr="00C64BEE">
        <w:rPr>
          <w:rFonts w:eastAsia="Calibri" w:cs="Times New Roman"/>
          <w:sz w:val="20"/>
          <w:szCs w:val="20"/>
        </w:rPr>
        <w:t xml:space="preserve">Certain Ministerial appointments require consultation with an Assembly committee and are disallowable (see Legislation Act, div 19.3.3). </w:t>
      </w:r>
    </w:p>
    <w:p w:rsidR="006074ED" w:rsidRPr="00C64BEE" w:rsidRDefault="006074ED" w:rsidP="00A63970">
      <w:pPr>
        <w:keepLines/>
        <w:spacing w:after="120"/>
        <w:rPr>
          <w:rFonts w:eastAsia="Calibri" w:cs="Times New Roman"/>
        </w:rPr>
      </w:pPr>
      <w:r w:rsidRPr="00C64BEE">
        <w:rPr>
          <w:rFonts w:eastAsia="Calibri" w:cs="Times New Roman"/>
        </w:rPr>
        <w:lastRenderedPageBreak/>
        <w:t>The explanatory statement for the instrument states that the specifie</w:t>
      </w:r>
      <w:r w:rsidR="005E56E4" w:rsidRPr="00C64BEE">
        <w:rPr>
          <w:rFonts w:eastAsia="Calibri" w:cs="Times New Roman"/>
        </w:rPr>
        <w:t>d</w:t>
      </w:r>
      <w:r w:rsidRPr="00C64BEE">
        <w:rPr>
          <w:rFonts w:eastAsia="Calibri" w:cs="Times New Roman"/>
        </w:rPr>
        <w:t xml:space="preserve"> person is appointed “to represent the interest of employees for a period of 3 years, commencing on the day after notification”.  However, there is no mention of any person or body representing the interests of employees being consulted, prior to the Minister making the appointment.  While it might be assumed that the Minister would not have made the appointment without having first undertaken such consultation, the Committee’s firm preference is that the explanatory </w:t>
      </w:r>
      <w:proofErr w:type="gramStart"/>
      <w:r w:rsidRPr="00C64BEE">
        <w:rPr>
          <w:rFonts w:eastAsia="Calibri" w:cs="Times New Roman"/>
        </w:rPr>
        <w:t>statement for an appointment instrument expressly address</w:t>
      </w:r>
      <w:proofErr w:type="gramEnd"/>
      <w:r w:rsidRPr="00C64BEE">
        <w:rPr>
          <w:rFonts w:eastAsia="Calibri" w:cs="Times New Roman"/>
        </w:rPr>
        <w:t xml:space="preserve"> any pre-conditions for an appointment.</w:t>
      </w:r>
    </w:p>
    <w:p w:rsidR="006074ED" w:rsidRPr="00C64BEE" w:rsidRDefault="006074ED" w:rsidP="00A63970">
      <w:pPr>
        <w:keepLines/>
        <w:spacing w:after="120"/>
        <w:rPr>
          <w:rFonts w:eastAsia="Calibri" w:cs="Times New Roman"/>
        </w:rPr>
      </w:pPr>
      <w:r w:rsidRPr="00C64BEE">
        <w:rPr>
          <w:rFonts w:eastAsia="Calibri" w:cs="Times New Roman"/>
        </w:rPr>
        <w:t xml:space="preserve">In its document titled </w:t>
      </w:r>
      <w:hyperlink r:id="rId24" w:history="1">
        <w:r w:rsidR="005E56E4" w:rsidRPr="00EC220B">
          <w:rPr>
            <w:rFonts w:eastAsia="Calibri" w:cs="Times New Roman"/>
            <w:i/>
            <w:color w:val="0000CC"/>
            <w:u w:val="single"/>
          </w:rPr>
          <w:t>Subordinate legislation—Technical and stylistic standards—Tips/Traps</w:t>
        </w:r>
      </w:hyperlink>
      <w:r w:rsidR="005E56E4" w:rsidRPr="00C64BEE">
        <w:rPr>
          <w:rFonts w:eastAsia="Calibri" w:cs="Times New Roman"/>
          <w:vertAlign w:val="superscript"/>
        </w:rPr>
        <w:footnoteReference w:id="3"/>
      </w:r>
      <w:r w:rsidRPr="00C64BEE">
        <w:rPr>
          <w:rFonts w:eastAsia="Calibri" w:cs="Times New Roman"/>
        </w:rPr>
        <w:t>, the Committee states:</w:t>
      </w:r>
    </w:p>
    <w:p w:rsidR="006074ED" w:rsidRPr="009E5652" w:rsidRDefault="006074ED" w:rsidP="009E5652">
      <w:pPr>
        <w:ind w:firstLine="360"/>
        <w:rPr>
          <w:b/>
        </w:rPr>
      </w:pPr>
      <w:r w:rsidRPr="009E5652">
        <w:rPr>
          <w:b/>
        </w:rPr>
        <w:t>INSTRUMENTS OF APPOINTMENT</w:t>
      </w:r>
    </w:p>
    <w:p w:rsidR="006074ED" w:rsidRPr="00C64BEE" w:rsidRDefault="006074ED" w:rsidP="005E56E4">
      <w:pPr>
        <w:keepLines/>
        <w:spacing w:before="120" w:after="120"/>
        <w:ind w:left="360"/>
        <w:rPr>
          <w:rFonts w:eastAsia="Calibri" w:cs="Times New Roman"/>
        </w:rPr>
      </w:pPr>
      <w:r w:rsidRPr="00C64BEE">
        <w:rPr>
          <w:rFonts w:eastAsia="Calibri" w:cs="Times New Roman"/>
        </w:rPr>
        <w:t>………..</w:t>
      </w:r>
    </w:p>
    <w:p w:rsidR="006074ED" w:rsidRPr="00C64BEE" w:rsidRDefault="006074ED" w:rsidP="005E56E4">
      <w:pPr>
        <w:keepLines/>
        <w:spacing w:after="120"/>
        <w:ind w:left="360"/>
        <w:rPr>
          <w:rFonts w:eastAsia="Calibri" w:cs="Times New Roman"/>
        </w:rPr>
      </w:pPr>
      <w:r w:rsidRPr="00C64BEE">
        <w:rPr>
          <w:rFonts w:eastAsia="Calibri" w:cs="Times New Roman"/>
        </w:rPr>
        <w:t>Another issue has arisen in relation to appointments that require that a person nominated by a particular body (</w:t>
      </w:r>
      <w:proofErr w:type="spellStart"/>
      <w:r w:rsidRPr="00C64BEE">
        <w:rPr>
          <w:rFonts w:eastAsia="Calibri" w:cs="Times New Roman"/>
        </w:rPr>
        <w:t>eg</w:t>
      </w:r>
      <w:proofErr w:type="spellEnd"/>
      <w:r w:rsidRPr="00C64BEE">
        <w:rPr>
          <w:rFonts w:eastAsia="Calibri" w:cs="Times New Roman"/>
        </w:rPr>
        <w:t xml:space="preserve"> a professional association) be appointed or that a person be appointed from a list of persons submitted by a particular body.  These requirements are usually mandatory (demonstrated by the use of the word “must”).  In these situations, it assists the Committee if the Explanatory Statement for an instrument of appointment indicates that the relevant requirements have been met.  Recently, the Committee has commented on Explanatory Statements in which, say, there is a statement that the person appointed is the nominee of a particular body when, in fact, the requirement is that a person be appointed from a list of persons submitted by a particular body.  The point is that the Committee (and the Legislative Assembly) is assisted if the Explanatory Statement correctly recites the relevant requirement and indicates that the requirement has been met.</w:t>
      </w:r>
    </w:p>
    <w:p w:rsidR="006074ED" w:rsidRPr="00C64BEE" w:rsidRDefault="006074ED" w:rsidP="00A63970">
      <w:pPr>
        <w:keepLines/>
        <w:spacing w:after="120"/>
        <w:rPr>
          <w:rFonts w:eastAsia="Calibri" w:cs="Times New Roman"/>
        </w:rPr>
      </w:pPr>
      <w:r w:rsidRPr="00C64BEE">
        <w:rPr>
          <w:rFonts w:eastAsia="Calibri" w:cs="Times New Roman"/>
        </w:rPr>
        <w:t>The same issue arises in relation to the second and third instruments mentioned above.</w:t>
      </w:r>
    </w:p>
    <w:p w:rsidR="006074ED" w:rsidRPr="00C64BEE" w:rsidRDefault="006074ED" w:rsidP="00A63970">
      <w:pPr>
        <w:keepLines/>
        <w:spacing w:after="120"/>
        <w:rPr>
          <w:rFonts w:eastAsia="Calibri" w:cs="Times New Roman"/>
          <w:b/>
        </w:rPr>
      </w:pPr>
      <w:r w:rsidRPr="00C64BEE">
        <w:rPr>
          <w:rFonts w:eastAsia="Calibri" w:cs="Times New Roman"/>
          <w:b/>
        </w:rPr>
        <w:t>The Committee seeks the Minister’s assurance that, in the case of each instrument of appointment mentioned above, the relevant person or body was consulted, prior to the appointment being made.</w:t>
      </w:r>
    </w:p>
    <w:p w:rsidR="006074ED" w:rsidRPr="00C64BEE" w:rsidRDefault="006074ED" w:rsidP="00A63970">
      <w:pPr>
        <w:keepLines/>
        <w:spacing w:after="120"/>
        <w:rPr>
          <w:rFonts w:eastAsia="Calibri" w:cs="Times New Roman"/>
          <w:b/>
        </w:rPr>
      </w:pPr>
      <w:bookmarkStart w:id="165" w:name="_Hlk520793512"/>
      <w:r w:rsidRPr="00C64BEE">
        <w:rPr>
          <w:rFonts w:eastAsia="Calibri" w:cs="Times New Roman"/>
          <w:b/>
        </w:rPr>
        <w:t>The Committee draws the attention of the Legislative Assembly to this instrument, on the basis that the explanatory statement for the instrument does not meet the technical or stylistic standards expected by the Committee, contrary to principle (2) of the Committee’s terms of reference.</w:t>
      </w:r>
    </w:p>
    <w:p w:rsidR="006074ED" w:rsidRPr="00C64BEE" w:rsidRDefault="006074ED" w:rsidP="00A63970">
      <w:pPr>
        <w:keepLines/>
        <w:spacing w:after="120"/>
        <w:rPr>
          <w:rFonts w:eastAsia="Calibri" w:cs="Times New Roman"/>
          <w:b/>
        </w:rPr>
      </w:pPr>
      <w:r w:rsidRPr="00C64BEE">
        <w:rPr>
          <w:rFonts w:eastAsia="Calibri" w:cs="Times New Roman"/>
          <w:b/>
        </w:rPr>
        <w:t xml:space="preserve">This comment requires a response from the Minister. </w:t>
      </w:r>
    </w:p>
    <w:p w:rsidR="006074ED" w:rsidRPr="00C64BEE" w:rsidRDefault="006074ED" w:rsidP="005E56E4">
      <w:pPr>
        <w:pStyle w:val="Heading4"/>
        <w:rPr>
          <w:rFonts w:asciiTheme="minorHAnsi" w:eastAsia="Times New Roman" w:hAnsiTheme="minorHAnsi"/>
          <w:b w:val="0"/>
          <w:i/>
          <w:sz w:val="22"/>
          <w:lang w:eastAsia="en-AU"/>
        </w:rPr>
      </w:pPr>
      <w:bookmarkStart w:id="166" w:name="_Toc521054324"/>
      <w:bookmarkStart w:id="167" w:name="_Toc521054396"/>
      <w:bookmarkEnd w:id="165"/>
      <w:r w:rsidRPr="00C64BEE">
        <w:rPr>
          <w:rFonts w:asciiTheme="minorHAnsi" w:eastAsia="Times New Roman" w:hAnsiTheme="minorHAnsi"/>
          <w:b w:val="0"/>
          <w:i/>
          <w:sz w:val="22"/>
          <w:lang w:eastAsia="en-AU"/>
        </w:rPr>
        <w:t>Minor drafting issue</w:t>
      </w:r>
      <w:bookmarkEnd w:id="166"/>
      <w:bookmarkEnd w:id="167"/>
    </w:p>
    <w:p w:rsidR="006074ED" w:rsidRPr="00C64BEE" w:rsidRDefault="006074ED" w:rsidP="005E56E4">
      <w:pPr>
        <w:pStyle w:val="ListParagraph"/>
        <w:spacing w:before="180"/>
        <w:ind w:left="0"/>
        <w:rPr>
          <w:b/>
          <w:spacing w:val="-2"/>
        </w:rPr>
      </w:pPr>
      <w:r w:rsidRPr="00C64BEE">
        <w:rPr>
          <w:b/>
          <w:spacing w:val="-2"/>
        </w:rPr>
        <w:t xml:space="preserve">Disallowable Instrument DI2018-152 being the Building and Construction Industry Training Levy (Governing Board) Appointment 2018 (No 5) made under section 7 of the </w:t>
      </w:r>
      <w:r w:rsidRPr="00C64BEE">
        <w:rPr>
          <w:i/>
          <w:spacing w:val="-2"/>
        </w:rPr>
        <w:t>Building and Construction Industry Training Levy Act 1999</w:t>
      </w:r>
      <w:r w:rsidR="00CB6294">
        <w:rPr>
          <w:b/>
          <w:spacing w:val="-2"/>
        </w:rPr>
        <w:t xml:space="preserve"> and section 78</w:t>
      </w:r>
      <w:r w:rsidRPr="00C64BEE">
        <w:rPr>
          <w:b/>
          <w:spacing w:val="-2"/>
        </w:rPr>
        <w:t xml:space="preserve"> of the </w:t>
      </w:r>
      <w:r w:rsidRPr="00C64BEE">
        <w:rPr>
          <w:i/>
          <w:spacing w:val="-2"/>
        </w:rPr>
        <w:t>Financial Management Act 1996</w:t>
      </w:r>
      <w:r w:rsidRPr="00C64BEE">
        <w:rPr>
          <w:b/>
          <w:spacing w:val="-2"/>
        </w:rPr>
        <w:t xml:space="preserve"> reappoints a specified person as chair of the Building and Construction Industry Training Fund Authority Board, representing the building and construction industry.</w:t>
      </w:r>
    </w:p>
    <w:p w:rsidR="006074ED" w:rsidRPr="00C64BEE" w:rsidRDefault="006074ED" w:rsidP="00A63970">
      <w:pPr>
        <w:keepLines/>
        <w:spacing w:after="120"/>
        <w:rPr>
          <w:rFonts w:eastAsia="Calibri" w:cs="Times New Roman"/>
        </w:rPr>
      </w:pPr>
      <w:r w:rsidRPr="00C64BEE">
        <w:rPr>
          <w:rFonts w:eastAsia="Calibri" w:cs="Times New Roman"/>
        </w:rPr>
        <w:lastRenderedPageBreak/>
        <w:t xml:space="preserve">The Committee notes that this instrument appoints a specified person as the Chair of the Building and Construction Industry Training Fund Authority Board.  The formal parts of the instrument, and the explanatory statement for the instrument, state that the appointment is made under section 7 of the </w:t>
      </w:r>
      <w:r w:rsidRPr="00C64BEE">
        <w:rPr>
          <w:rFonts w:eastAsia="Calibri" w:cs="Times New Roman"/>
          <w:i/>
        </w:rPr>
        <w:t>Building and Construction Industry Training Levy Act 199</w:t>
      </w:r>
      <w:r w:rsidRPr="00C64BEE">
        <w:rPr>
          <w:rFonts w:eastAsia="Calibri" w:cs="Times New Roman"/>
        </w:rPr>
        <w:t xml:space="preserve">9 (which deals with the appointment of the Board) and section 78 of the </w:t>
      </w:r>
      <w:r w:rsidRPr="00C64BEE">
        <w:rPr>
          <w:rFonts w:eastAsia="Calibri" w:cs="Times New Roman"/>
          <w:i/>
        </w:rPr>
        <w:t>Financial Management Act 1996</w:t>
      </w:r>
      <w:r w:rsidRPr="00C64BEE">
        <w:rPr>
          <w:rFonts w:eastAsia="Calibri" w:cs="Times New Roman"/>
        </w:rPr>
        <w:t>.  As the specified person is appointed as Chair of the Board (and as recognised by a Note to section 7), the appointment also relies on section 79 of the Financial Management Act, which provides an over-arching power to appoint a chair and deputy chair to a board of a Territory authority, where there is no power to do so in the relevant Act.</w:t>
      </w:r>
    </w:p>
    <w:p w:rsidR="006074ED" w:rsidRPr="00C64BEE" w:rsidRDefault="006074ED" w:rsidP="00A63970">
      <w:pPr>
        <w:keepLines/>
        <w:spacing w:after="120"/>
        <w:rPr>
          <w:rFonts w:eastAsia="Calibri" w:cs="Times New Roman"/>
          <w:b/>
        </w:rPr>
      </w:pPr>
      <w:r w:rsidRPr="00C64BEE">
        <w:rPr>
          <w:rFonts w:eastAsia="Calibri" w:cs="Times New Roman"/>
          <w:b/>
        </w:rPr>
        <w:t>This comment does not require a response from the Minister.</w:t>
      </w:r>
    </w:p>
    <w:p w:rsidR="006074ED" w:rsidRPr="00C64BEE" w:rsidRDefault="006074ED" w:rsidP="005E56E4">
      <w:pPr>
        <w:pStyle w:val="Heading4"/>
        <w:rPr>
          <w:rFonts w:asciiTheme="minorHAnsi" w:eastAsia="Times New Roman" w:hAnsiTheme="minorHAnsi"/>
          <w:b w:val="0"/>
          <w:i/>
          <w:sz w:val="22"/>
          <w:lang w:eastAsia="en-AU"/>
        </w:rPr>
      </w:pPr>
      <w:bookmarkStart w:id="168" w:name="_Toc521054325"/>
      <w:bookmarkStart w:id="169" w:name="_Toc521054397"/>
      <w:proofErr w:type="spellStart"/>
      <w:r w:rsidRPr="00C64BEE">
        <w:rPr>
          <w:rFonts w:asciiTheme="minorHAnsi" w:eastAsia="Times New Roman" w:hAnsiTheme="minorHAnsi"/>
          <w:b w:val="0"/>
          <w:i/>
          <w:sz w:val="22"/>
          <w:lang w:eastAsia="en-AU"/>
        </w:rPr>
        <w:t>Disapplication</w:t>
      </w:r>
      <w:proofErr w:type="spellEnd"/>
      <w:r w:rsidRPr="00C64BEE">
        <w:rPr>
          <w:rFonts w:asciiTheme="minorHAnsi" w:eastAsia="Times New Roman" w:hAnsiTheme="minorHAnsi"/>
          <w:b w:val="0"/>
          <w:i/>
          <w:sz w:val="22"/>
          <w:lang w:eastAsia="en-AU"/>
        </w:rPr>
        <w:t xml:space="preserve"> of subsection 47(6) of the Legislation Act</w:t>
      </w:r>
      <w:r w:rsidR="00AA0780" w:rsidRPr="00C64BEE">
        <w:rPr>
          <w:rFonts w:asciiTheme="minorHAnsi" w:eastAsia="Times New Roman" w:hAnsiTheme="minorHAnsi"/>
          <w:b w:val="0"/>
          <w:i/>
          <w:sz w:val="22"/>
          <w:lang w:eastAsia="en-AU"/>
        </w:rPr>
        <w:t xml:space="preserve"> 2001</w:t>
      </w:r>
      <w:bookmarkEnd w:id="168"/>
      <w:bookmarkEnd w:id="169"/>
    </w:p>
    <w:p w:rsidR="006074ED" w:rsidRPr="00C64BEE" w:rsidRDefault="006074ED" w:rsidP="00AA0780">
      <w:pPr>
        <w:pStyle w:val="ListParagraph"/>
        <w:spacing w:before="180"/>
        <w:ind w:left="0"/>
        <w:rPr>
          <w:b/>
          <w:spacing w:val="-2"/>
        </w:rPr>
      </w:pPr>
      <w:r w:rsidRPr="00C64BEE">
        <w:rPr>
          <w:b/>
          <w:spacing w:val="-2"/>
        </w:rPr>
        <w:t xml:space="preserve">Disallowable Instrument DI2018-202 being the Utilities (Technical Regulation) (ACT Dam Safety Code) Approval 2018, including a regulatory impact statement made under section 73 of the </w:t>
      </w:r>
      <w:bookmarkStart w:id="170" w:name="_Hlk520790736"/>
      <w:r w:rsidRPr="00C64BEE">
        <w:rPr>
          <w:i/>
          <w:spacing w:val="-2"/>
        </w:rPr>
        <w:t>Utilities (Technical Regulation) Act 2014</w:t>
      </w:r>
      <w:r w:rsidRPr="00C64BEE">
        <w:rPr>
          <w:b/>
          <w:spacing w:val="-2"/>
        </w:rPr>
        <w:t xml:space="preserve"> </w:t>
      </w:r>
      <w:bookmarkEnd w:id="170"/>
      <w:r w:rsidRPr="00C64BEE">
        <w:rPr>
          <w:b/>
          <w:spacing w:val="-2"/>
        </w:rPr>
        <w:t>revokes DI2014-292 and approves the ACT Dam Safety Code 2018.</w:t>
      </w:r>
    </w:p>
    <w:p w:rsidR="006074ED" w:rsidRPr="00C64BEE" w:rsidRDefault="006074ED" w:rsidP="00DD4D13">
      <w:pPr>
        <w:keepLines/>
        <w:spacing w:after="120"/>
        <w:rPr>
          <w:rFonts w:eastAsia="Calibri" w:cs="Times New Roman"/>
        </w:rPr>
      </w:pPr>
      <w:r w:rsidRPr="00C64BEE">
        <w:rPr>
          <w:rFonts w:eastAsia="Calibri" w:cs="Times New Roman"/>
        </w:rPr>
        <w:t xml:space="preserve">This instrument, made under section 73 of the </w:t>
      </w:r>
      <w:bookmarkStart w:id="171" w:name="_Hlk520790823"/>
      <w:r w:rsidRPr="00C64BEE">
        <w:rPr>
          <w:rFonts w:eastAsia="Calibri" w:cs="Times New Roman"/>
          <w:i/>
        </w:rPr>
        <w:t xml:space="preserve">Utilities (Technical Regulation) Act </w:t>
      </w:r>
      <w:bookmarkEnd w:id="171"/>
      <w:r w:rsidRPr="00C64BEE">
        <w:rPr>
          <w:rFonts w:eastAsia="Calibri" w:cs="Times New Roman"/>
          <w:i/>
        </w:rPr>
        <w:t>2014</w:t>
      </w:r>
      <w:r w:rsidRPr="00C64BEE">
        <w:rPr>
          <w:rFonts w:eastAsia="Calibri" w:cs="Times New Roman"/>
        </w:rPr>
        <w:t>, approves a technical code (Code) for “listed dams” (as defined by section 69 of the Utilities (Technical Regulation) Act) that are covered by that Act.  As noted in the explanatory statement for the instrument, the purpose of the Code that is approved by the instrument is “to identify and regulate the safety of dams that have the potential for a failure which could have a significant adverse effect on the community.”</w:t>
      </w:r>
    </w:p>
    <w:p w:rsidR="006074ED" w:rsidRPr="00C64BEE" w:rsidRDefault="006074ED" w:rsidP="00DD4D13">
      <w:pPr>
        <w:keepLines/>
        <w:spacing w:after="120"/>
        <w:rPr>
          <w:rFonts w:eastAsia="Calibri" w:cs="Times New Roman"/>
        </w:rPr>
      </w:pPr>
      <w:r w:rsidRPr="00C64BEE">
        <w:rPr>
          <w:rFonts w:eastAsia="Calibri" w:cs="Times New Roman"/>
        </w:rPr>
        <w:t>Section 6 of the Code provides:</w:t>
      </w:r>
    </w:p>
    <w:p w:rsidR="006074ED" w:rsidRPr="00C64BEE" w:rsidRDefault="009E5652" w:rsidP="00C23680">
      <w:pPr>
        <w:keepLines/>
        <w:spacing w:after="120"/>
        <w:ind w:left="1080" w:hanging="720"/>
        <w:rPr>
          <w:rFonts w:eastAsia="Calibri" w:cs="Times New Roman"/>
          <w:b/>
        </w:rPr>
      </w:pPr>
      <w:r>
        <w:rPr>
          <w:rFonts w:eastAsia="Calibri" w:cs="Times New Roman"/>
          <w:b/>
        </w:rPr>
        <w:t>6.</w:t>
      </w:r>
      <w:r w:rsidR="00C23680" w:rsidRPr="00C64BEE">
        <w:rPr>
          <w:rFonts w:eastAsia="Calibri" w:cs="Times New Roman"/>
          <w:b/>
        </w:rPr>
        <w:tab/>
      </w:r>
      <w:r w:rsidR="006074ED" w:rsidRPr="00C64BEE">
        <w:rPr>
          <w:rFonts w:eastAsia="Calibri" w:cs="Times New Roman"/>
          <w:b/>
        </w:rPr>
        <w:t>APPLICABLE GUIDELINES</w:t>
      </w:r>
    </w:p>
    <w:p w:rsidR="006074ED" w:rsidRPr="00C64BEE" w:rsidRDefault="006074ED" w:rsidP="00C23680">
      <w:pPr>
        <w:keepLines/>
        <w:spacing w:after="120"/>
        <w:ind w:left="1080"/>
        <w:rPr>
          <w:rFonts w:eastAsia="Calibri" w:cs="Times New Roman"/>
        </w:rPr>
      </w:pPr>
      <w:r w:rsidRPr="00C64BEE">
        <w:rPr>
          <w:rFonts w:eastAsia="Calibri" w:cs="Times New Roman"/>
        </w:rPr>
        <w:t xml:space="preserve">Under section 73(2) of the Act, this Code adopts the current ANCOLD Guidelines (the guidelines), as guidelines for the purpose of this Code. </w:t>
      </w:r>
    </w:p>
    <w:p w:rsidR="006074ED" w:rsidRPr="00C64BEE" w:rsidRDefault="006074ED" w:rsidP="00C23680">
      <w:pPr>
        <w:keepLines/>
        <w:spacing w:after="120"/>
        <w:ind w:left="1080"/>
        <w:rPr>
          <w:rFonts w:eastAsia="Calibri" w:cs="Times New Roman"/>
        </w:rPr>
      </w:pPr>
      <w:r w:rsidRPr="00C64BEE">
        <w:rPr>
          <w:rFonts w:eastAsia="Calibri" w:cs="Times New Roman"/>
        </w:rPr>
        <w:t xml:space="preserve">Section 47(6) of the Legislation Act does not apply in relation to the ANCOLD Guidelines adopted above (see section 47(7) of the Legislation Act). Therefore, </w:t>
      </w:r>
      <w:proofErr w:type="gramStart"/>
      <w:r w:rsidRPr="00C64BEE">
        <w:rPr>
          <w:rFonts w:eastAsia="Calibri" w:cs="Times New Roman"/>
        </w:rPr>
        <w:t>the  ANCOLD</w:t>
      </w:r>
      <w:proofErr w:type="gramEnd"/>
      <w:r w:rsidRPr="00C64BEE">
        <w:rPr>
          <w:rFonts w:eastAsia="Calibri" w:cs="Times New Roman"/>
        </w:rPr>
        <w:t xml:space="preserve"> Guidelines do not need to be notified on the Legislation Register. The ANCOLD Guidelines may be purchased at </w:t>
      </w:r>
      <w:hyperlink r:id="rId25" w:history="1">
        <w:r w:rsidRPr="00EC220B">
          <w:rPr>
            <w:rFonts w:eastAsia="Calibri" w:cs="Times New Roman"/>
            <w:color w:val="0000CC"/>
            <w:u w:val="single"/>
          </w:rPr>
          <w:t>https://www.ancold.org.au/</w:t>
        </w:r>
      </w:hyperlink>
      <w:r w:rsidRPr="00C64BEE">
        <w:rPr>
          <w:rFonts w:eastAsia="Calibri" w:cs="Times New Roman"/>
        </w:rPr>
        <w:t>.</w:t>
      </w:r>
    </w:p>
    <w:p w:rsidR="006074ED" w:rsidRPr="00C64BEE" w:rsidRDefault="006074ED" w:rsidP="00DD4D13">
      <w:pPr>
        <w:keepLines/>
        <w:spacing w:after="120"/>
        <w:rPr>
          <w:rFonts w:eastAsia="Calibri" w:cs="Times New Roman"/>
        </w:rPr>
      </w:pPr>
      <w:r w:rsidRPr="00C64BEE">
        <w:rPr>
          <w:rFonts w:eastAsia="Calibri" w:cs="Times New Roman"/>
        </w:rPr>
        <w:t>The explanatory statement for the instrument states (in relation to the ANCOLD Guidelines):</w:t>
      </w:r>
    </w:p>
    <w:p w:rsidR="006074ED" w:rsidRPr="00C64BEE" w:rsidRDefault="006074ED" w:rsidP="00475A42">
      <w:pPr>
        <w:keepLines/>
        <w:spacing w:after="120"/>
        <w:ind w:left="360"/>
        <w:rPr>
          <w:rFonts w:eastAsia="Calibri" w:cs="Times New Roman"/>
        </w:rPr>
      </w:pPr>
      <w:r w:rsidRPr="00C64BEE">
        <w:rPr>
          <w:rFonts w:eastAsia="Calibri" w:cs="Times New Roman"/>
        </w:rPr>
        <w:t>The Code adopts the Australian Committee on Large Dams (ANCOLD) Guidelines as the basis for dam safety. The ANCOLD guidelines are accepted by professionals in Australia as outlining requirements for good practice in dam ownership, and are referenced as the basis for the regulation of dam safety in all eastern states of Australia.</w:t>
      </w:r>
    </w:p>
    <w:p w:rsidR="006074ED" w:rsidRPr="00C64BEE" w:rsidRDefault="006074ED" w:rsidP="00DD4D13">
      <w:pPr>
        <w:keepLines/>
        <w:spacing w:after="120"/>
        <w:rPr>
          <w:rFonts w:eastAsia="Calibri" w:cs="Times New Roman"/>
        </w:rPr>
      </w:pPr>
      <w:r w:rsidRPr="00C64BEE">
        <w:rPr>
          <w:rFonts w:eastAsia="Calibri" w:cs="Times New Roman"/>
        </w:rPr>
        <w:t>Section 73 of the Utilities (Technical Regulation) Act provides:</w:t>
      </w:r>
    </w:p>
    <w:p w:rsidR="006074ED" w:rsidRPr="00C64BEE" w:rsidRDefault="006074ED" w:rsidP="00475A42">
      <w:pPr>
        <w:keepLines/>
        <w:tabs>
          <w:tab w:val="left" w:pos="1350"/>
        </w:tabs>
        <w:spacing w:after="120"/>
        <w:ind w:firstLine="360"/>
        <w:rPr>
          <w:rFonts w:eastAsia="Calibri" w:cs="Times New Roman"/>
          <w:b/>
        </w:rPr>
      </w:pPr>
      <w:r w:rsidRPr="00C64BEE">
        <w:rPr>
          <w:rFonts w:eastAsia="Calibri" w:cs="Times New Roman"/>
          <w:b/>
        </w:rPr>
        <w:t>73</w:t>
      </w:r>
      <w:r w:rsidR="00475A42" w:rsidRPr="00C64BEE">
        <w:rPr>
          <w:rFonts w:eastAsia="Calibri" w:cs="Times New Roman"/>
          <w:b/>
        </w:rPr>
        <w:tab/>
      </w:r>
      <w:r w:rsidRPr="00C64BEE">
        <w:rPr>
          <w:rFonts w:eastAsia="Calibri" w:cs="Times New Roman"/>
          <w:b/>
        </w:rPr>
        <w:t xml:space="preserve">Technical codes for listed dams—approval </w:t>
      </w:r>
    </w:p>
    <w:p w:rsidR="006074ED" w:rsidRPr="00C64BEE" w:rsidRDefault="00475A42" w:rsidP="00AB5343">
      <w:pPr>
        <w:keepLines/>
        <w:tabs>
          <w:tab w:val="left" w:pos="810"/>
          <w:tab w:val="left" w:pos="1350"/>
        </w:tabs>
        <w:spacing w:after="120"/>
        <w:ind w:left="1350" w:hanging="990"/>
        <w:rPr>
          <w:rFonts w:eastAsia="Calibri" w:cs="Times New Roman"/>
        </w:rPr>
      </w:pPr>
      <w:r w:rsidRPr="00C64BEE">
        <w:rPr>
          <w:rFonts w:eastAsia="Calibri" w:cs="Times New Roman"/>
        </w:rPr>
        <w:tab/>
      </w:r>
      <w:r w:rsidR="006074ED" w:rsidRPr="00C64BEE">
        <w:rPr>
          <w:rFonts w:eastAsia="Calibri" w:cs="Times New Roman"/>
        </w:rPr>
        <w:t>(1)</w:t>
      </w:r>
      <w:r w:rsidRPr="00C64BEE">
        <w:rPr>
          <w:rFonts w:eastAsia="Calibri" w:cs="Times New Roman"/>
        </w:rPr>
        <w:tab/>
      </w:r>
      <w:r w:rsidR="006074ED" w:rsidRPr="00C64BEE">
        <w:rPr>
          <w:rFonts w:eastAsia="Calibri" w:cs="Times New Roman"/>
        </w:rPr>
        <w:t>The Minister may approve a technical code for listed dams as recommended by the technical regulator if the Minister is satisf</w:t>
      </w:r>
      <w:r w:rsidR="00AB5343" w:rsidRPr="00C64BEE">
        <w:rPr>
          <w:rFonts w:eastAsia="Calibri" w:cs="Times New Roman"/>
        </w:rPr>
        <w:t>ied on reasonable grounds that—</w:t>
      </w:r>
    </w:p>
    <w:p w:rsidR="006074ED" w:rsidRPr="00C64BEE" w:rsidRDefault="00475A42" w:rsidP="00475A42">
      <w:pPr>
        <w:keepLines/>
        <w:tabs>
          <w:tab w:val="left" w:pos="720"/>
          <w:tab w:val="left" w:pos="1350"/>
          <w:tab w:val="left" w:pos="1890"/>
          <w:tab w:val="left" w:pos="15210"/>
        </w:tabs>
        <w:spacing w:after="120"/>
        <w:ind w:left="1350" w:hanging="990"/>
        <w:rPr>
          <w:rFonts w:eastAsia="Calibri" w:cs="Times New Roman"/>
        </w:rPr>
      </w:pPr>
      <w:r w:rsidRPr="00C64BEE">
        <w:rPr>
          <w:rFonts w:eastAsia="Calibri" w:cs="Times New Roman"/>
        </w:rPr>
        <w:tab/>
      </w:r>
      <w:r w:rsidRPr="00C64BEE">
        <w:rPr>
          <w:rFonts w:eastAsia="Calibri" w:cs="Times New Roman"/>
        </w:rPr>
        <w:tab/>
      </w:r>
      <w:r w:rsidR="006074ED" w:rsidRPr="00C64BEE">
        <w:rPr>
          <w:rFonts w:eastAsia="Calibri" w:cs="Times New Roman"/>
        </w:rPr>
        <w:t>(a)</w:t>
      </w:r>
      <w:r w:rsidRPr="00C64BEE">
        <w:rPr>
          <w:rFonts w:eastAsia="Calibri" w:cs="Times New Roman"/>
        </w:rPr>
        <w:tab/>
      </w:r>
      <w:proofErr w:type="gramStart"/>
      <w:r w:rsidR="006074ED" w:rsidRPr="00C64BEE">
        <w:rPr>
          <w:rFonts w:eastAsia="Calibri" w:cs="Times New Roman"/>
        </w:rPr>
        <w:t>section</w:t>
      </w:r>
      <w:proofErr w:type="gramEnd"/>
      <w:r w:rsidR="006074ED" w:rsidRPr="00C64BEE">
        <w:rPr>
          <w:rFonts w:eastAsia="Calibri" w:cs="Times New Roman"/>
        </w:rPr>
        <w:t xml:space="preserve"> 72 has been complied with; and </w:t>
      </w:r>
    </w:p>
    <w:p w:rsidR="006074ED" w:rsidRPr="00C64BEE" w:rsidRDefault="00475A42" w:rsidP="00475A42">
      <w:pPr>
        <w:keepLines/>
        <w:tabs>
          <w:tab w:val="left" w:pos="720"/>
          <w:tab w:val="left" w:pos="1350"/>
          <w:tab w:val="left" w:pos="1890"/>
        </w:tabs>
        <w:spacing w:after="120"/>
        <w:ind w:left="1350" w:hanging="990"/>
        <w:rPr>
          <w:rFonts w:eastAsia="Calibri" w:cs="Times New Roman"/>
        </w:rPr>
      </w:pPr>
      <w:r w:rsidRPr="00C64BEE">
        <w:rPr>
          <w:rFonts w:eastAsia="Calibri" w:cs="Times New Roman"/>
        </w:rPr>
        <w:lastRenderedPageBreak/>
        <w:tab/>
      </w:r>
      <w:r w:rsidRPr="00C64BEE">
        <w:rPr>
          <w:rFonts w:eastAsia="Calibri" w:cs="Times New Roman"/>
        </w:rPr>
        <w:tab/>
        <w:t>(b)</w:t>
      </w:r>
      <w:r w:rsidRPr="00C64BEE">
        <w:rPr>
          <w:rFonts w:eastAsia="Calibri" w:cs="Times New Roman"/>
        </w:rPr>
        <w:tab/>
      </w:r>
      <w:proofErr w:type="gramStart"/>
      <w:r w:rsidR="006074ED" w:rsidRPr="00C64BEE">
        <w:rPr>
          <w:rFonts w:eastAsia="Calibri" w:cs="Times New Roman"/>
        </w:rPr>
        <w:t>the</w:t>
      </w:r>
      <w:proofErr w:type="gramEnd"/>
      <w:r w:rsidR="006074ED" w:rsidRPr="00C64BEE">
        <w:rPr>
          <w:rFonts w:eastAsia="Calibri" w:cs="Times New Roman"/>
        </w:rPr>
        <w:t xml:space="preserve"> code is— </w:t>
      </w:r>
    </w:p>
    <w:p w:rsidR="006074ED" w:rsidRPr="00C64BEE" w:rsidRDefault="00475A42" w:rsidP="00E90FE6">
      <w:pPr>
        <w:keepLines/>
        <w:tabs>
          <w:tab w:val="left" w:pos="720"/>
          <w:tab w:val="left" w:pos="1350"/>
          <w:tab w:val="right" w:pos="2070"/>
          <w:tab w:val="left" w:pos="2340"/>
        </w:tabs>
        <w:spacing w:before="200" w:after="120"/>
        <w:ind w:left="1350" w:hanging="990"/>
        <w:rPr>
          <w:rFonts w:eastAsia="Calibri" w:cs="Times New Roman"/>
        </w:rPr>
      </w:pPr>
      <w:r w:rsidRPr="00C64BEE">
        <w:rPr>
          <w:rFonts w:eastAsia="Calibri" w:cs="Times New Roman"/>
        </w:rPr>
        <w:tab/>
      </w:r>
      <w:r w:rsidRPr="00C64BEE">
        <w:rPr>
          <w:rFonts w:eastAsia="Calibri" w:cs="Times New Roman"/>
        </w:rPr>
        <w:tab/>
      </w:r>
      <w:r w:rsidRPr="00C64BEE">
        <w:rPr>
          <w:rFonts w:eastAsia="Calibri" w:cs="Times New Roman"/>
        </w:rPr>
        <w:tab/>
      </w:r>
      <w:r w:rsidR="006074ED" w:rsidRPr="00C64BEE">
        <w:rPr>
          <w:rFonts w:eastAsia="Calibri" w:cs="Times New Roman"/>
        </w:rPr>
        <w:t>(</w:t>
      </w:r>
      <w:proofErr w:type="spellStart"/>
      <w:r w:rsidR="006074ED" w:rsidRPr="00C64BEE">
        <w:rPr>
          <w:rFonts w:eastAsia="Calibri" w:cs="Times New Roman"/>
        </w:rPr>
        <w:t>i</w:t>
      </w:r>
      <w:proofErr w:type="spellEnd"/>
      <w:r w:rsidR="006074ED" w:rsidRPr="00C64BEE">
        <w:rPr>
          <w:rFonts w:eastAsia="Calibri" w:cs="Times New Roman"/>
        </w:rPr>
        <w:t>)</w:t>
      </w:r>
      <w:r w:rsidRPr="00C64BEE">
        <w:rPr>
          <w:rFonts w:eastAsia="Calibri" w:cs="Times New Roman"/>
        </w:rPr>
        <w:tab/>
      </w:r>
      <w:proofErr w:type="gramStart"/>
      <w:r w:rsidR="006074ED" w:rsidRPr="00C64BEE">
        <w:rPr>
          <w:rFonts w:eastAsia="Calibri" w:cs="Times New Roman"/>
        </w:rPr>
        <w:t>consistent</w:t>
      </w:r>
      <w:proofErr w:type="gramEnd"/>
      <w:r w:rsidR="006074ED" w:rsidRPr="00C64BEE">
        <w:rPr>
          <w:rFonts w:eastAsia="Calibri" w:cs="Times New Roman"/>
        </w:rPr>
        <w:t xml:space="preserve"> with the objects of this Act; and </w:t>
      </w:r>
    </w:p>
    <w:p w:rsidR="006074ED" w:rsidRPr="00C64BEE" w:rsidRDefault="00475A42" w:rsidP="00E90FE6">
      <w:pPr>
        <w:keepLines/>
        <w:tabs>
          <w:tab w:val="left" w:pos="720"/>
          <w:tab w:val="left" w:pos="1350"/>
          <w:tab w:val="right" w:pos="2070"/>
          <w:tab w:val="left" w:pos="2340"/>
        </w:tabs>
        <w:spacing w:before="200" w:after="120"/>
        <w:ind w:left="1350" w:hanging="990"/>
        <w:rPr>
          <w:rFonts w:eastAsia="Calibri" w:cs="Times New Roman"/>
        </w:rPr>
      </w:pPr>
      <w:r w:rsidRPr="00C64BEE">
        <w:rPr>
          <w:rFonts w:eastAsia="Calibri" w:cs="Times New Roman"/>
        </w:rPr>
        <w:tab/>
      </w:r>
      <w:r w:rsidRPr="00C64BEE">
        <w:rPr>
          <w:rFonts w:eastAsia="Calibri" w:cs="Times New Roman"/>
        </w:rPr>
        <w:tab/>
      </w:r>
      <w:r w:rsidRPr="00C64BEE">
        <w:rPr>
          <w:rFonts w:eastAsia="Calibri" w:cs="Times New Roman"/>
        </w:rPr>
        <w:tab/>
      </w:r>
      <w:r w:rsidR="006074ED" w:rsidRPr="00C64BEE">
        <w:rPr>
          <w:rFonts w:eastAsia="Calibri" w:cs="Times New Roman"/>
        </w:rPr>
        <w:t>(ii)</w:t>
      </w:r>
      <w:r w:rsidRPr="00C64BEE">
        <w:rPr>
          <w:rFonts w:eastAsia="Calibri" w:cs="Times New Roman"/>
        </w:rPr>
        <w:tab/>
      </w:r>
      <w:proofErr w:type="gramStart"/>
      <w:r w:rsidR="006074ED" w:rsidRPr="00C64BEE">
        <w:rPr>
          <w:rFonts w:eastAsia="Calibri" w:cs="Times New Roman"/>
        </w:rPr>
        <w:t>not</w:t>
      </w:r>
      <w:proofErr w:type="gramEnd"/>
      <w:r w:rsidR="006074ED" w:rsidRPr="00C64BEE">
        <w:rPr>
          <w:rFonts w:eastAsia="Calibri" w:cs="Times New Roman"/>
        </w:rPr>
        <w:t xml:space="preserve"> inconsiste</w:t>
      </w:r>
      <w:r w:rsidR="00B013C5" w:rsidRPr="00C64BEE">
        <w:rPr>
          <w:rFonts w:eastAsia="Calibri" w:cs="Times New Roman"/>
        </w:rPr>
        <w:t>nt with another technical code.</w:t>
      </w:r>
    </w:p>
    <w:p w:rsidR="006074ED" w:rsidRPr="00C64BEE" w:rsidRDefault="00AB5343" w:rsidP="00E90FE6">
      <w:pPr>
        <w:keepLines/>
        <w:tabs>
          <w:tab w:val="left" w:pos="720"/>
          <w:tab w:val="left" w:pos="1350"/>
        </w:tabs>
        <w:spacing w:before="200" w:after="120"/>
        <w:ind w:left="1350" w:hanging="900"/>
        <w:rPr>
          <w:rFonts w:eastAsia="Calibri" w:cs="Times New Roman"/>
        </w:rPr>
      </w:pPr>
      <w:r w:rsidRPr="00C64BEE">
        <w:rPr>
          <w:rFonts w:eastAsia="Calibri" w:cs="Times New Roman"/>
        </w:rPr>
        <w:tab/>
      </w:r>
      <w:r w:rsidR="006074ED" w:rsidRPr="00C64BEE">
        <w:rPr>
          <w:rFonts w:eastAsia="Calibri" w:cs="Times New Roman"/>
        </w:rPr>
        <w:t>(2)</w:t>
      </w:r>
      <w:r w:rsidRPr="00C64BEE">
        <w:rPr>
          <w:rFonts w:eastAsia="Calibri" w:cs="Times New Roman"/>
        </w:rPr>
        <w:tab/>
      </w:r>
      <w:r w:rsidR="006074ED" w:rsidRPr="00C64BEE">
        <w:rPr>
          <w:rFonts w:eastAsia="Calibri" w:cs="Times New Roman"/>
        </w:rPr>
        <w:t xml:space="preserve">An approved technical code may apply, adopt or incorporate a law or instrument, or a provision of a law or instrument, as in force from time to time. </w:t>
      </w:r>
    </w:p>
    <w:p w:rsidR="006074ED" w:rsidRPr="00C64BEE" w:rsidRDefault="00AB5343" w:rsidP="00E90FE6">
      <w:pPr>
        <w:keepLines/>
        <w:tabs>
          <w:tab w:val="left" w:pos="720"/>
          <w:tab w:val="left" w:pos="1350"/>
        </w:tabs>
        <w:spacing w:before="200" w:after="120"/>
        <w:ind w:left="1350" w:hanging="900"/>
        <w:rPr>
          <w:rFonts w:eastAsia="Calibri" w:cs="Times New Roman"/>
        </w:rPr>
      </w:pPr>
      <w:r w:rsidRPr="00C64BEE">
        <w:rPr>
          <w:rFonts w:eastAsia="Calibri" w:cs="Times New Roman"/>
        </w:rPr>
        <w:tab/>
      </w:r>
      <w:r w:rsidR="006074ED" w:rsidRPr="00C64BEE">
        <w:rPr>
          <w:rFonts w:eastAsia="Calibri" w:cs="Times New Roman"/>
        </w:rPr>
        <w:t>(3)</w:t>
      </w:r>
      <w:r w:rsidRPr="00C64BEE">
        <w:rPr>
          <w:rFonts w:eastAsia="Calibri" w:cs="Times New Roman"/>
        </w:rPr>
        <w:tab/>
      </w:r>
      <w:r w:rsidR="006074ED" w:rsidRPr="00C64BEE">
        <w:rPr>
          <w:rFonts w:eastAsia="Calibri" w:cs="Times New Roman"/>
        </w:rPr>
        <w:t xml:space="preserve">The Legislation Act, section 47(6) does not apply in relation to an AS or AS/NZS applied, adopted or incorporated under subsection (2). </w:t>
      </w:r>
    </w:p>
    <w:p w:rsidR="006074ED" w:rsidRPr="00C64BEE" w:rsidRDefault="00AB5343" w:rsidP="00E90FE6">
      <w:pPr>
        <w:keepLines/>
        <w:tabs>
          <w:tab w:val="left" w:pos="-1170"/>
          <w:tab w:val="left" w:pos="1350"/>
        </w:tabs>
        <w:spacing w:before="200" w:after="120"/>
        <w:ind w:left="2160" w:hanging="1800"/>
        <w:rPr>
          <w:rFonts w:eastAsia="Calibri" w:cs="Times New Roman"/>
          <w:sz w:val="20"/>
          <w:szCs w:val="20"/>
        </w:rPr>
      </w:pPr>
      <w:r w:rsidRPr="00C64BEE">
        <w:rPr>
          <w:rFonts w:eastAsia="Calibri" w:cs="Times New Roman"/>
        </w:rPr>
        <w:tab/>
      </w:r>
      <w:r w:rsidR="006074ED" w:rsidRPr="00C64BEE">
        <w:rPr>
          <w:rFonts w:eastAsia="Calibri" w:cs="Times New Roman"/>
          <w:i/>
          <w:sz w:val="20"/>
          <w:szCs w:val="20"/>
        </w:rPr>
        <w:t>Note</w:t>
      </w:r>
      <w:r w:rsidRPr="00C64BEE">
        <w:rPr>
          <w:rFonts w:eastAsia="Calibri" w:cs="Times New Roman"/>
          <w:i/>
          <w:sz w:val="20"/>
          <w:szCs w:val="20"/>
        </w:rPr>
        <w:tab/>
      </w:r>
      <w:r w:rsidR="006074ED" w:rsidRPr="00C64BEE">
        <w:rPr>
          <w:rFonts w:eastAsia="Calibri" w:cs="Times New Roman"/>
          <w:sz w:val="20"/>
          <w:szCs w:val="20"/>
        </w:rPr>
        <w:t>An AS or AS/NZS does not need to be notified under the Legislation Act because s</w:t>
      </w:r>
      <w:r w:rsidRPr="00C64BEE">
        <w:rPr>
          <w:rFonts w:eastAsia="Calibri" w:cs="Times New Roman"/>
          <w:sz w:val="20"/>
          <w:szCs w:val="20"/>
        </w:rPr>
        <w:t> </w:t>
      </w:r>
      <w:r w:rsidR="006074ED" w:rsidRPr="00C64BEE">
        <w:rPr>
          <w:rFonts w:eastAsia="Calibri" w:cs="Times New Roman"/>
          <w:sz w:val="20"/>
          <w:szCs w:val="20"/>
        </w:rPr>
        <w:t>47</w:t>
      </w:r>
      <w:r w:rsidRPr="00C64BEE">
        <w:rPr>
          <w:rFonts w:eastAsia="Calibri" w:cs="Times New Roman"/>
          <w:sz w:val="20"/>
          <w:szCs w:val="20"/>
        </w:rPr>
        <w:t> </w:t>
      </w:r>
      <w:r w:rsidR="006074ED" w:rsidRPr="00C64BEE">
        <w:rPr>
          <w:rFonts w:eastAsia="Calibri" w:cs="Times New Roman"/>
          <w:sz w:val="20"/>
          <w:szCs w:val="20"/>
        </w:rPr>
        <w:t xml:space="preserve">(6) does not apply (see Legislation Act, s 47(7)). An AS or AS/NZS may be purchased at </w:t>
      </w:r>
      <w:hyperlink r:id="rId26" w:history="1">
        <w:r w:rsidR="006074ED" w:rsidRPr="00EC220B">
          <w:rPr>
            <w:rFonts w:eastAsia="Calibri" w:cs="Times New Roman"/>
            <w:color w:val="0000CC"/>
            <w:sz w:val="20"/>
            <w:szCs w:val="20"/>
            <w:u w:val="single"/>
          </w:rPr>
          <w:t>www.standards.org.au</w:t>
        </w:r>
      </w:hyperlink>
      <w:r w:rsidRPr="00C64BEE">
        <w:rPr>
          <w:rFonts w:eastAsia="Calibri" w:cs="Times New Roman"/>
          <w:sz w:val="20"/>
          <w:szCs w:val="20"/>
        </w:rPr>
        <w:t>.</w:t>
      </w:r>
    </w:p>
    <w:p w:rsidR="006074ED" w:rsidRPr="00C64BEE" w:rsidRDefault="00AB5343" w:rsidP="00E90FE6">
      <w:pPr>
        <w:keepLines/>
        <w:tabs>
          <w:tab w:val="left" w:pos="720"/>
          <w:tab w:val="left" w:pos="1350"/>
        </w:tabs>
        <w:spacing w:before="200" w:after="120"/>
        <w:ind w:left="1350" w:hanging="900"/>
        <w:rPr>
          <w:rFonts w:eastAsia="Calibri" w:cs="Times New Roman"/>
        </w:rPr>
      </w:pPr>
      <w:r w:rsidRPr="00C64BEE">
        <w:rPr>
          <w:rFonts w:eastAsia="Calibri" w:cs="Times New Roman"/>
        </w:rPr>
        <w:tab/>
      </w:r>
      <w:r w:rsidR="006074ED" w:rsidRPr="00C64BEE">
        <w:rPr>
          <w:rFonts w:eastAsia="Calibri" w:cs="Times New Roman"/>
        </w:rPr>
        <w:t>(4)</w:t>
      </w:r>
      <w:r w:rsidRPr="00C64BEE">
        <w:rPr>
          <w:rFonts w:eastAsia="Calibri" w:cs="Times New Roman"/>
        </w:rPr>
        <w:tab/>
      </w:r>
      <w:r w:rsidR="006074ED" w:rsidRPr="00C64BEE">
        <w:rPr>
          <w:rFonts w:eastAsia="Calibri" w:cs="Times New Roman"/>
        </w:rPr>
        <w:t xml:space="preserve">An approval is a disallowable instrument. </w:t>
      </w:r>
    </w:p>
    <w:p w:rsidR="006074ED" w:rsidRPr="00C64BEE" w:rsidRDefault="00AB5343" w:rsidP="00E90FE6">
      <w:pPr>
        <w:keepLines/>
        <w:tabs>
          <w:tab w:val="left" w:pos="-1170"/>
          <w:tab w:val="left" w:pos="1350"/>
        </w:tabs>
        <w:spacing w:before="200" w:after="120"/>
        <w:ind w:left="2160" w:hanging="1800"/>
        <w:rPr>
          <w:rFonts w:eastAsia="Calibri" w:cs="Times New Roman"/>
        </w:rPr>
      </w:pPr>
      <w:r w:rsidRPr="00C64BEE">
        <w:rPr>
          <w:rFonts w:eastAsia="Calibri" w:cs="Times New Roman"/>
        </w:rPr>
        <w:tab/>
      </w:r>
      <w:r w:rsidR="006074ED" w:rsidRPr="00C64BEE">
        <w:rPr>
          <w:rFonts w:eastAsia="Calibri" w:cs="Times New Roman"/>
          <w:i/>
        </w:rPr>
        <w:t>Note</w:t>
      </w:r>
      <w:r w:rsidRPr="00C64BEE">
        <w:rPr>
          <w:rFonts w:eastAsia="Calibri" w:cs="Times New Roman"/>
          <w:i/>
        </w:rPr>
        <w:tab/>
      </w:r>
      <w:r w:rsidR="006074ED" w:rsidRPr="00C64BEE">
        <w:rPr>
          <w:rFonts w:eastAsia="Calibri" w:cs="Times New Roman"/>
        </w:rPr>
        <w:t xml:space="preserve">A disallowable instrument must be notified, and presented to the Legislative Assembly, under the Legislation Act. </w:t>
      </w:r>
    </w:p>
    <w:p w:rsidR="006074ED" w:rsidRPr="00C64BEE" w:rsidRDefault="006074ED" w:rsidP="00E90FE6">
      <w:pPr>
        <w:keepLines/>
        <w:spacing w:before="200" w:after="120"/>
        <w:rPr>
          <w:rFonts w:eastAsia="Calibri" w:cs="Times New Roman"/>
        </w:rPr>
      </w:pPr>
      <w:r w:rsidRPr="00C64BEE">
        <w:rPr>
          <w:rFonts w:eastAsia="Calibri" w:cs="Times New Roman"/>
        </w:rPr>
        <w:t xml:space="preserve">The effect of subsection (3) is that it disapplies subsection 47(6) of the Legislation Act 2001 </w:t>
      </w:r>
      <w:r w:rsidRPr="00C64BEE">
        <w:rPr>
          <w:rFonts w:eastAsia="Calibri" w:cs="Times New Roman"/>
          <w:u w:val="single"/>
        </w:rPr>
        <w:t>only</w:t>
      </w:r>
      <w:r w:rsidRPr="00C64BEE">
        <w:rPr>
          <w:rFonts w:eastAsia="Calibri" w:cs="Times New Roman"/>
        </w:rPr>
        <w:t xml:space="preserve"> in relation to the application, adoption or incorporation of an AS or an AS/NZS in a technical code.  The concepts of “AS” and “AS/NZS” are defined in section 164 of the </w:t>
      </w:r>
      <w:bookmarkStart w:id="172" w:name="_Hlk520792773"/>
      <w:r w:rsidRPr="00C64BEE">
        <w:rPr>
          <w:rFonts w:eastAsia="Calibri" w:cs="Times New Roman"/>
        </w:rPr>
        <w:t>Legislation Act</w:t>
      </w:r>
      <w:bookmarkEnd w:id="172"/>
      <w:r w:rsidRPr="00C64BEE">
        <w:rPr>
          <w:rFonts w:eastAsia="Calibri" w:cs="Times New Roman"/>
        </w:rPr>
        <w:t>, which provides:</w:t>
      </w:r>
    </w:p>
    <w:p w:rsidR="006074ED" w:rsidRPr="00C64BEE" w:rsidRDefault="007751E7" w:rsidP="00E90FE6">
      <w:pPr>
        <w:keepLines/>
        <w:tabs>
          <w:tab w:val="left" w:pos="810"/>
          <w:tab w:val="left" w:pos="1350"/>
        </w:tabs>
        <w:spacing w:before="200" w:after="120"/>
        <w:ind w:left="1354" w:hanging="994"/>
        <w:rPr>
          <w:rFonts w:eastAsia="Calibri" w:cs="Times New Roman"/>
          <w:b/>
        </w:rPr>
      </w:pPr>
      <w:r>
        <w:rPr>
          <w:rFonts w:eastAsia="Calibri" w:cs="Times New Roman"/>
          <w:b/>
        </w:rPr>
        <w:t>164</w:t>
      </w:r>
      <w:r w:rsidR="00405459" w:rsidRPr="00C64BEE">
        <w:rPr>
          <w:rFonts w:eastAsia="Calibri" w:cs="Times New Roman"/>
          <w:b/>
        </w:rPr>
        <w:tab/>
      </w:r>
      <w:r w:rsidR="00405459" w:rsidRPr="00C64BEE">
        <w:rPr>
          <w:rFonts w:eastAsia="Calibri" w:cs="Times New Roman"/>
          <w:b/>
        </w:rPr>
        <w:tab/>
      </w:r>
      <w:r w:rsidR="006074ED" w:rsidRPr="00C64BEE">
        <w:rPr>
          <w:rFonts w:eastAsia="Calibri" w:cs="Times New Roman"/>
          <w:b/>
        </w:rPr>
        <w:t xml:space="preserve">References to Australian Standards etc </w:t>
      </w:r>
    </w:p>
    <w:p w:rsidR="006074ED" w:rsidRPr="00C64BEE" w:rsidRDefault="00405459" w:rsidP="00E90FE6">
      <w:pPr>
        <w:keepLines/>
        <w:tabs>
          <w:tab w:val="left" w:pos="810"/>
          <w:tab w:val="left" w:pos="1350"/>
        </w:tabs>
        <w:spacing w:before="200" w:after="120"/>
        <w:ind w:left="1354" w:hanging="994"/>
        <w:rPr>
          <w:rFonts w:eastAsia="Calibri" w:cs="Times New Roman"/>
        </w:rPr>
      </w:pPr>
      <w:r w:rsidRPr="00C64BEE">
        <w:rPr>
          <w:rFonts w:eastAsia="Calibri" w:cs="Times New Roman"/>
        </w:rPr>
        <w:tab/>
      </w:r>
      <w:r w:rsidR="006074ED" w:rsidRPr="00C64BEE">
        <w:rPr>
          <w:rFonts w:eastAsia="Calibri" w:cs="Times New Roman"/>
        </w:rPr>
        <w:t>(1)</w:t>
      </w:r>
      <w:r w:rsidR="007751E7">
        <w:rPr>
          <w:rFonts w:eastAsia="Calibri" w:cs="Times New Roman"/>
        </w:rPr>
        <w:tab/>
      </w:r>
      <w:r w:rsidR="006074ED" w:rsidRPr="00C64BEE">
        <w:rPr>
          <w:rFonts w:eastAsia="Calibri" w:cs="Times New Roman"/>
        </w:rPr>
        <w:t xml:space="preserve">In an Act or statutory instrument, a reference consisting of the words ‘Australian Standard' or ‘AS' followed by a number is a reference to the standard so numbered published by or on behalf of Standards Australia. </w:t>
      </w:r>
    </w:p>
    <w:p w:rsidR="006074ED" w:rsidRPr="00C64BEE" w:rsidRDefault="00405459" w:rsidP="00E90FE6">
      <w:pPr>
        <w:keepLines/>
        <w:tabs>
          <w:tab w:val="left" w:pos="810"/>
          <w:tab w:val="left" w:pos="1350"/>
        </w:tabs>
        <w:spacing w:before="200" w:after="120"/>
        <w:ind w:left="1354" w:hanging="994"/>
        <w:rPr>
          <w:rFonts w:eastAsia="Calibri" w:cs="Times New Roman"/>
        </w:rPr>
      </w:pPr>
      <w:r w:rsidRPr="00C64BEE">
        <w:rPr>
          <w:rFonts w:eastAsia="Calibri" w:cs="Times New Roman"/>
        </w:rPr>
        <w:tab/>
      </w:r>
      <w:r w:rsidR="006074ED" w:rsidRPr="00C64BEE">
        <w:rPr>
          <w:rFonts w:eastAsia="Calibri" w:cs="Times New Roman"/>
        </w:rPr>
        <w:t>(2)</w:t>
      </w:r>
      <w:r w:rsidR="007751E7">
        <w:rPr>
          <w:rFonts w:eastAsia="Calibri" w:cs="Times New Roman"/>
        </w:rPr>
        <w:tab/>
      </w:r>
      <w:r w:rsidR="006074ED" w:rsidRPr="00C64BEE">
        <w:rPr>
          <w:rFonts w:eastAsia="Calibri" w:cs="Times New Roman"/>
        </w:rPr>
        <w:t xml:space="preserve">In an Act or statutory instrument, a reference consisting of the words ‘Australian/New Zealand Standard' or ‘AS/NZS' followed by a number is a reference to the standard so numbered published jointly by or on behalf of Standards Australia and Standards New Zealand. </w:t>
      </w:r>
    </w:p>
    <w:p w:rsidR="006074ED" w:rsidRPr="00C64BEE" w:rsidRDefault="006074ED" w:rsidP="00405459">
      <w:pPr>
        <w:keepLines/>
        <w:tabs>
          <w:tab w:val="left" w:pos="810"/>
          <w:tab w:val="left" w:pos="1350"/>
        </w:tabs>
        <w:spacing w:after="60"/>
        <w:ind w:left="1354"/>
        <w:rPr>
          <w:rFonts w:eastAsia="Calibri" w:cs="Times New Roman"/>
          <w:b/>
          <w:sz w:val="20"/>
          <w:szCs w:val="20"/>
        </w:rPr>
      </w:pPr>
      <w:bookmarkStart w:id="173" w:name="arial"/>
      <w:bookmarkEnd w:id="173"/>
      <w:r w:rsidRPr="00C64BEE">
        <w:rPr>
          <w:rFonts w:eastAsia="Calibri" w:cs="Times New Roman"/>
          <w:b/>
          <w:sz w:val="20"/>
          <w:szCs w:val="20"/>
        </w:rPr>
        <w:t xml:space="preserve">Examples—s 164 </w:t>
      </w:r>
    </w:p>
    <w:p w:rsidR="006074ED" w:rsidRPr="00C64BEE" w:rsidRDefault="00405459" w:rsidP="007751E7">
      <w:pPr>
        <w:keepLines/>
        <w:tabs>
          <w:tab w:val="left" w:pos="810"/>
          <w:tab w:val="left" w:pos="1350"/>
        </w:tabs>
        <w:spacing w:before="60" w:after="60"/>
        <w:ind w:left="1800" w:hanging="1440"/>
        <w:rPr>
          <w:rFonts w:eastAsia="Calibri" w:cs="Times New Roman"/>
          <w:sz w:val="20"/>
          <w:szCs w:val="20"/>
        </w:rPr>
      </w:pPr>
      <w:r w:rsidRPr="00C64BEE">
        <w:rPr>
          <w:rFonts w:eastAsia="Calibri" w:cs="Times New Roman"/>
          <w:sz w:val="20"/>
          <w:szCs w:val="20"/>
        </w:rPr>
        <w:tab/>
      </w:r>
      <w:r w:rsidRPr="00C64BEE">
        <w:rPr>
          <w:rFonts w:eastAsia="Calibri" w:cs="Times New Roman"/>
          <w:sz w:val="20"/>
          <w:szCs w:val="20"/>
        </w:rPr>
        <w:tab/>
      </w:r>
      <w:r w:rsidR="006074ED" w:rsidRPr="00C64BEE">
        <w:rPr>
          <w:rFonts w:eastAsia="Calibri" w:cs="Times New Roman"/>
          <w:sz w:val="20"/>
          <w:szCs w:val="20"/>
        </w:rPr>
        <w:t>1</w:t>
      </w:r>
      <w:r w:rsidR="007751E7">
        <w:rPr>
          <w:rFonts w:eastAsia="Calibri" w:cs="Times New Roman"/>
          <w:sz w:val="20"/>
          <w:szCs w:val="20"/>
        </w:rPr>
        <w:tab/>
      </w:r>
      <w:r w:rsidR="006074ED" w:rsidRPr="00C64BEE">
        <w:rPr>
          <w:rFonts w:eastAsia="Calibri" w:cs="Times New Roman"/>
          <w:sz w:val="20"/>
          <w:szCs w:val="20"/>
        </w:rPr>
        <w:t xml:space="preserve">AS 4608-1999 </w:t>
      </w:r>
    </w:p>
    <w:p w:rsidR="006074ED" w:rsidRPr="00C64BEE" w:rsidRDefault="00405459" w:rsidP="007751E7">
      <w:pPr>
        <w:keepLines/>
        <w:tabs>
          <w:tab w:val="left" w:pos="810"/>
          <w:tab w:val="left" w:pos="1350"/>
        </w:tabs>
        <w:spacing w:before="60" w:after="60"/>
        <w:ind w:left="1800" w:hanging="1440"/>
        <w:rPr>
          <w:rFonts w:eastAsia="Calibri" w:cs="Times New Roman"/>
          <w:sz w:val="20"/>
          <w:szCs w:val="20"/>
        </w:rPr>
      </w:pPr>
      <w:r w:rsidRPr="00C64BEE">
        <w:rPr>
          <w:rFonts w:eastAsia="Calibri" w:cs="Times New Roman"/>
          <w:sz w:val="20"/>
          <w:szCs w:val="20"/>
        </w:rPr>
        <w:tab/>
      </w:r>
      <w:r w:rsidRPr="00C64BEE">
        <w:rPr>
          <w:rFonts w:eastAsia="Calibri" w:cs="Times New Roman"/>
          <w:sz w:val="20"/>
          <w:szCs w:val="20"/>
        </w:rPr>
        <w:tab/>
      </w:r>
      <w:r w:rsidR="006074ED" w:rsidRPr="00C64BEE">
        <w:rPr>
          <w:rFonts w:eastAsia="Calibri" w:cs="Times New Roman"/>
          <w:sz w:val="20"/>
          <w:szCs w:val="20"/>
        </w:rPr>
        <w:t>2</w:t>
      </w:r>
      <w:r w:rsidR="007751E7">
        <w:rPr>
          <w:rFonts w:eastAsia="Calibri" w:cs="Times New Roman"/>
          <w:sz w:val="20"/>
          <w:szCs w:val="20"/>
        </w:rPr>
        <w:tab/>
      </w:r>
      <w:r w:rsidR="006074ED" w:rsidRPr="00C64BEE">
        <w:rPr>
          <w:rFonts w:eastAsia="Calibri" w:cs="Times New Roman"/>
          <w:sz w:val="20"/>
          <w:szCs w:val="20"/>
        </w:rPr>
        <w:t xml:space="preserve">AS/NZS 4906: 1994 </w:t>
      </w:r>
    </w:p>
    <w:p w:rsidR="006074ED" w:rsidRPr="00C64BEE" w:rsidRDefault="00405459" w:rsidP="00E90FE6">
      <w:pPr>
        <w:keepLines/>
        <w:tabs>
          <w:tab w:val="left" w:pos="810"/>
          <w:tab w:val="left" w:pos="1350"/>
        </w:tabs>
        <w:spacing w:before="200" w:after="120"/>
        <w:ind w:left="2160" w:hanging="1800"/>
        <w:rPr>
          <w:rFonts w:eastAsia="Calibri" w:cs="Times New Roman"/>
          <w:sz w:val="20"/>
          <w:szCs w:val="20"/>
        </w:rPr>
      </w:pPr>
      <w:r w:rsidRPr="00C64BEE">
        <w:rPr>
          <w:rFonts w:eastAsia="Calibri" w:cs="Times New Roman"/>
          <w:sz w:val="20"/>
          <w:szCs w:val="20"/>
        </w:rPr>
        <w:tab/>
      </w:r>
      <w:r w:rsidRPr="00C64BEE">
        <w:rPr>
          <w:rFonts w:eastAsia="Calibri" w:cs="Times New Roman"/>
          <w:sz w:val="20"/>
          <w:szCs w:val="20"/>
        </w:rPr>
        <w:tab/>
      </w:r>
      <w:r w:rsidR="006074ED" w:rsidRPr="00C64BEE">
        <w:rPr>
          <w:rFonts w:eastAsia="Calibri" w:cs="Times New Roman"/>
          <w:i/>
          <w:sz w:val="20"/>
          <w:szCs w:val="20"/>
        </w:rPr>
        <w:t>Note</w:t>
      </w:r>
      <w:r w:rsidR="007751E7">
        <w:rPr>
          <w:rFonts w:eastAsia="Calibri" w:cs="Times New Roman"/>
          <w:sz w:val="20"/>
          <w:szCs w:val="20"/>
        </w:rPr>
        <w:tab/>
      </w:r>
      <w:r w:rsidR="006074ED" w:rsidRPr="00C64BEE">
        <w:rPr>
          <w:rFonts w:eastAsia="Calibri" w:cs="Times New Roman"/>
          <w:sz w:val="20"/>
          <w:szCs w:val="20"/>
        </w:rPr>
        <w:t xml:space="preserve">An example is part of the Act, is not exhaustive and may extend, but does not limit, the meaning of the provision in which it appears (see s 126 and s 132). </w:t>
      </w:r>
    </w:p>
    <w:p w:rsidR="006074ED" w:rsidRPr="00C64BEE" w:rsidRDefault="006074ED" w:rsidP="00E90FE6">
      <w:pPr>
        <w:keepLines/>
        <w:spacing w:before="200" w:after="120"/>
        <w:rPr>
          <w:rFonts w:eastAsia="Calibri" w:cs="Times New Roman"/>
        </w:rPr>
      </w:pPr>
      <w:r w:rsidRPr="00C64BEE">
        <w:rPr>
          <w:rFonts w:eastAsia="Calibri" w:cs="Times New Roman"/>
        </w:rPr>
        <w:t xml:space="preserve">It is not clear to the Committee how the ANCOLD Guidelines fit within the exemption provided by subsection 73(3) of the Utilities (Technical Regulation) Act.  The </w:t>
      </w:r>
      <w:hyperlink r:id="rId27" w:history="1">
        <w:r w:rsidRPr="007751E7">
          <w:rPr>
            <w:rStyle w:val="Hyperlink"/>
            <w:rFonts w:eastAsia="Calibri" w:cs="Times New Roman"/>
          </w:rPr>
          <w:t>ANCOLD website</w:t>
        </w:r>
      </w:hyperlink>
      <w:r w:rsidR="007751E7">
        <w:rPr>
          <w:rStyle w:val="FootnoteReference"/>
          <w:rFonts w:eastAsia="Calibri" w:cs="Times New Roman"/>
        </w:rPr>
        <w:footnoteReference w:id="4"/>
      </w:r>
      <w:r w:rsidRPr="00C64BEE">
        <w:rPr>
          <w:rFonts w:eastAsia="Calibri" w:cs="Times New Roman"/>
        </w:rPr>
        <w:t xml:space="preserve"> states:</w:t>
      </w:r>
    </w:p>
    <w:p w:rsidR="006074ED" w:rsidRPr="00C64BEE" w:rsidRDefault="006074ED" w:rsidP="00E90FE6">
      <w:pPr>
        <w:spacing w:before="200" w:after="120"/>
        <w:ind w:left="360"/>
        <w:rPr>
          <w:rFonts w:eastAsia="Calibri" w:cs="Times New Roman"/>
        </w:rPr>
      </w:pPr>
      <w:r w:rsidRPr="00C64BEE">
        <w:rPr>
          <w:rFonts w:eastAsia="Calibri" w:cs="Times New Roman"/>
        </w:rPr>
        <w:t>The Australian National Committee on Large Dams Incorporated (ANCOLD Inc) is an incorporated voluntary association of organisations and individual professionals with an interest in dams in Australia. ANCOLD was formed in 1937 as the Australian national committee of the International Commission on Large Dams (ICOLD), a non-government organisation established in 1928, and is one of 100 member countries.</w:t>
      </w:r>
    </w:p>
    <w:p w:rsidR="006074ED" w:rsidRPr="00C64BEE" w:rsidRDefault="006074ED" w:rsidP="00405459">
      <w:pPr>
        <w:keepLines/>
        <w:spacing w:after="120"/>
        <w:ind w:left="360"/>
        <w:rPr>
          <w:rFonts w:eastAsia="Calibri" w:cs="Times New Roman"/>
        </w:rPr>
      </w:pPr>
      <w:r w:rsidRPr="00C64BEE">
        <w:rPr>
          <w:rFonts w:eastAsia="Calibri" w:cs="Times New Roman"/>
        </w:rPr>
        <w:lastRenderedPageBreak/>
        <w:t>ANCOLD’s mission is to be the industry body, representing its Members and Associates, disseminating knowledge, developing capability and providing guidance in achieving excellence for all aspects of dam engineering, management and associated issues.</w:t>
      </w:r>
    </w:p>
    <w:p w:rsidR="006074ED" w:rsidRPr="00C64BEE" w:rsidRDefault="006074ED" w:rsidP="00DD4D13">
      <w:pPr>
        <w:keepLines/>
        <w:spacing w:after="120"/>
        <w:rPr>
          <w:rFonts w:eastAsia="Calibri" w:cs="Times New Roman"/>
        </w:rPr>
      </w:pPr>
      <w:r w:rsidRPr="00C64BEE">
        <w:rPr>
          <w:rFonts w:eastAsia="Calibri" w:cs="Times New Roman"/>
        </w:rPr>
        <w:t>This would seem to put the ANCOLD Guidelines outside of the definition of</w:t>
      </w:r>
      <w:r w:rsidR="00405459" w:rsidRPr="00C64BEE">
        <w:rPr>
          <w:rFonts w:eastAsia="Calibri" w:cs="Times New Roman"/>
        </w:rPr>
        <w:t xml:space="preserve"> AS and AS/NZS in section </w:t>
      </w:r>
      <w:r w:rsidRPr="00C64BEE">
        <w:rPr>
          <w:rFonts w:eastAsia="Calibri" w:cs="Times New Roman"/>
        </w:rPr>
        <w:t>164 of the Legislation Act, making the ANCOLD Guidelines a “notifiable instrument”, under subsection 47(5) of the Legislation Act.</w:t>
      </w:r>
    </w:p>
    <w:p w:rsidR="006074ED" w:rsidRPr="00C64BEE" w:rsidRDefault="006074ED" w:rsidP="00DD4D13">
      <w:pPr>
        <w:keepLines/>
        <w:spacing w:after="120"/>
        <w:rPr>
          <w:rFonts w:eastAsia="Calibri" w:cs="Times New Roman"/>
          <w:b/>
        </w:rPr>
      </w:pPr>
      <w:r w:rsidRPr="00C64BEE">
        <w:rPr>
          <w:rFonts w:eastAsia="Calibri" w:cs="Times New Roman"/>
          <w:b/>
        </w:rPr>
        <w:t xml:space="preserve">The Committee seeks the Minister’s advice in relation to the application of subsection 73(3) of the </w:t>
      </w:r>
      <w:r w:rsidRPr="00C64BEE">
        <w:rPr>
          <w:rFonts w:eastAsia="Calibri" w:cs="Times New Roman"/>
          <w:b/>
          <w:i/>
        </w:rPr>
        <w:t>Utilities (Technical Regulation) Act 2014</w:t>
      </w:r>
      <w:r w:rsidRPr="00C64BEE">
        <w:rPr>
          <w:rFonts w:eastAsia="Calibri" w:cs="Times New Roman"/>
          <w:b/>
        </w:rPr>
        <w:t xml:space="preserve"> to the ANCOLD Guidelines.</w:t>
      </w:r>
    </w:p>
    <w:p w:rsidR="006074ED" w:rsidRPr="00C64BEE" w:rsidRDefault="006074ED" w:rsidP="00DD4D13">
      <w:pPr>
        <w:keepLines/>
        <w:spacing w:after="120"/>
        <w:rPr>
          <w:rFonts w:eastAsia="Calibri" w:cs="Times New Roman"/>
          <w:b/>
        </w:rPr>
      </w:pPr>
      <w:r w:rsidRPr="00C64BEE">
        <w:rPr>
          <w:rFonts w:eastAsia="Calibri" w:cs="Times New Roman"/>
          <w:b/>
        </w:rPr>
        <w:t>The Committee draws the attention of the Legislative Assembly to this instrument, on the basis that is may not be in accord with the general objects of the Act under which it is made, contrary to principle (1)(a) of the Committee’s terms of reference.</w:t>
      </w:r>
    </w:p>
    <w:p w:rsidR="006074ED" w:rsidRPr="00C64BEE" w:rsidRDefault="006074ED" w:rsidP="00DD4D13">
      <w:pPr>
        <w:keepLines/>
        <w:spacing w:after="120"/>
        <w:rPr>
          <w:rFonts w:eastAsia="Calibri" w:cs="Times New Roman"/>
          <w:b/>
        </w:rPr>
      </w:pPr>
      <w:r w:rsidRPr="00C64BEE">
        <w:rPr>
          <w:rFonts w:eastAsia="Calibri" w:cs="Times New Roman"/>
          <w:b/>
        </w:rPr>
        <w:t xml:space="preserve">This comment requires a response from the Minister. </w:t>
      </w:r>
    </w:p>
    <w:p w:rsidR="006074ED" w:rsidRPr="00C64BEE" w:rsidRDefault="006074ED" w:rsidP="00405459">
      <w:pPr>
        <w:pStyle w:val="Heading4"/>
        <w:rPr>
          <w:rFonts w:asciiTheme="minorHAnsi" w:eastAsia="Times New Roman" w:hAnsiTheme="minorHAnsi"/>
          <w:b w:val="0"/>
          <w:i/>
          <w:sz w:val="22"/>
          <w:lang w:eastAsia="en-AU"/>
        </w:rPr>
      </w:pPr>
      <w:bookmarkStart w:id="174" w:name="_Toc521054326"/>
      <w:bookmarkStart w:id="175" w:name="_Toc521054398"/>
      <w:r w:rsidRPr="00C64BEE">
        <w:rPr>
          <w:rFonts w:asciiTheme="minorHAnsi" w:eastAsia="Times New Roman" w:hAnsiTheme="minorHAnsi"/>
          <w:b w:val="0"/>
          <w:i/>
          <w:sz w:val="22"/>
          <w:lang w:eastAsia="en-AU"/>
        </w:rPr>
        <w:t>Reliance on Australian Standards – Positive comment</w:t>
      </w:r>
      <w:bookmarkEnd w:id="174"/>
      <w:bookmarkEnd w:id="175"/>
    </w:p>
    <w:p w:rsidR="006074ED" w:rsidRPr="00C64BEE" w:rsidRDefault="006074ED" w:rsidP="00405459">
      <w:pPr>
        <w:pStyle w:val="ListParagraph"/>
        <w:spacing w:before="180"/>
        <w:ind w:left="0"/>
        <w:rPr>
          <w:b/>
          <w:spacing w:val="-2"/>
        </w:rPr>
      </w:pPr>
      <w:r w:rsidRPr="00C64BEE">
        <w:rPr>
          <w:b/>
          <w:spacing w:val="-2"/>
        </w:rPr>
        <w:t xml:space="preserve">Disallowable Instrument DI2018-207 being the Utilities (Technical Regulation) (Electricity </w:t>
      </w:r>
      <w:proofErr w:type="spellStart"/>
      <w:r w:rsidRPr="00C64BEE">
        <w:rPr>
          <w:b/>
          <w:spacing w:val="-2"/>
        </w:rPr>
        <w:t>Powerline</w:t>
      </w:r>
      <w:proofErr w:type="spellEnd"/>
      <w:r w:rsidRPr="00C64BEE">
        <w:rPr>
          <w:b/>
          <w:spacing w:val="-2"/>
        </w:rPr>
        <w:t xml:space="preserve"> Vegetation Management Code) Approval 2018, including a regulatory impact statement made under section 14 of the </w:t>
      </w:r>
      <w:r w:rsidRPr="00C64BEE">
        <w:rPr>
          <w:i/>
          <w:spacing w:val="-2"/>
        </w:rPr>
        <w:t>Utilities (Technical Regulation) Act 2014</w:t>
      </w:r>
      <w:r w:rsidRPr="00C64BEE">
        <w:rPr>
          <w:b/>
          <w:spacing w:val="-2"/>
        </w:rPr>
        <w:t xml:space="preserve"> approves the ACT Electricity </w:t>
      </w:r>
      <w:proofErr w:type="spellStart"/>
      <w:r w:rsidRPr="00C64BEE">
        <w:rPr>
          <w:b/>
          <w:spacing w:val="-2"/>
        </w:rPr>
        <w:t>Powerline</w:t>
      </w:r>
      <w:proofErr w:type="spellEnd"/>
      <w:r w:rsidRPr="00C64BEE">
        <w:rPr>
          <w:b/>
          <w:spacing w:val="-2"/>
        </w:rPr>
        <w:t xml:space="preserve"> Vegetation Management Code 2018.</w:t>
      </w:r>
    </w:p>
    <w:p w:rsidR="006074ED" w:rsidRPr="00C64BEE" w:rsidRDefault="006074ED" w:rsidP="00DD4D13">
      <w:pPr>
        <w:keepLines/>
        <w:spacing w:after="120"/>
        <w:rPr>
          <w:rFonts w:eastAsia="Calibri" w:cs="Times New Roman"/>
        </w:rPr>
      </w:pPr>
      <w:r w:rsidRPr="00C64BEE">
        <w:rPr>
          <w:rFonts w:eastAsia="Calibri" w:cs="Times New Roman"/>
        </w:rPr>
        <w:t xml:space="preserve">The Committee notes that the technical code approved by this instrument, under section 14 of the </w:t>
      </w:r>
      <w:r w:rsidRPr="00C64BEE">
        <w:rPr>
          <w:rFonts w:eastAsia="Calibri" w:cs="Times New Roman"/>
          <w:i/>
        </w:rPr>
        <w:t>Utilities (Technical Regulation) Act 2014</w:t>
      </w:r>
      <w:r w:rsidRPr="00C64BEE">
        <w:rPr>
          <w:rFonts w:eastAsia="Calibri" w:cs="Times New Roman"/>
        </w:rPr>
        <w:t>, indicates that it relies on Australian Standards.  These standards are generally only available to users of the legislation on payment of a not-insubstantial fee (to SAI Global, which publishes such standards).  However, the Committee notes with approval that section 4 of this instrument provides:</w:t>
      </w:r>
    </w:p>
    <w:p w:rsidR="006074ED" w:rsidRPr="00C64BEE" w:rsidRDefault="00EC220B" w:rsidP="00583FA9">
      <w:pPr>
        <w:keepLines/>
        <w:spacing w:after="120"/>
        <w:ind w:left="900" w:hanging="540"/>
        <w:rPr>
          <w:rFonts w:eastAsia="Calibri" w:cs="Times New Roman"/>
          <w:b/>
        </w:rPr>
      </w:pPr>
      <w:r>
        <w:rPr>
          <w:rFonts w:eastAsia="Calibri" w:cs="Times New Roman"/>
          <w:b/>
        </w:rPr>
        <w:t>4</w:t>
      </w:r>
      <w:r w:rsidR="00583FA9" w:rsidRPr="00C64BEE">
        <w:rPr>
          <w:rFonts w:eastAsia="Calibri" w:cs="Times New Roman"/>
          <w:b/>
        </w:rPr>
        <w:tab/>
      </w:r>
      <w:r w:rsidR="006074ED" w:rsidRPr="00C64BEE">
        <w:rPr>
          <w:rFonts w:eastAsia="Calibri" w:cs="Times New Roman"/>
          <w:b/>
        </w:rPr>
        <w:t>Public access</w:t>
      </w:r>
    </w:p>
    <w:p w:rsidR="006074ED" w:rsidRPr="00C64BEE" w:rsidRDefault="006074ED" w:rsidP="00583FA9">
      <w:pPr>
        <w:keepLines/>
        <w:spacing w:after="120"/>
        <w:ind w:left="900"/>
        <w:rPr>
          <w:rFonts w:eastAsia="Calibri" w:cs="Times New Roman"/>
        </w:rPr>
      </w:pPr>
      <w:r w:rsidRPr="00C64BEE">
        <w:rPr>
          <w:rFonts w:eastAsia="Calibri" w:cs="Times New Roman"/>
        </w:rPr>
        <w:t xml:space="preserve">The Code is available for inspection upon request by the </w:t>
      </w:r>
      <w:r w:rsidR="00583FA9" w:rsidRPr="00C64BEE">
        <w:rPr>
          <w:rFonts w:eastAsia="Calibri" w:cs="Times New Roman"/>
        </w:rPr>
        <w:t>public between 8:30 am and 4:30 </w:t>
      </w:r>
      <w:r w:rsidRPr="00C64BEE">
        <w:rPr>
          <w:rFonts w:eastAsia="Calibri" w:cs="Times New Roman"/>
        </w:rPr>
        <w:t xml:space="preserve">pm, from Monday to Friday except for public holidays, at Access Canberra, South Building, Dame Pattie Menzies House, 16 Challis Street Dickson ACT. </w:t>
      </w:r>
      <w:r w:rsidRPr="00C64BEE">
        <w:rPr>
          <w:rFonts w:eastAsia="Calibri" w:cs="Times New Roman"/>
          <w:b/>
        </w:rPr>
        <w:t>Copies of the Australian Standards incorporated in the Code can also be made available upon request</w:t>
      </w:r>
      <w:r w:rsidRPr="00C64BEE">
        <w:rPr>
          <w:rFonts w:eastAsia="Calibri" w:cs="Times New Roman"/>
        </w:rPr>
        <w:t xml:space="preserve">. </w:t>
      </w:r>
    </w:p>
    <w:p w:rsidR="006074ED" w:rsidRPr="00C64BEE" w:rsidRDefault="006074ED" w:rsidP="00583FA9">
      <w:pPr>
        <w:keepLines/>
        <w:spacing w:after="120"/>
        <w:ind w:left="900"/>
        <w:rPr>
          <w:rFonts w:eastAsia="Calibri" w:cs="Times New Roman"/>
        </w:rPr>
      </w:pPr>
      <w:r w:rsidRPr="00C64BEE">
        <w:rPr>
          <w:rFonts w:eastAsia="Calibri" w:cs="Times New Roman"/>
        </w:rPr>
        <w:t xml:space="preserve">Electronic copies of the Code are available on the Access Canberra website at </w:t>
      </w:r>
      <w:hyperlink r:id="rId28" w:history="1">
        <w:r w:rsidRPr="00EC220B">
          <w:rPr>
            <w:rFonts w:eastAsia="Calibri" w:cs="Times New Roman"/>
            <w:color w:val="0000CC"/>
            <w:u w:val="single"/>
          </w:rPr>
          <w:t>https://www.accesscanberra.act.gov.au/app/answers/detail/a_id/2203/~/waterand-energy-utilities-technical-regulation</w:t>
        </w:r>
      </w:hyperlink>
      <w:r w:rsidR="00583FA9" w:rsidRPr="00C64BEE">
        <w:rPr>
          <w:rFonts w:eastAsia="Calibri" w:cs="Times New Roman"/>
        </w:rPr>
        <w:t xml:space="preserve">. </w:t>
      </w:r>
      <w:r w:rsidRPr="00C64BEE">
        <w:rPr>
          <w:rFonts w:eastAsia="Calibri" w:cs="Times New Roman"/>
        </w:rPr>
        <w:t>No charge will apply</w:t>
      </w:r>
      <w:r w:rsidR="00583FA9" w:rsidRPr="00C64BEE">
        <w:rPr>
          <w:rFonts w:eastAsia="Calibri" w:cs="Times New Roman"/>
        </w:rPr>
        <w:t xml:space="preserve">. </w:t>
      </w:r>
      <w:r w:rsidRPr="00C64BEE">
        <w:rPr>
          <w:rFonts w:eastAsia="Calibri" w:cs="Times New Roman"/>
        </w:rPr>
        <w:t>[</w:t>
      </w:r>
      <w:proofErr w:type="gramStart"/>
      <w:r w:rsidRPr="00C64BEE">
        <w:rPr>
          <w:rFonts w:eastAsia="Calibri" w:cs="Times New Roman"/>
        </w:rPr>
        <w:t>emphasis</w:t>
      </w:r>
      <w:proofErr w:type="gramEnd"/>
      <w:r w:rsidRPr="00C64BEE">
        <w:rPr>
          <w:rFonts w:eastAsia="Calibri" w:cs="Times New Roman"/>
        </w:rPr>
        <w:t xml:space="preserve"> added]</w:t>
      </w:r>
    </w:p>
    <w:p w:rsidR="006074ED" w:rsidRPr="00C64BEE" w:rsidRDefault="006074ED" w:rsidP="00DD4D13">
      <w:pPr>
        <w:keepLines/>
        <w:spacing w:after="120"/>
        <w:rPr>
          <w:rFonts w:eastAsia="Calibri" w:cs="Times New Roman"/>
        </w:rPr>
      </w:pPr>
      <w:r w:rsidRPr="00C64BEE">
        <w:rPr>
          <w:rFonts w:eastAsia="Calibri" w:cs="Times New Roman"/>
        </w:rPr>
        <w:t>The Committee notes that this mechanism facilitates (free) public access to all the material relevant to an understanding of the technical code that is approved by the instrument.  The Committee commends this approach to other agencies.</w:t>
      </w:r>
    </w:p>
    <w:p w:rsidR="006074ED" w:rsidRPr="00C64BEE" w:rsidRDefault="006074ED" w:rsidP="00DD4D13">
      <w:pPr>
        <w:keepLines/>
        <w:spacing w:after="120"/>
        <w:rPr>
          <w:rFonts w:eastAsia="Calibri" w:cs="Times New Roman"/>
          <w:b/>
        </w:rPr>
      </w:pPr>
      <w:r w:rsidRPr="00C64BEE">
        <w:rPr>
          <w:rFonts w:eastAsia="Calibri" w:cs="Times New Roman"/>
          <w:b/>
        </w:rPr>
        <w:t xml:space="preserve">This comment does not require a response from the Minister. </w:t>
      </w:r>
    </w:p>
    <w:p w:rsidR="006074ED" w:rsidRPr="00C64BEE" w:rsidRDefault="006074ED" w:rsidP="00583FA9">
      <w:pPr>
        <w:pStyle w:val="Heading4"/>
        <w:rPr>
          <w:rFonts w:asciiTheme="minorHAnsi" w:eastAsia="Times New Roman" w:hAnsiTheme="minorHAnsi"/>
          <w:b w:val="0"/>
          <w:i/>
          <w:sz w:val="22"/>
          <w:lang w:eastAsia="en-AU"/>
        </w:rPr>
      </w:pPr>
      <w:bookmarkStart w:id="176" w:name="_Toc521054327"/>
      <w:bookmarkStart w:id="177" w:name="_Toc521054399"/>
      <w:r w:rsidRPr="00C64BEE">
        <w:rPr>
          <w:rFonts w:asciiTheme="minorHAnsi" w:eastAsia="Times New Roman" w:hAnsiTheme="minorHAnsi"/>
          <w:b w:val="0"/>
          <w:i/>
          <w:sz w:val="22"/>
          <w:lang w:eastAsia="en-AU"/>
        </w:rPr>
        <w:t>Human rights issues</w:t>
      </w:r>
      <w:bookmarkEnd w:id="176"/>
      <w:bookmarkEnd w:id="177"/>
    </w:p>
    <w:p w:rsidR="006074ED" w:rsidRPr="00C64BEE" w:rsidRDefault="006074ED" w:rsidP="00583FA9">
      <w:pPr>
        <w:pStyle w:val="ListParagraph"/>
        <w:spacing w:before="180"/>
        <w:ind w:left="0"/>
        <w:rPr>
          <w:b/>
          <w:spacing w:val="-2"/>
        </w:rPr>
      </w:pPr>
      <w:r w:rsidRPr="00C64BEE">
        <w:rPr>
          <w:b/>
          <w:spacing w:val="-2"/>
        </w:rPr>
        <w:t xml:space="preserve">Disallowable Instrument DI2018-216 being the Road Transport (Public Passenger Services) Taxi Licence Waiting List Exemption 2018 made under section 127 of the </w:t>
      </w:r>
      <w:r w:rsidRPr="00C64BEE">
        <w:rPr>
          <w:i/>
          <w:spacing w:val="-2"/>
        </w:rPr>
        <w:t>Road Transport (Public Passenger Services) Act 2001</w:t>
      </w:r>
      <w:r w:rsidRPr="00C64BEE">
        <w:rPr>
          <w:b/>
          <w:spacing w:val="-2"/>
        </w:rPr>
        <w:t xml:space="preserve"> approves exemptions from taxi licence waiting list requirements for the purposes of the Act. </w:t>
      </w:r>
    </w:p>
    <w:p w:rsidR="006074ED" w:rsidRPr="00C64BEE" w:rsidRDefault="006074ED" w:rsidP="00583FA9">
      <w:pPr>
        <w:keepLines/>
        <w:spacing w:after="120"/>
        <w:rPr>
          <w:rFonts w:eastAsia="Calibri" w:cs="Times New Roman"/>
        </w:rPr>
      </w:pPr>
      <w:r w:rsidRPr="00C64BEE">
        <w:rPr>
          <w:rFonts w:eastAsia="Calibri" w:cs="Times New Roman"/>
        </w:rPr>
        <w:lastRenderedPageBreak/>
        <w:t xml:space="preserve">This instrument, made under section 127 of the </w:t>
      </w:r>
      <w:r w:rsidRPr="00C64BEE">
        <w:rPr>
          <w:rFonts w:eastAsia="Calibri" w:cs="Times New Roman"/>
          <w:i/>
        </w:rPr>
        <w:t>Road Transport (Public Passenger Services) Act 2001</w:t>
      </w:r>
      <w:r w:rsidRPr="00C64BEE">
        <w:rPr>
          <w:rFonts w:eastAsia="Calibri" w:cs="Times New Roman"/>
        </w:rPr>
        <w:t>, provides for certain exemptions from the operation of the Road Transport (Public Passenger Services) Act.  In particular, it exempts (until 7 August 2019):</w:t>
      </w:r>
    </w:p>
    <w:p w:rsidR="006074ED" w:rsidRPr="00C64BEE" w:rsidRDefault="006074ED" w:rsidP="00583FA9">
      <w:pPr>
        <w:pStyle w:val="ListParagraph"/>
        <w:keepLines/>
        <w:numPr>
          <w:ilvl w:val="1"/>
          <w:numId w:val="11"/>
        </w:numPr>
        <w:spacing w:after="120"/>
        <w:ind w:left="450" w:hanging="450"/>
        <w:rPr>
          <w:rFonts w:eastAsia="Calibri" w:cs="Times New Roman"/>
        </w:rPr>
      </w:pPr>
      <w:r w:rsidRPr="00C64BEE">
        <w:rPr>
          <w:rFonts w:eastAsia="Calibri" w:cs="Times New Roman"/>
        </w:rPr>
        <w:t>the road transport authority from its obligation to remove a pre-approval holder from the taxi licence waiting list under subparagraph 84(4)(a)(</w:t>
      </w:r>
      <w:proofErr w:type="spellStart"/>
      <w:r w:rsidRPr="00C64BEE">
        <w:rPr>
          <w:rFonts w:eastAsia="Calibri" w:cs="Times New Roman"/>
        </w:rPr>
        <w:t>i</w:t>
      </w:r>
      <w:proofErr w:type="spellEnd"/>
      <w:r w:rsidRPr="00C64BEE">
        <w:rPr>
          <w:rFonts w:eastAsia="Calibri" w:cs="Times New Roman"/>
        </w:rPr>
        <w:t>) of the Road Transport (Public Passenger Services) Regulation 2002; and</w:t>
      </w:r>
    </w:p>
    <w:p w:rsidR="006074ED" w:rsidRPr="00C64BEE" w:rsidRDefault="006074ED" w:rsidP="007E6BA0">
      <w:pPr>
        <w:pStyle w:val="ListParagraph"/>
        <w:keepLines/>
        <w:numPr>
          <w:ilvl w:val="1"/>
          <w:numId w:val="11"/>
        </w:numPr>
        <w:spacing w:after="120"/>
        <w:ind w:left="446" w:hanging="446"/>
        <w:contextualSpacing w:val="0"/>
        <w:rPr>
          <w:rFonts w:eastAsia="Calibri" w:cs="Times New Roman"/>
        </w:rPr>
      </w:pPr>
      <w:r w:rsidRPr="00C64BEE">
        <w:rPr>
          <w:rFonts w:eastAsia="Calibri" w:cs="Times New Roman"/>
        </w:rPr>
        <w:t>an existing pre-approval holder from the requirement to make an application for pre-approval under section 85 of the Road Transport (Public Passenger Services) Regulation 2002, on expiry of the term of their existing pre-approval.</w:t>
      </w:r>
    </w:p>
    <w:bookmarkEnd w:id="155"/>
    <w:bookmarkEnd w:id="156"/>
    <w:p w:rsidR="006074ED" w:rsidRPr="00C64BEE" w:rsidRDefault="006074ED"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The effect of the exemption mentioned in paragraph (a) above is to allow the road transport authority to keep a “pre-approval holder” (which is defined in the instrument) on the “taxi licence waiting list” (which is a list of pre-approval holders).</w:t>
      </w:r>
      <w:r w:rsidRPr="00C64BEE">
        <w:rPr>
          <w:rFonts w:eastAsia="Times New Roman" w:cs="Times New Roman"/>
          <w:sz w:val="24"/>
          <w:szCs w:val="24"/>
          <w:lang w:eastAsia="en-AU"/>
        </w:rPr>
        <w:t xml:space="preserve">  </w:t>
      </w:r>
      <w:r w:rsidRPr="00C64BEE">
        <w:rPr>
          <w:rFonts w:eastAsia="Times New Roman" w:cs="Calibri"/>
          <w:color w:val="000000"/>
          <w:lang w:eastAsia="en-AU"/>
        </w:rPr>
        <w:t>Subparagraph 84(4</w:t>
      </w:r>
      <w:proofErr w:type="gramStart"/>
      <w:r w:rsidRPr="00C64BEE">
        <w:rPr>
          <w:rFonts w:eastAsia="Times New Roman" w:cs="Calibri"/>
          <w:color w:val="000000"/>
          <w:lang w:eastAsia="en-AU"/>
        </w:rPr>
        <w:t>)(</w:t>
      </w:r>
      <w:proofErr w:type="gramEnd"/>
      <w:r w:rsidRPr="00C64BEE">
        <w:rPr>
          <w:rFonts w:eastAsia="Times New Roman" w:cs="Calibri"/>
          <w:color w:val="000000"/>
          <w:lang w:eastAsia="en-AU"/>
        </w:rPr>
        <w:t>a)(</w:t>
      </w:r>
      <w:proofErr w:type="spellStart"/>
      <w:r w:rsidRPr="00C64BEE">
        <w:rPr>
          <w:rFonts w:eastAsia="Times New Roman" w:cs="Calibri"/>
          <w:color w:val="000000"/>
          <w:lang w:eastAsia="en-AU"/>
        </w:rPr>
        <w:t>i</w:t>
      </w:r>
      <w:proofErr w:type="spellEnd"/>
      <w:r w:rsidRPr="00C64BEE">
        <w:rPr>
          <w:rFonts w:eastAsia="Times New Roman" w:cs="Calibri"/>
          <w:color w:val="000000"/>
          <w:lang w:eastAsia="en-AU"/>
        </w:rPr>
        <w:t>) would otherwise require the road transport authority to remove a pre-approval holder from the taxi licence waiting list on the expiration of the person’s pre-approval term, as defined in subsection 88(2) of the Road Transport (Public Passenger Services) Regulation, which provides that a pre-approval expires 2 years after the day it is issued.</w:t>
      </w:r>
    </w:p>
    <w:p w:rsidR="006074ED" w:rsidRPr="00C64BEE" w:rsidRDefault="006074ED"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The effect of the exemption mentioned in paragraph (b) above is to exempt an existing pre-approval holder from the requirement to re-apply, if the person’s pre-approval term ends and they are still on the taxi licence waiting list</w:t>
      </w:r>
    </w:p>
    <w:p w:rsidR="006074ED" w:rsidRPr="00C64BEE" w:rsidRDefault="006074ED"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By way of background, the explanatory statement for the instrument states:</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In 2015 the ACT Government undertook a review of the ACT taxi industry to examine the possible use of new technologies and how to reduce unnecessary regulation in the local taxi industry. The resulting reforms acknowledged the evolving nature of the ACT taxi industry and new business models providing on-demand transport. The ACT Government committed to evaluating the 2015 reforms two years after implementation. This evaluation commenced in 2017 and is in the process of being finalised and recommendations put to the Government.  The 2015 reforms saw the introduction of the waiting list process for issuing taxi licences. Prior to this an ad hoc ballot system existed. The intention was that the waiting list would increase certainty for applicants by enabling the supply of taxis to be consistent and lower the wait-time.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The current waiting list process commenced on 1 August 2016 and operates so that once an eligible applicant is pre-approved for a taxi licence they are placed on the waiting list in the order that pre-approval is granted. Pre-approvals come into force on the date of issue and expire two years after that date. </w:t>
      </w:r>
      <w:proofErr w:type="gramStart"/>
      <w:r w:rsidRPr="00C64BEE">
        <w:rPr>
          <w:rFonts w:eastAsia="Times New Roman" w:cs="Calibri"/>
          <w:color w:val="000000"/>
          <w:lang w:eastAsia="en-AU"/>
        </w:rPr>
        <w:t>When a single licence is issued to a person with pre-approval for multiple licences, the pre-approval holder moves to the bottom of the waiting list for further licences.</w:t>
      </w:r>
      <w:proofErr w:type="gramEnd"/>
      <w:r w:rsidRPr="00C64BEE">
        <w:rPr>
          <w:rFonts w:eastAsia="Times New Roman" w:cs="Calibri"/>
          <w:color w:val="000000"/>
          <w:lang w:eastAsia="en-AU"/>
        </w:rPr>
        <w:t xml:space="preserve"> This is to permit opportunities for different parties to obtain licences. When a licence becomes available the road transport authority must offer it to the next person on the waiting list. The person then has 14 days to apply for the available licence. If they apply for a licence and are only approved for one licence, their pre-approval expires. If they are pre-approved for multiple licences, the number of licences for which they are pre-approved is reduced by one and they are moved to the bottom of the waiting list. If they do not apply and are only approved for one licence, their pre-approval expires. If the person does not apply and they are pre-approved for multiple licences then they are moved to the bottom of the waiting list.</w:t>
      </w:r>
    </w:p>
    <w:p w:rsidR="006074ED" w:rsidRPr="00C64BEE" w:rsidRDefault="006074ED"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Section 4 of the instrument is the substantive provision for the operation of the instrument.  By way of explanation of section 4, the explanatory statement for the instrument states:</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lastRenderedPageBreak/>
        <w:t>Clause 4 exempts existing pre-approval holders from the requirement to apply for pre-approval on expiry of the term of their current pre-approval for the term of this exemption. It also exempts the road transport authority from the requirement to remove a pre-approval holder from the waiting list if the pre-approval term expires. This means that a pre-approval holder who is currently on the waiting list will maintain their position on the waiting list until this instrument expires. That is any existing pre-approval holders whose approval term expires during the term of this instrument will not lose their position on the waiting list. The term of all existing pre-approvals are being extended for the duration of this instrument.</w:t>
      </w:r>
    </w:p>
    <w:p w:rsidR="006074ED" w:rsidRPr="00C64BEE" w:rsidRDefault="006074ED"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The explanatory statement for the instrument then goes on to discuss (in detail) the human rights implications of the instrument.  It states:</w:t>
      </w:r>
    </w:p>
    <w:p w:rsidR="006074ED" w:rsidRPr="00C64BEE" w:rsidRDefault="006074ED" w:rsidP="00583FA9">
      <w:pPr>
        <w:widowControl w:val="0"/>
        <w:tabs>
          <w:tab w:val="left" w:pos="1276"/>
        </w:tabs>
        <w:spacing w:after="120"/>
        <w:ind w:left="360"/>
        <w:rPr>
          <w:rFonts w:eastAsia="Times New Roman" w:cs="Calibri"/>
          <w:color w:val="000000"/>
          <w:sz w:val="26"/>
          <w:szCs w:val="26"/>
          <w:lang w:eastAsia="en-AU"/>
        </w:rPr>
      </w:pPr>
      <w:r w:rsidRPr="00C64BEE">
        <w:rPr>
          <w:rFonts w:eastAsia="Times New Roman" w:cs="Calibri"/>
          <w:b/>
          <w:color w:val="000000"/>
          <w:sz w:val="26"/>
          <w:szCs w:val="26"/>
          <w:lang w:eastAsia="en-AU"/>
        </w:rPr>
        <w:t>Human rights implications</w:t>
      </w:r>
      <w:r w:rsidRPr="00C64BEE">
        <w:rPr>
          <w:rFonts w:eastAsia="Times New Roman" w:cs="Calibri"/>
          <w:color w:val="000000"/>
          <w:sz w:val="26"/>
          <w:szCs w:val="26"/>
          <w:lang w:eastAsia="en-AU"/>
        </w:rPr>
        <w:t xml:space="preserve">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Section 28 of the HRA provides that human rights may be subject only to reasonable limits set by laws that can be demonstrably justified in a free and democratic society. Section 28 (2) of the HRA provides that in deciding whether a limit on a human right is reasonable, all relevant factors must be considered, including: </w:t>
      </w:r>
    </w:p>
    <w:p w:rsidR="006074ED" w:rsidRPr="00C64BEE" w:rsidRDefault="00583FA9" w:rsidP="00583FA9">
      <w:pPr>
        <w:widowControl w:val="0"/>
        <w:tabs>
          <w:tab w:val="left" w:pos="1276"/>
        </w:tabs>
        <w:spacing w:after="120"/>
        <w:ind w:left="720" w:hanging="360"/>
        <w:rPr>
          <w:rFonts w:eastAsia="Times New Roman" w:cs="Calibri"/>
          <w:color w:val="000000"/>
          <w:lang w:eastAsia="en-AU"/>
        </w:rPr>
      </w:pPr>
      <w:r w:rsidRPr="00C64BEE">
        <w:rPr>
          <w:rFonts w:eastAsia="Times New Roman" w:cs="Calibri"/>
          <w:color w:val="000000"/>
          <w:lang w:eastAsia="en-AU"/>
        </w:rPr>
        <w:t>(a)</w:t>
      </w:r>
      <w:r w:rsidRPr="00C64BEE">
        <w:rPr>
          <w:rFonts w:eastAsia="Times New Roman" w:cs="Calibri"/>
          <w:color w:val="000000"/>
          <w:lang w:eastAsia="en-AU"/>
        </w:rPr>
        <w:tab/>
      </w:r>
      <w:proofErr w:type="gramStart"/>
      <w:r w:rsidR="006074ED" w:rsidRPr="00C64BEE">
        <w:rPr>
          <w:rFonts w:eastAsia="Times New Roman" w:cs="Calibri"/>
          <w:color w:val="000000"/>
          <w:lang w:eastAsia="en-AU"/>
        </w:rPr>
        <w:t>the</w:t>
      </w:r>
      <w:proofErr w:type="gramEnd"/>
      <w:r w:rsidR="006074ED" w:rsidRPr="00C64BEE">
        <w:rPr>
          <w:rFonts w:eastAsia="Times New Roman" w:cs="Calibri"/>
          <w:color w:val="000000"/>
          <w:lang w:eastAsia="en-AU"/>
        </w:rPr>
        <w:t xml:space="preserve"> nature of the right affected </w:t>
      </w:r>
    </w:p>
    <w:p w:rsidR="006074ED" w:rsidRPr="00C64BEE" w:rsidRDefault="00583FA9" w:rsidP="00583FA9">
      <w:pPr>
        <w:widowControl w:val="0"/>
        <w:tabs>
          <w:tab w:val="left" w:pos="1276"/>
        </w:tabs>
        <w:spacing w:after="120"/>
        <w:ind w:left="720" w:hanging="360"/>
        <w:rPr>
          <w:rFonts w:eastAsia="Times New Roman" w:cs="Calibri"/>
          <w:color w:val="000000"/>
          <w:lang w:eastAsia="en-AU"/>
        </w:rPr>
      </w:pPr>
      <w:r w:rsidRPr="00C64BEE">
        <w:rPr>
          <w:rFonts w:eastAsia="Times New Roman" w:cs="Calibri"/>
          <w:color w:val="000000"/>
          <w:lang w:eastAsia="en-AU"/>
        </w:rPr>
        <w:t>(b)</w:t>
      </w:r>
      <w:r w:rsidRPr="00C64BEE">
        <w:rPr>
          <w:rFonts w:eastAsia="Times New Roman" w:cs="Calibri"/>
          <w:color w:val="000000"/>
          <w:lang w:eastAsia="en-AU"/>
        </w:rPr>
        <w:tab/>
      </w:r>
      <w:proofErr w:type="gramStart"/>
      <w:r w:rsidR="006074ED" w:rsidRPr="00C64BEE">
        <w:rPr>
          <w:rFonts w:eastAsia="Times New Roman" w:cs="Calibri"/>
          <w:color w:val="000000"/>
          <w:lang w:eastAsia="en-AU"/>
        </w:rPr>
        <w:t>the</w:t>
      </w:r>
      <w:proofErr w:type="gramEnd"/>
      <w:r w:rsidR="006074ED" w:rsidRPr="00C64BEE">
        <w:rPr>
          <w:rFonts w:eastAsia="Times New Roman" w:cs="Calibri"/>
          <w:color w:val="000000"/>
          <w:lang w:eastAsia="en-AU"/>
        </w:rPr>
        <w:t xml:space="preserve"> importance of the purpose of the limitation </w:t>
      </w:r>
    </w:p>
    <w:p w:rsidR="006074ED" w:rsidRPr="00C64BEE" w:rsidRDefault="00583FA9" w:rsidP="00583FA9">
      <w:pPr>
        <w:widowControl w:val="0"/>
        <w:tabs>
          <w:tab w:val="left" w:pos="1276"/>
        </w:tabs>
        <w:spacing w:after="120"/>
        <w:ind w:left="720" w:hanging="360"/>
        <w:rPr>
          <w:rFonts w:eastAsia="Times New Roman" w:cs="Calibri"/>
          <w:color w:val="000000"/>
          <w:lang w:eastAsia="en-AU"/>
        </w:rPr>
      </w:pPr>
      <w:r w:rsidRPr="00C64BEE">
        <w:rPr>
          <w:rFonts w:eastAsia="Times New Roman" w:cs="Calibri"/>
          <w:color w:val="000000"/>
          <w:lang w:eastAsia="en-AU"/>
        </w:rPr>
        <w:t>(c)</w:t>
      </w:r>
      <w:r w:rsidRPr="00C64BEE">
        <w:rPr>
          <w:rFonts w:eastAsia="Times New Roman" w:cs="Calibri"/>
          <w:color w:val="000000"/>
          <w:lang w:eastAsia="en-AU"/>
        </w:rPr>
        <w:tab/>
      </w:r>
      <w:proofErr w:type="gramStart"/>
      <w:r w:rsidR="006074ED" w:rsidRPr="00C64BEE">
        <w:rPr>
          <w:rFonts w:eastAsia="Times New Roman" w:cs="Calibri"/>
          <w:color w:val="000000"/>
          <w:lang w:eastAsia="en-AU"/>
        </w:rPr>
        <w:t>the</w:t>
      </w:r>
      <w:proofErr w:type="gramEnd"/>
      <w:r w:rsidR="006074ED" w:rsidRPr="00C64BEE">
        <w:rPr>
          <w:rFonts w:eastAsia="Times New Roman" w:cs="Calibri"/>
          <w:color w:val="000000"/>
          <w:lang w:eastAsia="en-AU"/>
        </w:rPr>
        <w:t xml:space="preserve"> nature and extent of the limitation </w:t>
      </w:r>
    </w:p>
    <w:p w:rsidR="006074ED" w:rsidRPr="00C64BEE" w:rsidRDefault="00583FA9" w:rsidP="00583FA9">
      <w:pPr>
        <w:widowControl w:val="0"/>
        <w:tabs>
          <w:tab w:val="left" w:pos="1276"/>
        </w:tabs>
        <w:spacing w:after="120"/>
        <w:ind w:left="720" w:hanging="360"/>
        <w:rPr>
          <w:rFonts w:eastAsia="Times New Roman" w:cs="Calibri"/>
          <w:color w:val="000000"/>
          <w:lang w:eastAsia="en-AU"/>
        </w:rPr>
      </w:pPr>
      <w:r w:rsidRPr="00C64BEE">
        <w:rPr>
          <w:rFonts w:eastAsia="Times New Roman" w:cs="Calibri"/>
          <w:color w:val="000000"/>
          <w:lang w:eastAsia="en-AU"/>
        </w:rPr>
        <w:t>(d)</w:t>
      </w:r>
      <w:r w:rsidRPr="00C64BEE">
        <w:rPr>
          <w:rFonts w:eastAsia="Times New Roman" w:cs="Calibri"/>
          <w:color w:val="000000"/>
          <w:lang w:eastAsia="en-AU"/>
        </w:rPr>
        <w:tab/>
      </w:r>
      <w:proofErr w:type="gramStart"/>
      <w:r w:rsidR="006074ED" w:rsidRPr="00C64BEE">
        <w:rPr>
          <w:rFonts w:eastAsia="Times New Roman" w:cs="Calibri"/>
          <w:color w:val="000000"/>
          <w:lang w:eastAsia="en-AU"/>
        </w:rPr>
        <w:t>the</w:t>
      </w:r>
      <w:proofErr w:type="gramEnd"/>
      <w:r w:rsidR="006074ED" w:rsidRPr="00C64BEE">
        <w:rPr>
          <w:rFonts w:eastAsia="Times New Roman" w:cs="Calibri"/>
          <w:color w:val="000000"/>
          <w:lang w:eastAsia="en-AU"/>
        </w:rPr>
        <w:t xml:space="preserve"> relationship between the limitation and its purpose </w:t>
      </w:r>
    </w:p>
    <w:p w:rsidR="006074ED" w:rsidRPr="00C64BEE" w:rsidRDefault="00583FA9" w:rsidP="00583FA9">
      <w:pPr>
        <w:widowControl w:val="0"/>
        <w:tabs>
          <w:tab w:val="left" w:pos="1276"/>
        </w:tabs>
        <w:spacing w:after="120"/>
        <w:ind w:left="720" w:hanging="360"/>
        <w:rPr>
          <w:rFonts w:eastAsia="Times New Roman" w:cs="Calibri"/>
          <w:color w:val="000000"/>
          <w:lang w:eastAsia="en-AU"/>
        </w:rPr>
      </w:pPr>
      <w:r w:rsidRPr="00C64BEE">
        <w:rPr>
          <w:rFonts w:eastAsia="Times New Roman" w:cs="Calibri"/>
          <w:color w:val="000000"/>
          <w:lang w:eastAsia="en-AU"/>
        </w:rPr>
        <w:t>(e)</w:t>
      </w:r>
      <w:r w:rsidRPr="00C64BEE">
        <w:rPr>
          <w:rFonts w:eastAsia="Times New Roman" w:cs="Calibri"/>
          <w:color w:val="000000"/>
          <w:lang w:eastAsia="en-AU"/>
        </w:rPr>
        <w:tab/>
      </w:r>
      <w:proofErr w:type="gramStart"/>
      <w:r w:rsidR="006074ED" w:rsidRPr="00C64BEE">
        <w:rPr>
          <w:rFonts w:eastAsia="Times New Roman" w:cs="Calibri"/>
          <w:color w:val="000000"/>
          <w:lang w:eastAsia="en-AU"/>
        </w:rPr>
        <w:t>any</w:t>
      </w:r>
      <w:proofErr w:type="gramEnd"/>
      <w:r w:rsidR="006074ED" w:rsidRPr="00C64BEE">
        <w:rPr>
          <w:rFonts w:eastAsia="Times New Roman" w:cs="Calibri"/>
          <w:color w:val="000000"/>
          <w:lang w:eastAsia="en-AU"/>
        </w:rPr>
        <w:t xml:space="preserve"> less restrictive means reasonably available to achieve the purpose the limitation seeks to achieve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An assessment of this instrument against section 28 of the HRA is provided below.    </w:t>
      </w:r>
    </w:p>
    <w:p w:rsidR="006074ED" w:rsidRPr="00C64BEE" w:rsidRDefault="006074ED" w:rsidP="00583FA9">
      <w:pPr>
        <w:widowControl w:val="0"/>
        <w:tabs>
          <w:tab w:val="left" w:pos="1276"/>
        </w:tabs>
        <w:spacing w:after="120"/>
        <w:ind w:left="360"/>
        <w:rPr>
          <w:rFonts w:eastAsia="Times New Roman" w:cs="Calibri"/>
          <w:b/>
          <w:i/>
          <w:color w:val="000000"/>
          <w:lang w:eastAsia="en-AU"/>
        </w:rPr>
      </w:pPr>
      <w:r w:rsidRPr="00C64BEE">
        <w:rPr>
          <w:rFonts w:eastAsia="Times New Roman" w:cs="Calibri"/>
          <w:b/>
          <w:i/>
          <w:color w:val="000000"/>
          <w:lang w:eastAsia="en-AU"/>
        </w:rPr>
        <w:t xml:space="preserve">Recognition and equality before the law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This instrument could be seen to be limiting a person’s right to recognition and equality before the law under section 8 of the </w:t>
      </w:r>
      <w:r w:rsidRPr="00C64BEE">
        <w:rPr>
          <w:rFonts w:eastAsia="Times New Roman" w:cs="Calibri"/>
          <w:i/>
          <w:color w:val="000000"/>
          <w:lang w:eastAsia="en-AU"/>
        </w:rPr>
        <w:t>Human Rights Act 2004</w:t>
      </w:r>
      <w:r w:rsidRPr="00C64BEE">
        <w:rPr>
          <w:rFonts w:eastAsia="Times New Roman" w:cs="Calibri"/>
          <w:color w:val="000000"/>
          <w:lang w:eastAsia="en-AU"/>
        </w:rPr>
        <w:t xml:space="preserve"> (HRA).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Section 8 of the HRA provides that everyone is entitled to equal and effective protection against discrimination, and to enjoy their human rights without discrimination. This means that laws, policies and programs should not be discriminatory and also that public authorities should not apply or enforce laws, policies and programs in a discriminatory way.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Section 8 can be engaged by activities that provide for the delivery of an entitlement or service to some groups but not others or where steps are taken to diminish or eliminate conditions that could have resulted in the specific groups within society being disadvantaged (positive discrimination).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i/>
          <w:color w:val="000000"/>
          <w:lang w:eastAsia="en-AU"/>
        </w:rPr>
        <w:t>Nature of the right affected</w:t>
      </w:r>
      <w:r w:rsidRPr="00C64BEE">
        <w:rPr>
          <w:rFonts w:eastAsia="Times New Roman" w:cs="Calibri"/>
          <w:color w:val="000000"/>
          <w:lang w:eastAsia="en-AU"/>
        </w:rPr>
        <w:t xml:space="preserve">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The regulatory settings for taxi licences in the ACT consist of a process where people can apply to be pre-approved for a licence and be placed on the waiting list waiting. </w:t>
      </w:r>
      <w:r w:rsidR="008375B2" w:rsidRPr="00C64BEE">
        <w:rPr>
          <w:rFonts w:eastAsia="Times New Roman" w:cs="Calibri"/>
          <w:color w:val="000000"/>
          <w:lang w:eastAsia="en-AU"/>
        </w:rPr>
        <w:t>[</w:t>
      </w:r>
      <w:proofErr w:type="gramStart"/>
      <w:r w:rsidR="008375B2" w:rsidRPr="00C64BEE">
        <w:rPr>
          <w:rFonts w:eastAsia="Times New Roman" w:cs="Calibri"/>
          <w:color w:val="000000"/>
          <w:lang w:eastAsia="en-AU"/>
        </w:rPr>
        <w:t>sic</w:t>
      </w:r>
      <w:proofErr w:type="gramEnd"/>
      <w:r w:rsidR="008375B2" w:rsidRPr="00C64BEE">
        <w:rPr>
          <w:rFonts w:eastAsia="Times New Roman" w:cs="Calibri"/>
          <w:color w:val="000000"/>
          <w:lang w:eastAsia="en-AU"/>
        </w:rPr>
        <w:t xml:space="preserve">] </w:t>
      </w:r>
      <w:r w:rsidRPr="00C64BEE">
        <w:rPr>
          <w:rFonts w:eastAsia="Times New Roman" w:cs="Calibri"/>
          <w:color w:val="000000"/>
          <w:lang w:eastAsia="en-AU"/>
        </w:rPr>
        <w:t xml:space="preserve">When taxi licences become available they are offered in order to people on the waiting list.  This instrument could be seen to engage this right through taking active steps to ensure that persons </w:t>
      </w:r>
      <w:r w:rsidRPr="00C64BEE">
        <w:rPr>
          <w:rFonts w:eastAsia="Times New Roman" w:cs="Calibri"/>
          <w:color w:val="000000"/>
          <w:lang w:eastAsia="en-AU"/>
        </w:rPr>
        <w:lastRenderedPageBreak/>
        <w:t xml:space="preserve">currently on the taxi licence waiting list are not disadvantaged by the existing waiting list process should a decision be made in the next 12 months to release more taxi licences. </w:t>
      </w:r>
    </w:p>
    <w:p w:rsidR="006074ED" w:rsidRPr="00C64BEE" w:rsidRDefault="006074ED" w:rsidP="00583FA9">
      <w:pPr>
        <w:widowControl w:val="0"/>
        <w:tabs>
          <w:tab w:val="left" w:pos="1276"/>
        </w:tabs>
        <w:spacing w:after="120"/>
        <w:ind w:left="360"/>
        <w:rPr>
          <w:rFonts w:eastAsia="Times New Roman" w:cs="Calibri"/>
          <w:i/>
          <w:color w:val="000000"/>
          <w:lang w:eastAsia="en-AU"/>
        </w:rPr>
      </w:pPr>
      <w:r w:rsidRPr="00C64BEE">
        <w:rPr>
          <w:rFonts w:eastAsia="Times New Roman" w:cs="Calibri"/>
          <w:i/>
          <w:color w:val="000000"/>
          <w:lang w:eastAsia="en-AU"/>
        </w:rPr>
        <w:t xml:space="preserve">The importance of the purpose of the limitation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In February 2017, the ACT Government lifted its freeze on the release of taxi licences. Twenty taxi licences have been made available to the market since the freeze was lifted. The release comprised 10 standard-taxi licences in March 2017, five wheelchair-accessible taxi licences in June 2017 and five standard taxi licences in September 2017. There has been no release since September 2017. There are currently 297 standard licences available to the market and 31 WAT licences. All available licences have been issued.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To ensure that those persons currently on the waiting list are not disadvantaged during finalisation of the current evaluation of the reforms, the ACT Government has decided to retain the existing waiting list order should additional licences be released in the near future. More than 95% of the current pre-approval terms are due to expire throughout August. </w:t>
      </w:r>
    </w:p>
    <w:p w:rsidR="006074ED" w:rsidRPr="00C64BEE" w:rsidRDefault="006074ED" w:rsidP="00583FA9">
      <w:pPr>
        <w:widowControl w:val="0"/>
        <w:tabs>
          <w:tab w:val="left" w:pos="1276"/>
        </w:tabs>
        <w:spacing w:after="120"/>
        <w:ind w:left="360"/>
        <w:rPr>
          <w:rFonts w:eastAsia="Times New Roman" w:cs="Calibri"/>
          <w:i/>
          <w:color w:val="000000"/>
          <w:lang w:eastAsia="en-AU"/>
        </w:rPr>
      </w:pPr>
      <w:r w:rsidRPr="00C64BEE">
        <w:rPr>
          <w:rFonts w:eastAsia="Times New Roman" w:cs="Calibri"/>
          <w:i/>
          <w:color w:val="000000"/>
          <w:lang w:eastAsia="en-AU"/>
        </w:rPr>
        <w:t xml:space="preserve">The nature and extent of the limitation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This instrument has been prepared to ensure that those people currently on the waiting list are not disproportionately impacted by decisions of the Government about availability of taxi licences. </w:t>
      </w:r>
    </w:p>
    <w:p w:rsidR="006074ED" w:rsidRPr="00C64BEE" w:rsidRDefault="006074ED" w:rsidP="00583FA9">
      <w:pPr>
        <w:widowControl w:val="0"/>
        <w:tabs>
          <w:tab w:val="left" w:pos="1276"/>
        </w:tabs>
        <w:spacing w:after="120"/>
        <w:ind w:left="360"/>
        <w:rPr>
          <w:rFonts w:eastAsia="Times New Roman" w:cs="Calibri"/>
          <w:i/>
          <w:color w:val="000000"/>
          <w:lang w:eastAsia="en-AU"/>
        </w:rPr>
      </w:pPr>
      <w:r w:rsidRPr="00C64BEE">
        <w:rPr>
          <w:rFonts w:eastAsia="Times New Roman" w:cs="Calibri"/>
          <w:i/>
          <w:color w:val="000000"/>
          <w:lang w:eastAsia="en-AU"/>
        </w:rPr>
        <w:t xml:space="preserve">The relationship between the limitation and its purpose </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There is no limit on the number of people that can be pre-approved and placed on the waiting list and therefore retaining the current list order does not put people who apply for pre-approval now or in the future at a disadvantage.   </w:t>
      </w:r>
    </w:p>
    <w:p w:rsidR="006074ED" w:rsidRPr="00C64BEE" w:rsidRDefault="006074ED" w:rsidP="00583FA9">
      <w:pPr>
        <w:widowControl w:val="0"/>
        <w:tabs>
          <w:tab w:val="left" w:pos="1276"/>
        </w:tabs>
        <w:spacing w:after="120"/>
        <w:ind w:left="360"/>
        <w:rPr>
          <w:rFonts w:eastAsia="Times New Roman" w:cs="Calibri"/>
          <w:i/>
          <w:color w:val="000000"/>
          <w:lang w:eastAsia="en-AU"/>
        </w:rPr>
      </w:pPr>
      <w:r w:rsidRPr="00C64BEE">
        <w:rPr>
          <w:rFonts w:eastAsia="Times New Roman" w:cs="Calibri"/>
          <w:i/>
          <w:color w:val="000000"/>
          <w:lang w:eastAsia="en-AU"/>
        </w:rPr>
        <w:t>Less restrictive means reasonably available to achieve this purpose</w:t>
      </w:r>
    </w:p>
    <w:p w:rsidR="006074ED" w:rsidRPr="00C64BEE" w:rsidRDefault="006074ED" w:rsidP="00583FA9">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It is not considered that there are any less restrictive means to achieve the purpose of maintaining the status of the existing waiting list. To allow the existing pre-approvals to expire and require these people to re-apply for approval and reset their position on the waiting list would impose additional administrative burden on these people, be unequitable and would not achieve the objectives of the waiting list process</w:t>
      </w:r>
      <w:r w:rsidR="008375B2" w:rsidRPr="00C64BEE">
        <w:rPr>
          <w:rFonts w:eastAsia="Times New Roman" w:cs="Calibri"/>
          <w:color w:val="000000"/>
          <w:lang w:eastAsia="en-AU"/>
        </w:rPr>
        <w:t>.</w:t>
      </w:r>
    </w:p>
    <w:p w:rsidR="006074ED" w:rsidRPr="00C64BEE" w:rsidRDefault="006074ED" w:rsidP="009F760C">
      <w:pPr>
        <w:widowControl w:val="0"/>
        <w:tabs>
          <w:tab w:val="left" w:pos="1276"/>
        </w:tabs>
        <w:spacing w:after="120"/>
        <w:rPr>
          <w:rFonts w:eastAsia="Times New Roman" w:cs="Calibri"/>
          <w:b/>
          <w:color w:val="000000"/>
          <w:lang w:eastAsia="en-AU"/>
        </w:rPr>
      </w:pPr>
      <w:r w:rsidRPr="00C64BEE">
        <w:rPr>
          <w:rFonts w:eastAsia="Times New Roman" w:cs="Calibri"/>
          <w:b/>
          <w:color w:val="000000"/>
          <w:lang w:eastAsia="en-AU"/>
        </w:rPr>
        <w:t>The Committee draws the attention of the Legislative Assembly to the discussion of human rights issues set out above.</w:t>
      </w:r>
    </w:p>
    <w:p w:rsidR="006074ED" w:rsidRPr="00C64BEE" w:rsidRDefault="006074ED" w:rsidP="009F760C">
      <w:pPr>
        <w:widowControl w:val="0"/>
        <w:tabs>
          <w:tab w:val="left" w:pos="1276"/>
        </w:tabs>
        <w:spacing w:after="120"/>
        <w:rPr>
          <w:rFonts w:eastAsia="Times New Roman" w:cs="Calibri"/>
          <w:b/>
          <w:color w:val="000000"/>
          <w:lang w:eastAsia="en-AU"/>
        </w:rPr>
      </w:pPr>
      <w:r w:rsidRPr="00C64BEE">
        <w:rPr>
          <w:rFonts w:eastAsia="Times New Roman" w:cs="Calibri"/>
          <w:b/>
          <w:color w:val="000000"/>
          <w:lang w:eastAsia="en-AU"/>
        </w:rPr>
        <w:t>This comment does not require a response from the Minister.</w:t>
      </w:r>
    </w:p>
    <w:p w:rsidR="00500866" w:rsidRPr="00C64BEE" w:rsidRDefault="00434745" w:rsidP="00AA3302">
      <w:pPr>
        <w:pStyle w:val="Heading3"/>
        <w:spacing w:before="360"/>
        <w:rPr>
          <w:rFonts w:asciiTheme="minorHAnsi" w:eastAsia="Calibri" w:hAnsiTheme="minorHAnsi"/>
          <w:lang w:eastAsia="en-AU"/>
        </w:rPr>
      </w:pPr>
      <w:bookmarkStart w:id="178" w:name="_Toc521054400"/>
      <w:r w:rsidRPr="00C64BEE">
        <w:rPr>
          <w:rFonts w:asciiTheme="minorHAnsi" w:eastAsia="Calibri" w:hAnsiTheme="minorHAnsi"/>
          <w:lang w:eastAsia="en-AU"/>
        </w:rPr>
        <w:t>Subordinate Law</w:t>
      </w:r>
      <w:r w:rsidR="00500866" w:rsidRPr="00C64BEE">
        <w:rPr>
          <w:rFonts w:asciiTheme="minorHAnsi" w:eastAsia="Calibri" w:hAnsiTheme="minorHAnsi"/>
          <w:lang w:eastAsia="en-AU"/>
        </w:rPr>
        <w:t>—No comment</w:t>
      </w:r>
      <w:bookmarkEnd w:id="178"/>
    </w:p>
    <w:p w:rsidR="00500866" w:rsidRPr="00C64BEE" w:rsidRDefault="00500866" w:rsidP="00FB54CE">
      <w:pPr>
        <w:keepNext/>
        <w:keepLines/>
        <w:rPr>
          <w:rFonts w:eastAsia="Calibri" w:cs="Times New Roman"/>
        </w:rPr>
      </w:pPr>
      <w:r w:rsidRPr="00C64BEE">
        <w:rPr>
          <w:rFonts w:eastAsia="Calibri" w:cs="Times New Roman"/>
        </w:rPr>
        <w:t xml:space="preserve">The Committee has examined the following </w:t>
      </w:r>
      <w:r w:rsidR="00434745" w:rsidRPr="00C64BEE">
        <w:rPr>
          <w:rFonts w:eastAsia="Calibri" w:cs="Times New Roman"/>
        </w:rPr>
        <w:t>subordinate law</w:t>
      </w:r>
      <w:r w:rsidRPr="00C64BEE">
        <w:rPr>
          <w:rFonts w:eastAsia="Calibri" w:cs="Times New Roman"/>
        </w:rPr>
        <w:t xml:space="preserve"> and offers no comments on </w:t>
      </w:r>
      <w:r w:rsidR="00434745" w:rsidRPr="00C64BEE">
        <w:rPr>
          <w:rFonts w:eastAsia="Calibri" w:cs="Times New Roman"/>
        </w:rPr>
        <w:t>it</w:t>
      </w:r>
      <w:r w:rsidRPr="00C64BEE">
        <w:rPr>
          <w:rFonts w:eastAsia="Calibri" w:cs="Times New Roman"/>
        </w:rPr>
        <w:t>:</w:t>
      </w:r>
    </w:p>
    <w:p w:rsidR="00434745" w:rsidRPr="00C64BEE" w:rsidRDefault="00434745" w:rsidP="008375B2">
      <w:pPr>
        <w:pStyle w:val="ListParagraph"/>
        <w:spacing w:before="180"/>
        <w:ind w:left="0"/>
        <w:rPr>
          <w:b/>
          <w:spacing w:val="-2"/>
        </w:rPr>
      </w:pPr>
      <w:r w:rsidRPr="00C64BEE">
        <w:rPr>
          <w:b/>
          <w:spacing w:val="-2"/>
        </w:rPr>
        <w:t xml:space="preserve">Subordinate Law SL2018-11 being the Road Transport Legislation Amendment Regulation 2018 (No 1) made under the </w:t>
      </w:r>
      <w:r w:rsidRPr="00C64BEE">
        <w:rPr>
          <w:i/>
          <w:spacing w:val="-2"/>
        </w:rPr>
        <w:t>Road Transport (General) Act 1999</w:t>
      </w:r>
      <w:r w:rsidRPr="00C64BEE">
        <w:rPr>
          <w:b/>
          <w:spacing w:val="-2"/>
        </w:rPr>
        <w:t xml:space="preserve">, </w:t>
      </w:r>
      <w:r w:rsidRPr="00C64BEE">
        <w:rPr>
          <w:i/>
          <w:spacing w:val="-2"/>
        </w:rPr>
        <w:t>Road Transport (Safety and Traffic Management) Act 1999</w:t>
      </w:r>
      <w:r w:rsidRPr="00C64BEE">
        <w:rPr>
          <w:b/>
          <w:spacing w:val="-2"/>
        </w:rPr>
        <w:t xml:space="preserve"> and </w:t>
      </w:r>
      <w:r w:rsidRPr="00C64BEE">
        <w:rPr>
          <w:i/>
          <w:spacing w:val="-2"/>
        </w:rPr>
        <w:t>Road Transport (Vehicle Registration) Act 1999</w:t>
      </w:r>
      <w:r w:rsidRPr="00C64BEE">
        <w:rPr>
          <w:b/>
          <w:spacing w:val="-2"/>
        </w:rPr>
        <w:t xml:space="preserve"> amends specified road transport legislation to implement updated national load restraints for vehicles guidelines, and a decision of the Transport and Infrastructure Council to no longer issue or require heavy vehicles to display registration labels.</w:t>
      </w:r>
    </w:p>
    <w:p w:rsidR="00EE3B08" w:rsidRPr="00C64BEE" w:rsidRDefault="00EE3B08" w:rsidP="00EE3B08">
      <w:pPr>
        <w:pStyle w:val="Heading3"/>
        <w:rPr>
          <w:rFonts w:asciiTheme="minorHAnsi" w:eastAsia="Calibri" w:hAnsiTheme="minorHAnsi"/>
          <w:lang w:eastAsia="en-AU"/>
        </w:rPr>
      </w:pPr>
      <w:bookmarkStart w:id="179" w:name="_Toc521054401"/>
      <w:r w:rsidRPr="00C64BEE">
        <w:rPr>
          <w:rFonts w:asciiTheme="minorHAnsi" w:eastAsia="Calibri" w:hAnsiTheme="minorHAnsi"/>
          <w:lang w:eastAsia="en-AU"/>
        </w:rPr>
        <w:lastRenderedPageBreak/>
        <w:t>Subordinate Law</w:t>
      </w:r>
      <w:r w:rsidR="006074ED" w:rsidRPr="00C64BEE">
        <w:rPr>
          <w:rFonts w:asciiTheme="minorHAnsi" w:eastAsia="Calibri" w:hAnsiTheme="minorHAnsi"/>
          <w:lang w:eastAsia="en-AU"/>
        </w:rPr>
        <w:t>s</w:t>
      </w:r>
      <w:r w:rsidRPr="00C64BEE">
        <w:rPr>
          <w:rFonts w:asciiTheme="minorHAnsi" w:eastAsia="Calibri" w:hAnsiTheme="minorHAnsi"/>
          <w:lang w:eastAsia="en-AU"/>
        </w:rPr>
        <w:t>—Comment</w:t>
      </w:r>
      <w:bookmarkEnd w:id="151"/>
      <w:bookmarkEnd w:id="179"/>
    </w:p>
    <w:p w:rsidR="00EE3B08" w:rsidRPr="00C64BEE" w:rsidRDefault="00EE3B08" w:rsidP="00EE3B08">
      <w:pPr>
        <w:rPr>
          <w:rFonts w:eastAsia="Calibri" w:cs="Times New Roman"/>
        </w:rPr>
      </w:pPr>
      <w:r w:rsidRPr="00C64BEE">
        <w:rPr>
          <w:rFonts w:eastAsia="Calibri" w:cs="Times New Roman"/>
        </w:rPr>
        <w:t>The Committee has examined the following subordinate law</w:t>
      </w:r>
      <w:r w:rsidR="006074ED" w:rsidRPr="00C64BEE">
        <w:rPr>
          <w:rFonts w:eastAsia="Calibri" w:cs="Times New Roman"/>
        </w:rPr>
        <w:t>s</w:t>
      </w:r>
      <w:r w:rsidRPr="00C64BEE">
        <w:rPr>
          <w:rFonts w:eastAsia="Calibri" w:cs="Times New Roman"/>
        </w:rPr>
        <w:t xml:space="preserve"> and offers </w:t>
      </w:r>
      <w:r w:rsidR="00EB2CCF" w:rsidRPr="00C64BEE">
        <w:rPr>
          <w:rFonts w:eastAsia="Calibri" w:cs="Times New Roman"/>
        </w:rPr>
        <w:t>these</w:t>
      </w:r>
      <w:r w:rsidRPr="00C64BEE">
        <w:rPr>
          <w:rFonts w:eastAsia="Calibri" w:cs="Times New Roman"/>
        </w:rPr>
        <w:t xml:space="preserve"> comment</w:t>
      </w:r>
      <w:r w:rsidR="00EB2CCF" w:rsidRPr="00C64BEE">
        <w:rPr>
          <w:rFonts w:eastAsia="Calibri" w:cs="Times New Roman"/>
        </w:rPr>
        <w:t>s</w:t>
      </w:r>
      <w:r w:rsidRPr="00C64BEE">
        <w:rPr>
          <w:rFonts w:eastAsia="Calibri" w:cs="Times New Roman"/>
        </w:rPr>
        <w:t xml:space="preserve"> on </w:t>
      </w:r>
      <w:r w:rsidR="006074ED" w:rsidRPr="00C64BEE">
        <w:rPr>
          <w:rFonts w:eastAsia="Calibri" w:cs="Times New Roman"/>
        </w:rPr>
        <w:t>them</w:t>
      </w:r>
      <w:r w:rsidRPr="00C64BEE">
        <w:rPr>
          <w:rFonts w:eastAsia="Calibri" w:cs="Times New Roman"/>
        </w:rPr>
        <w:t>:</w:t>
      </w:r>
    </w:p>
    <w:p w:rsidR="00A63970" w:rsidRPr="00C64BEE" w:rsidRDefault="00A63970" w:rsidP="00C64BEE">
      <w:pPr>
        <w:pStyle w:val="Heading4"/>
        <w:rPr>
          <w:rFonts w:asciiTheme="minorHAnsi" w:eastAsia="Times New Roman" w:hAnsiTheme="minorHAnsi"/>
          <w:b w:val="0"/>
          <w:i/>
          <w:sz w:val="22"/>
          <w:lang w:eastAsia="en-AU"/>
        </w:rPr>
      </w:pPr>
      <w:bookmarkStart w:id="180" w:name="_Toc521054330"/>
      <w:bookmarkStart w:id="181" w:name="_Toc521054402"/>
      <w:bookmarkStart w:id="182" w:name="_Toc514837978"/>
      <w:r w:rsidRPr="00C64BEE">
        <w:rPr>
          <w:rFonts w:asciiTheme="minorHAnsi" w:eastAsia="Times New Roman" w:hAnsiTheme="minorHAnsi"/>
          <w:b w:val="0"/>
          <w:i/>
          <w:sz w:val="22"/>
          <w:lang w:eastAsia="en-AU"/>
        </w:rPr>
        <w:t>Strict liability offences – Positive comment</w:t>
      </w:r>
      <w:bookmarkEnd w:id="180"/>
      <w:bookmarkEnd w:id="181"/>
    </w:p>
    <w:p w:rsidR="00A63970" w:rsidRPr="00C64BEE" w:rsidRDefault="00A63970" w:rsidP="008375B2">
      <w:pPr>
        <w:pStyle w:val="ListParagraph"/>
        <w:spacing w:before="180"/>
        <w:ind w:left="0"/>
        <w:rPr>
          <w:b/>
          <w:spacing w:val="-2"/>
        </w:rPr>
      </w:pPr>
      <w:r w:rsidRPr="00C64BEE">
        <w:rPr>
          <w:b/>
          <w:spacing w:val="-2"/>
        </w:rPr>
        <w:t xml:space="preserve">Subordinate Law SL2018-9 being the Waste Management and Resource Recovery (Container Deposit Scheme) Amendment Regulation 2018 (No 1), including a regulatory impact statement, made under the </w:t>
      </w:r>
      <w:r w:rsidRPr="00C64BEE">
        <w:rPr>
          <w:i/>
          <w:spacing w:val="-2"/>
        </w:rPr>
        <w:t>Waste Management and Resource Recovery Act 2016</w:t>
      </w:r>
      <w:r w:rsidRPr="00C64BEE">
        <w:rPr>
          <w:b/>
          <w:spacing w:val="-2"/>
        </w:rPr>
        <w:t xml:space="preserve"> determines arrangements for a container </w:t>
      </w:r>
      <w:r w:rsidR="008375B2" w:rsidRPr="00C64BEE">
        <w:rPr>
          <w:b/>
          <w:spacing w:val="-2"/>
        </w:rPr>
        <w:t>d</w:t>
      </w:r>
      <w:r w:rsidRPr="00C64BEE">
        <w:rPr>
          <w:b/>
          <w:spacing w:val="-2"/>
        </w:rPr>
        <w:t>eposit scheme under the Waste Management and Resource Recovery Amendment Act 2017.</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 xml:space="preserve">This subordinate law, made under the </w:t>
      </w:r>
      <w:bookmarkStart w:id="183" w:name="_Hlk520800682"/>
      <w:r w:rsidRPr="00C64BEE">
        <w:rPr>
          <w:rFonts w:eastAsia="Times New Roman" w:cs="Calibri"/>
          <w:i/>
          <w:color w:val="000000"/>
          <w:lang w:eastAsia="en-AU"/>
        </w:rPr>
        <w:t>Waste Management and Resource Recovery Act 2016</w:t>
      </w:r>
      <w:bookmarkEnd w:id="183"/>
      <w:r w:rsidRPr="00C64BEE">
        <w:rPr>
          <w:rFonts w:eastAsia="Times New Roman" w:cs="Calibri"/>
          <w:color w:val="000000"/>
          <w:lang w:eastAsia="en-AU"/>
        </w:rPr>
        <w:t>, provides detail on the arrangements for the introduction of a “container deposit scheme”, which started operation in the ACT on 30 June 2018.  According to the explanatory statement for the subordinate law, the subordinate law</w:t>
      </w:r>
    </w:p>
    <w:p w:rsidR="00A63970" w:rsidRPr="00C64BEE" w:rsidRDefault="00A63970" w:rsidP="008375B2">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 … </w:t>
      </w:r>
      <w:proofErr w:type="gramStart"/>
      <w:r w:rsidRPr="00C64BEE">
        <w:rPr>
          <w:rFonts w:eastAsia="Times New Roman" w:cs="Calibri"/>
          <w:color w:val="000000"/>
          <w:lang w:eastAsia="en-AU"/>
        </w:rPr>
        <w:t>provides</w:t>
      </w:r>
      <w:proofErr w:type="gramEnd"/>
      <w:r w:rsidRPr="00C64BEE">
        <w:rPr>
          <w:rFonts w:eastAsia="Times New Roman" w:cs="Calibri"/>
          <w:color w:val="000000"/>
          <w:lang w:eastAsia="en-AU"/>
        </w:rPr>
        <w:t xml:space="preserve"> clear regulatory requirements to participants in the container deposit scheme.  These requirements include indicating to the beverage industry:</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r>
      <w:proofErr w:type="spellStart"/>
      <w:r w:rsidR="00A63970" w:rsidRPr="00C64BEE">
        <w:rPr>
          <w:rFonts w:eastAsia="Times New Roman" w:cs="Calibri"/>
          <w:color w:val="000000"/>
          <w:lang w:eastAsia="en-AU"/>
        </w:rPr>
        <w:t>i</w:t>
      </w:r>
      <w:proofErr w:type="spellEnd"/>
      <w:r w:rsidR="00A63970" w:rsidRPr="00C64BEE">
        <w:rPr>
          <w:rFonts w:eastAsia="Times New Roman" w:cs="Calibri"/>
          <w:color w:val="000000"/>
          <w:lang w:eastAsia="en-AU"/>
        </w:rPr>
        <w:t>)</w:t>
      </w:r>
      <w:r w:rsidR="00A63970" w:rsidRPr="00C64BEE">
        <w:rPr>
          <w:rFonts w:eastAsia="Times New Roman" w:cs="Calibri"/>
          <w:color w:val="000000"/>
          <w:lang w:eastAsia="en-AU"/>
        </w:rPr>
        <w:tab/>
        <w:t xml:space="preserve">The types of containers and beverages which are, and are not, included in the container deposit scheme; </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r>
      <w:r w:rsidR="00A63970" w:rsidRPr="00C64BEE">
        <w:rPr>
          <w:rFonts w:eastAsia="Times New Roman" w:cs="Calibri"/>
          <w:color w:val="000000"/>
          <w:lang w:eastAsia="en-AU"/>
        </w:rPr>
        <w:t>ii)</w:t>
      </w:r>
      <w:r w:rsidR="00A63970" w:rsidRPr="00C64BEE">
        <w:rPr>
          <w:rFonts w:eastAsia="Times New Roman" w:cs="Calibri"/>
          <w:color w:val="000000"/>
          <w:lang w:eastAsia="en-AU"/>
        </w:rPr>
        <w:tab/>
        <w:t>The refund marking which will be required to be printed on eligible beverage containers to indicate they are part of the scheme, and</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r>
      <w:r w:rsidR="00A63970" w:rsidRPr="00C64BEE">
        <w:rPr>
          <w:rFonts w:eastAsia="Times New Roman" w:cs="Calibri"/>
          <w:color w:val="000000"/>
          <w:lang w:eastAsia="en-AU"/>
        </w:rPr>
        <w:t>iii)</w:t>
      </w:r>
      <w:r w:rsidR="00A63970" w:rsidRPr="00C64BEE">
        <w:rPr>
          <w:rFonts w:eastAsia="Times New Roman" w:cs="Calibri"/>
          <w:color w:val="000000"/>
          <w:lang w:eastAsia="en-AU"/>
        </w:rPr>
        <w:tab/>
        <w:t xml:space="preserve">The requirement to enter into an arrangement to make contributions to fund the scheme. </w:t>
      </w:r>
    </w:p>
    <w:p w:rsidR="00A63970" w:rsidRPr="00C64BEE" w:rsidRDefault="00A63970" w:rsidP="008375B2">
      <w:pPr>
        <w:widowControl w:val="0"/>
        <w:tabs>
          <w:tab w:val="left" w:pos="1276"/>
        </w:tabs>
        <w:spacing w:before="120" w:after="120"/>
        <w:ind w:left="360"/>
        <w:rPr>
          <w:rFonts w:eastAsia="Times New Roman" w:cs="Calibri"/>
          <w:color w:val="000000"/>
          <w:lang w:eastAsia="en-AU"/>
        </w:rPr>
      </w:pPr>
      <w:r w:rsidRPr="00C64BEE">
        <w:rPr>
          <w:rFonts w:eastAsia="Times New Roman" w:cs="Calibri"/>
          <w:color w:val="000000"/>
          <w:lang w:eastAsia="en-AU"/>
        </w:rPr>
        <w:t>The regulation also provides requirements about the establishment of the scheme and container collection network including:</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r>
      <w:proofErr w:type="spellStart"/>
      <w:r w:rsidRPr="00C64BEE">
        <w:rPr>
          <w:rFonts w:eastAsia="Times New Roman" w:cs="Calibri"/>
          <w:color w:val="000000"/>
          <w:lang w:eastAsia="en-AU"/>
        </w:rPr>
        <w:t>i</w:t>
      </w:r>
      <w:proofErr w:type="spellEnd"/>
      <w:r w:rsidRPr="00C64BEE">
        <w:rPr>
          <w:rFonts w:eastAsia="Times New Roman" w:cs="Calibri"/>
          <w:color w:val="000000"/>
          <w:lang w:eastAsia="en-AU"/>
        </w:rPr>
        <w:t>)</w:t>
      </w:r>
      <w:r w:rsidRPr="00C64BEE">
        <w:rPr>
          <w:rFonts w:eastAsia="Times New Roman" w:cs="Calibri"/>
          <w:color w:val="000000"/>
          <w:lang w:eastAsia="en-AU"/>
        </w:rPr>
        <w:tab/>
      </w:r>
      <w:r w:rsidR="00A63970" w:rsidRPr="00C64BEE">
        <w:rPr>
          <w:rFonts w:eastAsia="Times New Roman" w:cs="Calibri"/>
          <w:color w:val="000000"/>
          <w:lang w:eastAsia="en-AU"/>
        </w:rPr>
        <w:t>The process to apply for, and be granted approvals for collection network arrangements and collection point arrangements;</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t>ii)</w:t>
      </w:r>
      <w:r w:rsidRPr="00C64BEE">
        <w:rPr>
          <w:rFonts w:eastAsia="Times New Roman" w:cs="Calibri"/>
          <w:color w:val="000000"/>
          <w:lang w:eastAsia="en-AU"/>
        </w:rPr>
        <w:tab/>
      </w:r>
      <w:r w:rsidR="00A63970" w:rsidRPr="00C64BEE">
        <w:rPr>
          <w:rFonts w:eastAsia="Times New Roman" w:cs="Calibri"/>
          <w:color w:val="000000"/>
          <w:lang w:eastAsia="en-AU"/>
        </w:rPr>
        <w:t>The suitability requirements for the organisations appointed to run the scheme; and</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t>iii)</w:t>
      </w:r>
      <w:r w:rsidRPr="00C64BEE">
        <w:rPr>
          <w:rFonts w:eastAsia="Times New Roman" w:cs="Calibri"/>
          <w:color w:val="000000"/>
          <w:lang w:eastAsia="en-AU"/>
        </w:rPr>
        <w:tab/>
      </w:r>
      <w:r w:rsidR="00A63970" w:rsidRPr="00C64BEE">
        <w:rPr>
          <w:rFonts w:eastAsia="Times New Roman" w:cs="Calibri"/>
          <w:color w:val="000000"/>
          <w:lang w:eastAsia="en-AU"/>
        </w:rPr>
        <w:t xml:space="preserve">The offences for failing to ensure collected containers are recycled. </w:t>
      </w:r>
    </w:p>
    <w:p w:rsidR="00A63970" w:rsidRPr="00C64BEE" w:rsidRDefault="00A63970" w:rsidP="008375B2">
      <w:pPr>
        <w:widowControl w:val="0"/>
        <w:tabs>
          <w:tab w:val="left" w:pos="1276"/>
        </w:tabs>
        <w:spacing w:before="120" w:after="120"/>
        <w:ind w:left="360"/>
        <w:rPr>
          <w:rFonts w:eastAsia="Times New Roman" w:cs="Calibri"/>
          <w:color w:val="000000"/>
          <w:lang w:eastAsia="en-AU"/>
        </w:rPr>
      </w:pPr>
      <w:r w:rsidRPr="00C64BEE">
        <w:rPr>
          <w:rFonts w:eastAsia="Times New Roman" w:cs="Calibri"/>
          <w:color w:val="000000"/>
          <w:lang w:eastAsia="en-AU"/>
        </w:rPr>
        <w:t>The regulation ensures the community has access to the scheme including setting requirements for:</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r>
      <w:proofErr w:type="spellStart"/>
      <w:r w:rsidRPr="00C64BEE">
        <w:rPr>
          <w:rFonts w:eastAsia="Times New Roman" w:cs="Calibri"/>
          <w:color w:val="000000"/>
          <w:lang w:eastAsia="en-AU"/>
        </w:rPr>
        <w:t>i</w:t>
      </w:r>
      <w:proofErr w:type="spellEnd"/>
      <w:r w:rsidRPr="00C64BEE">
        <w:rPr>
          <w:rFonts w:eastAsia="Times New Roman" w:cs="Calibri"/>
          <w:color w:val="000000"/>
          <w:lang w:eastAsia="en-AU"/>
        </w:rPr>
        <w:t>)</w:t>
      </w:r>
      <w:r w:rsidRPr="00C64BEE">
        <w:rPr>
          <w:rFonts w:eastAsia="Times New Roman" w:cs="Calibri"/>
          <w:color w:val="000000"/>
          <w:lang w:eastAsia="en-AU"/>
        </w:rPr>
        <w:tab/>
      </w:r>
      <w:r w:rsidR="00A63970" w:rsidRPr="00C64BEE">
        <w:rPr>
          <w:rFonts w:eastAsia="Times New Roman" w:cs="Calibri"/>
          <w:color w:val="000000"/>
          <w:lang w:eastAsia="en-AU"/>
        </w:rPr>
        <w:t xml:space="preserve">Collection points to be in convenient and accessible locations and able to accept containers and provide refunds in an efficient way; </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t>ii)</w:t>
      </w:r>
      <w:r w:rsidRPr="00C64BEE">
        <w:rPr>
          <w:rFonts w:eastAsia="Times New Roman" w:cs="Calibri"/>
          <w:color w:val="000000"/>
          <w:lang w:eastAsia="en-AU"/>
        </w:rPr>
        <w:tab/>
      </w:r>
      <w:r w:rsidR="00A63970" w:rsidRPr="00C64BEE">
        <w:rPr>
          <w:rFonts w:eastAsia="Times New Roman" w:cs="Calibri"/>
          <w:color w:val="000000"/>
          <w:lang w:eastAsia="en-AU"/>
        </w:rPr>
        <w:t xml:space="preserve">A ramp-up over time of the minimum number of collection points,  and the minimum opening hours and days to ensure they are accessible to the community; </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t>iii)</w:t>
      </w:r>
      <w:r w:rsidRPr="00C64BEE">
        <w:rPr>
          <w:rFonts w:eastAsia="Times New Roman" w:cs="Calibri"/>
          <w:color w:val="000000"/>
          <w:lang w:eastAsia="en-AU"/>
        </w:rPr>
        <w:tab/>
      </w:r>
      <w:r w:rsidR="00A63970" w:rsidRPr="00C64BEE">
        <w:rPr>
          <w:rFonts w:eastAsia="Times New Roman" w:cs="Calibri"/>
          <w:color w:val="000000"/>
          <w:lang w:eastAsia="en-AU"/>
        </w:rPr>
        <w:t xml:space="preserve">Involvement of charities and employment opportunities for people with disabilities in delivering the scheme; and </w:t>
      </w:r>
    </w:p>
    <w:p w:rsidR="00A63970" w:rsidRPr="00C64BEE" w:rsidRDefault="008375B2" w:rsidP="008375B2">
      <w:pPr>
        <w:widowControl w:val="0"/>
        <w:tabs>
          <w:tab w:val="right" w:pos="-3780"/>
          <w:tab w:val="left" w:pos="720"/>
        </w:tabs>
        <w:spacing w:before="120" w:after="120"/>
        <w:ind w:left="1260" w:hanging="900"/>
        <w:rPr>
          <w:rFonts w:eastAsia="Times New Roman" w:cs="Calibri"/>
          <w:color w:val="000000"/>
          <w:lang w:eastAsia="en-AU"/>
        </w:rPr>
      </w:pPr>
      <w:r w:rsidRPr="00C64BEE">
        <w:rPr>
          <w:rFonts w:eastAsia="Times New Roman" w:cs="Calibri"/>
          <w:color w:val="000000"/>
          <w:lang w:eastAsia="en-AU"/>
        </w:rPr>
        <w:tab/>
      </w:r>
      <w:proofErr w:type="gramStart"/>
      <w:r w:rsidRPr="00C64BEE">
        <w:rPr>
          <w:rFonts w:eastAsia="Times New Roman" w:cs="Calibri"/>
          <w:color w:val="000000"/>
          <w:lang w:eastAsia="en-AU"/>
        </w:rPr>
        <w:t>iv)</w:t>
      </w:r>
      <w:r w:rsidRPr="00C64BEE">
        <w:rPr>
          <w:rFonts w:eastAsia="Times New Roman" w:cs="Calibri"/>
          <w:color w:val="000000"/>
          <w:lang w:eastAsia="en-AU"/>
        </w:rPr>
        <w:tab/>
      </w:r>
      <w:r w:rsidR="00A63970" w:rsidRPr="00C64BEE">
        <w:rPr>
          <w:rFonts w:eastAsia="Times New Roman" w:cs="Calibri"/>
          <w:color w:val="000000"/>
          <w:lang w:eastAsia="en-AU"/>
        </w:rPr>
        <w:t>The</w:t>
      </w:r>
      <w:proofErr w:type="gramEnd"/>
      <w:r w:rsidR="00A63970" w:rsidRPr="00C64BEE">
        <w:rPr>
          <w:rFonts w:eastAsia="Times New Roman" w:cs="Calibri"/>
          <w:color w:val="000000"/>
          <w:lang w:eastAsia="en-AU"/>
        </w:rPr>
        <w:t xml:space="preserve"> refund amount being set at 10 cents per eligible container.</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As indicated above, the subordinate law includes offences for failing to ensure collected containers are recycled.  The Committee notes, in particular, that new subsection 24W(1) of the Waste Management and Resource Recovery Regulation 2017 creates strict liability offences in relation to the disposal, by a “material recovery facility operator”, of a container in landfill, if the operator has claimed a processing refund in relation to the container.  The maximum penalty for such an offence is 15 penalty units.</w:t>
      </w:r>
    </w:p>
    <w:p w:rsidR="00A63970" w:rsidRPr="00C64BEE" w:rsidRDefault="00A63970" w:rsidP="00BE16D9">
      <w:pPr>
        <w:widowControl w:val="0"/>
        <w:tabs>
          <w:tab w:val="left" w:pos="1276"/>
        </w:tabs>
        <w:spacing w:before="200" w:after="120"/>
        <w:rPr>
          <w:rFonts w:eastAsia="Calibri" w:cs="Times New Roman"/>
          <w:sz w:val="24"/>
          <w:szCs w:val="24"/>
          <w:lang w:eastAsia="en-AU"/>
        </w:rPr>
      </w:pPr>
      <w:r w:rsidRPr="00C64BEE">
        <w:rPr>
          <w:rFonts w:eastAsia="Times New Roman" w:cs="Calibri"/>
          <w:color w:val="000000"/>
          <w:lang w:eastAsia="en-AU"/>
        </w:rPr>
        <w:lastRenderedPageBreak/>
        <w:t xml:space="preserve">The Committee notes with approval that the regulatory impact statement for the subordinate law contains a detailed justification for this strict liability offence, in accordance with the preferences expressed by the Committee, </w:t>
      </w:r>
      <w:bookmarkStart w:id="184" w:name="_Hlk520815468"/>
      <w:r w:rsidRPr="00C64BEE">
        <w:rPr>
          <w:rFonts w:eastAsia="Times New Roman" w:cs="Calibri"/>
          <w:color w:val="000000"/>
          <w:lang w:eastAsia="en-AU"/>
        </w:rPr>
        <w:t xml:space="preserve">in its document titled </w:t>
      </w:r>
      <w:bookmarkEnd w:id="184"/>
      <w:r w:rsidR="00C91B80" w:rsidRPr="00FA542A">
        <w:rPr>
          <w:rFonts w:eastAsia="Calibri" w:cs="Times New Roman"/>
          <w:color w:val="0000CC"/>
        </w:rPr>
        <w:fldChar w:fldCharType="begin"/>
      </w:r>
      <w:r w:rsidR="00C64BEE" w:rsidRPr="00FA542A">
        <w:rPr>
          <w:rFonts w:eastAsia="Calibri" w:cs="Times New Roman"/>
          <w:color w:val="0000CC"/>
        </w:rPr>
        <w:instrText>HYPERLINK "https://www.parliament.act.gov.au/__data/assets/pdf_file/0007/434347/Subordinate-Legislation-Technical-and-Stylistic-Standards.pdf"</w:instrText>
      </w:r>
      <w:r w:rsidR="00C91B80" w:rsidRPr="00FA542A">
        <w:rPr>
          <w:rFonts w:eastAsia="Calibri" w:cs="Times New Roman"/>
          <w:color w:val="0000CC"/>
        </w:rPr>
        <w:fldChar w:fldCharType="separate"/>
      </w:r>
      <w:r w:rsidR="00C64BEE" w:rsidRPr="00FA542A">
        <w:rPr>
          <w:rFonts w:eastAsia="Calibri" w:cs="Times New Roman"/>
          <w:i/>
          <w:color w:val="0000CC"/>
          <w:u w:val="single"/>
        </w:rPr>
        <w:t>Subordinate legislation—Technical and stylistic standards—Tips/Traps</w:t>
      </w:r>
      <w:r w:rsidR="00C91B80" w:rsidRPr="00FA542A">
        <w:rPr>
          <w:rFonts w:eastAsia="Calibri" w:cs="Times New Roman"/>
          <w:color w:val="0000CC"/>
        </w:rPr>
        <w:fldChar w:fldCharType="end"/>
      </w:r>
      <w:r w:rsidR="00C64BEE" w:rsidRPr="00C64BEE">
        <w:rPr>
          <w:rFonts w:eastAsia="Calibri" w:cs="Times New Roman"/>
          <w:vertAlign w:val="superscript"/>
        </w:rPr>
        <w:footnoteReference w:id="5"/>
      </w:r>
      <w:r w:rsidRPr="00C64BEE">
        <w:rPr>
          <w:rFonts w:eastAsia="Calibri" w:cs="Times New Roman"/>
          <w:sz w:val="24"/>
          <w:szCs w:val="24"/>
          <w:lang w:eastAsia="en-AU"/>
        </w:rPr>
        <w:t>.</w:t>
      </w:r>
    </w:p>
    <w:p w:rsidR="00A63970" w:rsidRPr="00C64BEE" w:rsidRDefault="00A63970" w:rsidP="00BE16D9">
      <w:pPr>
        <w:widowControl w:val="0"/>
        <w:tabs>
          <w:tab w:val="left" w:pos="1276"/>
        </w:tabs>
        <w:spacing w:before="200" w:after="120"/>
        <w:rPr>
          <w:rFonts w:eastAsia="Times New Roman" w:cs="Calibri"/>
          <w:b/>
          <w:color w:val="000000"/>
          <w:lang w:eastAsia="en-AU"/>
        </w:rPr>
      </w:pPr>
      <w:r w:rsidRPr="00C64BEE">
        <w:rPr>
          <w:rFonts w:eastAsia="Times New Roman" w:cs="Calibri"/>
          <w:b/>
          <w:color w:val="000000"/>
          <w:lang w:eastAsia="en-AU"/>
        </w:rPr>
        <w:t>This comment does not require a response from the Minister.</w:t>
      </w:r>
    </w:p>
    <w:p w:rsidR="00A63970" w:rsidRPr="00C64BEE" w:rsidRDefault="00A63970" w:rsidP="00BE16D9">
      <w:pPr>
        <w:pStyle w:val="Heading4"/>
        <w:spacing w:before="220" w:after="220"/>
        <w:rPr>
          <w:rFonts w:asciiTheme="minorHAnsi" w:eastAsia="Times New Roman" w:hAnsiTheme="minorHAnsi"/>
          <w:b w:val="0"/>
          <w:i/>
          <w:sz w:val="22"/>
          <w:lang w:eastAsia="en-AU"/>
        </w:rPr>
      </w:pPr>
      <w:bookmarkStart w:id="185" w:name="_Toc521054331"/>
      <w:bookmarkStart w:id="186" w:name="_Toc521054403"/>
      <w:r w:rsidRPr="00C64BEE">
        <w:rPr>
          <w:rFonts w:asciiTheme="minorHAnsi" w:eastAsia="Times New Roman" w:hAnsiTheme="minorHAnsi"/>
          <w:b w:val="0"/>
          <w:i/>
          <w:sz w:val="22"/>
          <w:lang w:eastAsia="en-AU"/>
        </w:rPr>
        <w:t>Reliance on “Henry VIII” clause</w:t>
      </w:r>
      <w:bookmarkEnd w:id="185"/>
      <w:bookmarkEnd w:id="186"/>
    </w:p>
    <w:p w:rsidR="00A63970" w:rsidRPr="00C64BEE" w:rsidRDefault="00A63970" w:rsidP="00C64BEE">
      <w:pPr>
        <w:pStyle w:val="ListParagraph"/>
        <w:spacing w:before="180"/>
        <w:ind w:left="0"/>
        <w:rPr>
          <w:b/>
          <w:spacing w:val="-2"/>
        </w:rPr>
      </w:pPr>
      <w:r w:rsidRPr="00C64BEE">
        <w:rPr>
          <w:b/>
          <w:spacing w:val="-2"/>
        </w:rPr>
        <w:t xml:space="preserve">Subordinate Law SL2018-10 being the Public Sector Management (Transitional Provisions) Regulation 2018 made under the </w:t>
      </w:r>
      <w:r w:rsidRPr="00C64BEE">
        <w:rPr>
          <w:i/>
          <w:spacing w:val="-2"/>
        </w:rPr>
        <w:t>Public Sector Management Act 1994</w:t>
      </w:r>
      <w:r w:rsidRPr="00C64BEE">
        <w:rPr>
          <w:b/>
          <w:spacing w:val="-2"/>
        </w:rPr>
        <w:t xml:space="preserve"> rectifies a technical legal issue in relation to the re-engagement of SES members engaged prior to 1 September 2016.</w:t>
      </w:r>
    </w:p>
    <w:p w:rsidR="00A63970" w:rsidRPr="00C64BEE" w:rsidRDefault="00A63970" w:rsidP="00BE16D9">
      <w:pPr>
        <w:widowControl w:val="0"/>
        <w:tabs>
          <w:tab w:val="left" w:pos="1276"/>
        </w:tabs>
        <w:spacing w:before="200" w:after="120"/>
        <w:rPr>
          <w:rFonts w:eastAsia="Times New Roman" w:cs="Calibri"/>
          <w:color w:val="000000"/>
          <w:lang w:eastAsia="en-AU"/>
        </w:rPr>
      </w:pPr>
      <w:r w:rsidRPr="00C64BEE">
        <w:rPr>
          <w:rFonts w:eastAsia="Times New Roman" w:cs="Calibri"/>
          <w:color w:val="000000"/>
          <w:lang w:eastAsia="en-AU"/>
        </w:rPr>
        <w:t xml:space="preserve">The Committee notes that the effect of this subordinate law is to modify the </w:t>
      </w:r>
      <w:r w:rsidRPr="00C64BEE">
        <w:rPr>
          <w:rFonts w:eastAsia="Times New Roman" w:cs="Calibri"/>
          <w:i/>
          <w:color w:val="000000"/>
          <w:lang w:eastAsia="en-AU"/>
        </w:rPr>
        <w:t xml:space="preserve">Public Sector Management Act </w:t>
      </w:r>
      <w:proofErr w:type="gramStart"/>
      <w:r w:rsidRPr="00C64BEE">
        <w:rPr>
          <w:rFonts w:eastAsia="Times New Roman" w:cs="Calibri"/>
          <w:i/>
          <w:color w:val="000000"/>
          <w:lang w:eastAsia="en-AU"/>
        </w:rPr>
        <w:t>1994</w:t>
      </w:r>
      <w:r w:rsidRPr="00C64BEE">
        <w:rPr>
          <w:rFonts w:eastAsia="Times New Roman" w:cs="Calibri"/>
          <w:color w:val="000000"/>
          <w:lang w:eastAsia="en-AU"/>
        </w:rPr>
        <w:t>,</w:t>
      </w:r>
      <w:proofErr w:type="gramEnd"/>
      <w:r w:rsidRPr="00C64BEE">
        <w:rPr>
          <w:rFonts w:eastAsia="Times New Roman" w:cs="Calibri"/>
          <w:color w:val="000000"/>
          <w:lang w:eastAsia="en-AU"/>
        </w:rPr>
        <w:t xml:space="preserve"> as if a new section 293A was inserted.  The new section 293A (set out in section 3 of this subordinate law) is to provide for “the consecutive engagement of the Head of Service, Directors-General and executives engaged prior to 1 September 2016 to </w:t>
      </w:r>
      <w:proofErr w:type="gramStart"/>
      <w:r w:rsidRPr="00C64BEE">
        <w:rPr>
          <w:rFonts w:eastAsia="Times New Roman" w:cs="Calibri"/>
          <w:color w:val="000000"/>
          <w:lang w:eastAsia="en-AU"/>
        </w:rPr>
        <w:t>be  re</w:t>
      </w:r>
      <w:proofErr w:type="gramEnd"/>
      <w:r w:rsidRPr="00C64BEE">
        <w:rPr>
          <w:rFonts w:eastAsia="Times New Roman" w:cs="Calibri"/>
          <w:color w:val="000000"/>
          <w:lang w:eastAsia="en-AU"/>
        </w:rPr>
        <w:t>-engaged as a long-term [Senior Executive Service] member and associated provisions under the  [Public Sector Management] Standards 2016.”</w:t>
      </w:r>
    </w:p>
    <w:p w:rsidR="00A63970" w:rsidRPr="00C64BEE" w:rsidRDefault="00A63970" w:rsidP="00BE16D9">
      <w:pPr>
        <w:widowControl w:val="0"/>
        <w:tabs>
          <w:tab w:val="left" w:pos="1276"/>
        </w:tabs>
        <w:spacing w:before="200" w:after="120"/>
        <w:rPr>
          <w:rFonts w:eastAsia="Times New Roman" w:cs="Calibri"/>
          <w:color w:val="000000"/>
          <w:lang w:eastAsia="en-AU"/>
        </w:rPr>
      </w:pPr>
      <w:r w:rsidRPr="00C64BEE">
        <w:rPr>
          <w:rFonts w:eastAsia="Times New Roman" w:cs="Calibri"/>
          <w:color w:val="000000"/>
          <w:lang w:eastAsia="en-AU"/>
        </w:rPr>
        <w:t>The subordinate law relies on section 299 of the Public Sector Management Act, which provides:</w:t>
      </w:r>
    </w:p>
    <w:p w:rsidR="00A63970" w:rsidRPr="00C64BEE" w:rsidRDefault="00A63970" w:rsidP="009F760C">
      <w:pPr>
        <w:spacing w:after="120"/>
        <w:ind w:left="720"/>
        <w:rPr>
          <w:rFonts w:eastAsia="Times New Roman" w:cs="Calibri"/>
          <w:lang w:eastAsia="en-AU"/>
        </w:rPr>
      </w:pPr>
      <w:proofErr w:type="gramStart"/>
      <w:r w:rsidRPr="00C64BEE">
        <w:rPr>
          <w:rFonts w:eastAsia="Times New Roman" w:cs="Calibri"/>
          <w:b/>
          <w:bCs/>
          <w:color w:val="000000"/>
          <w:lang w:eastAsia="en-AU"/>
        </w:rPr>
        <w:t>299  Transitional</w:t>
      </w:r>
      <w:proofErr w:type="gramEnd"/>
      <w:r w:rsidRPr="00C64BEE">
        <w:rPr>
          <w:rFonts w:eastAsia="Times New Roman" w:cs="Calibri"/>
          <w:b/>
          <w:bCs/>
          <w:color w:val="000000"/>
          <w:lang w:eastAsia="en-AU"/>
        </w:rPr>
        <w:t xml:space="preserve"> regulations</w:t>
      </w:r>
      <w:r w:rsidRPr="00C64BEE">
        <w:rPr>
          <w:rFonts w:eastAsia="Times New Roman" w:cs="Calibri"/>
          <w:color w:val="000000"/>
          <w:lang w:eastAsia="en-AU"/>
        </w:rPr>
        <w:t xml:space="preserve"> </w:t>
      </w:r>
    </w:p>
    <w:p w:rsidR="00A63970" w:rsidRPr="00C64BEE" w:rsidRDefault="00A63970" w:rsidP="00BE16D9">
      <w:pPr>
        <w:spacing w:before="200" w:after="120"/>
        <w:ind w:left="720"/>
        <w:rPr>
          <w:rFonts w:eastAsia="Times New Roman" w:cs="Calibri"/>
          <w:color w:val="000000"/>
          <w:lang w:eastAsia="en-AU"/>
        </w:rPr>
      </w:pPr>
      <w:r w:rsidRPr="00C64BEE">
        <w:rPr>
          <w:rFonts w:eastAsia="Times New Roman" w:cs="Calibri"/>
          <w:color w:val="000000"/>
          <w:lang w:eastAsia="en-AU"/>
        </w:rPr>
        <w:t xml:space="preserve">(1)     A regulation may prescribe transitional matters necessary or convenient to be prescribed because of the enactment of this Act. </w:t>
      </w:r>
    </w:p>
    <w:p w:rsidR="00A63970" w:rsidRPr="00C64BEE" w:rsidRDefault="00A63970" w:rsidP="00BE16D9">
      <w:pPr>
        <w:spacing w:before="200" w:after="120"/>
        <w:ind w:left="720"/>
        <w:rPr>
          <w:rFonts w:eastAsia="Times New Roman" w:cs="Calibri"/>
          <w:color w:val="000000"/>
          <w:lang w:eastAsia="en-AU"/>
        </w:rPr>
      </w:pPr>
      <w:r w:rsidRPr="00C64BEE">
        <w:rPr>
          <w:rFonts w:eastAsia="Times New Roman" w:cs="Calibri"/>
          <w:color w:val="000000"/>
          <w:lang w:eastAsia="en-AU"/>
        </w:rPr>
        <w:t xml:space="preserve">(2)     A regulation may modify this part (including in relation to another territory law) to make provision in relation to anything that, in the Executive's opinion, is not, or is not adequately or appropriately, dealt with in this part. </w:t>
      </w:r>
    </w:p>
    <w:p w:rsidR="00A63970" w:rsidRPr="00C64BEE" w:rsidRDefault="00A63970" w:rsidP="00BE16D9">
      <w:pPr>
        <w:spacing w:before="200" w:after="120"/>
        <w:ind w:left="720"/>
        <w:rPr>
          <w:rFonts w:eastAsia="Times New Roman" w:cs="Calibri"/>
          <w:color w:val="000000"/>
          <w:lang w:eastAsia="en-AU"/>
        </w:rPr>
      </w:pPr>
      <w:r w:rsidRPr="00C64BEE">
        <w:rPr>
          <w:rFonts w:eastAsia="Times New Roman" w:cs="Calibri"/>
          <w:color w:val="000000"/>
          <w:lang w:eastAsia="en-AU"/>
        </w:rPr>
        <w:t xml:space="preserve">(3)     A regulation under subsection (2) has effect despite anything elsewhere in this Act or another territory law. </w:t>
      </w:r>
    </w:p>
    <w:p w:rsidR="00A63970" w:rsidRPr="00C64BEE" w:rsidRDefault="00A63970" w:rsidP="00BE16D9">
      <w:pPr>
        <w:widowControl w:val="0"/>
        <w:tabs>
          <w:tab w:val="left" w:pos="1276"/>
        </w:tabs>
        <w:spacing w:before="200" w:after="120"/>
        <w:rPr>
          <w:rFonts w:eastAsia="Times New Roman" w:cs="Calibri"/>
          <w:color w:val="000000"/>
          <w:lang w:eastAsia="en-AU"/>
        </w:rPr>
      </w:pPr>
      <w:r w:rsidRPr="00C64BEE">
        <w:rPr>
          <w:rFonts w:eastAsia="Times New Roman" w:cs="Calibri"/>
          <w:color w:val="000000"/>
          <w:lang w:eastAsia="en-AU"/>
        </w:rPr>
        <w:t>The Committee notes that it has consistently queried whether, in fact,</w:t>
      </w:r>
      <w:r w:rsidR="00BE16D9">
        <w:rPr>
          <w:rFonts w:eastAsia="Times New Roman" w:cs="Calibri"/>
          <w:color w:val="000000"/>
          <w:lang w:eastAsia="en-AU"/>
        </w:rPr>
        <w:t xml:space="preserve"> a provision such as subsection </w:t>
      </w:r>
      <w:r w:rsidRPr="00C64BEE">
        <w:rPr>
          <w:rFonts w:eastAsia="Times New Roman" w:cs="Calibri"/>
          <w:color w:val="000000"/>
          <w:lang w:eastAsia="en-AU"/>
        </w:rPr>
        <w:t xml:space="preserve">299(3) correctly reflects the law in the ACT (see, </w:t>
      </w:r>
      <w:proofErr w:type="spellStart"/>
      <w:r w:rsidRPr="00C64BEE">
        <w:rPr>
          <w:rFonts w:eastAsia="Times New Roman" w:cs="Calibri"/>
          <w:color w:val="000000"/>
          <w:lang w:eastAsia="en-AU"/>
        </w:rPr>
        <w:t>eg</w:t>
      </w:r>
      <w:proofErr w:type="spellEnd"/>
      <w:r w:rsidRPr="00C64BEE">
        <w:rPr>
          <w:rFonts w:eastAsia="Times New Roman" w:cs="Calibri"/>
          <w:color w:val="000000"/>
          <w:lang w:eastAsia="en-AU"/>
        </w:rPr>
        <w:t xml:space="preserve">, </w:t>
      </w:r>
      <w:hyperlink r:id="rId29" w:history="1">
        <w:r w:rsidRPr="00FA542A">
          <w:rPr>
            <w:rStyle w:val="Hyperlink"/>
            <w:rFonts w:eastAsia="Times New Roman" w:cs="Calibri"/>
            <w:i/>
            <w:color w:val="0000CC"/>
            <w:lang w:eastAsia="en-AU"/>
          </w:rPr>
          <w:t>Scrutiny Report 35</w:t>
        </w:r>
        <w:r w:rsidRPr="00FA542A">
          <w:rPr>
            <w:rStyle w:val="Hyperlink"/>
            <w:rFonts w:eastAsia="Times New Roman" w:cs="Calibri"/>
            <w:color w:val="0000CC"/>
            <w:lang w:eastAsia="en-AU"/>
          </w:rPr>
          <w:t xml:space="preserve"> of the </w:t>
        </w:r>
        <w:r w:rsidR="00BE16D9" w:rsidRPr="00FA542A">
          <w:rPr>
            <w:rStyle w:val="Hyperlink"/>
            <w:rFonts w:eastAsia="Times New Roman" w:cs="Calibri"/>
            <w:i/>
            <w:color w:val="0000CC"/>
            <w:lang w:eastAsia="en-AU"/>
          </w:rPr>
          <w:t>8</w:t>
        </w:r>
        <w:r w:rsidR="00BE16D9" w:rsidRPr="00FA542A">
          <w:rPr>
            <w:rStyle w:val="Hyperlink"/>
            <w:rFonts w:eastAsia="Times New Roman" w:cs="Calibri"/>
            <w:i/>
            <w:color w:val="0000CC"/>
            <w:vertAlign w:val="superscript"/>
            <w:lang w:eastAsia="en-AU"/>
          </w:rPr>
          <w:t>th</w:t>
        </w:r>
        <w:r w:rsidRPr="00FA542A">
          <w:rPr>
            <w:rStyle w:val="Hyperlink"/>
            <w:rFonts w:eastAsia="Times New Roman" w:cs="Calibri"/>
            <w:i/>
            <w:color w:val="0000CC"/>
            <w:lang w:eastAsia="en-AU"/>
          </w:rPr>
          <w:t xml:space="preserve"> Assembly</w:t>
        </w:r>
      </w:hyperlink>
      <w:r w:rsidRPr="00C64BEE">
        <w:rPr>
          <w:rFonts w:eastAsia="Times New Roman" w:cs="Calibri"/>
          <w:color w:val="000000"/>
          <w:lang w:eastAsia="en-AU"/>
        </w:rPr>
        <w:t>,</w:t>
      </w:r>
      <w:r w:rsidR="00BE16D9">
        <w:rPr>
          <w:rStyle w:val="FootnoteReference"/>
          <w:rFonts w:eastAsia="Times New Roman" w:cs="Calibri"/>
          <w:color w:val="000000"/>
          <w:lang w:eastAsia="en-AU"/>
        </w:rPr>
        <w:footnoteReference w:id="6"/>
      </w:r>
      <w:r w:rsidRPr="00C64BEE">
        <w:rPr>
          <w:rFonts w:eastAsia="Times New Roman" w:cs="Calibri"/>
          <w:color w:val="000000"/>
          <w:lang w:eastAsia="en-AU"/>
        </w:rPr>
        <w:t xml:space="preserve"> dated 10 August 2015, at page 21).  As the Committee has consistently noted, provisions such as subsection 299(3) would appear to contradict the power of the Legislative Assembly, under the </w:t>
      </w:r>
      <w:r w:rsidRPr="00C64BEE">
        <w:rPr>
          <w:rFonts w:eastAsia="Times New Roman" w:cs="Calibri"/>
          <w:i/>
          <w:color w:val="000000"/>
          <w:lang w:eastAsia="en-AU"/>
        </w:rPr>
        <w:t>Australian Capital Territory (Self-Government) Act 1988</w:t>
      </w:r>
      <w:r w:rsidRPr="00C64BEE">
        <w:rPr>
          <w:rFonts w:eastAsia="Times New Roman" w:cs="Calibri"/>
          <w:color w:val="000000"/>
          <w:lang w:eastAsia="en-AU"/>
        </w:rPr>
        <w:t xml:space="preserve"> (Cwlth), to make laws from time to time, including (of course) at a time subsequent to the making of the earlier law.  It might also be seen as an ineffective attempt to entrench a regulation made under subsection 299(3).</w:t>
      </w:r>
    </w:p>
    <w:p w:rsidR="00A63970" w:rsidRPr="00BE16D9" w:rsidRDefault="00A63970" w:rsidP="00BE16D9">
      <w:pPr>
        <w:widowControl w:val="0"/>
        <w:tabs>
          <w:tab w:val="left" w:pos="1276"/>
        </w:tabs>
        <w:spacing w:before="200" w:after="120"/>
        <w:rPr>
          <w:rFonts w:eastAsia="Times New Roman" w:cs="Calibri"/>
          <w:color w:val="000000"/>
          <w:lang w:eastAsia="en-AU"/>
        </w:rPr>
      </w:pPr>
      <w:r w:rsidRPr="00C64BEE">
        <w:rPr>
          <w:rFonts w:eastAsia="Times New Roman" w:cs="Calibri"/>
          <w:color w:val="000000"/>
          <w:lang w:eastAsia="en-AU"/>
        </w:rPr>
        <w:t xml:space="preserve">That issue aside, the Committee notes that section 299 of the </w:t>
      </w:r>
      <w:bookmarkStart w:id="187" w:name="_Hlk520818796"/>
      <w:r w:rsidRPr="00C64BEE">
        <w:rPr>
          <w:rFonts w:eastAsia="Times New Roman" w:cs="Calibri"/>
          <w:color w:val="000000"/>
          <w:lang w:eastAsia="en-AU"/>
        </w:rPr>
        <w:t xml:space="preserve">Public Sector Management Act </w:t>
      </w:r>
      <w:bookmarkEnd w:id="187"/>
      <w:r w:rsidRPr="00C64BEE">
        <w:rPr>
          <w:rFonts w:eastAsia="Times New Roman" w:cs="Calibri"/>
          <w:color w:val="000000"/>
          <w:lang w:eastAsia="en-AU"/>
        </w:rPr>
        <w:t>is a “Henry VIII” clause, in that is allows (in effect) the amendment of primary legislation (</w:t>
      </w:r>
      <w:proofErr w:type="spellStart"/>
      <w:r w:rsidRPr="00C64BEE">
        <w:rPr>
          <w:rFonts w:eastAsia="Times New Roman" w:cs="Calibri"/>
          <w:color w:val="000000"/>
          <w:lang w:eastAsia="en-AU"/>
        </w:rPr>
        <w:t>ie</w:t>
      </w:r>
      <w:proofErr w:type="spellEnd"/>
      <w:r w:rsidRPr="00C64BEE">
        <w:rPr>
          <w:rFonts w:eastAsia="Times New Roman" w:cs="Calibri"/>
          <w:color w:val="000000"/>
          <w:lang w:eastAsia="en-AU"/>
        </w:rPr>
        <w:t xml:space="preserve"> the Public Sector Management Act) by subordinate legislation (</w:t>
      </w:r>
      <w:proofErr w:type="spellStart"/>
      <w:r w:rsidRPr="00C64BEE">
        <w:rPr>
          <w:rFonts w:eastAsia="Times New Roman" w:cs="Calibri"/>
          <w:color w:val="000000"/>
          <w:lang w:eastAsia="en-AU"/>
        </w:rPr>
        <w:t>ie</w:t>
      </w:r>
      <w:proofErr w:type="spellEnd"/>
      <w:r w:rsidRPr="00C64BEE">
        <w:rPr>
          <w:rFonts w:eastAsia="Times New Roman" w:cs="Calibri"/>
          <w:color w:val="000000"/>
          <w:lang w:eastAsia="en-AU"/>
        </w:rPr>
        <w:t xml:space="preserve"> this subordinate law).  For further discussion of the use of “Henry VIII” clauses, see the Committee’s publication titled </w:t>
      </w:r>
      <w:hyperlink r:id="rId30" w:history="1">
        <w:r w:rsidRPr="00BE16D9">
          <w:rPr>
            <w:rStyle w:val="Hyperlink"/>
            <w:rFonts w:eastAsia="Times New Roman" w:cs="Calibri"/>
            <w:i/>
            <w:lang w:eastAsia="en-AU"/>
          </w:rPr>
          <w:t>Henry VIII clauses—Fact sheet</w:t>
        </w:r>
      </w:hyperlink>
      <w:r w:rsidR="00BE16D9">
        <w:rPr>
          <w:rFonts w:eastAsia="Times New Roman" w:cs="Calibri"/>
          <w:color w:val="000000"/>
          <w:lang w:eastAsia="en-AU"/>
        </w:rPr>
        <w:t>.</w:t>
      </w:r>
      <w:r w:rsidR="00BE16D9">
        <w:rPr>
          <w:rStyle w:val="FootnoteReference"/>
          <w:rFonts w:eastAsia="Times New Roman" w:cs="Calibri"/>
          <w:color w:val="000000"/>
          <w:lang w:eastAsia="en-AU"/>
        </w:rPr>
        <w:footnoteReference w:id="7"/>
      </w:r>
    </w:p>
    <w:p w:rsidR="00A63970" w:rsidRPr="00C64BEE" w:rsidRDefault="00A63970" w:rsidP="00BE16D9">
      <w:pPr>
        <w:widowControl w:val="0"/>
        <w:tabs>
          <w:tab w:val="left" w:pos="1276"/>
        </w:tabs>
        <w:spacing w:before="200" w:after="120"/>
        <w:rPr>
          <w:rFonts w:eastAsia="Times New Roman" w:cs="Calibri"/>
          <w:color w:val="000000"/>
          <w:lang w:eastAsia="en-AU"/>
        </w:rPr>
      </w:pPr>
      <w:r w:rsidRPr="00C64BEE">
        <w:rPr>
          <w:rFonts w:eastAsia="Times New Roman" w:cs="Calibri"/>
          <w:color w:val="000000"/>
          <w:lang w:eastAsia="en-AU"/>
        </w:rPr>
        <w:lastRenderedPageBreak/>
        <w:t>The Committee notes that, by way of explanation for the use of th</w:t>
      </w:r>
      <w:r w:rsidR="006C742E">
        <w:rPr>
          <w:rFonts w:eastAsia="Times New Roman" w:cs="Calibri"/>
          <w:color w:val="000000"/>
          <w:lang w:eastAsia="en-AU"/>
        </w:rPr>
        <w:t>e mechanism provided by section </w:t>
      </w:r>
      <w:r w:rsidRPr="00C64BEE">
        <w:rPr>
          <w:rFonts w:eastAsia="Times New Roman" w:cs="Calibri"/>
          <w:color w:val="000000"/>
          <w:lang w:eastAsia="en-AU"/>
        </w:rPr>
        <w:t>299, in this instance, the explanatory statement for this subordinate law states:</w:t>
      </w:r>
    </w:p>
    <w:p w:rsidR="00A63970" w:rsidRPr="00C64BEE" w:rsidRDefault="00A63970" w:rsidP="006C742E">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In 2016 changes were made to the [Public Sector Management] Act to formally establish the Senior Executive Service, modernising their employment conditions, facilitating executive mobility and further embedding the concept of a values-based service by vesting all employment powers to the Head of Service.  </w:t>
      </w:r>
    </w:p>
    <w:p w:rsidR="00A63970" w:rsidRPr="00C64BEE" w:rsidRDefault="00A63970" w:rsidP="006C742E">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Sections 291, 292 and 293 of the PSM Act provides for the employment contracts for the Head of Service, Directors-General and executives entered into prior to  1 September 2016 to continue until the contract ends. This also provides for the other employment conditions, including the Public Sector Management Standards 2006, applying immediately before 1 September 2016 to continue to operate, even though the PSM Standards 2006 have subsequently been repealed. This was the policy intent at the time of the changes in 2016. </w:t>
      </w:r>
    </w:p>
    <w:p w:rsidR="00A63970" w:rsidRPr="00C64BEE" w:rsidRDefault="00A63970" w:rsidP="006C742E">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Section 55 of the Public Sector Management Standards 2016 (PSM Standards 2016) provides for a consecutive long-term re-engagement of an SES member. </w:t>
      </w:r>
      <w:proofErr w:type="gramStart"/>
      <w:r w:rsidRPr="00C64BEE">
        <w:rPr>
          <w:rFonts w:eastAsia="Times New Roman" w:cs="Calibri"/>
          <w:color w:val="000000"/>
          <w:lang w:eastAsia="en-AU"/>
        </w:rPr>
        <w:t>A  re</w:t>
      </w:r>
      <w:proofErr w:type="gramEnd"/>
      <w:r w:rsidRPr="00C64BEE">
        <w:rPr>
          <w:rFonts w:eastAsia="Times New Roman" w:cs="Calibri"/>
          <w:color w:val="000000"/>
          <w:lang w:eastAsia="en-AU"/>
        </w:rPr>
        <w:t xml:space="preserve">-engagement provision has been in place within the executive employment framework for a number of years. Section 55 allows for a long-term SES member to be re-engaged without an additional merit process if the engager is satisfied that during the engagement, the SES member has met all the expectations set out in the relevant performance agreement. As part of the re-engagement process, an appraisal process is undertaken. If it is decided that the SES member will be re-engaged, the SES member’s engager certifies that it is in the effective and operational interests of the ACT Public Service to re-engage the SES member, and a new employment contract is entered into. </w:t>
      </w:r>
    </w:p>
    <w:p w:rsidR="00A63970" w:rsidRPr="00C64BEE" w:rsidRDefault="00A63970" w:rsidP="006C742E">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Given the operation of sections 291, 292 and 293 of the PSM Act, it has been identified that it is difficult to apply section 55 of the PSM Standards 2016 t</w:t>
      </w:r>
      <w:r w:rsidR="006C742E">
        <w:rPr>
          <w:rFonts w:eastAsia="Times New Roman" w:cs="Calibri"/>
          <w:color w:val="000000"/>
          <w:lang w:eastAsia="en-AU"/>
        </w:rPr>
        <w:t>o executives engaged prior to 1 </w:t>
      </w:r>
      <w:r w:rsidRPr="00C64BEE">
        <w:rPr>
          <w:rFonts w:eastAsia="Times New Roman" w:cs="Calibri"/>
          <w:color w:val="000000"/>
          <w:lang w:eastAsia="en-AU"/>
        </w:rPr>
        <w:t xml:space="preserve">September 2016, when the PSM Standards 2016 commenced. This is a technical and legal issue which is inconsistent with the policy intent of section 55. </w:t>
      </w:r>
    </w:p>
    <w:p w:rsidR="00A63970" w:rsidRPr="00C64BEE" w:rsidRDefault="00A63970" w:rsidP="006C742E">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In order to rectify this technical legal issue, the Public Sector Management (Transitional Provisions) Regulation 2018 has been prepared as a transitional arrangement to allow long-term executives that were engaged prior to 1 September 2016 to be re-engaged as a long-term SES member and associated provisions under the PSM Standards 2016.</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 xml:space="preserve">The Committee notes that, while (on the basis of the explanation in the explanatory statement) it seems clear that this subordinate law deals with an issue that (in the Executive's opinion) is not, or is not adequately or appropriately, dealt with in the Public Sector Management Act, it would be preferable if </w:t>
      </w:r>
      <w:r w:rsidRPr="00C64BEE">
        <w:rPr>
          <w:rFonts w:eastAsia="Times New Roman" w:cs="Calibri"/>
          <w:color w:val="000000"/>
          <w:u w:val="single"/>
          <w:lang w:eastAsia="en-AU"/>
        </w:rPr>
        <w:t>all</w:t>
      </w:r>
      <w:r w:rsidRPr="00C64BEE">
        <w:rPr>
          <w:rFonts w:eastAsia="Times New Roman" w:cs="Calibri"/>
          <w:color w:val="000000"/>
          <w:lang w:eastAsia="en-AU"/>
        </w:rPr>
        <w:t xml:space="preserve"> transitional issues were appropriately dealt with at the time that relevant changes to an Act are made (</w:t>
      </w:r>
      <w:proofErr w:type="spellStart"/>
      <w:r w:rsidRPr="00C64BEE">
        <w:rPr>
          <w:rFonts w:eastAsia="Times New Roman" w:cs="Calibri"/>
          <w:color w:val="000000"/>
          <w:lang w:eastAsia="en-AU"/>
        </w:rPr>
        <w:t>ie</w:t>
      </w:r>
      <w:proofErr w:type="spellEnd"/>
      <w:r w:rsidRPr="00C64BEE">
        <w:rPr>
          <w:rFonts w:eastAsia="Times New Roman" w:cs="Calibri"/>
          <w:color w:val="000000"/>
          <w:lang w:eastAsia="en-AU"/>
        </w:rPr>
        <w:t>, in this case, at the time of the 2016 amendments).  If this was the case, it would not be necessary to rely on provisions such as section 299 of the Public Sector Management Act.</w:t>
      </w:r>
    </w:p>
    <w:p w:rsidR="00A63970" w:rsidRPr="00C64BEE" w:rsidRDefault="00A63970" w:rsidP="009F760C">
      <w:pPr>
        <w:widowControl w:val="0"/>
        <w:tabs>
          <w:tab w:val="left" w:pos="1276"/>
        </w:tabs>
        <w:spacing w:after="120"/>
        <w:rPr>
          <w:rFonts w:eastAsia="Times New Roman" w:cs="Calibri"/>
          <w:b/>
          <w:color w:val="000000"/>
          <w:lang w:eastAsia="en-AU"/>
        </w:rPr>
      </w:pPr>
      <w:r w:rsidRPr="00C64BEE">
        <w:rPr>
          <w:rFonts w:eastAsia="Times New Roman" w:cs="Calibri"/>
          <w:b/>
          <w:color w:val="000000"/>
          <w:lang w:eastAsia="en-AU"/>
        </w:rPr>
        <w:t>This comment does not require a response from the Minister.</w:t>
      </w:r>
    </w:p>
    <w:p w:rsidR="00A63970" w:rsidRPr="00C64BEE" w:rsidRDefault="00A63970" w:rsidP="00C64BEE">
      <w:pPr>
        <w:pStyle w:val="Heading4"/>
        <w:rPr>
          <w:rFonts w:asciiTheme="minorHAnsi" w:eastAsia="Times New Roman" w:hAnsiTheme="minorHAnsi"/>
          <w:b w:val="0"/>
          <w:i/>
          <w:sz w:val="22"/>
          <w:lang w:eastAsia="en-AU"/>
        </w:rPr>
      </w:pPr>
      <w:bookmarkStart w:id="188" w:name="_Toc521054332"/>
      <w:bookmarkStart w:id="189" w:name="_Toc521054404"/>
      <w:r w:rsidRPr="00C64BEE">
        <w:rPr>
          <w:rFonts w:asciiTheme="minorHAnsi" w:eastAsia="Times New Roman" w:hAnsiTheme="minorHAnsi"/>
          <w:b w:val="0"/>
          <w:i/>
          <w:sz w:val="22"/>
          <w:lang w:eastAsia="en-AU"/>
        </w:rPr>
        <w:t>Strict liability offences</w:t>
      </w:r>
      <w:bookmarkEnd w:id="188"/>
      <w:bookmarkEnd w:id="189"/>
    </w:p>
    <w:p w:rsidR="00A63970" w:rsidRPr="006C742E" w:rsidRDefault="00A63970" w:rsidP="006C742E">
      <w:pPr>
        <w:pStyle w:val="ListParagraph"/>
        <w:spacing w:before="180"/>
        <w:ind w:left="0"/>
        <w:rPr>
          <w:b/>
          <w:spacing w:val="-2"/>
        </w:rPr>
      </w:pPr>
      <w:r w:rsidRPr="006C742E">
        <w:rPr>
          <w:b/>
          <w:spacing w:val="-2"/>
        </w:rPr>
        <w:t xml:space="preserve">Subordinate Law SL2018-12 being the Magistrates Court (Domestic Animals Infringement Notices) Amendment Regulation 2018 (No 1) made under the </w:t>
      </w:r>
      <w:r w:rsidRPr="006C742E">
        <w:rPr>
          <w:i/>
          <w:spacing w:val="-2"/>
        </w:rPr>
        <w:t>Magistrates Court Act 1930</w:t>
      </w:r>
      <w:r w:rsidRPr="006C742E">
        <w:rPr>
          <w:b/>
          <w:spacing w:val="-2"/>
        </w:rPr>
        <w:t xml:space="preserve"> provides for new and amendment offences against the Domestic Animals Act 2000, and the </w:t>
      </w:r>
      <w:bookmarkStart w:id="190" w:name="_Hlk520820500"/>
      <w:r w:rsidRPr="006C742E">
        <w:rPr>
          <w:b/>
          <w:spacing w:val="-2"/>
        </w:rPr>
        <w:t>Domestic Animals Regulation 2001</w:t>
      </w:r>
      <w:bookmarkEnd w:id="190"/>
      <w:r w:rsidRPr="006C742E">
        <w:rPr>
          <w:b/>
          <w:spacing w:val="-2"/>
        </w:rPr>
        <w:t>.</w:t>
      </w:r>
    </w:p>
    <w:p w:rsidR="00A63970" w:rsidRPr="00C64BEE" w:rsidRDefault="00A63970" w:rsidP="000971E6">
      <w:pPr>
        <w:keepLines/>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lastRenderedPageBreak/>
        <w:t>The Committee notes that (as reflected by the explanatory statement) amendments made by this subordinate law have (among other things) the effect of increasing the penalties applicable to various strict liability offences contained in the</w:t>
      </w:r>
      <w:r w:rsidRPr="00C64BEE">
        <w:rPr>
          <w:rFonts w:eastAsia="Times New Roman" w:cs="Times New Roman"/>
          <w:sz w:val="24"/>
          <w:szCs w:val="24"/>
          <w:lang w:eastAsia="en-AU"/>
        </w:rPr>
        <w:t xml:space="preserve"> </w:t>
      </w:r>
      <w:r w:rsidRPr="00C64BEE">
        <w:rPr>
          <w:rFonts w:eastAsia="Times New Roman" w:cs="Calibri"/>
          <w:color w:val="000000"/>
          <w:lang w:eastAsia="en-AU"/>
        </w:rPr>
        <w:t>Domestic Animals Regulation 2001.  For example, in relation to the amendments that are effected by new table items 5 and 6 in Part 1.1 of the substituted Schedule 1 to the Domestic Animals Regulation, the explanatory statement to this subordinate law state that the new provisions</w:t>
      </w:r>
    </w:p>
    <w:p w:rsidR="00A63970" w:rsidRPr="00C64BEE" w:rsidRDefault="00A63970" w:rsidP="00FA542A">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 …. [</w:t>
      </w:r>
      <w:proofErr w:type="gramStart"/>
      <w:r w:rsidRPr="00C64BEE">
        <w:rPr>
          <w:rFonts w:eastAsia="Times New Roman" w:cs="Calibri"/>
          <w:color w:val="000000"/>
          <w:lang w:eastAsia="en-AU"/>
        </w:rPr>
        <w:t>substitute</w:t>
      </w:r>
      <w:proofErr w:type="gramEnd"/>
      <w:r w:rsidRPr="00C64BEE">
        <w:rPr>
          <w:rFonts w:eastAsia="Times New Roman" w:cs="Calibri"/>
          <w:color w:val="000000"/>
          <w:lang w:eastAsia="en-AU"/>
        </w:rPr>
        <w:t>] the current infringement penalty of $50 for the strict liability offences against sections 16(1) and 16(2) with a penalty of $150. This increase is considered reasonable and proportionate to the offence.</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A similar explanation is provided in relation to the other offences (including the non-strict liability offences) for which increased penalties are provided.</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However, more detail is provided in relation to the amendments ef</w:t>
      </w:r>
      <w:r w:rsidR="00FA542A">
        <w:rPr>
          <w:rFonts w:eastAsia="Times New Roman" w:cs="Calibri"/>
          <w:color w:val="000000"/>
          <w:lang w:eastAsia="en-AU"/>
        </w:rPr>
        <w:t>fected by new table items 14 to </w:t>
      </w:r>
      <w:r w:rsidRPr="00C64BEE">
        <w:rPr>
          <w:rFonts w:eastAsia="Times New Roman" w:cs="Calibri"/>
          <w:color w:val="000000"/>
          <w:lang w:eastAsia="en-AU"/>
        </w:rPr>
        <w:t xml:space="preserve">16, in relation to which the explanatory statement states that the new provisions </w:t>
      </w:r>
    </w:p>
    <w:p w:rsidR="00A63970" w:rsidRPr="00C64BEE" w:rsidRDefault="00A63970" w:rsidP="00FA542A">
      <w:pPr>
        <w:widowControl w:val="0"/>
        <w:tabs>
          <w:tab w:val="left" w:pos="1276"/>
        </w:tabs>
        <w:spacing w:after="120"/>
        <w:ind w:left="360"/>
        <w:rPr>
          <w:rFonts w:eastAsia="Times New Roman" w:cs="Calibri"/>
          <w:color w:val="000000"/>
          <w:lang w:eastAsia="en-AU"/>
        </w:rPr>
      </w:pPr>
      <w:r w:rsidRPr="00C64BEE">
        <w:rPr>
          <w:rFonts w:eastAsia="Times New Roman" w:cs="Calibri"/>
          <w:color w:val="000000"/>
          <w:lang w:eastAsia="en-AU"/>
        </w:rPr>
        <w:t xml:space="preserve"> …. [</w:t>
      </w:r>
      <w:proofErr w:type="gramStart"/>
      <w:r w:rsidRPr="00C64BEE">
        <w:rPr>
          <w:rFonts w:eastAsia="Times New Roman" w:cs="Calibri"/>
          <w:color w:val="000000"/>
          <w:lang w:eastAsia="en-AU"/>
        </w:rPr>
        <w:t>increase</w:t>
      </w:r>
      <w:proofErr w:type="gramEnd"/>
      <w:r w:rsidRPr="00C64BEE">
        <w:rPr>
          <w:rFonts w:eastAsia="Times New Roman" w:cs="Calibri"/>
          <w:color w:val="000000"/>
          <w:lang w:eastAsia="en-AU"/>
        </w:rPr>
        <w:t>] the infringement penalty amounts for the strict liability offences against sections 39D(1) and 39G(1). The current amount of $150 is not proportionate and does not act as a deterrent given the fees for obtaining registration and a racing greyhound licence that were established on 30 April 2018 are $612 and $640 respectively. The infringement penalty increase to $1,000 is considered reasonable and proportionate and sufficient to act as a deterrent.</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 xml:space="preserve">Similarly, in relation to the amendments effected by new table items 19 to 22, the explanatory statement states that the new provisions </w:t>
      </w:r>
    </w:p>
    <w:p w:rsidR="00A63970" w:rsidRPr="00FA542A" w:rsidRDefault="00A63970" w:rsidP="00FA542A">
      <w:pPr>
        <w:widowControl w:val="0"/>
        <w:tabs>
          <w:tab w:val="left" w:pos="1276"/>
        </w:tabs>
        <w:spacing w:after="120"/>
        <w:ind w:left="360"/>
        <w:rPr>
          <w:rFonts w:eastAsia="Times New Roman" w:cs="Calibri"/>
          <w:color w:val="000000"/>
          <w:lang w:eastAsia="en-AU"/>
        </w:rPr>
      </w:pPr>
      <w:r w:rsidRPr="00FA542A">
        <w:rPr>
          <w:rFonts w:eastAsia="Times New Roman" w:cs="Calibri"/>
          <w:color w:val="000000"/>
          <w:lang w:eastAsia="en-AU"/>
        </w:rPr>
        <w:t xml:space="preserve"> …. [</w:t>
      </w:r>
      <w:proofErr w:type="gramStart"/>
      <w:r w:rsidRPr="00FA542A">
        <w:rPr>
          <w:rFonts w:eastAsia="Times New Roman" w:cs="Calibri"/>
          <w:color w:val="000000"/>
          <w:lang w:eastAsia="en-AU"/>
        </w:rPr>
        <w:t>reflect</w:t>
      </w:r>
      <w:proofErr w:type="gramEnd"/>
      <w:r w:rsidRPr="00FA542A">
        <w:rPr>
          <w:rFonts w:eastAsia="Times New Roman" w:cs="Calibri"/>
          <w:color w:val="000000"/>
          <w:lang w:eastAsia="en-AU"/>
        </w:rPr>
        <w:t xml:space="preserve">] increased maximum penalties for offences under sections 42(1)–(4) consequential on the change to the penalties for these strict liability offences made by the </w:t>
      </w:r>
      <w:r w:rsidR="00FA542A" w:rsidRPr="00FA542A">
        <w:rPr>
          <w:rFonts w:eastAsia="Times New Roman" w:cstheme="majorBidi"/>
          <w:iCs/>
          <w:lang w:eastAsia="en-AU"/>
        </w:rPr>
        <w:t>Domestic Animals (Dangerous Dogs) Legislation Amendment Act 2017</w:t>
      </w:r>
      <w:r w:rsidRPr="00FA542A">
        <w:rPr>
          <w:rFonts w:eastAsia="Times New Roman" w:cstheme="majorBidi"/>
          <w:iCs/>
          <w:smallCaps/>
          <w:lang w:eastAsia="en-AU"/>
        </w:rPr>
        <w:t xml:space="preserve">. </w:t>
      </w:r>
      <w:r w:rsidRPr="00FA542A">
        <w:rPr>
          <w:rFonts w:eastAsia="Times New Roman" w:cstheme="majorBidi"/>
          <w:iCs/>
          <w:lang w:eastAsia="en-AU"/>
        </w:rPr>
        <w:t>The infringement</w:t>
      </w:r>
      <w:r w:rsidR="00145B35">
        <w:rPr>
          <w:rFonts w:eastAsia="Times New Roman" w:cs="Calibri"/>
          <w:color w:val="000000"/>
          <w:lang w:eastAsia="en-AU"/>
        </w:rPr>
        <w:t xml:space="preserve"> penalties for sections </w:t>
      </w:r>
      <w:r w:rsidRPr="00FA542A">
        <w:rPr>
          <w:rFonts w:eastAsia="Times New Roman" w:cs="Calibri"/>
          <w:color w:val="000000"/>
          <w:lang w:eastAsia="en-AU"/>
        </w:rPr>
        <w:t xml:space="preserve">42(2)–(4) have also been increased from $75 to $150. The infringement penalty for section 42(1) has been increased to $350 to reflect the relatively </w:t>
      </w:r>
      <w:r w:rsidRPr="00FA542A">
        <w:rPr>
          <w:rFonts w:eastAsia="Times New Roman" w:cstheme="majorBidi"/>
          <w:iCs/>
          <w:lang w:eastAsia="en-AU"/>
        </w:rPr>
        <w:t>serious nature of this offence. These increases are commensurate with the increase in the</w:t>
      </w:r>
      <w:r w:rsidRPr="00FA542A">
        <w:rPr>
          <w:rFonts w:eastAsia="Times New Roman" w:cs="Calibri"/>
          <w:color w:val="000000"/>
          <w:lang w:eastAsia="en-AU"/>
        </w:rPr>
        <w:t xml:space="preserve"> maximum penalty for the offences and are considered reasonable and proportionate.</w:t>
      </w:r>
    </w:p>
    <w:p w:rsidR="00A63970" w:rsidRPr="00C64BEE" w:rsidRDefault="00A63970" w:rsidP="009F760C">
      <w:pPr>
        <w:widowControl w:val="0"/>
        <w:tabs>
          <w:tab w:val="left" w:pos="1276"/>
        </w:tabs>
        <w:spacing w:after="120"/>
        <w:rPr>
          <w:rFonts w:eastAsia="Calibri" w:cs="Times New Roman"/>
          <w:lang w:eastAsia="en-AU"/>
        </w:rPr>
      </w:pPr>
      <w:r w:rsidRPr="00C64BEE">
        <w:rPr>
          <w:rFonts w:eastAsia="Times New Roman" w:cs="Calibri"/>
          <w:color w:val="000000"/>
          <w:lang w:eastAsia="en-AU"/>
        </w:rPr>
        <w:t xml:space="preserve">The Committee notes that the subordinate law does not appear to create any new strict liability offences.  As a result, there may be an argument that there is no need for the explanatory statement to address the Committee’s long-held views in relation to the justification of strict liability offences (see, </w:t>
      </w:r>
      <w:proofErr w:type="spellStart"/>
      <w:r w:rsidRPr="00C64BEE">
        <w:rPr>
          <w:rFonts w:eastAsia="Times New Roman" w:cs="Calibri"/>
          <w:color w:val="000000"/>
          <w:lang w:eastAsia="en-AU"/>
        </w:rPr>
        <w:t>eg</w:t>
      </w:r>
      <w:proofErr w:type="spellEnd"/>
      <w:r w:rsidRPr="00C64BEE">
        <w:rPr>
          <w:rFonts w:eastAsia="Times New Roman" w:cs="Calibri"/>
          <w:color w:val="000000"/>
          <w:lang w:eastAsia="en-AU"/>
        </w:rPr>
        <w:t xml:space="preserve">, the Committee’s document titled </w:t>
      </w:r>
      <w:hyperlink r:id="rId31" w:history="1">
        <w:r w:rsidR="00FA542A" w:rsidRPr="00FA542A">
          <w:rPr>
            <w:rFonts w:eastAsia="Calibri" w:cs="Times New Roman"/>
            <w:i/>
            <w:color w:val="0000CC"/>
            <w:u w:val="single"/>
          </w:rPr>
          <w:t>Subordinate legislation—Technical and stylistic standards—Tips/Traps</w:t>
        </w:r>
      </w:hyperlink>
      <w:r w:rsidR="00FA542A" w:rsidRPr="00C64BEE">
        <w:rPr>
          <w:rFonts w:eastAsia="Calibri" w:cs="Times New Roman"/>
          <w:vertAlign w:val="superscript"/>
        </w:rPr>
        <w:footnoteReference w:id="8"/>
      </w:r>
      <w:r w:rsidRPr="00C64BEE">
        <w:rPr>
          <w:rFonts w:eastAsia="Calibri" w:cs="Times New Roman"/>
          <w:lang w:eastAsia="en-AU"/>
        </w:rPr>
        <w:t xml:space="preserve">.  However, the Committee suggests that it might have been appropriate, given the number of strict liability offences affected by this subordinate law, for the explanatory statement to this subordinate law to have addressed (and justified) the strict liability offence issue more directly than this explanatory statement actually does, especially given that strict liability offences engage the right to the presumption of innocence, protected by section 22 of the </w:t>
      </w:r>
      <w:r w:rsidRPr="00C64BEE">
        <w:rPr>
          <w:rFonts w:eastAsia="Calibri" w:cs="Times New Roman"/>
          <w:i/>
          <w:lang w:eastAsia="en-AU"/>
        </w:rPr>
        <w:t>Human Rights Act 2004</w:t>
      </w:r>
      <w:r w:rsidRPr="00C64BEE">
        <w:rPr>
          <w:rFonts w:eastAsia="Calibri" w:cs="Times New Roman"/>
          <w:lang w:eastAsia="en-AU"/>
        </w:rPr>
        <w:t>.</w:t>
      </w:r>
    </w:p>
    <w:p w:rsidR="00A63970" w:rsidRPr="00C64BEE" w:rsidRDefault="00A63970" w:rsidP="009F760C">
      <w:pPr>
        <w:widowControl w:val="0"/>
        <w:tabs>
          <w:tab w:val="left" w:pos="1276"/>
        </w:tabs>
        <w:spacing w:after="120"/>
        <w:rPr>
          <w:rFonts w:eastAsia="Times New Roman" w:cs="Calibri"/>
          <w:b/>
          <w:color w:val="000000"/>
          <w:lang w:eastAsia="en-AU"/>
        </w:rPr>
      </w:pPr>
      <w:r w:rsidRPr="00C64BEE">
        <w:rPr>
          <w:rFonts w:eastAsia="Times New Roman" w:cs="Calibri"/>
          <w:b/>
          <w:color w:val="000000"/>
          <w:lang w:eastAsia="en-AU"/>
        </w:rPr>
        <w:t>This comment does not require a response from the Minister.</w:t>
      </w:r>
    </w:p>
    <w:p w:rsidR="00A63970" w:rsidRPr="00C64BEE" w:rsidRDefault="00A63970" w:rsidP="00A63970">
      <w:pPr>
        <w:pStyle w:val="Heading3"/>
        <w:rPr>
          <w:rFonts w:asciiTheme="minorHAnsi" w:eastAsia="Calibri" w:hAnsiTheme="minorHAnsi"/>
          <w:lang w:eastAsia="en-AU"/>
        </w:rPr>
      </w:pPr>
      <w:bookmarkStart w:id="191" w:name="_Toc521054405"/>
      <w:bookmarkStart w:id="192" w:name="_Hlk520799787"/>
      <w:r w:rsidRPr="00C64BEE">
        <w:rPr>
          <w:rFonts w:asciiTheme="minorHAnsi" w:eastAsia="Calibri" w:hAnsiTheme="minorHAnsi"/>
          <w:lang w:eastAsia="en-AU"/>
        </w:rPr>
        <w:lastRenderedPageBreak/>
        <w:t>Regulatory impact statements—No comment</w:t>
      </w:r>
      <w:bookmarkEnd w:id="191"/>
    </w:p>
    <w:p w:rsidR="00A63970" w:rsidRPr="00C64BEE" w:rsidRDefault="00A63970" w:rsidP="00A63970">
      <w:pPr>
        <w:spacing w:before="240" w:after="120"/>
        <w:rPr>
          <w:rFonts w:eastAsia="Times New Roman" w:cs="Times New Roman"/>
        </w:rPr>
      </w:pPr>
      <w:r w:rsidRPr="00C64BEE">
        <w:rPr>
          <w:rFonts w:eastAsia="Times New Roman" w:cs="Times New Roman"/>
        </w:rPr>
        <w:t xml:space="preserve">The Committee has examined the regulatory impact statements for the following disallowable instruments and has no comments on them: </w:t>
      </w:r>
    </w:p>
    <w:bookmarkEnd w:id="192"/>
    <w:p w:rsidR="00A63970" w:rsidRPr="00EC220B" w:rsidRDefault="00A63970" w:rsidP="00A63970">
      <w:pPr>
        <w:numPr>
          <w:ilvl w:val="0"/>
          <w:numId w:val="33"/>
        </w:numPr>
        <w:spacing w:before="120" w:after="120" w:line="240" w:lineRule="auto"/>
        <w:ind w:left="360"/>
        <w:rPr>
          <w:rFonts w:eastAsia="Times New Roman" w:cs="Times New Roman"/>
          <w:b/>
        </w:rPr>
      </w:pPr>
      <w:r w:rsidRPr="00EC220B">
        <w:rPr>
          <w:rFonts w:eastAsia="Times New Roman" w:cs="Times New Roman"/>
          <w:b/>
        </w:rPr>
        <w:t>Disallowable Instrument DI2018-202 being the Utilities (Technical Regulation) (ACT Dam Safety Code) Approval 2018.</w:t>
      </w:r>
    </w:p>
    <w:p w:rsidR="00A63970" w:rsidRPr="00EC220B" w:rsidRDefault="00A63970" w:rsidP="00A63970">
      <w:pPr>
        <w:numPr>
          <w:ilvl w:val="0"/>
          <w:numId w:val="33"/>
        </w:numPr>
        <w:spacing w:before="120" w:after="120" w:line="240" w:lineRule="auto"/>
        <w:ind w:left="360"/>
        <w:rPr>
          <w:rFonts w:eastAsia="Times New Roman" w:cs="Times New Roman"/>
          <w:b/>
        </w:rPr>
      </w:pPr>
      <w:r w:rsidRPr="00EC220B">
        <w:rPr>
          <w:rFonts w:eastAsia="Times New Roman" w:cs="Times New Roman"/>
          <w:b/>
        </w:rPr>
        <w:t xml:space="preserve">Disallowable Instrument DI2018-207 being the Utilities (Technical Regulation) (Electricity </w:t>
      </w:r>
      <w:proofErr w:type="spellStart"/>
      <w:r w:rsidRPr="00EC220B">
        <w:rPr>
          <w:rFonts w:eastAsia="Times New Roman" w:cs="Times New Roman"/>
          <w:b/>
        </w:rPr>
        <w:t>Powerline</w:t>
      </w:r>
      <w:proofErr w:type="spellEnd"/>
      <w:r w:rsidRPr="00EC220B">
        <w:rPr>
          <w:rFonts w:eastAsia="Times New Roman" w:cs="Times New Roman"/>
          <w:b/>
        </w:rPr>
        <w:t xml:space="preserve"> Vegetation Management Code) Approval 2018.</w:t>
      </w:r>
    </w:p>
    <w:p w:rsidR="00E6627C" w:rsidRPr="00C64BEE" w:rsidRDefault="00E6627C" w:rsidP="00E6627C">
      <w:pPr>
        <w:pStyle w:val="Heading3"/>
        <w:rPr>
          <w:rFonts w:asciiTheme="minorHAnsi" w:eastAsia="Calibri" w:hAnsiTheme="minorHAnsi"/>
          <w:lang w:eastAsia="en-AU"/>
        </w:rPr>
      </w:pPr>
      <w:bookmarkStart w:id="193" w:name="_Toc521054406"/>
      <w:r w:rsidRPr="00C64BEE">
        <w:rPr>
          <w:rFonts w:asciiTheme="minorHAnsi" w:eastAsia="Calibri" w:hAnsiTheme="minorHAnsi"/>
          <w:lang w:eastAsia="en-AU"/>
        </w:rPr>
        <w:t>Regulatory impact statement—</w:t>
      </w:r>
      <w:r w:rsidR="00A63970" w:rsidRPr="00C64BEE">
        <w:rPr>
          <w:rFonts w:asciiTheme="minorHAnsi" w:eastAsia="Calibri" w:hAnsiTheme="minorHAnsi"/>
          <w:lang w:eastAsia="en-AU"/>
        </w:rPr>
        <w:t>C</w:t>
      </w:r>
      <w:r w:rsidRPr="00C64BEE">
        <w:rPr>
          <w:rFonts w:asciiTheme="minorHAnsi" w:eastAsia="Calibri" w:hAnsiTheme="minorHAnsi"/>
          <w:lang w:eastAsia="en-AU"/>
        </w:rPr>
        <w:t>omment</w:t>
      </w:r>
      <w:bookmarkEnd w:id="193"/>
    </w:p>
    <w:p w:rsidR="00F735CA" w:rsidRPr="00C64BEE" w:rsidRDefault="00F735CA"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 xml:space="preserve">The Committee has examined the regulatory impact statement for the following </w:t>
      </w:r>
      <w:r w:rsidR="00A63970" w:rsidRPr="00C64BEE">
        <w:rPr>
          <w:rFonts w:eastAsia="Times New Roman" w:cs="Calibri"/>
          <w:color w:val="000000"/>
          <w:lang w:eastAsia="en-AU"/>
        </w:rPr>
        <w:t xml:space="preserve">subordinate </w:t>
      </w:r>
      <w:proofErr w:type="spellStart"/>
      <w:r w:rsidR="00A63970" w:rsidRPr="00C64BEE">
        <w:rPr>
          <w:rFonts w:eastAsia="Times New Roman" w:cs="Calibri"/>
          <w:color w:val="000000"/>
          <w:lang w:eastAsia="en-AU"/>
        </w:rPr>
        <w:t>laaw</w:t>
      </w:r>
      <w:proofErr w:type="spellEnd"/>
      <w:r w:rsidR="00A63970" w:rsidRPr="00C64BEE">
        <w:rPr>
          <w:rFonts w:eastAsia="Times New Roman" w:cs="Calibri"/>
          <w:color w:val="000000"/>
          <w:lang w:eastAsia="en-AU"/>
        </w:rPr>
        <w:t xml:space="preserve"> </w:t>
      </w:r>
      <w:r w:rsidRPr="00C64BEE">
        <w:rPr>
          <w:rFonts w:eastAsia="Times New Roman" w:cs="Calibri"/>
          <w:color w:val="000000"/>
          <w:lang w:eastAsia="en-AU"/>
        </w:rPr>
        <w:t xml:space="preserve">and </w:t>
      </w:r>
      <w:r w:rsidR="00A63970" w:rsidRPr="00C64BEE">
        <w:rPr>
          <w:rFonts w:eastAsia="Times New Roman" w:cs="Calibri"/>
          <w:color w:val="000000"/>
          <w:lang w:eastAsia="en-AU"/>
        </w:rPr>
        <w:t>offers the following comments</w:t>
      </w:r>
      <w:r w:rsidRPr="00C64BEE">
        <w:rPr>
          <w:rFonts w:eastAsia="Times New Roman" w:cs="Calibri"/>
          <w:color w:val="000000"/>
          <w:lang w:eastAsia="en-AU"/>
        </w:rPr>
        <w:t xml:space="preserve"> on it</w:t>
      </w:r>
      <w:r w:rsidR="00384D92" w:rsidRPr="00C64BEE">
        <w:rPr>
          <w:rFonts w:eastAsia="Times New Roman" w:cs="Calibri"/>
          <w:color w:val="000000"/>
          <w:lang w:eastAsia="en-AU"/>
        </w:rPr>
        <w:t>:</w:t>
      </w:r>
    </w:p>
    <w:p w:rsidR="00A63970" w:rsidRPr="00C64BEE" w:rsidRDefault="00A63970" w:rsidP="00C64BEE">
      <w:pPr>
        <w:pStyle w:val="Heading4"/>
        <w:rPr>
          <w:rFonts w:asciiTheme="minorHAnsi" w:eastAsia="Times New Roman" w:hAnsiTheme="minorHAnsi"/>
          <w:b w:val="0"/>
          <w:i/>
          <w:sz w:val="22"/>
          <w:lang w:eastAsia="en-AU"/>
        </w:rPr>
      </w:pPr>
      <w:bookmarkStart w:id="194" w:name="_Toc521054335"/>
      <w:bookmarkStart w:id="195" w:name="_Toc521054407"/>
      <w:r w:rsidRPr="00C64BEE">
        <w:rPr>
          <w:rFonts w:asciiTheme="minorHAnsi" w:eastAsia="Times New Roman" w:hAnsiTheme="minorHAnsi"/>
          <w:b w:val="0"/>
          <w:i/>
          <w:sz w:val="22"/>
          <w:lang w:eastAsia="en-AU"/>
        </w:rPr>
        <w:t>Positive comment</w:t>
      </w:r>
      <w:bookmarkEnd w:id="194"/>
      <w:bookmarkEnd w:id="195"/>
    </w:p>
    <w:p w:rsidR="00A63970" w:rsidRPr="00EC220B" w:rsidRDefault="00A63970" w:rsidP="00EC220B">
      <w:pPr>
        <w:pStyle w:val="ListParagraph"/>
        <w:spacing w:before="180"/>
        <w:ind w:left="0"/>
        <w:rPr>
          <w:b/>
          <w:spacing w:val="-2"/>
        </w:rPr>
      </w:pPr>
      <w:r w:rsidRPr="00EC220B">
        <w:rPr>
          <w:b/>
          <w:spacing w:val="-2"/>
        </w:rPr>
        <w:t>Subordinate Law SL2018-9 being the Waste Management and Resource Recovery (Container Deposit Scheme) Amendment Regulation 2018 (No 1</w:t>
      </w:r>
      <w:r w:rsidR="000A6724" w:rsidRPr="00EC220B">
        <w:rPr>
          <w:b/>
          <w:spacing w:val="-2"/>
        </w:rPr>
        <w:t>)</w:t>
      </w:r>
      <w:r w:rsidRPr="00EC220B">
        <w:rPr>
          <w:b/>
          <w:spacing w:val="-2"/>
        </w:rPr>
        <w:t>.</w:t>
      </w:r>
    </w:p>
    <w:p w:rsidR="00A63970" w:rsidRPr="00C64BEE" w:rsidRDefault="00A63970" w:rsidP="009F760C">
      <w:pPr>
        <w:spacing w:after="120"/>
        <w:rPr>
          <w:rFonts w:eastAsia="Times New Roman" w:cs="Times New Roman"/>
        </w:rPr>
      </w:pPr>
      <w:proofErr w:type="gramStart"/>
      <w:r w:rsidRPr="00C64BEE">
        <w:rPr>
          <w:rFonts w:eastAsia="Times New Roman" w:cs="Times New Roman"/>
        </w:rPr>
        <w:t xml:space="preserve">Section 34 of the </w:t>
      </w:r>
      <w:r w:rsidRPr="00C64BEE">
        <w:rPr>
          <w:rFonts w:eastAsia="Times New Roman" w:cs="Times New Roman"/>
          <w:i/>
        </w:rPr>
        <w:t xml:space="preserve">Legislation Act 2001 </w:t>
      </w:r>
      <w:r w:rsidRPr="00C64BEE">
        <w:rPr>
          <w:rFonts w:eastAsia="Times New Roman" w:cs="Times New Roman"/>
        </w:rPr>
        <w:t>sets out the fundamental requirements relating to the preparation of regulatory impact statements.</w:t>
      </w:r>
      <w:proofErr w:type="gramEnd"/>
      <w:r w:rsidRPr="00C64BEE">
        <w:rPr>
          <w:rFonts w:eastAsia="Times New Roman" w:cs="Times New Roman"/>
        </w:rPr>
        <w:t xml:space="preserve">  Subsection 34(1) provides:</w:t>
      </w:r>
    </w:p>
    <w:p w:rsidR="00A63970" w:rsidRPr="00C64BEE" w:rsidRDefault="00A63970" w:rsidP="000A6724">
      <w:pPr>
        <w:numPr>
          <w:ilvl w:val="0"/>
          <w:numId w:val="35"/>
        </w:numPr>
        <w:spacing w:after="120"/>
        <w:ind w:left="810" w:hanging="450"/>
        <w:rPr>
          <w:rFonts w:eastAsia="Times New Roman" w:cs="Calibri"/>
        </w:rPr>
      </w:pPr>
      <w:r w:rsidRPr="00C64BEE">
        <w:rPr>
          <w:rFonts w:eastAsia="Times New Roman" w:cs="Calibri"/>
          <w:color w:val="000000"/>
        </w:rPr>
        <w:t xml:space="preserve">If a proposed subordinate law or disallowable instrument (the </w:t>
      </w:r>
      <w:r w:rsidRPr="00C64BEE">
        <w:rPr>
          <w:rFonts w:eastAsia="Times New Roman" w:cs="Calibri"/>
          <w:b/>
          <w:bCs/>
          <w:i/>
          <w:iCs/>
          <w:color w:val="000000"/>
        </w:rPr>
        <w:t xml:space="preserve">proposed law </w:t>
      </w:r>
      <w:r w:rsidRPr="00C64BEE">
        <w:rPr>
          <w:rFonts w:eastAsia="Times New Roman" w:cs="Calibri"/>
          <w:color w:val="000000"/>
        </w:rPr>
        <w:t xml:space="preserve">) is likely to impose appreciable costs on the community, or a part of the community, then, before the proposed law is made, the Minister administering the authorising law (the </w:t>
      </w:r>
      <w:r w:rsidRPr="00C64BEE">
        <w:rPr>
          <w:rFonts w:eastAsia="Times New Roman" w:cs="Calibri"/>
          <w:b/>
          <w:bCs/>
          <w:i/>
          <w:iCs/>
          <w:color w:val="000000"/>
        </w:rPr>
        <w:t xml:space="preserve">administering Minister </w:t>
      </w:r>
      <w:r w:rsidRPr="00C64BEE">
        <w:rPr>
          <w:rFonts w:eastAsia="Times New Roman" w:cs="Calibri"/>
          <w:color w:val="000000"/>
        </w:rPr>
        <w:t>) must arrange for a regulatory impact statement to be prepared for the proposed law.</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 xml:space="preserve">Section 35 of the Legislation Act then provides for the content of regulatory impact statements: </w:t>
      </w:r>
    </w:p>
    <w:p w:rsidR="00A63970" w:rsidRPr="00C64BEE" w:rsidRDefault="007751E7" w:rsidP="000A6724">
      <w:pPr>
        <w:tabs>
          <w:tab w:val="left" w:pos="810"/>
          <w:tab w:val="left" w:pos="1350"/>
        </w:tabs>
        <w:spacing w:after="120"/>
        <w:ind w:left="1890" w:hanging="1530"/>
        <w:rPr>
          <w:rFonts w:eastAsia="Times New Roman" w:cs="Calibri"/>
          <w:lang w:eastAsia="en-AU"/>
        </w:rPr>
      </w:pPr>
      <w:r>
        <w:rPr>
          <w:rFonts w:eastAsia="Times New Roman" w:cs="Calibri"/>
          <w:b/>
          <w:bCs/>
          <w:color w:val="000000"/>
          <w:lang w:eastAsia="en-AU"/>
        </w:rPr>
        <w:t>35</w:t>
      </w:r>
      <w:r w:rsidR="000A6724">
        <w:rPr>
          <w:rFonts w:eastAsia="Times New Roman" w:cs="Calibri"/>
          <w:b/>
          <w:bCs/>
          <w:color w:val="000000"/>
          <w:lang w:eastAsia="en-AU"/>
        </w:rPr>
        <w:tab/>
      </w:r>
      <w:r w:rsidR="000A6724">
        <w:rPr>
          <w:rFonts w:eastAsia="Times New Roman" w:cs="Calibri"/>
          <w:b/>
          <w:bCs/>
          <w:color w:val="000000"/>
          <w:lang w:eastAsia="en-AU"/>
        </w:rPr>
        <w:tab/>
      </w:r>
      <w:r w:rsidR="00A63970" w:rsidRPr="00C64BEE">
        <w:rPr>
          <w:rFonts w:eastAsia="Times New Roman" w:cs="Calibri"/>
          <w:b/>
          <w:bCs/>
          <w:color w:val="000000"/>
          <w:lang w:eastAsia="en-AU"/>
        </w:rPr>
        <w:t>Content of regulatory impact statements</w:t>
      </w:r>
      <w:r w:rsidR="00A63970" w:rsidRPr="00C64BEE">
        <w:rPr>
          <w:rFonts w:eastAsia="Times New Roman" w:cs="Calibri"/>
          <w:color w:val="000000"/>
          <w:lang w:eastAsia="en-AU"/>
        </w:rPr>
        <w:t xml:space="preserve"> </w:t>
      </w:r>
    </w:p>
    <w:p w:rsidR="00A63970" w:rsidRPr="00C64BEE" w:rsidRDefault="000A6724" w:rsidP="00D71DE7">
      <w:pPr>
        <w:tabs>
          <w:tab w:val="left" w:pos="810"/>
          <w:tab w:val="left" w:pos="1350"/>
        </w:tabs>
        <w:spacing w:before="160" w:after="0"/>
        <w:ind w:left="1350" w:hanging="99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 xml:space="preserve">A regulatory impact statement for a proposed subordinate law or disallowable instrument (the </w:t>
      </w:r>
      <w:r w:rsidR="00A63970" w:rsidRPr="00C64BEE">
        <w:rPr>
          <w:rFonts w:eastAsia="Times New Roman" w:cs="Calibri"/>
          <w:b/>
          <w:bCs/>
          <w:i/>
          <w:iCs/>
          <w:color w:val="000000"/>
          <w:lang w:eastAsia="en-AU"/>
        </w:rPr>
        <w:t xml:space="preserve">proposed </w:t>
      </w:r>
      <w:proofErr w:type="gramStart"/>
      <w:r w:rsidR="00A63970" w:rsidRPr="00C64BEE">
        <w:rPr>
          <w:rFonts w:eastAsia="Times New Roman" w:cs="Calibri"/>
          <w:b/>
          <w:bCs/>
          <w:i/>
          <w:iCs/>
          <w:color w:val="000000"/>
          <w:lang w:eastAsia="en-AU"/>
        </w:rPr>
        <w:t xml:space="preserve">law </w:t>
      </w:r>
      <w:r w:rsidR="00A63970" w:rsidRPr="00C64BEE">
        <w:rPr>
          <w:rFonts w:eastAsia="Times New Roman" w:cs="Calibri"/>
          <w:color w:val="000000"/>
          <w:lang w:eastAsia="en-AU"/>
        </w:rPr>
        <w:t>)</w:t>
      </w:r>
      <w:proofErr w:type="gramEnd"/>
      <w:r w:rsidR="00A63970" w:rsidRPr="00C64BEE">
        <w:rPr>
          <w:rFonts w:eastAsia="Times New Roman" w:cs="Calibri"/>
          <w:color w:val="000000"/>
          <w:lang w:eastAsia="en-AU"/>
        </w:rPr>
        <w:t xml:space="preserve"> must include the following information about the proposed law in clear and precise language: </w:t>
      </w:r>
    </w:p>
    <w:p w:rsidR="00A63970" w:rsidRPr="00C64BEE" w:rsidRDefault="000A6724" w:rsidP="00BA56D3">
      <w:pPr>
        <w:tabs>
          <w:tab w:val="left" w:pos="810"/>
          <w:tab w:val="left" w:pos="1350"/>
        </w:tabs>
        <w:spacing w:before="200" w:after="0"/>
        <w:ind w:left="1890" w:hanging="153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(a)</w:t>
      </w:r>
      <w:r>
        <w:rPr>
          <w:rFonts w:eastAsia="Times New Roman" w:cs="Calibri"/>
          <w:color w:val="000000"/>
          <w:lang w:eastAsia="en-AU"/>
        </w:rPr>
        <w:tab/>
      </w:r>
      <w:proofErr w:type="gramStart"/>
      <w:r w:rsidR="00A63970" w:rsidRPr="00C64BEE">
        <w:rPr>
          <w:rFonts w:eastAsia="Times New Roman" w:cs="Calibri"/>
          <w:color w:val="000000"/>
          <w:lang w:eastAsia="en-AU"/>
        </w:rPr>
        <w:t>the</w:t>
      </w:r>
      <w:proofErr w:type="gramEnd"/>
      <w:r w:rsidR="00A63970" w:rsidRPr="00C64BEE">
        <w:rPr>
          <w:rFonts w:eastAsia="Times New Roman" w:cs="Calibri"/>
          <w:color w:val="000000"/>
          <w:lang w:eastAsia="en-AU"/>
        </w:rPr>
        <w:t xml:space="preserve"> authorising law; </w:t>
      </w:r>
    </w:p>
    <w:p w:rsidR="00A63970" w:rsidRPr="00C64BEE" w:rsidRDefault="000A6724" w:rsidP="00BA56D3">
      <w:pPr>
        <w:tabs>
          <w:tab w:val="left" w:pos="810"/>
          <w:tab w:val="left" w:pos="1350"/>
        </w:tabs>
        <w:spacing w:before="200" w:after="0"/>
        <w:ind w:left="1890" w:hanging="153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(b)</w:t>
      </w:r>
      <w:r>
        <w:rPr>
          <w:rFonts w:eastAsia="Times New Roman" w:cs="Calibri"/>
          <w:color w:val="000000"/>
          <w:lang w:eastAsia="en-AU"/>
        </w:rPr>
        <w:tab/>
      </w:r>
      <w:proofErr w:type="gramStart"/>
      <w:r w:rsidR="00A63970" w:rsidRPr="00C64BEE">
        <w:rPr>
          <w:rFonts w:eastAsia="Times New Roman" w:cs="Calibri"/>
          <w:color w:val="000000"/>
          <w:lang w:eastAsia="en-AU"/>
        </w:rPr>
        <w:t>a</w:t>
      </w:r>
      <w:proofErr w:type="gramEnd"/>
      <w:r w:rsidR="00A63970" w:rsidRPr="00C64BEE">
        <w:rPr>
          <w:rFonts w:eastAsia="Times New Roman" w:cs="Calibri"/>
          <w:color w:val="000000"/>
          <w:lang w:eastAsia="en-AU"/>
        </w:rPr>
        <w:t xml:space="preserve"> brief statement of the policy objectives of the proposed law and the reasons for them; </w:t>
      </w:r>
    </w:p>
    <w:p w:rsidR="00A63970" w:rsidRPr="00C64BEE" w:rsidRDefault="000A6724" w:rsidP="00BA56D3">
      <w:pPr>
        <w:tabs>
          <w:tab w:val="left" w:pos="810"/>
          <w:tab w:val="left" w:pos="1350"/>
        </w:tabs>
        <w:spacing w:before="200" w:after="0"/>
        <w:ind w:left="1890" w:hanging="153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(c)</w:t>
      </w:r>
      <w:r>
        <w:rPr>
          <w:rFonts w:eastAsia="Times New Roman" w:cs="Calibri"/>
          <w:color w:val="000000"/>
          <w:lang w:eastAsia="en-AU"/>
        </w:rPr>
        <w:tab/>
      </w:r>
      <w:proofErr w:type="gramStart"/>
      <w:r w:rsidR="00A63970" w:rsidRPr="00C64BEE">
        <w:rPr>
          <w:rFonts w:eastAsia="Times New Roman" w:cs="Calibri"/>
          <w:color w:val="000000"/>
          <w:lang w:eastAsia="en-AU"/>
        </w:rPr>
        <w:t>a</w:t>
      </w:r>
      <w:proofErr w:type="gramEnd"/>
      <w:r w:rsidR="00A63970" w:rsidRPr="00C64BEE">
        <w:rPr>
          <w:rFonts w:eastAsia="Times New Roman" w:cs="Calibri"/>
          <w:color w:val="000000"/>
          <w:lang w:eastAsia="en-AU"/>
        </w:rPr>
        <w:t xml:space="preserve"> brief statement of the way the policy objectives will be achieved by the proposed law and why this way of achieving them is reasonable and appropriate; </w:t>
      </w:r>
    </w:p>
    <w:p w:rsidR="00A63970" w:rsidRPr="00C64BEE" w:rsidRDefault="000A6724" w:rsidP="00BA56D3">
      <w:pPr>
        <w:tabs>
          <w:tab w:val="left" w:pos="810"/>
          <w:tab w:val="left" w:pos="1350"/>
        </w:tabs>
        <w:spacing w:before="200" w:after="0"/>
        <w:ind w:left="1890" w:hanging="153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(d)</w:t>
      </w:r>
      <w:r>
        <w:rPr>
          <w:rFonts w:eastAsia="Times New Roman" w:cs="Calibri"/>
          <w:color w:val="000000"/>
          <w:lang w:eastAsia="en-AU"/>
        </w:rPr>
        <w:tab/>
      </w:r>
      <w:proofErr w:type="gramStart"/>
      <w:r w:rsidR="00A63970" w:rsidRPr="00C64BEE">
        <w:rPr>
          <w:rFonts w:eastAsia="Times New Roman" w:cs="Calibri"/>
          <w:color w:val="000000"/>
          <w:lang w:eastAsia="en-AU"/>
        </w:rPr>
        <w:t>a</w:t>
      </w:r>
      <w:proofErr w:type="gramEnd"/>
      <w:r w:rsidR="00A63970" w:rsidRPr="00C64BEE">
        <w:rPr>
          <w:rFonts w:eastAsia="Times New Roman" w:cs="Calibri"/>
          <w:color w:val="000000"/>
          <w:lang w:eastAsia="en-AU"/>
        </w:rPr>
        <w:t xml:space="preserve"> brief explanation of how the proposed law is consistent with the policy objectives of the authorising law; </w:t>
      </w:r>
    </w:p>
    <w:p w:rsidR="00A63970" w:rsidRPr="00C64BEE" w:rsidRDefault="000A6724" w:rsidP="00BA56D3">
      <w:pPr>
        <w:tabs>
          <w:tab w:val="left" w:pos="810"/>
          <w:tab w:val="left" w:pos="1350"/>
        </w:tabs>
        <w:spacing w:before="200" w:after="0"/>
        <w:ind w:left="1890" w:hanging="153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(e)</w:t>
      </w:r>
      <w:r>
        <w:rPr>
          <w:rFonts w:eastAsia="Times New Roman" w:cs="Calibri"/>
          <w:color w:val="000000"/>
          <w:lang w:eastAsia="en-AU"/>
        </w:rPr>
        <w:tab/>
      </w:r>
      <w:proofErr w:type="gramStart"/>
      <w:r w:rsidR="00A63970" w:rsidRPr="00C64BEE">
        <w:rPr>
          <w:rFonts w:eastAsia="Times New Roman" w:cs="Calibri"/>
          <w:color w:val="000000"/>
          <w:lang w:eastAsia="en-AU"/>
        </w:rPr>
        <w:t>if</w:t>
      </w:r>
      <w:proofErr w:type="gramEnd"/>
      <w:r w:rsidR="00A63970" w:rsidRPr="00C64BEE">
        <w:rPr>
          <w:rFonts w:eastAsia="Times New Roman" w:cs="Calibri"/>
          <w:color w:val="000000"/>
          <w:lang w:eastAsia="en-AU"/>
        </w:rPr>
        <w:t xml:space="preserve"> the proposed law is inconsistent with the policy objectives of another territory law— </w:t>
      </w:r>
    </w:p>
    <w:p w:rsidR="00A63970" w:rsidRPr="00C64BEE" w:rsidRDefault="000A6724" w:rsidP="00BA56D3">
      <w:pPr>
        <w:tabs>
          <w:tab w:val="left" w:pos="810"/>
          <w:tab w:val="left" w:pos="1350"/>
          <w:tab w:val="right" w:pos="2070"/>
        </w:tabs>
        <w:spacing w:before="200" w:after="0"/>
        <w:ind w:left="2430" w:hanging="207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w:t>
      </w:r>
      <w:proofErr w:type="spellStart"/>
      <w:r w:rsidR="00A63970" w:rsidRPr="00C64BEE">
        <w:rPr>
          <w:rFonts w:eastAsia="Times New Roman" w:cs="Calibri"/>
          <w:color w:val="000000"/>
          <w:lang w:eastAsia="en-AU"/>
        </w:rPr>
        <w:t>i</w:t>
      </w:r>
      <w:proofErr w:type="spellEnd"/>
      <w:r w:rsidR="00A63970" w:rsidRPr="00C64BEE">
        <w:rPr>
          <w:rFonts w:eastAsia="Times New Roman" w:cs="Calibri"/>
          <w:color w:val="000000"/>
          <w:lang w:eastAsia="en-AU"/>
        </w:rPr>
        <w:t>)</w:t>
      </w:r>
      <w:r>
        <w:rPr>
          <w:rFonts w:eastAsia="Times New Roman" w:cs="Calibri"/>
          <w:color w:val="000000"/>
          <w:lang w:eastAsia="en-AU"/>
        </w:rPr>
        <w:tab/>
      </w:r>
      <w:proofErr w:type="gramStart"/>
      <w:r w:rsidR="00A63970" w:rsidRPr="00C64BEE">
        <w:rPr>
          <w:rFonts w:eastAsia="Times New Roman" w:cs="Calibri"/>
          <w:color w:val="000000"/>
          <w:lang w:eastAsia="en-AU"/>
        </w:rPr>
        <w:t>a</w:t>
      </w:r>
      <w:proofErr w:type="gramEnd"/>
      <w:r w:rsidR="00A63970" w:rsidRPr="00C64BEE">
        <w:rPr>
          <w:rFonts w:eastAsia="Times New Roman" w:cs="Calibri"/>
          <w:color w:val="000000"/>
          <w:lang w:eastAsia="en-AU"/>
        </w:rPr>
        <w:t xml:space="preserve"> brief explanation of the relationship with the other law; and </w:t>
      </w:r>
    </w:p>
    <w:p w:rsidR="00A63970" w:rsidRPr="00C64BEE" w:rsidRDefault="000A6724" w:rsidP="00BA56D3">
      <w:pPr>
        <w:keepNext/>
        <w:tabs>
          <w:tab w:val="left" w:pos="810"/>
          <w:tab w:val="left" w:pos="1350"/>
          <w:tab w:val="right" w:pos="2070"/>
        </w:tabs>
        <w:spacing w:before="200" w:after="0"/>
        <w:ind w:left="2434" w:hanging="2074"/>
        <w:rPr>
          <w:rFonts w:eastAsia="Times New Roman" w:cs="Calibri"/>
          <w:color w:val="000000"/>
          <w:lang w:eastAsia="en-AU"/>
        </w:rPr>
      </w:pPr>
      <w:r>
        <w:rPr>
          <w:rFonts w:eastAsia="Times New Roman" w:cs="Calibri"/>
          <w:color w:val="000000"/>
          <w:lang w:eastAsia="en-AU"/>
        </w:rPr>
        <w:lastRenderedPageBreak/>
        <w:tab/>
      </w: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(ii)</w:t>
      </w:r>
      <w:r>
        <w:rPr>
          <w:rFonts w:eastAsia="Times New Roman" w:cs="Calibri"/>
          <w:color w:val="000000"/>
          <w:lang w:eastAsia="en-AU"/>
        </w:rPr>
        <w:tab/>
      </w:r>
      <w:proofErr w:type="gramStart"/>
      <w:r w:rsidR="00A63970" w:rsidRPr="00C64BEE">
        <w:rPr>
          <w:rFonts w:eastAsia="Times New Roman" w:cs="Calibri"/>
          <w:color w:val="000000"/>
          <w:lang w:eastAsia="en-AU"/>
        </w:rPr>
        <w:t>a</w:t>
      </w:r>
      <w:proofErr w:type="gramEnd"/>
      <w:r w:rsidR="00A63970" w:rsidRPr="00C64BEE">
        <w:rPr>
          <w:rFonts w:eastAsia="Times New Roman" w:cs="Calibri"/>
          <w:color w:val="000000"/>
          <w:lang w:eastAsia="en-AU"/>
        </w:rPr>
        <w:t xml:space="preserve"> brief explanation for the inconsistency; </w:t>
      </w:r>
    </w:p>
    <w:p w:rsidR="00A63970" w:rsidRPr="00C64BEE" w:rsidRDefault="000A6724" w:rsidP="00BA56D3">
      <w:pPr>
        <w:tabs>
          <w:tab w:val="left" w:pos="810"/>
          <w:tab w:val="left" w:pos="1350"/>
        </w:tabs>
        <w:spacing w:before="200" w:after="0"/>
        <w:ind w:left="1890" w:hanging="153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(f)</w:t>
      </w:r>
      <w:r>
        <w:rPr>
          <w:rFonts w:eastAsia="Times New Roman" w:cs="Calibri"/>
          <w:color w:val="000000"/>
          <w:lang w:eastAsia="en-AU"/>
        </w:rPr>
        <w:tab/>
      </w:r>
      <w:proofErr w:type="gramStart"/>
      <w:r w:rsidR="00A63970" w:rsidRPr="00C64BEE">
        <w:rPr>
          <w:rFonts w:eastAsia="Times New Roman" w:cs="Calibri"/>
          <w:color w:val="000000"/>
          <w:lang w:eastAsia="en-AU"/>
        </w:rPr>
        <w:t>if</w:t>
      </w:r>
      <w:proofErr w:type="gramEnd"/>
      <w:r w:rsidR="00A63970" w:rsidRPr="00C64BEE">
        <w:rPr>
          <w:rFonts w:eastAsia="Times New Roman" w:cs="Calibri"/>
          <w:color w:val="000000"/>
          <w:lang w:eastAsia="en-AU"/>
        </w:rPr>
        <w:t xml:space="preserve"> appropriate, a brief statement of any reasonable alternative way of achieving the policy objectives (including the option of not making a subordinate law or disallowable instrument) and why the alternative was rejected; </w:t>
      </w:r>
    </w:p>
    <w:p w:rsidR="00A63970" w:rsidRPr="00C64BEE" w:rsidRDefault="000A6724" w:rsidP="00BA56D3">
      <w:pPr>
        <w:tabs>
          <w:tab w:val="left" w:pos="810"/>
          <w:tab w:val="left" w:pos="1350"/>
        </w:tabs>
        <w:spacing w:before="200" w:after="0"/>
        <w:ind w:left="1890" w:hanging="153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 xml:space="preserve">(g) </w:t>
      </w:r>
      <w:r>
        <w:rPr>
          <w:rFonts w:eastAsia="Times New Roman" w:cs="Calibri"/>
          <w:color w:val="000000"/>
          <w:lang w:eastAsia="en-AU"/>
        </w:rPr>
        <w:tab/>
      </w:r>
      <w:proofErr w:type="gramStart"/>
      <w:r w:rsidR="00A63970" w:rsidRPr="00C64BEE">
        <w:rPr>
          <w:rFonts w:eastAsia="Times New Roman" w:cs="Calibri"/>
          <w:color w:val="000000"/>
          <w:lang w:eastAsia="en-AU"/>
        </w:rPr>
        <w:t>a</w:t>
      </w:r>
      <w:proofErr w:type="gramEnd"/>
      <w:r w:rsidR="00A63970" w:rsidRPr="00C64BEE">
        <w:rPr>
          <w:rFonts w:eastAsia="Times New Roman" w:cs="Calibri"/>
          <w:color w:val="000000"/>
          <w:lang w:eastAsia="en-AU"/>
        </w:rPr>
        <w:t xml:space="preserve"> brief assessment of the benefits and costs of impl</w:t>
      </w:r>
      <w:r w:rsidR="00D71DE7">
        <w:rPr>
          <w:rFonts w:eastAsia="Times New Roman" w:cs="Calibri"/>
          <w:color w:val="000000"/>
          <w:lang w:eastAsia="en-AU"/>
        </w:rPr>
        <w:t>ementing the proposed law that—</w:t>
      </w:r>
    </w:p>
    <w:p w:rsidR="00A63970" w:rsidRPr="00C64BEE" w:rsidRDefault="000A6724" w:rsidP="00BA56D3">
      <w:pPr>
        <w:tabs>
          <w:tab w:val="left" w:pos="810"/>
          <w:tab w:val="left" w:pos="1350"/>
          <w:tab w:val="right" w:pos="2070"/>
        </w:tabs>
        <w:spacing w:before="200" w:after="0"/>
        <w:ind w:left="2430" w:hanging="207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Pr>
          <w:rFonts w:eastAsia="Times New Roman" w:cs="Calibri"/>
          <w:color w:val="000000"/>
          <w:lang w:eastAsia="en-AU"/>
        </w:rPr>
        <w:tab/>
        <w:t>(</w:t>
      </w:r>
      <w:proofErr w:type="spellStart"/>
      <w:r>
        <w:rPr>
          <w:rFonts w:eastAsia="Times New Roman" w:cs="Calibri"/>
          <w:color w:val="000000"/>
          <w:lang w:eastAsia="en-AU"/>
        </w:rPr>
        <w:t>i</w:t>
      </w:r>
      <w:proofErr w:type="spellEnd"/>
      <w:r>
        <w:rPr>
          <w:rFonts w:eastAsia="Times New Roman" w:cs="Calibri"/>
          <w:color w:val="000000"/>
          <w:lang w:eastAsia="en-AU"/>
        </w:rPr>
        <w:t>)</w:t>
      </w:r>
      <w:r>
        <w:rPr>
          <w:rFonts w:eastAsia="Times New Roman" w:cs="Calibri"/>
          <w:color w:val="000000"/>
          <w:lang w:eastAsia="en-AU"/>
        </w:rPr>
        <w:tab/>
      </w:r>
      <w:proofErr w:type="gramStart"/>
      <w:r w:rsidR="00A63970" w:rsidRPr="00C64BEE">
        <w:rPr>
          <w:rFonts w:eastAsia="Times New Roman" w:cs="Calibri"/>
          <w:color w:val="000000"/>
          <w:lang w:eastAsia="en-AU"/>
        </w:rPr>
        <w:t>if</w:t>
      </w:r>
      <w:proofErr w:type="gramEnd"/>
      <w:r w:rsidR="00A63970" w:rsidRPr="00C64BEE">
        <w:rPr>
          <w:rFonts w:eastAsia="Times New Roman" w:cs="Calibri"/>
          <w:color w:val="000000"/>
          <w:lang w:eastAsia="en-AU"/>
        </w:rPr>
        <w:t xml:space="preserve"> practicable and appropriate, quantifies the benefits and costs; and </w:t>
      </w:r>
    </w:p>
    <w:p w:rsidR="00A63970" w:rsidRPr="00C64BEE" w:rsidRDefault="000A6724" w:rsidP="00BA56D3">
      <w:pPr>
        <w:tabs>
          <w:tab w:val="left" w:pos="810"/>
          <w:tab w:val="left" w:pos="1350"/>
          <w:tab w:val="right" w:pos="2070"/>
        </w:tabs>
        <w:spacing w:before="200" w:after="0"/>
        <w:ind w:left="2430" w:hanging="2070"/>
        <w:rPr>
          <w:rFonts w:eastAsia="Times New Roman" w:cs="Calibri"/>
          <w:color w:val="000000"/>
          <w:lang w:eastAsia="en-AU"/>
        </w:rPr>
      </w:pPr>
      <w:r>
        <w:rPr>
          <w:rFonts w:eastAsia="Times New Roman" w:cs="Calibri"/>
          <w:color w:val="000000"/>
          <w:lang w:eastAsia="en-AU"/>
        </w:rPr>
        <w:tab/>
      </w:r>
      <w:r>
        <w:rPr>
          <w:rFonts w:eastAsia="Times New Roman" w:cs="Calibri"/>
          <w:color w:val="000000"/>
          <w:lang w:eastAsia="en-AU"/>
        </w:rPr>
        <w:tab/>
      </w:r>
      <w:r>
        <w:rPr>
          <w:rFonts w:eastAsia="Times New Roman" w:cs="Calibri"/>
          <w:color w:val="000000"/>
          <w:lang w:eastAsia="en-AU"/>
        </w:rPr>
        <w:tab/>
      </w:r>
      <w:r w:rsidR="00A63970" w:rsidRPr="00C64BEE">
        <w:rPr>
          <w:rFonts w:eastAsia="Times New Roman" w:cs="Calibri"/>
          <w:color w:val="000000"/>
          <w:lang w:eastAsia="en-AU"/>
        </w:rPr>
        <w:t>(ii)</w:t>
      </w:r>
      <w:r>
        <w:rPr>
          <w:rFonts w:eastAsia="Times New Roman" w:cs="Calibri"/>
          <w:color w:val="000000"/>
          <w:lang w:eastAsia="en-AU"/>
        </w:rPr>
        <w:tab/>
      </w:r>
      <w:proofErr w:type="gramStart"/>
      <w:r w:rsidR="00A63970" w:rsidRPr="00C64BEE">
        <w:rPr>
          <w:rFonts w:eastAsia="Times New Roman" w:cs="Calibri"/>
          <w:color w:val="000000"/>
          <w:lang w:eastAsia="en-AU"/>
        </w:rPr>
        <w:t>includes</w:t>
      </w:r>
      <w:proofErr w:type="gramEnd"/>
      <w:r w:rsidR="00A63970" w:rsidRPr="00C64BEE">
        <w:rPr>
          <w:rFonts w:eastAsia="Times New Roman" w:cs="Calibri"/>
          <w:color w:val="000000"/>
          <w:lang w:eastAsia="en-AU"/>
        </w:rPr>
        <w:t xml:space="preserve"> a comparison of the benefits and costs with the benefits and costs of any reasonable alternative way of achieving the policy objectives stated under paragraph (f); </w:t>
      </w:r>
    </w:p>
    <w:p w:rsidR="00A63970" w:rsidRPr="00C64BEE" w:rsidRDefault="000A6724" w:rsidP="00BA56D3">
      <w:pPr>
        <w:tabs>
          <w:tab w:val="left" w:pos="810"/>
          <w:tab w:val="left" w:pos="1350"/>
        </w:tabs>
        <w:spacing w:before="200" w:after="0"/>
        <w:ind w:left="1890" w:hanging="1530"/>
        <w:rPr>
          <w:rFonts w:eastAsia="Times New Roman" w:cs="Calibri"/>
          <w:b/>
          <w:color w:val="000000"/>
          <w:lang w:eastAsia="en-AU"/>
        </w:rPr>
      </w:pPr>
      <w:r>
        <w:rPr>
          <w:rFonts w:eastAsia="Times New Roman" w:cs="Calibri"/>
          <w:b/>
          <w:color w:val="000000"/>
          <w:lang w:eastAsia="en-AU"/>
        </w:rPr>
        <w:tab/>
      </w:r>
      <w:r>
        <w:rPr>
          <w:rFonts w:eastAsia="Times New Roman" w:cs="Calibri"/>
          <w:b/>
          <w:color w:val="000000"/>
          <w:lang w:eastAsia="en-AU"/>
        </w:rPr>
        <w:tab/>
      </w:r>
      <w:r w:rsidR="00A63970" w:rsidRPr="00C64BEE">
        <w:rPr>
          <w:rFonts w:eastAsia="Times New Roman" w:cs="Calibri"/>
          <w:b/>
          <w:color w:val="000000"/>
          <w:lang w:eastAsia="en-AU"/>
        </w:rPr>
        <w:t>(h)</w:t>
      </w:r>
      <w:r>
        <w:rPr>
          <w:rFonts w:eastAsia="Times New Roman" w:cs="Calibri"/>
          <w:b/>
          <w:color w:val="000000"/>
          <w:lang w:eastAsia="en-AU"/>
        </w:rPr>
        <w:tab/>
      </w:r>
      <w:proofErr w:type="gramStart"/>
      <w:r w:rsidR="00A63970" w:rsidRPr="00C64BEE">
        <w:rPr>
          <w:rFonts w:eastAsia="Times New Roman" w:cs="Calibri"/>
          <w:b/>
          <w:color w:val="000000"/>
          <w:lang w:eastAsia="en-AU"/>
        </w:rPr>
        <w:t>a</w:t>
      </w:r>
      <w:proofErr w:type="gramEnd"/>
      <w:r w:rsidR="00A63970" w:rsidRPr="00C64BEE">
        <w:rPr>
          <w:rFonts w:eastAsia="Times New Roman" w:cs="Calibri"/>
          <w:b/>
          <w:color w:val="000000"/>
          <w:lang w:eastAsia="en-AU"/>
        </w:rPr>
        <w:t xml:space="preserve"> brief assessment of the consistency of the proposed law with the scrutiny committee principles and, if it is inconsistent with the principles, the reasons for the inconsistency.</w:t>
      </w:r>
      <w:r w:rsidR="00A63970" w:rsidRPr="00C64BEE">
        <w:rPr>
          <w:rFonts w:eastAsia="Times New Roman" w:cs="Calibri"/>
          <w:color w:val="000000"/>
          <w:lang w:eastAsia="en-AU"/>
        </w:rPr>
        <w:t xml:space="preserve"> [</w:t>
      </w:r>
      <w:proofErr w:type="gramStart"/>
      <w:r w:rsidR="00A63970" w:rsidRPr="00C64BEE">
        <w:rPr>
          <w:rFonts w:eastAsia="Times New Roman" w:cs="Calibri"/>
          <w:color w:val="000000"/>
          <w:lang w:eastAsia="en-AU"/>
        </w:rPr>
        <w:t>emphasis</w:t>
      </w:r>
      <w:proofErr w:type="gramEnd"/>
      <w:r w:rsidR="00A63970" w:rsidRPr="00C64BEE">
        <w:rPr>
          <w:rFonts w:eastAsia="Times New Roman" w:cs="Calibri"/>
          <w:color w:val="000000"/>
          <w:lang w:eastAsia="en-AU"/>
        </w:rPr>
        <w:t xml:space="preserve"> added]</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 xml:space="preserve">The Committee’s role in relation to regulatory impact statements arises from paragraph 35(h) above, and from principle (2) of the Committee’s terms of reference, which requires the Committee to consider “whether any explanatory statement or explanatory memorandum associated with legislation </w:t>
      </w:r>
      <w:r w:rsidRPr="00C64BEE">
        <w:rPr>
          <w:rFonts w:eastAsia="Times New Roman" w:cs="Calibri"/>
          <w:color w:val="000000"/>
          <w:u w:val="single"/>
          <w:lang w:eastAsia="en-AU"/>
        </w:rPr>
        <w:t>and any regulatory impact statement</w:t>
      </w:r>
      <w:r w:rsidRPr="00C64BEE">
        <w:rPr>
          <w:rFonts w:eastAsia="Times New Roman" w:cs="Calibri"/>
          <w:color w:val="000000"/>
          <w:lang w:eastAsia="en-AU"/>
        </w:rPr>
        <w:t xml:space="preserve"> meets the technical or stylistic standards expected by the Committee” [emphasis added].</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color w:val="000000"/>
          <w:lang w:eastAsia="en-AU"/>
        </w:rPr>
        <w:t>The Committee notes with approval that the regulatory impact statement for this subordinate law contains a comprehensive and helpful discussion of the consistency of this subordinate law with the Committee’s principles.  In particular (and as noted elsewhere in this Scrutiny Report), the Committee notes that the regulatory impact statement contains a very helpful explanation of the new strict liability offence that is created by new section 64W of the Waste Management and Resource Recovery Regulation 2017.  The Committee commends this approach to other agencies.</w:t>
      </w:r>
    </w:p>
    <w:p w:rsidR="00A63970" w:rsidRPr="00C64BEE" w:rsidRDefault="00A63970" w:rsidP="009F760C">
      <w:pPr>
        <w:widowControl w:val="0"/>
        <w:tabs>
          <w:tab w:val="left" w:pos="1276"/>
        </w:tabs>
        <w:spacing w:after="120"/>
        <w:rPr>
          <w:rFonts w:eastAsia="Times New Roman" w:cs="Calibri"/>
          <w:color w:val="000000"/>
          <w:lang w:eastAsia="en-AU"/>
        </w:rPr>
      </w:pPr>
      <w:r w:rsidRPr="00C64BEE">
        <w:rPr>
          <w:rFonts w:eastAsia="Times New Roman" w:cs="Calibri"/>
          <w:b/>
          <w:color w:val="000000"/>
          <w:lang w:eastAsia="en-AU"/>
        </w:rPr>
        <w:t>This comment does not require a response from the Minister.</w:t>
      </w:r>
    </w:p>
    <w:p w:rsidR="00F23CCD" w:rsidRPr="00C64BEE" w:rsidRDefault="00F23CCD" w:rsidP="00AC094E">
      <w:pPr>
        <w:pStyle w:val="Heading2"/>
        <w:rPr>
          <w:rFonts w:asciiTheme="minorHAnsi" w:eastAsia="Calibri" w:hAnsiTheme="minorHAnsi"/>
          <w:lang w:eastAsia="en-AU"/>
        </w:rPr>
      </w:pPr>
      <w:bookmarkStart w:id="196" w:name="_Toc521054408"/>
      <w:r w:rsidRPr="00C64BEE">
        <w:rPr>
          <w:rFonts w:asciiTheme="minorHAnsi" w:eastAsia="Calibri" w:hAnsiTheme="minorHAnsi"/>
          <w:lang w:eastAsia="en-AU"/>
        </w:rPr>
        <w:t>Government Responses</w:t>
      </w:r>
      <w:bookmarkEnd w:id="152"/>
      <w:bookmarkEnd w:id="182"/>
      <w:bookmarkEnd w:id="196"/>
    </w:p>
    <w:p w:rsidR="00216794" w:rsidRPr="00C64BEE" w:rsidRDefault="00216794" w:rsidP="00216794">
      <w:pPr>
        <w:pStyle w:val="ListParagraph"/>
        <w:numPr>
          <w:ilvl w:val="0"/>
          <w:numId w:val="13"/>
        </w:numPr>
        <w:spacing w:before="160"/>
        <w:ind w:left="360"/>
        <w:contextualSpacing w:val="0"/>
      </w:pPr>
      <w:r w:rsidRPr="00C64BEE">
        <w:t xml:space="preserve">The </w:t>
      </w:r>
      <w:r>
        <w:t>Minister for the Environment and Heritage</w:t>
      </w:r>
      <w:r w:rsidRPr="00C64BEE">
        <w:t xml:space="preserve">, dated </w:t>
      </w:r>
      <w:r>
        <w:t>30 July</w:t>
      </w:r>
      <w:r w:rsidRPr="00C64BEE">
        <w:t xml:space="preserve"> 2018, in relation to comments made in Scrutiny Report 1</w:t>
      </w:r>
      <w:r>
        <w:t>9</w:t>
      </w:r>
      <w:r w:rsidRPr="00C64BEE">
        <w:t xml:space="preserve"> concerning the </w:t>
      </w:r>
      <w:r>
        <w:t xml:space="preserve">Animal Diseases Amendment Bill </w:t>
      </w:r>
      <w:r w:rsidRPr="00C64BEE">
        <w:t>2018.</w:t>
      </w:r>
    </w:p>
    <w:p w:rsidR="00195221" w:rsidRDefault="002A5344" w:rsidP="005A0384">
      <w:pPr>
        <w:pStyle w:val="ListParagraph"/>
        <w:numPr>
          <w:ilvl w:val="0"/>
          <w:numId w:val="13"/>
        </w:numPr>
        <w:spacing w:before="160"/>
        <w:ind w:left="360"/>
        <w:contextualSpacing w:val="0"/>
      </w:pPr>
      <w:r w:rsidRPr="00C64BEE">
        <w:t xml:space="preserve">The </w:t>
      </w:r>
      <w:r w:rsidR="009A1EC2" w:rsidRPr="00C64BEE">
        <w:t xml:space="preserve">Minister for </w:t>
      </w:r>
      <w:r w:rsidR="006E0EDD">
        <w:t>Disability, Children and Youth</w:t>
      </w:r>
      <w:r w:rsidR="001E6B45" w:rsidRPr="00C64BEE">
        <w:t xml:space="preserve">, </w:t>
      </w:r>
      <w:r w:rsidR="006E0EDD">
        <w:t>undated</w:t>
      </w:r>
      <w:r w:rsidR="001E6B45" w:rsidRPr="00C64BEE">
        <w:t>, in relation to comments made in Scrutiny Report </w:t>
      </w:r>
      <w:r w:rsidR="006E0EDD">
        <w:t>19</w:t>
      </w:r>
      <w:r w:rsidR="001E6B45" w:rsidRPr="00C64BEE">
        <w:t xml:space="preserve"> concerning </w:t>
      </w:r>
      <w:r w:rsidR="006E0EDD">
        <w:t>the Senior Practitioner Bill 2018.</w:t>
      </w:r>
    </w:p>
    <w:p w:rsidR="001B457B" w:rsidRPr="00C64BEE" w:rsidRDefault="001B457B" w:rsidP="005A0384">
      <w:pPr>
        <w:pStyle w:val="ListParagraph"/>
        <w:numPr>
          <w:ilvl w:val="0"/>
          <w:numId w:val="13"/>
        </w:numPr>
        <w:spacing w:before="160"/>
        <w:ind w:left="360"/>
        <w:contextualSpacing w:val="0"/>
      </w:pPr>
      <w:r>
        <w:t>Minister for Transport and City Services, dated 3 August 2018, in relation to comments made in Scrutiny Report 18 concerning the Veterinary Practice Bill 2018.</w:t>
      </w:r>
    </w:p>
    <w:p w:rsidR="000C59EC" w:rsidRPr="00C64BEE" w:rsidRDefault="00C91B80" w:rsidP="005A0384">
      <w:pPr>
        <w:ind w:left="360"/>
        <w:rPr>
          <w:lang w:eastAsia="en-AU"/>
        </w:rPr>
      </w:pPr>
      <w:hyperlink r:id="rId32" w:history="1">
        <w:r w:rsidR="000C59EC" w:rsidRPr="00C64BEE">
          <w:rPr>
            <w:rStyle w:val="Hyperlink"/>
            <w:b/>
            <w:lang w:eastAsia="en-AU"/>
          </w:rPr>
          <w:t>These responses</w:t>
        </w:r>
      </w:hyperlink>
      <w:r w:rsidR="000C59EC" w:rsidRPr="00C64BEE">
        <w:rPr>
          <w:lang w:eastAsia="en-AU"/>
        </w:rPr>
        <w:t xml:space="preserve"> </w:t>
      </w:r>
      <w:r w:rsidR="002A5344" w:rsidRPr="00C64BEE">
        <w:rPr>
          <w:rStyle w:val="FootnoteReference"/>
          <w:b/>
          <w:i/>
          <w:lang w:eastAsia="en-AU"/>
        </w:rPr>
        <w:footnoteReference w:id="9"/>
      </w:r>
      <w:r w:rsidR="000C59EC" w:rsidRPr="00C64BEE">
        <w:rPr>
          <w:b/>
          <w:i/>
          <w:lang w:eastAsia="en-AU"/>
        </w:rPr>
        <w:t>can be viewed online</w:t>
      </w:r>
      <w:r w:rsidR="002A5344" w:rsidRPr="00C64BEE">
        <w:rPr>
          <w:b/>
          <w:i/>
          <w:lang w:eastAsia="en-AU"/>
        </w:rPr>
        <w:t>.</w:t>
      </w:r>
    </w:p>
    <w:p w:rsidR="00877BEB" w:rsidRPr="00C64BEE" w:rsidRDefault="00EE1E11" w:rsidP="00BA56D3">
      <w:pPr>
        <w:keepNext/>
        <w:rPr>
          <w:lang w:eastAsia="en-AU"/>
        </w:rPr>
      </w:pPr>
      <w:r w:rsidRPr="00C64BEE">
        <w:rPr>
          <w:lang w:eastAsia="en-AU"/>
        </w:rPr>
        <w:lastRenderedPageBreak/>
        <w:t xml:space="preserve">The Committee wishes to thank the </w:t>
      </w:r>
      <w:r w:rsidR="00C56DC3">
        <w:rPr>
          <w:lang w:eastAsia="en-AU"/>
        </w:rPr>
        <w:t xml:space="preserve">Minister for </w:t>
      </w:r>
      <w:r w:rsidR="006B3BAF">
        <w:rPr>
          <w:lang w:eastAsia="en-AU"/>
        </w:rPr>
        <w:t>the Environment and Heritage</w:t>
      </w:r>
      <w:r w:rsidR="001B457B">
        <w:rPr>
          <w:lang w:eastAsia="en-AU"/>
        </w:rPr>
        <w:t>,</w:t>
      </w:r>
      <w:r w:rsidR="00F204EB">
        <w:rPr>
          <w:lang w:eastAsia="en-AU"/>
        </w:rPr>
        <w:t xml:space="preserve"> the Minister for </w:t>
      </w:r>
      <w:r w:rsidR="006B3BAF">
        <w:rPr>
          <w:lang w:eastAsia="en-AU"/>
        </w:rPr>
        <w:t>Disability, Children and Youth</w:t>
      </w:r>
      <w:r w:rsidR="001B457B">
        <w:rPr>
          <w:lang w:eastAsia="en-AU"/>
        </w:rPr>
        <w:t xml:space="preserve"> and the Minister for Transport and City Services</w:t>
      </w:r>
      <w:r w:rsidR="006B3BAF" w:rsidRPr="00C64BEE">
        <w:rPr>
          <w:lang w:eastAsia="en-AU"/>
        </w:rPr>
        <w:t xml:space="preserve"> </w:t>
      </w:r>
      <w:r w:rsidR="00FD17DA" w:rsidRPr="00C64BEE">
        <w:rPr>
          <w:lang w:eastAsia="en-AU"/>
        </w:rPr>
        <w:t>for their helpful responses</w:t>
      </w:r>
      <w:r w:rsidRPr="00C64BEE">
        <w:rPr>
          <w:lang w:eastAsia="en-AU"/>
        </w:rPr>
        <w:t>.</w:t>
      </w:r>
    </w:p>
    <w:p w:rsidR="004F019A" w:rsidRPr="00C64BEE" w:rsidRDefault="00D04D26" w:rsidP="007F4348">
      <w:pPr>
        <w:spacing w:before="1300" w:after="0"/>
      </w:pPr>
      <w:r>
        <w:t>Bec Cody</w:t>
      </w:r>
      <w:r w:rsidR="004F019A" w:rsidRPr="00C64BEE">
        <w:t xml:space="preserve"> MLA</w:t>
      </w:r>
    </w:p>
    <w:p w:rsidR="004F019A" w:rsidRPr="00C64BEE" w:rsidRDefault="00D04D26" w:rsidP="00AA3302">
      <w:pPr>
        <w:spacing w:before="0"/>
      </w:pPr>
      <w:r>
        <w:t xml:space="preserve">Acting </w:t>
      </w:r>
      <w:r w:rsidR="004F019A" w:rsidRPr="00C64BEE">
        <w:t>Chair</w:t>
      </w:r>
    </w:p>
    <w:p w:rsidR="00C14637" w:rsidRPr="00C64BEE" w:rsidRDefault="00D04D26" w:rsidP="004F019A">
      <w:r>
        <w:t>7</w:t>
      </w:r>
      <w:r w:rsidR="00BA56D3">
        <w:t xml:space="preserve"> August</w:t>
      </w:r>
      <w:r w:rsidR="004F019A" w:rsidRPr="00C64BEE">
        <w:t xml:space="preserve"> 201</w:t>
      </w:r>
      <w:r w:rsidR="00B358EB" w:rsidRPr="00C64BEE">
        <w:t>8</w:t>
      </w:r>
    </w:p>
    <w:p w:rsidR="003F186C" w:rsidRPr="00C64BEE" w:rsidRDefault="003F186C" w:rsidP="004F019A">
      <w:pPr>
        <w:sectPr w:rsidR="003F186C" w:rsidRPr="00C64BEE" w:rsidSect="00B13710">
          <w:headerReference w:type="even" r:id="rId33"/>
          <w:footerReference w:type="even" r:id="rId34"/>
          <w:footerReference w:type="default" r:id="rId35"/>
          <w:pgSz w:w="11906" w:h="16838"/>
          <w:pgMar w:top="1710" w:right="1440" w:bottom="990" w:left="1440" w:header="708" w:footer="543" w:gutter="0"/>
          <w:pgNumType w:start="1"/>
          <w:cols w:space="708"/>
          <w:docGrid w:linePitch="360"/>
        </w:sectPr>
      </w:pPr>
    </w:p>
    <w:p w:rsidR="003F186C" w:rsidRPr="00C64BEE" w:rsidRDefault="003F186C" w:rsidP="00AC094E">
      <w:pPr>
        <w:pStyle w:val="Heading2"/>
        <w:rPr>
          <w:rFonts w:asciiTheme="minorHAnsi" w:hAnsiTheme="minorHAnsi"/>
        </w:rPr>
      </w:pPr>
      <w:bookmarkStart w:id="197" w:name="_Toc514837979"/>
      <w:bookmarkStart w:id="198" w:name="_Toc521054409"/>
      <w:r w:rsidRPr="00C64BEE">
        <w:rPr>
          <w:rFonts w:asciiTheme="minorHAnsi" w:hAnsiTheme="minorHAnsi"/>
        </w:rPr>
        <w:lastRenderedPageBreak/>
        <w:t>Outstanding Responses</w:t>
      </w:r>
      <w:bookmarkEnd w:id="197"/>
      <w:bookmarkEnd w:id="198"/>
    </w:p>
    <w:p w:rsidR="003F186C" w:rsidRPr="00C64BEE" w:rsidRDefault="003F186C" w:rsidP="003F186C">
      <w:pPr>
        <w:pStyle w:val="Heading3"/>
        <w:rPr>
          <w:rFonts w:asciiTheme="minorHAnsi" w:hAnsiTheme="minorHAnsi"/>
        </w:rPr>
      </w:pPr>
      <w:bookmarkStart w:id="199" w:name="_Toc505005688"/>
      <w:bookmarkStart w:id="200" w:name="_Toc505153779"/>
      <w:bookmarkStart w:id="201" w:name="_Toc508283444"/>
      <w:bookmarkStart w:id="202" w:name="_Toc510081804"/>
      <w:bookmarkStart w:id="203" w:name="_Toc511812230"/>
      <w:bookmarkStart w:id="204" w:name="_Toc512240173"/>
      <w:bookmarkStart w:id="205" w:name="_Toc513192173"/>
      <w:bookmarkStart w:id="206" w:name="_Toc514832434"/>
      <w:bookmarkStart w:id="207" w:name="_Toc514837980"/>
      <w:bookmarkStart w:id="208" w:name="_Toc514838144"/>
      <w:bookmarkStart w:id="209" w:name="_Toc514943619"/>
      <w:bookmarkStart w:id="210" w:name="_Toc515352064"/>
      <w:bookmarkStart w:id="211" w:name="_Toc518297261"/>
      <w:bookmarkStart w:id="212" w:name="_Toc519520755"/>
      <w:bookmarkStart w:id="213" w:name="_Toc520188735"/>
      <w:bookmarkStart w:id="214" w:name="_Toc521054338"/>
      <w:bookmarkStart w:id="215" w:name="_Toc521054410"/>
      <w:r w:rsidRPr="00C64BEE">
        <w:rPr>
          <w:rFonts w:asciiTheme="minorHAnsi" w:hAnsiTheme="minorHAnsi"/>
        </w:rPr>
        <w:t>Bills/Subordinate Legislation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3C73B2" w:rsidRPr="00C64BEE" w:rsidRDefault="003C73B2" w:rsidP="00034823">
      <w:pPr>
        <w:pStyle w:val="ListParagraph"/>
        <w:numPr>
          <w:ilvl w:val="0"/>
          <w:numId w:val="12"/>
        </w:numPr>
        <w:ind w:left="360"/>
        <w:rPr>
          <w:b/>
        </w:rPr>
      </w:pPr>
      <w:r w:rsidRPr="00C64BEE">
        <w:rPr>
          <w:b/>
        </w:rPr>
        <w:t>Report 7, dated 18 July 2017</w:t>
      </w:r>
    </w:p>
    <w:p w:rsidR="003C73B2" w:rsidRPr="00C64BEE" w:rsidRDefault="003C73B2" w:rsidP="00034823">
      <w:pPr>
        <w:pStyle w:val="ListParagraph"/>
        <w:numPr>
          <w:ilvl w:val="0"/>
          <w:numId w:val="14"/>
        </w:numPr>
        <w:spacing w:before="120" w:after="0"/>
        <w:ind w:left="720"/>
      </w:pPr>
      <w:r w:rsidRPr="00C64BEE">
        <w:t>Crimes (Intimate Image Abuse) Amendment Bill 2017 (PMB)</w:t>
      </w:r>
      <w:r w:rsidR="00167537" w:rsidRPr="00C64BEE">
        <w:t>.</w:t>
      </w:r>
    </w:p>
    <w:p w:rsidR="003C73B2" w:rsidRPr="00C64BEE" w:rsidRDefault="003C73B2" w:rsidP="001A46D3">
      <w:pPr>
        <w:pStyle w:val="ListParagraph"/>
        <w:numPr>
          <w:ilvl w:val="0"/>
          <w:numId w:val="12"/>
        </w:numPr>
        <w:spacing w:before="120" w:after="0"/>
        <w:ind w:left="360"/>
        <w:contextualSpacing w:val="0"/>
        <w:rPr>
          <w:b/>
        </w:rPr>
      </w:pPr>
      <w:r w:rsidRPr="00C64BEE">
        <w:rPr>
          <w:b/>
        </w:rPr>
        <w:t>Report 8, dated 8 August 2017</w:t>
      </w:r>
    </w:p>
    <w:p w:rsidR="003C73B2" w:rsidRPr="00C64BEE" w:rsidRDefault="003C73B2" w:rsidP="00034823">
      <w:pPr>
        <w:pStyle w:val="ListParagraph"/>
        <w:numPr>
          <w:ilvl w:val="0"/>
          <w:numId w:val="14"/>
        </w:numPr>
        <w:spacing w:before="120" w:after="0"/>
        <w:ind w:left="720"/>
      </w:pPr>
      <w:r w:rsidRPr="00C64BEE">
        <w:t>Crimes (Invasion of Privacy) Amendment Bill 2017 (PMB)</w:t>
      </w:r>
      <w:r w:rsidR="00167537" w:rsidRPr="00C64BEE">
        <w:t>.</w:t>
      </w:r>
    </w:p>
    <w:p w:rsidR="00E075AA" w:rsidRPr="00C64BEE" w:rsidRDefault="00E075AA" w:rsidP="001A46D3">
      <w:pPr>
        <w:pStyle w:val="ListParagraph"/>
        <w:numPr>
          <w:ilvl w:val="0"/>
          <w:numId w:val="12"/>
        </w:numPr>
        <w:spacing w:before="120" w:after="0"/>
        <w:ind w:left="360"/>
        <w:contextualSpacing w:val="0"/>
        <w:rPr>
          <w:b/>
        </w:rPr>
      </w:pPr>
      <w:r w:rsidRPr="00C64BEE">
        <w:rPr>
          <w:b/>
        </w:rPr>
        <w:t>Report 12, dated 21 November 2017</w:t>
      </w:r>
    </w:p>
    <w:p w:rsidR="00E075AA" w:rsidRPr="00C64BEE" w:rsidRDefault="00E075AA" w:rsidP="00034823">
      <w:pPr>
        <w:pStyle w:val="ListParagraph"/>
        <w:numPr>
          <w:ilvl w:val="0"/>
          <w:numId w:val="14"/>
        </w:numPr>
        <w:ind w:left="720"/>
      </w:pPr>
      <w:r w:rsidRPr="00C64BEE">
        <w:t>Crimes (Criminal Organisation Control) Bill 2017</w:t>
      </w:r>
      <w:r w:rsidR="00C01433" w:rsidRPr="00C64BEE">
        <w:t xml:space="preserve"> (PMB)</w:t>
      </w:r>
      <w:r w:rsidR="00167537" w:rsidRPr="00C64BEE">
        <w:t>.</w:t>
      </w:r>
    </w:p>
    <w:p w:rsidR="002A5344" w:rsidRPr="00C64BEE" w:rsidRDefault="002A5344" w:rsidP="002A5344">
      <w:pPr>
        <w:pStyle w:val="ListParagraph"/>
        <w:numPr>
          <w:ilvl w:val="0"/>
          <w:numId w:val="12"/>
        </w:numPr>
        <w:spacing w:before="240" w:after="0"/>
        <w:ind w:left="360"/>
        <w:contextualSpacing w:val="0"/>
        <w:rPr>
          <w:b/>
        </w:rPr>
      </w:pPr>
      <w:r w:rsidRPr="00C64BEE">
        <w:rPr>
          <w:b/>
        </w:rPr>
        <w:t>Report 17, dated 4 May 2018</w:t>
      </w:r>
    </w:p>
    <w:p w:rsidR="002A5344" w:rsidRPr="00C64BEE" w:rsidRDefault="002A5344" w:rsidP="002A5344">
      <w:pPr>
        <w:pStyle w:val="ListParagraph"/>
        <w:numPr>
          <w:ilvl w:val="0"/>
          <w:numId w:val="14"/>
        </w:numPr>
        <w:spacing w:before="120" w:after="0"/>
        <w:ind w:left="720"/>
      </w:pPr>
      <w:r w:rsidRPr="00C64BEE">
        <w:t>Crimes (Consent) Amendment Bill 2018 (PMB).</w:t>
      </w:r>
    </w:p>
    <w:p w:rsidR="00B6224C" w:rsidRPr="00C64BEE" w:rsidRDefault="00B6224C" w:rsidP="00B6224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C64BEE">
        <w:rPr>
          <w:b/>
        </w:rPr>
        <w:t>Report 19, dated 24 July 2018</w:t>
      </w:r>
    </w:p>
    <w:p w:rsidR="00B6224C" w:rsidRPr="00C64BEE" w:rsidRDefault="00B6224C" w:rsidP="00B6224C">
      <w:pPr>
        <w:pStyle w:val="ListParagraph"/>
        <w:numPr>
          <w:ilvl w:val="0"/>
          <w:numId w:val="14"/>
        </w:numPr>
        <w:spacing w:before="120" w:after="0"/>
        <w:ind w:left="720"/>
      </w:pPr>
      <w:r w:rsidRPr="00C64BEE">
        <w:t>Anti-corruption and Integrity Commission Bill 2018 (PMB)</w:t>
      </w:r>
    </w:p>
    <w:sectPr w:rsidR="00B6224C" w:rsidRPr="00C64BEE"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87" w:rsidRDefault="00062087" w:rsidP="000B0846">
      <w:pPr>
        <w:spacing w:after="0" w:line="240" w:lineRule="auto"/>
      </w:pPr>
      <w:r>
        <w:separator/>
      </w:r>
    </w:p>
  </w:endnote>
  <w:endnote w:type="continuationSeparator" w:id="0">
    <w:p w:rsidR="00062087" w:rsidRDefault="00062087"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Default="00062087">
    <w:pPr>
      <w:pStyle w:val="Footer"/>
    </w:pPr>
  </w:p>
  <w:p w:rsidR="00062087" w:rsidRDefault="00062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Default="00062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Default="000620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7"/>
      <w:docPartObj>
        <w:docPartGallery w:val="Page Numbers (Bottom of Page)"/>
        <w:docPartUnique/>
      </w:docPartObj>
    </w:sdtPr>
    <w:sdtEndPr>
      <w:rPr>
        <w:noProof/>
      </w:rPr>
    </w:sdtEndPr>
    <w:sdtContent>
      <w:p w:rsidR="00062087" w:rsidRDefault="00C91B80">
        <w:pPr>
          <w:pStyle w:val="Footer"/>
        </w:pPr>
        <w:fldSimple w:instr=" PAGE   \* MERGEFORMAT ">
          <w:r w:rsidR="00B07FFA">
            <w:rPr>
              <w:noProof/>
            </w:rPr>
            <w:t>ii</w:t>
          </w:r>
        </w:fldSimple>
      </w:p>
    </w:sdtContent>
  </w:sdt>
  <w:p w:rsidR="00062087" w:rsidRDefault="0006208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8"/>
      <w:docPartObj>
        <w:docPartGallery w:val="Page Numbers (Bottom of Page)"/>
        <w:docPartUnique/>
      </w:docPartObj>
    </w:sdtPr>
    <w:sdtEndPr>
      <w:rPr>
        <w:noProof/>
      </w:rPr>
    </w:sdtEndPr>
    <w:sdtContent>
      <w:p w:rsidR="00062087" w:rsidRDefault="00C91B80">
        <w:pPr>
          <w:pStyle w:val="Footer"/>
          <w:jc w:val="right"/>
        </w:pPr>
        <w:fldSimple w:instr=" PAGE   \* MERGEFORMAT ">
          <w:r w:rsidR="00B07FFA">
            <w:rPr>
              <w:noProof/>
            </w:rPr>
            <w:t>iii</w:t>
          </w:r>
        </w:fldSimple>
      </w:p>
    </w:sdtContent>
  </w:sdt>
  <w:p w:rsidR="00062087" w:rsidRDefault="0006208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Default="0006208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Pr="00EE534B" w:rsidRDefault="00C91B80">
    <w:pPr>
      <w:pStyle w:val="Footer"/>
      <w:rPr>
        <w:sz w:val="18"/>
        <w:szCs w:val="18"/>
      </w:rPr>
    </w:pPr>
    <w:fldSimple w:instr=" PAGE   \* MERGEFORMAT ">
      <w:r w:rsidR="00B07FFA">
        <w:rPr>
          <w:noProof/>
        </w:rPr>
        <w:t>28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062087" w:rsidRPr="00EE534B" w:rsidRDefault="00C91B80">
        <w:pPr>
          <w:pStyle w:val="Footer"/>
          <w:jc w:val="right"/>
          <w:rPr>
            <w:sz w:val="18"/>
            <w:szCs w:val="18"/>
          </w:rPr>
        </w:pPr>
        <w:fldSimple w:instr=" PAGE   \* MERGEFORMAT ">
          <w:r w:rsidR="00B07FFA">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87" w:rsidRDefault="00062087" w:rsidP="000B0846">
      <w:pPr>
        <w:spacing w:after="0" w:line="240" w:lineRule="auto"/>
      </w:pPr>
      <w:r>
        <w:separator/>
      </w:r>
    </w:p>
  </w:footnote>
  <w:footnote w:type="continuationSeparator" w:id="0">
    <w:p w:rsidR="00062087" w:rsidRDefault="00062087" w:rsidP="000B0846">
      <w:pPr>
        <w:spacing w:after="0" w:line="240" w:lineRule="auto"/>
      </w:pPr>
      <w:r>
        <w:continuationSeparator/>
      </w:r>
    </w:p>
  </w:footnote>
  <w:footnote w:id="1">
    <w:p w:rsidR="00062087" w:rsidRDefault="00062087" w:rsidP="00B62440">
      <w:pPr>
        <w:pStyle w:val="FootnoteText"/>
      </w:pPr>
      <w:r>
        <w:rPr>
          <w:rStyle w:val="FootnoteReference"/>
        </w:rPr>
        <w:footnoteRef/>
      </w:r>
      <w:r>
        <w:t xml:space="preserve"> </w:t>
      </w:r>
      <w:r w:rsidRPr="00D32538">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2">
    <w:p w:rsidR="00062087" w:rsidRDefault="00062087" w:rsidP="006074ED">
      <w:pPr>
        <w:pStyle w:val="FootnoteText"/>
      </w:pPr>
      <w:r>
        <w:rPr>
          <w:rStyle w:val="FootnoteReference"/>
        </w:rPr>
        <w:footnoteRef/>
      </w:r>
      <w:r>
        <w:t xml:space="preserve"> The Committee notes that the issue of “appropriate” rounding also arises in the explanatory statements for DI2018-154 to DI2018-171, inclusive. </w:t>
      </w:r>
    </w:p>
  </w:footnote>
  <w:footnote w:id="3">
    <w:p w:rsidR="00062087" w:rsidRDefault="00062087" w:rsidP="005E56E4">
      <w:pPr>
        <w:pStyle w:val="FootnoteText"/>
      </w:pPr>
      <w:r>
        <w:rPr>
          <w:rStyle w:val="FootnoteReference"/>
        </w:rPr>
        <w:footnoteRef/>
      </w:r>
      <w:r>
        <w:t xml:space="preserve"> </w:t>
      </w:r>
      <w:r w:rsidRPr="00AB5343">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4">
    <w:p w:rsidR="00062087" w:rsidRDefault="00062087" w:rsidP="00E90FE6">
      <w:pPr>
        <w:pStyle w:val="FootnoteText"/>
        <w:spacing w:before="120"/>
      </w:pPr>
      <w:r>
        <w:rPr>
          <w:rStyle w:val="FootnoteReference"/>
        </w:rPr>
        <w:footnoteRef/>
      </w:r>
      <w:r>
        <w:t xml:space="preserve"> www.ancold.org.au</w:t>
      </w:r>
    </w:p>
  </w:footnote>
  <w:footnote w:id="5">
    <w:p w:rsidR="00062087" w:rsidRDefault="00062087" w:rsidP="00BE16D9">
      <w:pPr>
        <w:pStyle w:val="FootnoteText"/>
        <w:spacing w:before="120"/>
      </w:pPr>
      <w:r>
        <w:rPr>
          <w:rStyle w:val="FootnoteReference"/>
        </w:rPr>
        <w:footnoteRef/>
      </w:r>
      <w:r>
        <w:t xml:space="preserve"> </w:t>
      </w:r>
      <w:r w:rsidRPr="00D32538">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6">
    <w:p w:rsidR="00062087" w:rsidRDefault="00062087" w:rsidP="00BE16D9">
      <w:pPr>
        <w:pStyle w:val="FootnoteText"/>
        <w:spacing w:before="0"/>
      </w:pPr>
      <w:r>
        <w:rPr>
          <w:rStyle w:val="FootnoteReference"/>
        </w:rPr>
        <w:footnoteRef/>
      </w:r>
      <w:r>
        <w:t xml:space="preserve"> </w:t>
      </w:r>
      <w:proofErr w:type="gramStart"/>
      <w:r w:rsidRPr="00C64BEE">
        <w:rPr>
          <w:sz w:val="18"/>
          <w:szCs w:val="18"/>
        </w:rPr>
        <w:t xml:space="preserve">Available at </w:t>
      </w:r>
      <w:r w:rsidRPr="00BE16D9">
        <w:rPr>
          <w:sz w:val="18"/>
          <w:szCs w:val="18"/>
        </w:rPr>
        <w:t>https://www.parliament.act.gov.au/__data/assets/pdf_file/0011/758117/Report-35.pdf</w:t>
      </w:r>
      <w:r>
        <w:t>.</w:t>
      </w:r>
      <w:proofErr w:type="gramEnd"/>
    </w:p>
  </w:footnote>
  <w:footnote w:id="7">
    <w:p w:rsidR="00062087" w:rsidRDefault="00062087" w:rsidP="00BE16D9">
      <w:pPr>
        <w:pStyle w:val="FootnoteText"/>
        <w:spacing w:before="0"/>
      </w:pPr>
      <w:r>
        <w:rPr>
          <w:rStyle w:val="FootnoteReference"/>
        </w:rPr>
        <w:footnoteRef/>
      </w:r>
      <w:r>
        <w:t xml:space="preserve"> </w:t>
      </w:r>
      <w:r w:rsidRPr="00BE16D9">
        <w:rPr>
          <w:rFonts w:eastAsia="Times New Roman" w:cs="Calibri"/>
          <w:sz w:val="18"/>
          <w:szCs w:val="18"/>
          <w:lang w:eastAsia="en-AU"/>
        </w:rPr>
        <w:t>https://www.parliament.act.gov.au/__data/assets/pdf_file/0005/434345/HenryVIII-Fact-Sheet.pdf</w:t>
      </w:r>
    </w:p>
  </w:footnote>
  <w:footnote w:id="8">
    <w:p w:rsidR="00062087" w:rsidRDefault="00062087" w:rsidP="00FA542A">
      <w:pPr>
        <w:pStyle w:val="FootnoteText"/>
        <w:spacing w:before="120"/>
      </w:pPr>
      <w:r>
        <w:rPr>
          <w:rStyle w:val="FootnoteReference"/>
        </w:rPr>
        <w:footnoteRef/>
      </w:r>
      <w:r>
        <w:t xml:space="preserve"> </w:t>
      </w:r>
      <w:r w:rsidRPr="00D32538">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9">
    <w:p w:rsidR="00062087" w:rsidRDefault="00062087">
      <w:pPr>
        <w:pStyle w:val="FootnoteText"/>
      </w:pPr>
      <w:r>
        <w:rPr>
          <w:rStyle w:val="FootnoteReference"/>
        </w:rPr>
        <w:footnoteRef/>
      </w:r>
      <w:r>
        <w:t xml:space="preserve"> </w:t>
      </w:r>
      <w:r w:rsidRPr="002A5344">
        <w:rPr>
          <w:sz w:val="18"/>
          <w:szCs w:val="18"/>
          <w:lang w:eastAsia="en-AU"/>
        </w:rPr>
        <w:t>https://www.parliament.act.gov.au/in-committees/standing-committees-current-assembly/standing-committee-on-justice-and-community-safety-legislative-scrutiny-role/responses-to-comments-on-bills</w:t>
      </w:r>
      <w:r>
        <w:rPr>
          <w:sz w:val="18"/>
          <w:szCs w:val="18"/>
          <w:lang w:eastAsia="en-A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Default="00062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Default="00062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Default="000620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Pr="009D788E" w:rsidRDefault="00062087"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Pr="001B0650" w:rsidRDefault="00C91B80" w:rsidP="00911558">
    <w:pPr>
      <w:pStyle w:val="Header"/>
      <w:pBdr>
        <w:bottom w:val="single" w:sz="4" w:space="1" w:color="auto"/>
      </w:pBdr>
      <w:jc w:val="right"/>
      <w:rPr>
        <w:smallCaps/>
      </w:rPr>
    </w:pPr>
    <w:fldSimple w:instr=" STYLEREF  &quot;Heading 1&quot;  \* MERGEFORMAT ">
      <w:r w:rsidR="00B07FFA" w:rsidRPr="00B07FFA">
        <w:rPr>
          <w:smallCaps/>
          <w:noProof/>
        </w:rPr>
        <w:t>Scrutiny Report 20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Pr="003B6A7E" w:rsidRDefault="00062087" w:rsidP="003B6A7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87" w:rsidRPr="003B6A7E" w:rsidRDefault="00062087"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F14B9D"/>
    <w:multiLevelType w:val="hybridMultilevel"/>
    <w:tmpl w:val="0E367726"/>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C1230CB"/>
    <w:multiLevelType w:val="hybridMultilevel"/>
    <w:tmpl w:val="3770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FD44B5"/>
    <w:multiLevelType w:val="hybridMultilevel"/>
    <w:tmpl w:val="27540A3A"/>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13">
    <w:nsid w:val="0F64209D"/>
    <w:multiLevelType w:val="hybridMultilevel"/>
    <w:tmpl w:val="312CC69A"/>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F246FF"/>
    <w:multiLevelType w:val="hybridMultilevel"/>
    <w:tmpl w:val="D938F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12C7E58"/>
    <w:multiLevelType w:val="hybridMultilevel"/>
    <w:tmpl w:val="336E4D00"/>
    <w:lvl w:ilvl="0" w:tplc="04090001">
      <w:start w:val="1"/>
      <w:numFmt w:val="bullet"/>
      <w:lvlText w:val=""/>
      <w:lvlJc w:val="left"/>
      <w:pPr>
        <w:tabs>
          <w:tab w:val="num" w:pos="2513"/>
        </w:tabs>
        <w:ind w:left="2513" w:hanging="360"/>
      </w:pPr>
      <w:rPr>
        <w:rFonts w:ascii="Symbol" w:hAnsi="Symbol" w:hint="default"/>
      </w:rPr>
    </w:lvl>
    <w:lvl w:ilvl="1" w:tplc="E8E096E6">
      <w:start w:val="1"/>
      <w:numFmt w:val="lowerLetter"/>
      <w:lvlText w:val="(%2)"/>
      <w:lvlJc w:val="left"/>
      <w:pPr>
        <w:tabs>
          <w:tab w:val="num" w:pos="3233"/>
        </w:tabs>
        <w:ind w:left="3233" w:hanging="360"/>
      </w:pPr>
      <w:rPr>
        <w:rFonts w:cs="Times New Roman" w:hint="default"/>
      </w:rPr>
    </w:lvl>
    <w:lvl w:ilvl="2" w:tplc="4B68302C">
      <w:start w:val="1"/>
      <w:numFmt w:val="decimal"/>
      <w:lvlText w:val="(%3)"/>
      <w:lvlJc w:val="left"/>
      <w:pPr>
        <w:tabs>
          <w:tab w:val="num" w:pos="4133"/>
        </w:tabs>
        <w:ind w:left="4133" w:hanging="360"/>
      </w:pPr>
      <w:rPr>
        <w:rFonts w:cs="Times New Roman" w:hint="default"/>
        <w:color w:val="auto"/>
      </w:rPr>
    </w:lvl>
    <w:lvl w:ilvl="3" w:tplc="0409000F">
      <w:start w:val="1"/>
      <w:numFmt w:val="decimal"/>
      <w:lvlText w:val="%4."/>
      <w:lvlJc w:val="left"/>
      <w:pPr>
        <w:tabs>
          <w:tab w:val="num" w:pos="4673"/>
        </w:tabs>
        <w:ind w:left="4673" w:hanging="360"/>
      </w:pPr>
      <w:rPr>
        <w:rFonts w:cs="Times New Roman"/>
      </w:rPr>
    </w:lvl>
    <w:lvl w:ilvl="4" w:tplc="04090019">
      <w:start w:val="1"/>
      <w:numFmt w:val="lowerLetter"/>
      <w:lvlText w:val="%5."/>
      <w:lvlJc w:val="left"/>
      <w:pPr>
        <w:tabs>
          <w:tab w:val="num" w:pos="5393"/>
        </w:tabs>
        <w:ind w:left="5393" w:hanging="360"/>
      </w:pPr>
      <w:rPr>
        <w:rFonts w:cs="Times New Roman"/>
      </w:rPr>
    </w:lvl>
    <w:lvl w:ilvl="5" w:tplc="0409001B">
      <w:start w:val="1"/>
      <w:numFmt w:val="lowerRoman"/>
      <w:lvlText w:val="%6."/>
      <w:lvlJc w:val="right"/>
      <w:pPr>
        <w:tabs>
          <w:tab w:val="num" w:pos="6113"/>
        </w:tabs>
        <w:ind w:left="6113" w:hanging="180"/>
      </w:pPr>
      <w:rPr>
        <w:rFonts w:cs="Times New Roman"/>
      </w:rPr>
    </w:lvl>
    <w:lvl w:ilvl="6" w:tplc="0409000F">
      <w:start w:val="1"/>
      <w:numFmt w:val="decimal"/>
      <w:lvlText w:val="%7."/>
      <w:lvlJc w:val="left"/>
      <w:pPr>
        <w:tabs>
          <w:tab w:val="num" w:pos="6833"/>
        </w:tabs>
        <w:ind w:left="6833" w:hanging="360"/>
      </w:pPr>
      <w:rPr>
        <w:rFonts w:cs="Times New Roman"/>
      </w:rPr>
    </w:lvl>
    <w:lvl w:ilvl="7" w:tplc="04090019">
      <w:start w:val="1"/>
      <w:numFmt w:val="lowerLetter"/>
      <w:lvlText w:val="%8."/>
      <w:lvlJc w:val="left"/>
      <w:pPr>
        <w:tabs>
          <w:tab w:val="num" w:pos="7553"/>
        </w:tabs>
        <w:ind w:left="7553" w:hanging="360"/>
      </w:pPr>
      <w:rPr>
        <w:rFonts w:cs="Times New Roman"/>
      </w:rPr>
    </w:lvl>
    <w:lvl w:ilvl="8" w:tplc="0409001B">
      <w:start w:val="1"/>
      <w:numFmt w:val="lowerRoman"/>
      <w:lvlText w:val="%9."/>
      <w:lvlJc w:val="right"/>
      <w:pPr>
        <w:tabs>
          <w:tab w:val="num" w:pos="8273"/>
        </w:tabs>
        <w:ind w:left="8273" w:hanging="180"/>
      </w:pPr>
      <w:rPr>
        <w:rFonts w:cs="Times New Roman"/>
      </w:rPr>
    </w:lvl>
  </w:abstractNum>
  <w:abstractNum w:abstractNumId="16">
    <w:nsid w:val="17F843CA"/>
    <w:multiLevelType w:val="hybridMultilevel"/>
    <w:tmpl w:val="94A4EB86"/>
    <w:lvl w:ilvl="0" w:tplc="0C090001">
      <w:start w:val="1"/>
      <w:numFmt w:val="bullet"/>
      <w:lvlText w:val=""/>
      <w:lvlJc w:val="left"/>
      <w:pPr>
        <w:ind w:left="84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A6834A3"/>
    <w:multiLevelType w:val="hybridMultilevel"/>
    <w:tmpl w:val="2D6CD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1CC97127"/>
    <w:multiLevelType w:val="hybridMultilevel"/>
    <w:tmpl w:val="544C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7878B3"/>
    <w:multiLevelType w:val="hybridMultilevel"/>
    <w:tmpl w:val="7F48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2F4CAE"/>
    <w:multiLevelType w:val="hybridMultilevel"/>
    <w:tmpl w:val="0A88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0E40DA"/>
    <w:multiLevelType w:val="hybridMultilevel"/>
    <w:tmpl w:val="57A00C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B312FF"/>
    <w:multiLevelType w:val="hybridMultilevel"/>
    <w:tmpl w:val="E3DAA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3644FAB"/>
    <w:multiLevelType w:val="hybridMultilevel"/>
    <w:tmpl w:val="42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442532"/>
    <w:multiLevelType w:val="hybridMultilevel"/>
    <w:tmpl w:val="60C28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36885088"/>
    <w:multiLevelType w:val="hybridMultilevel"/>
    <w:tmpl w:val="7EF4C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37602565"/>
    <w:multiLevelType w:val="hybridMultilevel"/>
    <w:tmpl w:val="AE66E9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0AB1BB2"/>
    <w:multiLevelType w:val="hybridMultilevel"/>
    <w:tmpl w:val="6F5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10D5880"/>
    <w:multiLevelType w:val="hybridMultilevel"/>
    <w:tmpl w:val="02969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23616ED"/>
    <w:multiLevelType w:val="singleLevel"/>
    <w:tmpl w:val="88F0D4D2"/>
    <w:lvl w:ilvl="0">
      <w:start w:val="1"/>
      <w:numFmt w:val="lowerLetter"/>
      <w:lvlText w:val="(%1)"/>
      <w:lvlJc w:val="left"/>
      <w:pPr>
        <w:tabs>
          <w:tab w:val="num" w:pos="1778"/>
        </w:tabs>
        <w:ind w:left="1778" w:hanging="360"/>
      </w:pPr>
      <w:rPr>
        <w:rFonts w:cs="Times New Roman" w:hint="default"/>
      </w:rPr>
    </w:lvl>
  </w:abstractNum>
  <w:abstractNum w:abstractNumId="33">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5">
    <w:nsid w:val="5ED85384"/>
    <w:multiLevelType w:val="hybridMultilevel"/>
    <w:tmpl w:val="6DE2F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C1519B"/>
    <w:multiLevelType w:val="hybridMultilevel"/>
    <w:tmpl w:val="BE5EB16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B170C3"/>
    <w:multiLevelType w:val="hybridMultilevel"/>
    <w:tmpl w:val="8FAE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3915BC0"/>
    <w:multiLevelType w:val="hybridMultilevel"/>
    <w:tmpl w:val="755CB3CE"/>
    <w:lvl w:ilvl="0" w:tplc="BBCE3E4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25444C"/>
    <w:multiLevelType w:val="hybridMultilevel"/>
    <w:tmpl w:val="C0B8F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B106CFB"/>
    <w:multiLevelType w:val="hybridMultilevel"/>
    <w:tmpl w:val="6F60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3"/>
  </w:num>
  <w:num w:numId="13">
    <w:abstractNumId w:val="13"/>
  </w:num>
  <w:num w:numId="14">
    <w:abstractNumId w:val="31"/>
  </w:num>
  <w:num w:numId="15">
    <w:abstractNumId w:val="11"/>
  </w:num>
  <w:num w:numId="16">
    <w:abstractNumId w:val="40"/>
  </w:num>
  <w:num w:numId="17">
    <w:abstractNumId w:val="29"/>
  </w:num>
  <w:num w:numId="18">
    <w:abstractNumId w:val="25"/>
  </w:num>
  <w:num w:numId="19">
    <w:abstractNumId w:val="21"/>
  </w:num>
  <w:num w:numId="20">
    <w:abstractNumId w:val="26"/>
  </w:num>
  <w:num w:numId="21">
    <w:abstractNumId w:val="38"/>
  </w:num>
  <w:num w:numId="22">
    <w:abstractNumId w:val="18"/>
  </w:num>
  <w:num w:numId="23">
    <w:abstractNumId w:val="24"/>
  </w:num>
  <w:num w:numId="24">
    <w:abstractNumId w:val="32"/>
  </w:num>
  <w:num w:numId="25">
    <w:abstractNumId w:val="15"/>
  </w:num>
  <w:num w:numId="26">
    <w:abstractNumId w:val="12"/>
  </w:num>
  <w:num w:numId="27">
    <w:abstractNumId w:val="20"/>
  </w:num>
  <w:num w:numId="28">
    <w:abstractNumId w:val="35"/>
  </w:num>
  <w:num w:numId="29">
    <w:abstractNumId w:val="30"/>
  </w:num>
  <w:num w:numId="30">
    <w:abstractNumId w:val="39"/>
  </w:num>
  <w:num w:numId="31">
    <w:abstractNumId w:val="16"/>
  </w:num>
  <w:num w:numId="32">
    <w:abstractNumId w:val="19"/>
  </w:num>
  <w:num w:numId="33">
    <w:abstractNumId w:val="36"/>
  </w:num>
  <w:num w:numId="34">
    <w:abstractNumId w:val="37"/>
  </w:num>
  <w:num w:numId="35">
    <w:abstractNumId w:val="17"/>
  </w:num>
  <w:num w:numId="36">
    <w:abstractNumId w:val="27"/>
  </w:num>
  <w:num w:numId="37">
    <w:abstractNumId w:val="28"/>
  </w:num>
  <w:num w:numId="38">
    <w:abstractNumId w:val="22"/>
  </w:num>
  <w:num w:numId="39">
    <w:abstractNumId w:val="10"/>
  </w:num>
  <w:num w:numId="40">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3BA7"/>
    <w:rsid w:val="00022A35"/>
    <w:rsid w:val="00025A33"/>
    <w:rsid w:val="00030285"/>
    <w:rsid w:val="00034823"/>
    <w:rsid w:val="00034ADC"/>
    <w:rsid w:val="00036A58"/>
    <w:rsid w:val="00040028"/>
    <w:rsid w:val="00042C45"/>
    <w:rsid w:val="0004551E"/>
    <w:rsid w:val="00045F75"/>
    <w:rsid w:val="00061AB9"/>
    <w:rsid w:val="00061B6D"/>
    <w:rsid w:val="00062087"/>
    <w:rsid w:val="0007009F"/>
    <w:rsid w:val="0007461D"/>
    <w:rsid w:val="00077835"/>
    <w:rsid w:val="0008186E"/>
    <w:rsid w:val="0009152D"/>
    <w:rsid w:val="000915D1"/>
    <w:rsid w:val="000941F6"/>
    <w:rsid w:val="00094D98"/>
    <w:rsid w:val="00095C7A"/>
    <w:rsid w:val="000967E6"/>
    <w:rsid w:val="000971E6"/>
    <w:rsid w:val="000A33FE"/>
    <w:rsid w:val="000A5E0A"/>
    <w:rsid w:val="000A6724"/>
    <w:rsid w:val="000B0846"/>
    <w:rsid w:val="000B0CDE"/>
    <w:rsid w:val="000C0208"/>
    <w:rsid w:val="000C12B1"/>
    <w:rsid w:val="000C12C3"/>
    <w:rsid w:val="000C30A9"/>
    <w:rsid w:val="000C49C9"/>
    <w:rsid w:val="000C59EC"/>
    <w:rsid w:val="000C6DFF"/>
    <w:rsid w:val="000D68A2"/>
    <w:rsid w:val="000E13B4"/>
    <w:rsid w:val="000E5A5A"/>
    <w:rsid w:val="000E79A3"/>
    <w:rsid w:val="000F0EFB"/>
    <w:rsid w:val="00101A1A"/>
    <w:rsid w:val="00103599"/>
    <w:rsid w:val="00104CBD"/>
    <w:rsid w:val="00105A3D"/>
    <w:rsid w:val="00115163"/>
    <w:rsid w:val="00116E9B"/>
    <w:rsid w:val="001201A6"/>
    <w:rsid w:val="00123DBF"/>
    <w:rsid w:val="00125EA4"/>
    <w:rsid w:val="00126D9A"/>
    <w:rsid w:val="00127856"/>
    <w:rsid w:val="00133077"/>
    <w:rsid w:val="00133AB1"/>
    <w:rsid w:val="00137745"/>
    <w:rsid w:val="001415F9"/>
    <w:rsid w:val="00145B35"/>
    <w:rsid w:val="001505EB"/>
    <w:rsid w:val="001562EC"/>
    <w:rsid w:val="001606A8"/>
    <w:rsid w:val="00163101"/>
    <w:rsid w:val="00167169"/>
    <w:rsid w:val="00167537"/>
    <w:rsid w:val="0017063D"/>
    <w:rsid w:val="001712BC"/>
    <w:rsid w:val="0017558F"/>
    <w:rsid w:val="001777EE"/>
    <w:rsid w:val="001779EA"/>
    <w:rsid w:val="00187105"/>
    <w:rsid w:val="00195221"/>
    <w:rsid w:val="0019559B"/>
    <w:rsid w:val="001974F6"/>
    <w:rsid w:val="001A1A54"/>
    <w:rsid w:val="001A28BF"/>
    <w:rsid w:val="001A46D3"/>
    <w:rsid w:val="001A5F09"/>
    <w:rsid w:val="001B0650"/>
    <w:rsid w:val="001B1173"/>
    <w:rsid w:val="001B457B"/>
    <w:rsid w:val="001B4892"/>
    <w:rsid w:val="001B5859"/>
    <w:rsid w:val="001B5E58"/>
    <w:rsid w:val="001C11EA"/>
    <w:rsid w:val="001C3269"/>
    <w:rsid w:val="001C6D5B"/>
    <w:rsid w:val="001C7639"/>
    <w:rsid w:val="001D5DBF"/>
    <w:rsid w:val="001E3462"/>
    <w:rsid w:val="001E3BA1"/>
    <w:rsid w:val="001E533E"/>
    <w:rsid w:val="001E56FE"/>
    <w:rsid w:val="001E6B34"/>
    <w:rsid w:val="001E6B45"/>
    <w:rsid w:val="001F1058"/>
    <w:rsid w:val="001F1D6D"/>
    <w:rsid w:val="001F622E"/>
    <w:rsid w:val="00202660"/>
    <w:rsid w:val="00202BE1"/>
    <w:rsid w:val="002064D0"/>
    <w:rsid w:val="002103BD"/>
    <w:rsid w:val="00210A63"/>
    <w:rsid w:val="0021195E"/>
    <w:rsid w:val="0021614E"/>
    <w:rsid w:val="00216794"/>
    <w:rsid w:val="00220914"/>
    <w:rsid w:val="0022278A"/>
    <w:rsid w:val="002264FA"/>
    <w:rsid w:val="00237B6F"/>
    <w:rsid w:val="0024524F"/>
    <w:rsid w:val="00252497"/>
    <w:rsid w:val="00252BBC"/>
    <w:rsid w:val="00256D7D"/>
    <w:rsid w:val="002644BB"/>
    <w:rsid w:val="002649B5"/>
    <w:rsid w:val="002718FF"/>
    <w:rsid w:val="002753EE"/>
    <w:rsid w:val="002805F4"/>
    <w:rsid w:val="00287FC6"/>
    <w:rsid w:val="002973FA"/>
    <w:rsid w:val="002A185D"/>
    <w:rsid w:val="002A24D0"/>
    <w:rsid w:val="002A5344"/>
    <w:rsid w:val="002D485F"/>
    <w:rsid w:val="002D7840"/>
    <w:rsid w:val="002E2EB3"/>
    <w:rsid w:val="002E344A"/>
    <w:rsid w:val="002E726C"/>
    <w:rsid w:val="002F04E9"/>
    <w:rsid w:val="002F1119"/>
    <w:rsid w:val="002F1D67"/>
    <w:rsid w:val="00301635"/>
    <w:rsid w:val="00301F54"/>
    <w:rsid w:val="00302004"/>
    <w:rsid w:val="00302BD1"/>
    <w:rsid w:val="003127FB"/>
    <w:rsid w:val="0031748B"/>
    <w:rsid w:val="0033431C"/>
    <w:rsid w:val="003345DA"/>
    <w:rsid w:val="003433AB"/>
    <w:rsid w:val="003458E5"/>
    <w:rsid w:val="00351A66"/>
    <w:rsid w:val="00351AD0"/>
    <w:rsid w:val="00352BB3"/>
    <w:rsid w:val="0035425D"/>
    <w:rsid w:val="00357A4D"/>
    <w:rsid w:val="00361375"/>
    <w:rsid w:val="0036212E"/>
    <w:rsid w:val="00365970"/>
    <w:rsid w:val="003716A1"/>
    <w:rsid w:val="003752E9"/>
    <w:rsid w:val="003823E4"/>
    <w:rsid w:val="00384D92"/>
    <w:rsid w:val="00385C4E"/>
    <w:rsid w:val="0038795E"/>
    <w:rsid w:val="003A1F37"/>
    <w:rsid w:val="003A23E6"/>
    <w:rsid w:val="003A7F93"/>
    <w:rsid w:val="003B6A7E"/>
    <w:rsid w:val="003C73B2"/>
    <w:rsid w:val="003E19C9"/>
    <w:rsid w:val="003E5311"/>
    <w:rsid w:val="003E792C"/>
    <w:rsid w:val="003E7E8B"/>
    <w:rsid w:val="003F186C"/>
    <w:rsid w:val="003F44C3"/>
    <w:rsid w:val="004008C9"/>
    <w:rsid w:val="00405459"/>
    <w:rsid w:val="00406890"/>
    <w:rsid w:val="004106A9"/>
    <w:rsid w:val="00414319"/>
    <w:rsid w:val="00431098"/>
    <w:rsid w:val="00433489"/>
    <w:rsid w:val="00433C0F"/>
    <w:rsid w:val="00434745"/>
    <w:rsid w:val="004449E4"/>
    <w:rsid w:val="0044555E"/>
    <w:rsid w:val="0044629B"/>
    <w:rsid w:val="00454D04"/>
    <w:rsid w:val="00457A9B"/>
    <w:rsid w:val="004641A0"/>
    <w:rsid w:val="0046526A"/>
    <w:rsid w:val="0046623E"/>
    <w:rsid w:val="00473CCE"/>
    <w:rsid w:val="00474136"/>
    <w:rsid w:val="00475A42"/>
    <w:rsid w:val="00475B8B"/>
    <w:rsid w:val="004909C8"/>
    <w:rsid w:val="004A1224"/>
    <w:rsid w:val="004A2390"/>
    <w:rsid w:val="004A3FBA"/>
    <w:rsid w:val="004B065D"/>
    <w:rsid w:val="004B1072"/>
    <w:rsid w:val="004B6AD2"/>
    <w:rsid w:val="004C08E9"/>
    <w:rsid w:val="004C1F31"/>
    <w:rsid w:val="004C35FA"/>
    <w:rsid w:val="004C7E95"/>
    <w:rsid w:val="004D3094"/>
    <w:rsid w:val="004E5CC4"/>
    <w:rsid w:val="004E7305"/>
    <w:rsid w:val="004F019A"/>
    <w:rsid w:val="004F4BD9"/>
    <w:rsid w:val="004F5121"/>
    <w:rsid w:val="004F6D09"/>
    <w:rsid w:val="00500866"/>
    <w:rsid w:val="005030F9"/>
    <w:rsid w:val="00517EFF"/>
    <w:rsid w:val="00520380"/>
    <w:rsid w:val="00520708"/>
    <w:rsid w:val="005228F6"/>
    <w:rsid w:val="00527991"/>
    <w:rsid w:val="00535FA7"/>
    <w:rsid w:val="00543B59"/>
    <w:rsid w:val="00545F82"/>
    <w:rsid w:val="005468A2"/>
    <w:rsid w:val="00557013"/>
    <w:rsid w:val="00562622"/>
    <w:rsid w:val="00562E8A"/>
    <w:rsid w:val="00570AD2"/>
    <w:rsid w:val="005829CA"/>
    <w:rsid w:val="00583FA9"/>
    <w:rsid w:val="00591A9C"/>
    <w:rsid w:val="005921BF"/>
    <w:rsid w:val="00594D43"/>
    <w:rsid w:val="005A0384"/>
    <w:rsid w:val="005A7435"/>
    <w:rsid w:val="005A7BB6"/>
    <w:rsid w:val="005B35FB"/>
    <w:rsid w:val="005B68B5"/>
    <w:rsid w:val="005C0F24"/>
    <w:rsid w:val="005C176D"/>
    <w:rsid w:val="005C7610"/>
    <w:rsid w:val="005D79AF"/>
    <w:rsid w:val="005E21F5"/>
    <w:rsid w:val="005E56E4"/>
    <w:rsid w:val="005F072C"/>
    <w:rsid w:val="005F1A7E"/>
    <w:rsid w:val="005F7540"/>
    <w:rsid w:val="006013DE"/>
    <w:rsid w:val="006074ED"/>
    <w:rsid w:val="00610A2C"/>
    <w:rsid w:val="0061161F"/>
    <w:rsid w:val="006137B1"/>
    <w:rsid w:val="00613AE1"/>
    <w:rsid w:val="0061540B"/>
    <w:rsid w:val="006174C7"/>
    <w:rsid w:val="00632981"/>
    <w:rsid w:val="00635EA7"/>
    <w:rsid w:val="00636785"/>
    <w:rsid w:val="00637FB3"/>
    <w:rsid w:val="006421C2"/>
    <w:rsid w:val="00643221"/>
    <w:rsid w:val="006449FA"/>
    <w:rsid w:val="006454A7"/>
    <w:rsid w:val="00647F0C"/>
    <w:rsid w:val="00650133"/>
    <w:rsid w:val="00652A64"/>
    <w:rsid w:val="00654E7E"/>
    <w:rsid w:val="00666CA6"/>
    <w:rsid w:val="00670CBD"/>
    <w:rsid w:val="0067269D"/>
    <w:rsid w:val="00673E3D"/>
    <w:rsid w:val="00674B7E"/>
    <w:rsid w:val="006754C6"/>
    <w:rsid w:val="0067571E"/>
    <w:rsid w:val="0067686A"/>
    <w:rsid w:val="00691450"/>
    <w:rsid w:val="006A71F8"/>
    <w:rsid w:val="006B3981"/>
    <w:rsid w:val="006B3BAF"/>
    <w:rsid w:val="006B6B13"/>
    <w:rsid w:val="006C35A8"/>
    <w:rsid w:val="006C742E"/>
    <w:rsid w:val="006D14D5"/>
    <w:rsid w:val="006E0EDD"/>
    <w:rsid w:val="006F0DB1"/>
    <w:rsid w:val="006F4484"/>
    <w:rsid w:val="006F5358"/>
    <w:rsid w:val="00710222"/>
    <w:rsid w:val="0071342C"/>
    <w:rsid w:val="00713E5C"/>
    <w:rsid w:val="0071432B"/>
    <w:rsid w:val="00716798"/>
    <w:rsid w:val="00717FD1"/>
    <w:rsid w:val="00722817"/>
    <w:rsid w:val="00724270"/>
    <w:rsid w:val="007250F5"/>
    <w:rsid w:val="00725B48"/>
    <w:rsid w:val="00726072"/>
    <w:rsid w:val="00726733"/>
    <w:rsid w:val="0073390D"/>
    <w:rsid w:val="00737ACF"/>
    <w:rsid w:val="00737BD8"/>
    <w:rsid w:val="00741A91"/>
    <w:rsid w:val="00741F31"/>
    <w:rsid w:val="00742447"/>
    <w:rsid w:val="00744FCE"/>
    <w:rsid w:val="00747B00"/>
    <w:rsid w:val="00753923"/>
    <w:rsid w:val="00753D4D"/>
    <w:rsid w:val="00755DED"/>
    <w:rsid w:val="00763A5E"/>
    <w:rsid w:val="00767D36"/>
    <w:rsid w:val="007711B3"/>
    <w:rsid w:val="007751E7"/>
    <w:rsid w:val="00780B47"/>
    <w:rsid w:val="00787F30"/>
    <w:rsid w:val="007A1799"/>
    <w:rsid w:val="007A4ED0"/>
    <w:rsid w:val="007A6452"/>
    <w:rsid w:val="007B6724"/>
    <w:rsid w:val="007C4EF8"/>
    <w:rsid w:val="007C5BE4"/>
    <w:rsid w:val="007D2C2B"/>
    <w:rsid w:val="007D2F1F"/>
    <w:rsid w:val="007D551C"/>
    <w:rsid w:val="007E211A"/>
    <w:rsid w:val="007E3057"/>
    <w:rsid w:val="007E6141"/>
    <w:rsid w:val="007E6BA0"/>
    <w:rsid w:val="007F28DF"/>
    <w:rsid w:val="007F4348"/>
    <w:rsid w:val="007F6563"/>
    <w:rsid w:val="007F6E9B"/>
    <w:rsid w:val="00816ABF"/>
    <w:rsid w:val="00816C23"/>
    <w:rsid w:val="0082538D"/>
    <w:rsid w:val="00833A3B"/>
    <w:rsid w:val="0083497F"/>
    <w:rsid w:val="008375B2"/>
    <w:rsid w:val="00844113"/>
    <w:rsid w:val="00847247"/>
    <w:rsid w:val="008527F3"/>
    <w:rsid w:val="00864242"/>
    <w:rsid w:val="008648CC"/>
    <w:rsid w:val="00867A54"/>
    <w:rsid w:val="00867B99"/>
    <w:rsid w:val="00877BEB"/>
    <w:rsid w:val="008906CF"/>
    <w:rsid w:val="008A143A"/>
    <w:rsid w:val="008A26C5"/>
    <w:rsid w:val="008A6FB5"/>
    <w:rsid w:val="008B0287"/>
    <w:rsid w:val="008B0858"/>
    <w:rsid w:val="008B1000"/>
    <w:rsid w:val="008B1AB9"/>
    <w:rsid w:val="008B27DB"/>
    <w:rsid w:val="008B3114"/>
    <w:rsid w:val="008B5709"/>
    <w:rsid w:val="008D3648"/>
    <w:rsid w:val="008D4B51"/>
    <w:rsid w:val="008D6215"/>
    <w:rsid w:val="008D6C97"/>
    <w:rsid w:val="008E6136"/>
    <w:rsid w:val="008E6202"/>
    <w:rsid w:val="008F4A12"/>
    <w:rsid w:val="009006A5"/>
    <w:rsid w:val="00901231"/>
    <w:rsid w:val="00904E84"/>
    <w:rsid w:val="00906CEB"/>
    <w:rsid w:val="00907407"/>
    <w:rsid w:val="00907785"/>
    <w:rsid w:val="00911558"/>
    <w:rsid w:val="009142E2"/>
    <w:rsid w:val="009173F2"/>
    <w:rsid w:val="009179F2"/>
    <w:rsid w:val="009202BD"/>
    <w:rsid w:val="00924FD2"/>
    <w:rsid w:val="00935DBB"/>
    <w:rsid w:val="00946037"/>
    <w:rsid w:val="009517FE"/>
    <w:rsid w:val="0095448C"/>
    <w:rsid w:val="00956455"/>
    <w:rsid w:val="009656E3"/>
    <w:rsid w:val="00965EEB"/>
    <w:rsid w:val="0096634C"/>
    <w:rsid w:val="00970499"/>
    <w:rsid w:val="009707DD"/>
    <w:rsid w:val="0097161A"/>
    <w:rsid w:val="00971F36"/>
    <w:rsid w:val="009741FD"/>
    <w:rsid w:val="0097476B"/>
    <w:rsid w:val="00976E57"/>
    <w:rsid w:val="0097778C"/>
    <w:rsid w:val="00980667"/>
    <w:rsid w:val="00980D55"/>
    <w:rsid w:val="009926EC"/>
    <w:rsid w:val="00992CAF"/>
    <w:rsid w:val="009A1008"/>
    <w:rsid w:val="009A1EC2"/>
    <w:rsid w:val="009A713F"/>
    <w:rsid w:val="009B0D77"/>
    <w:rsid w:val="009B2374"/>
    <w:rsid w:val="009C2F59"/>
    <w:rsid w:val="009C3E2B"/>
    <w:rsid w:val="009C4F5B"/>
    <w:rsid w:val="009C7D1D"/>
    <w:rsid w:val="009D13D0"/>
    <w:rsid w:val="009D1961"/>
    <w:rsid w:val="009D2815"/>
    <w:rsid w:val="009D47DF"/>
    <w:rsid w:val="009D788E"/>
    <w:rsid w:val="009E0B89"/>
    <w:rsid w:val="009E29B6"/>
    <w:rsid w:val="009E30C7"/>
    <w:rsid w:val="009E4976"/>
    <w:rsid w:val="009E4BD7"/>
    <w:rsid w:val="009E5652"/>
    <w:rsid w:val="009F1E46"/>
    <w:rsid w:val="009F2665"/>
    <w:rsid w:val="009F5805"/>
    <w:rsid w:val="009F760C"/>
    <w:rsid w:val="00A014F1"/>
    <w:rsid w:val="00A0572F"/>
    <w:rsid w:val="00A13BAA"/>
    <w:rsid w:val="00A13C21"/>
    <w:rsid w:val="00A145A4"/>
    <w:rsid w:val="00A2180D"/>
    <w:rsid w:val="00A27042"/>
    <w:rsid w:val="00A469B6"/>
    <w:rsid w:val="00A474EC"/>
    <w:rsid w:val="00A5283F"/>
    <w:rsid w:val="00A55672"/>
    <w:rsid w:val="00A57EC1"/>
    <w:rsid w:val="00A61304"/>
    <w:rsid w:val="00A63970"/>
    <w:rsid w:val="00A64F4C"/>
    <w:rsid w:val="00A676FA"/>
    <w:rsid w:val="00A73CC7"/>
    <w:rsid w:val="00A76225"/>
    <w:rsid w:val="00A83871"/>
    <w:rsid w:val="00A845CA"/>
    <w:rsid w:val="00A919BD"/>
    <w:rsid w:val="00A96EDB"/>
    <w:rsid w:val="00AA0175"/>
    <w:rsid w:val="00AA0780"/>
    <w:rsid w:val="00AA0A65"/>
    <w:rsid w:val="00AA3302"/>
    <w:rsid w:val="00AA37B2"/>
    <w:rsid w:val="00AA408C"/>
    <w:rsid w:val="00AB1C65"/>
    <w:rsid w:val="00AB3C5A"/>
    <w:rsid w:val="00AB5343"/>
    <w:rsid w:val="00AB75BA"/>
    <w:rsid w:val="00AC094E"/>
    <w:rsid w:val="00AC0E5D"/>
    <w:rsid w:val="00AC5D14"/>
    <w:rsid w:val="00AD2B6D"/>
    <w:rsid w:val="00AD4B04"/>
    <w:rsid w:val="00AE0D19"/>
    <w:rsid w:val="00AE4D51"/>
    <w:rsid w:val="00AE616F"/>
    <w:rsid w:val="00AE71CC"/>
    <w:rsid w:val="00AF1C2E"/>
    <w:rsid w:val="00B006AA"/>
    <w:rsid w:val="00B013C5"/>
    <w:rsid w:val="00B04475"/>
    <w:rsid w:val="00B07FFA"/>
    <w:rsid w:val="00B13710"/>
    <w:rsid w:val="00B13AB0"/>
    <w:rsid w:val="00B233D8"/>
    <w:rsid w:val="00B27573"/>
    <w:rsid w:val="00B3018B"/>
    <w:rsid w:val="00B332E3"/>
    <w:rsid w:val="00B351D8"/>
    <w:rsid w:val="00B352D9"/>
    <w:rsid w:val="00B358EB"/>
    <w:rsid w:val="00B37A4B"/>
    <w:rsid w:val="00B50558"/>
    <w:rsid w:val="00B533E0"/>
    <w:rsid w:val="00B54D6F"/>
    <w:rsid w:val="00B55615"/>
    <w:rsid w:val="00B57F12"/>
    <w:rsid w:val="00B60298"/>
    <w:rsid w:val="00B6224C"/>
    <w:rsid w:val="00B62440"/>
    <w:rsid w:val="00B626BE"/>
    <w:rsid w:val="00B66A00"/>
    <w:rsid w:val="00B7139F"/>
    <w:rsid w:val="00B74B98"/>
    <w:rsid w:val="00B807A5"/>
    <w:rsid w:val="00B81D54"/>
    <w:rsid w:val="00B87B69"/>
    <w:rsid w:val="00B95D7B"/>
    <w:rsid w:val="00B95EE7"/>
    <w:rsid w:val="00B96A0B"/>
    <w:rsid w:val="00BA01A6"/>
    <w:rsid w:val="00BA50BE"/>
    <w:rsid w:val="00BA56D3"/>
    <w:rsid w:val="00BA7131"/>
    <w:rsid w:val="00BB03C4"/>
    <w:rsid w:val="00BC0181"/>
    <w:rsid w:val="00BC1FB7"/>
    <w:rsid w:val="00BC4A46"/>
    <w:rsid w:val="00BC61A3"/>
    <w:rsid w:val="00BD02B5"/>
    <w:rsid w:val="00BD3539"/>
    <w:rsid w:val="00BE16D9"/>
    <w:rsid w:val="00BE7D92"/>
    <w:rsid w:val="00BF0F66"/>
    <w:rsid w:val="00BF294C"/>
    <w:rsid w:val="00BF5D4C"/>
    <w:rsid w:val="00C011D6"/>
    <w:rsid w:val="00C01433"/>
    <w:rsid w:val="00C14637"/>
    <w:rsid w:val="00C21368"/>
    <w:rsid w:val="00C23680"/>
    <w:rsid w:val="00C24E1B"/>
    <w:rsid w:val="00C26D19"/>
    <w:rsid w:val="00C308CB"/>
    <w:rsid w:val="00C31D8E"/>
    <w:rsid w:val="00C34DAE"/>
    <w:rsid w:val="00C40849"/>
    <w:rsid w:val="00C43740"/>
    <w:rsid w:val="00C43853"/>
    <w:rsid w:val="00C46C70"/>
    <w:rsid w:val="00C51D95"/>
    <w:rsid w:val="00C56DC3"/>
    <w:rsid w:val="00C6027A"/>
    <w:rsid w:val="00C607C1"/>
    <w:rsid w:val="00C60DAD"/>
    <w:rsid w:val="00C619B5"/>
    <w:rsid w:val="00C63A3B"/>
    <w:rsid w:val="00C64BEE"/>
    <w:rsid w:val="00C65D56"/>
    <w:rsid w:val="00C66462"/>
    <w:rsid w:val="00C70013"/>
    <w:rsid w:val="00C73F0D"/>
    <w:rsid w:val="00C75145"/>
    <w:rsid w:val="00C80D84"/>
    <w:rsid w:val="00C91B80"/>
    <w:rsid w:val="00C95BB9"/>
    <w:rsid w:val="00C95FEF"/>
    <w:rsid w:val="00CA1E99"/>
    <w:rsid w:val="00CB1860"/>
    <w:rsid w:val="00CB6294"/>
    <w:rsid w:val="00CC597E"/>
    <w:rsid w:val="00CC7911"/>
    <w:rsid w:val="00CD4398"/>
    <w:rsid w:val="00CD4E5E"/>
    <w:rsid w:val="00CE2180"/>
    <w:rsid w:val="00CE4FE2"/>
    <w:rsid w:val="00CE588C"/>
    <w:rsid w:val="00CE6EEA"/>
    <w:rsid w:val="00CF0406"/>
    <w:rsid w:val="00CF7B50"/>
    <w:rsid w:val="00D009DD"/>
    <w:rsid w:val="00D04D26"/>
    <w:rsid w:val="00D05BBA"/>
    <w:rsid w:val="00D06817"/>
    <w:rsid w:val="00D16121"/>
    <w:rsid w:val="00D20DDE"/>
    <w:rsid w:val="00D24B3D"/>
    <w:rsid w:val="00D25C7D"/>
    <w:rsid w:val="00D26341"/>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60AD4"/>
    <w:rsid w:val="00D627CD"/>
    <w:rsid w:val="00D643EF"/>
    <w:rsid w:val="00D6508E"/>
    <w:rsid w:val="00D66709"/>
    <w:rsid w:val="00D71DE7"/>
    <w:rsid w:val="00D94356"/>
    <w:rsid w:val="00D97DF4"/>
    <w:rsid w:val="00DA2505"/>
    <w:rsid w:val="00DA61E5"/>
    <w:rsid w:val="00DB3F35"/>
    <w:rsid w:val="00DB7E49"/>
    <w:rsid w:val="00DC1742"/>
    <w:rsid w:val="00DC38C2"/>
    <w:rsid w:val="00DC4394"/>
    <w:rsid w:val="00DC528C"/>
    <w:rsid w:val="00DC52C8"/>
    <w:rsid w:val="00DD4D13"/>
    <w:rsid w:val="00DE229C"/>
    <w:rsid w:val="00DE23D8"/>
    <w:rsid w:val="00DE78FD"/>
    <w:rsid w:val="00DF26E7"/>
    <w:rsid w:val="00DF4BF9"/>
    <w:rsid w:val="00DF57DD"/>
    <w:rsid w:val="00DF6A6F"/>
    <w:rsid w:val="00E01931"/>
    <w:rsid w:val="00E01E87"/>
    <w:rsid w:val="00E04EF7"/>
    <w:rsid w:val="00E06528"/>
    <w:rsid w:val="00E075AA"/>
    <w:rsid w:val="00E11EC4"/>
    <w:rsid w:val="00E13074"/>
    <w:rsid w:val="00E13397"/>
    <w:rsid w:val="00E14403"/>
    <w:rsid w:val="00E24A77"/>
    <w:rsid w:val="00E2748A"/>
    <w:rsid w:val="00E3264B"/>
    <w:rsid w:val="00E477C3"/>
    <w:rsid w:val="00E633D8"/>
    <w:rsid w:val="00E6627C"/>
    <w:rsid w:val="00E76009"/>
    <w:rsid w:val="00E8247B"/>
    <w:rsid w:val="00E87196"/>
    <w:rsid w:val="00E90629"/>
    <w:rsid w:val="00E90FE6"/>
    <w:rsid w:val="00E91309"/>
    <w:rsid w:val="00EA4487"/>
    <w:rsid w:val="00EA6709"/>
    <w:rsid w:val="00EB2CCF"/>
    <w:rsid w:val="00EB462B"/>
    <w:rsid w:val="00EB4BD7"/>
    <w:rsid w:val="00EC220B"/>
    <w:rsid w:val="00EC432A"/>
    <w:rsid w:val="00ED2B9C"/>
    <w:rsid w:val="00ED3041"/>
    <w:rsid w:val="00ED38F3"/>
    <w:rsid w:val="00ED4734"/>
    <w:rsid w:val="00ED7C96"/>
    <w:rsid w:val="00EE0DE0"/>
    <w:rsid w:val="00EE1E11"/>
    <w:rsid w:val="00EE37E5"/>
    <w:rsid w:val="00EE3B08"/>
    <w:rsid w:val="00EE534B"/>
    <w:rsid w:val="00EE53D1"/>
    <w:rsid w:val="00EF3592"/>
    <w:rsid w:val="00EF6815"/>
    <w:rsid w:val="00F04C92"/>
    <w:rsid w:val="00F143DA"/>
    <w:rsid w:val="00F179F9"/>
    <w:rsid w:val="00F204EB"/>
    <w:rsid w:val="00F20C70"/>
    <w:rsid w:val="00F229B4"/>
    <w:rsid w:val="00F23CCD"/>
    <w:rsid w:val="00F24646"/>
    <w:rsid w:val="00F27399"/>
    <w:rsid w:val="00F322E9"/>
    <w:rsid w:val="00F4231D"/>
    <w:rsid w:val="00F47E3F"/>
    <w:rsid w:val="00F51BE0"/>
    <w:rsid w:val="00F538BB"/>
    <w:rsid w:val="00F5461D"/>
    <w:rsid w:val="00F57687"/>
    <w:rsid w:val="00F6072C"/>
    <w:rsid w:val="00F612BD"/>
    <w:rsid w:val="00F6153A"/>
    <w:rsid w:val="00F63CBA"/>
    <w:rsid w:val="00F674D2"/>
    <w:rsid w:val="00F70281"/>
    <w:rsid w:val="00F735CA"/>
    <w:rsid w:val="00F74A55"/>
    <w:rsid w:val="00F817BF"/>
    <w:rsid w:val="00F81836"/>
    <w:rsid w:val="00F81B4A"/>
    <w:rsid w:val="00F9013F"/>
    <w:rsid w:val="00F92426"/>
    <w:rsid w:val="00F92AA0"/>
    <w:rsid w:val="00F95A50"/>
    <w:rsid w:val="00F971E0"/>
    <w:rsid w:val="00F9772E"/>
    <w:rsid w:val="00FA17AC"/>
    <w:rsid w:val="00FA542A"/>
    <w:rsid w:val="00FB4BEB"/>
    <w:rsid w:val="00FB4C42"/>
    <w:rsid w:val="00FB54CE"/>
    <w:rsid w:val="00FB5915"/>
    <w:rsid w:val="00FC2EEA"/>
    <w:rsid w:val="00FD17DA"/>
    <w:rsid w:val="00FD1B18"/>
    <w:rsid w:val="00FD2E87"/>
    <w:rsid w:val="00FD36B2"/>
    <w:rsid w:val="00FD7B60"/>
    <w:rsid w:val="00FE0925"/>
    <w:rsid w:val="00FE4BCB"/>
    <w:rsid w:val="00FE61EA"/>
    <w:rsid w:val="00FF1811"/>
    <w:rsid w:val="00FF45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E49"/>
    <w:pPr>
      <w:spacing w:before="220" w:after="220" w:line="28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C43740"/>
    <w:pPr>
      <w:spacing w:before="200" w:after="200"/>
      <w:outlineLvl w:val="4"/>
    </w:pPr>
    <w:rPr>
      <w:rFonts w:ascii="Arial Narrow" w:eastAsia="Times New Roman" w:hAnsi="Arial Narrow"/>
      <w:i w:val="0"/>
      <w:smallCaps/>
      <w:szCs w:val="24"/>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C43740"/>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AA408C"/>
    <w:pPr>
      <w:tabs>
        <w:tab w:val="right" w:leader="dot" w:pos="9016"/>
      </w:tabs>
      <w:spacing w:before="180" w:after="180" w:line="240" w:lineRule="auto"/>
      <w:ind w:left="446"/>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standards.org.au" TargetMode="External"/><Relationship Id="rId3" Type="http://schemas.openxmlformats.org/officeDocument/2006/relationships/numbering" Target="numbering.xml"/><Relationship Id="rId21" Type="http://schemas.openxmlformats.org/officeDocument/2006/relationships/hyperlink" Target="https://www.parliament.act.gov.au/__data/assets/pdf_file/0007/434347/Subordinate-Legislation-Technical-and-Stylistic-Standards.pdf"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ancold.org.au/"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parliament.act.gov.au/__data/assets/pdf_file/0011/758117/Report-3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arliament.act.gov.au/__data/assets/pdf_file/0007/434347/Subordinate-Legislation-Technical-and-Stylistic-Standards.pdf" TargetMode="External"/><Relationship Id="rId32"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ustlii.edu.au/au/legis/cth/consol_act/whasa2011218/s207.html" TargetMode="External"/><Relationship Id="rId28" Type="http://schemas.openxmlformats.org/officeDocument/2006/relationships/hyperlink" Target="https://www.accesscanberra.act.gov.au/app/answers/detail/a_id/2203/~/waterand-energy-utilities-technical-regulation"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parliament.act.gov.au/__data/assets/pdf_file/0007/434347/Subordinate-Legislation-Technical-and-Stylistic-Standards.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ustlii.edu.au/au/legis/cth/consol_act/whasa2011218/s7.html" TargetMode="External"/><Relationship Id="rId27" Type="http://schemas.openxmlformats.org/officeDocument/2006/relationships/hyperlink" Target="http://www.ancold.org.au" TargetMode="External"/><Relationship Id="rId30" Type="http://schemas.openxmlformats.org/officeDocument/2006/relationships/hyperlink" Target="https://www.parliament.act.gov.au/__data/assets/pdf_file/0005/434345/HenryVIII-Fact-Sheet.pdf"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B9060E-6F0E-49F0-8247-4DBB3809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13457</Words>
  <Characters>75091</Characters>
  <Application>Microsoft Office Word</Application>
  <DocSecurity>0</DocSecurity>
  <Lines>1211</Lines>
  <Paragraphs>533</Paragraphs>
  <ScaleCrop>false</ScaleCrop>
  <HeadingPairs>
    <vt:vector size="2" baseType="variant">
      <vt:variant>
        <vt:lpstr>Title</vt:lpstr>
      </vt:variant>
      <vt:variant>
        <vt:i4>1</vt:i4>
      </vt:variant>
    </vt:vector>
  </HeadingPairs>
  <TitlesOfParts>
    <vt:vector size="1" baseType="lpstr">
      <vt:lpstr>Scrutiny Report 19</vt:lpstr>
    </vt:vector>
  </TitlesOfParts>
  <Company>ACT Government</Company>
  <LinksUpToDate>false</LinksUpToDate>
  <CharactersWithSpaces>88015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20</dc:title>
  <dc:creator>anne shannon</dc:creator>
  <cp:lastModifiedBy>anne shannon</cp:lastModifiedBy>
  <cp:revision>27</cp:revision>
  <cp:lastPrinted>2018-08-07T01:34:00Z</cp:lastPrinted>
  <dcterms:created xsi:type="dcterms:W3CDTF">2018-08-03T00:47:00Z</dcterms:created>
  <dcterms:modified xsi:type="dcterms:W3CDTF">2018-08-07T04:25:00Z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