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599A" w14:textId="49B7D94C" w:rsidR="00431F3D" w:rsidRDefault="00431F3D" w:rsidP="00431F3D">
      <w:pPr>
        <w:pStyle w:val="Committeename"/>
      </w:pPr>
      <w:r>
        <w:t xml:space="preserve">Standing Committee on </w:t>
      </w:r>
      <w:r w:rsidR="007C1E31">
        <w:t xml:space="preserve">the Integrity Commission and Statutory Office Holders </w:t>
      </w:r>
    </w:p>
    <w:p w14:paraId="4F8515E3" w14:textId="01E3ADF0" w:rsidR="006D4A0A" w:rsidRDefault="00863546" w:rsidP="00863546">
      <w:pPr>
        <w:pStyle w:val="Heading1"/>
        <w:spacing w:after="480"/>
      </w:pPr>
      <w:r>
        <w:t>Media release</w:t>
      </w:r>
    </w:p>
    <w:p w14:paraId="6F4ED519" w14:textId="7FF3833C" w:rsidR="00863546" w:rsidRPr="00863546" w:rsidRDefault="00124CB0" w:rsidP="00863546">
      <w:pPr>
        <w:pStyle w:val="Heading2"/>
        <w:spacing w:after="600"/>
        <w:jc w:val="center"/>
      </w:pPr>
      <w:r>
        <w:t>Interim r</w:t>
      </w:r>
      <w:r w:rsidR="00F15C77">
        <w:t xml:space="preserve">eport tabled – Inquiry into </w:t>
      </w:r>
      <w:r>
        <w:t>the operation of the 2024 ACT Election and the Electoral Act 1992</w:t>
      </w:r>
    </w:p>
    <w:p w14:paraId="5ACC57CE" w14:textId="77777777" w:rsidR="00124CB0" w:rsidRDefault="00F15C77" w:rsidP="00F15C77">
      <w:r w:rsidRPr="009A0DEA">
        <w:t>Today the Chair of</w:t>
      </w:r>
      <w:r>
        <w:t xml:space="preserve"> the</w:t>
      </w:r>
      <w:r w:rsidRPr="009A0DEA">
        <w:t xml:space="preserve"> Standing Committee on </w:t>
      </w:r>
      <w:r>
        <w:t>Integrity Commission and Statutory Office Holders</w:t>
      </w:r>
      <w:r w:rsidRPr="009A0DEA">
        <w:t xml:space="preserve">, Mr </w:t>
      </w:r>
      <w:r>
        <w:t>Ed Cocks</w:t>
      </w:r>
      <w:r w:rsidRPr="009A0DEA">
        <w:t xml:space="preserve"> MLA, tabled</w:t>
      </w:r>
      <w:r w:rsidR="00124CB0">
        <w:t xml:space="preserve"> an interim</w:t>
      </w:r>
      <w:r w:rsidRPr="009A0DEA">
        <w:t xml:space="preserve"> report for</w:t>
      </w:r>
      <w:r>
        <w:t xml:space="preserve"> the</w:t>
      </w:r>
      <w:r w:rsidR="00124CB0">
        <w:t xml:space="preserve"> Committee’s</w:t>
      </w:r>
      <w:r>
        <w:t xml:space="preserve"> </w:t>
      </w:r>
      <w:r>
        <w:rPr>
          <w:i/>
          <w:iCs/>
        </w:rPr>
        <w:t xml:space="preserve">Inquiry into </w:t>
      </w:r>
      <w:r w:rsidR="00124CB0">
        <w:rPr>
          <w:i/>
          <w:iCs/>
        </w:rPr>
        <w:t>the operation of the 2024 ACT Election and Electoral Act 1992</w:t>
      </w:r>
      <w:r>
        <w:t xml:space="preserve">. </w:t>
      </w:r>
    </w:p>
    <w:p w14:paraId="79B72A58" w14:textId="5907D567" w:rsidR="00F15C77" w:rsidRDefault="00F15C77" w:rsidP="00F15C77">
      <w:r>
        <w:t xml:space="preserve">The report </w:t>
      </w:r>
      <w:r w:rsidRPr="009112FE">
        <w:t xml:space="preserve">made </w:t>
      </w:r>
      <w:r w:rsidR="00B65D5C">
        <w:t>five</w:t>
      </w:r>
      <w:r w:rsidRPr="005F3ACE">
        <w:t xml:space="preserve"> recommendation</w:t>
      </w:r>
      <w:r w:rsidR="00124CB0">
        <w:t>s</w:t>
      </w:r>
      <w:r>
        <w:t xml:space="preserve"> </w:t>
      </w:r>
      <w:r w:rsidR="00124CB0">
        <w:t xml:space="preserve">intended </w:t>
      </w:r>
      <w:r w:rsidR="00124CB0" w:rsidRPr="00124CB0">
        <w:t>to address issues that could be resolved most quickly. The purpose of this approach is to minimise delays in progressing legislative reforms required before the next election.</w:t>
      </w:r>
    </w:p>
    <w:p w14:paraId="02E06A9B" w14:textId="55FFCE39" w:rsidR="00F15C77" w:rsidRDefault="00F15C77" w:rsidP="00F15C77">
      <w:r>
        <w:t>The Committee thanks</w:t>
      </w:r>
      <w:r w:rsidR="00124CB0">
        <w:t xml:space="preserve"> the ACT Electoral Commission, the Attorney-General and</w:t>
      </w:r>
      <w:r>
        <w:t xml:space="preserve"> all </w:t>
      </w:r>
      <w:r w:rsidR="00124CB0">
        <w:t>submitters and witnesses</w:t>
      </w:r>
      <w:r>
        <w:t xml:space="preserve"> </w:t>
      </w:r>
      <w:r w:rsidR="00124CB0">
        <w:t xml:space="preserve">for </w:t>
      </w:r>
      <w:r>
        <w:t>their engagement in th</w:t>
      </w:r>
      <w:r w:rsidR="00124CB0">
        <w:t>is</w:t>
      </w:r>
      <w:r>
        <w:t xml:space="preserve"> inquiry. </w:t>
      </w:r>
    </w:p>
    <w:p w14:paraId="766680DD" w14:textId="77777777" w:rsidR="00F15C77" w:rsidRDefault="00F15C77" w:rsidP="00F15C77">
      <w:r>
        <w:t xml:space="preserve">Under the Assembly’s standing orders, the Government is required to respond to committee reports within four months of tabling. </w:t>
      </w:r>
    </w:p>
    <w:p w14:paraId="43835EED" w14:textId="7938F4FD" w:rsidR="007605EA" w:rsidRDefault="00F15C77" w:rsidP="007605EA">
      <w:r w:rsidRPr="00D174F1">
        <w:t xml:space="preserve">The </w:t>
      </w:r>
      <w:r w:rsidR="00124CB0">
        <w:t>interim</w:t>
      </w:r>
      <w:r w:rsidRPr="00D174F1">
        <w:t xml:space="preserve"> report is available on the Assembly’s webpage</w:t>
      </w:r>
      <w:r>
        <w:t xml:space="preserve">: </w:t>
      </w:r>
      <w:hyperlink r:id="rId7" w:history="1">
        <w:r w:rsidR="007605EA" w:rsidRPr="007605EA">
          <w:rPr>
            <w:rStyle w:val="Hyperlink"/>
          </w:rPr>
          <w:t>Recent reports - A</w:t>
        </w:r>
        <w:r w:rsidR="007605EA" w:rsidRPr="007605EA">
          <w:rPr>
            <w:rStyle w:val="Hyperlink"/>
          </w:rPr>
          <w:t>C</w:t>
        </w:r>
        <w:r w:rsidR="007605EA" w:rsidRPr="007605EA">
          <w:rPr>
            <w:rStyle w:val="Hyperlink"/>
          </w:rPr>
          <w:t>T Legislative Assembly</w:t>
        </w:r>
      </w:hyperlink>
    </w:p>
    <w:p w14:paraId="1E5CE846" w14:textId="11C51339" w:rsidR="00124CB0" w:rsidRDefault="00124CB0" w:rsidP="00F15C77">
      <w:pPr>
        <w:pStyle w:val="NoSpacing"/>
      </w:pPr>
      <w:r>
        <w:t>The Committee will issue a final report in due course.</w:t>
      </w:r>
    </w:p>
    <w:p w14:paraId="00F79CA2" w14:textId="77777777" w:rsidR="00124CB0" w:rsidRDefault="00124CB0" w:rsidP="00F15C77">
      <w:pPr>
        <w:pStyle w:val="NoSpacing"/>
      </w:pPr>
    </w:p>
    <w:p w14:paraId="32C4E597" w14:textId="6F844FA5" w:rsidR="00863546" w:rsidRDefault="003829AC" w:rsidP="00F15C7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23</w:t>
      </w:r>
      <w:r w:rsidR="00C85825">
        <w:rPr>
          <w:shd w:val="clear" w:color="auto" w:fill="FFFFFF"/>
        </w:rPr>
        <w:t xml:space="preserve"> January </w:t>
      </w:r>
      <w:r w:rsidR="003B49D2">
        <w:rPr>
          <w:shd w:val="clear" w:color="auto" w:fill="FFFFFF"/>
        </w:rPr>
        <w:t>2026</w:t>
      </w:r>
    </w:p>
    <w:p w14:paraId="65F02B7E" w14:textId="03628EF6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6C5AB7D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E90F57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5A4B4209" w14:textId="1D10C4C9" w:rsidR="00863546" w:rsidRPr="000513FB" w:rsidRDefault="007C1E31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2C29C6">
              <w:rPr>
                <w:sz w:val="20"/>
                <w:szCs w:val="20"/>
              </w:rPr>
              <w:t>r Ed Cocks</w:t>
            </w:r>
            <w:r w:rsidR="00863546" w:rsidRPr="000513FB">
              <w:rPr>
                <w:sz w:val="20"/>
                <w:szCs w:val="20"/>
              </w:rPr>
              <w:t xml:space="preserve"> MLA, chair – (02) 620 </w:t>
            </w:r>
            <w:r>
              <w:rPr>
                <w:sz w:val="20"/>
                <w:szCs w:val="20"/>
              </w:rPr>
              <w:t>5</w:t>
            </w:r>
            <w:r w:rsidR="002C29C6">
              <w:rPr>
                <w:sz w:val="20"/>
                <w:szCs w:val="20"/>
              </w:rPr>
              <w:t>0234</w:t>
            </w:r>
          </w:p>
          <w:p w14:paraId="402DC404" w14:textId="5D55B0EA" w:rsidR="00863546" w:rsidRPr="00863546" w:rsidRDefault="007C1E31" w:rsidP="000513FB">
            <w:pPr>
              <w:pStyle w:val="ListParagraph"/>
              <w:spacing w:before="60" w:after="120"/>
              <w:ind w:left="357" w:hanging="357"/>
            </w:pPr>
            <w:r w:rsidRPr="007C1E31">
              <w:rPr>
                <w:sz w:val="20"/>
                <w:szCs w:val="20"/>
              </w:rPr>
              <w:t>Kathleen de Kleuver</w:t>
            </w:r>
            <w:r w:rsidR="00863546" w:rsidRPr="007C1E31">
              <w:rPr>
                <w:sz w:val="20"/>
                <w:szCs w:val="20"/>
              </w:rPr>
              <w:t xml:space="preserve">, secretary – (02) 620 </w:t>
            </w:r>
            <w:r w:rsidRPr="007C1E31">
              <w:rPr>
                <w:sz w:val="20"/>
                <w:szCs w:val="20"/>
              </w:rPr>
              <w:t>70524</w:t>
            </w:r>
            <w:r w:rsidR="00863546" w:rsidRPr="007C1E31">
              <w:rPr>
                <w:sz w:val="20"/>
                <w:szCs w:val="20"/>
              </w:rPr>
              <w:t xml:space="preserve"> or</w:t>
            </w:r>
            <w:r w:rsidR="000513FB" w:rsidRPr="007C1E31">
              <w:rPr>
                <w:sz w:val="20"/>
                <w:szCs w:val="20"/>
              </w:rPr>
              <w:t xml:space="preserve"> </w:t>
            </w:r>
            <w:r w:rsidR="00863546" w:rsidRPr="007C1E31">
              <w:rPr>
                <w:sz w:val="20"/>
                <w:szCs w:val="20"/>
              </w:rPr>
              <w:t>LA</w:t>
            </w:r>
            <w:r w:rsidR="002C29C6">
              <w:rPr>
                <w:sz w:val="20"/>
                <w:szCs w:val="20"/>
              </w:rPr>
              <w:t>C</w:t>
            </w:r>
            <w:r w:rsidR="00863546" w:rsidRPr="007C1E31">
              <w:rPr>
                <w:sz w:val="20"/>
                <w:szCs w:val="20"/>
              </w:rPr>
              <w:t>ommittee</w:t>
            </w:r>
            <w:r w:rsidRPr="007C1E31">
              <w:rPr>
                <w:sz w:val="20"/>
                <w:szCs w:val="20"/>
              </w:rPr>
              <w:t>Integrity</w:t>
            </w:r>
            <w:r w:rsidR="00863546" w:rsidRPr="007C1E31">
              <w:rPr>
                <w:sz w:val="20"/>
                <w:szCs w:val="20"/>
              </w:rPr>
              <w:t>@parliament.act.gov.au</w:t>
            </w:r>
          </w:p>
        </w:tc>
      </w:tr>
    </w:tbl>
    <w:p w14:paraId="28BC5560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8"/>
      <w:headerReference w:type="first" r:id="rId9"/>
      <w:footerReference w:type="first" r:id="rId10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E245" w14:textId="77777777" w:rsidR="00FA5E42" w:rsidRDefault="00FA5E42" w:rsidP="003C03E9">
      <w:pPr>
        <w:spacing w:after="0" w:line="240" w:lineRule="auto"/>
      </w:pPr>
      <w:r>
        <w:separator/>
      </w:r>
    </w:p>
    <w:p w14:paraId="2A9A480F" w14:textId="77777777" w:rsidR="00FA5E42" w:rsidRDefault="00FA5E42"/>
  </w:endnote>
  <w:endnote w:type="continuationSeparator" w:id="0">
    <w:p w14:paraId="3EEAED2F" w14:textId="77777777" w:rsidR="00FA5E42" w:rsidRDefault="00FA5E42" w:rsidP="003C03E9">
      <w:pPr>
        <w:spacing w:after="0" w:line="240" w:lineRule="auto"/>
      </w:pPr>
      <w:r>
        <w:continuationSeparator/>
      </w:r>
    </w:p>
    <w:p w14:paraId="559A0A80" w14:textId="77777777" w:rsidR="00FA5E42" w:rsidRDefault="00FA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8668" w14:textId="77777777" w:rsidR="00FA2F7D" w:rsidRDefault="00FA2F7D" w:rsidP="00110D21">
    <w:pPr>
      <w:pStyle w:val="Footer"/>
    </w:pPr>
  </w:p>
  <w:p w14:paraId="6A771035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9F46" w14:textId="34B813FC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3829AC">
      <w:rPr>
        <w:noProof/>
        <w:color w:val="1A234C"/>
        <w:sz w:val="16"/>
        <w:szCs w:val="16"/>
      </w:rPr>
      <w:t>Standing Committee on the Integrity Commission and Statutory Office Holders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4B337E">
      <w:rPr>
        <w:rFonts w:ascii="Segoe UI Symbol" w:hAnsi="Segoe UI Symbol" w:cs="Segoe UI Symbol"/>
        <w:color w:val="1A234C"/>
        <w:sz w:val="16"/>
        <w:szCs w:val="16"/>
      </w:rPr>
      <w:t>7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376140">
      <w:rPr>
        <w:rFonts w:ascii="Segoe UI Symbol" w:hAnsi="Segoe UI Symbol" w:cs="Segoe UI Symbol"/>
        <w:color w:val="1A234C"/>
        <w:sz w:val="16"/>
        <w:szCs w:val="16"/>
      </w:rPr>
      <w:t>0</w:t>
    </w:r>
    <w:r w:rsidR="004B337E">
      <w:rPr>
        <w:rFonts w:ascii="Segoe UI Symbol" w:hAnsi="Segoe UI Symbol" w:cs="Segoe UI Symbol"/>
        <w:color w:val="1A234C"/>
        <w:sz w:val="16"/>
        <w:szCs w:val="16"/>
      </w:rPr>
      <w:t>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68363B" w:rsidRPr="0068363B">
        <w:rPr>
          <w:rStyle w:val="Hyperlink"/>
          <w:sz w:val="20"/>
          <w:szCs w:val="20"/>
        </w:rPr>
        <w:t>LACommitteeIntegrity@parliament.act.gov.au</w:t>
      </w:r>
    </w:hyperlink>
    <w:r w:rsidR="0068363B">
      <w:rPr>
        <w:rFonts w:ascii="Segoe UI Symbol" w:hAnsi="Segoe UI Symbol" w:cs="Segoe UI Symbol"/>
        <w:color w:val="1A234C"/>
        <w:sz w:val="16"/>
        <w:szCs w:val="16"/>
      </w:rPr>
      <w:t xml:space="preserve"> 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5399" w14:textId="185BC111" w:rsidR="00FA5E42" w:rsidRDefault="00FA5E42" w:rsidP="00502117">
      <w:pPr>
        <w:spacing w:after="0" w:line="240" w:lineRule="auto"/>
      </w:pPr>
      <w:r>
        <w:separator/>
      </w:r>
    </w:p>
  </w:footnote>
  <w:footnote w:type="continuationSeparator" w:id="0">
    <w:p w14:paraId="4A9EA797" w14:textId="77777777" w:rsidR="00FA5E42" w:rsidRDefault="00FA5E42" w:rsidP="003C03E9">
      <w:pPr>
        <w:spacing w:after="0" w:line="240" w:lineRule="auto"/>
      </w:pPr>
      <w:r>
        <w:continuationSeparator/>
      </w:r>
    </w:p>
    <w:p w14:paraId="43901FC6" w14:textId="77777777" w:rsidR="00FA5E42" w:rsidRDefault="00FA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3C05" w14:textId="34B464D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32F1C228" wp14:editId="39639490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78D736F" w14:textId="415A05B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42"/>
    <w:rsid w:val="000513FB"/>
    <w:rsid w:val="000D3BB9"/>
    <w:rsid w:val="000E3BE6"/>
    <w:rsid w:val="00110D21"/>
    <w:rsid w:val="00124CB0"/>
    <w:rsid w:val="0014392D"/>
    <w:rsid w:val="00166FCE"/>
    <w:rsid w:val="001A041A"/>
    <w:rsid w:val="001D38F4"/>
    <w:rsid w:val="001E1EC0"/>
    <w:rsid w:val="001F6AD4"/>
    <w:rsid w:val="00273F61"/>
    <w:rsid w:val="0027673A"/>
    <w:rsid w:val="002A3D25"/>
    <w:rsid w:val="002C22E5"/>
    <w:rsid w:val="002C2673"/>
    <w:rsid w:val="002C29C6"/>
    <w:rsid w:val="003004A0"/>
    <w:rsid w:val="003533BD"/>
    <w:rsid w:val="00376140"/>
    <w:rsid w:val="003829AC"/>
    <w:rsid w:val="003B49D2"/>
    <w:rsid w:val="003C03E9"/>
    <w:rsid w:val="00431F3D"/>
    <w:rsid w:val="004614F7"/>
    <w:rsid w:val="004B337E"/>
    <w:rsid w:val="004C44E6"/>
    <w:rsid w:val="004C60D0"/>
    <w:rsid w:val="004D2C7E"/>
    <w:rsid w:val="00502117"/>
    <w:rsid w:val="005552EA"/>
    <w:rsid w:val="00556371"/>
    <w:rsid w:val="00560E8A"/>
    <w:rsid w:val="005A4F0B"/>
    <w:rsid w:val="005D2D97"/>
    <w:rsid w:val="0068363B"/>
    <w:rsid w:val="006D4A0A"/>
    <w:rsid w:val="006D6584"/>
    <w:rsid w:val="007141D8"/>
    <w:rsid w:val="007370AD"/>
    <w:rsid w:val="007605EA"/>
    <w:rsid w:val="007C1E31"/>
    <w:rsid w:val="00863546"/>
    <w:rsid w:val="00872845"/>
    <w:rsid w:val="008800AE"/>
    <w:rsid w:val="0088313F"/>
    <w:rsid w:val="00890477"/>
    <w:rsid w:val="008B567D"/>
    <w:rsid w:val="00900B0E"/>
    <w:rsid w:val="00913885"/>
    <w:rsid w:val="009153F0"/>
    <w:rsid w:val="00983C68"/>
    <w:rsid w:val="00993407"/>
    <w:rsid w:val="009B150A"/>
    <w:rsid w:val="009B15D6"/>
    <w:rsid w:val="009E30E8"/>
    <w:rsid w:val="00AF4939"/>
    <w:rsid w:val="00B65D5C"/>
    <w:rsid w:val="00C108B4"/>
    <w:rsid w:val="00C332F7"/>
    <w:rsid w:val="00C43599"/>
    <w:rsid w:val="00C83C87"/>
    <w:rsid w:val="00C85825"/>
    <w:rsid w:val="00C903EE"/>
    <w:rsid w:val="00D27851"/>
    <w:rsid w:val="00D46F14"/>
    <w:rsid w:val="00DB003D"/>
    <w:rsid w:val="00DB49E2"/>
    <w:rsid w:val="00DC109A"/>
    <w:rsid w:val="00DF4B56"/>
    <w:rsid w:val="00ED4AB6"/>
    <w:rsid w:val="00EE6040"/>
    <w:rsid w:val="00F15C77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13C1B"/>
  <w15:chartTrackingRefBased/>
  <w15:docId w15:val="{06DE3DC0-40ED-4E4C-A64C-51F41A0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4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LACommitteeIntegrity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report tabled - Inquiry into Annual and Financial Reports 2024-25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report tabled - Inquiry into Annual and Financial Reports 2024-25</dc:title>
  <dc:subject/>
  <dc:creator>Evett, Jayden</dc:creator>
  <cp:keywords/>
  <dc:description/>
  <cp:lastModifiedBy>Chung, Lydia</cp:lastModifiedBy>
  <cp:revision>10</cp:revision>
  <cp:lastPrinted>2022-10-12T01:10:00Z</cp:lastPrinted>
  <dcterms:created xsi:type="dcterms:W3CDTF">2026-01-12T23:39:00Z</dcterms:created>
  <dcterms:modified xsi:type="dcterms:W3CDTF">2026-01-22T22:47:00Z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