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D" w:rsidRDefault="00A8793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B247B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</w:t>
      </w:r>
    </w:p>
    <w:p w:rsidR="00AD7D31" w:rsidRPr="002A7912" w:rsidRDefault="00B247BF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321D9B" w:rsidRDefault="00E76F5D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Justice and Community Safety Committee (Legislative Scrutiny Role)</w:t>
      </w:r>
    </w:p>
    <w:p w:rsidR="00AD7D31" w:rsidRPr="002A7912" w:rsidRDefault="00321D9B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ACT Legislative Assembly</w:t>
      </w:r>
      <w:r w:rsidR="00AD7D31" w:rsidRPr="002A7912">
        <w:rPr>
          <w:rFonts w:ascii="Calibri" w:hAnsi="Calibri"/>
          <w:sz w:val="24"/>
          <w:szCs w:val="24"/>
        </w:rPr>
        <w:tab/>
      </w:r>
      <w:bookmarkStart w:id="0" w:name="_GoBack"/>
      <w:bookmarkEnd w:id="0"/>
    </w:p>
    <w:p w:rsidR="00AD7D31" w:rsidRPr="00321D9B" w:rsidRDefault="00321D9B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321D9B">
        <w:rPr>
          <w:rFonts w:ascii="Calibri" w:hAnsi="Calibri"/>
          <w:sz w:val="24"/>
          <w:szCs w:val="24"/>
        </w:rPr>
        <w:t>GPO Box 1020</w:t>
      </w:r>
      <w:r w:rsidRPr="00321D9B">
        <w:rPr>
          <w:rFonts w:ascii="Calibri" w:hAnsi="Calibri"/>
          <w:sz w:val="24"/>
          <w:szCs w:val="24"/>
        </w:rPr>
        <w:br/>
        <w:t>CANBERRA  ACT 2601</w:t>
      </w:r>
      <w:r w:rsidRPr="00321D9B">
        <w:rPr>
          <w:rFonts w:ascii="Calibri" w:hAnsi="Calibri"/>
          <w:sz w:val="24"/>
          <w:szCs w:val="24"/>
        </w:rPr>
        <w:br/>
      </w:r>
    </w:p>
    <w:p w:rsidR="00321D9B" w:rsidRPr="002A7912" w:rsidRDefault="00321D9B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  <w:lang w:val="en-US"/>
        </w:rPr>
        <w:t xml:space="preserve">Dear </w:t>
      </w:r>
      <w:r w:rsidR="00321D9B">
        <w:rPr>
          <w:rFonts w:ascii="Calibri" w:hAnsi="Calibri"/>
          <w:sz w:val="24"/>
          <w:szCs w:val="24"/>
          <w:lang w:val="en-US"/>
        </w:rPr>
        <w:t>Mrs Jones</w:t>
      </w:r>
    </w:p>
    <w:p w:rsidR="00AD7D31" w:rsidRPr="002A7912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2A7912" w:rsidRDefault="00321D9B" w:rsidP="00D14047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write in relation to </w:t>
      </w:r>
      <w:r w:rsidR="00E16425">
        <w:rPr>
          <w:rFonts w:ascii="Calibri" w:hAnsi="Calibri"/>
          <w:sz w:val="24"/>
          <w:szCs w:val="24"/>
        </w:rPr>
        <w:t>the</w:t>
      </w:r>
      <w:r w:rsidR="00E16425" w:rsidRPr="00D14047">
        <w:rPr>
          <w:rFonts w:ascii="Calibri" w:hAnsi="Calibri"/>
          <w:sz w:val="24"/>
          <w:szCs w:val="24"/>
        </w:rPr>
        <w:t xml:space="preserve"> </w:t>
      </w:r>
      <w:r w:rsidR="00E16425">
        <w:rPr>
          <w:rFonts w:ascii="Calibri" w:hAnsi="Calibri"/>
          <w:sz w:val="24"/>
          <w:szCs w:val="24"/>
        </w:rPr>
        <w:t xml:space="preserve">Justice and Community Safety Committee (Legislative Scrutiny Role) </w:t>
      </w:r>
      <w:r>
        <w:rPr>
          <w:rFonts w:ascii="Calibri" w:hAnsi="Calibri"/>
          <w:sz w:val="24"/>
          <w:szCs w:val="24"/>
        </w:rPr>
        <w:t xml:space="preserve">comments on the </w:t>
      </w:r>
      <w:r w:rsidR="00D14047" w:rsidRPr="00D14047">
        <w:rPr>
          <w:rFonts w:ascii="Calibri" w:hAnsi="Calibri"/>
          <w:i/>
          <w:sz w:val="24"/>
          <w:szCs w:val="24"/>
        </w:rPr>
        <w:t>Co-operatives National Law (ACT) Bill 2017</w:t>
      </w:r>
      <w:r w:rsidR="00D14047">
        <w:rPr>
          <w:rFonts w:ascii="Calibri" w:hAnsi="Calibri"/>
          <w:sz w:val="24"/>
          <w:szCs w:val="24"/>
        </w:rPr>
        <w:t xml:space="preserve"> contained in Scrutiny Report 3 </w:t>
      </w:r>
      <w:r w:rsidR="00BA521F">
        <w:rPr>
          <w:rFonts w:ascii="Calibri" w:hAnsi="Calibri"/>
          <w:sz w:val="24"/>
          <w:szCs w:val="24"/>
        </w:rPr>
        <w:t xml:space="preserve">published on </w:t>
      </w:r>
      <w:r w:rsidR="00D14047">
        <w:rPr>
          <w:rFonts w:ascii="Calibri" w:hAnsi="Calibri"/>
          <w:sz w:val="24"/>
          <w:szCs w:val="24"/>
        </w:rPr>
        <w:t>14 March 2017</w:t>
      </w:r>
      <w:r w:rsidR="009D177C">
        <w:rPr>
          <w:rFonts w:ascii="Calibri" w:hAnsi="Calibri"/>
          <w:sz w:val="24"/>
          <w:szCs w:val="24"/>
        </w:rPr>
        <w:t>.</w:t>
      </w: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321C3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your consideration of this national law adoption </w:t>
      </w:r>
      <w:r w:rsidR="006D743B">
        <w:rPr>
          <w:rFonts w:ascii="Calibri" w:hAnsi="Calibri"/>
          <w:sz w:val="24"/>
          <w:szCs w:val="24"/>
        </w:rPr>
        <w:t>legislation</w:t>
      </w:r>
      <w:r>
        <w:rPr>
          <w:rFonts w:ascii="Calibri" w:hAnsi="Calibri"/>
          <w:sz w:val="24"/>
          <w:szCs w:val="24"/>
        </w:rPr>
        <w:t xml:space="preserve">. I note the Scrutiny Committee has sought my advice about the </w:t>
      </w:r>
      <w:r w:rsidR="006D743B">
        <w:rPr>
          <w:rFonts w:ascii="Calibri" w:hAnsi="Calibri"/>
          <w:sz w:val="24"/>
          <w:szCs w:val="24"/>
        </w:rPr>
        <w:t xml:space="preserve">justification </w:t>
      </w:r>
      <w:r w:rsidR="003257E8">
        <w:rPr>
          <w:rFonts w:ascii="Calibri" w:hAnsi="Calibri"/>
          <w:sz w:val="24"/>
          <w:szCs w:val="24"/>
        </w:rPr>
        <w:t xml:space="preserve">for </w:t>
      </w:r>
      <w:r w:rsidR="00FF308D">
        <w:rPr>
          <w:rFonts w:ascii="Calibri" w:hAnsi="Calibri"/>
          <w:sz w:val="24"/>
          <w:szCs w:val="24"/>
        </w:rPr>
        <w:t>the limitatio</w:t>
      </w:r>
      <w:r w:rsidR="003257E8">
        <w:rPr>
          <w:rFonts w:ascii="Calibri" w:hAnsi="Calibri"/>
          <w:sz w:val="24"/>
          <w:szCs w:val="24"/>
        </w:rPr>
        <w:t xml:space="preserve">n on the privilege against self </w:t>
      </w:r>
      <w:r w:rsidR="00FF308D">
        <w:rPr>
          <w:rFonts w:ascii="Calibri" w:hAnsi="Calibri"/>
          <w:sz w:val="24"/>
          <w:szCs w:val="24"/>
        </w:rPr>
        <w:t xml:space="preserve">incrimination in section 503 of the NSW </w:t>
      </w:r>
      <w:r w:rsidR="00346EBF" w:rsidRPr="00346EBF">
        <w:rPr>
          <w:rFonts w:ascii="Calibri" w:hAnsi="Calibri"/>
          <w:bCs/>
          <w:i/>
          <w:sz w:val="24"/>
          <w:szCs w:val="24"/>
        </w:rPr>
        <w:t>Co-operatives (Adoption of National Law) Act 2012</w:t>
      </w:r>
      <w:r w:rsidR="003257E8">
        <w:rPr>
          <w:rFonts w:ascii="Calibri" w:hAnsi="Calibri"/>
          <w:bCs/>
          <w:i/>
          <w:sz w:val="24"/>
          <w:szCs w:val="24"/>
        </w:rPr>
        <w:t xml:space="preserve"> </w:t>
      </w:r>
      <w:r w:rsidR="003257E8" w:rsidRPr="003257E8">
        <w:rPr>
          <w:rFonts w:ascii="Calibri" w:hAnsi="Calibri"/>
          <w:bCs/>
          <w:sz w:val="24"/>
          <w:szCs w:val="24"/>
        </w:rPr>
        <w:t>(the NSW Act)</w:t>
      </w:r>
      <w:r w:rsidR="00FF308D" w:rsidRPr="003257E8">
        <w:rPr>
          <w:rFonts w:ascii="Calibri" w:hAnsi="Calibri"/>
          <w:sz w:val="24"/>
          <w:szCs w:val="24"/>
        </w:rPr>
        <w:t>.</w:t>
      </w:r>
    </w:p>
    <w:p w:rsidR="00321C36" w:rsidRPr="002A7912" w:rsidRDefault="00321C36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003A94" w:rsidRDefault="00BE1F4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note the observation that the privilege against </w:t>
      </w:r>
      <w:r w:rsidR="00003A94">
        <w:rPr>
          <w:rFonts w:ascii="Calibri" w:hAnsi="Calibri"/>
          <w:sz w:val="24"/>
          <w:szCs w:val="24"/>
        </w:rPr>
        <w:t>self</w:t>
      </w:r>
      <w:r>
        <w:rPr>
          <w:rFonts w:ascii="Calibri" w:hAnsi="Calibri"/>
          <w:sz w:val="24"/>
          <w:szCs w:val="24"/>
        </w:rPr>
        <w:t xml:space="preserve"> </w:t>
      </w:r>
      <w:r w:rsidR="00003A94">
        <w:rPr>
          <w:rFonts w:ascii="Calibri" w:hAnsi="Calibri"/>
          <w:sz w:val="24"/>
          <w:szCs w:val="24"/>
        </w:rPr>
        <w:t>incrimination</w:t>
      </w:r>
      <w:r>
        <w:rPr>
          <w:rFonts w:ascii="Calibri" w:hAnsi="Calibri"/>
          <w:sz w:val="24"/>
          <w:szCs w:val="24"/>
        </w:rPr>
        <w:t xml:space="preserve"> only applies if it is claimed in advance by the individual who is being compelled to </w:t>
      </w:r>
      <w:r w:rsidR="00B05A55">
        <w:rPr>
          <w:rFonts w:ascii="Calibri" w:hAnsi="Calibri"/>
          <w:sz w:val="24"/>
          <w:szCs w:val="24"/>
        </w:rPr>
        <w:t>make statements in response to questions asked by an inspector performing function</w:t>
      </w:r>
      <w:r w:rsidR="00003A94">
        <w:rPr>
          <w:rFonts w:ascii="Calibri" w:hAnsi="Calibri"/>
          <w:sz w:val="24"/>
          <w:szCs w:val="24"/>
        </w:rPr>
        <w:t>s under the national law.</w:t>
      </w:r>
    </w:p>
    <w:p w:rsidR="00003A94" w:rsidRDefault="00003A94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D3C38" w:rsidRDefault="00833884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is necessary that inspectors have sufficient regulatory powers to obtain information about the operations of co-operatives to determine whether the law has been breached. These are standard powers in a regulatory context, and are reasonable in the sense that people participating in the operation of a co-operative are on notice about their obligations.</w:t>
      </w:r>
      <w:r w:rsidR="006A5FF1">
        <w:rPr>
          <w:rFonts w:ascii="Calibri" w:hAnsi="Calibri"/>
          <w:sz w:val="24"/>
          <w:szCs w:val="24"/>
        </w:rPr>
        <w:t xml:space="preserve"> </w:t>
      </w:r>
    </w:p>
    <w:p w:rsidR="009D3C38" w:rsidRDefault="009D3C3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D60F9" w:rsidRDefault="003C7008" w:rsidP="00FD60F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Notice must be given in an approved form before a person can be asked to provide answers to questions, meaning they will be in a position to assess the likely implications of questions and seek legal advice</w:t>
      </w:r>
      <w:r w:rsidR="00E16425">
        <w:rPr>
          <w:rFonts w:ascii="Calibri" w:hAnsi="Calibri"/>
          <w:sz w:val="24"/>
          <w:szCs w:val="24"/>
        </w:rPr>
        <w:t xml:space="preserve"> before answering them</w:t>
      </w:r>
      <w:r>
        <w:rPr>
          <w:rFonts w:ascii="Calibri" w:hAnsi="Calibri"/>
          <w:sz w:val="24"/>
          <w:szCs w:val="24"/>
        </w:rPr>
        <w:t xml:space="preserve">. </w:t>
      </w:r>
      <w:r w:rsidR="00FD60F9">
        <w:rPr>
          <w:rFonts w:ascii="Calibri" w:hAnsi="Calibri"/>
          <w:sz w:val="24"/>
          <w:szCs w:val="24"/>
        </w:rPr>
        <w:t>It is reasonable to limit the privilege</w:t>
      </w:r>
      <w:r w:rsidR="003257E8">
        <w:rPr>
          <w:rFonts w:ascii="Calibri" w:hAnsi="Calibri"/>
          <w:sz w:val="24"/>
          <w:szCs w:val="24"/>
        </w:rPr>
        <w:t xml:space="preserve"> against self incrimination</w:t>
      </w:r>
      <w:r w:rsidR="00FD60F9">
        <w:rPr>
          <w:rFonts w:ascii="Calibri" w:hAnsi="Calibri"/>
          <w:sz w:val="24"/>
          <w:szCs w:val="24"/>
        </w:rPr>
        <w:t xml:space="preserve"> in the regulatory context to situations where it is claimed, as only the person claiming the privilege will know whether the evidence might tend to incriminate them. In addition</w:t>
      </w:r>
      <w:r w:rsidR="003257E8">
        <w:rPr>
          <w:rFonts w:ascii="Calibri" w:hAnsi="Calibri"/>
          <w:sz w:val="24"/>
          <w:szCs w:val="24"/>
        </w:rPr>
        <w:t>,</w:t>
      </w:r>
      <w:r w:rsidR="00FD60F9">
        <w:rPr>
          <w:rFonts w:ascii="Calibri" w:hAnsi="Calibri"/>
          <w:sz w:val="24"/>
          <w:szCs w:val="24"/>
        </w:rPr>
        <w:t xml:space="preserve"> the law does not remove existing powers to refuse to admit evidence </w:t>
      </w:r>
      <w:r w:rsidR="003257E8">
        <w:rPr>
          <w:rFonts w:ascii="Calibri" w:hAnsi="Calibri"/>
          <w:sz w:val="24"/>
          <w:szCs w:val="24"/>
        </w:rPr>
        <w:t>under</w:t>
      </w:r>
      <w:r w:rsidR="00FD60F9">
        <w:rPr>
          <w:rFonts w:ascii="Calibri" w:hAnsi="Calibri"/>
          <w:sz w:val="24"/>
          <w:szCs w:val="24"/>
        </w:rPr>
        <w:t xml:space="preserve"> the </w:t>
      </w:r>
      <w:r w:rsidR="00FD60F9" w:rsidRPr="009D3C38">
        <w:rPr>
          <w:rFonts w:ascii="Calibri" w:hAnsi="Calibri"/>
          <w:i/>
          <w:sz w:val="24"/>
          <w:szCs w:val="24"/>
        </w:rPr>
        <w:t>Evidence Act 2011.</w:t>
      </w:r>
      <w:r w:rsidR="00FD60F9">
        <w:rPr>
          <w:rFonts w:ascii="Calibri" w:hAnsi="Calibri"/>
          <w:sz w:val="24"/>
          <w:szCs w:val="24"/>
        </w:rPr>
        <w:t xml:space="preserve"> </w:t>
      </w:r>
    </w:p>
    <w:p w:rsidR="009D3C38" w:rsidRDefault="009D3C3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D3C38" w:rsidRDefault="00217F24" w:rsidP="00AD7D31">
      <w:pPr>
        <w:spacing w:after="0" w:line="240" w:lineRule="auto"/>
        <w:rPr>
          <w:color w:val="000000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Under section 500(1)(c)(ii) </w:t>
      </w:r>
      <w:r w:rsidR="003257E8">
        <w:rPr>
          <w:rFonts w:ascii="Calibri" w:hAnsi="Calibri"/>
          <w:sz w:val="24"/>
          <w:szCs w:val="24"/>
        </w:rPr>
        <w:t xml:space="preserve">of the NSW Act </w:t>
      </w:r>
      <w:r>
        <w:rPr>
          <w:rFonts w:ascii="Calibri" w:hAnsi="Calibri"/>
          <w:sz w:val="24"/>
          <w:szCs w:val="24"/>
        </w:rPr>
        <w:t xml:space="preserve">questions can only be asked in relation to the </w:t>
      </w:r>
      <w:r w:rsidR="009D3C38">
        <w:rPr>
          <w:rFonts w:ascii="Calibri" w:hAnsi="Calibri"/>
          <w:sz w:val="24"/>
          <w:szCs w:val="24"/>
        </w:rPr>
        <w:t>‘</w:t>
      </w:r>
      <w:r w:rsidRPr="00CB717E">
        <w:rPr>
          <w:rFonts w:ascii="Calibri" w:hAnsi="Calibri"/>
          <w:sz w:val="24"/>
          <w:szCs w:val="24"/>
        </w:rPr>
        <w:t>promotion, formation, membership, control, transactions, dealings, business or property of the co-operative</w:t>
      </w:r>
      <w:r w:rsidR="009D3C38" w:rsidRPr="00CB717E">
        <w:rPr>
          <w:rFonts w:ascii="Calibri" w:hAnsi="Calibri"/>
          <w:sz w:val="24"/>
          <w:szCs w:val="24"/>
        </w:rPr>
        <w:t>’</w:t>
      </w:r>
      <w:r w:rsidR="00B551F1">
        <w:rPr>
          <w:rFonts w:ascii="Calibri" w:hAnsi="Calibri"/>
          <w:sz w:val="24"/>
          <w:szCs w:val="24"/>
        </w:rPr>
        <w:t>, rather than about the individual or their private conduct</w:t>
      </w:r>
      <w:r w:rsidR="009D3C38" w:rsidRPr="00CB717E">
        <w:rPr>
          <w:rFonts w:ascii="Calibri" w:hAnsi="Calibri"/>
          <w:sz w:val="24"/>
          <w:szCs w:val="24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2C5EDB" w:rsidRDefault="00375E07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CB717E">
        <w:rPr>
          <w:rFonts w:ascii="Calibri" w:hAnsi="Calibri"/>
          <w:sz w:val="24"/>
          <w:szCs w:val="24"/>
        </w:rPr>
        <w:lastRenderedPageBreak/>
        <w:t xml:space="preserve">Where an inspector enters a place in undertaking their functions (e.g. with consent or under a warrant) there is a general privilege </w:t>
      </w:r>
      <w:r w:rsidR="00CC2B8A">
        <w:rPr>
          <w:rFonts w:ascii="Calibri" w:hAnsi="Calibri"/>
          <w:sz w:val="24"/>
          <w:szCs w:val="24"/>
        </w:rPr>
        <w:t xml:space="preserve">so that </w:t>
      </w:r>
      <w:r w:rsidRPr="00CB717E">
        <w:rPr>
          <w:rFonts w:ascii="Calibri" w:hAnsi="Calibri"/>
          <w:sz w:val="24"/>
          <w:szCs w:val="24"/>
        </w:rPr>
        <w:t>answering a question or producing a document other than one required to be kept under the Co-operatives National Law</w:t>
      </w:r>
      <w:r w:rsidR="00CC2B8A">
        <w:rPr>
          <w:rFonts w:ascii="Calibri" w:hAnsi="Calibri"/>
          <w:sz w:val="24"/>
          <w:szCs w:val="24"/>
        </w:rPr>
        <w:t xml:space="preserve"> which would incriminate the person is a reasonable excuse for not complying with a direction to assist an inspector</w:t>
      </w:r>
      <w:r w:rsidR="003257E8">
        <w:rPr>
          <w:rFonts w:ascii="Calibri" w:hAnsi="Calibri"/>
          <w:sz w:val="24"/>
          <w:szCs w:val="24"/>
        </w:rPr>
        <w:t xml:space="preserve"> </w:t>
      </w:r>
      <w:r w:rsidR="00346EBF">
        <w:rPr>
          <w:rFonts w:ascii="Calibri" w:hAnsi="Calibri"/>
          <w:sz w:val="24"/>
          <w:szCs w:val="24"/>
        </w:rPr>
        <w:t>(</w:t>
      </w:r>
      <w:r w:rsidR="00CB717E">
        <w:rPr>
          <w:rFonts w:ascii="Calibri" w:hAnsi="Calibri"/>
          <w:sz w:val="24"/>
          <w:szCs w:val="24"/>
        </w:rPr>
        <w:t>s 507(4)</w:t>
      </w:r>
      <w:r w:rsidR="00346EBF">
        <w:rPr>
          <w:rFonts w:ascii="Calibri" w:hAnsi="Calibri"/>
          <w:sz w:val="24"/>
          <w:szCs w:val="24"/>
        </w:rPr>
        <w:t>)</w:t>
      </w:r>
      <w:r w:rsidRPr="00CB717E">
        <w:rPr>
          <w:rFonts w:ascii="Calibri" w:hAnsi="Calibri"/>
          <w:sz w:val="24"/>
          <w:szCs w:val="24"/>
        </w:rPr>
        <w:t>.</w:t>
      </w:r>
    </w:p>
    <w:p w:rsidR="007119B9" w:rsidRDefault="007119B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7119B9" w:rsidRPr="00CB717E" w:rsidRDefault="007119B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Arguably</w:t>
      </w:r>
      <w:r w:rsidR="003257E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in </w:t>
      </w:r>
      <w:r w:rsidR="00B551F1">
        <w:rPr>
          <w:rFonts w:ascii="Calibri" w:hAnsi="Calibri"/>
          <w:sz w:val="24"/>
          <w:szCs w:val="24"/>
        </w:rPr>
        <w:t>determining the scope of the privilege</w:t>
      </w:r>
      <w:r w:rsidR="003257E8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the application of the int</w:t>
      </w:r>
      <w:r w:rsidR="00B551F1">
        <w:rPr>
          <w:rFonts w:ascii="Calibri" w:hAnsi="Calibri"/>
          <w:sz w:val="24"/>
          <w:szCs w:val="24"/>
        </w:rPr>
        <w:t>erpretation principles in s </w:t>
      </w:r>
      <w:r w:rsidR="005D5EE9">
        <w:rPr>
          <w:rFonts w:ascii="Calibri" w:hAnsi="Calibri"/>
          <w:sz w:val="24"/>
          <w:szCs w:val="24"/>
        </w:rPr>
        <w:t>30 of the Human Rights Act will apply to clarify that</w:t>
      </w:r>
      <w:r w:rsidR="007D105E">
        <w:rPr>
          <w:rFonts w:ascii="Calibri" w:hAnsi="Calibri"/>
          <w:sz w:val="24"/>
          <w:szCs w:val="24"/>
        </w:rPr>
        <w:t>,</w:t>
      </w:r>
      <w:r w:rsidR="005D5EE9">
        <w:rPr>
          <w:rFonts w:ascii="Calibri" w:hAnsi="Calibri"/>
          <w:sz w:val="24"/>
          <w:szCs w:val="24"/>
        </w:rPr>
        <w:t xml:space="preserve"> where claimed</w:t>
      </w:r>
      <w:r w:rsidR="007D105E">
        <w:rPr>
          <w:rFonts w:ascii="Calibri" w:hAnsi="Calibri"/>
          <w:sz w:val="24"/>
          <w:szCs w:val="24"/>
        </w:rPr>
        <w:t>,</w:t>
      </w:r>
      <w:r w:rsidR="005D5EE9">
        <w:rPr>
          <w:rFonts w:ascii="Calibri" w:hAnsi="Calibri"/>
          <w:sz w:val="24"/>
          <w:szCs w:val="24"/>
        </w:rPr>
        <w:t xml:space="preserve"> the privilege is a privilege against </w:t>
      </w:r>
      <w:r w:rsidR="00C663A5">
        <w:rPr>
          <w:rFonts w:ascii="Calibri" w:hAnsi="Calibri"/>
          <w:sz w:val="24"/>
          <w:szCs w:val="24"/>
        </w:rPr>
        <w:t>both direct and derivative use consistent with Victorian case law (</w:t>
      </w:r>
      <w:r w:rsidR="00C663A5" w:rsidRPr="00B551F1">
        <w:rPr>
          <w:rFonts w:ascii="Calibri" w:hAnsi="Calibri"/>
          <w:i/>
          <w:sz w:val="24"/>
          <w:szCs w:val="24"/>
        </w:rPr>
        <w:t>Re application under the Major Crime (investigative Powers) Act 2004</w:t>
      </w:r>
      <w:r w:rsidR="00C663A5">
        <w:rPr>
          <w:rFonts w:ascii="Calibri" w:hAnsi="Calibri"/>
          <w:sz w:val="24"/>
          <w:szCs w:val="24"/>
        </w:rPr>
        <w:t xml:space="preserve"> [2009] </w:t>
      </w:r>
      <w:r w:rsidR="004B7230">
        <w:rPr>
          <w:rFonts w:ascii="Calibri" w:hAnsi="Calibri"/>
          <w:sz w:val="24"/>
          <w:szCs w:val="24"/>
        </w:rPr>
        <w:t>VSC 381 at 167).</w:t>
      </w:r>
    </w:p>
    <w:p w:rsidR="00697CBD" w:rsidRDefault="00697CBD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97CBD" w:rsidRDefault="004B7230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trust this </w:t>
      </w:r>
      <w:r w:rsidR="00B32AE8">
        <w:rPr>
          <w:rFonts w:ascii="Calibri" w:hAnsi="Calibri"/>
          <w:sz w:val="24"/>
          <w:szCs w:val="24"/>
        </w:rPr>
        <w:t>additional information assists the Committee.</w:t>
      </w:r>
      <w:r w:rsidR="00525694">
        <w:rPr>
          <w:rFonts w:ascii="Calibri" w:hAnsi="Calibri"/>
          <w:sz w:val="24"/>
          <w:szCs w:val="24"/>
        </w:rPr>
        <w:t xml:space="preserve"> Consistent with the Committee’s recommendation I will table a revised explanatory statement setting out this jusitifcation.</w:t>
      </w:r>
    </w:p>
    <w:p w:rsidR="00B32AE8" w:rsidRDefault="00B32AE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Yours sincerely</w:t>
      </w:r>
    </w:p>
    <w:p w:rsidR="00B32AE8" w:rsidRDefault="00B32AE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32AE8" w:rsidRDefault="00B32AE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2A7912" w:rsidRDefault="00834846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br/>
      </w:r>
    </w:p>
    <w:p w:rsidR="00AD7D31" w:rsidRPr="002A7912" w:rsidRDefault="00C74889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2A7912">
        <w:rPr>
          <w:rFonts w:ascii="Calibri" w:hAnsi="Calibri"/>
          <w:sz w:val="24"/>
          <w:szCs w:val="24"/>
        </w:rPr>
        <w:t>Shane Rattenbury</w:t>
      </w:r>
      <w:r w:rsidR="00AD7D31" w:rsidRPr="002A7912">
        <w:rPr>
          <w:rFonts w:ascii="Calibri" w:hAnsi="Calibri"/>
          <w:sz w:val="24"/>
          <w:szCs w:val="24"/>
        </w:rPr>
        <w:t xml:space="preserve"> MLA</w:t>
      </w:r>
    </w:p>
    <w:p w:rsidR="00AD7D31" w:rsidRPr="002A7912" w:rsidRDefault="00A8793D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Minister for Justice, Consumer Affairs and Road Safety</w:t>
      </w:r>
    </w:p>
    <w:p w:rsidR="00AD7D31" w:rsidRPr="002A7912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D31" w:rsidRPr="002A7912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2A7912">
        <w:rPr>
          <w:sz w:val="24"/>
          <w:szCs w:val="24"/>
        </w:rPr>
        <w:tab/>
      </w:r>
    </w:p>
    <w:p w:rsidR="00AD7D31" w:rsidRPr="002A7912" w:rsidRDefault="00AD7D31" w:rsidP="00AD7D31">
      <w:pPr>
        <w:spacing w:after="0" w:line="240" w:lineRule="auto"/>
        <w:rPr>
          <w:sz w:val="24"/>
          <w:szCs w:val="24"/>
        </w:rPr>
      </w:pPr>
    </w:p>
    <w:p w:rsidR="0055749D" w:rsidRPr="002A7912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2A7912" w:rsidSect="003040C0">
      <w:headerReference w:type="first" r:id="rId6"/>
      <w:footerReference w:type="first" r:id="rId7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1F" w:rsidRDefault="00BA521F" w:rsidP="00AD7D31">
      <w:pPr>
        <w:spacing w:after="0" w:line="240" w:lineRule="auto"/>
      </w:pPr>
      <w:r>
        <w:separator/>
      </w:r>
    </w:p>
  </w:endnote>
  <w:endnote w:type="continuationSeparator" w:id="0">
    <w:p w:rsidR="00BA521F" w:rsidRDefault="00BA521F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F" w:rsidRDefault="00BA521F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BA521F" w:rsidRPr="009C2877" w:rsidRDefault="00B86B52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6638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6639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BA521F" w:rsidRPr="009C2877">
      <w:rPr>
        <w:rFonts w:ascii="Calibri Light"/>
        <w:color w:val="231F20"/>
        <w:sz w:val="20"/>
        <w:szCs w:val="20"/>
      </w:rPr>
      <w:t>London Circui</w:t>
    </w:r>
    <w:r w:rsidR="00BA521F">
      <w:rPr>
        <w:rFonts w:ascii="Calibri Light"/>
        <w:color w:val="231F20"/>
        <w:sz w:val="20"/>
        <w:szCs w:val="20"/>
      </w:rPr>
      <w:t xml:space="preserve">t, Canberra ACT 2601, Australia        </w:t>
    </w:r>
    <w:r w:rsidR="00BA521F" w:rsidRPr="009C2877">
      <w:rPr>
        <w:rFonts w:ascii="Calibri Light"/>
        <w:color w:val="231F20"/>
        <w:sz w:val="20"/>
        <w:szCs w:val="20"/>
      </w:rPr>
      <w:t>GPO Box 1020, Canberra ACT 2601, Australia</w:t>
    </w:r>
    <w:r w:rsidR="00BA521F" w:rsidRPr="009C2877">
      <w:rPr>
        <w:rFonts w:ascii="Calibri Light"/>
        <w:color w:val="231F20"/>
        <w:sz w:val="20"/>
        <w:szCs w:val="20"/>
      </w:rPr>
      <w:br/>
    </w:r>
    <w:r w:rsidR="00BA521F" w:rsidRPr="009C2877">
      <w:rPr>
        <w:rFonts w:ascii="Calibri Light"/>
        <w:b/>
        <w:color w:val="231F20"/>
        <w:sz w:val="20"/>
        <w:szCs w:val="20"/>
      </w:rPr>
      <w:t>Phone</w:t>
    </w:r>
    <w:r w:rsidR="00BA521F" w:rsidRPr="009C2877">
      <w:rPr>
        <w:rFonts w:ascii="Calibri Light"/>
        <w:color w:val="231F20"/>
        <w:sz w:val="20"/>
        <w:szCs w:val="20"/>
      </w:rPr>
      <w:t xml:space="preserve"> +61 2 6205 </w:t>
    </w:r>
    <w:r w:rsidR="00BA521F">
      <w:rPr>
        <w:rFonts w:ascii="Calibri Light"/>
        <w:color w:val="231F20"/>
        <w:sz w:val="20"/>
        <w:szCs w:val="20"/>
      </w:rPr>
      <w:t>0005</w:t>
    </w:r>
    <w:r w:rsidR="00BA521F" w:rsidRPr="009C2877">
      <w:rPr>
        <w:sz w:val="20"/>
        <w:szCs w:val="20"/>
      </w:rPr>
      <w:t>    </w:t>
    </w:r>
    <w:r w:rsidR="00BA521F">
      <w:rPr>
        <w:sz w:val="20"/>
        <w:szCs w:val="20"/>
      </w:rPr>
      <w:t xml:space="preserve">                                          </w:t>
    </w:r>
    <w:r w:rsidR="00BA521F" w:rsidRPr="00B53993">
      <w:rPr>
        <w:rFonts w:ascii="Calibri Light"/>
        <w:b/>
        <w:sz w:val="20"/>
        <w:szCs w:val="20"/>
      </w:rPr>
      <w:t>Email</w:t>
    </w:r>
    <w:r w:rsidR="00BA521F" w:rsidRPr="00B53993">
      <w:rPr>
        <w:rFonts w:ascii="Calibri Light"/>
        <w:sz w:val="20"/>
        <w:szCs w:val="20"/>
      </w:rPr>
      <w:t xml:space="preserve"> </w:t>
    </w:r>
    <w:r w:rsidR="00BA521F">
      <w:rPr>
        <w:rFonts w:ascii="Calibri Light"/>
        <w:spacing w:val="-2"/>
        <w:sz w:val="20"/>
        <w:szCs w:val="20"/>
      </w:rPr>
      <w:t>ratten</w:t>
    </w:r>
    <w:r w:rsidR="00BA521F" w:rsidRPr="00B53993">
      <w:rPr>
        <w:rFonts w:ascii="Calibri Light"/>
        <w:spacing w:val="-2"/>
        <w:sz w:val="20"/>
        <w:szCs w:val="20"/>
      </w:rPr>
      <w:t>bury@act.gov.au</w:t>
    </w:r>
    <w:r>
      <w:rPr>
        <w:noProof/>
        <w:sz w:val="20"/>
        <w:szCs w:val="20"/>
        <w:lang w:val="en-AU" w:eastAsia="en-AU"/>
      </w:rPr>
      <w:pict>
        <v:group id="Group 14" o:spid="_x0000_s26630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663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663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663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663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66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66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66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BA521F" w:rsidRPr="0064748B" w:rsidRDefault="00B86B52" w:rsidP="0064748B">
    <w:pPr>
      <w:pStyle w:val="Footer"/>
    </w:pPr>
    <w:r w:rsidRPr="00B86B52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6629" type="#_x0000_t202" style="position:absolute;margin-left:74.25pt;margin-top:806.25pt;width:96pt;height:15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<v:textbox inset="0,0,0,0">
            <w:txbxContent>
              <w:p w:rsidR="00BA521F" w:rsidRPr="0039472D" w:rsidRDefault="00BA521F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</w:p>
            </w:txbxContent>
          </v:textbox>
          <w10:wrap anchorx="page" anchory="page"/>
        </v:shape>
      </w:pict>
    </w:r>
    <w:r w:rsidRPr="00B86B52">
      <w:rPr>
        <w:noProof/>
        <w:sz w:val="20"/>
        <w:szCs w:val="20"/>
        <w:lang w:eastAsia="en-AU"/>
      </w:rPr>
      <w:pict>
        <v:shape id="Text Box 10" o:spid="_x0000_s26628" type="#_x0000_t202" style="position:absolute;margin-left:201pt;margin-top:808.5pt;width:114pt;height:15.7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BA521F" w:rsidRPr="0039472D" w:rsidRDefault="00BA521F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shanerattenburymla</w:t>
                </w:r>
              </w:p>
            </w:txbxContent>
          </v:textbox>
          <w10:wrap anchorx="page" anchory="page"/>
        </v:shape>
      </w:pict>
    </w:r>
    <w:r w:rsidRPr="00B86B52">
      <w:rPr>
        <w:noProof/>
        <w:sz w:val="20"/>
        <w:szCs w:val="20"/>
        <w:lang w:eastAsia="en-AU"/>
      </w:rPr>
      <w:pict>
        <v:group id="Group 22" o:spid="_x0000_s26625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266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6626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1F" w:rsidRDefault="00BA521F" w:rsidP="00AD7D31">
      <w:pPr>
        <w:spacing w:after="0" w:line="240" w:lineRule="auto"/>
      </w:pPr>
      <w:r>
        <w:separator/>
      </w:r>
    </w:p>
  </w:footnote>
  <w:footnote w:type="continuationSeparator" w:id="0">
    <w:p w:rsidR="00BA521F" w:rsidRDefault="00BA521F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F" w:rsidRPr="003040C0" w:rsidRDefault="00BA521F" w:rsidP="003040C0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 xml:space="preserve">Shane Rattenbury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  <w:r>
      <w:br/>
    </w:r>
    <w:r w:rsidRPr="00A20FE8">
      <w:rPr>
        <w:rFonts w:asciiTheme="majorHAnsi" w:hAnsiTheme="majorHAnsi"/>
      </w:rPr>
      <w:t>Member</w:t>
    </w:r>
    <w:r w:rsidRPr="00A20FE8">
      <w:rPr>
        <w:rFonts w:asciiTheme="majorHAnsi" w:hAnsiTheme="majorHAnsi"/>
        <w:spacing w:val="-5"/>
      </w:rPr>
      <w:t xml:space="preserve"> </w:t>
    </w:r>
    <w:r w:rsidRPr="00A20FE8">
      <w:rPr>
        <w:rFonts w:asciiTheme="majorHAnsi" w:hAnsiTheme="majorHAnsi"/>
        <w:spacing w:val="-2"/>
      </w:rPr>
      <w:t>for Kurrajong</w:t>
    </w:r>
    <w:r w:rsidRPr="001804F3">
      <w:rPr>
        <w:spacing w:val="-4"/>
      </w:rPr>
      <w:t xml:space="preserve"> </w:t>
    </w:r>
  </w:p>
  <w:p w:rsidR="00BA521F" w:rsidRPr="00C74889" w:rsidRDefault="00BA521F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Climate Change and Sustainability</w:t>
    </w:r>
  </w:p>
  <w:p w:rsidR="00BA521F" w:rsidRPr="00C74889" w:rsidRDefault="00BA521F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Justice, </w:t>
    </w: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Consumer Affairs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Road Safety</w:t>
    </w:r>
  </w:p>
  <w:p w:rsidR="00BA521F" w:rsidRPr="00C74889" w:rsidRDefault="00BA521F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Corrections</w:t>
    </w:r>
  </w:p>
  <w:p w:rsidR="00BA521F" w:rsidRDefault="00BA521F" w:rsidP="00C74889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C74889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Mental Health</w:t>
    </w:r>
  </w:p>
  <w:p w:rsidR="00BA521F" w:rsidRDefault="00BA521F" w:rsidP="00C74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6641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76F5D"/>
    <w:rsid w:val="00003A94"/>
    <w:rsid w:val="001804F3"/>
    <w:rsid w:val="001870AB"/>
    <w:rsid w:val="001D3541"/>
    <w:rsid w:val="00217F24"/>
    <w:rsid w:val="002A7912"/>
    <w:rsid w:val="002C5EDB"/>
    <w:rsid w:val="003040C0"/>
    <w:rsid w:val="00321C36"/>
    <w:rsid w:val="00321D9B"/>
    <w:rsid w:val="003257E8"/>
    <w:rsid w:val="00346EBF"/>
    <w:rsid w:val="00375E07"/>
    <w:rsid w:val="00392198"/>
    <w:rsid w:val="00394199"/>
    <w:rsid w:val="003963B2"/>
    <w:rsid w:val="003C7008"/>
    <w:rsid w:val="003E6F41"/>
    <w:rsid w:val="00436466"/>
    <w:rsid w:val="004B7230"/>
    <w:rsid w:val="00525694"/>
    <w:rsid w:val="0055749D"/>
    <w:rsid w:val="005D5EE9"/>
    <w:rsid w:val="005E7DE1"/>
    <w:rsid w:val="0064748B"/>
    <w:rsid w:val="00697CBD"/>
    <w:rsid w:val="006A5FF1"/>
    <w:rsid w:val="006D743B"/>
    <w:rsid w:val="007024E3"/>
    <w:rsid w:val="007119B9"/>
    <w:rsid w:val="007A0FF3"/>
    <w:rsid w:val="007D105E"/>
    <w:rsid w:val="007D7FAC"/>
    <w:rsid w:val="00806ACB"/>
    <w:rsid w:val="00820402"/>
    <w:rsid w:val="00833884"/>
    <w:rsid w:val="00834846"/>
    <w:rsid w:val="00855531"/>
    <w:rsid w:val="008C68D4"/>
    <w:rsid w:val="009C2877"/>
    <w:rsid w:val="009D177C"/>
    <w:rsid w:val="009D3C38"/>
    <w:rsid w:val="00A20FE8"/>
    <w:rsid w:val="00A46B4C"/>
    <w:rsid w:val="00A561AD"/>
    <w:rsid w:val="00A8793D"/>
    <w:rsid w:val="00AD7D31"/>
    <w:rsid w:val="00B05A55"/>
    <w:rsid w:val="00B247BF"/>
    <w:rsid w:val="00B2596A"/>
    <w:rsid w:val="00B32AE8"/>
    <w:rsid w:val="00B53993"/>
    <w:rsid w:val="00B551F1"/>
    <w:rsid w:val="00B86B52"/>
    <w:rsid w:val="00BA521F"/>
    <w:rsid w:val="00BE1F44"/>
    <w:rsid w:val="00C22A30"/>
    <w:rsid w:val="00C663A5"/>
    <w:rsid w:val="00C74889"/>
    <w:rsid w:val="00CB717E"/>
    <w:rsid w:val="00CC2B8A"/>
    <w:rsid w:val="00CF443C"/>
    <w:rsid w:val="00D14047"/>
    <w:rsid w:val="00E16425"/>
    <w:rsid w:val="00E60E39"/>
    <w:rsid w:val="00E76F5D"/>
    <w:rsid w:val="00F2426E"/>
    <w:rsid w:val="00FD60F9"/>
    <w:rsid w:val="00FF1E5E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A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t.gov.au\apps\06\Templates\JCS\C.%20Rattenbu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 Rattenbury Letterhead</Template>
  <TotalTime>159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Shane Rattenbury - Letterhead</vt:lpstr>
    </vt:vector>
  </TitlesOfParts>
  <Company>ACT Government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Shane Rattenbury - Letterhead</dc:title>
  <dc:creator>Alex Jorgensen-Hull</dc:creator>
  <cp:lastModifiedBy>Prue Warren</cp:lastModifiedBy>
  <cp:revision>4</cp:revision>
  <cp:lastPrinted>2017-03-16T21:44:00Z</cp:lastPrinted>
  <dcterms:created xsi:type="dcterms:W3CDTF">2017-03-15T22:01:00Z</dcterms:created>
  <dcterms:modified xsi:type="dcterms:W3CDTF">2017-03-17T05:34:00Z</dcterms:modified>
</cp:coreProperties>
</file>