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07C" w:rsidRPr="00244E7C" w:rsidRDefault="000F707C" w:rsidP="000F707C">
      <w:pPr>
        <w:pStyle w:val="Heading1nonumber"/>
        <w:spacing w:before="360" w:after="240"/>
        <w:jc w:val="center"/>
        <w:rPr>
          <w:sz w:val="40"/>
          <w:szCs w:val="40"/>
        </w:rPr>
      </w:pPr>
      <w:r w:rsidRPr="00244E7C">
        <w:rPr>
          <w:sz w:val="40"/>
          <w:szCs w:val="40"/>
        </w:rPr>
        <w:t>35</w:t>
      </w:r>
      <w:r w:rsidRPr="00244E7C">
        <w:rPr>
          <w:sz w:val="40"/>
          <w:szCs w:val="40"/>
          <w:vertAlign w:val="superscript"/>
        </w:rPr>
        <w:t>th</w:t>
      </w:r>
      <w:r w:rsidRPr="00244E7C">
        <w:rPr>
          <w:sz w:val="40"/>
          <w:szCs w:val="40"/>
        </w:rPr>
        <w:t xml:space="preserve"> CPA Australia and Pacific Region</w:t>
      </w:r>
      <w:r w:rsidR="00B94742" w:rsidRPr="00244E7C">
        <w:rPr>
          <w:sz w:val="40"/>
          <w:szCs w:val="40"/>
        </w:rPr>
        <w:t>al</w:t>
      </w:r>
      <w:r w:rsidRPr="00244E7C">
        <w:rPr>
          <w:sz w:val="40"/>
          <w:szCs w:val="40"/>
        </w:rPr>
        <w:t xml:space="preserve"> Conference</w:t>
      </w:r>
      <w:r w:rsidRPr="00244E7C">
        <w:rPr>
          <w:sz w:val="40"/>
          <w:szCs w:val="40"/>
        </w:rPr>
        <w:br/>
        <w:t>Cook Islands</w:t>
      </w:r>
      <w:r w:rsidRPr="00244E7C">
        <w:rPr>
          <w:sz w:val="40"/>
          <w:szCs w:val="40"/>
        </w:rPr>
        <w:br/>
      </w:r>
    </w:p>
    <w:p w:rsidR="000F707C" w:rsidRPr="00244E7C" w:rsidRDefault="000F707C" w:rsidP="000F707C">
      <w:pPr>
        <w:pStyle w:val="Heading1nonumber"/>
        <w:spacing w:before="360" w:after="240"/>
        <w:jc w:val="center"/>
        <w:rPr>
          <w:sz w:val="36"/>
          <w:szCs w:val="36"/>
        </w:rPr>
      </w:pPr>
      <w:r w:rsidRPr="00244E7C">
        <w:rPr>
          <w:b/>
          <w:sz w:val="36"/>
          <w:szCs w:val="36"/>
        </w:rPr>
        <w:t xml:space="preserve">Leadership </w:t>
      </w:r>
      <w:r w:rsidR="00244E7C">
        <w:rPr>
          <w:b/>
          <w:sz w:val="36"/>
          <w:szCs w:val="36"/>
        </w:rPr>
        <w:t>e</w:t>
      </w:r>
      <w:r w:rsidRPr="00244E7C">
        <w:rPr>
          <w:b/>
          <w:sz w:val="36"/>
          <w:szCs w:val="36"/>
        </w:rPr>
        <w:t>xcellence for the common good</w:t>
      </w:r>
      <w:r w:rsidRPr="00244E7C">
        <w:rPr>
          <w:b/>
          <w:sz w:val="36"/>
          <w:szCs w:val="36"/>
        </w:rPr>
        <w:br/>
        <w:t>Share — Exchange — Act</w:t>
      </w:r>
      <w:r w:rsidRPr="00244E7C">
        <w:rPr>
          <w:b/>
          <w:sz w:val="36"/>
          <w:szCs w:val="36"/>
        </w:rPr>
        <w:br/>
      </w:r>
      <w:r w:rsidRPr="00244E7C">
        <w:rPr>
          <w:sz w:val="36"/>
          <w:szCs w:val="36"/>
        </w:rPr>
        <w:t>27</w:t>
      </w:r>
      <w:r w:rsidR="00087932" w:rsidRPr="00244E7C">
        <w:rPr>
          <w:sz w:val="36"/>
          <w:szCs w:val="36"/>
        </w:rPr>
        <w:t xml:space="preserve"> November – 1 December</w:t>
      </w:r>
      <w:r w:rsidRPr="00244E7C">
        <w:rPr>
          <w:sz w:val="36"/>
          <w:szCs w:val="36"/>
        </w:rPr>
        <w:t xml:space="preserve"> 2016</w:t>
      </w:r>
    </w:p>
    <w:p w:rsidR="00244E7C" w:rsidRDefault="00244E7C" w:rsidP="00244E7C">
      <w:pPr>
        <w:pStyle w:val="Bodycopy"/>
        <w:rPr>
          <w:lang w:eastAsia="en-US"/>
        </w:rPr>
      </w:pPr>
    </w:p>
    <w:p w:rsidR="00244E7C" w:rsidRDefault="00244E7C" w:rsidP="00244E7C">
      <w:pPr>
        <w:pStyle w:val="Bodycopy"/>
        <w:rPr>
          <w:lang w:eastAsia="en-US"/>
        </w:rPr>
      </w:pPr>
    </w:p>
    <w:p w:rsidR="00244E7C" w:rsidRDefault="00244E7C" w:rsidP="00244E7C">
      <w:pPr>
        <w:pStyle w:val="Bodycopy"/>
        <w:rPr>
          <w:lang w:eastAsia="en-US"/>
        </w:rPr>
      </w:pPr>
    </w:p>
    <w:p w:rsidR="00244E7C" w:rsidRDefault="00244E7C" w:rsidP="00244E7C">
      <w:pPr>
        <w:pStyle w:val="Bodycopy"/>
        <w:rPr>
          <w:lang w:eastAsia="en-US"/>
        </w:rPr>
      </w:pPr>
    </w:p>
    <w:p w:rsidR="00244E7C" w:rsidRDefault="00244E7C" w:rsidP="00244E7C">
      <w:pPr>
        <w:pStyle w:val="Bodycopy"/>
        <w:rPr>
          <w:lang w:eastAsia="en-US"/>
        </w:rPr>
      </w:pPr>
    </w:p>
    <w:p w:rsidR="000F707C" w:rsidRPr="00244E7C" w:rsidRDefault="000F707C" w:rsidP="000F707C">
      <w:pPr>
        <w:pStyle w:val="Heading2"/>
        <w:spacing w:before="360" w:after="240"/>
        <w:jc w:val="center"/>
        <w:rPr>
          <w:b/>
          <w:sz w:val="44"/>
          <w:szCs w:val="44"/>
        </w:rPr>
      </w:pPr>
      <w:r w:rsidRPr="00B622F0">
        <w:rPr>
          <w:sz w:val="40"/>
          <w:szCs w:val="40"/>
        </w:rPr>
        <w:t>Session IX</w:t>
      </w:r>
      <w:r w:rsidRPr="00244E7C">
        <w:rPr>
          <w:sz w:val="44"/>
          <w:szCs w:val="44"/>
        </w:rPr>
        <w:br/>
      </w:r>
      <w:r w:rsidRPr="00B622F0">
        <w:rPr>
          <w:b/>
          <w:sz w:val="48"/>
          <w:szCs w:val="48"/>
        </w:rPr>
        <w:t>Ethical Governance: Accountability</w:t>
      </w:r>
      <w:r w:rsidR="00244E7C" w:rsidRPr="00B622F0">
        <w:rPr>
          <w:b/>
          <w:sz w:val="48"/>
          <w:szCs w:val="48"/>
        </w:rPr>
        <w:t>,</w:t>
      </w:r>
      <w:r w:rsidRPr="00B622F0">
        <w:rPr>
          <w:b/>
          <w:sz w:val="48"/>
          <w:szCs w:val="48"/>
        </w:rPr>
        <w:t xml:space="preserve"> transparency and responsibility in parliament</w:t>
      </w:r>
      <w:r w:rsidR="00B94742" w:rsidRPr="00B622F0">
        <w:rPr>
          <w:b/>
          <w:sz w:val="48"/>
          <w:szCs w:val="48"/>
        </w:rPr>
        <w:t>s</w:t>
      </w:r>
    </w:p>
    <w:p w:rsidR="000F707C" w:rsidRDefault="000F707C" w:rsidP="000F707C">
      <w:pPr>
        <w:pStyle w:val="Bodycopy"/>
        <w:rPr>
          <w:lang w:eastAsia="en-US"/>
        </w:rPr>
      </w:pPr>
    </w:p>
    <w:p w:rsidR="000F707C" w:rsidRDefault="000F707C" w:rsidP="000F707C">
      <w:pPr>
        <w:pStyle w:val="Bodycopy"/>
        <w:rPr>
          <w:lang w:eastAsia="en-US"/>
        </w:rPr>
      </w:pPr>
    </w:p>
    <w:p w:rsidR="000F707C" w:rsidRDefault="000F707C" w:rsidP="000F707C">
      <w:pPr>
        <w:pStyle w:val="Bodycopy"/>
        <w:rPr>
          <w:lang w:eastAsia="en-US"/>
        </w:rPr>
      </w:pPr>
    </w:p>
    <w:p w:rsidR="000F707C" w:rsidRDefault="000F707C" w:rsidP="000F707C">
      <w:pPr>
        <w:pStyle w:val="Bodycopy"/>
        <w:rPr>
          <w:lang w:eastAsia="en-US"/>
        </w:rPr>
      </w:pPr>
    </w:p>
    <w:p w:rsidR="004363ED" w:rsidRDefault="004363ED" w:rsidP="000F707C">
      <w:pPr>
        <w:pStyle w:val="Bodycopy"/>
        <w:rPr>
          <w:lang w:eastAsia="en-US"/>
        </w:rPr>
      </w:pPr>
    </w:p>
    <w:p w:rsidR="000F707C" w:rsidRDefault="000F707C" w:rsidP="000F707C">
      <w:pPr>
        <w:pStyle w:val="Bodycopy"/>
        <w:rPr>
          <w:lang w:eastAsia="en-US"/>
        </w:rPr>
      </w:pPr>
    </w:p>
    <w:p w:rsidR="000F707C" w:rsidRDefault="000F707C" w:rsidP="000F707C">
      <w:pPr>
        <w:pStyle w:val="Heading3"/>
        <w:spacing w:before="240" w:after="240"/>
        <w:jc w:val="center"/>
      </w:pPr>
      <w:r>
        <w:t>Paper to be presented by Tom Duncan</w:t>
      </w:r>
      <w:r>
        <w:br/>
        <w:t>Clerk of the Legislative Assembly for the Australian Capital Territory</w:t>
      </w:r>
    </w:p>
    <w:p w:rsidR="009F3FFE" w:rsidRDefault="009F3FFE" w:rsidP="000F707C">
      <w:pPr>
        <w:pStyle w:val="Bodycopy"/>
        <w:rPr>
          <w:rFonts w:ascii="Calibri" w:eastAsiaTheme="minorEastAsia" w:hAnsi="Calibri" w:cstheme="majorHAnsi"/>
          <w:sz w:val="30"/>
          <w:szCs w:val="30"/>
        </w:rPr>
        <w:sectPr w:rsidR="009F3FFE" w:rsidSect="00F97FEE">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134" w:bottom="1134" w:left="1134" w:header="1134" w:footer="851" w:gutter="0"/>
          <w:cols w:space="720"/>
          <w:titlePg/>
          <w:docGrid w:linePitch="360"/>
        </w:sectPr>
      </w:pPr>
    </w:p>
    <w:p w:rsidR="000F707C" w:rsidRPr="009F3FFE" w:rsidRDefault="000F707C" w:rsidP="000F707C">
      <w:pPr>
        <w:pStyle w:val="Bodycopy"/>
        <w:jc w:val="center"/>
        <w:rPr>
          <w:b/>
          <w:i/>
          <w:sz w:val="24"/>
          <w:szCs w:val="24"/>
        </w:rPr>
      </w:pPr>
      <w:r w:rsidRPr="009F3FFE">
        <w:rPr>
          <w:b/>
          <w:i/>
          <w:sz w:val="24"/>
          <w:szCs w:val="24"/>
        </w:rPr>
        <w:lastRenderedPageBreak/>
        <w:t>In a democracy, political institutions depend ultimately on public confidence in their efficiency and integrity. Confidence in these institutions is not maintained solely by the ballot box. The discipline of the party system, control over the selection of candidates and the ephemeral nature of electoral issues and promises place a limit on the effective accountability of political institutions to the general public.</w:t>
      </w:r>
    </w:p>
    <w:p w:rsidR="000F707C" w:rsidRPr="00087932" w:rsidRDefault="000F707C" w:rsidP="000F707C">
      <w:pPr>
        <w:pStyle w:val="Bodycopy"/>
        <w:jc w:val="center"/>
        <w:rPr>
          <w:sz w:val="24"/>
          <w:szCs w:val="24"/>
        </w:rPr>
      </w:pPr>
      <w:r w:rsidRPr="009F3FFE">
        <w:rPr>
          <w:b/>
          <w:i/>
          <w:sz w:val="24"/>
          <w:szCs w:val="24"/>
        </w:rPr>
        <w:t>The efficiency and integrity of political institutions are functions of the qualifications and character of those in whom political power is reposed and of the manner in which that power is exercised. The public expects that certain standards will be maintained and, provided those standards are maintained, accepts and peacefully submits to the exercise of political power. The maintenance of proper standards underpins the peace, order and good government of society.</w:t>
      </w:r>
      <w:r w:rsidR="00087932">
        <w:rPr>
          <w:rStyle w:val="FootnoteReference"/>
          <w:i/>
          <w:sz w:val="24"/>
          <w:szCs w:val="24"/>
        </w:rPr>
        <w:footnoteReference w:id="1"/>
      </w:r>
    </w:p>
    <w:p w:rsidR="000F707C" w:rsidRDefault="00087932" w:rsidP="00087932">
      <w:pPr>
        <w:pStyle w:val="Heading2"/>
        <w:spacing w:before="360" w:after="240"/>
      </w:pPr>
      <w:r>
        <w:t>Introduction</w:t>
      </w:r>
    </w:p>
    <w:p w:rsidR="00087932" w:rsidRDefault="00087932" w:rsidP="00087932">
      <w:pPr>
        <w:pStyle w:val="Bodycopy"/>
        <w:rPr>
          <w:sz w:val="24"/>
          <w:szCs w:val="24"/>
          <w:lang w:eastAsia="en-US"/>
        </w:rPr>
      </w:pPr>
      <w:r w:rsidRPr="00087932">
        <w:rPr>
          <w:sz w:val="24"/>
          <w:szCs w:val="24"/>
          <w:lang w:eastAsia="en-US"/>
        </w:rPr>
        <w:t>As can be seen from the quote above, ethical governance underpins the peace, order and good government</w:t>
      </w:r>
      <w:r>
        <w:rPr>
          <w:sz w:val="24"/>
          <w:szCs w:val="24"/>
          <w:lang w:eastAsia="en-US"/>
        </w:rPr>
        <w:t xml:space="preserve"> in democracies across the world. Ethical governance with its themes of accountability, transparency and responsibility in parliaments form</w:t>
      </w:r>
      <w:r w:rsidR="00072132">
        <w:rPr>
          <w:sz w:val="24"/>
          <w:szCs w:val="24"/>
          <w:lang w:eastAsia="en-US"/>
        </w:rPr>
        <w:t>s</w:t>
      </w:r>
      <w:r>
        <w:rPr>
          <w:sz w:val="24"/>
          <w:szCs w:val="24"/>
          <w:lang w:eastAsia="en-US"/>
        </w:rPr>
        <w:t xml:space="preserve"> a large part of the Latimer House Principles which were adopted by the Commonwealth Heads of Government meeting in Nigeria in 2003. This paper seeks to outline what steps the Legislative Assembly for the Australian Capital Territory</w:t>
      </w:r>
      <w:r w:rsidR="00FA0069">
        <w:rPr>
          <w:sz w:val="24"/>
          <w:szCs w:val="24"/>
          <w:lang w:eastAsia="en-US"/>
        </w:rPr>
        <w:t xml:space="preserve"> </w:t>
      </w:r>
      <w:r>
        <w:rPr>
          <w:sz w:val="24"/>
          <w:szCs w:val="24"/>
          <w:lang w:eastAsia="en-US"/>
        </w:rPr>
        <w:t>in Australia has taken to address those issues of ethical governance. It also looks at other Australian jurisdictions’ progress on some of the accountability structures that are common across the Commonwealth.</w:t>
      </w:r>
    </w:p>
    <w:p w:rsidR="00087932" w:rsidRDefault="00087932" w:rsidP="00087932">
      <w:pPr>
        <w:pStyle w:val="Heading2"/>
        <w:spacing w:before="360" w:after="240"/>
      </w:pPr>
      <w:r>
        <w:t>Background</w:t>
      </w:r>
    </w:p>
    <w:p w:rsidR="00087932" w:rsidRDefault="00087932" w:rsidP="00087932">
      <w:pPr>
        <w:pStyle w:val="Bodycopy"/>
        <w:rPr>
          <w:sz w:val="24"/>
          <w:szCs w:val="24"/>
          <w:lang w:eastAsia="en-US"/>
        </w:rPr>
      </w:pPr>
      <w:r>
        <w:rPr>
          <w:sz w:val="24"/>
          <w:szCs w:val="24"/>
          <w:lang w:eastAsia="en-US"/>
        </w:rPr>
        <w:t>Each parliament adopts its own procedures and practices to ensure that their jurisdiction operates in an open and transparent way as well as ensuring that the government is accountable and responsible to the parliament. It has been suggested that</w:t>
      </w:r>
      <w:r w:rsidR="00072132">
        <w:rPr>
          <w:sz w:val="24"/>
          <w:szCs w:val="24"/>
          <w:lang w:eastAsia="en-US"/>
        </w:rPr>
        <w:t>,</w:t>
      </w:r>
      <w:r>
        <w:rPr>
          <w:sz w:val="24"/>
          <w:szCs w:val="24"/>
          <w:lang w:eastAsia="en-US"/>
        </w:rPr>
        <w:t xml:space="preserve"> to ensure that ethical governance operates at its best</w:t>
      </w:r>
      <w:r w:rsidR="00072132">
        <w:rPr>
          <w:sz w:val="24"/>
          <w:szCs w:val="24"/>
          <w:lang w:eastAsia="en-US"/>
        </w:rPr>
        <w:t>,</w:t>
      </w:r>
      <w:r>
        <w:rPr>
          <w:sz w:val="24"/>
          <w:szCs w:val="24"/>
          <w:lang w:eastAsia="en-US"/>
        </w:rPr>
        <w:t xml:space="preserve"> what is needed is:</w:t>
      </w:r>
    </w:p>
    <w:p w:rsidR="00087932" w:rsidRDefault="00087932" w:rsidP="00087932">
      <w:pPr>
        <w:pStyle w:val="Bodycopy"/>
        <w:tabs>
          <w:tab w:val="left" w:pos="567"/>
        </w:tabs>
        <w:ind w:left="567" w:right="567"/>
        <w:rPr>
          <w:sz w:val="24"/>
          <w:szCs w:val="24"/>
          <w:lang w:eastAsia="en-US"/>
        </w:rPr>
      </w:pPr>
      <w:r>
        <w:rPr>
          <w:sz w:val="24"/>
          <w:szCs w:val="24"/>
          <w:lang w:eastAsia="en-US"/>
        </w:rPr>
        <w:t>... a combination of the three components – ethical standard setting, legal regulation and institutional design. None are sufficient by themselves but together they provide a powerful trinity – what I have called an “ethics and integrity regime” and what Transparency International calls an “integrity system</w:t>
      </w:r>
      <w:r w:rsidR="00B94742">
        <w:rPr>
          <w:sz w:val="24"/>
          <w:szCs w:val="24"/>
          <w:lang w:eastAsia="en-US"/>
        </w:rPr>
        <w:t>.</w:t>
      </w:r>
      <w:r>
        <w:rPr>
          <w:sz w:val="24"/>
          <w:szCs w:val="24"/>
          <w:lang w:eastAsia="en-US"/>
        </w:rPr>
        <w:t>”</w:t>
      </w:r>
      <w:r w:rsidR="00B94742">
        <w:rPr>
          <w:sz w:val="24"/>
          <w:szCs w:val="24"/>
          <w:lang w:eastAsia="en-US"/>
        </w:rPr>
        <w:t>.</w:t>
      </w:r>
      <w:r>
        <w:rPr>
          <w:rStyle w:val="FootnoteReference"/>
          <w:sz w:val="24"/>
          <w:szCs w:val="24"/>
          <w:lang w:eastAsia="en-US"/>
        </w:rPr>
        <w:footnoteReference w:id="2"/>
      </w:r>
    </w:p>
    <w:p w:rsidR="00FA0069" w:rsidRDefault="00FA0069" w:rsidP="00FA0069">
      <w:pPr>
        <w:pStyle w:val="Bodycopy"/>
        <w:tabs>
          <w:tab w:val="left" w:pos="0"/>
        </w:tabs>
        <w:rPr>
          <w:sz w:val="24"/>
          <w:szCs w:val="24"/>
          <w:lang w:eastAsia="en-US"/>
        </w:rPr>
      </w:pPr>
      <w:r>
        <w:rPr>
          <w:sz w:val="24"/>
          <w:szCs w:val="24"/>
          <w:lang w:eastAsia="en-US"/>
        </w:rPr>
        <w:t xml:space="preserve">And while parliaments can have codes of conduct and lobbyist laws etc to address the first two, getting institutional design </w:t>
      </w:r>
      <w:r w:rsidR="00244E7C">
        <w:rPr>
          <w:sz w:val="24"/>
          <w:szCs w:val="24"/>
          <w:lang w:eastAsia="en-US"/>
        </w:rPr>
        <w:t xml:space="preserve">correct </w:t>
      </w:r>
      <w:r>
        <w:rPr>
          <w:sz w:val="24"/>
          <w:szCs w:val="24"/>
          <w:lang w:eastAsia="en-US"/>
        </w:rPr>
        <w:t>is more difficult.</w:t>
      </w:r>
    </w:p>
    <w:p w:rsidR="00FA0069" w:rsidRDefault="00FA0069" w:rsidP="00FA0069">
      <w:pPr>
        <w:pStyle w:val="Bodycopy"/>
        <w:keepNext w:val="0"/>
        <w:tabs>
          <w:tab w:val="left" w:pos="0"/>
        </w:tabs>
        <w:rPr>
          <w:sz w:val="24"/>
          <w:szCs w:val="24"/>
          <w:lang w:eastAsia="en-US"/>
        </w:rPr>
      </w:pPr>
      <w:r>
        <w:rPr>
          <w:sz w:val="24"/>
          <w:szCs w:val="24"/>
          <w:lang w:eastAsia="en-US"/>
        </w:rPr>
        <w:t>The ACT Legislative Assembly adopted the Latimer House Principles in December 2008 as a continuing resolution. T</w:t>
      </w:r>
      <w:r w:rsidR="002C3913">
        <w:rPr>
          <w:sz w:val="24"/>
          <w:szCs w:val="24"/>
          <w:lang w:eastAsia="en-US"/>
        </w:rPr>
        <w:t xml:space="preserve">en </w:t>
      </w:r>
      <w:r>
        <w:rPr>
          <w:sz w:val="24"/>
          <w:szCs w:val="24"/>
          <w:lang w:eastAsia="en-US"/>
        </w:rPr>
        <w:t>principles</w:t>
      </w:r>
      <w:r w:rsidR="002C3913">
        <w:rPr>
          <w:sz w:val="24"/>
          <w:szCs w:val="24"/>
          <w:lang w:eastAsia="en-US"/>
        </w:rPr>
        <w:t xml:space="preserve"> are embodie</w:t>
      </w:r>
      <w:r w:rsidR="000A04C2">
        <w:rPr>
          <w:sz w:val="24"/>
          <w:szCs w:val="24"/>
          <w:lang w:eastAsia="en-US"/>
        </w:rPr>
        <w:t>d</w:t>
      </w:r>
      <w:r w:rsidR="002C3913">
        <w:rPr>
          <w:sz w:val="24"/>
          <w:szCs w:val="24"/>
          <w:lang w:eastAsia="en-US"/>
        </w:rPr>
        <w:t xml:space="preserve"> in Latimer</w:t>
      </w:r>
      <w:r>
        <w:rPr>
          <w:sz w:val="24"/>
          <w:szCs w:val="24"/>
          <w:lang w:eastAsia="en-US"/>
        </w:rPr>
        <w:t xml:space="preserve"> and for this paper I have chosen four of them</w:t>
      </w:r>
      <w:r w:rsidR="00B94742">
        <w:rPr>
          <w:sz w:val="24"/>
          <w:szCs w:val="24"/>
          <w:lang w:eastAsia="en-US"/>
        </w:rPr>
        <w:t>—</w:t>
      </w:r>
      <w:r>
        <w:rPr>
          <w:sz w:val="24"/>
          <w:szCs w:val="24"/>
          <w:lang w:eastAsia="en-US"/>
        </w:rPr>
        <w:t>ethical governance, accountability mechanisms, the law-making process and oversight of government</w:t>
      </w:r>
      <w:r w:rsidR="00B94742">
        <w:rPr>
          <w:sz w:val="24"/>
          <w:szCs w:val="24"/>
          <w:lang w:eastAsia="en-US"/>
        </w:rPr>
        <w:t>—</w:t>
      </w:r>
      <w:r>
        <w:rPr>
          <w:sz w:val="24"/>
          <w:szCs w:val="24"/>
          <w:lang w:eastAsia="en-US"/>
        </w:rPr>
        <w:t xml:space="preserve">to discuss how the ACT Legislative Assembly seeks to operate in </w:t>
      </w:r>
      <w:r w:rsidR="00B94742">
        <w:rPr>
          <w:sz w:val="24"/>
          <w:szCs w:val="24"/>
          <w:lang w:eastAsia="en-US"/>
        </w:rPr>
        <w:t xml:space="preserve">a </w:t>
      </w:r>
      <w:r>
        <w:rPr>
          <w:sz w:val="24"/>
          <w:szCs w:val="24"/>
          <w:lang w:eastAsia="en-US"/>
        </w:rPr>
        <w:t>state of “Ethical Governance”.</w:t>
      </w:r>
    </w:p>
    <w:p w:rsidR="00FA0069" w:rsidRPr="004363ED" w:rsidRDefault="00FA0069" w:rsidP="00DA41E5">
      <w:pPr>
        <w:pStyle w:val="Heading3"/>
        <w:keepLines/>
        <w:spacing w:before="240" w:after="240"/>
        <w:rPr>
          <w:b/>
        </w:rPr>
      </w:pPr>
      <w:r w:rsidRPr="004363ED">
        <w:rPr>
          <w:b/>
        </w:rPr>
        <w:lastRenderedPageBreak/>
        <w:t>Latimer House Principle 6 – Ethical</w:t>
      </w:r>
      <w:r w:rsidR="007B009B" w:rsidRPr="004363ED">
        <w:rPr>
          <w:b/>
        </w:rPr>
        <w:t xml:space="preserve"> g</w:t>
      </w:r>
      <w:r w:rsidRPr="004363ED">
        <w:rPr>
          <w:b/>
        </w:rPr>
        <w:t>overnance</w:t>
      </w:r>
    </w:p>
    <w:p w:rsidR="00FA0069" w:rsidRPr="00FA0069" w:rsidRDefault="00FA0069" w:rsidP="00FA0069">
      <w:pPr>
        <w:pStyle w:val="Bodycopy"/>
        <w:keepLines/>
        <w:rPr>
          <w:i/>
          <w:sz w:val="24"/>
          <w:szCs w:val="24"/>
        </w:rPr>
      </w:pPr>
      <w:r w:rsidRPr="00FA0069">
        <w:rPr>
          <w:i/>
          <w:sz w:val="24"/>
          <w:szCs w:val="24"/>
        </w:rPr>
        <w:t>Ministers, members of parliament, judicial officers and public office holders in each jurisdiction should respectively develop, adopt and periodically review appropriate guidelines for ethical conduct.  These should address the issue of conflict of interest, whether actual or perceived, with a view to enhancing transparency, accountability and public confidence.</w:t>
      </w:r>
    </w:p>
    <w:p w:rsidR="00FA0069" w:rsidRDefault="00FA0069" w:rsidP="00FA0069">
      <w:pPr>
        <w:pStyle w:val="Bodycopy"/>
        <w:rPr>
          <w:sz w:val="24"/>
          <w:szCs w:val="24"/>
          <w:lang w:eastAsia="en-US"/>
        </w:rPr>
      </w:pPr>
      <w:r>
        <w:rPr>
          <w:sz w:val="24"/>
          <w:szCs w:val="24"/>
          <w:lang w:eastAsia="en-US"/>
        </w:rPr>
        <w:t xml:space="preserve">Like most legislatures across Australia, the Assembly has adopted a range of measures to have guidelines for ethical conduct addressing matters of conflict of interest. </w:t>
      </w:r>
      <w:r w:rsidR="00244E7C">
        <w:rPr>
          <w:sz w:val="24"/>
          <w:szCs w:val="24"/>
          <w:lang w:eastAsia="en-US"/>
        </w:rPr>
        <w:t>Table 1</w:t>
      </w:r>
      <w:r>
        <w:rPr>
          <w:sz w:val="24"/>
          <w:szCs w:val="24"/>
          <w:lang w:eastAsia="en-US"/>
        </w:rPr>
        <w:t xml:space="preserve"> summaris</w:t>
      </w:r>
      <w:r w:rsidR="00B94742">
        <w:rPr>
          <w:sz w:val="24"/>
          <w:szCs w:val="24"/>
          <w:lang w:eastAsia="en-US"/>
        </w:rPr>
        <w:t>es</w:t>
      </w:r>
      <w:r>
        <w:rPr>
          <w:sz w:val="24"/>
          <w:szCs w:val="24"/>
          <w:lang w:eastAsia="en-US"/>
        </w:rPr>
        <w:t xml:space="preserve"> those measures.</w:t>
      </w:r>
    </w:p>
    <w:p w:rsidR="004C74ED" w:rsidRPr="004C74ED" w:rsidRDefault="004C74ED" w:rsidP="00FA0069">
      <w:pPr>
        <w:pStyle w:val="Bodycopy"/>
        <w:rPr>
          <w:b/>
          <w:szCs w:val="22"/>
          <w:lang w:eastAsia="en-US"/>
        </w:rPr>
      </w:pPr>
      <w:r w:rsidRPr="004C74ED">
        <w:rPr>
          <w:b/>
          <w:szCs w:val="22"/>
          <w:lang w:eastAsia="en-US"/>
        </w:rPr>
        <w:t>Table 1</w:t>
      </w:r>
      <w:r w:rsidR="00244E7C">
        <w:rPr>
          <w:b/>
          <w:szCs w:val="22"/>
          <w:lang w:eastAsia="en-US"/>
        </w:rPr>
        <w:tab/>
      </w:r>
      <w:r w:rsidR="00244E7C">
        <w:rPr>
          <w:b/>
          <w:szCs w:val="22"/>
          <w:lang w:eastAsia="en-US"/>
        </w:rPr>
        <w:tab/>
        <w:t>Measures for guiding ethical conduct in the ACT Legislative Assembly</w:t>
      </w:r>
    </w:p>
    <w:tbl>
      <w:tblPr>
        <w:tblStyle w:val="TableContemporary"/>
        <w:tblW w:w="0" w:type="auto"/>
        <w:tblLook w:val="04A0"/>
      </w:tblPr>
      <w:tblGrid>
        <w:gridCol w:w="2943"/>
        <w:gridCol w:w="6804"/>
      </w:tblGrid>
      <w:tr w:rsidR="00244E7C" w:rsidRPr="00B46D7C" w:rsidTr="00B622F0">
        <w:trPr>
          <w:cnfStyle w:val="100000000000"/>
          <w:tblHeader/>
        </w:trPr>
        <w:tc>
          <w:tcPr>
            <w:tcW w:w="2943" w:type="dxa"/>
            <w:tcBorders>
              <w:top w:val="nil"/>
              <w:bottom w:val="single" w:sz="4" w:space="0" w:color="auto"/>
            </w:tcBorders>
            <w:shd w:val="clear" w:color="auto" w:fill="C2D69B" w:themeFill="accent3" w:themeFillTint="99"/>
          </w:tcPr>
          <w:p w:rsidR="00244E7C" w:rsidRPr="00B46D7C" w:rsidRDefault="00244E7C" w:rsidP="000271FD">
            <w:pPr>
              <w:pStyle w:val="Bodycopy"/>
              <w:spacing w:before="120" w:after="120"/>
              <w:rPr>
                <w:szCs w:val="22"/>
                <w:lang w:eastAsia="en-US"/>
              </w:rPr>
            </w:pPr>
            <w:r>
              <w:rPr>
                <w:szCs w:val="22"/>
                <w:lang w:eastAsia="en-US"/>
              </w:rPr>
              <w:t>Measure</w:t>
            </w:r>
            <w:r w:rsidR="000A04C2">
              <w:rPr>
                <w:szCs w:val="22"/>
                <w:lang w:eastAsia="en-US"/>
              </w:rPr>
              <w:t>s</w:t>
            </w:r>
          </w:p>
        </w:tc>
        <w:tc>
          <w:tcPr>
            <w:tcW w:w="6804" w:type="dxa"/>
            <w:tcBorders>
              <w:top w:val="nil"/>
              <w:bottom w:val="single" w:sz="4" w:space="0" w:color="auto"/>
            </w:tcBorders>
            <w:shd w:val="clear" w:color="auto" w:fill="C2D69B" w:themeFill="accent3" w:themeFillTint="99"/>
          </w:tcPr>
          <w:p w:rsidR="00244E7C" w:rsidRPr="00B46D7C" w:rsidRDefault="00244E7C" w:rsidP="000271FD">
            <w:pPr>
              <w:pStyle w:val="Bodycopy"/>
              <w:spacing w:before="120" w:after="120"/>
              <w:rPr>
                <w:szCs w:val="22"/>
                <w:lang w:eastAsia="en-US"/>
              </w:rPr>
            </w:pPr>
            <w:r>
              <w:rPr>
                <w:szCs w:val="22"/>
                <w:lang w:eastAsia="en-US"/>
              </w:rPr>
              <w:t>Details</w:t>
            </w:r>
          </w:p>
        </w:tc>
      </w:tr>
      <w:tr w:rsidR="004C74ED" w:rsidRPr="00B46D7C" w:rsidTr="00B622F0">
        <w:trPr>
          <w:cnfStyle w:val="000000100000"/>
        </w:trPr>
        <w:tc>
          <w:tcPr>
            <w:tcW w:w="2943" w:type="dxa"/>
            <w:tcBorders>
              <w:top w:val="single" w:sz="4" w:space="0" w:color="auto"/>
            </w:tcBorders>
            <w:shd w:val="clear" w:color="auto" w:fill="FBD4B4" w:themeFill="accent6" w:themeFillTint="66"/>
          </w:tcPr>
          <w:p w:rsidR="004C74ED" w:rsidRPr="00B46D7C" w:rsidRDefault="004C74ED" w:rsidP="004C74ED">
            <w:pPr>
              <w:pStyle w:val="Bodycopy"/>
              <w:rPr>
                <w:b/>
                <w:szCs w:val="22"/>
                <w:lang w:eastAsia="en-US"/>
              </w:rPr>
            </w:pPr>
            <w:r w:rsidRPr="00B46D7C">
              <w:rPr>
                <w:szCs w:val="22"/>
                <w:lang w:eastAsia="en-US"/>
              </w:rPr>
              <w:t>Code of Conduct for MLAs</w:t>
            </w:r>
          </w:p>
        </w:tc>
        <w:tc>
          <w:tcPr>
            <w:tcW w:w="6804" w:type="dxa"/>
            <w:tcBorders>
              <w:top w:val="single" w:sz="4" w:space="0" w:color="auto"/>
            </w:tcBorders>
            <w:shd w:val="clear" w:color="auto" w:fill="FBD4B4" w:themeFill="accent6" w:themeFillTint="66"/>
          </w:tcPr>
          <w:p w:rsidR="004C74ED" w:rsidRPr="00B46D7C" w:rsidRDefault="004C74ED" w:rsidP="004C74ED">
            <w:pPr>
              <w:pStyle w:val="Bodycopy"/>
              <w:rPr>
                <w:b/>
                <w:szCs w:val="22"/>
                <w:lang w:eastAsia="en-US"/>
              </w:rPr>
            </w:pPr>
            <w:r w:rsidRPr="00B46D7C">
              <w:rPr>
                <w:szCs w:val="22"/>
                <w:lang w:eastAsia="en-US"/>
              </w:rPr>
              <w:t>Adopted 25 August 2005</w:t>
            </w:r>
          </w:p>
        </w:tc>
      </w:tr>
      <w:tr w:rsidR="004C74ED" w:rsidRPr="00B46D7C" w:rsidTr="00B622F0">
        <w:trPr>
          <w:cnfStyle w:val="000000010000"/>
        </w:trPr>
        <w:tc>
          <w:tcPr>
            <w:tcW w:w="2943" w:type="dxa"/>
            <w:shd w:val="clear" w:color="auto" w:fill="C2D69B" w:themeFill="accent3" w:themeFillTint="99"/>
          </w:tcPr>
          <w:p w:rsidR="004C74ED" w:rsidRPr="00B46D7C" w:rsidRDefault="004C74ED" w:rsidP="00B94742">
            <w:pPr>
              <w:pStyle w:val="Bodycopy"/>
              <w:rPr>
                <w:szCs w:val="22"/>
                <w:lang w:eastAsia="en-US"/>
              </w:rPr>
            </w:pPr>
            <w:r w:rsidRPr="00B46D7C">
              <w:rPr>
                <w:szCs w:val="22"/>
                <w:lang w:eastAsia="en-US"/>
              </w:rPr>
              <w:t xml:space="preserve">Resolution </w:t>
            </w:r>
            <w:r w:rsidR="00244E7C">
              <w:rPr>
                <w:szCs w:val="22"/>
                <w:lang w:eastAsia="en-US"/>
              </w:rPr>
              <w:t xml:space="preserve">during </w:t>
            </w:r>
            <w:r w:rsidRPr="00B46D7C">
              <w:rPr>
                <w:szCs w:val="22"/>
                <w:lang w:eastAsia="en-US"/>
              </w:rPr>
              <w:t>each Assembly whereby Members agree to abide by the code of conduct</w:t>
            </w:r>
          </w:p>
        </w:tc>
        <w:tc>
          <w:tcPr>
            <w:tcW w:w="6804" w:type="dxa"/>
            <w:shd w:val="clear" w:color="auto" w:fill="C2D69B" w:themeFill="accent3" w:themeFillTint="99"/>
          </w:tcPr>
          <w:p w:rsidR="004C74ED" w:rsidRPr="00B46D7C" w:rsidRDefault="004C74ED" w:rsidP="00B46D7C">
            <w:pPr>
              <w:pStyle w:val="Bodycopy"/>
              <w:rPr>
                <w:szCs w:val="22"/>
                <w:lang w:eastAsia="en-US"/>
              </w:rPr>
            </w:pPr>
            <w:r w:rsidRPr="00B46D7C">
              <w:rPr>
                <w:szCs w:val="22"/>
                <w:lang w:eastAsia="en-US"/>
              </w:rPr>
              <w:t>This was suggested in a review of the code of conduct in 2012 by the Ethics and Integrity Adviser. On 24 October 2013</w:t>
            </w:r>
            <w:r w:rsidR="00072132">
              <w:rPr>
                <w:szCs w:val="22"/>
                <w:lang w:eastAsia="en-US"/>
              </w:rPr>
              <w:t>,</w:t>
            </w:r>
            <w:r w:rsidRPr="00B46D7C">
              <w:rPr>
                <w:szCs w:val="22"/>
                <w:lang w:eastAsia="en-US"/>
              </w:rPr>
              <w:t xml:space="preserve"> the Legislative Assembly agreed to a motion “That we, the Members of the Eighth Legislative Assembly for the Australian Capital Territory, having adopted a Code of Conduct for Members, reaffirm our commitment to the principles, obligations and aspirations of the code</w:t>
            </w:r>
            <w:r w:rsidR="00B46D7C" w:rsidRPr="00B46D7C">
              <w:rPr>
                <w:szCs w:val="22"/>
                <w:lang w:eastAsia="en-US"/>
              </w:rPr>
              <w:t>.</w:t>
            </w:r>
            <w:r w:rsidRPr="00B46D7C">
              <w:rPr>
                <w:szCs w:val="22"/>
                <w:lang w:eastAsia="en-US"/>
              </w:rPr>
              <w:t>”</w:t>
            </w:r>
            <w:r w:rsidR="00B46D7C" w:rsidRPr="00B46D7C">
              <w:rPr>
                <w:rStyle w:val="FootnoteReference"/>
                <w:szCs w:val="22"/>
                <w:lang w:eastAsia="en-US"/>
              </w:rPr>
              <w:footnoteReference w:id="3"/>
            </w:r>
          </w:p>
        </w:tc>
      </w:tr>
      <w:tr w:rsidR="004C74ED" w:rsidRPr="00B46D7C" w:rsidTr="00B622F0">
        <w:trPr>
          <w:cnfStyle w:val="000000100000"/>
        </w:trPr>
        <w:tc>
          <w:tcPr>
            <w:tcW w:w="2943" w:type="dxa"/>
            <w:shd w:val="clear" w:color="auto" w:fill="FBD4B4" w:themeFill="accent6" w:themeFillTint="66"/>
          </w:tcPr>
          <w:p w:rsidR="004C74ED" w:rsidRPr="00B46D7C" w:rsidRDefault="002C3913" w:rsidP="004C74ED">
            <w:pPr>
              <w:pStyle w:val="Bodycopy"/>
              <w:rPr>
                <w:szCs w:val="22"/>
                <w:lang w:eastAsia="en-US"/>
              </w:rPr>
            </w:pPr>
            <w:r>
              <w:rPr>
                <w:szCs w:val="22"/>
                <w:lang w:eastAsia="en-US"/>
              </w:rPr>
              <w:t xml:space="preserve">Establishment of </w:t>
            </w:r>
            <w:r w:rsidR="00B46D7C" w:rsidRPr="00B46D7C">
              <w:rPr>
                <w:szCs w:val="22"/>
                <w:lang w:eastAsia="en-US"/>
              </w:rPr>
              <w:t>Ethics and Integrity Adviser</w:t>
            </w:r>
          </w:p>
        </w:tc>
        <w:tc>
          <w:tcPr>
            <w:tcW w:w="6804" w:type="dxa"/>
            <w:shd w:val="clear" w:color="auto" w:fill="FBD4B4" w:themeFill="accent6" w:themeFillTint="66"/>
          </w:tcPr>
          <w:p w:rsidR="004C74ED" w:rsidRPr="00B46D7C" w:rsidRDefault="00B46D7C" w:rsidP="004C74ED">
            <w:pPr>
              <w:pStyle w:val="Bodycopy"/>
              <w:rPr>
                <w:szCs w:val="22"/>
                <w:lang w:eastAsia="en-US"/>
              </w:rPr>
            </w:pPr>
            <w:r w:rsidRPr="00B46D7C">
              <w:rPr>
                <w:szCs w:val="22"/>
                <w:lang w:eastAsia="en-US"/>
              </w:rPr>
              <w:t>A resolution of continuing effect adopted by the Assembly on 10 April 2008. The Adviser’s role is to advise MLAs, when asked to do so, on ethical issues concerning the exercise of his or her role as a Member (including the use of entitlements and potential conflicts of interest). The Adviser is appointed by the Speaker following consultation with party leaders.</w:t>
            </w:r>
          </w:p>
        </w:tc>
      </w:tr>
      <w:tr w:rsidR="00B46D7C" w:rsidRPr="00B46D7C" w:rsidTr="00B622F0">
        <w:trPr>
          <w:cnfStyle w:val="000000010000"/>
        </w:trPr>
        <w:tc>
          <w:tcPr>
            <w:tcW w:w="2943" w:type="dxa"/>
            <w:shd w:val="clear" w:color="auto" w:fill="C2D69B" w:themeFill="accent3" w:themeFillTint="99"/>
          </w:tcPr>
          <w:p w:rsidR="00B46D7C" w:rsidRPr="00B46D7C" w:rsidRDefault="002C3913" w:rsidP="004C74ED">
            <w:pPr>
              <w:pStyle w:val="Bodycopy"/>
              <w:rPr>
                <w:szCs w:val="22"/>
                <w:lang w:eastAsia="en-US"/>
              </w:rPr>
            </w:pPr>
            <w:r>
              <w:rPr>
                <w:szCs w:val="22"/>
                <w:lang w:eastAsia="en-US"/>
              </w:rPr>
              <w:t xml:space="preserve">Establishment of </w:t>
            </w:r>
            <w:r w:rsidR="00B46D7C">
              <w:rPr>
                <w:szCs w:val="22"/>
                <w:lang w:eastAsia="en-US"/>
              </w:rPr>
              <w:t>Commissioner for Standards</w:t>
            </w:r>
          </w:p>
        </w:tc>
        <w:tc>
          <w:tcPr>
            <w:tcW w:w="6804" w:type="dxa"/>
            <w:shd w:val="clear" w:color="auto" w:fill="C2D69B" w:themeFill="accent3" w:themeFillTint="99"/>
          </w:tcPr>
          <w:p w:rsidR="00B46D7C" w:rsidRPr="00B46D7C" w:rsidRDefault="00B46D7C" w:rsidP="00B94742">
            <w:pPr>
              <w:pStyle w:val="Bodycopy"/>
              <w:rPr>
                <w:szCs w:val="22"/>
                <w:lang w:eastAsia="en-US"/>
              </w:rPr>
            </w:pPr>
            <w:r>
              <w:rPr>
                <w:szCs w:val="22"/>
                <w:lang w:eastAsia="en-US"/>
              </w:rPr>
              <w:t>A resolution of continuing effect adopted by the Assembly on 31</w:t>
            </w:r>
            <w:r w:rsidR="00B94742">
              <w:rPr>
                <w:szCs w:val="22"/>
                <w:lang w:eastAsia="en-US"/>
              </w:rPr>
              <w:t> </w:t>
            </w:r>
            <w:r>
              <w:rPr>
                <w:szCs w:val="22"/>
                <w:lang w:eastAsia="en-US"/>
              </w:rPr>
              <w:t>October</w:t>
            </w:r>
            <w:r w:rsidR="00B94742">
              <w:rPr>
                <w:szCs w:val="22"/>
                <w:lang w:eastAsia="en-US"/>
              </w:rPr>
              <w:t> </w:t>
            </w:r>
            <w:r>
              <w:rPr>
                <w:szCs w:val="22"/>
                <w:lang w:eastAsia="en-US"/>
              </w:rPr>
              <w:t>2013. The Commissioner’s role is to investigate complaints that a Member has breached the code of conduct or the rules relating to the registration or declaration of interests. The Commissioner is appointed by the Speaker following consultation with party leaders.</w:t>
            </w:r>
          </w:p>
        </w:tc>
      </w:tr>
      <w:tr w:rsidR="00B46D7C" w:rsidRPr="00B46D7C" w:rsidTr="00B622F0">
        <w:trPr>
          <w:cnfStyle w:val="000000100000"/>
        </w:trPr>
        <w:tc>
          <w:tcPr>
            <w:tcW w:w="2943" w:type="dxa"/>
            <w:shd w:val="clear" w:color="auto" w:fill="FBD4B4" w:themeFill="accent6" w:themeFillTint="66"/>
          </w:tcPr>
          <w:p w:rsidR="00B46D7C" w:rsidRDefault="00B46D7C" w:rsidP="004C74ED">
            <w:pPr>
              <w:pStyle w:val="Bodycopy"/>
              <w:rPr>
                <w:szCs w:val="22"/>
                <w:lang w:eastAsia="en-US"/>
              </w:rPr>
            </w:pPr>
            <w:r>
              <w:rPr>
                <w:szCs w:val="22"/>
                <w:lang w:eastAsia="en-US"/>
              </w:rPr>
              <w:t>Declaration of Members’ Interests</w:t>
            </w:r>
          </w:p>
        </w:tc>
        <w:tc>
          <w:tcPr>
            <w:tcW w:w="6804" w:type="dxa"/>
            <w:shd w:val="clear" w:color="auto" w:fill="FBD4B4" w:themeFill="accent6" w:themeFillTint="66"/>
          </w:tcPr>
          <w:p w:rsidR="00B46D7C" w:rsidRDefault="00B46D7C" w:rsidP="004C74ED">
            <w:pPr>
              <w:pStyle w:val="Bodycopy"/>
              <w:rPr>
                <w:szCs w:val="22"/>
                <w:lang w:eastAsia="en-US"/>
              </w:rPr>
            </w:pPr>
            <w:r>
              <w:rPr>
                <w:szCs w:val="22"/>
                <w:lang w:eastAsia="en-US"/>
              </w:rPr>
              <w:t>A resolution of continuing effect adopted by the Assembly on 7 April 1992. Since 2009</w:t>
            </w:r>
            <w:r w:rsidR="00244E7C">
              <w:rPr>
                <w:szCs w:val="22"/>
                <w:lang w:eastAsia="en-US"/>
              </w:rPr>
              <w:t>,</w:t>
            </w:r>
            <w:r>
              <w:rPr>
                <w:szCs w:val="22"/>
                <w:lang w:eastAsia="en-US"/>
              </w:rPr>
              <w:t xml:space="preserve"> all declarations are placed on the Assembly website </w:t>
            </w:r>
            <w:hyperlink r:id="rId15" w:history="1">
              <w:r w:rsidRPr="00871CEC">
                <w:rPr>
                  <w:rStyle w:val="Hyperlink"/>
                  <w:szCs w:val="22"/>
                  <w:lang w:eastAsia="en-US"/>
                </w:rPr>
                <w:t>http://www.parliament.act.gov.au/members/declarations-of-interest</w:t>
              </w:r>
            </w:hyperlink>
            <w:r>
              <w:rPr>
                <w:szCs w:val="22"/>
                <w:lang w:eastAsia="en-US"/>
              </w:rPr>
              <w:t xml:space="preserve">. </w:t>
            </w:r>
          </w:p>
        </w:tc>
      </w:tr>
    </w:tbl>
    <w:p w:rsidR="00244E7C" w:rsidRDefault="00244E7C" w:rsidP="00244E7C">
      <w:pPr>
        <w:jc w:val="right"/>
      </w:pPr>
      <w:r>
        <w:t>(continued)</w:t>
      </w:r>
    </w:p>
    <w:tbl>
      <w:tblPr>
        <w:tblStyle w:val="TableContemporary"/>
        <w:tblW w:w="0" w:type="auto"/>
        <w:tblLook w:val="04A0"/>
      </w:tblPr>
      <w:tblGrid>
        <w:gridCol w:w="2943"/>
        <w:gridCol w:w="6804"/>
      </w:tblGrid>
      <w:tr w:rsidR="00244E7C" w:rsidRPr="00B46D7C" w:rsidTr="00B622F0">
        <w:trPr>
          <w:cnfStyle w:val="100000000000"/>
          <w:cantSplit/>
        </w:trPr>
        <w:tc>
          <w:tcPr>
            <w:tcW w:w="2943" w:type="dxa"/>
            <w:tcBorders>
              <w:top w:val="nil"/>
              <w:bottom w:val="single" w:sz="4" w:space="0" w:color="auto"/>
            </w:tcBorders>
            <w:shd w:val="clear" w:color="auto" w:fill="C2D69B" w:themeFill="accent3" w:themeFillTint="99"/>
          </w:tcPr>
          <w:p w:rsidR="00244E7C" w:rsidRDefault="00244E7C" w:rsidP="000271FD">
            <w:pPr>
              <w:pStyle w:val="Bodycopy"/>
              <w:spacing w:before="120" w:after="120"/>
              <w:rPr>
                <w:szCs w:val="22"/>
                <w:lang w:eastAsia="en-US"/>
              </w:rPr>
            </w:pPr>
            <w:r>
              <w:rPr>
                <w:szCs w:val="22"/>
                <w:lang w:eastAsia="en-US"/>
              </w:rPr>
              <w:lastRenderedPageBreak/>
              <w:t>Measure</w:t>
            </w:r>
            <w:r w:rsidR="000A04C2">
              <w:rPr>
                <w:szCs w:val="22"/>
                <w:lang w:eastAsia="en-US"/>
              </w:rPr>
              <w:t>s</w:t>
            </w:r>
          </w:p>
        </w:tc>
        <w:tc>
          <w:tcPr>
            <w:tcW w:w="6804" w:type="dxa"/>
            <w:tcBorders>
              <w:top w:val="nil"/>
              <w:bottom w:val="single" w:sz="4" w:space="0" w:color="auto"/>
            </w:tcBorders>
            <w:shd w:val="clear" w:color="auto" w:fill="C2D69B" w:themeFill="accent3" w:themeFillTint="99"/>
          </w:tcPr>
          <w:p w:rsidR="00244E7C" w:rsidRDefault="00244E7C" w:rsidP="000271FD">
            <w:pPr>
              <w:pStyle w:val="Bodycopy"/>
              <w:spacing w:before="120" w:after="120"/>
              <w:rPr>
                <w:szCs w:val="22"/>
                <w:lang w:eastAsia="en-US"/>
              </w:rPr>
            </w:pPr>
            <w:r>
              <w:rPr>
                <w:szCs w:val="22"/>
                <w:lang w:eastAsia="en-US"/>
              </w:rPr>
              <w:t>Details</w:t>
            </w:r>
          </w:p>
        </w:tc>
      </w:tr>
      <w:tr w:rsidR="00B46D7C" w:rsidRPr="00B46D7C" w:rsidTr="00B622F0">
        <w:trPr>
          <w:cnfStyle w:val="000000100000"/>
          <w:cantSplit/>
        </w:trPr>
        <w:tc>
          <w:tcPr>
            <w:tcW w:w="2943" w:type="dxa"/>
            <w:tcBorders>
              <w:top w:val="single" w:sz="4" w:space="0" w:color="auto"/>
            </w:tcBorders>
            <w:shd w:val="clear" w:color="auto" w:fill="FBD4B4" w:themeFill="accent6" w:themeFillTint="66"/>
          </w:tcPr>
          <w:p w:rsidR="00B46D7C" w:rsidRDefault="00AF64E7" w:rsidP="004C74ED">
            <w:pPr>
              <w:pStyle w:val="Bodycopy"/>
              <w:rPr>
                <w:szCs w:val="22"/>
                <w:lang w:eastAsia="en-US"/>
              </w:rPr>
            </w:pPr>
            <w:r>
              <w:rPr>
                <w:szCs w:val="22"/>
                <w:lang w:eastAsia="en-US"/>
              </w:rPr>
              <w:t>Register of Lobbyists</w:t>
            </w:r>
          </w:p>
        </w:tc>
        <w:tc>
          <w:tcPr>
            <w:tcW w:w="6804" w:type="dxa"/>
            <w:tcBorders>
              <w:top w:val="single" w:sz="4" w:space="0" w:color="auto"/>
            </w:tcBorders>
            <w:shd w:val="clear" w:color="auto" w:fill="FBD4B4" w:themeFill="accent6" w:themeFillTint="66"/>
          </w:tcPr>
          <w:p w:rsidR="00B46D7C" w:rsidRDefault="00AF64E7" w:rsidP="004C74ED">
            <w:pPr>
              <w:pStyle w:val="Bodycopy"/>
              <w:rPr>
                <w:szCs w:val="22"/>
                <w:lang w:eastAsia="en-US"/>
              </w:rPr>
            </w:pPr>
            <w:r>
              <w:rPr>
                <w:szCs w:val="22"/>
                <w:lang w:eastAsia="en-US"/>
              </w:rPr>
              <w:t>An ACT Lobbying Code of Conduct and ACT Lobbyist Regulation Guidelines were adopted as resolutions of continuing effect on 20 September 2014. The resolution requires that Members must not meet with lobbyists unless they are on the lobbyist register.</w:t>
            </w:r>
          </w:p>
          <w:p w:rsidR="00AF64E7" w:rsidRDefault="00AF64E7" w:rsidP="002C3913">
            <w:pPr>
              <w:pStyle w:val="Bodycopy"/>
              <w:rPr>
                <w:szCs w:val="22"/>
                <w:lang w:eastAsia="en-US"/>
              </w:rPr>
            </w:pPr>
            <w:r>
              <w:rPr>
                <w:szCs w:val="22"/>
                <w:lang w:eastAsia="en-US"/>
              </w:rPr>
              <w:t xml:space="preserve">The </w:t>
            </w:r>
            <w:r w:rsidR="00B94742">
              <w:rPr>
                <w:szCs w:val="22"/>
                <w:lang w:eastAsia="en-US"/>
              </w:rPr>
              <w:t>p</w:t>
            </w:r>
            <w:r>
              <w:rPr>
                <w:szCs w:val="22"/>
                <w:lang w:eastAsia="en-US"/>
              </w:rPr>
              <w:t xml:space="preserve">arliamentary </w:t>
            </w:r>
            <w:r w:rsidR="00B94742">
              <w:rPr>
                <w:szCs w:val="22"/>
                <w:lang w:eastAsia="en-US"/>
              </w:rPr>
              <w:t>a</w:t>
            </w:r>
            <w:r>
              <w:rPr>
                <w:szCs w:val="22"/>
                <w:lang w:eastAsia="en-US"/>
              </w:rPr>
              <w:t>greement between the ACT Labor Party and the ACT Greens for the Ninth Assembly has</w:t>
            </w:r>
            <w:r w:rsidR="002C3913">
              <w:rPr>
                <w:szCs w:val="22"/>
                <w:lang w:eastAsia="en-US"/>
              </w:rPr>
              <w:t xml:space="preserve"> committed the parties to expanding the scope of the Register to </w:t>
            </w:r>
            <w:r>
              <w:rPr>
                <w:szCs w:val="22"/>
                <w:lang w:eastAsia="en-US"/>
              </w:rPr>
              <w:t>capture in-house government relations staff, industry associations and project management liaison officers and companies, and that</w:t>
            </w:r>
            <w:r w:rsidR="002C3913">
              <w:rPr>
                <w:szCs w:val="22"/>
                <w:lang w:eastAsia="en-US"/>
              </w:rPr>
              <w:t xml:space="preserve"> the Assembly would </w:t>
            </w:r>
            <w:r>
              <w:rPr>
                <w:szCs w:val="22"/>
                <w:lang w:eastAsia="en-US"/>
              </w:rPr>
              <w:t>review its effectiveness after one year.</w:t>
            </w:r>
          </w:p>
        </w:tc>
      </w:tr>
      <w:tr w:rsidR="00AF64E7" w:rsidRPr="00B46D7C" w:rsidTr="00B622F0">
        <w:trPr>
          <w:cnfStyle w:val="000000010000"/>
        </w:trPr>
        <w:tc>
          <w:tcPr>
            <w:tcW w:w="2943" w:type="dxa"/>
            <w:shd w:val="clear" w:color="auto" w:fill="C2D69B" w:themeFill="accent3" w:themeFillTint="99"/>
          </w:tcPr>
          <w:p w:rsidR="00AF64E7" w:rsidRDefault="00AF64E7" w:rsidP="004C74ED">
            <w:pPr>
              <w:pStyle w:val="Bodycopy"/>
              <w:rPr>
                <w:szCs w:val="22"/>
                <w:lang w:eastAsia="en-US"/>
              </w:rPr>
            </w:pPr>
            <w:r>
              <w:rPr>
                <w:szCs w:val="22"/>
                <w:lang w:eastAsia="en-US"/>
              </w:rPr>
              <w:t>Anti corruption body</w:t>
            </w:r>
          </w:p>
        </w:tc>
        <w:tc>
          <w:tcPr>
            <w:tcW w:w="6804" w:type="dxa"/>
            <w:shd w:val="clear" w:color="auto" w:fill="C2D69B" w:themeFill="accent3" w:themeFillTint="99"/>
          </w:tcPr>
          <w:p w:rsidR="00AF64E7" w:rsidRDefault="00AF64E7" w:rsidP="00072132">
            <w:pPr>
              <w:pStyle w:val="Bodycopy"/>
              <w:rPr>
                <w:szCs w:val="22"/>
                <w:lang w:eastAsia="en-US"/>
              </w:rPr>
            </w:pPr>
            <w:r>
              <w:rPr>
                <w:szCs w:val="22"/>
                <w:lang w:eastAsia="en-US"/>
              </w:rPr>
              <w:t>The ACT Labor Party and ACT Greens</w:t>
            </w:r>
            <w:r w:rsidR="00ED612D">
              <w:rPr>
                <w:szCs w:val="22"/>
                <w:lang w:eastAsia="en-US"/>
              </w:rPr>
              <w:t xml:space="preserve"> have indicated that, during the Ninth Assembly, they intend to establish an </w:t>
            </w:r>
            <w:r w:rsidR="00072132">
              <w:rPr>
                <w:szCs w:val="22"/>
                <w:lang w:eastAsia="en-US"/>
              </w:rPr>
              <w:t>i</w:t>
            </w:r>
            <w:r w:rsidR="00ED612D">
              <w:rPr>
                <w:szCs w:val="22"/>
                <w:lang w:eastAsia="en-US"/>
              </w:rPr>
              <w:t xml:space="preserve">ndependent </w:t>
            </w:r>
            <w:r w:rsidR="00072132">
              <w:rPr>
                <w:szCs w:val="22"/>
                <w:lang w:eastAsia="en-US"/>
              </w:rPr>
              <w:t>i</w:t>
            </w:r>
            <w:r w:rsidR="00ED612D">
              <w:rPr>
                <w:szCs w:val="22"/>
                <w:lang w:eastAsia="en-US"/>
              </w:rPr>
              <w:t xml:space="preserve">ntegrity </w:t>
            </w:r>
            <w:r w:rsidR="00072132">
              <w:rPr>
                <w:szCs w:val="22"/>
                <w:lang w:eastAsia="en-US"/>
              </w:rPr>
              <w:t>c</w:t>
            </w:r>
            <w:r w:rsidR="00ED612D">
              <w:rPr>
                <w:szCs w:val="22"/>
                <w:lang w:eastAsia="en-US"/>
              </w:rPr>
              <w:t>ommission broadly structured on those operating in similarly sized jurisdictions, following a parliamentary committee inquiry into the most effective model for the ACT.</w:t>
            </w:r>
          </w:p>
        </w:tc>
      </w:tr>
    </w:tbl>
    <w:p w:rsidR="00ED612D" w:rsidRPr="004363ED" w:rsidRDefault="00ED612D" w:rsidP="00DA41E5">
      <w:pPr>
        <w:pStyle w:val="Heading3"/>
        <w:keepLines/>
        <w:spacing w:before="240" w:after="240"/>
        <w:rPr>
          <w:b/>
        </w:rPr>
      </w:pPr>
      <w:r w:rsidRPr="004363ED">
        <w:rPr>
          <w:b/>
        </w:rPr>
        <w:t xml:space="preserve">Latimer House Principle 7 – Accountability </w:t>
      </w:r>
      <w:r w:rsidR="007B009B" w:rsidRPr="004363ED">
        <w:rPr>
          <w:b/>
        </w:rPr>
        <w:t>m</w:t>
      </w:r>
      <w:r w:rsidRPr="004363ED">
        <w:rPr>
          <w:b/>
        </w:rPr>
        <w:t>echanisms</w:t>
      </w:r>
    </w:p>
    <w:p w:rsidR="00B94742" w:rsidRDefault="00B94742" w:rsidP="00B94742">
      <w:pPr>
        <w:pStyle w:val="Bodycopy"/>
        <w:ind w:left="567" w:hanging="567"/>
        <w:rPr>
          <w:i/>
          <w:sz w:val="24"/>
          <w:szCs w:val="24"/>
        </w:rPr>
      </w:pPr>
      <w:r>
        <w:rPr>
          <w:i/>
          <w:sz w:val="24"/>
          <w:szCs w:val="24"/>
        </w:rPr>
        <w:t>(i)</w:t>
      </w:r>
      <w:r>
        <w:rPr>
          <w:i/>
          <w:sz w:val="24"/>
          <w:szCs w:val="24"/>
        </w:rPr>
        <w:tab/>
        <w:t>Executive Accountability to Parliament</w:t>
      </w:r>
    </w:p>
    <w:p w:rsidR="00ED612D" w:rsidRDefault="00B94742" w:rsidP="00B94742">
      <w:pPr>
        <w:pStyle w:val="Bodycopy"/>
        <w:ind w:left="567" w:hanging="567"/>
        <w:rPr>
          <w:sz w:val="24"/>
          <w:szCs w:val="24"/>
        </w:rPr>
      </w:pPr>
      <w:r>
        <w:rPr>
          <w:i/>
          <w:sz w:val="24"/>
          <w:szCs w:val="24"/>
        </w:rPr>
        <w:tab/>
      </w:r>
      <w:r w:rsidR="00ED612D" w:rsidRPr="00ED612D">
        <w:rPr>
          <w:i/>
          <w:sz w:val="24"/>
          <w:szCs w:val="24"/>
        </w:rPr>
        <w:t>Parliaments and governments should maintain high standards of accountability, transparency and responsibility in the conduct of all public business. Parliamentary procedures should provide adequate mechanisms to enforce the accountability of the executive to parliament.</w:t>
      </w:r>
    </w:p>
    <w:p w:rsidR="00ED612D" w:rsidRDefault="00ED612D" w:rsidP="00ED612D">
      <w:pPr>
        <w:pStyle w:val="Bodycopy"/>
        <w:rPr>
          <w:sz w:val="24"/>
          <w:szCs w:val="24"/>
        </w:rPr>
      </w:pPr>
      <w:r>
        <w:rPr>
          <w:sz w:val="24"/>
          <w:szCs w:val="24"/>
        </w:rPr>
        <w:t>Executive accountability to the parliament is a fundamental part of ethical governance</w:t>
      </w:r>
      <w:r w:rsidR="00B94742">
        <w:rPr>
          <w:sz w:val="24"/>
          <w:szCs w:val="24"/>
        </w:rPr>
        <w:t>.</w:t>
      </w:r>
      <w:r>
        <w:rPr>
          <w:sz w:val="24"/>
          <w:szCs w:val="24"/>
        </w:rPr>
        <w:t xml:space="preserve"> </w:t>
      </w:r>
      <w:r w:rsidR="00B94742">
        <w:rPr>
          <w:sz w:val="24"/>
          <w:szCs w:val="24"/>
        </w:rPr>
        <w:t>A</w:t>
      </w:r>
      <w:r>
        <w:rPr>
          <w:sz w:val="24"/>
          <w:szCs w:val="24"/>
        </w:rPr>
        <w:t>s one commentator pointed out:</w:t>
      </w:r>
    </w:p>
    <w:p w:rsidR="00ED612D" w:rsidRPr="00ED612D" w:rsidRDefault="00ED612D" w:rsidP="00ED612D">
      <w:pPr>
        <w:pStyle w:val="Bodycopy"/>
        <w:ind w:left="567" w:right="567"/>
        <w:rPr>
          <w:sz w:val="24"/>
          <w:szCs w:val="24"/>
        </w:rPr>
      </w:pPr>
      <w:r>
        <w:rPr>
          <w:sz w:val="24"/>
          <w:szCs w:val="24"/>
        </w:rPr>
        <w:t>In parliamentary systems, the government has to govern and the Parliament has to check whether the government is governing well. When governments try to avoid parliamentary controls or when governments consider parliamentary controls as mere obstacles for the effectiveness of the government action, governments have a rather imperfect understanding of the principle of accountability.</w:t>
      </w:r>
      <w:r>
        <w:rPr>
          <w:rStyle w:val="FootnoteReference"/>
          <w:sz w:val="24"/>
          <w:szCs w:val="24"/>
        </w:rPr>
        <w:footnoteReference w:id="4"/>
      </w:r>
    </w:p>
    <w:p w:rsidR="00FA0069" w:rsidRDefault="00244E7C" w:rsidP="00244E7C">
      <w:pPr>
        <w:pStyle w:val="Bodycopy"/>
        <w:keepNext w:val="0"/>
        <w:rPr>
          <w:sz w:val="24"/>
          <w:szCs w:val="24"/>
          <w:lang w:eastAsia="en-US"/>
        </w:rPr>
      </w:pPr>
      <w:r>
        <w:rPr>
          <w:sz w:val="24"/>
          <w:szCs w:val="24"/>
          <w:lang w:eastAsia="en-US"/>
        </w:rPr>
        <w:t>Table 2 d</w:t>
      </w:r>
      <w:r w:rsidR="00ED612D">
        <w:rPr>
          <w:sz w:val="24"/>
          <w:szCs w:val="24"/>
          <w:lang w:eastAsia="en-US"/>
        </w:rPr>
        <w:t>etail</w:t>
      </w:r>
      <w:r>
        <w:rPr>
          <w:sz w:val="24"/>
          <w:szCs w:val="24"/>
          <w:lang w:eastAsia="en-US"/>
        </w:rPr>
        <w:t>s</w:t>
      </w:r>
      <w:r w:rsidR="00ED612D">
        <w:rPr>
          <w:sz w:val="24"/>
          <w:szCs w:val="24"/>
          <w:lang w:eastAsia="en-US"/>
        </w:rPr>
        <w:t xml:space="preserve"> some of the action</w:t>
      </w:r>
      <w:r w:rsidR="00B94742">
        <w:rPr>
          <w:sz w:val="24"/>
          <w:szCs w:val="24"/>
          <w:lang w:eastAsia="en-US"/>
        </w:rPr>
        <w:t>s</w:t>
      </w:r>
      <w:r w:rsidR="00ED612D">
        <w:rPr>
          <w:sz w:val="24"/>
          <w:szCs w:val="24"/>
          <w:lang w:eastAsia="en-US"/>
        </w:rPr>
        <w:t xml:space="preserve"> that are taken in relation to executive accountability in the ACT Legislative Assembly.</w:t>
      </w:r>
    </w:p>
    <w:p w:rsidR="00ED612D" w:rsidRPr="004C74ED" w:rsidRDefault="00ED612D" w:rsidP="00ED612D">
      <w:pPr>
        <w:pStyle w:val="Bodycopy"/>
        <w:rPr>
          <w:b/>
          <w:szCs w:val="22"/>
          <w:lang w:eastAsia="en-US"/>
        </w:rPr>
      </w:pPr>
      <w:r>
        <w:rPr>
          <w:b/>
          <w:szCs w:val="22"/>
          <w:lang w:eastAsia="en-US"/>
        </w:rPr>
        <w:t>Table 2</w:t>
      </w:r>
      <w:r w:rsidR="00244E7C">
        <w:rPr>
          <w:b/>
          <w:szCs w:val="22"/>
          <w:lang w:eastAsia="en-US"/>
        </w:rPr>
        <w:tab/>
      </w:r>
      <w:r w:rsidR="00244E7C">
        <w:rPr>
          <w:b/>
          <w:szCs w:val="22"/>
          <w:lang w:eastAsia="en-US"/>
        </w:rPr>
        <w:tab/>
        <w:t>Action taken in relation to executive accountability in the ACT Legislative Assembly</w:t>
      </w:r>
    </w:p>
    <w:tbl>
      <w:tblPr>
        <w:tblStyle w:val="TableContemporary"/>
        <w:tblW w:w="0" w:type="auto"/>
        <w:tblLook w:val="04A0"/>
      </w:tblPr>
      <w:tblGrid>
        <w:gridCol w:w="2943"/>
        <w:gridCol w:w="6804"/>
      </w:tblGrid>
      <w:tr w:rsidR="00244E7C" w:rsidRPr="00B46D7C" w:rsidTr="00B622F0">
        <w:trPr>
          <w:cnfStyle w:val="100000000000"/>
          <w:tblHeader/>
        </w:trPr>
        <w:tc>
          <w:tcPr>
            <w:tcW w:w="2943" w:type="dxa"/>
            <w:tcBorders>
              <w:top w:val="nil"/>
              <w:bottom w:val="single" w:sz="4" w:space="0" w:color="auto"/>
            </w:tcBorders>
            <w:shd w:val="clear" w:color="auto" w:fill="C2D69B" w:themeFill="accent3" w:themeFillTint="99"/>
          </w:tcPr>
          <w:p w:rsidR="00244E7C" w:rsidRDefault="00244E7C" w:rsidP="000271FD">
            <w:pPr>
              <w:pStyle w:val="Bodycopy"/>
              <w:spacing w:before="120" w:after="120"/>
              <w:rPr>
                <w:szCs w:val="22"/>
                <w:lang w:eastAsia="en-US"/>
              </w:rPr>
            </w:pPr>
            <w:r>
              <w:rPr>
                <w:szCs w:val="22"/>
                <w:lang w:eastAsia="en-US"/>
              </w:rPr>
              <w:t>Action</w:t>
            </w:r>
            <w:r w:rsidR="000A04C2">
              <w:rPr>
                <w:szCs w:val="22"/>
                <w:lang w:eastAsia="en-US"/>
              </w:rPr>
              <w:t>s</w:t>
            </w:r>
          </w:p>
        </w:tc>
        <w:tc>
          <w:tcPr>
            <w:tcW w:w="6804" w:type="dxa"/>
            <w:tcBorders>
              <w:top w:val="nil"/>
              <w:bottom w:val="single" w:sz="4" w:space="0" w:color="auto"/>
            </w:tcBorders>
            <w:shd w:val="clear" w:color="auto" w:fill="C2D69B" w:themeFill="accent3" w:themeFillTint="99"/>
          </w:tcPr>
          <w:p w:rsidR="00244E7C" w:rsidRDefault="00244E7C" w:rsidP="000271FD">
            <w:pPr>
              <w:pStyle w:val="Bodycopy"/>
              <w:tabs>
                <w:tab w:val="left" w:pos="318"/>
              </w:tabs>
              <w:spacing w:before="120" w:after="120"/>
              <w:rPr>
                <w:szCs w:val="22"/>
                <w:lang w:eastAsia="en-US"/>
              </w:rPr>
            </w:pPr>
            <w:r>
              <w:rPr>
                <w:szCs w:val="22"/>
                <w:lang w:eastAsia="en-US"/>
              </w:rPr>
              <w:t>Details</w:t>
            </w:r>
          </w:p>
        </w:tc>
      </w:tr>
      <w:tr w:rsidR="00ED612D" w:rsidRPr="00B46D7C" w:rsidTr="00B622F0">
        <w:trPr>
          <w:cnfStyle w:val="000000100000"/>
        </w:trPr>
        <w:tc>
          <w:tcPr>
            <w:tcW w:w="2943" w:type="dxa"/>
            <w:tcBorders>
              <w:top w:val="single" w:sz="4" w:space="0" w:color="auto"/>
            </w:tcBorders>
            <w:shd w:val="clear" w:color="auto" w:fill="FBD4B4" w:themeFill="accent6" w:themeFillTint="66"/>
          </w:tcPr>
          <w:p w:rsidR="00ED612D" w:rsidRPr="00B46D7C" w:rsidRDefault="00ED612D" w:rsidP="00ED612D">
            <w:pPr>
              <w:pStyle w:val="Bodycopy"/>
              <w:rPr>
                <w:b/>
                <w:szCs w:val="22"/>
                <w:lang w:eastAsia="en-US"/>
              </w:rPr>
            </w:pPr>
            <w:r>
              <w:rPr>
                <w:szCs w:val="22"/>
                <w:lang w:eastAsia="en-US"/>
              </w:rPr>
              <w:t>Effective Question Time procedure</w:t>
            </w:r>
          </w:p>
        </w:tc>
        <w:tc>
          <w:tcPr>
            <w:tcW w:w="6804" w:type="dxa"/>
            <w:tcBorders>
              <w:top w:val="single" w:sz="4" w:space="0" w:color="auto"/>
            </w:tcBorders>
            <w:shd w:val="clear" w:color="auto" w:fill="FBD4B4" w:themeFill="accent6" w:themeFillTint="66"/>
          </w:tcPr>
          <w:p w:rsidR="00ED612D" w:rsidRPr="00B46D7C" w:rsidRDefault="00ED612D" w:rsidP="00B94742">
            <w:pPr>
              <w:pStyle w:val="Bodycopy"/>
              <w:tabs>
                <w:tab w:val="left" w:pos="318"/>
              </w:tabs>
              <w:rPr>
                <w:b/>
                <w:szCs w:val="22"/>
                <w:lang w:eastAsia="en-US"/>
              </w:rPr>
            </w:pPr>
            <w:r>
              <w:rPr>
                <w:szCs w:val="22"/>
                <w:lang w:eastAsia="en-US"/>
              </w:rPr>
              <w:t>Each non-Executive MLA can ask up to four questions without notice per sitting day.</w:t>
            </w:r>
            <w:r w:rsidR="00B94742">
              <w:rPr>
                <w:szCs w:val="22"/>
                <w:lang w:eastAsia="en-US"/>
              </w:rPr>
              <w:t xml:space="preserve"> The</w:t>
            </w:r>
            <w:r>
              <w:rPr>
                <w:szCs w:val="22"/>
                <w:lang w:eastAsia="en-US"/>
              </w:rPr>
              <w:t xml:space="preserve"> Speaker is able to ensure that:</w:t>
            </w:r>
            <w:r>
              <w:rPr>
                <w:szCs w:val="22"/>
                <w:lang w:eastAsia="en-US"/>
              </w:rPr>
              <w:br/>
              <w:t>(a)</w:t>
            </w:r>
            <w:r>
              <w:rPr>
                <w:szCs w:val="22"/>
                <w:lang w:eastAsia="en-US"/>
              </w:rPr>
              <w:tab/>
            </w:r>
            <w:r w:rsidR="00B94742">
              <w:rPr>
                <w:szCs w:val="22"/>
                <w:lang w:eastAsia="en-US"/>
              </w:rPr>
              <w:t>answers</w:t>
            </w:r>
            <w:r>
              <w:rPr>
                <w:szCs w:val="22"/>
                <w:lang w:eastAsia="en-US"/>
              </w:rPr>
              <w:t xml:space="preserve"> are relevant to the question</w:t>
            </w:r>
            <w:r w:rsidR="00B94742">
              <w:rPr>
                <w:szCs w:val="22"/>
                <w:lang w:eastAsia="en-US"/>
              </w:rPr>
              <w:t>s</w:t>
            </w:r>
            <w:r>
              <w:rPr>
                <w:szCs w:val="22"/>
                <w:lang w:eastAsia="en-US"/>
              </w:rPr>
              <w:t xml:space="preserve"> asked; and</w:t>
            </w:r>
            <w:r>
              <w:rPr>
                <w:szCs w:val="22"/>
                <w:lang w:eastAsia="en-US"/>
              </w:rPr>
              <w:br/>
              <w:t>(b)</w:t>
            </w:r>
            <w:r>
              <w:rPr>
                <w:szCs w:val="22"/>
                <w:lang w:eastAsia="en-US"/>
              </w:rPr>
              <w:tab/>
              <w:t>that Ministers don’t use the answer to make a ministerial statement.</w:t>
            </w:r>
          </w:p>
        </w:tc>
      </w:tr>
      <w:tr w:rsidR="00ED612D" w:rsidRPr="00B46D7C" w:rsidTr="00B622F0">
        <w:trPr>
          <w:cnfStyle w:val="000000010000"/>
          <w:cantSplit/>
        </w:trPr>
        <w:tc>
          <w:tcPr>
            <w:tcW w:w="2943" w:type="dxa"/>
            <w:shd w:val="clear" w:color="auto" w:fill="C2D69B" w:themeFill="accent3" w:themeFillTint="99"/>
          </w:tcPr>
          <w:p w:rsidR="00ED612D" w:rsidRPr="00B46D7C" w:rsidRDefault="000D031B" w:rsidP="00DA41E5">
            <w:pPr>
              <w:pStyle w:val="Bodycopy"/>
              <w:keepNext w:val="0"/>
              <w:rPr>
                <w:szCs w:val="22"/>
                <w:lang w:eastAsia="en-US"/>
              </w:rPr>
            </w:pPr>
            <w:r>
              <w:rPr>
                <w:szCs w:val="22"/>
                <w:lang w:eastAsia="en-US"/>
              </w:rPr>
              <w:t>Full sitting day for each sitting week devoted solely to private Members’ business</w:t>
            </w:r>
          </w:p>
        </w:tc>
        <w:tc>
          <w:tcPr>
            <w:tcW w:w="6804" w:type="dxa"/>
            <w:shd w:val="clear" w:color="auto" w:fill="C2D69B" w:themeFill="accent3" w:themeFillTint="99"/>
          </w:tcPr>
          <w:p w:rsidR="00ED612D" w:rsidRPr="00B46D7C" w:rsidRDefault="000D031B" w:rsidP="00DA41E5">
            <w:pPr>
              <w:pStyle w:val="Bodycopy"/>
              <w:keepNext w:val="0"/>
              <w:rPr>
                <w:szCs w:val="22"/>
                <w:lang w:eastAsia="en-US"/>
              </w:rPr>
            </w:pPr>
            <w:r>
              <w:rPr>
                <w:szCs w:val="22"/>
                <w:lang w:eastAsia="en-US"/>
              </w:rPr>
              <w:t>On every sitting Wednesday up to six items per day are debated (either a bill or a motion). Almost two</w:t>
            </w:r>
            <w:r w:rsidR="00072132">
              <w:rPr>
                <w:szCs w:val="22"/>
                <w:lang w:eastAsia="en-US"/>
              </w:rPr>
              <w:t>-</w:t>
            </w:r>
            <w:r>
              <w:rPr>
                <w:szCs w:val="22"/>
                <w:lang w:eastAsia="en-US"/>
              </w:rPr>
              <w:t xml:space="preserve">thirds of those are moved by Opposition or </w:t>
            </w:r>
            <w:r w:rsidR="00072132">
              <w:rPr>
                <w:szCs w:val="22"/>
                <w:lang w:eastAsia="en-US"/>
              </w:rPr>
              <w:t>C</w:t>
            </w:r>
            <w:r>
              <w:rPr>
                <w:szCs w:val="22"/>
                <w:lang w:eastAsia="en-US"/>
              </w:rPr>
              <w:t>rossbench Members.</w:t>
            </w:r>
          </w:p>
        </w:tc>
      </w:tr>
      <w:tr w:rsidR="000D031B" w:rsidRPr="00B46D7C" w:rsidTr="00B622F0">
        <w:trPr>
          <w:cnfStyle w:val="000000100000"/>
        </w:trPr>
        <w:tc>
          <w:tcPr>
            <w:tcW w:w="2943" w:type="dxa"/>
            <w:shd w:val="clear" w:color="auto" w:fill="FBD4B4" w:themeFill="accent6" w:themeFillTint="66"/>
          </w:tcPr>
          <w:p w:rsidR="000D031B" w:rsidRDefault="000D031B" w:rsidP="00ED612D">
            <w:pPr>
              <w:pStyle w:val="Bodycopy"/>
              <w:rPr>
                <w:szCs w:val="22"/>
                <w:lang w:eastAsia="en-US"/>
              </w:rPr>
            </w:pPr>
            <w:r>
              <w:rPr>
                <w:szCs w:val="22"/>
                <w:lang w:eastAsia="en-US"/>
              </w:rPr>
              <w:t>Public Accounts Committee (PAC) has Opposition chair as well as other committees</w:t>
            </w:r>
          </w:p>
        </w:tc>
        <w:tc>
          <w:tcPr>
            <w:tcW w:w="6804" w:type="dxa"/>
            <w:shd w:val="clear" w:color="auto" w:fill="FBD4B4" w:themeFill="accent6" w:themeFillTint="66"/>
          </w:tcPr>
          <w:p w:rsidR="000D031B" w:rsidRDefault="000D031B" w:rsidP="002C3913">
            <w:pPr>
              <w:pStyle w:val="Bodycopy"/>
              <w:rPr>
                <w:szCs w:val="22"/>
                <w:lang w:eastAsia="en-US"/>
              </w:rPr>
            </w:pPr>
            <w:r>
              <w:rPr>
                <w:szCs w:val="22"/>
                <w:lang w:eastAsia="en-US"/>
              </w:rPr>
              <w:t>Since 1989</w:t>
            </w:r>
            <w:r w:rsidR="000A04C2">
              <w:rPr>
                <w:szCs w:val="22"/>
                <w:lang w:eastAsia="en-US"/>
              </w:rPr>
              <w:t>,</w:t>
            </w:r>
            <w:r w:rsidR="002C3913">
              <w:rPr>
                <w:szCs w:val="22"/>
                <w:lang w:eastAsia="en-US"/>
              </w:rPr>
              <w:t xml:space="preserve"> </w:t>
            </w:r>
            <w:r>
              <w:rPr>
                <w:szCs w:val="22"/>
                <w:lang w:eastAsia="en-US"/>
              </w:rPr>
              <w:t>it has become the practice that the PAC chair is an Opposition MLA. Also, up to half the Assembly committees are chaired by Opposition MLAs.</w:t>
            </w:r>
          </w:p>
        </w:tc>
      </w:tr>
      <w:tr w:rsidR="000D031B" w:rsidRPr="00B46D7C" w:rsidTr="00B622F0">
        <w:trPr>
          <w:cnfStyle w:val="000000010000"/>
        </w:trPr>
        <w:tc>
          <w:tcPr>
            <w:tcW w:w="2943" w:type="dxa"/>
            <w:shd w:val="clear" w:color="auto" w:fill="C2D69B" w:themeFill="accent3" w:themeFillTint="99"/>
          </w:tcPr>
          <w:p w:rsidR="000D031B" w:rsidRDefault="000D031B" w:rsidP="00072132">
            <w:pPr>
              <w:pStyle w:val="Bodycopy"/>
              <w:rPr>
                <w:szCs w:val="22"/>
                <w:lang w:eastAsia="en-US"/>
              </w:rPr>
            </w:pPr>
            <w:r>
              <w:rPr>
                <w:szCs w:val="22"/>
                <w:lang w:eastAsia="en-US"/>
              </w:rPr>
              <w:t>Government advertising is scrutinised by a person</w:t>
            </w:r>
            <w:r w:rsidR="00072132">
              <w:rPr>
                <w:szCs w:val="22"/>
                <w:lang w:eastAsia="en-US"/>
              </w:rPr>
              <w:t xml:space="preserve"> whose appointment was</w:t>
            </w:r>
            <w:r>
              <w:rPr>
                <w:szCs w:val="22"/>
                <w:lang w:eastAsia="en-US"/>
              </w:rPr>
              <w:t xml:space="preserve"> agreed</w:t>
            </w:r>
            <w:r w:rsidR="00B94742">
              <w:rPr>
                <w:szCs w:val="22"/>
                <w:lang w:eastAsia="en-US"/>
              </w:rPr>
              <w:t xml:space="preserve"> to</w:t>
            </w:r>
            <w:r>
              <w:rPr>
                <w:szCs w:val="22"/>
                <w:lang w:eastAsia="en-US"/>
              </w:rPr>
              <w:t xml:space="preserve"> by a two</w:t>
            </w:r>
            <w:r w:rsidR="00072132">
              <w:rPr>
                <w:szCs w:val="22"/>
                <w:lang w:eastAsia="en-US"/>
              </w:rPr>
              <w:t>-</w:t>
            </w:r>
            <w:r>
              <w:rPr>
                <w:szCs w:val="22"/>
                <w:lang w:eastAsia="en-US"/>
              </w:rPr>
              <w:t>thirds majority of the Legislative Assembly</w:t>
            </w:r>
          </w:p>
        </w:tc>
        <w:tc>
          <w:tcPr>
            <w:tcW w:w="6804" w:type="dxa"/>
            <w:shd w:val="clear" w:color="auto" w:fill="C2D69B" w:themeFill="accent3" w:themeFillTint="99"/>
          </w:tcPr>
          <w:p w:rsidR="000D031B" w:rsidRPr="000D031B" w:rsidRDefault="000D031B" w:rsidP="000D031B">
            <w:pPr>
              <w:pStyle w:val="Bodycopy"/>
              <w:rPr>
                <w:i/>
                <w:szCs w:val="22"/>
                <w:lang w:eastAsia="en-US"/>
              </w:rPr>
            </w:pPr>
            <w:r>
              <w:rPr>
                <w:szCs w:val="22"/>
                <w:lang w:eastAsia="en-US"/>
              </w:rPr>
              <w:t xml:space="preserve">In 2009 the Assembly enacted the </w:t>
            </w:r>
            <w:hyperlink r:id="rId16" w:history="1">
              <w:r w:rsidRPr="000D031B">
                <w:rPr>
                  <w:rStyle w:val="Hyperlink"/>
                  <w:i/>
                  <w:szCs w:val="22"/>
                  <w:lang w:eastAsia="en-US"/>
                </w:rPr>
                <w:t>Government Agencies (Campaign Advertising) Act 2009</w:t>
              </w:r>
            </w:hyperlink>
            <w:r>
              <w:rPr>
                <w:szCs w:val="22"/>
                <w:lang w:eastAsia="en-US"/>
              </w:rPr>
              <w:t xml:space="preserve"> which has, as its objective, to prevent the use of public funds for advertising or other communications for party political purposes.</w:t>
            </w:r>
          </w:p>
        </w:tc>
      </w:tr>
      <w:tr w:rsidR="000D031B" w:rsidRPr="00B46D7C" w:rsidTr="00B622F0">
        <w:trPr>
          <w:cnfStyle w:val="000000100000"/>
        </w:trPr>
        <w:tc>
          <w:tcPr>
            <w:tcW w:w="2943" w:type="dxa"/>
            <w:shd w:val="clear" w:color="auto" w:fill="FBD4B4" w:themeFill="accent6" w:themeFillTint="66"/>
          </w:tcPr>
          <w:p w:rsidR="000D031B" w:rsidRDefault="000D031B" w:rsidP="000D031B">
            <w:pPr>
              <w:pStyle w:val="Bodycopy"/>
              <w:rPr>
                <w:szCs w:val="22"/>
                <w:lang w:eastAsia="en-US"/>
              </w:rPr>
            </w:pPr>
            <w:r>
              <w:rPr>
                <w:szCs w:val="22"/>
                <w:lang w:eastAsia="en-US"/>
              </w:rPr>
              <w:t>Independent arbiter able to determine claims of privilege on documents ordered to be provided by the Assembly</w:t>
            </w:r>
          </w:p>
        </w:tc>
        <w:tc>
          <w:tcPr>
            <w:tcW w:w="6804" w:type="dxa"/>
            <w:shd w:val="clear" w:color="auto" w:fill="FBD4B4" w:themeFill="accent6" w:themeFillTint="66"/>
          </w:tcPr>
          <w:p w:rsidR="000D031B" w:rsidRDefault="000D031B" w:rsidP="00C34EDB">
            <w:pPr>
              <w:pStyle w:val="Bodycopy"/>
              <w:rPr>
                <w:szCs w:val="22"/>
                <w:lang w:eastAsia="en-US"/>
              </w:rPr>
            </w:pPr>
            <w:r>
              <w:rPr>
                <w:szCs w:val="22"/>
                <w:lang w:eastAsia="en-US"/>
              </w:rPr>
              <w:t xml:space="preserve">On 22 March 2012, the Assembly adopted standing order 213A which provides that, where a document is requested by the Assembly and the </w:t>
            </w:r>
            <w:r w:rsidR="00B94742">
              <w:rPr>
                <w:szCs w:val="22"/>
                <w:lang w:eastAsia="en-US"/>
              </w:rPr>
              <w:t>e</w:t>
            </w:r>
            <w:r>
              <w:rPr>
                <w:szCs w:val="22"/>
                <w:lang w:eastAsia="en-US"/>
              </w:rPr>
              <w:t xml:space="preserve">xecutive </w:t>
            </w:r>
            <w:r w:rsidR="00C34EDB">
              <w:rPr>
                <w:szCs w:val="22"/>
                <w:lang w:eastAsia="en-US"/>
              </w:rPr>
              <w:t>claims privilege on it</w:t>
            </w:r>
            <w:r>
              <w:rPr>
                <w:szCs w:val="22"/>
                <w:lang w:eastAsia="en-US"/>
              </w:rPr>
              <w:t>, an independent legal arbiter shall be appointed by the Speaker to adjudicate the competing claims.</w:t>
            </w:r>
          </w:p>
        </w:tc>
      </w:tr>
      <w:tr w:rsidR="000D031B" w:rsidRPr="00B46D7C" w:rsidTr="00B622F0">
        <w:trPr>
          <w:cnfStyle w:val="000000010000"/>
        </w:trPr>
        <w:tc>
          <w:tcPr>
            <w:tcW w:w="2943" w:type="dxa"/>
            <w:shd w:val="clear" w:color="auto" w:fill="C2D69B" w:themeFill="accent3" w:themeFillTint="99"/>
          </w:tcPr>
          <w:p w:rsidR="000D031B" w:rsidRDefault="000D031B" w:rsidP="00B94742">
            <w:pPr>
              <w:pStyle w:val="Bodycopy"/>
              <w:rPr>
                <w:szCs w:val="22"/>
                <w:lang w:eastAsia="en-US"/>
              </w:rPr>
            </w:pPr>
            <w:r>
              <w:rPr>
                <w:szCs w:val="22"/>
                <w:lang w:eastAsia="en-US"/>
              </w:rPr>
              <w:t>Auditor-General, Electoral Commission and Ombudsman bec</w:t>
            </w:r>
            <w:r w:rsidR="00B94742">
              <w:rPr>
                <w:szCs w:val="22"/>
                <w:lang w:eastAsia="en-US"/>
              </w:rPr>
              <w:t>a</w:t>
            </w:r>
            <w:r>
              <w:rPr>
                <w:szCs w:val="22"/>
                <w:lang w:eastAsia="en-US"/>
              </w:rPr>
              <w:t>me Officers of the Parliament.</w:t>
            </w:r>
          </w:p>
        </w:tc>
        <w:tc>
          <w:tcPr>
            <w:tcW w:w="6804" w:type="dxa"/>
            <w:shd w:val="clear" w:color="auto" w:fill="C2D69B" w:themeFill="accent3" w:themeFillTint="99"/>
          </w:tcPr>
          <w:p w:rsidR="000D031B" w:rsidRDefault="000D031B" w:rsidP="000D031B">
            <w:pPr>
              <w:pStyle w:val="Bodycopy"/>
              <w:rPr>
                <w:szCs w:val="22"/>
                <w:lang w:eastAsia="en-US"/>
              </w:rPr>
            </w:pPr>
            <w:r>
              <w:rPr>
                <w:szCs w:val="22"/>
                <w:lang w:eastAsia="en-US"/>
              </w:rPr>
              <w:t xml:space="preserve">In 2013, the </w:t>
            </w:r>
            <w:r w:rsidR="00307BB9">
              <w:rPr>
                <w:szCs w:val="22"/>
                <w:lang w:eastAsia="en-US"/>
              </w:rPr>
              <w:t xml:space="preserve">Auditor-General, </w:t>
            </w:r>
            <w:r w:rsidR="00072132">
              <w:rPr>
                <w:szCs w:val="22"/>
                <w:lang w:eastAsia="en-US"/>
              </w:rPr>
              <w:t xml:space="preserve">the </w:t>
            </w:r>
            <w:r w:rsidR="00307BB9">
              <w:rPr>
                <w:szCs w:val="22"/>
                <w:lang w:eastAsia="en-US"/>
              </w:rPr>
              <w:t>Electoral Commission and the Ombudsman became, by virtue of the</w:t>
            </w:r>
            <w:r w:rsidR="00CD6DFE">
              <w:rPr>
                <w:szCs w:val="22"/>
                <w:lang w:eastAsia="en-US"/>
              </w:rPr>
              <w:t xml:space="preserve"> passing of the</w:t>
            </w:r>
            <w:r w:rsidR="00307BB9">
              <w:rPr>
                <w:szCs w:val="22"/>
                <w:lang w:eastAsia="en-US"/>
              </w:rPr>
              <w:t xml:space="preserve"> Officers of the Assembly Legislation Amendment Bill 2013, Officers of the Assembly. The Speaker now has the power to appoint, suspend or end the Officers’ appointment (in consultation with others).</w:t>
            </w:r>
          </w:p>
        </w:tc>
      </w:tr>
      <w:tr w:rsidR="00307BB9" w:rsidRPr="00B46D7C" w:rsidTr="00B622F0">
        <w:trPr>
          <w:cnfStyle w:val="000000100000"/>
        </w:trPr>
        <w:tc>
          <w:tcPr>
            <w:tcW w:w="2943" w:type="dxa"/>
            <w:shd w:val="clear" w:color="auto" w:fill="FBD4B4" w:themeFill="accent6" w:themeFillTint="66"/>
          </w:tcPr>
          <w:p w:rsidR="00307BB9" w:rsidRDefault="00307BB9" w:rsidP="00307BB9">
            <w:pPr>
              <w:pStyle w:val="Bodycopy"/>
              <w:rPr>
                <w:szCs w:val="22"/>
                <w:lang w:eastAsia="en-US"/>
              </w:rPr>
            </w:pPr>
            <w:r>
              <w:rPr>
                <w:szCs w:val="22"/>
                <w:lang w:eastAsia="en-US"/>
              </w:rPr>
              <w:t>Independent statutory support agency for the legislature with sufficient funding arrangements</w:t>
            </w:r>
          </w:p>
        </w:tc>
        <w:tc>
          <w:tcPr>
            <w:tcW w:w="6804" w:type="dxa"/>
            <w:shd w:val="clear" w:color="auto" w:fill="FBD4B4" w:themeFill="accent6" w:themeFillTint="66"/>
          </w:tcPr>
          <w:p w:rsidR="00307BB9" w:rsidRDefault="00307BB9" w:rsidP="00B94742">
            <w:pPr>
              <w:pStyle w:val="Bodycopy"/>
              <w:rPr>
                <w:szCs w:val="22"/>
                <w:lang w:eastAsia="en-US"/>
              </w:rPr>
            </w:pPr>
            <w:r>
              <w:rPr>
                <w:szCs w:val="22"/>
                <w:lang w:eastAsia="en-US"/>
              </w:rPr>
              <w:t xml:space="preserve">In 2012 the Assembly enacted the Legislative Assembly (Office of the Legislative Assembly) Bill 2012 which established the independence of the Clerk and the </w:t>
            </w:r>
            <w:r w:rsidR="00833E09">
              <w:rPr>
                <w:szCs w:val="22"/>
                <w:lang w:eastAsia="en-US"/>
              </w:rPr>
              <w:t>O</w:t>
            </w:r>
            <w:r>
              <w:rPr>
                <w:szCs w:val="22"/>
                <w:lang w:eastAsia="en-US"/>
              </w:rPr>
              <w:t>ffice</w:t>
            </w:r>
            <w:r w:rsidR="00833E09">
              <w:rPr>
                <w:szCs w:val="22"/>
                <w:lang w:eastAsia="en-US"/>
              </w:rPr>
              <w:t xml:space="preserve"> of the Legislative Assembly (OLA)</w:t>
            </w:r>
            <w:r>
              <w:rPr>
                <w:szCs w:val="22"/>
                <w:lang w:eastAsia="en-US"/>
              </w:rPr>
              <w:t xml:space="preserve"> </w:t>
            </w:r>
            <w:r w:rsidR="00833E09">
              <w:rPr>
                <w:szCs w:val="22"/>
                <w:lang w:eastAsia="en-US"/>
              </w:rPr>
              <w:t xml:space="preserve">from the </w:t>
            </w:r>
            <w:r w:rsidR="00B94742">
              <w:rPr>
                <w:szCs w:val="22"/>
                <w:lang w:eastAsia="en-US"/>
              </w:rPr>
              <w:t>e</w:t>
            </w:r>
            <w:r w:rsidR="00833E09">
              <w:rPr>
                <w:szCs w:val="22"/>
                <w:lang w:eastAsia="en-US"/>
              </w:rPr>
              <w:t>xecutive. In addition, in 2014 the Chief Minister and the Speaker agreed to a set of budget protocols which set out requirements as to how the central Treasury directorate and the OLA preserve the exclusive role of the Parliament.</w:t>
            </w:r>
          </w:p>
        </w:tc>
      </w:tr>
    </w:tbl>
    <w:p w:rsidR="000271FD" w:rsidRDefault="00244E7C" w:rsidP="00244E7C">
      <w:pPr>
        <w:jc w:val="right"/>
      </w:pPr>
      <w:r>
        <w:t>(continued)</w:t>
      </w:r>
    </w:p>
    <w:p w:rsidR="000271FD" w:rsidRDefault="000271FD"/>
    <w:p w:rsidR="00244E7C" w:rsidRDefault="00244E7C" w:rsidP="00244E7C">
      <w:pPr>
        <w:jc w:val="right"/>
      </w:pPr>
    </w:p>
    <w:tbl>
      <w:tblPr>
        <w:tblStyle w:val="TableContemporary"/>
        <w:tblW w:w="0" w:type="auto"/>
        <w:tblLook w:val="04A0"/>
      </w:tblPr>
      <w:tblGrid>
        <w:gridCol w:w="2943"/>
        <w:gridCol w:w="6804"/>
      </w:tblGrid>
      <w:tr w:rsidR="00DA41E5" w:rsidRPr="00B46D7C" w:rsidTr="000271FD">
        <w:trPr>
          <w:cnfStyle w:val="100000000000"/>
          <w:tblHeader/>
        </w:trPr>
        <w:tc>
          <w:tcPr>
            <w:tcW w:w="2943" w:type="dxa"/>
            <w:tcBorders>
              <w:top w:val="nil"/>
              <w:bottom w:val="single" w:sz="4" w:space="0" w:color="auto"/>
            </w:tcBorders>
            <w:shd w:val="clear" w:color="auto" w:fill="C2D69B" w:themeFill="accent3" w:themeFillTint="99"/>
          </w:tcPr>
          <w:p w:rsidR="00DA41E5" w:rsidRDefault="00DA41E5" w:rsidP="000271FD">
            <w:pPr>
              <w:pStyle w:val="Bodycopy"/>
              <w:keepNext w:val="0"/>
              <w:spacing w:before="120" w:after="120"/>
              <w:rPr>
                <w:szCs w:val="22"/>
                <w:lang w:eastAsia="en-US"/>
              </w:rPr>
            </w:pPr>
            <w:r>
              <w:rPr>
                <w:szCs w:val="22"/>
                <w:lang w:eastAsia="en-US"/>
              </w:rPr>
              <w:t>Action</w:t>
            </w:r>
            <w:r w:rsidR="000A04C2">
              <w:rPr>
                <w:szCs w:val="22"/>
                <w:lang w:eastAsia="en-US"/>
              </w:rPr>
              <w:t>s</w:t>
            </w:r>
          </w:p>
        </w:tc>
        <w:tc>
          <w:tcPr>
            <w:tcW w:w="6804" w:type="dxa"/>
            <w:tcBorders>
              <w:top w:val="nil"/>
              <w:bottom w:val="single" w:sz="4" w:space="0" w:color="auto"/>
            </w:tcBorders>
            <w:shd w:val="clear" w:color="auto" w:fill="C2D69B" w:themeFill="accent3" w:themeFillTint="99"/>
          </w:tcPr>
          <w:p w:rsidR="00DA41E5" w:rsidRDefault="00DA41E5" w:rsidP="000271FD">
            <w:pPr>
              <w:pStyle w:val="Bodycopy"/>
              <w:keepNext w:val="0"/>
              <w:tabs>
                <w:tab w:val="left" w:pos="318"/>
              </w:tabs>
              <w:spacing w:before="120" w:after="120"/>
              <w:rPr>
                <w:szCs w:val="22"/>
                <w:lang w:eastAsia="en-US"/>
              </w:rPr>
            </w:pPr>
            <w:r>
              <w:rPr>
                <w:szCs w:val="22"/>
                <w:lang w:eastAsia="en-US"/>
              </w:rPr>
              <w:t>Details</w:t>
            </w:r>
          </w:p>
        </w:tc>
      </w:tr>
      <w:tr w:rsidR="00060342" w:rsidRPr="00B46D7C" w:rsidTr="000271FD">
        <w:tblPrEx>
          <w:shd w:val="clear" w:color="auto" w:fill="C2D69B" w:themeFill="accent3" w:themeFillTint="99"/>
        </w:tblPrEx>
        <w:trPr>
          <w:cnfStyle w:val="000000100000"/>
          <w:cantSplit/>
        </w:trPr>
        <w:tc>
          <w:tcPr>
            <w:tcW w:w="2943" w:type="dxa"/>
            <w:tcBorders>
              <w:top w:val="single" w:sz="4" w:space="0" w:color="auto"/>
              <w:bottom w:val="nil"/>
            </w:tcBorders>
            <w:shd w:val="clear" w:color="auto" w:fill="FBD4B4" w:themeFill="accent6" w:themeFillTint="66"/>
          </w:tcPr>
          <w:p w:rsidR="00060342" w:rsidRDefault="00060342" w:rsidP="00E03F13">
            <w:pPr>
              <w:pStyle w:val="Bodycopy"/>
              <w:keepNext w:val="0"/>
              <w:rPr>
                <w:szCs w:val="22"/>
                <w:lang w:eastAsia="en-US"/>
              </w:rPr>
            </w:pPr>
            <w:r>
              <w:rPr>
                <w:szCs w:val="22"/>
                <w:lang w:eastAsia="en-US"/>
              </w:rPr>
              <w:t>Autonomous parliamentary committees</w:t>
            </w:r>
          </w:p>
        </w:tc>
        <w:tc>
          <w:tcPr>
            <w:tcW w:w="6804" w:type="dxa"/>
            <w:tcBorders>
              <w:top w:val="single" w:sz="4" w:space="0" w:color="auto"/>
              <w:bottom w:val="nil"/>
            </w:tcBorders>
            <w:shd w:val="clear" w:color="auto" w:fill="FBD4B4" w:themeFill="accent6" w:themeFillTint="66"/>
          </w:tcPr>
          <w:p w:rsidR="00060342" w:rsidRDefault="00060342" w:rsidP="00E03F13">
            <w:pPr>
              <w:pStyle w:val="Bodycopy"/>
              <w:keepNext w:val="0"/>
              <w:rPr>
                <w:szCs w:val="22"/>
                <w:lang w:eastAsia="en-US"/>
              </w:rPr>
            </w:pPr>
            <w:r>
              <w:rPr>
                <w:szCs w:val="22"/>
                <w:lang w:eastAsia="en-US"/>
              </w:rPr>
              <w:t xml:space="preserve">All Assembly committees have the ability to self-refer matters within their terms of reference. In addition, all annual reports of </w:t>
            </w:r>
            <w:r w:rsidR="00B94742">
              <w:rPr>
                <w:szCs w:val="22"/>
                <w:lang w:eastAsia="en-US"/>
              </w:rPr>
              <w:t>e</w:t>
            </w:r>
            <w:r>
              <w:rPr>
                <w:szCs w:val="22"/>
                <w:lang w:eastAsia="en-US"/>
              </w:rPr>
              <w:t>xecutive agencies are referred to committees every year for inquiry and report.</w:t>
            </w:r>
          </w:p>
        </w:tc>
      </w:tr>
    </w:tbl>
    <w:p w:rsidR="007B009B" w:rsidRPr="004363ED" w:rsidRDefault="007B009B" w:rsidP="00DA41E5">
      <w:pPr>
        <w:pStyle w:val="Heading3"/>
        <w:keepNext w:val="0"/>
        <w:spacing w:before="240" w:after="240"/>
        <w:rPr>
          <w:b/>
        </w:rPr>
      </w:pPr>
      <w:r w:rsidRPr="004363ED">
        <w:rPr>
          <w:b/>
        </w:rPr>
        <w:t>Latimer House Principle 8 – The law-making process</w:t>
      </w:r>
    </w:p>
    <w:p w:rsidR="007B009B" w:rsidRDefault="007B009B" w:rsidP="00244E7C">
      <w:pPr>
        <w:pStyle w:val="Bodycopy"/>
        <w:keepNext w:val="0"/>
        <w:rPr>
          <w:i/>
          <w:sz w:val="24"/>
          <w:szCs w:val="24"/>
        </w:rPr>
      </w:pPr>
      <w:r w:rsidRPr="007B009B">
        <w:rPr>
          <w:i/>
          <w:sz w:val="24"/>
          <w:szCs w:val="24"/>
        </w:rPr>
        <w:t>In order to enhance the effectiveness of law</w:t>
      </w:r>
      <w:r w:rsidR="00072132">
        <w:rPr>
          <w:i/>
          <w:sz w:val="24"/>
          <w:szCs w:val="24"/>
        </w:rPr>
        <w:t>-</w:t>
      </w:r>
      <w:r w:rsidRPr="007B009B">
        <w:rPr>
          <w:i/>
          <w:sz w:val="24"/>
          <w:szCs w:val="24"/>
        </w:rPr>
        <w:t>making as an essential element of the good governance agenda:</w:t>
      </w:r>
    </w:p>
    <w:p w:rsidR="007B009B" w:rsidRDefault="007B009B" w:rsidP="00244E7C">
      <w:pPr>
        <w:pStyle w:val="Bodycopy"/>
        <w:keepNext w:val="0"/>
        <w:tabs>
          <w:tab w:val="left" w:pos="567"/>
        </w:tabs>
        <w:rPr>
          <w:i/>
          <w:sz w:val="24"/>
          <w:szCs w:val="24"/>
        </w:rPr>
      </w:pPr>
      <w:r>
        <w:rPr>
          <w:i/>
          <w:sz w:val="24"/>
          <w:szCs w:val="24"/>
        </w:rPr>
        <w:t>(i)</w:t>
      </w:r>
      <w:r>
        <w:rPr>
          <w:i/>
          <w:sz w:val="24"/>
          <w:szCs w:val="24"/>
        </w:rPr>
        <w:tab/>
      </w:r>
      <w:r w:rsidRPr="007B009B">
        <w:rPr>
          <w:i/>
          <w:sz w:val="24"/>
          <w:szCs w:val="24"/>
        </w:rPr>
        <w:t xml:space="preserve">there should be adequate parliamentary examination of proposed legislation; </w:t>
      </w:r>
    </w:p>
    <w:p w:rsidR="007B009B" w:rsidRPr="007B009B" w:rsidRDefault="007B009B" w:rsidP="00244E7C">
      <w:pPr>
        <w:pStyle w:val="Bodycopy"/>
        <w:keepNext w:val="0"/>
        <w:tabs>
          <w:tab w:val="left" w:pos="567"/>
        </w:tabs>
        <w:rPr>
          <w:i/>
          <w:sz w:val="24"/>
          <w:szCs w:val="24"/>
        </w:rPr>
      </w:pPr>
      <w:r>
        <w:rPr>
          <w:i/>
          <w:sz w:val="24"/>
          <w:szCs w:val="24"/>
        </w:rPr>
        <w:t>(ii)</w:t>
      </w:r>
      <w:r>
        <w:rPr>
          <w:i/>
          <w:sz w:val="24"/>
          <w:szCs w:val="24"/>
        </w:rPr>
        <w:tab/>
      </w:r>
      <w:r w:rsidRPr="007B009B">
        <w:rPr>
          <w:i/>
          <w:sz w:val="24"/>
          <w:szCs w:val="24"/>
        </w:rPr>
        <w:t>where appropriate, opportunity should be given for public inpu</w:t>
      </w:r>
      <w:r>
        <w:rPr>
          <w:i/>
          <w:sz w:val="24"/>
          <w:szCs w:val="24"/>
        </w:rPr>
        <w:t>t into the legislative process.</w:t>
      </w:r>
    </w:p>
    <w:p w:rsidR="007B009B" w:rsidRDefault="007B009B" w:rsidP="00244E7C">
      <w:pPr>
        <w:pStyle w:val="Bodycopy"/>
        <w:keepNext w:val="0"/>
        <w:rPr>
          <w:sz w:val="24"/>
          <w:szCs w:val="24"/>
        </w:rPr>
      </w:pPr>
      <w:r>
        <w:rPr>
          <w:sz w:val="24"/>
          <w:szCs w:val="24"/>
        </w:rPr>
        <w:t>The ability of each legislature to make laws for the peace, order and good governance of the jurisdiction they represent is also a fundamental part of ethical governance. For most legislatures, this role takes up the majority of their sitting periods.</w:t>
      </w:r>
    </w:p>
    <w:p w:rsidR="007B009B" w:rsidRDefault="00244E7C" w:rsidP="00244E7C">
      <w:pPr>
        <w:pStyle w:val="Bodycopy"/>
        <w:keepNext w:val="0"/>
        <w:rPr>
          <w:sz w:val="24"/>
          <w:szCs w:val="24"/>
        </w:rPr>
      </w:pPr>
      <w:r>
        <w:rPr>
          <w:sz w:val="24"/>
          <w:szCs w:val="24"/>
        </w:rPr>
        <w:t>Table 3 d</w:t>
      </w:r>
      <w:r w:rsidR="007B009B">
        <w:rPr>
          <w:sz w:val="24"/>
          <w:szCs w:val="24"/>
        </w:rPr>
        <w:t>etail</w:t>
      </w:r>
      <w:r>
        <w:rPr>
          <w:sz w:val="24"/>
          <w:szCs w:val="24"/>
        </w:rPr>
        <w:t>s</w:t>
      </w:r>
      <w:r w:rsidR="007B009B">
        <w:rPr>
          <w:sz w:val="24"/>
          <w:szCs w:val="24"/>
        </w:rPr>
        <w:t xml:space="preserve"> some of the law-making processes of the ACT Legislative Assembly that enhance good governance.</w:t>
      </w:r>
    </w:p>
    <w:p w:rsidR="007B009B" w:rsidRPr="004C74ED" w:rsidRDefault="007B009B" w:rsidP="00244E7C">
      <w:pPr>
        <w:pStyle w:val="Bodycopy"/>
        <w:keepNext w:val="0"/>
        <w:rPr>
          <w:b/>
          <w:szCs w:val="22"/>
          <w:lang w:eastAsia="en-US"/>
        </w:rPr>
      </w:pPr>
      <w:r>
        <w:rPr>
          <w:b/>
          <w:szCs w:val="22"/>
          <w:lang w:eastAsia="en-US"/>
        </w:rPr>
        <w:t>Table 3</w:t>
      </w:r>
      <w:r w:rsidR="00244E7C">
        <w:rPr>
          <w:b/>
          <w:szCs w:val="22"/>
          <w:lang w:eastAsia="en-US"/>
        </w:rPr>
        <w:tab/>
      </w:r>
      <w:r w:rsidR="00244E7C">
        <w:rPr>
          <w:b/>
          <w:szCs w:val="22"/>
          <w:lang w:eastAsia="en-US"/>
        </w:rPr>
        <w:tab/>
        <w:t>Law-making processes that enhance good governance in the ACT Legislative Assembly</w:t>
      </w:r>
    </w:p>
    <w:tbl>
      <w:tblPr>
        <w:tblStyle w:val="TableContemporary"/>
        <w:tblW w:w="0" w:type="auto"/>
        <w:tblLook w:val="04A0"/>
      </w:tblPr>
      <w:tblGrid>
        <w:gridCol w:w="2943"/>
        <w:gridCol w:w="6804"/>
      </w:tblGrid>
      <w:tr w:rsidR="009F0207" w:rsidRPr="009F0207" w:rsidTr="00DA41E5">
        <w:trPr>
          <w:cnfStyle w:val="100000000000"/>
          <w:tblHeader/>
        </w:trPr>
        <w:tc>
          <w:tcPr>
            <w:tcW w:w="2943" w:type="dxa"/>
            <w:tcBorders>
              <w:top w:val="nil"/>
              <w:bottom w:val="single" w:sz="4" w:space="0" w:color="auto"/>
            </w:tcBorders>
            <w:shd w:val="clear" w:color="auto" w:fill="C2D69B" w:themeFill="accent3" w:themeFillTint="99"/>
          </w:tcPr>
          <w:p w:rsidR="009F0207" w:rsidRPr="009F0207" w:rsidRDefault="009F0207" w:rsidP="000271FD">
            <w:pPr>
              <w:pStyle w:val="Bodycopy"/>
              <w:keepNext w:val="0"/>
              <w:spacing w:before="120" w:after="120"/>
              <w:rPr>
                <w:szCs w:val="22"/>
                <w:lang w:eastAsia="en-US"/>
              </w:rPr>
            </w:pPr>
            <w:r w:rsidRPr="009F0207">
              <w:rPr>
                <w:szCs w:val="22"/>
                <w:lang w:eastAsia="en-US"/>
              </w:rPr>
              <w:t>Law-making processes</w:t>
            </w:r>
          </w:p>
        </w:tc>
        <w:tc>
          <w:tcPr>
            <w:tcW w:w="6804" w:type="dxa"/>
            <w:tcBorders>
              <w:top w:val="nil"/>
              <w:bottom w:val="single" w:sz="4" w:space="0" w:color="auto"/>
            </w:tcBorders>
            <w:shd w:val="clear" w:color="auto" w:fill="C2D69B" w:themeFill="accent3" w:themeFillTint="99"/>
          </w:tcPr>
          <w:p w:rsidR="009F0207" w:rsidRPr="009F0207" w:rsidRDefault="009F0207" w:rsidP="000271FD">
            <w:pPr>
              <w:pStyle w:val="Bodycopy"/>
              <w:keepNext w:val="0"/>
              <w:spacing w:before="120" w:after="120"/>
              <w:rPr>
                <w:szCs w:val="22"/>
                <w:lang w:eastAsia="en-US"/>
              </w:rPr>
            </w:pPr>
            <w:r w:rsidRPr="009F0207">
              <w:rPr>
                <w:szCs w:val="22"/>
                <w:lang w:eastAsia="en-US"/>
              </w:rPr>
              <w:t>Details</w:t>
            </w:r>
          </w:p>
        </w:tc>
      </w:tr>
      <w:tr w:rsidR="007B009B" w:rsidRPr="009F0207" w:rsidTr="00B622F0">
        <w:trPr>
          <w:cnfStyle w:val="000000100000"/>
        </w:trPr>
        <w:tc>
          <w:tcPr>
            <w:tcW w:w="2943" w:type="dxa"/>
            <w:tcBorders>
              <w:top w:val="single" w:sz="4" w:space="0" w:color="auto"/>
            </w:tcBorders>
            <w:shd w:val="clear" w:color="auto" w:fill="FBD4B4" w:themeFill="accent6" w:themeFillTint="66"/>
          </w:tcPr>
          <w:p w:rsidR="007B009B" w:rsidRPr="009F0207" w:rsidRDefault="007B009B" w:rsidP="00244E7C">
            <w:pPr>
              <w:pStyle w:val="Bodycopy"/>
              <w:keepNext w:val="0"/>
              <w:rPr>
                <w:szCs w:val="22"/>
                <w:lang w:eastAsia="en-US"/>
              </w:rPr>
            </w:pPr>
            <w:r w:rsidRPr="009F0207">
              <w:rPr>
                <w:szCs w:val="22"/>
                <w:lang w:eastAsia="en-US"/>
              </w:rPr>
              <w:t xml:space="preserve">The Members have sufficient time to examine and debate </w:t>
            </w:r>
            <w:r w:rsidR="00B94742" w:rsidRPr="009F0207">
              <w:rPr>
                <w:szCs w:val="22"/>
                <w:lang w:eastAsia="en-US"/>
              </w:rPr>
              <w:t>b</w:t>
            </w:r>
            <w:r w:rsidRPr="009F0207">
              <w:rPr>
                <w:szCs w:val="22"/>
                <w:lang w:eastAsia="en-US"/>
              </w:rPr>
              <w:t>ills</w:t>
            </w:r>
          </w:p>
        </w:tc>
        <w:tc>
          <w:tcPr>
            <w:tcW w:w="6804" w:type="dxa"/>
            <w:tcBorders>
              <w:top w:val="single" w:sz="4" w:space="0" w:color="auto"/>
            </w:tcBorders>
            <w:shd w:val="clear" w:color="auto" w:fill="FBD4B4" w:themeFill="accent6" w:themeFillTint="66"/>
          </w:tcPr>
          <w:p w:rsidR="007B009B" w:rsidRPr="009F0207" w:rsidRDefault="007B009B" w:rsidP="009F0207">
            <w:pPr>
              <w:pStyle w:val="Bodycopy"/>
              <w:keepNext w:val="0"/>
              <w:rPr>
                <w:szCs w:val="22"/>
                <w:lang w:eastAsia="en-US"/>
              </w:rPr>
            </w:pPr>
            <w:r w:rsidRPr="009F0207">
              <w:rPr>
                <w:szCs w:val="22"/>
                <w:lang w:eastAsia="en-US"/>
              </w:rPr>
              <w:t xml:space="preserve">As can be seen </w:t>
            </w:r>
            <w:r w:rsidR="009F0207">
              <w:rPr>
                <w:szCs w:val="22"/>
                <w:lang w:eastAsia="en-US"/>
              </w:rPr>
              <w:t>in</w:t>
            </w:r>
            <w:r w:rsidRPr="009F0207">
              <w:rPr>
                <w:szCs w:val="22"/>
                <w:lang w:eastAsia="en-US"/>
              </w:rPr>
              <w:t xml:space="preserve"> Attachment A</w:t>
            </w:r>
            <w:r w:rsidR="009F0207">
              <w:rPr>
                <w:szCs w:val="22"/>
                <w:lang w:eastAsia="en-US"/>
              </w:rPr>
              <w:t>,</w:t>
            </w:r>
            <w:r w:rsidRPr="009F0207">
              <w:rPr>
                <w:szCs w:val="22"/>
                <w:lang w:eastAsia="en-US"/>
              </w:rPr>
              <w:t xml:space="preserve"> in 2015 the average time taken between the introduction and the passage of </w:t>
            </w:r>
            <w:r w:rsidR="00B94742" w:rsidRPr="009F0207">
              <w:rPr>
                <w:szCs w:val="22"/>
                <w:lang w:eastAsia="en-US"/>
              </w:rPr>
              <w:t>b</w:t>
            </w:r>
            <w:r w:rsidRPr="009F0207">
              <w:rPr>
                <w:szCs w:val="22"/>
                <w:lang w:eastAsia="en-US"/>
              </w:rPr>
              <w:t xml:space="preserve">ills was 62 days, with each </w:t>
            </w:r>
            <w:r w:rsidR="00B94742" w:rsidRPr="009F0207">
              <w:rPr>
                <w:szCs w:val="22"/>
                <w:lang w:eastAsia="en-US"/>
              </w:rPr>
              <w:t>b</w:t>
            </w:r>
            <w:r w:rsidRPr="009F0207">
              <w:rPr>
                <w:szCs w:val="22"/>
                <w:lang w:eastAsia="en-US"/>
              </w:rPr>
              <w:t>ill, on average, being debated for 43 minutes.</w:t>
            </w:r>
          </w:p>
        </w:tc>
      </w:tr>
      <w:tr w:rsidR="00833E09" w:rsidRPr="00B46D7C" w:rsidTr="00B622F0">
        <w:trPr>
          <w:cnfStyle w:val="000000010000"/>
        </w:trPr>
        <w:tc>
          <w:tcPr>
            <w:tcW w:w="2943" w:type="dxa"/>
            <w:shd w:val="clear" w:color="auto" w:fill="C2D69B" w:themeFill="accent3" w:themeFillTint="99"/>
          </w:tcPr>
          <w:p w:rsidR="00833E09" w:rsidRDefault="00833E09" w:rsidP="00244E7C">
            <w:pPr>
              <w:pStyle w:val="Bodycopy"/>
              <w:keepNext w:val="0"/>
              <w:rPr>
                <w:szCs w:val="22"/>
                <w:lang w:eastAsia="en-US"/>
              </w:rPr>
            </w:pPr>
            <w:r>
              <w:rPr>
                <w:szCs w:val="22"/>
                <w:lang w:eastAsia="en-US"/>
              </w:rPr>
              <w:t>Opportunities for public input</w:t>
            </w:r>
          </w:p>
        </w:tc>
        <w:tc>
          <w:tcPr>
            <w:tcW w:w="6804" w:type="dxa"/>
            <w:shd w:val="clear" w:color="auto" w:fill="C2D69B" w:themeFill="accent3" w:themeFillTint="99"/>
          </w:tcPr>
          <w:p w:rsidR="00833E09" w:rsidRDefault="00833E09" w:rsidP="009F0207">
            <w:pPr>
              <w:pStyle w:val="Bodycopy"/>
              <w:keepNext w:val="0"/>
              <w:rPr>
                <w:szCs w:val="22"/>
                <w:lang w:eastAsia="en-US"/>
              </w:rPr>
            </w:pPr>
            <w:r>
              <w:rPr>
                <w:szCs w:val="22"/>
                <w:lang w:eastAsia="en-US"/>
              </w:rPr>
              <w:t xml:space="preserve">As can be seen </w:t>
            </w:r>
            <w:r w:rsidR="009F0207">
              <w:rPr>
                <w:szCs w:val="22"/>
                <w:lang w:eastAsia="en-US"/>
              </w:rPr>
              <w:t>in</w:t>
            </w:r>
            <w:r>
              <w:rPr>
                <w:szCs w:val="22"/>
                <w:lang w:eastAsia="en-US"/>
              </w:rPr>
              <w:t xml:space="preserve"> Attachment A, although all </w:t>
            </w:r>
            <w:r w:rsidR="00B94742">
              <w:rPr>
                <w:szCs w:val="22"/>
                <w:lang w:eastAsia="en-US"/>
              </w:rPr>
              <w:t>b</w:t>
            </w:r>
            <w:r>
              <w:rPr>
                <w:szCs w:val="22"/>
                <w:lang w:eastAsia="en-US"/>
              </w:rPr>
              <w:t xml:space="preserve">ills </w:t>
            </w:r>
            <w:r w:rsidR="00C34EDB">
              <w:rPr>
                <w:szCs w:val="22"/>
                <w:lang w:eastAsia="en-US"/>
              </w:rPr>
              <w:t xml:space="preserve">are examined by the </w:t>
            </w:r>
            <w:r>
              <w:rPr>
                <w:szCs w:val="22"/>
                <w:lang w:eastAsia="en-US"/>
              </w:rPr>
              <w:t>Scrutiny</w:t>
            </w:r>
            <w:r w:rsidR="00C34EDB">
              <w:rPr>
                <w:szCs w:val="22"/>
                <w:lang w:eastAsia="en-US"/>
              </w:rPr>
              <w:t xml:space="preserve"> of Bills</w:t>
            </w:r>
            <w:r>
              <w:rPr>
                <w:szCs w:val="22"/>
                <w:lang w:eastAsia="en-US"/>
              </w:rPr>
              <w:t xml:space="preserve"> Committee</w:t>
            </w:r>
            <w:r w:rsidR="00072132">
              <w:rPr>
                <w:szCs w:val="22"/>
                <w:lang w:eastAsia="en-US"/>
              </w:rPr>
              <w:t>,</w:t>
            </w:r>
            <w:r>
              <w:rPr>
                <w:szCs w:val="22"/>
                <w:lang w:eastAsia="en-US"/>
              </w:rPr>
              <w:t xml:space="preserve"> only seven percent of </w:t>
            </w:r>
            <w:r w:rsidR="00B94742">
              <w:rPr>
                <w:szCs w:val="22"/>
                <w:lang w:eastAsia="en-US"/>
              </w:rPr>
              <w:t>b</w:t>
            </w:r>
            <w:r>
              <w:rPr>
                <w:szCs w:val="22"/>
                <w:lang w:eastAsia="en-US"/>
              </w:rPr>
              <w:t>ills ha</w:t>
            </w:r>
            <w:r w:rsidR="00B94742">
              <w:rPr>
                <w:szCs w:val="22"/>
                <w:lang w:eastAsia="en-US"/>
              </w:rPr>
              <w:t>d</w:t>
            </w:r>
            <w:r>
              <w:rPr>
                <w:szCs w:val="22"/>
                <w:lang w:eastAsia="en-US"/>
              </w:rPr>
              <w:t xml:space="preserve"> been referred to Assembly</w:t>
            </w:r>
            <w:r w:rsidR="00C34EDB">
              <w:rPr>
                <w:szCs w:val="22"/>
                <w:lang w:eastAsia="en-US"/>
              </w:rPr>
              <w:t xml:space="preserve"> general purpose</w:t>
            </w:r>
            <w:r>
              <w:rPr>
                <w:szCs w:val="22"/>
                <w:lang w:eastAsia="en-US"/>
              </w:rPr>
              <w:t xml:space="preserve"> committees in 2015. </w:t>
            </w:r>
            <w:r w:rsidR="009F0207">
              <w:rPr>
                <w:szCs w:val="22"/>
                <w:lang w:eastAsia="en-US"/>
              </w:rPr>
              <w:t>T</w:t>
            </w:r>
            <w:r>
              <w:rPr>
                <w:szCs w:val="22"/>
                <w:lang w:eastAsia="en-US"/>
              </w:rPr>
              <w:t xml:space="preserve">he Speaker of the </w:t>
            </w:r>
            <w:r w:rsidR="009F0207">
              <w:rPr>
                <w:szCs w:val="22"/>
                <w:lang w:eastAsia="en-US"/>
              </w:rPr>
              <w:t xml:space="preserve">Eighth </w:t>
            </w:r>
            <w:r>
              <w:rPr>
                <w:szCs w:val="22"/>
                <w:lang w:eastAsia="en-US"/>
              </w:rPr>
              <w:t>Assembly has recently</w:t>
            </w:r>
            <w:r>
              <w:rPr>
                <w:rStyle w:val="FootnoteReference"/>
                <w:szCs w:val="22"/>
                <w:lang w:eastAsia="en-US"/>
              </w:rPr>
              <w:footnoteReference w:id="5"/>
            </w:r>
            <w:r>
              <w:rPr>
                <w:szCs w:val="22"/>
                <w:lang w:eastAsia="en-US"/>
              </w:rPr>
              <w:t xml:space="preserve"> flagged that there would be merit in an approach where all legislation is referred to the relevant Assembly standing committee for review.</w:t>
            </w:r>
          </w:p>
        </w:tc>
      </w:tr>
      <w:tr w:rsidR="00833E09" w:rsidRPr="00B46D7C" w:rsidTr="00B622F0">
        <w:trPr>
          <w:cnfStyle w:val="000000100000"/>
        </w:trPr>
        <w:tc>
          <w:tcPr>
            <w:tcW w:w="2943" w:type="dxa"/>
            <w:shd w:val="clear" w:color="auto" w:fill="FBD4B4" w:themeFill="accent6" w:themeFillTint="66"/>
          </w:tcPr>
          <w:p w:rsidR="00833E09" w:rsidRDefault="00833E09" w:rsidP="00244E7C">
            <w:pPr>
              <w:pStyle w:val="Bodycopy"/>
              <w:keepNext w:val="0"/>
              <w:rPr>
                <w:szCs w:val="22"/>
                <w:lang w:eastAsia="en-US"/>
              </w:rPr>
            </w:pPr>
            <w:r>
              <w:rPr>
                <w:szCs w:val="22"/>
                <w:lang w:eastAsia="en-US"/>
              </w:rPr>
              <w:t xml:space="preserve">There are opportunities to debate or enact private Members’ </w:t>
            </w:r>
            <w:r w:rsidR="00B94742">
              <w:rPr>
                <w:szCs w:val="22"/>
                <w:lang w:eastAsia="en-US"/>
              </w:rPr>
              <w:t>b</w:t>
            </w:r>
            <w:r>
              <w:rPr>
                <w:szCs w:val="22"/>
                <w:lang w:eastAsia="en-US"/>
              </w:rPr>
              <w:t>ills</w:t>
            </w:r>
          </w:p>
        </w:tc>
        <w:tc>
          <w:tcPr>
            <w:tcW w:w="6804" w:type="dxa"/>
            <w:shd w:val="clear" w:color="auto" w:fill="FBD4B4" w:themeFill="accent6" w:themeFillTint="66"/>
          </w:tcPr>
          <w:p w:rsidR="00833E09" w:rsidRDefault="00833E09" w:rsidP="009F0207">
            <w:pPr>
              <w:pStyle w:val="Bodycopy"/>
              <w:keepNext w:val="0"/>
              <w:rPr>
                <w:szCs w:val="22"/>
                <w:lang w:eastAsia="en-US"/>
              </w:rPr>
            </w:pPr>
            <w:r>
              <w:rPr>
                <w:szCs w:val="22"/>
                <w:lang w:eastAsia="en-US"/>
              </w:rPr>
              <w:t xml:space="preserve">As can be seen </w:t>
            </w:r>
            <w:r w:rsidR="009F0207">
              <w:rPr>
                <w:szCs w:val="22"/>
                <w:lang w:eastAsia="en-US"/>
              </w:rPr>
              <w:t xml:space="preserve">in </w:t>
            </w:r>
            <w:r>
              <w:rPr>
                <w:szCs w:val="22"/>
                <w:lang w:eastAsia="en-US"/>
              </w:rPr>
              <w:t xml:space="preserve">Attachment A, in 2015 six percent of all Bills enacted were private Members’ </w:t>
            </w:r>
            <w:r w:rsidR="004363ED">
              <w:rPr>
                <w:szCs w:val="22"/>
                <w:lang w:eastAsia="en-US"/>
              </w:rPr>
              <w:t>bills, which, although not high, still enable</w:t>
            </w:r>
            <w:r w:rsidR="00072132">
              <w:rPr>
                <w:szCs w:val="22"/>
                <w:lang w:eastAsia="en-US"/>
              </w:rPr>
              <w:t>s</w:t>
            </w:r>
            <w:r>
              <w:rPr>
                <w:szCs w:val="22"/>
                <w:lang w:eastAsia="en-US"/>
              </w:rPr>
              <w:t xml:space="preserve"> the legislature to have an effective law making capacity.</w:t>
            </w:r>
          </w:p>
        </w:tc>
      </w:tr>
      <w:tr w:rsidR="00833E09" w:rsidRPr="00B46D7C" w:rsidTr="000271FD">
        <w:trPr>
          <w:cnfStyle w:val="000000010000"/>
          <w:cantSplit/>
        </w:trPr>
        <w:tc>
          <w:tcPr>
            <w:tcW w:w="2943" w:type="dxa"/>
            <w:shd w:val="clear" w:color="auto" w:fill="C2D69B" w:themeFill="accent3" w:themeFillTint="99"/>
          </w:tcPr>
          <w:p w:rsidR="00833E09" w:rsidRDefault="00833E09" w:rsidP="000271FD">
            <w:pPr>
              <w:pStyle w:val="Bodycopy"/>
              <w:keepNext w:val="0"/>
              <w:rPr>
                <w:szCs w:val="22"/>
                <w:lang w:eastAsia="en-US"/>
              </w:rPr>
            </w:pPr>
            <w:r>
              <w:rPr>
                <w:szCs w:val="22"/>
                <w:lang w:eastAsia="en-US"/>
              </w:rPr>
              <w:t xml:space="preserve">There are opportunities for non-Executive amendments to </w:t>
            </w:r>
            <w:r w:rsidR="00B94742">
              <w:rPr>
                <w:szCs w:val="22"/>
                <w:lang w:eastAsia="en-US"/>
              </w:rPr>
              <w:t>b</w:t>
            </w:r>
            <w:r>
              <w:rPr>
                <w:szCs w:val="22"/>
                <w:lang w:eastAsia="en-US"/>
              </w:rPr>
              <w:t>ills</w:t>
            </w:r>
          </w:p>
        </w:tc>
        <w:tc>
          <w:tcPr>
            <w:tcW w:w="6804" w:type="dxa"/>
            <w:shd w:val="clear" w:color="auto" w:fill="C2D69B" w:themeFill="accent3" w:themeFillTint="99"/>
          </w:tcPr>
          <w:p w:rsidR="00833E09" w:rsidRDefault="00833E09" w:rsidP="000271FD">
            <w:pPr>
              <w:pStyle w:val="Bodycopy"/>
              <w:keepNext w:val="0"/>
              <w:rPr>
                <w:szCs w:val="22"/>
                <w:lang w:eastAsia="en-US"/>
              </w:rPr>
            </w:pPr>
            <w:r>
              <w:rPr>
                <w:szCs w:val="22"/>
                <w:lang w:eastAsia="en-US"/>
              </w:rPr>
              <w:t xml:space="preserve">As can be seen </w:t>
            </w:r>
            <w:r w:rsidR="009F0207">
              <w:rPr>
                <w:szCs w:val="22"/>
                <w:lang w:eastAsia="en-US"/>
              </w:rPr>
              <w:t xml:space="preserve">in </w:t>
            </w:r>
            <w:r>
              <w:rPr>
                <w:szCs w:val="22"/>
                <w:lang w:eastAsia="en-US"/>
              </w:rPr>
              <w:t>Attachment A, 14 percent of amendments to Bills in 2015 were from non-</w:t>
            </w:r>
            <w:r w:rsidR="00B94742">
              <w:rPr>
                <w:szCs w:val="22"/>
                <w:lang w:eastAsia="en-US"/>
              </w:rPr>
              <w:t>e</w:t>
            </w:r>
            <w:r>
              <w:rPr>
                <w:szCs w:val="22"/>
                <w:lang w:eastAsia="en-US"/>
              </w:rPr>
              <w:t>xecutive Members.</w:t>
            </w:r>
          </w:p>
        </w:tc>
      </w:tr>
    </w:tbl>
    <w:p w:rsidR="00060342" w:rsidRPr="004363ED" w:rsidRDefault="00060342" w:rsidP="00DA41E5">
      <w:pPr>
        <w:pStyle w:val="Heading3"/>
        <w:keepLines/>
        <w:spacing w:before="240" w:after="240"/>
        <w:rPr>
          <w:b/>
        </w:rPr>
      </w:pPr>
      <w:r w:rsidRPr="004363ED">
        <w:rPr>
          <w:b/>
        </w:rPr>
        <w:t>Latimer House Principle 9 – Oversight of government</w:t>
      </w:r>
    </w:p>
    <w:p w:rsidR="00060342" w:rsidRPr="00060342" w:rsidRDefault="00060342" w:rsidP="00060342">
      <w:pPr>
        <w:pStyle w:val="Bodycopy"/>
        <w:rPr>
          <w:i/>
          <w:sz w:val="24"/>
          <w:szCs w:val="24"/>
        </w:rPr>
      </w:pPr>
      <w:r w:rsidRPr="00060342">
        <w:rPr>
          <w:i/>
          <w:sz w:val="24"/>
          <w:szCs w:val="24"/>
        </w:rPr>
        <w:t>A transparent and accountable government, together with freedom of expression, encourages the full participation of its citizens in the democratic process. Steps which may be taken to encourage public sector accountability include:</w:t>
      </w:r>
    </w:p>
    <w:p w:rsidR="00060342" w:rsidRDefault="00060342" w:rsidP="00E03F13">
      <w:pPr>
        <w:pStyle w:val="Bodycopy"/>
        <w:keepLines/>
        <w:numPr>
          <w:ilvl w:val="0"/>
          <w:numId w:val="36"/>
        </w:numPr>
        <w:tabs>
          <w:tab w:val="left" w:pos="567"/>
        </w:tabs>
        <w:ind w:left="567" w:hanging="567"/>
        <w:rPr>
          <w:i/>
          <w:sz w:val="24"/>
          <w:szCs w:val="24"/>
        </w:rPr>
      </w:pPr>
      <w:r w:rsidRPr="00060342">
        <w:rPr>
          <w:i/>
          <w:sz w:val="24"/>
          <w:szCs w:val="24"/>
        </w:rPr>
        <w:t>The establishment of scrutiny bodies and mechanisms to oversee government, enhances public confidence in the integrity and acceptability of government’s activities. Independent bodies such as public accounts committees, ombudsmen, human rights commissions, auditors-general, anti-corruption commissions, information commissioners and similar oversight institutions can play a key role in enhancing public awareness of good governance and rule of law issues.  Governments are encouraged to establish or enhance appropriate oversight bodies in accordance with national circumstances.</w:t>
      </w:r>
    </w:p>
    <w:p w:rsidR="00060342" w:rsidRPr="00060342" w:rsidRDefault="00060342" w:rsidP="00060342">
      <w:pPr>
        <w:pStyle w:val="Bodycopy"/>
        <w:rPr>
          <w:i/>
          <w:sz w:val="24"/>
          <w:szCs w:val="24"/>
        </w:rPr>
      </w:pPr>
      <w:r w:rsidRPr="00060342">
        <w:rPr>
          <w:i/>
          <w:sz w:val="24"/>
          <w:szCs w:val="24"/>
        </w:rPr>
        <w:t>Parliaments and governments should recognise the role that civil society plays in the implementation of the Commonwealth’s fundamental values and should strive for a constructive relationship with civil society to ensure that there is broader opportunity for lawful participation in the democratic process.</w:t>
      </w:r>
    </w:p>
    <w:p w:rsidR="00060342" w:rsidRPr="00060342" w:rsidRDefault="00060342" w:rsidP="00060342">
      <w:pPr>
        <w:pStyle w:val="Bodycopy"/>
        <w:keepNext w:val="0"/>
        <w:rPr>
          <w:sz w:val="24"/>
          <w:szCs w:val="24"/>
          <w:lang w:eastAsia="en-US"/>
        </w:rPr>
      </w:pPr>
      <w:r w:rsidRPr="00060342">
        <w:rPr>
          <w:sz w:val="24"/>
          <w:szCs w:val="24"/>
          <w:lang w:eastAsia="en-US"/>
        </w:rPr>
        <w:t xml:space="preserve">The establishment of independent scrutiny bodies and mechanisms to oversee government is an important part of ensuring ethical governance. Most legislatures across Australia have such bodies as can be seen </w:t>
      </w:r>
      <w:r w:rsidR="009F0207">
        <w:rPr>
          <w:sz w:val="24"/>
          <w:szCs w:val="24"/>
          <w:lang w:eastAsia="en-US"/>
        </w:rPr>
        <w:t>in Table 4.</w:t>
      </w:r>
    </w:p>
    <w:p w:rsidR="00060342" w:rsidRPr="00060342" w:rsidRDefault="00060342" w:rsidP="00060342">
      <w:pPr>
        <w:pStyle w:val="Bodycopy"/>
        <w:rPr>
          <w:b/>
          <w:szCs w:val="22"/>
          <w:lang w:eastAsia="en-US"/>
        </w:rPr>
      </w:pPr>
      <w:r w:rsidRPr="00060342">
        <w:rPr>
          <w:b/>
          <w:szCs w:val="22"/>
          <w:lang w:eastAsia="en-US"/>
        </w:rPr>
        <w:t>Table 4</w:t>
      </w:r>
      <w:r w:rsidR="009F0207">
        <w:rPr>
          <w:b/>
          <w:szCs w:val="22"/>
          <w:lang w:eastAsia="en-US"/>
        </w:rPr>
        <w:tab/>
      </w:r>
      <w:r w:rsidR="009F0207">
        <w:rPr>
          <w:b/>
          <w:szCs w:val="22"/>
          <w:lang w:eastAsia="en-US"/>
        </w:rPr>
        <w:tab/>
        <w:t>Independent scrutiny bodies and mechanisms in Australian legislatures</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57" w:type="dxa"/>
          <w:right w:w="57" w:type="dxa"/>
        </w:tblCellMar>
        <w:tblLook w:val="04A0"/>
      </w:tblPr>
      <w:tblGrid>
        <w:gridCol w:w="2496"/>
        <w:gridCol w:w="725"/>
        <w:gridCol w:w="725"/>
        <w:gridCol w:w="725"/>
        <w:gridCol w:w="726"/>
        <w:gridCol w:w="728"/>
        <w:gridCol w:w="726"/>
        <w:gridCol w:w="726"/>
        <w:gridCol w:w="726"/>
        <w:gridCol w:w="726"/>
        <w:gridCol w:w="724"/>
      </w:tblGrid>
      <w:tr w:rsidR="00060342" w:rsidRPr="00576FC2" w:rsidTr="000271FD">
        <w:trPr>
          <w:trHeight w:val="575"/>
        </w:trPr>
        <w:tc>
          <w:tcPr>
            <w:tcW w:w="1280" w:type="pct"/>
            <w:tcBorders>
              <w:top w:val="single" w:sz="4" w:space="0" w:color="000000"/>
              <w:bottom w:val="single" w:sz="4" w:space="0" w:color="000000"/>
            </w:tcBorders>
            <w:shd w:val="clear" w:color="000000" w:fill="FFFFFF"/>
            <w:vAlign w:val="center"/>
            <w:hideMark/>
          </w:tcPr>
          <w:p w:rsidR="00060342" w:rsidRPr="00576FC2" w:rsidRDefault="00060342" w:rsidP="00060342">
            <w:pPr>
              <w:rPr>
                <w:color w:val="222222"/>
                <w:szCs w:val="22"/>
              </w:rPr>
            </w:pPr>
            <w:r w:rsidRPr="00576FC2">
              <w:rPr>
                <w:b/>
                <w:bCs/>
                <w:color w:val="222222"/>
                <w:szCs w:val="22"/>
              </w:rPr>
              <w:t>Jurisdiction</w:t>
            </w:r>
          </w:p>
        </w:tc>
        <w:tc>
          <w:tcPr>
            <w:tcW w:w="372" w:type="pct"/>
            <w:tcBorders>
              <w:top w:val="single" w:sz="4" w:space="0" w:color="000000"/>
              <w:bottom w:val="single" w:sz="4" w:space="0" w:color="000000"/>
            </w:tcBorders>
            <w:shd w:val="clear" w:color="000000" w:fill="FFFFFF"/>
            <w:vAlign w:val="center"/>
            <w:hideMark/>
          </w:tcPr>
          <w:p w:rsidR="00060342" w:rsidRPr="00E63D62" w:rsidRDefault="00060342" w:rsidP="00060342">
            <w:pPr>
              <w:jc w:val="center"/>
              <w:rPr>
                <w:b/>
                <w:color w:val="17365D"/>
                <w:szCs w:val="22"/>
              </w:rPr>
            </w:pPr>
            <w:r w:rsidRPr="00E63D62">
              <w:rPr>
                <w:b/>
                <w:color w:val="17365D"/>
                <w:szCs w:val="22"/>
              </w:rPr>
              <w:t>Cwlth</w:t>
            </w:r>
          </w:p>
        </w:tc>
        <w:tc>
          <w:tcPr>
            <w:tcW w:w="372" w:type="pct"/>
            <w:tcBorders>
              <w:top w:val="single" w:sz="4" w:space="0" w:color="000000"/>
              <w:bottom w:val="single" w:sz="4" w:space="0" w:color="000000"/>
            </w:tcBorders>
            <w:shd w:val="clear" w:color="000000" w:fill="FFFFFF"/>
            <w:vAlign w:val="center"/>
            <w:hideMark/>
          </w:tcPr>
          <w:p w:rsidR="00060342" w:rsidRPr="00E63D62" w:rsidRDefault="00060342" w:rsidP="00060342">
            <w:pPr>
              <w:jc w:val="center"/>
              <w:rPr>
                <w:b/>
                <w:color w:val="17365D"/>
                <w:szCs w:val="22"/>
              </w:rPr>
            </w:pPr>
            <w:r w:rsidRPr="00E63D62">
              <w:rPr>
                <w:b/>
                <w:color w:val="17365D"/>
                <w:szCs w:val="22"/>
              </w:rPr>
              <w:t>NZ</w:t>
            </w:r>
          </w:p>
        </w:tc>
        <w:tc>
          <w:tcPr>
            <w:tcW w:w="372" w:type="pct"/>
            <w:tcBorders>
              <w:top w:val="single" w:sz="4" w:space="0" w:color="000000"/>
              <w:bottom w:val="single" w:sz="4" w:space="0" w:color="000000"/>
            </w:tcBorders>
            <w:shd w:val="clear" w:color="000000" w:fill="FFFFFF"/>
            <w:vAlign w:val="center"/>
            <w:hideMark/>
          </w:tcPr>
          <w:p w:rsidR="00060342" w:rsidRPr="00E63D62" w:rsidRDefault="00060342" w:rsidP="00060342">
            <w:pPr>
              <w:jc w:val="center"/>
              <w:rPr>
                <w:b/>
                <w:color w:val="17365D"/>
                <w:szCs w:val="22"/>
              </w:rPr>
            </w:pPr>
            <w:r w:rsidRPr="00E63D62">
              <w:rPr>
                <w:b/>
                <w:color w:val="17365D"/>
                <w:szCs w:val="22"/>
              </w:rPr>
              <w:t>NSW</w:t>
            </w:r>
          </w:p>
        </w:tc>
        <w:tc>
          <w:tcPr>
            <w:tcW w:w="372" w:type="pct"/>
            <w:tcBorders>
              <w:top w:val="single" w:sz="4" w:space="0" w:color="000000"/>
              <w:bottom w:val="single" w:sz="4" w:space="0" w:color="000000"/>
            </w:tcBorders>
            <w:shd w:val="clear" w:color="000000" w:fill="FFFFFF"/>
            <w:vAlign w:val="center"/>
            <w:hideMark/>
          </w:tcPr>
          <w:p w:rsidR="00060342" w:rsidRPr="00E63D62" w:rsidRDefault="00060342" w:rsidP="00060342">
            <w:pPr>
              <w:jc w:val="center"/>
              <w:rPr>
                <w:b/>
                <w:color w:val="17365D"/>
                <w:szCs w:val="22"/>
              </w:rPr>
            </w:pPr>
            <w:r w:rsidRPr="00E63D62">
              <w:rPr>
                <w:b/>
                <w:color w:val="17365D"/>
                <w:szCs w:val="22"/>
              </w:rPr>
              <w:t>Vic</w:t>
            </w:r>
          </w:p>
        </w:tc>
        <w:tc>
          <w:tcPr>
            <w:tcW w:w="373" w:type="pct"/>
            <w:tcBorders>
              <w:top w:val="single" w:sz="4" w:space="0" w:color="000000"/>
              <w:bottom w:val="single" w:sz="4" w:space="0" w:color="000000"/>
            </w:tcBorders>
            <w:shd w:val="clear" w:color="000000" w:fill="FFFFFF"/>
            <w:vAlign w:val="center"/>
            <w:hideMark/>
          </w:tcPr>
          <w:p w:rsidR="00060342" w:rsidRPr="00E63D62" w:rsidRDefault="00060342" w:rsidP="00060342">
            <w:pPr>
              <w:jc w:val="center"/>
              <w:rPr>
                <w:b/>
                <w:color w:val="17365D"/>
                <w:szCs w:val="22"/>
              </w:rPr>
            </w:pPr>
            <w:r>
              <w:rPr>
                <w:b/>
                <w:color w:val="17365D"/>
                <w:szCs w:val="22"/>
              </w:rPr>
              <w:t>Qld</w:t>
            </w:r>
          </w:p>
        </w:tc>
        <w:tc>
          <w:tcPr>
            <w:tcW w:w="372" w:type="pct"/>
            <w:tcBorders>
              <w:top w:val="single" w:sz="4" w:space="0" w:color="000000"/>
              <w:bottom w:val="single" w:sz="4" w:space="0" w:color="000000"/>
            </w:tcBorders>
            <w:shd w:val="clear" w:color="000000" w:fill="FFFFFF"/>
            <w:vAlign w:val="center"/>
            <w:hideMark/>
          </w:tcPr>
          <w:p w:rsidR="00060342" w:rsidRPr="00E63D62" w:rsidRDefault="00060342" w:rsidP="00060342">
            <w:pPr>
              <w:jc w:val="center"/>
              <w:rPr>
                <w:b/>
                <w:color w:val="17365D"/>
                <w:szCs w:val="22"/>
              </w:rPr>
            </w:pPr>
            <w:r w:rsidRPr="00E63D62">
              <w:rPr>
                <w:b/>
                <w:color w:val="17365D"/>
                <w:szCs w:val="22"/>
              </w:rPr>
              <w:t>SA</w:t>
            </w:r>
          </w:p>
        </w:tc>
        <w:tc>
          <w:tcPr>
            <w:tcW w:w="372" w:type="pct"/>
            <w:tcBorders>
              <w:top w:val="single" w:sz="4" w:space="0" w:color="000000"/>
              <w:bottom w:val="single" w:sz="4" w:space="0" w:color="000000"/>
            </w:tcBorders>
            <w:shd w:val="clear" w:color="000000" w:fill="FFFFFF"/>
            <w:vAlign w:val="center"/>
            <w:hideMark/>
          </w:tcPr>
          <w:p w:rsidR="00060342" w:rsidRPr="00E63D62" w:rsidRDefault="00060342" w:rsidP="00060342">
            <w:pPr>
              <w:jc w:val="center"/>
              <w:rPr>
                <w:b/>
                <w:color w:val="17365D"/>
                <w:szCs w:val="22"/>
              </w:rPr>
            </w:pPr>
            <w:r w:rsidRPr="00E63D62">
              <w:rPr>
                <w:b/>
                <w:color w:val="17365D"/>
                <w:szCs w:val="22"/>
              </w:rPr>
              <w:t>WA</w:t>
            </w:r>
          </w:p>
        </w:tc>
        <w:tc>
          <w:tcPr>
            <w:tcW w:w="372" w:type="pct"/>
            <w:tcBorders>
              <w:top w:val="single" w:sz="4" w:space="0" w:color="000000"/>
              <w:bottom w:val="single" w:sz="4" w:space="0" w:color="000000"/>
            </w:tcBorders>
            <w:shd w:val="clear" w:color="000000" w:fill="FFFFFF"/>
            <w:vAlign w:val="center"/>
            <w:hideMark/>
          </w:tcPr>
          <w:p w:rsidR="00060342" w:rsidRPr="00E63D62" w:rsidRDefault="00060342" w:rsidP="00060342">
            <w:pPr>
              <w:jc w:val="center"/>
              <w:rPr>
                <w:b/>
                <w:color w:val="17365D"/>
                <w:szCs w:val="22"/>
              </w:rPr>
            </w:pPr>
            <w:r>
              <w:rPr>
                <w:b/>
                <w:color w:val="17365D"/>
                <w:szCs w:val="22"/>
              </w:rPr>
              <w:t>Tas</w:t>
            </w:r>
          </w:p>
        </w:tc>
        <w:tc>
          <w:tcPr>
            <w:tcW w:w="372" w:type="pct"/>
            <w:tcBorders>
              <w:top w:val="single" w:sz="4" w:space="0" w:color="000000"/>
              <w:bottom w:val="single" w:sz="4" w:space="0" w:color="000000"/>
            </w:tcBorders>
            <w:shd w:val="clear" w:color="000000" w:fill="FFFFFF"/>
            <w:vAlign w:val="center"/>
            <w:hideMark/>
          </w:tcPr>
          <w:p w:rsidR="00060342" w:rsidRPr="00E63D62" w:rsidRDefault="00060342" w:rsidP="00060342">
            <w:pPr>
              <w:jc w:val="center"/>
              <w:rPr>
                <w:b/>
                <w:color w:val="17365D"/>
                <w:szCs w:val="22"/>
              </w:rPr>
            </w:pPr>
            <w:r w:rsidRPr="00E63D62">
              <w:rPr>
                <w:b/>
                <w:color w:val="17365D"/>
                <w:szCs w:val="22"/>
              </w:rPr>
              <w:t>NT</w:t>
            </w:r>
          </w:p>
        </w:tc>
        <w:tc>
          <w:tcPr>
            <w:tcW w:w="371" w:type="pct"/>
            <w:tcBorders>
              <w:top w:val="single" w:sz="4" w:space="0" w:color="000000"/>
              <w:bottom w:val="single" w:sz="4" w:space="0" w:color="000000"/>
            </w:tcBorders>
            <w:shd w:val="clear" w:color="000000" w:fill="FFFFFF"/>
            <w:vAlign w:val="center"/>
            <w:hideMark/>
          </w:tcPr>
          <w:p w:rsidR="00060342" w:rsidRPr="00E63D62" w:rsidRDefault="00060342" w:rsidP="00060342">
            <w:pPr>
              <w:jc w:val="center"/>
              <w:rPr>
                <w:b/>
                <w:color w:val="17365D"/>
                <w:szCs w:val="22"/>
              </w:rPr>
            </w:pPr>
            <w:r w:rsidRPr="00E63D62">
              <w:rPr>
                <w:b/>
                <w:color w:val="17365D"/>
                <w:szCs w:val="22"/>
              </w:rPr>
              <w:t>ACT</w:t>
            </w:r>
          </w:p>
        </w:tc>
      </w:tr>
      <w:tr w:rsidR="00C34EDB" w:rsidRPr="00576FC2" w:rsidTr="00C34EDB">
        <w:trPr>
          <w:trHeight w:val="680"/>
        </w:trPr>
        <w:tc>
          <w:tcPr>
            <w:tcW w:w="1280" w:type="pct"/>
            <w:tcBorders>
              <w:top w:val="single" w:sz="4" w:space="0" w:color="000000"/>
            </w:tcBorders>
            <w:shd w:val="clear" w:color="000000" w:fill="FFFFFF"/>
            <w:vAlign w:val="center"/>
            <w:hideMark/>
          </w:tcPr>
          <w:p w:rsidR="00C34EDB" w:rsidRPr="00576FC2" w:rsidRDefault="00C34EDB" w:rsidP="00060342">
            <w:pPr>
              <w:rPr>
                <w:b/>
                <w:bCs/>
                <w:color w:val="222222"/>
                <w:szCs w:val="22"/>
              </w:rPr>
            </w:pPr>
            <w:r w:rsidRPr="00576FC2">
              <w:rPr>
                <w:b/>
                <w:bCs/>
                <w:color w:val="222222"/>
                <w:szCs w:val="22"/>
              </w:rPr>
              <w:t>Ethics adviser</w:t>
            </w:r>
          </w:p>
        </w:tc>
        <w:tc>
          <w:tcPr>
            <w:tcW w:w="372" w:type="pct"/>
            <w:tcBorders>
              <w:top w:val="single" w:sz="4" w:space="0" w:color="000000"/>
            </w:tcBorders>
            <w:shd w:val="clear" w:color="000000" w:fill="FBD4B4"/>
            <w:vAlign w:val="center"/>
            <w:hideMark/>
          </w:tcPr>
          <w:p w:rsidR="00C34EDB" w:rsidRPr="00576FC2" w:rsidRDefault="00C34EDB" w:rsidP="00060342">
            <w:pPr>
              <w:jc w:val="center"/>
              <w:rPr>
                <w:color w:val="17365D"/>
                <w:szCs w:val="22"/>
              </w:rPr>
            </w:pPr>
            <w:r w:rsidRPr="00576FC2">
              <w:rPr>
                <w:color w:val="17365D"/>
                <w:szCs w:val="22"/>
              </w:rPr>
              <w:t>No</w:t>
            </w:r>
          </w:p>
        </w:tc>
        <w:tc>
          <w:tcPr>
            <w:tcW w:w="372" w:type="pct"/>
            <w:tcBorders>
              <w:top w:val="single" w:sz="4" w:space="0" w:color="000000"/>
            </w:tcBorders>
            <w:shd w:val="clear" w:color="000000" w:fill="FBD4B4"/>
            <w:vAlign w:val="center"/>
            <w:hideMark/>
          </w:tcPr>
          <w:p w:rsidR="00C34EDB" w:rsidRPr="00576FC2" w:rsidRDefault="00C34EDB" w:rsidP="00060342">
            <w:pPr>
              <w:jc w:val="center"/>
              <w:rPr>
                <w:color w:val="17365D"/>
                <w:szCs w:val="22"/>
              </w:rPr>
            </w:pPr>
            <w:r w:rsidRPr="00576FC2">
              <w:rPr>
                <w:color w:val="17365D"/>
                <w:szCs w:val="22"/>
              </w:rPr>
              <w:t>No</w:t>
            </w:r>
          </w:p>
        </w:tc>
        <w:tc>
          <w:tcPr>
            <w:tcW w:w="372" w:type="pct"/>
            <w:tcBorders>
              <w:top w:val="single" w:sz="4" w:space="0" w:color="000000"/>
            </w:tcBorders>
            <w:shd w:val="clear" w:color="000000" w:fill="C2D69B"/>
            <w:vAlign w:val="center"/>
            <w:hideMark/>
          </w:tcPr>
          <w:p w:rsidR="00C34EDB" w:rsidRPr="00576FC2" w:rsidRDefault="00C34EDB" w:rsidP="00060342">
            <w:pPr>
              <w:jc w:val="center"/>
              <w:rPr>
                <w:color w:val="17365D"/>
                <w:szCs w:val="22"/>
              </w:rPr>
            </w:pPr>
            <w:r w:rsidRPr="00576FC2">
              <w:rPr>
                <w:color w:val="17365D"/>
                <w:szCs w:val="22"/>
              </w:rPr>
              <w:t>Yes</w:t>
            </w:r>
          </w:p>
        </w:tc>
        <w:tc>
          <w:tcPr>
            <w:tcW w:w="372" w:type="pct"/>
            <w:tcBorders>
              <w:top w:val="single" w:sz="4" w:space="0" w:color="000000"/>
            </w:tcBorders>
            <w:shd w:val="clear" w:color="auto" w:fill="FBD4B4" w:themeFill="accent6" w:themeFillTint="66"/>
            <w:vAlign w:val="center"/>
            <w:hideMark/>
          </w:tcPr>
          <w:p w:rsidR="00C34EDB" w:rsidRPr="00576FC2" w:rsidRDefault="00C34EDB" w:rsidP="00060342">
            <w:pPr>
              <w:jc w:val="center"/>
              <w:rPr>
                <w:color w:val="17365D"/>
                <w:szCs w:val="22"/>
              </w:rPr>
            </w:pPr>
            <w:r>
              <w:rPr>
                <w:color w:val="17365D"/>
                <w:szCs w:val="22"/>
              </w:rPr>
              <w:t>No</w:t>
            </w:r>
          </w:p>
        </w:tc>
        <w:tc>
          <w:tcPr>
            <w:tcW w:w="373" w:type="pct"/>
            <w:tcBorders>
              <w:top w:val="single" w:sz="4" w:space="0" w:color="000000"/>
            </w:tcBorders>
            <w:shd w:val="clear" w:color="auto" w:fill="C2D69B" w:themeFill="accent3" w:themeFillTint="99"/>
            <w:vAlign w:val="center"/>
            <w:hideMark/>
          </w:tcPr>
          <w:p w:rsidR="00C34EDB" w:rsidRPr="00576FC2" w:rsidRDefault="00C34EDB" w:rsidP="00244E7C">
            <w:pPr>
              <w:jc w:val="center"/>
              <w:rPr>
                <w:color w:val="17365D"/>
                <w:szCs w:val="22"/>
              </w:rPr>
            </w:pPr>
            <w:r w:rsidRPr="00576FC2">
              <w:rPr>
                <w:color w:val="17365D"/>
                <w:szCs w:val="22"/>
              </w:rPr>
              <w:t>Yes</w:t>
            </w:r>
          </w:p>
        </w:tc>
        <w:tc>
          <w:tcPr>
            <w:tcW w:w="372" w:type="pct"/>
            <w:tcBorders>
              <w:top w:val="single" w:sz="4" w:space="0" w:color="000000"/>
            </w:tcBorders>
            <w:shd w:val="clear" w:color="000000" w:fill="FBD4B4"/>
            <w:vAlign w:val="center"/>
            <w:hideMark/>
          </w:tcPr>
          <w:p w:rsidR="00C34EDB" w:rsidRPr="00576FC2" w:rsidRDefault="00C34EDB" w:rsidP="00060342">
            <w:pPr>
              <w:jc w:val="center"/>
              <w:rPr>
                <w:color w:val="17365D"/>
                <w:szCs w:val="22"/>
              </w:rPr>
            </w:pPr>
            <w:r w:rsidRPr="00576FC2">
              <w:rPr>
                <w:color w:val="17365D"/>
                <w:szCs w:val="22"/>
              </w:rPr>
              <w:t>No</w:t>
            </w:r>
          </w:p>
        </w:tc>
        <w:tc>
          <w:tcPr>
            <w:tcW w:w="372" w:type="pct"/>
            <w:tcBorders>
              <w:top w:val="single" w:sz="4" w:space="0" w:color="000000"/>
            </w:tcBorders>
            <w:shd w:val="clear" w:color="000000" w:fill="C2D69B"/>
            <w:vAlign w:val="center"/>
            <w:hideMark/>
          </w:tcPr>
          <w:p w:rsidR="00C34EDB" w:rsidRPr="00576FC2" w:rsidRDefault="00C34EDB" w:rsidP="00060342">
            <w:pPr>
              <w:jc w:val="center"/>
              <w:rPr>
                <w:color w:val="17365D"/>
                <w:szCs w:val="22"/>
              </w:rPr>
            </w:pPr>
            <w:r w:rsidRPr="00576FC2">
              <w:rPr>
                <w:color w:val="17365D"/>
                <w:szCs w:val="22"/>
              </w:rPr>
              <w:t>Yes</w:t>
            </w:r>
          </w:p>
        </w:tc>
        <w:tc>
          <w:tcPr>
            <w:tcW w:w="372" w:type="pct"/>
            <w:tcBorders>
              <w:top w:val="single" w:sz="4" w:space="0" w:color="000000"/>
            </w:tcBorders>
            <w:shd w:val="clear" w:color="000000" w:fill="C2D69B"/>
            <w:vAlign w:val="center"/>
            <w:hideMark/>
          </w:tcPr>
          <w:p w:rsidR="00C34EDB" w:rsidRPr="00576FC2" w:rsidRDefault="00C34EDB" w:rsidP="00060342">
            <w:pPr>
              <w:jc w:val="center"/>
              <w:rPr>
                <w:color w:val="17365D"/>
                <w:szCs w:val="22"/>
              </w:rPr>
            </w:pPr>
            <w:r w:rsidRPr="00576FC2">
              <w:rPr>
                <w:color w:val="17365D"/>
                <w:szCs w:val="22"/>
              </w:rPr>
              <w:t>Yes</w:t>
            </w:r>
          </w:p>
        </w:tc>
        <w:tc>
          <w:tcPr>
            <w:tcW w:w="372" w:type="pct"/>
            <w:tcBorders>
              <w:top w:val="single" w:sz="4" w:space="0" w:color="000000"/>
            </w:tcBorders>
            <w:shd w:val="clear" w:color="000000" w:fill="FBD4B4"/>
            <w:vAlign w:val="center"/>
            <w:hideMark/>
          </w:tcPr>
          <w:p w:rsidR="00C34EDB" w:rsidRPr="00576FC2" w:rsidRDefault="00C34EDB" w:rsidP="00060342">
            <w:pPr>
              <w:jc w:val="center"/>
              <w:rPr>
                <w:color w:val="17365D"/>
                <w:szCs w:val="22"/>
              </w:rPr>
            </w:pPr>
            <w:r w:rsidRPr="00576FC2">
              <w:rPr>
                <w:color w:val="17365D"/>
                <w:szCs w:val="22"/>
              </w:rPr>
              <w:t>No</w:t>
            </w:r>
          </w:p>
        </w:tc>
        <w:tc>
          <w:tcPr>
            <w:tcW w:w="371" w:type="pct"/>
            <w:tcBorders>
              <w:top w:val="single" w:sz="4" w:space="0" w:color="000000"/>
            </w:tcBorders>
            <w:shd w:val="clear" w:color="000000" w:fill="C2D69B"/>
            <w:vAlign w:val="center"/>
            <w:hideMark/>
          </w:tcPr>
          <w:p w:rsidR="00C34EDB" w:rsidRPr="00576FC2" w:rsidRDefault="00C34EDB" w:rsidP="00060342">
            <w:pPr>
              <w:jc w:val="center"/>
              <w:rPr>
                <w:color w:val="17365D"/>
                <w:szCs w:val="22"/>
              </w:rPr>
            </w:pPr>
            <w:r w:rsidRPr="00576FC2">
              <w:rPr>
                <w:color w:val="17365D"/>
                <w:szCs w:val="22"/>
              </w:rPr>
              <w:t>Yes</w:t>
            </w:r>
          </w:p>
        </w:tc>
      </w:tr>
      <w:tr w:rsidR="00060342" w:rsidRPr="00576FC2" w:rsidTr="00B622F0">
        <w:trPr>
          <w:trHeight w:val="680"/>
        </w:trPr>
        <w:tc>
          <w:tcPr>
            <w:tcW w:w="1280" w:type="pct"/>
            <w:shd w:val="clear" w:color="000000" w:fill="FFFFFF"/>
            <w:vAlign w:val="center"/>
            <w:hideMark/>
          </w:tcPr>
          <w:p w:rsidR="00060342" w:rsidRPr="00576FC2" w:rsidRDefault="00060342" w:rsidP="00060342">
            <w:pPr>
              <w:rPr>
                <w:b/>
                <w:bCs/>
                <w:color w:val="222222"/>
                <w:szCs w:val="22"/>
              </w:rPr>
            </w:pPr>
            <w:r w:rsidRPr="00576FC2">
              <w:rPr>
                <w:b/>
                <w:bCs/>
                <w:color w:val="222222"/>
                <w:szCs w:val="22"/>
              </w:rPr>
              <w:t>Officers of parliament</w:t>
            </w:r>
          </w:p>
        </w:tc>
        <w:tc>
          <w:tcPr>
            <w:tcW w:w="372" w:type="pct"/>
            <w:shd w:val="clear" w:color="000000" w:fill="C2D69B"/>
            <w:vAlign w:val="center"/>
            <w:hideMark/>
          </w:tcPr>
          <w:p w:rsidR="00060342" w:rsidRPr="00576FC2" w:rsidRDefault="00060342" w:rsidP="00060342">
            <w:pPr>
              <w:jc w:val="center"/>
              <w:rPr>
                <w:color w:val="17365D"/>
                <w:szCs w:val="22"/>
              </w:rPr>
            </w:pPr>
            <w:r w:rsidRPr="00576FC2">
              <w:rPr>
                <w:color w:val="17365D"/>
                <w:szCs w:val="22"/>
              </w:rPr>
              <w:t>Yes</w:t>
            </w:r>
          </w:p>
        </w:tc>
        <w:tc>
          <w:tcPr>
            <w:tcW w:w="372" w:type="pct"/>
            <w:shd w:val="clear" w:color="000000" w:fill="C2D69B"/>
            <w:vAlign w:val="center"/>
            <w:hideMark/>
          </w:tcPr>
          <w:p w:rsidR="00060342" w:rsidRPr="00576FC2" w:rsidRDefault="00060342" w:rsidP="00060342">
            <w:pPr>
              <w:jc w:val="center"/>
              <w:rPr>
                <w:color w:val="17365D"/>
                <w:szCs w:val="22"/>
              </w:rPr>
            </w:pPr>
            <w:r w:rsidRPr="00576FC2">
              <w:rPr>
                <w:color w:val="17365D"/>
                <w:szCs w:val="22"/>
              </w:rPr>
              <w:t>Yes</w:t>
            </w:r>
          </w:p>
        </w:tc>
        <w:tc>
          <w:tcPr>
            <w:tcW w:w="372" w:type="pct"/>
            <w:shd w:val="clear" w:color="auto" w:fill="FBD4B4" w:themeFill="accent6" w:themeFillTint="66"/>
            <w:vAlign w:val="center"/>
            <w:hideMark/>
          </w:tcPr>
          <w:p w:rsidR="00060342" w:rsidRPr="00576FC2" w:rsidRDefault="00060342" w:rsidP="00060342">
            <w:pPr>
              <w:jc w:val="center"/>
              <w:rPr>
                <w:color w:val="17365D"/>
                <w:szCs w:val="22"/>
              </w:rPr>
            </w:pPr>
            <w:r w:rsidRPr="00576FC2">
              <w:rPr>
                <w:color w:val="17365D"/>
                <w:szCs w:val="22"/>
              </w:rPr>
              <w:t>No</w:t>
            </w:r>
          </w:p>
        </w:tc>
        <w:tc>
          <w:tcPr>
            <w:tcW w:w="372" w:type="pct"/>
            <w:shd w:val="clear" w:color="auto" w:fill="C2D69B" w:themeFill="accent3" w:themeFillTint="99"/>
            <w:vAlign w:val="center"/>
            <w:hideMark/>
          </w:tcPr>
          <w:p w:rsidR="00060342" w:rsidRPr="00576FC2" w:rsidRDefault="00C34EDB" w:rsidP="00060342">
            <w:pPr>
              <w:jc w:val="center"/>
              <w:rPr>
                <w:color w:val="17365D"/>
                <w:szCs w:val="22"/>
              </w:rPr>
            </w:pPr>
            <w:r>
              <w:rPr>
                <w:color w:val="17365D"/>
                <w:szCs w:val="22"/>
              </w:rPr>
              <w:t>Yes</w:t>
            </w:r>
          </w:p>
        </w:tc>
        <w:tc>
          <w:tcPr>
            <w:tcW w:w="373" w:type="pct"/>
            <w:shd w:val="clear" w:color="auto" w:fill="C2D69B" w:themeFill="accent3" w:themeFillTint="99"/>
            <w:vAlign w:val="center"/>
            <w:hideMark/>
          </w:tcPr>
          <w:p w:rsidR="00060342" w:rsidRPr="00576FC2" w:rsidRDefault="00C34EDB" w:rsidP="00060342">
            <w:pPr>
              <w:jc w:val="center"/>
              <w:rPr>
                <w:color w:val="17365D"/>
                <w:szCs w:val="22"/>
              </w:rPr>
            </w:pPr>
            <w:r>
              <w:rPr>
                <w:color w:val="17365D"/>
                <w:szCs w:val="22"/>
              </w:rPr>
              <w:t>Yes</w:t>
            </w:r>
          </w:p>
        </w:tc>
        <w:tc>
          <w:tcPr>
            <w:tcW w:w="372" w:type="pct"/>
            <w:shd w:val="clear" w:color="000000" w:fill="C2D69B"/>
            <w:vAlign w:val="center"/>
            <w:hideMark/>
          </w:tcPr>
          <w:p w:rsidR="00060342" w:rsidRPr="00576FC2" w:rsidRDefault="00060342" w:rsidP="00060342">
            <w:pPr>
              <w:jc w:val="center"/>
              <w:rPr>
                <w:color w:val="17365D"/>
                <w:szCs w:val="22"/>
              </w:rPr>
            </w:pPr>
            <w:r w:rsidRPr="00576FC2">
              <w:rPr>
                <w:color w:val="17365D"/>
                <w:szCs w:val="22"/>
              </w:rPr>
              <w:t>Yes</w:t>
            </w:r>
          </w:p>
        </w:tc>
        <w:tc>
          <w:tcPr>
            <w:tcW w:w="372" w:type="pct"/>
            <w:shd w:val="clear" w:color="000000" w:fill="C2D69B"/>
            <w:vAlign w:val="center"/>
            <w:hideMark/>
          </w:tcPr>
          <w:p w:rsidR="00060342" w:rsidRPr="00576FC2" w:rsidRDefault="00060342" w:rsidP="00060342">
            <w:pPr>
              <w:jc w:val="center"/>
              <w:rPr>
                <w:color w:val="17365D"/>
                <w:szCs w:val="22"/>
              </w:rPr>
            </w:pPr>
            <w:r w:rsidRPr="00576FC2">
              <w:rPr>
                <w:color w:val="17365D"/>
                <w:szCs w:val="22"/>
              </w:rPr>
              <w:t>Yes</w:t>
            </w:r>
          </w:p>
        </w:tc>
        <w:tc>
          <w:tcPr>
            <w:tcW w:w="372" w:type="pct"/>
            <w:shd w:val="clear" w:color="000000" w:fill="C2D69B"/>
            <w:vAlign w:val="center"/>
            <w:hideMark/>
          </w:tcPr>
          <w:p w:rsidR="00060342" w:rsidRPr="00576FC2" w:rsidRDefault="00060342" w:rsidP="00060342">
            <w:pPr>
              <w:jc w:val="center"/>
              <w:rPr>
                <w:color w:val="17365D"/>
                <w:szCs w:val="22"/>
              </w:rPr>
            </w:pPr>
            <w:r w:rsidRPr="00576FC2">
              <w:rPr>
                <w:color w:val="17365D"/>
                <w:szCs w:val="22"/>
              </w:rPr>
              <w:t>Yes</w:t>
            </w:r>
          </w:p>
        </w:tc>
        <w:tc>
          <w:tcPr>
            <w:tcW w:w="372" w:type="pct"/>
            <w:shd w:val="clear" w:color="000000" w:fill="C2D69B"/>
            <w:vAlign w:val="center"/>
            <w:hideMark/>
          </w:tcPr>
          <w:p w:rsidR="00060342" w:rsidRPr="00576FC2" w:rsidRDefault="00060342" w:rsidP="00060342">
            <w:pPr>
              <w:jc w:val="center"/>
              <w:rPr>
                <w:color w:val="17365D"/>
                <w:szCs w:val="22"/>
              </w:rPr>
            </w:pPr>
            <w:r w:rsidRPr="00576FC2">
              <w:rPr>
                <w:color w:val="17365D"/>
                <w:szCs w:val="22"/>
              </w:rPr>
              <w:t>Yes</w:t>
            </w:r>
          </w:p>
        </w:tc>
        <w:tc>
          <w:tcPr>
            <w:tcW w:w="371" w:type="pct"/>
            <w:shd w:val="clear" w:color="000000" w:fill="C2D69B"/>
            <w:vAlign w:val="center"/>
            <w:hideMark/>
          </w:tcPr>
          <w:p w:rsidR="00060342" w:rsidRPr="00576FC2" w:rsidRDefault="00060342" w:rsidP="00060342">
            <w:pPr>
              <w:jc w:val="center"/>
              <w:rPr>
                <w:color w:val="17365D"/>
                <w:szCs w:val="22"/>
              </w:rPr>
            </w:pPr>
            <w:r w:rsidRPr="00576FC2">
              <w:rPr>
                <w:color w:val="17365D"/>
                <w:szCs w:val="22"/>
              </w:rPr>
              <w:t>Yes</w:t>
            </w:r>
          </w:p>
        </w:tc>
      </w:tr>
      <w:tr w:rsidR="00060342" w:rsidRPr="00576FC2" w:rsidTr="00DA41E5">
        <w:trPr>
          <w:trHeight w:val="680"/>
        </w:trPr>
        <w:tc>
          <w:tcPr>
            <w:tcW w:w="1280" w:type="pct"/>
            <w:shd w:val="clear" w:color="000000" w:fill="FFFFFF"/>
            <w:vAlign w:val="center"/>
            <w:hideMark/>
          </w:tcPr>
          <w:p w:rsidR="00060342" w:rsidRPr="00576FC2" w:rsidRDefault="00060342" w:rsidP="00060342">
            <w:pPr>
              <w:rPr>
                <w:b/>
                <w:bCs/>
                <w:color w:val="222222"/>
                <w:szCs w:val="22"/>
              </w:rPr>
            </w:pPr>
            <w:r w:rsidRPr="00576FC2">
              <w:rPr>
                <w:b/>
                <w:bCs/>
                <w:color w:val="222222"/>
                <w:szCs w:val="22"/>
              </w:rPr>
              <w:t>Commissioner for standards</w:t>
            </w:r>
          </w:p>
        </w:tc>
        <w:tc>
          <w:tcPr>
            <w:tcW w:w="372" w:type="pct"/>
            <w:shd w:val="clear" w:color="000000" w:fill="FBD4B4"/>
            <w:vAlign w:val="center"/>
            <w:hideMark/>
          </w:tcPr>
          <w:p w:rsidR="00060342" w:rsidRPr="00576FC2" w:rsidRDefault="00060342" w:rsidP="00060342">
            <w:pPr>
              <w:jc w:val="center"/>
              <w:rPr>
                <w:color w:val="17365D"/>
                <w:szCs w:val="22"/>
              </w:rPr>
            </w:pPr>
            <w:r w:rsidRPr="00576FC2">
              <w:rPr>
                <w:color w:val="17365D"/>
                <w:szCs w:val="22"/>
              </w:rPr>
              <w:t>No</w:t>
            </w:r>
          </w:p>
        </w:tc>
        <w:tc>
          <w:tcPr>
            <w:tcW w:w="372" w:type="pct"/>
            <w:shd w:val="clear" w:color="auto" w:fill="FBD4B4" w:themeFill="accent6" w:themeFillTint="66"/>
            <w:vAlign w:val="center"/>
            <w:hideMark/>
          </w:tcPr>
          <w:p w:rsidR="00060342" w:rsidRPr="00576FC2" w:rsidRDefault="00060342" w:rsidP="00060342">
            <w:pPr>
              <w:jc w:val="center"/>
              <w:rPr>
                <w:color w:val="17365D"/>
                <w:szCs w:val="22"/>
              </w:rPr>
            </w:pPr>
            <w:r w:rsidRPr="00576FC2">
              <w:rPr>
                <w:color w:val="17365D"/>
                <w:szCs w:val="22"/>
              </w:rPr>
              <w:t>No</w:t>
            </w:r>
          </w:p>
        </w:tc>
        <w:tc>
          <w:tcPr>
            <w:tcW w:w="372" w:type="pct"/>
            <w:shd w:val="clear" w:color="auto" w:fill="DBE5F1" w:themeFill="accent1" w:themeFillTint="33"/>
            <w:vAlign w:val="center"/>
            <w:hideMark/>
          </w:tcPr>
          <w:p w:rsidR="00060342" w:rsidRPr="00576FC2" w:rsidRDefault="00C34EDB" w:rsidP="00060342">
            <w:pPr>
              <w:jc w:val="center"/>
              <w:rPr>
                <w:color w:val="000000"/>
                <w:sz w:val="20"/>
                <w:szCs w:val="20"/>
              </w:rPr>
            </w:pPr>
            <w:r>
              <w:rPr>
                <w:color w:val="000000"/>
                <w:sz w:val="20"/>
                <w:szCs w:val="20"/>
              </w:rPr>
              <w:t>Under review</w:t>
            </w:r>
          </w:p>
        </w:tc>
        <w:tc>
          <w:tcPr>
            <w:tcW w:w="372" w:type="pct"/>
            <w:shd w:val="clear" w:color="auto" w:fill="FBD4B4" w:themeFill="accent6" w:themeFillTint="66"/>
            <w:vAlign w:val="center"/>
            <w:hideMark/>
          </w:tcPr>
          <w:p w:rsidR="00060342" w:rsidRPr="00576FC2" w:rsidRDefault="00C34EDB" w:rsidP="00060342">
            <w:pPr>
              <w:jc w:val="center"/>
              <w:rPr>
                <w:color w:val="17365D"/>
                <w:szCs w:val="22"/>
              </w:rPr>
            </w:pPr>
            <w:r>
              <w:rPr>
                <w:color w:val="17365D"/>
                <w:szCs w:val="22"/>
              </w:rPr>
              <w:t>No</w:t>
            </w:r>
          </w:p>
        </w:tc>
        <w:tc>
          <w:tcPr>
            <w:tcW w:w="373" w:type="pct"/>
            <w:shd w:val="clear" w:color="auto" w:fill="FBD4B4" w:themeFill="accent6" w:themeFillTint="66"/>
            <w:vAlign w:val="center"/>
            <w:hideMark/>
          </w:tcPr>
          <w:p w:rsidR="00060342" w:rsidRPr="00576FC2" w:rsidRDefault="00C34EDB" w:rsidP="00060342">
            <w:pPr>
              <w:jc w:val="center"/>
              <w:rPr>
                <w:color w:val="17365D"/>
                <w:szCs w:val="22"/>
              </w:rPr>
            </w:pPr>
            <w:r>
              <w:rPr>
                <w:color w:val="17365D"/>
                <w:szCs w:val="22"/>
              </w:rPr>
              <w:t>No</w:t>
            </w:r>
          </w:p>
        </w:tc>
        <w:tc>
          <w:tcPr>
            <w:tcW w:w="372" w:type="pct"/>
            <w:shd w:val="clear" w:color="000000" w:fill="FBD4B4"/>
            <w:vAlign w:val="center"/>
            <w:hideMark/>
          </w:tcPr>
          <w:p w:rsidR="00060342" w:rsidRPr="00576FC2" w:rsidRDefault="00060342" w:rsidP="00060342">
            <w:pPr>
              <w:jc w:val="center"/>
              <w:rPr>
                <w:color w:val="17365D"/>
                <w:szCs w:val="22"/>
              </w:rPr>
            </w:pPr>
            <w:r w:rsidRPr="00576FC2">
              <w:rPr>
                <w:color w:val="17365D"/>
                <w:szCs w:val="22"/>
              </w:rPr>
              <w:t>No</w:t>
            </w:r>
          </w:p>
        </w:tc>
        <w:tc>
          <w:tcPr>
            <w:tcW w:w="372" w:type="pct"/>
            <w:shd w:val="clear" w:color="000000" w:fill="FBD4B4"/>
            <w:vAlign w:val="center"/>
            <w:hideMark/>
          </w:tcPr>
          <w:p w:rsidR="00060342" w:rsidRPr="00576FC2" w:rsidRDefault="00060342" w:rsidP="00060342">
            <w:pPr>
              <w:jc w:val="center"/>
              <w:rPr>
                <w:color w:val="17365D"/>
                <w:szCs w:val="22"/>
              </w:rPr>
            </w:pPr>
            <w:r w:rsidRPr="00576FC2">
              <w:rPr>
                <w:color w:val="17365D"/>
                <w:szCs w:val="22"/>
              </w:rPr>
              <w:t>No</w:t>
            </w:r>
          </w:p>
        </w:tc>
        <w:tc>
          <w:tcPr>
            <w:tcW w:w="372" w:type="pct"/>
            <w:shd w:val="clear" w:color="000000" w:fill="C2D69B"/>
            <w:vAlign w:val="center"/>
            <w:hideMark/>
          </w:tcPr>
          <w:p w:rsidR="00060342" w:rsidRPr="00576FC2" w:rsidRDefault="00060342" w:rsidP="00060342">
            <w:pPr>
              <w:jc w:val="center"/>
              <w:rPr>
                <w:color w:val="17365D"/>
                <w:szCs w:val="22"/>
              </w:rPr>
            </w:pPr>
            <w:r w:rsidRPr="00576FC2">
              <w:rPr>
                <w:color w:val="17365D"/>
                <w:szCs w:val="22"/>
              </w:rPr>
              <w:t>Yes</w:t>
            </w:r>
          </w:p>
        </w:tc>
        <w:tc>
          <w:tcPr>
            <w:tcW w:w="372" w:type="pct"/>
            <w:shd w:val="clear" w:color="000000" w:fill="FBD4B4"/>
            <w:vAlign w:val="center"/>
            <w:hideMark/>
          </w:tcPr>
          <w:p w:rsidR="00060342" w:rsidRPr="00576FC2" w:rsidRDefault="00060342" w:rsidP="00060342">
            <w:pPr>
              <w:jc w:val="center"/>
              <w:rPr>
                <w:color w:val="17365D"/>
                <w:szCs w:val="22"/>
              </w:rPr>
            </w:pPr>
            <w:r w:rsidRPr="00576FC2">
              <w:rPr>
                <w:color w:val="17365D"/>
                <w:szCs w:val="22"/>
              </w:rPr>
              <w:t>No</w:t>
            </w:r>
          </w:p>
        </w:tc>
        <w:tc>
          <w:tcPr>
            <w:tcW w:w="371" w:type="pct"/>
            <w:shd w:val="clear" w:color="000000" w:fill="C2D69B"/>
            <w:vAlign w:val="center"/>
            <w:hideMark/>
          </w:tcPr>
          <w:p w:rsidR="00060342" w:rsidRPr="00576FC2" w:rsidRDefault="00060342" w:rsidP="00060342">
            <w:pPr>
              <w:jc w:val="center"/>
              <w:rPr>
                <w:color w:val="17365D"/>
                <w:szCs w:val="22"/>
              </w:rPr>
            </w:pPr>
            <w:r w:rsidRPr="00576FC2">
              <w:rPr>
                <w:color w:val="17365D"/>
                <w:szCs w:val="22"/>
              </w:rPr>
              <w:t>Yes</w:t>
            </w:r>
          </w:p>
        </w:tc>
      </w:tr>
      <w:tr w:rsidR="00060342" w:rsidRPr="00576FC2" w:rsidTr="00C34EDB">
        <w:trPr>
          <w:trHeight w:val="680"/>
        </w:trPr>
        <w:tc>
          <w:tcPr>
            <w:tcW w:w="1280" w:type="pct"/>
            <w:shd w:val="clear" w:color="000000" w:fill="FFFFFF"/>
            <w:vAlign w:val="center"/>
            <w:hideMark/>
          </w:tcPr>
          <w:p w:rsidR="00060342" w:rsidRPr="00576FC2" w:rsidRDefault="00060342" w:rsidP="00060342">
            <w:pPr>
              <w:rPr>
                <w:b/>
                <w:bCs/>
                <w:color w:val="222222"/>
                <w:szCs w:val="22"/>
              </w:rPr>
            </w:pPr>
            <w:r w:rsidRPr="00576FC2">
              <w:rPr>
                <w:b/>
                <w:bCs/>
                <w:color w:val="222222"/>
                <w:szCs w:val="22"/>
              </w:rPr>
              <w:t>ICAC or equivalent</w:t>
            </w:r>
          </w:p>
        </w:tc>
        <w:tc>
          <w:tcPr>
            <w:tcW w:w="372" w:type="pct"/>
            <w:shd w:val="clear" w:color="000000" w:fill="FBD4B4"/>
            <w:vAlign w:val="center"/>
            <w:hideMark/>
          </w:tcPr>
          <w:p w:rsidR="00060342" w:rsidRPr="00576FC2" w:rsidRDefault="00060342" w:rsidP="00060342">
            <w:pPr>
              <w:jc w:val="center"/>
              <w:rPr>
                <w:color w:val="17365D"/>
                <w:szCs w:val="22"/>
              </w:rPr>
            </w:pPr>
            <w:r w:rsidRPr="00576FC2">
              <w:rPr>
                <w:color w:val="17365D"/>
                <w:szCs w:val="22"/>
              </w:rPr>
              <w:t>No</w:t>
            </w:r>
          </w:p>
        </w:tc>
        <w:tc>
          <w:tcPr>
            <w:tcW w:w="372" w:type="pct"/>
            <w:shd w:val="clear" w:color="000000" w:fill="FBD4B4"/>
            <w:vAlign w:val="center"/>
            <w:hideMark/>
          </w:tcPr>
          <w:p w:rsidR="00060342" w:rsidRPr="00576FC2" w:rsidRDefault="00060342" w:rsidP="00060342">
            <w:pPr>
              <w:jc w:val="center"/>
              <w:rPr>
                <w:color w:val="17365D"/>
                <w:szCs w:val="22"/>
              </w:rPr>
            </w:pPr>
            <w:r w:rsidRPr="00576FC2">
              <w:rPr>
                <w:color w:val="17365D"/>
                <w:szCs w:val="22"/>
              </w:rPr>
              <w:t>No</w:t>
            </w:r>
          </w:p>
        </w:tc>
        <w:tc>
          <w:tcPr>
            <w:tcW w:w="372" w:type="pct"/>
            <w:shd w:val="clear" w:color="000000" w:fill="C2D69B"/>
            <w:vAlign w:val="center"/>
            <w:hideMark/>
          </w:tcPr>
          <w:p w:rsidR="00060342" w:rsidRPr="00576FC2" w:rsidRDefault="00060342" w:rsidP="00060342">
            <w:pPr>
              <w:jc w:val="center"/>
              <w:rPr>
                <w:color w:val="17365D"/>
                <w:szCs w:val="22"/>
              </w:rPr>
            </w:pPr>
            <w:r w:rsidRPr="00576FC2">
              <w:rPr>
                <w:color w:val="17365D"/>
                <w:szCs w:val="22"/>
              </w:rPr>
              <w:t>Yes</w:t>
            </w:r>
          </w:p>
        </w:tc>
        <w:tc>
          <w:tcPr>
            <w:tcW w:w="372" w:type="pct"/>
            <w:shd w:val="clear" w:color="auto" w:fill="C2D69B" w:themeFill="accent3" w:themeFillTint="99"/>
            <w:vAlign w:val="center"/>
            <w:hideMark/>
          </w:tcPr>
          <w:p w:rsidR="00060342" w:rsidRPr="00576FC2" w:rsidRDefault="00C34EDB" w:rsidP="00060342">
            <w:pPr>
              <w:jc w:val="center"/>
              <w:rPr>
                <w:color w:val="17365D"/>
                <w:szCs w:val="22"/>
              </w:rPr>
            </w:pPr>
            <w:r>
              <w:rPr>
                <w:color w:val="17365D"/>
                <w:szCs w:val="22"/>
              </w:rPr>
              <w:t>Yes</w:t>
            </w:r>
          </w:p>
        </w:tc>
        <w:tc>
          <w:tcPr>
            <w:tcW w:w="373" w:type="pct"/>
            <w:shd w:val="clear" w:color="auto" w:fill="C2D69B" w:themeFill="accent3" w:themeFillTint="99"/>
            <w:vAlign w:val="center"/>
            <w:hideMark/>
          </w:tcPr>
          <w:p w:rsidR="00060342" w:rsidRPr="00576FC2" w:rsidRDefault="00C34EDB" w:rsidP="00060342">
            <w:pPr>
              <w:jc w:val="center"/>
              <w:rPr>
                <w:color w:val="17365D"/>
                <w:szCs w:val="22"/>
              </w:rPr>
            </w:pPr>
            <w:r>
              <w:rPr>
                <w:color w:val="17365D"/>
                <w:szCs w:val="22"/>
              </w:rPr>
              <w:t>Yes</w:t>
            </w:r>
          </w:p>
        </w:tc>
        <w:tc>
          <w:tcPr>
            <w:tcW w:w="372" w:type="pct"/>
            <w:shd w:val="clear" w:color="000000" w:fill="C2D69B"/>
            <w:vAlign w:val="center"/>
            <w:hideMark/>
          </w:tcPr>
          <w:p w:rsidR="00060342" w:rsidRPr="00576FC2" w:rsidRDefault="00060342" w:rsidP="00060342">
            <w:pPr>
              <w:jc w:val="center"/>
              <w:rPr>
                <w:color w:val="17365D"/>
                <w:szCs w:val="22"/>
              </w:rPr>
            </w:pPr>
            <w:r w:rsidRPr="00576FC2">
              <w:rPr>
                <w:color w:val="17365D"/>
                <w:szCs w:val="22"/>
              </w:rPr>
              <w:t>Yes</w:t>
            </w:r>
          </w:p>
        </w:tc>
        <w:tc>
          <w:tcPr>
            <w:tcW w:w="372" w:type="pct"/>
            <w:shd w:val="clear" w:color="000000" w:fill="C2D69B"/>
            <w:vAlign w:val="center"/>
            <w:hideMark/>
          </w:tcPr>
          <w:p w:rsidR="00060342" w:rsidRPr="00576FC2" w:rsidRDefault="00060342" w:rsidP="00060342">
            <w:pPr>
              <w:jc w:val="center"/>
              <w:rPr>
                <w:color w:val="17365D"/>
                <w:szCs w:val="22"/>
              </w:rPr>
            </w:pPr>
            <w:r w:rsidRPr="00576FC2">
              <w:rPr>
                <w:color w:val="17365D"/>
                <w:szCs w:val="22"/>
              </w:rPr>
              <w:t>Yes</w:t>
            </w:r>
          </w:p>
        </w:tc>
        <w:tc>
          <w:tcPr>
            <w:tcW w:w="372" w:type="pct"/>
            <w:shd w:val="clear" w:color="000000" w:fill="C2D69B"/>
            <w:vAlign w:val="center"/>
            <w:hideMark/>
          </w:tcPr>
          <w:p w:rsidR="00060342" w:rsidRPr="00576FC2" w:rsidRDefault="00060342" w:rsidP="00060342">
            <w:pPr>
              <w:jc w:val="center"/>
              <w:rPr>
                <w:color w:val="17365D"/>
                <w:szCs w:val="22"/>
              </w:rPr>
            </w:pPr>
            <w:r w:rsidRPr="00576FC2">
              <w:rPr>
                <w:color w:val="17365D"/>
                <w:szCs w:val="22"/>
              </w:rPr>
              <w:t>Yes</w:t>
            </w:r>
          </w:p>
        </w:tc>
        <w:tc>
          <w:tcPr>
            <w:tcW w:w="372" w:type="pct"/>
            <w:shd w:val="clear" w:color="auto" w:fill="DBE5F1" w:themeFill="accent1" w:themeFillTint="33"/>
            <w:vAlign w:val="center"/>
            <w:hideMark/>
          </w:tcPr>
          <w:p w:rsidR="00060342" w:rsidRPr="00C34EDB" w:rsidRDefault="00C34EDB" w:rsidP="00C34EDB">
            <w:pPr>
              <w:jc w:val="center"/>
              <w:rPr>
                <w:color w:val="17365D"/>
                <w:sz w:val="20"/>
                <w:szCs w:val="20"/>
              </w:rPr>
            </w:pPr>
            <w:r w:rsidRPr="00C34EDB">
              <w:rPr>
                <w:color w:val="17365D"/>
                <w:sz w:val="20"/>
                <w:szCs w:val="20"/>
              </w:rPr>
              <w:t>Under Review</w:t>
            </w:r>
          </w:p>
        </w:tc>
        <w:tc>
          <w:tcPr>
            <w:tcW w:w="371" w:type="pct"/>
            <w:shd w:val="clear" w:color="auto" w:fill="DBE5F1" w:themeFill="accent1" w:themeFillTint="33"/>
            <w:vAlign w:val="center"/>
            <w:hideMark/>
          </w:tcPr>
          <w:p w:rsidR="00060342" w:rsidRPr="00576FC2" w:rsidRDefault="00C34EDB" w:rsidP="00060342">
            <w:pPr>
              <w:jc w:val="center"/>
              <w:rPr>
                <w:color w:val="17365D"/>
                <w:szCs w:val="22"/>
              </w:rPr>
            </w:pPr>
            <w:r w:rsidRPr="00C34EDB">
              <w:rPr>
                <w:color w:val="17365D"/>
                <w:sz w:val="20"/>
                <w:szCs w:val="20"/>
              </w:rPr>
              <w:t>Under Review</w:t>
            </w:r>
          </w:p>
        </w:tc>
      </w:tr>
      <w:tr w:rsidR="00060342" w:rsidRPr="00576FC2" w:rsidTr="00C34EDB">
        <w:trPr>
          <w:trHeight w:val="680"/>
        </w:trPr>
        <w:tc>
          <w:tcPr>
            <w:tcW w:w="1280" w:type="pct"/>
            <w:shd w:val="clear" w:color="000000" w:fill="FFFFFF"/>
            <w:vAlign w:val="center"/>
            <w:hideMark/>
          </w:tcPr>
          <w:p w:rsidR="00060342" w:rsidRPr="00576FC2" w:rsidRDefault="00060342" w:rsidP="00060342">
            <w:pPr>
              <w:rPr>
                <w:b/>
                <w:bCs/>
                <w:color w:val="222222"/>
                <w:szCs w:val="22"/>
              </w:rPr>
            </w:pPr>
            <w:r w:rsidRPr="00576FC2">
              <w:rPr>
                <w:b/>
                <w:bCs/>
                <w:color w:val="222222"/>
                <w:szCs w:val="22"/>
              </w:rPr>
              <w:t>Code of conduct</w:t>
            </w:r>
          </w:p>
        </w:tc>
        <w:tc>
          <w:tcPr>
            <w:tcW w:w="372" w:type="pct"/>
            <w:shd w:val="clear" w:color="000000" w:fill="FBD4B4"/>
            <w:vAlign w:val="center"/>
            <w:hideMark/>
          </w:tcPr>
          <w:p w:rsidR="00060342" w:rsidRPr="00576FC2" w:rsidRDefault="00060342" w:rsidP="00060342">
            <w:pPr>
              <w:jc w:val="center"/>
              <w:rPr>
                <w:color w:val="17365D"/>
                <w:szCs w:val="22"/>
              </w:rPr>
            </w:pPr>
            <w:r w:rsidRPr="00576FC2">
              <w:rPr>
                <w:color w:val="17365D"/>
                <w:szCs w:val="22"/>
              </w:rPr>
              <w:t>No</w:t>
            </w:r>
          </w:p>
        </w:tc>
        <w:tc>
          <w:tcPr>
            <w:tcW w:w="372" w:type="pct"/>
            <w:shd w:val="clear" w:color="000000" w:fill="FBD4B4"/>
            <w:vAlign w:val="center"/>
            <w:hideMark/>
          </w:tcPr>
          <w:p w:rsidR="00060342" w:rsidRPr="00576FC2" w:rsidRDefault="00060342" w:rsidP="00060342">
            <w:pPr>
              <w:jc w:val="center"/>
              <w:rPr>
                <w:color w:val="17365D"/>
                <w:szCs w:val="22"/>
              </w:rPr>
            </w:pPr>
            <w:r w:rsidRPr="00576FC2">
              <w:rPr>
                <w:color w:val="17365D"/>
                <w:szCs w:val="22"/>
              </w:rPr>
              <w:t>No</w:t>
            </w:r>
          </w:p>
        </w:tc>
        <w:tc>
          <w:tcPr>
            <w:tcW w:w="372" w:type="pct"/>
            <w:shd w:val="clear" w:color="000000" w:fill="C2D69B"/>
            <w:vAlign w:val="center"/>
            <w:hideMark/>
          </w:tcPr>
          <w:p w:rsidR="00060342" w:rsidRPr="00576FC2" w:rsidRDefault="00060342" w:rsidP="00060342">
            <w:pPr>
              <w:jc w:val="center"/>
              <w:rPr>
                <w:color w:val="17365D"/>
                <w:szCs w:val="22"/>
              </w:rPr>
            </w:pPr>
            <w:r w:rsidRPr="00576FC2">
              <w:rPr>
                <w:color w:val="17365D"/>
                <w:szCs w:val="22"/>
              </w:rPr>
              <w:t>Yes</w:t>
            </w:r>
          </w:p>
        </w:tc>
        <w:tc>
          <w:tcPr>
            <w:tcW w:w="372" w:type="pct"/>
            <w:shd w:val="clear" w:color="auto" w:fill="C2D69B" w:themeFill="accent3" w:themeFillTint="99"/>
            <w:vAlign w:val="center"/>
            <w:hideMark/>
          </w:tcPr>
          <w:p w:rsidR="00060342" w:rsidRPr="00576FC2" w:rsidRDefault="00C34EDB" w:rsidP="00060342">
            <w:pPr>
              <w:jc w:val="center"/>
              <w:rPr>
                <w:color w:val="17365D"/>
                <w:szCs w:val="22"/>
              </w:rPr>
            </w:pPr>
            <w:r>
              <w:rPr>
                <w:color w:val="17365D"/>
                <w:szCs w:val="22"/>
              </w:rPr>
              <w:t>Yes</w:t>
            </w:r>
          </w:p>
        </w:tc>
        <w:tc>
          <w:tcPr>
            <w:tcW w:w="373" w:type="pct"/>
            <w:shd w:val="clear" w:color="auto" w:fill="C2D69B" w:themeFill="accent3" w:themeFillTint="99"/>
            <w:vAlign w:val="center"/>
            <w:hideMark/>
          </w:tcPr>
          <w:p w:rsidR="00060342" w:rsidRPr="00576FC2" w:rsidRDefault="00C34EDB" w:rsidP="00060342">
            <w:pPr>
              <w:jc w:val="center"/>
              <w:rPr>
                <w:color w:val="17365D"/>
                <w:szCs w:val="22"/>
              </w:rPr>
            </w:pPr>
            <w:r>
              <w:rPr>
                <w:color w:val="17365D"/>
                <w:szCs w:val="22"/>
              </w:rPr>
              <w:t>Yes</w:t>
            </w:r>
          </w:p>
        </w:tc>
        <w:tc>
          <w:tcPr>
            <w:tcW w:w="372" w:type="pct"/>
            <w:shd w:val="clear" w:color="auto" w:fill="FBD4B4" w:themeFill="accent6" w:themeFillTint="66"/>
            <w:vAlign w:val="center"/>
            <w:hideMark/>
          </w:tcPr>
          <w:p w:rsidR="00060342" w:rsidRPr="00576FC2" w:rsidRDefault="00C34EDB" w:rsidP="00060342">
            <w:pPr>
              <w:jc w:val="center"/>
              <w:rPr>
                <w:color w:val="17365D"/>
                <w:szCs w:val="22"/>
              </w:rPr>
            </w:pPr>
            <w:r>
              <w:rPr>
                <w:color w:val="17365D"/>
                <w:szCs w:val="22"/>
              </w:rPr>
              <w:t>No</w:t>
            </w:r>
          </w:p>
        </w:tc>
        <w:tc>
          <w:tcPr>
            <w:tcW w:w="372" w:type="pct"/>
            <w:shd w:val="clear" w:color="000000" w:fill="C2D69B"/>
            <w:vAlign w:val="center"/>
            <w:hideMark/>
          </w:tcPr>
          <w:p w:rsidR="00060342" w:rsidRPr="00576FC2" w:rsidRDefault="00060342" w:rsidP="00060342">
            <w:pPr>
              <w:jc w:val="center"/>
              <w:rPr>
                <w:color w:val="17365D"/>
                <w:szCs w:val="22"/>
              </w:rPr>
            </w:pPr>
            <w:r w:rsidRPr="00576FC2">
              <w:rPr>
                <w:color w:val="17365D"/>
                <w:szCs w:val="22"/>
              </w:rPr>
              <w:t>Yes</w:t>
            </w:r>
          </w:p>
        </w:tc>
        <w:tc>
          <w:tcPr>
            <w:tcW w:w="372" w:type="pct"/>
            <w:shd w:val="clear" w:color="000000" w:fill="C2D69B"/>
            <w:vAlign w:val="center"/>
            <w:hideMark/>
          </w:tcPr>
          <w:p w:rsidR="00060342" w:rsidRPr="00576FC2" w:rsidRDefault="00060342" w:rsidP="00060342">
            <w:pPr>
              <w:jc w:val="center"/>
              <w:rPr>
                <w:color w:val="17365D"/>
                <w:szCs w:val="22"/>
              </w:rPr>
            </w:pPr>
            <w:r w:rsidRPr="00576FC2">
              <w:rPr>
                <w:color w:val="17365D"/>
                <w:szCs w:val="22"/>
              </w:rPr>
              <w:t>Yes</w:t>
            </w:r>
          </w:p>
        </w:tc>
        <w:tc>
          <w:tcPr>
            <w:tcW w:w="372" w:type="pct"/>
            <w:shd w:val="clear" w:color="000000" w:fill="C2D69B"/>
            <w:vAlign w:val="center"/>
            <w:hideMark/>
          </w:tcPr>
          <w:p w:rsidR="00060342" w:rsidRPr="00576FC2" w:rsidRDefault="00060342" w:rsidP="00060342">
            <w:pPr>
              <w:jc w:val="center"/>
              <w:rPr>
                <w:color w:val="17365D"/>
                <w:szCs w:val="22"/>
              </w:rPr>
            </w:pPr>
            <w:r w:rsidRPr="00576FC2">
              <w:rPr>
                <w:color w:val="17365D"/>
                <w:szCs w:val="22"/>
              </w:rPr>
              <w:t>Yes</w:t>
            </w:r>
          </w:p>
        </w:tc>
        <w:tc>
          <w:tcPr>
            <w:tcW w:w="371" w:type="pct"/>
            <w:shd w:val="clear" w:color="000000" w:fill="C2D69B"/>
            <w:vAlign w:val="center"/>
            <w:hideMark/>
          </w:tcPr>
          <w:p w:rsidR="00060342" w:rsidRPr="00576FC2" w:rsidRDefault="00060342" w:rsidP="00060342">
            <w:pPr>
              <w:jc w:val="center"/>
              <w:rPr>
                <w:color w:val="17365D"/>
                <w:szCs w:val="22"/>
              </w:rPr>
            </w:pPr>
            <w:r w:rsidRPr="00576FC2">
              <w:rPr>
                <w:color w:val="17365D"/>
                <w:szCs w:val="22"/>
              </w:rPr>
              <w:t>Yes</w:t>
            </w:r>
          </w:p>
        </w:tc>
      </w:tr>
      <w:tr w:rsidR="00060342" w:rsidRPr="00576FC2" w:rsidTr="00C34EDB">
        <w:trPr>
          <w:trHeight w:val="680"/>
        </w:trPr>
        <w:tc>
          <w:tcPr>
            <w:tcW w:w="1280" w:type="pct"/>
            <w:shd w:val="clear" w:color="000000" w:fill="FFFFFF"/>
            <w:vAlign w:val="center"/>
            <w:hideMark/>
          </w:tcPr>
          <w:p w:rsidR="00060342" w:rsidRPr="00576FC2" w:rsidRDefault="00060342" w:rsidP="00060342">
            <w:pPr>
              <w:rPr>
                <w:b/>
                <w:bCs/>
                <w:color w:val="222222"/>
                <w:szCs w:val="22"/>
              </w:rPr>
            </w:pPr>
            <w:r w:rsidRPr="00576FC2">
              <w:rPr>
                <w:b/>
                <w:bCs/>
                <w:color w:val="222222"/>
                <w:szCs w:val="22"/>
              </w:rPr>
              <w:t>Lobbyist register</w:t>
            </w:r>
          </w:p>
        </w:tc>
        <w:tc>
          <w:tcPr>
            <w:tcW w:w="372" w:type="pct"/>
            <w:shd w:val="clear" w:color="000000" w:fill="C2D69B"/>
            <w:vAlign w:val="center"/>
            <w:hideMark/>
          </w:tcPr>
          <w:p w:rsidR="00060342" w:rsidRPr="00576FC2" w:rsidRDefault="00060342" w:rsidP="00060342">
            <w:pPr>
              <w:jc w:val="center"/>
              <w:rPr>
                <w:color w:val="17365D"/>
                <w:szCs w:val="22"/>
              </w:rPr>
            </w:pPr>
            <w:r w:rsidRPr="00576FC2">
              <w:rPr>
                <w:color w:val="17365D"/>
                <w:szCs w:val="22"/>
              </w:rPr>
              <w:t>Yes</w:t>
            </w:r>
          </w:p>
        </w:tc>
        <w:tc>
          <w:tcPr>
            <w:tcW w:w="372" w:type="pct"/>
            <w:shd w:val="clear" w:color="000000" w:fill="FBD4B4"/>
            <w:vAlign w:val="center"/>
            <w:hideMark/>
          </w:tcPr>
          <w:p w:rsidR="00060342" w:rsidRPr="00576FC2" w:rsidRDefault="00060342" w:rsidP="00060342">
            <w:pPr>
              <w:jc w:val="center"/>
              <w:rPr>
                <w:color w:val="17365D"/>
                <w:szCs w:val="22"/>
              </w:rPr>
            </w:pPr>
            <w:r w:rsidRPr="00576FC2">
              <w:rPr>
                <w:color w:val="17365D"/>
                <w:szCs w:val="22"/>
              </w:rPr>
              <w:t>No</w:t>
            </w:r>
          </w:p>
        </w:tc>
        <w:tc>
          <w:tcPr>
            <w:tcW w:w="372" w:type="pct"/>
            <w:shd w:val="clear" w:color="000000" w:fill="C2D69B"/>
            <w:vAlign w:val="center"/>
            <w:hideMark/>
          </w:tcPr>
          <w:p w:rsidR="00060342" w:rsidRPr="00576FC2" w:rsidRDefault="00060342" w:rsidP="00060342">
            <w:pPr>
              <w:jc w:val="center"/>
              <w:rPr>
                <w:color w:val="17365D"/>
                <w:szCs w:val="22"/>
              </w:rPr>
            </w:pPr>
            <w:r w:rsidRPr="00576FC2">
              <w:rPr>
                <w:color w:val="17365D"/>
                <w:szCs w:val="22"/>
              </w:rPr>
              <w:t>Yes</w:t>
            </w:r>
          </w:p>
        </w:tc>
        <w:tc>
          <w:tcPr>
            <w:tcW w:w="372" w:type="pct"/>
            <w:shd w:val="clear" w:color="auto" w:fill="C2D69B" w:themeFill="accent3" w:themeFillTint="99"/>
            <w:vAlign w:val="center"/>
            <w:hideMark/>
          </w:tcPr>
          <w:p w:rsidR="00060342" w:rsidRPr="00576FC2" w:rsidRDefault="00C34EDB" w:rsidP="00060342">
            <w:pPr>
              <w:jc w:val="center"/>
              <w:rPr>
                <w:color w:val="17365D"/>
                <w:szCs w:val="22"/>
              </w:rPr>
            </w:pPr>
            <w:r>
              <w:rPr>
                <w:color w:val="17365D"/>
                <w:szCs w:val="22"/>
              </w:rPr>
              <w:t>Yes</w:t>
            </w:r>
          </w:p>
        </w:tc>
        <w:tc>
          <w:tcPr>
            <w:tcW w:w="373" w:type="pct"/>
            <w:shd w:val="clear" w:color="auto" w:fill="C2D69B" w:themeFill="accent3" w:themeFillTint="99"/>
            <w:vAlign w:val="center"/>
            <w:hideMark/>
          </w:tcPr>
          <w:p w:rsidR="00060342" w:rsidRPr="00576FC2" w:rsidRDefault="00C34EDB" w:rsidP="00060342">
            <w:pPr>
              <w:jc w:val="center"/>
              <w:rPr>
                <w:color w:val="17365D"/>
                <w:szCs w:val="22"/>
              </w:rPr>
            </w:pPr>
            <w:r>
              <w:rPr>
                <w:color w:val="17365D"/>
                <w:szCs w:val="22"/>
              </w:rPr>
              <w:t>Yes</w:t>
            </w:r>
          </w:p>
        </w:tc>
        <w:tc>
          <w:tcPr>
            <w:tcW w:w="372" w:type="pct"/>
            <w:shd w:val="clear" w:color="000000" w:fill="C2D69B"/>
            <w:vAlign w:val="center"/>
            <w:hideMark/>
          </w:tcPr>
          <w:p w:rsidR="00060342" w:rsidRPr="00576FC2" w:rsidRDefault="00060342" w:rsidP="00060342">
            <w:pPr>
              <w:jc w:val="center"/>
              <w:rPr>
                <w:color w:val="17365D"/>
                <w:szCs w:val="22"/>
              </w:rPr>
            </w:pPr>
            <w:r w:rsidRPr="00576FC2">
              <w:rPr>
                <w:color w:val="17365D"/>
                <w:szCs w:val="22"/>
              </w:rPr>
              <w:t>Yes</w:t>
            </w:r>
          </w:p>
        </w:tc>
        <w:tc>
          <w:tcPr>
            <w:tcW w:w="372" w:type="pct"/>
            <w:shd w:val="clear" w:color="000000" w:fill="C2D69B"/>
            <w:vAlign w:val="center"/>
            <w:hideMark/>
          </w:tcPr>
          <w:p w:rsidR="00060342" w:rsidRPr="00576FC2" w:rsidRDefault="00060342" w:rsidP="00060342">
            <w:pPr>
              <w:jc w:val="center"/>
              <w:rPr>
                <w:color w:val="17365D"/>
                <w:szCs w:val="22"/>
              </w:rPr>
            </w:pPr>
            <w:r w:rsidRPr="00576FC2">
              <w:rPr>
                <w:color w:val="17365D"/>
                <w:szCs w:val="22"/>
              </w:rPr>
              <w:t>Yes</w:t>
            </w:r>
          </w:p>
        </w:tc>
        <w:tc>
          <w:tcPr>
            <w:tcW w:w="372" w:type="pct"/>
            <w:shd w:val="clear" w:color="000000" w:fill="C2D69B"/>
            <w:vAlign w:val="center"/>
            <w:hideMark/>
          </w:tcPr>
          <w:p w:rsidR="00060342" w:rsidRPr="00576FC2" w:rsidRDefault="00060342" w:rsidP="00060342">
            <w:pPr>
              <w:jc w:val="center"/>
              <w:rPr>
                <w:color w:val="17365D"/>
                <w:szCs w:val="22"/>
              </w:rPr>
            </w:pPr>
            <w:r w:rsidRPr="00576FC2">
              <w:rPr>
                <w:color w:val="17365D"/>
                <w:szCs w:val="22"/>
              </w:rPr>
              <w:t>Yes</w:t>
            </w:r>
          </w:p>
        </w:tc>
        <w:tc>
          <w:tcPr>
            <w:tcW w:w="372" w:type="pct"/>
            <w:shd w:val="clear" w:color="auto" w:fill="DBE5F1" w:themeFill="accent1" w:themeFillTint="33"/>
            <w:vAlign w:val="center"/>
            <w:hideMark/>
          </w:tcPr>
          <w:p w:rsidR="00060342" w:rsidRPr="00576FC2" w:rsidRDefault="00C34EDB" w:rsidP="00060342">
            <w:pPr>
              <w:jc w:val="center"/>
              <w:rPr>
                <w:color w:val="17365D"/>
                <w:szCs w:val="22"/>
              </w:rPr>
            </w:pPr>
            <w:r w:rsidRPr="00C34EDB">
              <w:rPr>
                <w:color w:val="17365D"/>
                <w:sz w:val="20"/>
                <w:szCs w:val="20"/>
              </w:rPr>
              <w:t>Under Review</w:t>
            </w:r>
          </w:p>
        </w:tc>
        <w:tc>
          <w:tcPr>
            <w:tcW w:w="371" w:type="pct"/>
            <w:shd w:val="clear" w:color="000000" w:fill="C2D69B"/>
            <w:vAlign w:val="center"/>
            <w:hideMark/>
          </w:tcPr>
          <w:p w:rsidR="00060342" w:rsidRPr="00576FC2" w:rsidRDefault="00060342" w:rsidP="00060342">
            <w:pPr>
              <w:jc w:val="center"/>
              <w:rPr>
                <w:color w:val="17365D"/>
                <w:szCs w:val="22"/>
              </w:rPr>
            </w:pPr>
            <w:r w:rsidRPr="00576FC2">
              <w:rPr>
                <w:color w:val="17365D"/>
                <w:szCs w:val="22"/>
              </w:rPr>
              <w:t>Yes</w:t>
            </w:r>
          </w:p>
        </w:tc>
      </w:tr>
      <w:tr w:rsidR="00060342" w:rsidRPr="00576FC2" w:rsidTr="00C34EDB">
        <w:trPr>
          <w:trHeight w:val="680"/>
        </w:trPr>
        <w:tc>
          <w:tcPr>
            <w:tcW w:w="1280" w:type="pct"/>
            <w:tcBorders>
              <w:bottom w:val="single" w:sz="4" w:space="0" w:color="BFBFBF"/>
            </w:tcBorders>
            <w:shd w:val="clear" w:color="000000" w:fill="FFFFFF"/>
            <w:vAlign w:val="center"/>
            <w:hideMark/>
          </w:tcPr>
          <w:p w:rsidR="00060342" w:rsidRPr="00576FC2" w:rsidRDefault="00060342" w:rsidP="00E03F13">
            <w:pPr>
              <w:rPr>
                <w:b/>
                <w:bCs/>
                <w:color w:val="222222"/>
                <w:szCs w:val="22"/>
              </w:rPr>
            </w:pPr>
            <w:r w:rsidRPr="00576FC2">
              <w:rPr>
                <w:b/>
                <w:bCs/>
                <w:color w:val="222222"/>
                <w:szCs w:val="22"/>
              </w:rPr>
              <w:t>Register of interests – members</w:t>
            </w:r>
          </w:p>
        </w:tc>
        <w:tc>
          <w:tcPr>
            <w:tcW w:w="372" w:type="pct"/>
            <w:tcBorders>
              <w:bottom w:val="single" w:sz="4" w:space="0" w:color="BFBFBF"/>
            </w:tcBorders>
            <w:shd w:val="clear" w:color="auto" w:fill="C2D69B" w:themeFill="accent3" w:themeFillTint="99"/>
            <w:vAlign w:val="center"/>
            <w:hideMark/>
          </w:tcPr>
          <w:p w:rsidR="00060342" w:rsidRPr="00576FC2" w:rsidRDefault="00C34EDB" w:rsidP="00E03F13">
            <w:pPr>
              <w:jc w:val="center"/>
              <w:rPr>
                <w:color w:val="000000"/>
                <w:sz w:val="20"/>
                <w:szCs w:val="20"/>
              </w:rPr>
            </w:pPr>
            <w:r>
              <w:rPr>
                <w:color w:val="000000"/>
                <w:sz w:val="20"/>
                <w:szCs w:val="20"/>
              </w:rPr>
              <w:t>Yes</w:t>
            </w:r>
          </w:p>
        </w:tc>
        <w:tc>
          <w:tcPr>
            <w:tcW w:w="372" w:type="pct"/>
            <w:tcBorders>
              <w:bottom w:val="single" w:sz="4" w:space="0" w:color="BFBFBF"/>
            </w:tcBorders>
            <w:shd w:val="clear" w:color="000000" w:fill="C2D69B"/>
            <w:vAlign w:val="center"/>
            <w:hideMark/>
          </w:tcPr>
          <w:p w:rsidR="00060342" w:rsidRPr="00576FC2" w:rsidRDefault="00060342" w:rsidP="00E03F13">
            <w:pPr>
              <w:jc w:val="center"/>
              <w:rPr>
                <w:color w:val="17365D"/>
                <w:szCs w:val="22"/>
              </w:rPr>
            </w:pPr>
            <w:r w:rsidRPr="00576FC2">
              <w:rPr>
                <w:color w:val="17365D"/>
                <w:szCs w:val="22"/>
              </w:rPr>
              <w:t>Yes</w:t>
            </w:r>
          </w:p>
        </w:tc>
        <w:tc>
          <w:tcPr>
            <w:tcW w:w="372" w:type="pct"/>
            <w:tcBorders>
              <w:bottom w:val="single" w:sz="4" w:space="0" w:color="BFBFBF"/>
            </w:tcBorders>
            <w:shd w:val="clear" w:color="auto" w:fill="C2D69B" w:themeFill="accent3" w:themeFillTint="99"/>
            <w:vAlign w:val="center"/>
            <w:hideMark/>
          </w:tcPr>
          <w:p w:rsidR="00060342" w:rsidRPr="00576FC2" w:rsidRDefault="00C34EDB" w:rsidP="00E03F13">
            <w:pPr>
              <w:jc w:val="center"/>
              <w:rPr>
                <w:color w:val="000000"/>
                <w:sz w:val="20"/>
                <w:szCs w:val="20"/>
              </w:rPr>
            </w:pPr>
            <w:r>
              <w:rPr>
                <w:color w:val="000000"/>
                <w:sz w:val="20"/>
                <w:szCs w:val="20"/>
              </w:rPr>
              <w:t>Yes</w:t>
            </w:r>
          </w:p>
        </w:tc>
        <w:tc>
          <w:tcPr>
            <w:tcW w:w="372" w:type="pct"/>
            <w:tcBorders>
              <w:bottom w:val="single" w:sz="4" w:space="0" w:color="BFBFBF"/>
            </w:tcBorders>
            <w:shd w:val="clear" w:color="auto" w:fill="C2D69B" w:themeFill="accent3" w:themeFillTint="99"/>
            <w:vAlign w:val="center"/>
            <w:hideMark/>
          </w:tcPr>
          <w:p w:rsidR="00060342" w:rsidRPr="00576FC2" w:rsidRDefault="00C34EDB" w:rsidP="00E03F13">
            <w:pPr>
              <w:jc w:val="center"/>
              <w:rPr>
                <w:color w:val="17365D"/>
                <w:szCs w:val="22"/>
              </w:rPr>
            </w:pPr>
            <w:r>
              <w:rPr>
                <w:color w:val="17365D"/>
                <w:szCs w:val="22"/>
              </w:rPr>
              <w:t>Yes</w:t>
            </w:r>
          </w:p>
        </w:tc>
        <w:tc>
          <w:tcPr>
            <w:tcW w:w="373" w:type="pct"/>
            <w:tcBorders>
              <w:bottom w:val="single" w:sz="4" w:space="0" w:color="BFBFBF"/>
            </w:tcBorders>
            <w:shd w:val="clear" w:color="auto" w:fill="C2D69B" w:themeFill="accent3" w:themeFillTint="99"/>
            <w:vAlign w:val="center"/>
            <w:hideMark/>
          </w:tcPr>
          <w:p w:rsidR="00060342" w:rsidRPr="00576FC2" w:rsidRDefault="00C34EDB" w:rsidP="00E03F13">
            <w:pPr>
              <w:jc w:val="center"/>
              <w:rPr>
                <w:color w:val="17365D"/>
                <w:szCs w:val="22"/>
              </w:rPr>
            </w:pPr>
            <w:r>
              <w:rPr>
                <w:color w:val="17365D"/>
                <w:szCs w:val="22"/>
              </w:rPr>
              <w:t>Yes</w:t>
            </w:r>
          </w:p>
        </w:tc>
        <w:tc>
          <w:tcPr>
            <w:tcW w:w="372" w:type="pct"/>
            <w:tcBorders>
              <w:bottom w:val="single" w:sz="4" w:space="0" w:color="BFBFBF"/>
            </w:tcBorders>
            <w:shd w:val="clear" w:color="000000" w:fill="C2D69B"/>
            <w:vAlign w:val="center"/>
            <w:hideMark/>
          </w:tcPr>
          <w:p w:rsidR="00060342" w:rsidRPr="00576FC2" w:rsidRDefault="00060342" w:rsidP="00E03F13">
            <w:pPr>
              <w:jc w:val="center"/>
              <w:rPr>
                <w:color w:val="17365D"/>
                <w:szCs w:val="22"/>
              </w:rPr>
            </w:pPr>
            <w:r w:rsidRPr="00576FC2">
              <w:rPr>
                <w:color w:val="17365D"/>
                <w:szCs w:val="22"/>
              </w:rPr>
              <w:t>Yes</w:t>
            </w:r>
          </w:p>
        </w:tc>
        <w:tc>
          <w:tcPr>
            <w:tcW w:w="372" w:type="pct"/>
            <w:tcBorders>
              <w:bottom w:val="single" w:sz="4" w:space="0" w:color="BFBFBF"/>
            </w:tcBorders>
            <w:shd w:val="clear" w:color="000000" w:fill="C2D69B"/>
            <w:vAlign w:val="center"/>
            <w:hideMark/>
          </w:tcPr>
          <w:p w:rsidR="00060342" w:rsidRPr="00576FC2" w:rsidRDefault="00060342" w:rsidP="00E03F13">
            <w:pPr>
              <w:jc w:val="center"/>
              <w:rPr>
                <w:color w:val="17365D"/>
                <w:szCs w:val="22"/>
              </w:rPr>
            </w:pPr>
            <w:r w:rsidRPr="00576FC2">
              <w:rPr>
                <w:color w:val="17365D"/>
                <w:szCs w:val="22"/>
              </w:rPr>
              <w:t>Yes</w:t>
            </w:r>
          </w:p>
        </w:tc>
        <w:tc>
          <w:tcPr>
            <w:tcW w:w="372" w:type="pct"/>
            <w:tcBorders>
              <w:bottom w:val="single" w:sz="4" w:space="0" w:color="BFBFBF"/>
            </w:tcBorders>
            <w:shd w:val="clear" w:color="auto" w:fill="C2D69B" w:themeFill="accent3" w:themeFillTint="99"/>
            <w:vAlign w:val="center"/>
            <w:hideMark/>
          </w:tcPr>
          <w:p w:rsidR="00060342" w:rsidRPr="00576FC2" w:rsidRDefault="00C34EDB" w:rsidP="00E03F13">
            <w:pPr>
              <w:jc w:val="center"/>
              <w:rPr>
                <w:color w:val="000000"/>
                <w:sz w:val="20"/>
                <w:szCs w:val="20"/>
              </w:rPr>
            </w:pPr>
            <w:r>
              <w:rPr>
                <w:color w:val="000000"/>
                <w:sz w:val="20"/>
                <w:szCs w:val="20"/>
              </w:rPr>
              <w:t>Yes</w:t>
            </w:r>
          </w:p>
        </w:tc>
        <w:tc>
          <w:tcPr>
            <w:tcW w:w="372" w:type="pct"/>
            <w:tcBorders>
              <w:bottom w:val="single" w:sz="4" w:space="0" w:color="BFBFBF"/>
            </w:tcBorders>
            <w:shd w:val="clear" w:color="000000" w:fill="C2D69B"/>
            <w:vAlign w:val="center"/>
            <w:hideMark/>
          </w:tcPr>
          <w:p w:rsidR="00060342" w:rsidRPr="00576FC2" w:rsidRDefault="00060342" w:rsidP="00E03F13">
            <w:pPr>
              <w:jc w:val="center"/>
              <w:rPr>
                <w:color w:val="17365D"/>
                <w:szCs w:val="22"/>
              </w:rPr>
            </w:pPr>
            <w:r w:rsidRPr="00576FC2">
              <w:rPr>
                <w:color w:val="17365D"/>
                <w:szCs w:val="22"/>
              </w:rPr>
              <w:t>Yes</w:t>
            </w:r>
          </w:p>
        </w:tc>
        <w:tc>
          <w:tcPr>
            <w:tcW w:w="371" w:type="pct"/>
            <w:tcBorders>
              <w:bottom w:val="single" w:sz="4" w:space="0" w:color="BFBFBF"/>
            </w:tcBorders>
            <w:shd w:val="clear" w:color="auto" w:fill="C2D69B" w:themeFill="accent3" w:themeFillTint="99"/>
            <w:vAlign w:val="center"/>
            <w:hideMark/>
          </w:tcPr>
          <w:p w:rsidR="00060342" w:rsidRPr="00576FC2" w:rsidRDefault="00C34EDB" w:rsidP="00E03F13">
            <w:pPr>
              <w:jc w:val="center"/>
              <w:rPr>
                <w:color w:val="17365D"/>
                <w:szCs w:val="22"/>
              </w:rPr>
            </w:pPr>
            <w:r>
              <w:rPr>
                <w:color w:val="17365D"/>
                <w:szCs w:val="22"/>
              </w:rPr>
              <w:t>Yes</w:t>
            </w:r>
          </w:p>
        </w:tc>
      </w:tr>
    </w:tbl>
    <w:p w:rsidR="00060342" w:rsidRDefault="00060342" w:rsidP="00E03F13">
      <w:pPr>
        <w:pStyle w:val="Heading2"/>
        <w:keepNext w:val="0"/>
        <w:spacing w:before="360" w:after="240"/>
      </w:pPr>
      <w:r>
        <w:t>Conclusion</w:t>
      </w:r>
    </w:p>
    <w:p w:rsidR="00060342" w:rsidRDefault="00060342" w:rsidP="00E03F13">
      <w:pPr>
        <w:pStyle w:val="Bodycopy"/>
        <w:keepNext w:val="0"/>
        <w:rPr>
          <w:sz w:val="24"/>
          <w:szCs w:val="24"/>
          <w:lang w:eastAsia="en-US"/>
        </w:rPr>
      </w:pPr>
      <w:r w:rsidRPr="00060342">
        <w:rPr>
          <w:sz w:val="24"/>
          <w:szCs w:val="24"/>
          <w:lang w:eastAsia="en-US"/>
        </w:rPr>
        <w:t xml:space="preserve">This paper has outlined numerous methods whereby parliaments </w:t>
      </w:r>
      <w:r>
        <w:rPr>
          <w:sz w:val="24"/>
          <w:szCs w:val="24"/>
          <w:lang w:eastAsia="en-US"/>
        </w:rPr>
        <w:t xml:space="preserve">can operate within an ethical governance framework. And as one commentator noted, there </w:t>
      </w:r>
      <w:r w:rsidR="009F0207">
        <w:rPr>
          <w:sz w:val="24"/>
          <w:szCs w:val="24"/>
          <w:lang w:eastAsia="en-US"/>
        </w:rPr>
        <w:t>are</w:t>
      </w:r>
      <w:r>
        <w:rPr>
          <w:sz w:val="24"/>
          <w:szCs w:val="24"/>
          <w:lang w:eastAsia="en-US"/>
        </w:rPr>
        <w:t xml:space="preserve"> not just one or two significant measures that result in such accountability measures</w:t>
      </w:r>
      <w:r w:rsidR="00B94742">
        <w:rPr>
          <w:sz w:val="24"/>
          <w:szCs w:val="24"/>
          <w:lang w:eastAsia="en-US"/>
        </w:rPr>
        <w:t>—</w:t>
      </w:r>
      <w:r>
        <w:rPr>
          <w:sz w:val="24"/>
          <w:szCs w:val="24"/>
          <w:lang w:eastAsia="en-US"/>
        </w:rPr>
        <w:t>rather it can be imagined as:</w:t>
      </w:r>
    </w:p>
    <w:p w:rsidR="00060342" w:rsidRPr="00060342" w:rsidRDefault="00060342" w:rsidP="00E03F13">
      <w:pPr>
        <w:pStyle w:val="Bodycopy"/>
        <w:keepLines/>
        <w:tabs>
          <w:tab w:val="left" w:pos="567"/>
        </w:tabs>
        <w:ind w:left="567" w:right="567"/>
        <w:rPr>
          <w:sz w:val="24"/>
          <w:szCs w:val="24"/>
          <w:lang w:eastAsia="en-US"/>
        </w:rPr>
      </w:pPr>
      <w:r>
        <w:rPr>
          <w:sz w:val="24"/>
          <w:szCs w:val="24"/>
          <w:lang w:eastAsia="en-US"/>
        </w:rPr>
        <w:t xml:space="preserve">... a birds nest. Several weak reeds which hold the egg of integrity, and the thing about that which is actually good is that none of them are really strong because they </w:t>
      </w:r>
      <w:r w:rsidR="009F3FFE">
        <w:rPr>
          <w:sz w:val="24"/>
          <w:szCs w:val="24"/>
          <w:lang w:eastAsia="en-US"/>
        </w:rPr>
        <w:t>themselves aren’t going to be the problem, but collectively, if they do the right thing, they can actually preserve integrity.</w:t>
      </w:r>
      <w:r w:rsidR="009F3FFE">
        <w:rPr>
          <w:rStyle w:val="FootnoteReference"/>
          <w:sz w:val="24"/>
          <w:szCs w:val="24"/>
          <w:lang w:eastAsia="en-US"/>
        </w:rPr>
        <w:footnoteReference w:id="6"/>
      </w:r>
    </w:p>
    <w:p w:rsidR="00FA0069" w:rsidRDefault="009F3FFE" w:rsidP="00E03F13">
      <w:pPr>
        <w:pStyle w:val="Bodycopy"/>
        <w:keepNext w:val="0"/>
        <w:rPr>
          <w:sz w:val="24"/>
          <w:szCs w:val="24"/>
          <w:lang w:eastAsia="en-US"/>
        </w:rPr>
      </w:pPr>
      <w:r>
        <w:rPr>
          <w:sz w:val="24"/>
          <w:szCs w:val="24"/>
          <w:lang w:eastAsia="en-US"/>
        </w:rPr>
        <w:t>Taking the analogy further, it is up to Members and parliamentary officers to ensure that these “weak reeds” are maintained, strengthened and enhanced</w:t>
      </w:r>
      <w:r w:rsidR="009F0207">
        <w:rPr>
          <w:sz w:val="24"/>
          <w:szCs w:val="24"/>
          <w:lang w:eastAsia="en-US"/>
        </w:rPr>
        <w:t>.</w:t>
      </w:r>
      <w:r>
        <w:rPr>
          <w:sz w:val="24"/>
          <w:szCs w:val="24"/>
          <w:lang w:eastAsia="en-US"/>
        </w:rPr>
        <w:t xml:space="preserve"> </w:t>
      </w:r>
      <w:r w:rsidR="009F0207">
        <w:rPr>
          <w:sz w:val="24"/>
          <w:szCs w:val="24"/>
          <w:lang w:eastAsia="en-US"/>
        </w:rPr>
        <w:t>A</w:t>
      </w:r>
      <w:r>
        <w:rPr>
          <w:sz w:val="24"/>
          <w:szCs w:val="24"/>
          <w:lang w:eastAsia="en-US"/>
        </w:rPr>
        <w:t>nd conferences such as these assist in that process.</w:t>
      </w:r>
    </w:p>
    <w:p w:rsidR="005D034D" w:rsidRDefault="005D034D">
      <w:pPr>
        <w:rPr>
          <w:rFonts w:asciiTheme="minorHAnsi" w:eastAsiaTheme="minorHAnsi" w:hAnsiTheme="minorHAnsi" w:cstheme="minorHAnsi"/>
          <w:color w:val="000000"/>
          <w:spacing w:val="-3"/>
          <w:sz w:val="24"/>
        </w:rPr>
        <w:sectPr w:rsidR="005D034D" w:rsidSect="009F3FFE">
          <w:pgSz w:w="11907" w:h="16840" w:code="9"/>
          <w:pgMar w:top="1134" w:right="1134" w:bottom="1134" w:left="1134" w:header="1134" w:footer="851" w:gutter="0"/>
          <w:cols w:space="720"/>
          <w:docGrid w:linePitch="360"/>
        </w:sectPr>
      </w:pPr>
    </w:p>
    <w:p w:rsidR="005D034D" w:rsidRPr="005D034D" w:rsidRDefault="0026066F" w:rsidP="005D034D">
      <w:pPr>
        <w:pStyle w:val="RCTitle"/>
        <w:spacing w:after="0"/>
        <w:rPr>
          <w:sz w:val="44"/>
          <w:szCs w:val="44"/>
        </w:rPr>
      </w:pPr>
      <w:r>
        <w:rPr>
          <w:noProof/>
          <w:sz w:val="44"/>
          <w:szCs w:val="44"/>
          <w:lang w:eastAsia="en-AU"/>
        </w:rPr>
        <w:pict>
          <v:shape id="Round Same Side Corner Rectangle 70" o:spid="_x0000_s2050" style="position:absolute;left:0;text-align:left;margin-left:0;margin-top:-5.8pt;width:447.75pt;height: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86425,99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" path="m165103,l5521322,v91184,,165103,73919,165103,165103l5686425,990600r,l,990600r,l,165103c,73919,73919,,165103,xe" fillcolor="white [3212]" stroked="f" strokeweight="2pt">
            <v:path arrowok="t" o:connecttype="custom" o:connectlocs="165103,0;5521322,0;5686425,165103;5686425,990600;5686425,990600;0,990600;0,990600;0,165103;165103,0" o:connectangles="0,0,0,0,0,0,0,0,0"/>
          </v:shape>
        </w:pict>
      </w:r>
      <w:r w:rsidR="005D034D" w:rsidRPr="005D034D">
        <w:rPr>
          <w:sz w:val="44"/>
          <w:szCs w:val="44"/>
        </w:rPr>
        <w:t>Parliamentary performance report card</w:t>
      </w:r>
    </w:p>
    <w:p w:rsidR="005D034D" w:rsidRPr="001A453C" w:rsidRDefault="005D034D" w:rsidP="005D034D">
      <w:pPr>
        <w:pStyle w:val="RCSubtitle"/>
        <w:spacing w:after="60"/>
      </w:pPr>
      <w:r w:rsidRPr="001A453C">
        <w:t>Legislative Assembly for the Australian Capital Territory, 201</w:t>
      </w:r>
      <w:r>
        <w:t>5</w:t>
      </w:r>
    </w:p>
    <w:tbl>
      <w:tblPr>
        <w:tblW w:w="0" w:type="auto"/>
        <w:tblInd w:w="108" w:type="dxa"/>
        <w:tblBorders>
          <w:top w:val="single" w:sz="8" w:space="0" w:color="4F81BD" w:themeColor="accent1"/>
          <w:bottom w:val="single" w:sz="8" w:space="0" w:color="4F81BD" w:themeColor="accent1"/>
          <w:insideH w:val="single" w:sz="8" w:space="0" w:color="4F81BD" w:themeColor="accent1"/>
        </w:tblBorders>
        <w:tblCellMar>
          <w:top w:w="28" w:type="dxa"/>
          <w:bottom w:w="28" w:type="dxa"/>
        </w:tblCellMar>
        <w:tblLook w:val="04A0"/>
      </w:tblPr>
      <w:tblGrid>
        <w:gridCol w:w="7797"/>
        <w:gridCol w:w="1275"/>
        <w:gridCol w:w="1418"/>
      </w:tblGrid>
      <w:tr w:rsidR="005D034D" w:rsidRPr="005D034D" w:rsidTr="005D034D">
        <w:tc>
          <w:tcPr>
            <w:tcW w:w="7797" w:type="dxa"/>
            <w:shd w:val="clear" w:color="auto" w:fill="365F91" w:themeFill="accent1" w:themeFillShade="BF"/>
          </w:tcPr>
          <w:p w:rsidR="005D034D" w:rsidRPr="005D034D" w:rsidRDefault="005D034D" w:rsidP="005D034D">
            <w:pPr>
              <w:pStyle w:val="RCHeading1"/>
              <w:rPr>
                <w:sz w:val="24"/>
                <w:szCs w:val="24"/>
              </w:rPr>
            </w:pPr>
            <w:r w:rsidRPr="005D034D">
              <w:rPr>
                <w:sz w:val="24"/>
                <w:szCs w:val="24"/>
              </w:rPr>
              <w:t>Measure</w:t>
            </w:r>
          </w:p>
        </w:tc>
        <w:tc>
          <w:tcPr>
            <w:tcW w:w="1275" w:type="dxa"/>
            <w:shd w:val="clear" w:color="auto" w:fill="365F91" w:themeFill="accent1" w:themeFillShade="BF"/>
          </w:tcPr>
          <w:p w:rsidR="005D034D" w:rsidRPr="005D034D" w:rsidRDefault="005D034D" w:rsidP="005D034D">
            <w:pPr>
              <w:pStyle w:val="RCHeading1CA"/>
              <w:rPr>
                <w:sz w:val="24"/>
                <w:szCs w:val="24"/>
              </w:rPr>
            </w:pPr>
            <w:r w:rsidRPr="005D034D">
              <w:rPr>
                <w:sz w:val="24"/>
                <w:szCs w:val="24"/>
              </w:rPr>
              <w:t>Score</w:t>
            </w:r>
          </w:p>
        </w:tc>
        <w:tc>
          <w:tcPr>
            <w:tcW w:w="1418" w:type="dxa"/>
            <w:shd w:val="clear" w:color="auto" w:fill="365F91" w:themeFill="accent1" w:themeFillShade="BF"/>
          </w:tcPr>
          <w:p w:rsidR="005D034D" w:rsidRPr="005D034D" w:rsidRDefault="005D034D" w:rsidP="005D034D">
            <w:pPr>
              <w:pStyle w:val="RCHeading1CA"/>
              <w:rPr>
                <w:sz w:val="24"/>
                <w:szCs w:val="24"/>
              </w:rPr>
            </w:pPr>
            <w:r w:rsidRPr="005D034D">
              <w:rPr>
                <w:sz w:val="24"/>
                <w:szCs w:val="24"/>
              </w:rPr>
              <w:t>Rating</w:t>
            </w:r>
          </w:p>
        </w:tc>
        <w:bookmarkStart w:id="0" w:name="_GoBack"/>
        <w:bookmarkEnd w:id="0"/>
      </w:tr>
      <w:tr w:rsidR="005D034D" w:rsidRPr="005D034D" w:rsidTr="005D034D">
        <w:tc>
          <w:tcPr>
            <w:tcW w:w="10490" w:type="dxa"/>
            <w:gridSpan w:val="3"/>
            <w:shd w:val="clear" w:color="auto" w:fill="C6D9F1" w:themeFill="text2" w:themeFillTint="33"/>
          </w:tcPr>
          <w:p w:rsidR="005D034D" w:rsidRPr="005D034D" w:rsidRDefault="005D034D" w:rsidP="00351A79">
            <w:pPr>
              <w:pStyle w:val="RCHeading2"/>
              <w:spacing w:before="40" w:after="40"/>
              <w:rPr>
                <w:sz w:val="24"/>
                <w:szCs w:val="24"/>
              </w:rPr>
            </w:pPr>
            <w:r w:rsidRPr="005D034D">
              <w:rPr>
                <w:sz w:val="24"/>
                <w:szCs w:val="24"/>
              </w:rPr>
              <w:t>Legislation</w:t>
            </w:r>
          </w:p>
        </w:tc>
      </w:tr>
      <w:tr w:rsidR="005D034D" w:rsidRPr="004C3844" w:rsidTr="005D034D">
        <w:trPr>
          <w:trHeight w:val="624"/>
        </w:trPr>
        <w:tc>
          <w:tcPr>
            <w:tcW w:w="7797" w:type="dxa"/>
            <w:shd w:val="clear" w:color="auto" w:fill="FFFFFF" w:themeFill="background1"/>
          </w:tcPr>
          <w:p w:rsidR="005D034D" w:rsidRPr="004C3844" w:rsidRDefault="005D034D" w:rsidP="005D034D">
            <w:pPr>
              <w:pStyle w:val="RCNormalHangingIndent"/>
            </w:pPr>
            <w:r w:rsidRPr="00526BEF">
              <w:rPr>
                <w:rStyle w:val="Strong"/>
              </w:rPr>
              <w:t>1.</w:t>
            </w:r>
            <w:r>
              <w:tab/>
              <w:t>a)</w:t>
            </w:r>
            <w:r w:rsidRPr="004C3844">
              <w:t xml:space="preserve"> </w:t>
            </w:r>
            <w:r>
              <w:tab/>
              <w:t>Average t</w:t>
            </w:r>
            <w:r w:rsidRPr="004C3844">
              <w:t>ime taken between introduction and passage</w:t>
            </w:r>
            <w:r>
              <w:t xml:space="preserve"> of bills</w:t>
            </w:r>
          </w:p>
        </w:tc>
        <w:tc>
          <w:tcPr>
            <w:tcW w:w="1275" w:type="dxa"/>
            <w:shd w:val="clear" w:color="auto" w:fill="FFFFFF" w:themeFill="background1"/>
          </w:tcPr>
          <w:p w:rsidR="005D034D" w:rsidRPr="004C3844" w:rsidRDefault="005D034D" w:rsidP="005D034D">
            <w:pPr>
              <w:pStyle w:val="RCNormalCA"/>
            </w:pPr>
            <w:r>
              <w:t>62</w:t>
            </w:r>
            <w:r w:rsidRPr="004C3844">
              <w:t xml:space="preserve"> days</w:t>
            </w:r>
          </w:p>
        </w:tc>
        <w:tc>
          <w:tcPr>
            <w:tcW w:w="1418" w:type="dxa"/>
            <w:shd w:val="clear" w:color="auto" w:fill="FFFFFF" w:themeFill="background1"/>
          </w:tcPr>
          <w:p w:rsidR="005D034D" w:rsidRPr="009804ED" w:rsidRDefault="005D034D" w:rsidP="005D034D">
            <w:pPr>
              <w:pStyle w:val="RCNormalCA"/>
              <w:rPr>
                <w:sz w:val="20"/>
                <w:szCs w:val="20"/>
              </w:rPr>
            </w:pPr>
            <w:r w:rsidRPr="009804ED">
              <w:rPr>
                <w:noProof/>
                <w:sz w:val="20"/>
                <w:szCs w:val="20"/>
                <w:lang w:eastAsia="en-AU"/>
              </w:rPr>
              <w:drawing>
                <wp:inline distT="0" distB="0" distL="0" distR="0">
                  <wp:extent cx="348354" cy="288000"/>
                  <wp:effectExtent l="0" t="0" r="0" b="0"/>
                  <wp:docPr id="6"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symbols-01-4points.png"/>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8354" cy="288000"/>
                          </a:xfrm>
                          <a:prstGeom prst="rect">
                            <a:avLst/>
                          </a:prstGeom>
                        </pic:spPr>
                      </pic:pic>
                    </a:graphicData>
                  </a:graphic>
                </wp:inline>
              </w:drawing>
            </w:r>
          </w:p>
        </w:tc>
      </w:tr>
      <w:tr w:rsidR="005D034D" w:rsidRPr="004C3844" w:rsidTr="005D034D">
        <w:trPr>
          <w:trHeight w:val="624"/>
        </w:trPr>
        <w:tc>
          <w:tcPr>
            <w:tcW w:w="7797" w:type="dxa"/>
            <w:shd w:val="clear" w:color="auto" w:fill="FFFFFF" w:themeFill="background1"/>
          </w:tcPr>
          <w:p w:rsidR="005D034D" w:rsidRPr="004C3844" w:rsidRDefault="005D034D" w:rsidP="005D034D">
            <w:pPr>
              <w:pStyle w:val="RCNormalHangingIndent"/>
            </w:pPr>
            <w:r>
              <w:tab/>
            </w:r>
            <w:r w:rsidRPr="004C3844">
              <w:t xml:space="preserve">b) </w:t>
            </w:r>
            <w:r>
              <w:tab/>
              <w:t>A</w:t>
            </w:r>
            <w:r w:rsidRPr="004C3844">
              <w:t xml:space="preserve">verage time </w:t>
            </w:r>
            <w:r>
              <w:t xml:space="preserve">each </w:t>
            </w:r>
            <w:r w:rsidRPr="004C3844">
              <w:t>bill</w:t>
            </w:r>
            <w:r>
              <w:t xml:space="preserve"> is </w:t>
            </w:r>
            <w:r w:rsidRPr="004C3844">
              <w:t>debate</w:t>
            </w:r>
            <w:r>
              <w:t>d</w:t>
            </w:r>
          </w:p>
        </w:tc>
        <w:tc>
          <w:tcPr>
            <w:tcW w:w="1275" w:type="dxa"/>
            <w:shd w:val="clear" w:color="auto" w:fill="FFFFFF" w:themeFill="background1"/>
          </w:tcPr>
          <w:p w:rsidR="005D034D" w:rsidRPr="004C3844" w:rsidRDefault="005D034D" w:rsidP="005D034D">
            <w:pPr>
              <w:pStyle w:val="RCNormalCA"/>
            </w:pPr>
            <w:r>
              <w:t>43</w:t>
            </w:r>
            <w:r w:rsidRPr="00653A03">
              <w:t xml:space="preserve"> mins</w:t>
            </w:r>
          </w:p>
        </w:tc>
        <w:tc>
          <w:tcPr>
            <w:tcW w:w="1418" w:type="dxa"/>
            <w:shd w:val="clear" w:color="auto" w:fill="FFFFFF" w:themeFill="background1"/>
          </w:tcPr>
          <w:p w:rsidR="005D034D" w:rsidRPr="009804ED" w:rsidRDefault="005D034D" w:rsidP="005D034D">
            <w:pPr>
              <w:pStyle w:val="RCNormalCA"/>
              <w:rPr>
                <w:sz w:val="20"/>
                <w:szCs w:val="20"/>
                <w:highlight w:val="yellow"/>
              </w:rPr>
            </w:pPr>
            <w:r w:rsidRPr="009804ED">
              <w:rPr>
                <w:noProof/>
                <w:sz w:val="20"/>
                <w:szCs w:val="20"/>
                <w:lang w:eastAsia="en-AU"/>
              </w:rPr>
              <w:drawing>
                <wp:inline distT="0" distB="0" distL="0" distR="0">
                  <wp:extent cx="348354" cy="288000"/>
                  <wp:effectExtent l="0" t="0" r="0" b="0"/>
                  <wp:docPr id="2"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symbols-01-2points.png"/>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8354" cy="288000"/>
                          </a:xfrm>
                          <a:prstGeom prst="rect">
                            <a:avLst/>
                          </a:prstGeom>
                        </pic:spPr>
                      </pic:pic>
                    </a:graphicData>
                  </a:graphic>
                </wp:inline>
              </w:drawing>
            </w:r>
          </w:p>
        </w:tc>
      </w:tr>
      <w:tr w:rsidR="005D034D" w:rsidRPr="004C3844" w:rsidTr="005D034D">
        <w:trPr>
          <w:trHeight w:val="624"/>
        </w:trPr>
        <w:tc>
          <w:tcPr>
            <w:tcW w:w="7797" w:type="dxa"/>
            <w:shd w:val="clear" w:color="auto" w:fill="FFFFFF" w:themeFill="background1"/>
          </w:tcPr>
          <w:p w:rsidR="005D034D" w:rsidRPr="004C3844" w:rsidRDefault="005D034D" w:rsidP="005D034D">
            <w:pPr>
              <w:pStyle w:val="RCNormalHangingIndent"/>
            </w:pPr>
            <w:r>
              <w:tab/>
            </w:r>
            <w:r w:rsidRPr="004C3844">
              <w:t xml:space="preserve">c) </w:t>
            </w:r>
            <w:r>
              <w:tab/>
              <w:t xml:space="preserve">Number of </w:t>
            </w:r>
            <w:r w:rsidRPr="004C3844">
              <w:t>closure motion</w:t>
            </w:r>
            <w:r>
              <w:t>s</w:t>
            </w:r>
            <w:r w:rsidRPr="004C3844">
              <w:t xml:space="preserve"> on bills agreed to</w:t>
            </w:r>
            <w:r>
              <w:t xml:space="preserve"> </w:t>
            </w:r>
            <w:r>
              <w:br/>
              <w:t>(percentage of bills passed)</w:t>
            </w:r>
          </w:p>
        </w:tc>
        <w:tc>
          <w:tcPr>
            <w:tcW w:w="1275" w:type="dxa"/>
            <w:shd w:val="clear" w:color="auto" w:fill="FFFFFF" w:themeFill="background1"/>
          </w:tcPr>
          <w:p w:rsidR="005D034D" w:rsidRDefault="005D034D" w:rsidP="005D034D">
            <w:pPr>
              <w:pStyle w:val="RCNormalCA"/>
            </w:pPr>
            <w:r w:rsidRPr="003365AD">
              <w:t>Nil</w:t>
            </w:r>
          </w:p>
          <w:p w:rsidR="005D034D" w:rsidRPr="00FC7449" w:rsidRDefault="005D034D" w:rsidP="005D034D">
            <w:pPr>
              <w:pStyle w:val="RCNormalCA"/>
              <w:rPr>
                <w:highlight w:val="yellow"/>
              </w:rPr>
            </w:pPr>
            <w:r w:rsidRPr="003365AD">
              <w:t>(0%)</w:t>
            </w:r>
          </w:p>
        </w:tc>
        <w:tc>
          <w:tcPr>
            <w:tcW w:w="1418" w:type="dxa"/>
            <w:shd w:val="clear" w:color="auto" w:fill="FFFFFF" w:themeFill="background1"/>
          </w:tcPr>
          <w:p w:rsidR="005D034D" w:rsidRPr="009804ED" w:rsidRDefault="005D034D" w:rsidP="005D034D">
            <w:pPr>
              <w:pStyle w:val="RCNormalCA"/>
              <w:rPr>
                <w:sz w:val="20"/>
                <w:szCs w:val="20"/>
              </w:rPr>
            </w:pPr>
            <w:r w:rsidRPr="009804ED">
              <w:rPr>
                <w:noProof/>
                <w:sz w:val="20"/>
                <w:szCs w:val="20"/>
                <w:lang w:eastAsia="en-AU"/>
              </w:rPr>
              <w:drawing>
                <wp:inline distT="0" distB="0" distL="0" distR="0">
                  <wp:extent cx="348354" cy="288000"/>
                  <wp:effectExtent l="0" t="0" r="0" b="0"/>
                  <wp:docPr id="3"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symbols-01-5points.png"/>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8354" cy="288000"/>
                          </a:xfrm>
                          <a:prstGeom prst="rect">
                            <a:avLst/>
                          </a:prstGeom>
                        </pic:spPr>
                      </pic:pic>
                    </a:graphicData>
                  </a:graphic>
                </wp:inline>
              </w:drawing>
            </w:r>
          </w:p>
        </w:tc>
      </w:tr>
      <w:tr w:rsidR="005D034D" w:rsidRPr="004C3844" w:rsidTr="005D034D">
        <w:trPr>
          <w:trHeight w:val="624"/>
        </w:trPr>
        <w:tc>
          <w:tcPr>
            <w:tcW w:w="7797" w:type="dxa"/>
            <w:shd w:val="clear" w:color="auto" w:fill="FFFFFF" w:themeFill="background1"/>
          </w:tcPr>
          <w:p w:rsidR="005D034D" w:rsidRPr="004C3844" w:rsidRDefault="005D034D" w:rsidP="005D034D">
            <w:pPr>
              <w:pStyle w:val="RCNormalHangingIndent"/>
            </w:pPr>
            <w:r>
              <w:tab/>
            </w:r>
            <w:r w:rsidRPr="004C3844">
              <w:t xml:space="preserve">d) </w:t>
            </w:r>
            <w:r>
              <w:tab/>
              <w:t>Number</w:t>
            </w:r>
            <w:r w:rsidRPr="004C3844">
              <w:t xml:space="preserve"> of bills introduced and passed on the</w:t>
            </w:r>
            <w:r>
              <w:t xml:space="preserve"> same</w:t>
            </w:r>
            <w:r w:rsidRPr="004C3844">
              <w:t xml:space="preserve"> day</w:t>
            </w:r>
            <w:r>
              <w:t xml:space="preserve"> </w:t>
            </w:r>
            <w:r>
              <w:br/>
              <w:t>(percentage of bills passed)</w:t>
            </w:r>
          </w:p>
        </w:tc>
        <w:tc>
          <w:tcPr>
            <w:tcW w:w="1275" w:type="dxa"/>
            <w:shd w:val="clear" w:color="auto" w:fill="FFFFFF" w:themeFill="background1"/>
          </w:tcPr>
          <w:p w:rsidR="005D034D" w:rsidRDefault="005D034D" w:rsidP="005D034D">
            <w:pPr>
              <w:pStyle w:val="RCNormalCA"/>
            </w:pPr>
            <w:r w:rsidRPr="003365AD">
              <w:t>Nil</w:t>
            </w:r>
          </w:p>
          <w:p w:rsidR="005D034D" w:rsidRPr="003365AD" w:rsidRDefault="005D034D" w:rsidP="005D034D">
            <w:pPr>
              <w:pStyle w:val="RCNormalCA"/>
            </w:pPr>
            <w:r w:rsidRPr="003365AD">
              <w:t>(0%)</w:t>
            </w:r>
          </w:p>
        </w:tc>
        <w:tc>
          <w:tcPr>
            <w:tcW w:w="1418" w:type="dxa"/>
            <w:shd w:val="clear" w:color="auto" w:fill="FFFFFF" w:themeFill="background1"/>
          </w:tcPr>
          <w:p w:rsidR="005D034D" w:rsidRPr="009804ED" w:rsidRDefault="005D034D" w:rsidP="005D034D">
            <w:pPr>
              <w:pStyle w:val="RCNormalCA"/>
              <w:rPr>
                <w:sz w:val="20"/>
                <w:szCs w:val="20"/>
              </w:rPr>
            </w:pPr>
            <w:r w:rsidRPr="009804ED">
              <w:rPr>
                <w:noProof/>
                <w:sz w:val="20"/>
                <w:szCs w:val="20"/>
                <w:lang w:eastAsia="en-AU"/>
              </w:rPr>
              <w:drawing>
                <wp:inline distT="0" distB="0" distL="0" distR="0">
                  <wp:extent cx="348354" cy="288000"/>
                  <wp:effectExtent l="0" t="0" r="0" b="0"/>
                  <wp:docPr id="4"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symbols-01-5points.png"/>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8354" cy="288000"/>
                          </a:xfrm>
                          <a:prstGeom prst="rect">
                            <a:avLst/>
                          </a:prstGeom>
                        </pic:spPr>
                      </pic:pic>
                    </a:graphicData>
                  </a:graphic>
                </wp:inline>
              </w:drawing>
            </w:r>
          </w:p>
        </w:tc>
      </w:tr>
      <w:tr w:rsidR="005D034D" w:rsidRPr="004C3844" w:rsidTr="005D034D">
        <w:trPr>
          <w:trHeight w:val="624"/>
        </w:trPr>
        <w:tc>
          <w:tcPr>
            <w:tcW w:w="7797" w:type="dxa"/>
            <w:shd w:val="clear" w:color="auto" w:fill="FFFFFF" w:themeFill="background1"/>
          </w:tcPr>
          <w:p w:rsidR="005D034D" w:rsidRPr="004C3844" w:rsidRDefault="005D034D" w:rsidP="005D034D">
            <w:pPr>
              <w:pStyle w:val="RCNormalHangingIndent"/>
            </w:pPr>
            <w:r w:rsidRPr="00526BEF">
              <w:rPr>
                <w:rStyle w:val="Strong"/>
              </w:rPr>
              <w:t>2.</w:t>
            </w:r>
            <w:r>
              <w:tab/>
            </w:r>
            <w:r w:rsidRPr="004C3844">
              <w:t xml:space="preserve">a) </w:t>
            </w:r>
            <w:r>
              <w:tab/>
              <w:t>Percentage</w:t>
            </w:r>
            <w:r w:rsidRPr="004C3844">
              <w:t xml:space="preserve"> of bills considered by scrutiny </w:t>
            </w:r>
            <w:r>
              <w:t xml:space="preserve">of bills </w:t>
            </w:r>
            <w:r w:rsidRPr="004C3844">
              <w:t>committee</w:t>
            </w:r>
          </w:p>
        </w:tc>
        <w:tc>
          <w:tcPr>
            <w:tcW w:w="1275" w:type="dxa"/>
            <w:shd w:val="clear" w:color="auto" w:fill="FFFFFF" w:themeFill="background1"/>
          </w:tcPr>
          <w:p w:rsidR="005D034D" w:rsidRPr="003365AD" w:rsidRDefault="005D034D" w:rsidP="005D034D">
            <w:pPr>
              <w:pStyle w:val="RCNormalCA"/>
            </w:pPr>
            <w:r w:rsidRPr="003365AD">
              <w:t>100%</w:t>
            </w:r>
          </w:p>
        </w:tc>
        <w:tc>
          <w:tcPr>
            <w:tcW w:w="1418" w:type="dxa"/>
            <w:shd w:val="clear" w:color="auto" w:fill="FFFFFF" w:themeFill="background1"/>
          </w:tcPr>
          <w:p w:rsidR="005D034D" w:rsidRPr="009804ED" w:rsidRDefault="005D034D" w:rsidP="005D034D">
            <w:pPr>
              <w:pStyle w:val="RCNormalCA"/>
              <w:rPr>
                <w:sz w:val="20"/>
                <w:szCs w:val="20"/>
              </w:rPr>
            </w:pPr>
            <w:r w:rsidRPr="009804ED">
              <w:rPr>
                <w:noProof/>
                <w:sz w:val="20"/>
                <w:szCs w:val="20"/>
                <w:lang w:eastAsia="en-AU"/>
              </w:rPr>
              <w:drawing>
                <wp:inline distT="0" distB="0" distL="0" distR="0">
                  <wp:extent cx="348354" cy="2880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symbols-01-5points.png"/>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8354" cy="288000"/>
                          </a:xfrm>
                          <a:prstGeom prst="rect">
                            <a:avLst/>
                          </a:prstGeom>
                        </pic:spPr>
                      </pic:pic>
                    </a:graphicData>
                  </a:graphic>
                </wp:inline>
              </w:drawing>
            </w:r>
          </w:p>
        </w:tc>
      </w:tr>
      <w:tr w:rsidR="005D034D" w:rsidRPr="004C3844" w:rsidTr="005D034D">
        <w:trPr>
          <w:trHeight w:val="624"/>
        </w:trPr>
        <w:tc>
          <w:tcPr>
            <w:tcW w:w="7797" w:type="dxa"/>
            <w:shd w:val="clear" w:color="auto" w:fill="FFFFFF" w:themeFill="background1"/>
          </w:tcPr>
          <w:p w:rsidR="005D034D" w:rsidRPr="004C3844" w:rsidRDefault="005D034D" w:rsidP="005D034D">
            <w:pPr>
              <w:pStyle w:val="RCNormalHangingIndent"/>
            </w:pPr>
            <w:r>
              <w:tab/>
            </w:r>
            <w:r w:rsidRPr="004C3844">
              <w:t xml:space="preserve">b) </w:t>
            </w:r>
            <w:r>
              <w:tab/>
              <w:t>Percentage</w:t>
            </w:r>
            <w:r w:rsidRPr="004C3844">
              <w:t xml:space="preserve"> of bills referred to committee</w:t>
            </w:r>
            <w:r>
              <w:t>s</w:t>
            </w:r>
          </w:p>
        </w:tc>
        <w:tc>
          <w:tcPr>
            <w:tcW w:w="1275" w:type="dxa"/>
            <w:shd w:val="clear" w:color="auto" w:fill="FFFFFF" w:themeFill="background1"/>
          </w:tcPr>
          <w:p w:rsidR="005D034D" w:rsidRDefault="005D034D" w:rsidP="005D034D">
            <w:pPr>
              <w:pStyle w:val="RCNormalCA"/>
            </w:pPr>
            <w:r>
              <w:t>7</w:t>
            </w:r>
            <w:r w:rsidRPr="004C3844">
              <w:t>%</w:t>
            </w:r>
          </w:p>
          <w:p w:rsidR="005D034D" w:rsidRPr="004C3844" w:rsidRDefault="005D034D" w:rsidP="005D034D">
            <w:pPr>
              <w:pStyle w:val="RCNormalCA"/>
            </w:pPr>
            <w:r w:rsidRPr="009C0105">
              <w:rPr>
                <w:sz w:val="20"/>
                <w:szCs w:val="20"/>
              </w:rPr>
              <w:t>(</w:t>
            </w:r>
            <w:r>
              <w:rPr>
                <w:sz w:val="20"/>
                <w:szCs w:val="20"/>
              </w:rPr>
              <w:t>4</w:t>
            </w:r>
            <w:r w:rsidRPr="009C0105">
              <w:rPr>
                <w:sz w:val="20"/>
                <w:szCs w:val="20"/>
              </w:rPr>
              <w:t>/</w:t>
            </w:r>
            <w:r>
              <w:rPr>
                <w:sz w:val="20"/>
                <w:szCs w:val="20"/>
              </w:rPr>
              <w:t>57</w:t>
            </w:r>
            <w:r w:rsidRPr="009C0105">
              <w:rPr>
                <w:sz w:val="20"/>
                <w:szCs w:val="20"/>
              </w:rPr>
              <w:t>)</w:t>
            </w:r>
          </w:p>
        </w:tc>
        <w:tc>
          <w:tcPr>
            <w:tcW w:w="1418" w:type="dxa"/>
            <w:shd w:val="clear" w:color="auto" w:fill="FFFFFF" w:themeFill="background1"/>
          </w:tcPr>
          <w:p w:rsidR="005D034D" w:rsidRPr="009804ED" w:rsidRDefault="005D034D" w:rsidP="005D034D">
            <w:pPr>
              <w:pStyle w:val="RCNormalCA"/>
              <w:rPr>
                <w:sz w:val="20"/>
                <w:szCs w:val="20"/>
              </w:rPr>
            </w:pPr>
            <w:r w:rsidRPr="009804ED">
              <w:rPr>
                <w:noProof/>
                <w:sz w:val="20"/>
                <w:szCs w:val="20"/>
                <w:lang w:eastAsia="en-AU"/>
              </w:rPr>
              <w:drawing>
                <wp:inline distT="0" distB="0" distL="0" distR="0">
                  <wp:extent cx="348354" cy="288000"/>
                  <wp:effectExtent l="0" t="0" r="0" b="0"/>
                  <wp:docPr id="5"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symbols-01-1point.png"/>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8354" cy="288000"/>
                          </a:xfrm>
                          <a:prstGeom prst="rect">
                            <a:avLst/>
                          </a:prstGeom>
                        </pic:spPr>
                      </pic:pic>
                    </a:graphicData>
                  </a:graphic>
                </wp:inline>
              </w:drawing>
            </w:r>
          </w:p>
        </w:tc>
      </w:tr>
      <w:tr w:rsidR="005D034D" w:rsidRPr="005D034D" w:rsidTr="005D034D">
        <w:tc>
          <w:tcPr>
            <w:tcW w:w="10490" w:type="dxa"/>
            <w:gridSpan w:val="3"/>
            <w:shd w:val="clear" w:color="auto" w:fill="C6D9F1" w:themeFill="text2" w:themeFillTint="33"/>
          </w:tcPr>
          <w:p w:rsidR="005D034D" w:rsidRPr="005D034D" w:rsidRDefault="005D034D" w:rsidP="00351A79">
            <w:pPr>
              <w:pStyle w:val="RCHeading2"/>
              <w:spacing w:before="40" w:after="40"/>
              <w:rPr>
                <w:sz w:val="24"/>
                <w:szCs w:val="24"/>
              </w:rPr>
            </w:pPr>
            <w:r w:rsidRPr="005D034D">
              <w:rPr>
                <w:sz w:val="24"/>
                <w:szCs w:val="24"/>
              </w:rPr>
              <w:t>Scrutiny</w:t>
            </w:r>
          </w:p>
        </w:tc>
      </w:tr>
      <w:tr w:rsidR="005D034D" w:rsidRPr="004C3844" w:rsidTr="005D034D">
        <w:trPr>
          <w:trHeight w:val="624"/>
        </w:trPr>
        <w:tc>
          <w:tcPr>
            <w:tcW w:w="7797" w:type="dxa"/>
            <w:shd w:val="clear" w:color="auto" w:fill="FFFFFF" w:themeFill="background1"/>
          </w:tcPr>
          <w:p w:rsidR="005D034D" w:rsidRPr="004C3844" w:rsidRDefault="005D034D" w:rsidP="005D034D">
            <w:pPr>
              <w:pStyle w:val="RCNormalHangingIndent"/>
            </w:pPr>
            <w:r w:rsidRPr="00526BEF">
              <w:rPr>
                <w:rStyle w:val="Strong"/>
              </w:rPr>
              <w:t>3.</w:t>
            </w:r>
            <w:r w:rsidRPr="004C3844">
              <w:t xml:space="preserve"> </w:t>
            </w:r>
            <w:r>
              <w:tab/>
            </w:r>
            <w:r>
              <w:tab/>
            </w:r>
            <w:r w:rsidRPr="004C3844">
              <w:t>Number of non-executive bills enacted</w:t>
            </w:r>
            <w:r>
              <w:t xml:space="preserve"> (percentage of bills enacted)</w:t>
            </w:r>
          </w:p>
        </w:tc>
        <w:tc>
          <w:tcPr>
            <w:tcW w:w="1275" w:type="dxa"/>
            <w:shd w:val="clear" w:color="auto" w:fill="FFFFFF" w:themeFill="background1"/>
          </w:tcPr>
          <w:p w:rsidR="005D034D" w:rsidRDefault="005D034D" w:rsidP="005D034D">
            <w:pPr>
              <w:pStyle w:val="RCNormalCA"/>
            </w:pPr>
            <w:r>
              <w:t>3/53</w:t>
            </w:r>
          </w:p>
          <w:p w:rsidR="005D034D" w:rsidRPr="004C3844" w:rsidRDefault="005D034D" w:rsidP="005D034D">
            <w:pPr>
              <w:pStyle w:val="RCNormalCA"/>
            </w:pPr>
            <w:r>
              <w:t>(6%)</w:t>
            </w:r>
          </w:p>
        </w:tc>
        <w:tc>
          <w:tcPr>
            <w:tcW w:w="1418" w:type="dxa"/>
            <w:shd w:val="clear" w:color="auto" w:fill="FFFFFF" w:themeFill="background1"/>
          </w:tcPr>
          <w:p w:rsidR="005D034D" w:rsidRPr="009804ED" w:rsidRDefault="005D034D" w:rsidP="005D034D">
            <w:pPr>
              <w:pStyle w:val="RCNormalCA"/>
              <w:rPr>
                <w:sz w:val="20"/>
                <w:szCs w:val="20"/>
              </w:rPr>
            </w:pPr>
            <w:r w:rsidRPr="009804ED">
              <w:rPr>
                <w:noProof/>
                <w:sz w:val="20"/>
                <w:szCs w:val="20"/>
                <w:lang w:eastAsia="en-AU"/>
              </w:rPr>
              <w:drawing>
                <wp:inline distT="0" distB="0" distL="0" distR="0">
                  <wp:extent cx="348402" cy="288000"/>
                  <wp:effectExtent l="0" t="0" r="0" b="0"/>
                  <wp:docPr id="7"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symbols-01-zero.png"/>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8402" cy="288000"/>
                          </a:xfrm>
                          <a:prstGeom prst="rect">
                            <a:avLst/>
                          </a:prstGeom>
                        </pic:spPr>
                      </pic:pic>
                    </a:graphicData>
                  </a:graphic>
                </wp:inline>
              </w:drawing>
            </w:r>
          </w:p>
        </w:tc>
      </w:tr>
      <w:tr w:rsidR="005D034D" w:rsidRPr="004C3844" w:rsidTr="005D034D">
        <w:trPr>
          <w:trHeight w:val="624"/>
        </w:trPr>
        <w:tc>
          <w:tcPr>
            <w:tcW w:w="7797" w:type="dxa"/>
            <w:shd w:val="clear" w:color="auto" w:fill="FFFFFF" w:themeFill="background1"/>
          </w:tcPr>
          <w:p w:rsidR="005D034D" w:rsidRPr="004C3844" w:rsidRDefault="005D034D" w:rsidP="005D034D">
            <w:pPr>
              <w:pStyle w:val="RCNormalHangingIndent"/>
            </w:pPr>
            <w:r w:rsidRPr="00526BEF">
              <w:rPr>
                <w:rStyle w:val="Strong"/>
              </w:rPr>
              <w:t>4.</w:t>
            </w:r>
            <w:r w:rsidRPr="004C3844">
              <w:t xml:space="preserve"> </w:t>
            </w:r>
            <w:r>
              <w:tab/>
            </w:r>
            <w:r>
              <w:tab/>
            </w:r>
            <w:r w:rsidRPr="004C3844">
              <w:t xml:space="preserve">Number of non-government amendments </w:t>
            </w:r>
            <w:r>
              <w:t xml:space="preserve">to bills </w:t>
            </w:r>
            <w:r w:rsidRPr="004C3844">
              <w:t>agreed to</w:t>
            </w:r>
            <w:r>
              <w:t xml:space="preserve"> </w:t>
            </w:r>
            <w:r>
              <w:br/>
              <w:t>(percentage of all amendments)</w:t>
            </w:r>
          </w:p>
        </w:tc>
        <w:tc>
          <w:tcPr>
            <w:tcW w:w="1275" w:type="dxa"/>
            <w:shd w:val="clear" w:color="auto" w:fill="FFFFFF" w:themeFill="background1"/>
          </w:tcPr>
          <w:p w:rsidR="005D034D" w:rsidRDefault="005D034D" w:rsidP="005D034D">
            <w:pPr>
              <w:pStyle w:val="RCNormalCA"/>
            </w:pPr>
            <w:r>
              <w:t>15/105</w:t>
            </w:r>
          </w:p>
          <w:p w:rsidR="005D034D" w:rsidRPr="004C3844" w:rsidRDefault="005D034D" w:rsidP="005D034D">
            <w:pPr>
              <w:pStyle w:val="RCNormalCA"/>
            </w:pPr>
            <w:r>
              <w:t>(14%)</w:t>
            </w:r>
          </w:p>
        </w:tc>
        <w:tc>
          <w:tcPr>
            <w:tcW w:w="1418" w:type="dxa"/>
            <w:shd w:val="clear" w:color="auto" w:fill="FFFFFF" w:themeFill="background1"/>
          </w:tcPr>
          <w:p w:rsidR="005D034D" w:rsidRPr="009804ED" w:rsidRDefault="005D034D" w:rsidP="005D034D">
            <w:pPr>
              <w:pStyle w:val="RCNormalCA"/>
              <w:rPr>
                <w:sz w:val="20"/>
                <w:szCs w:val="20"/>
              </w:rPr>
            </w:pPr>
            <w:r w:rsidRPr="009804ED">
              <w:rPr>
                <w:noProof/>
                <w:sz w:val="20"/>
                <w:szCs w:val="20"/>
                <w:lang w:eastAsia="en-AU"/>
              </w:rPr>
              <w:drawing>
                <wp:inline distT="0" distB="0" distL="0" distR="0">
                  <wp:extent cx="348354" cy="288000"/>
                  <wp:effectExtent l="0" t="0" r="0" b="0"/>
                  <wp:docPr id="9"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symbols-01-1point.png"/>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8354" cy="288000"/>
                          </a:xfrm>
                          <a:prstGeom prst="rect">
                            <a:avLst/>
                          </a:prstGeom>
                        </pic:spPr>
                      </pic:pic>
                    </a:graphicData>
                  </a:graphic>
                </wp:inline>
              </w:drawing>
            </w:r>
          </w:p>
        </w:tc>
      </w:tr>
      <w:tr w:rsidR="005D034D" w:rsidRPr="004C3844" w:rsidTr="005D034D">
        <w:trPr>
          <w:trHeight w:val="624"/>
        </w:trPr>
        <w:tc>
          <w:tcPr>
            <w:tcW w:w="7797" w:type="dxa"/>
            <w:shd w:val="clear" w:color="auto" w:fill="FFFFFF" w:themeFill="background1"/>
          </w:tcPr>
          <w:p w:rsidR="005D034D" w:rsidRPr="004C3844" w:rsidRDefault="005D034D" w:rsidP="005D034D">
            <w:pPr>
              <w:pStyle w:val="RCNormalHangingIndent"/>
            </w:pPr>
            <w:r w:rsidRPr="00526BEF">
              <w:rPr>
                <w:rStyle w:val="Strong"/>
              </w:rPr>
              <w:t>5.</w:t>
            </w:r>
            <w:r w:rsidRPr="004C3844">
              <w:t xml:space="preserve"> </w:t>
            </w:r>
            <w:r>
              <w:tab/>
            </w:r>
            <w:r>
              <w:tab/>
              <w:t>Percentage</w:t>
            </w:r>
            <w:r w:rsidRPr="004C3844">
              <w:t xml:space="preserve"> of questions on notice answered</w:t>
            </w:r>
          </w:p>
        </w:tc>
        <w:tc>
          <w:tcPr>
            <w:tcW w:w="1275" w:type="dxa"/>
            <w:shd w:val="clear" w:color="auto" w:fill="FFFFFF" w:themeFill="background1"/>
          </w:tcPr>
          <w:p w:rsidR="005D034D" w:rsidRPr="009E2857" w:rsidRDefault="005D034D" w:rsidP="005D034D">
            <w:pPr>
              <w:pStyle w:val="RCNormalCA"/>
            </w:pPr>
            <w:r>
              <w:t>83</w:t>
            </w:r>
            <w:r w:rsidRPr="00205F0D">
              <w:t>%</w:t>
            </w:r>
          </w:p>
        </w:tc>
        <w:tc>
          <w:tcPr>
            <w:tcW w:w="1418" w:type="dxa"/>
            <w:shd w:val="clear" w:color="auto" w:fill="FFFFFF" w:themeFill="background1"/>
          </w:tcPr>
          <w:p w:rsidR="005D034D" w:rsidRPr="009804ED" w:rsidRDefault="005D034D" w:rsidP="005D034D">
            <w:pPr>
              <w:pStyle w:val="RCNormalCA"/>
              <w:rPr>
                <w:sz w:val="20"/>
                <w:szCs w:val="20"/>
              </w:rPr>
            </w:pPr>
            <w:r w:rsidRPr="009804ED">
              <w:rPr>
                <w:noProof/>
                <w:sz w:val="20"/>
                <w:szCs w:val="20"/>
                <w:lang w:eastAsia="en-AU"/>
              </w:rPr>
              <w:drawing>
                <wp:inline distT="0" distB="0" distL="0" distR="0">
                  <wp:extent cx="348402" cy="288000"/>
                  <wp:effectExtent l="0" t="0" r="0" b="0"/>
                  <wp:docPr id="15"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symbols-01-3points.png"/>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8402" cy="288000"/>
                          </a:xfrm>
                          <a:prstGeom prst="rect">
                            <a:avLst/>
                          </a:prstGeom>
                        </pic:spPr>
                      </pic:pic>
                    </a:graphicData>
                  </a:graphic>
                </wp:inline>
              </w:drawing>
            </w:r>
          </w:p>
        </w:tc>
      </w:tr>
      <w:tr w:rsidR="005D034D" w:rsidRPr="004C3844" w:rsidTr="005D034D">
        <w:trPr>
          <w:trHeight w:val="624"/>
        </w:trPr>
        <w:tc>
          <w:tcPr>
            <w:tcW w:w="7797" w:type="dxa"/>
            <w:shd w:val="clear" w:color="auto" w:fill="FFFFFF" w:themeFill="background1"/>
          </w:tcPr>
          <w:p w:rsidR="005D034D" w:rsidRPr="004C3844" w:rsidRDefault="005D034D" w:rsidP="005D034D">
            <w:pPr>
              <w:pStyle w:val="RCNormalHangingIndent"/>
            </w:pPr>
            <w:r w:rsidRPr="00526BEF">
              <w:rPr>
                <w:rStyle w:val="Strong"/>
              </w:rPr>
              <w:t>6.</w:t>
            </w:r>
            <w:r w:rsidRPr="004C3844">
              <w:t xml:space="preserve"> </w:t>
            </w:r>
            <w:r>
              <w:tab/>
            </w:r>
            <w:r>
              <w:tab/>
              <w:t>Percentage</w:t>
            </w:r>
            <w:r w:rsidRPr="004C3844">
              <w:t xml:space="preserve"> of committee reports </w:t>
            </w:r>
            <w:r>
              <w:t>responded to by</w:t>
            </w:r>
            <w:r w:rsidRPr="004C3844">
              <w:t xml:space="preserve"> government</w:t>
            </w:r>
          </w:p>
        </w:tc>
        <w:tc>
          <w:tcPr>
            <w:tcW w:w="1275" w:type="dxa"/>
            <w:shd w:val="clear" w:color="auto" w:fill="FFFFFF" w:themeFill="background1"/>
          </w:tcPr>
          <w:p w:rsidR="005D034D" w:rsidRPr="006D2535" w:rsidRDefault="005D034D" w:rsidP="005D034D">
            <w:pPr>
              <w:pStyle w:val="RCNormalCA"/>
            </w:pPr>
            <w:r>
              <w:t>48</w:t>
            </w:r>
            <w:r w:rsidRPr="006D2535">
              <w:t>%</w:t>
            </w:r>
          </w:p>
        </w:tc>
        <w:tc>
          <w:tcPr>
            <w:tcW w:w="1418" w:type="dxa"/>
            <w:shd w:val="clear" w:color="auto" w:fill="FFFFFF" w:themeFill="background1"/>
          </w:tcPr>
          <w:p w:rsidR="005D034D" w:rsidRPr="009804ED" w:rsidRDefault="005D034D" w:rsidP="005D034D">
            <w:pPr>
              <w:pStyle w:val="RCNormalCA"/>
              <w:rPr>
                <w:sz w:val="20"/>
                <w:szCs w:val="20"/>
              </w:rPr>
            </w:pPr>
            <w:r w:rsidRPr="009804ED">
              <w:rPr>
                <w:noProof/>
                <w:sz w:val="20"/>
                <w:szCs w:val="20"/>
                <w:lang w:eastAsia="en-AU"/>
              </w:rPr>
              <w:drawing>
                <wp:inline distT="0" distB="0" distL="0" distR="0">
                  <wp:extent cx="348402" cy="288000"/>
                  <wp:effectExtent l="0" t="0" r="0" b="0"/>
                  <wp:docPr id="14"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symbols-01-3points.png"/>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8402" cy="288000"/>
                          </a:xfrm>
                          <a:prstGeom prst="rect">
                            <a:avLst/>
                          </a:prstGeom>
                        </pic:spPr>
                      </pic:pic>
                    </a:graphicData>
                  </a:graphic>
                </wp:inline>
              </w:drawing>
            </w:r>
          </w:p>
        </w:tc>
      </w:tr>
      <w:tr w:rsidR="005D034D" w:rsidRPr="004C3844" w:rsidTr="005D034D">
        <w:trPr>
          <w:trHeight w:val="624"/>
        </w:trPr>
        <w:tc>
          <w:tcPr>
            <w:tcW w:w="7797" w:type="dxa"/>
            <w:shd w:val="clear" w:color="auto" w:fill="FFFFFF" w:themeFill="background1"/>
          </w:tcPr>
          <w:p w:rsidR="005D034D" w:rsidRPr="004C3844" w:rsidRDefault="005D034D" w:rsidP="005D034D">
            <w:pPr>
              <w:pStyle w:val="RCNormalHangingIndent"/>
            </w:pPr>
            <w:r w:rsidRPr="00526BEF">
              <w:rPr>
                <w:rStyle w:val="Strong"/>
              </w:rPr>
              <w:t>7.</w:t>
            </w:r>
            <w:r w:rsidRPr="004C3844">
              <w:t xml:space="preserve"> </w:t>
            </w:r>
            <w:r>
              <w:tab/>
            </w:r>
            <w:r>
              <w:tab/>
              <w:t>Average n</w:t>
            </w:r>
            <w:r w:rsidRPr="004C3844">
              <w:t xml:space="preserve">umber of questions without notice asked of </w:t>
            </w:r>
            <w:r>
              <w:t>each</w:t>
            </w:r>
            <w:r w:rsidRPr="004C3844">
              <w:t xml:space="preserve"> minister per year</w:t>
            </w:r>
          </w:p>
        </w:tc>
        <w:tc>
          <w:tcPr>
            <w:tcW w:w="1275" w:type="dxa"/>
            <w:shd w:val="clear" w:color="auto" w:fill="FFFFFF" w:themeFill="background1"/>
          </w:tcPr>
          <w:p w:rsidR="005D034D" w:rsidRPr="004C3844" w:rsidRDefault="005D034D" w:rsidP="005D034D">
            <w:pPr>
              <w:pStyle w:val="RCNormalCA"/>
            </w:pPr>
            <w:r>
              <w:t>233</w:t>
            </w:r>
          </w:p>
        </w:tc>
        <w:tc>
          <w:tcPr>
            <w:tcW w:w="1418" w:type="dxa"/>
            <w:shd w:val="clear" w:color="auto" w:fill="FFFFFF" w:themeFill="background1"/>
          </w:tcPr>
          <w:p w:rsidR="005D034D" w:rsidRPr="009804ED" w:rsidRDefault="005D034D" w:rsidP="005D034D">
            <w:pPr>
              <w:pStyle w:val="RCNormalCA"/>
              <w:rPr>
                <w:sz w:val="20"/>
                <w:szCs w:val="20"/>
              </w:rPr>
            </w:pPr>
            <w:r w:rsidRPr="009804ED">
              <w:rPr>
                <w:noProof/>
                <w:sz w:val="20"/>
                <w:szCs w:val="20"/>
                <w:lang w:eastAsia="en-AU"/>
              </w:rPr>
              <w:drawing>
                <wp:inline distT="0" distB="0" distL="0" distR="0">
                  <wp:extent cx="348402" cy="288000"/>
                  <wp:effectExtent l="0" t="0" r="0" b="0"/>
                  <wp:docPr id="10"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symbols-01-3points.png"/>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8402" cy="288000"/>
                          </a:xfrm>
                          <a:prstGeom prst="rect">
                            <a:avLst/>
                          </a:prstGeom>
                        </pic:spPr>
                      </pic:pic>
                    </a:graphicData>
                  </a:graphic>
                </wp:inline>
              </w:drawing>
            </w:r>
          </w:p>
        </w:tc>
      </w:tr>
      <w:tr w:rsidR="005D034D" w:rsidRPr="004C3844" w:rsidTr="005D034D">
        <w:trPr>
          <w:trHeight w:val="624"/>
        </w:trPr>
        <w:tc>
          <w:tcPr>
            <w:tcW w:w="7797" w:type="dxa"/>
            <w:shd w:val="clear" w:color="auto" w:fill="FFFFFF" w:themeFill="background1"/>
          </w:tcPr>
          <w:p w:rsidR="005D034D" w:rsidRPr="004C3844" w:rsidRDefault="005D034D" w:rsidP="005D034D">
            <w:pPr>
              <w:pStyle w:val="RCNormalHangingIndent"/>
            </w:pPr>
            <w:r w:rsidRPr="00526BEF">
              <w:rPr>
                <w:rStyle w:val="Strong"/>
              </w:rPr>
              <w:t>8.</w:t>
            </w:r>
            <w:r w:rsidRPr="004C3844">
              <w:t xml:space="preserve"> </w:t>
            </w:r>
            <w:r>
              <w:tab/>
            </w:r>
            <w:r>
              <w:tab/>
              <w:t>Percentage</w:t>
            </w:r>
            <w:r w:rsidRPr="004C3844">
              <w:t xml:space="preserve"> of time spent on non-government business</w:t>
            </w:r>
          </w:p>
        </w:tc>
        <w:tc>
          <w:tcPr>
            <w:tcW w:w="1275" w:type="dxa"/>
            <w:shd w:val="clear" w:color="auto" w:fill="FFFFFF" w:themeFill="background1"/>
          </w:tcPr>
          <w:p w:rsidR="005D034D" w:rsidRPr="004C3844" w:rsidRDefault="005D034D" w:rsidP="005D034D">
            <w:pPr>
              <w:pStyle w:val="RCNormalCA"/>
            </w:pPr>
            <w:r>
              <w:t>42</w:t>
            </w:r>
            <w:r w:rsidRPr="004C3844">
              <w:t>%</w:t>
            </w:r>
          </w:p>
        </w:tc>
        <w:tc>
          <w:tcPr>
            <w:tcW w:w="1418" w:type="dxa"/>
            <w:shd w:val="clear" w:color="auto" w:fill="FFFFFF" w:themeFill="background1"/>
          </w:tcPr>
          <w:p w:rsidR="005D034D" w:rsidRPr="009804ED" w:rsidRDefault="005D034D" w:rsidP="005D034D">
            <w:pPr>
              <w:pStyle w:val="RCNormalCA"/>
              <w:rPr>
                <w:sz w:val="20"/>
                <w:szCs w:val="20"/>
              </w:rPr>
            </w:pPr>
            <w:r w:rsidRPr="009804ED">
              <w:rPr>
                <w:noProof/>
                <w:sz w:val="20"/>
                <w:szCs w:val="20"/>
                <w:lang w:eastAsia="en-AU"/>
              </w:rPr>
              <w:drawing>
                <wp:inline distT="0" distB="0" distL="0" distR="0">
                  <wp:extent cx="348354" cy="288000"/>
                  <wp:effectExtent l="0" t="0" r="0" b="0"/>
                  <wp:docPr id="16"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symbols-01-2points.png"/>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8354" cy="288000"/>
                          </a:xfrm>
                          <a:prstGeom prst="rect">
                            <a:avLst/>
                          </a:prstGeom>
                        </pic:spPr>
                      </pic:pic>
                    </a:graphicData>
                  </a:graphic>
                </wp:inline>
              </w:drawing>
            </w:r>
          </w:p>
        </w:tc>
      </w:tr>
      <w:tr w:rsidR="005D034D" w:rsidRPr="004C3844" w:rsidTr="005D034D">
        <w:trPr>
          <w:trHeight w:val="624"/>
        </w:trPr>
        <w:tc>
          <w:tcPr>
            <w:tcW w:w="7797" w:type="dxa"/>
            <w:shd w:val="clear" w:color="auto" w:fill="FFFFFF" w:themeFill="background1"/>
          </w:tcPr>
          <w:p w:rsidR="005D034D" w:rsidRPr="004C3844" w:rsidRDefault="005D034D" w:rsidP="005D034D">
            <w:pPr>
              <w:pStyle w:val="RCNormalHangingIndent"/>
            </w:pPr>
            <w:r w:rsidRPr="00526BEF">
              <w:rPr>
                <w:rStyle w:val="Strong"/>
              </w:rPr>
              <w:t>9.</w:t>
            </w:r>
            <w:r w:rsidRPr="004C3844">
              <w:t xml:space="preserve"> </w:t>
            </w:r>
            <w:r>
              <w:tab/>
            </w:r>
            <w:r>
              <w:tab/>
            </w:r>
            <w:r w:rsidRPr="004C3844">
              <w:t xml:space="preserve">Number of non-government chairs </w:t>
            </w:r>
            <w:r>
              <w:t>of</w:t>
            </w:r>
            <w:r w:rsidRPr="004C3844">
              <w:t xml:space="preserve"> committees</w:t>
            </w:r>
            <w:r>
              <w:t xml:space="preserve"> </w:t>
            </w:r>
            <w:r>
              <w:br/>
              <w:t>(percentage of all committees)</w:t>
            </w:r>
          </w:p>
        </w:tc>
        <w:tc>
          <w:tcPr>
            <w:tcW w:w="1275" w:type="dxa"/>
            <w:shd w:val="clear" w:color="auto" w:fill="FFFFFF" w:themeFill="background1"/>
          </w:tcPr>
          <w:p w:rsidR="005D034D" w:rsidRDefault="005D034D" w:rsidP="005D034D">
            <w:pPr>
              <w:pStyle w:val="RCNormalCA"/>
            </w:pPr>
            <w:r>
              <w:t>4</w:t>
            </w:r>
            <w:r w:rsidRPr="004C3844">
              <w:t>/</w:t>
            </w:r>
            <w:r>
              <w:t>8</w:t>
            </w:r>
          </w:p>
          <w:p w:rsidR="005D034D" w:rsidRPr="004C3844" w:rsidRDefault="005D034D" w:rsidP="005D034D">
            <w:pPr>
              <w:pStyle w:val="RCNormalCA"/>
            </w:pPr>
            <w:r w:rsidRPr="004C3844">
              <w:t>(</w:t>
            </w:r>
            <w:r>
              <w:t>50</w:t>
            </w:r>
            <w:r w:rsidRPr="004C3844">
              <w:t>%)</w:t>
            </w:r>
          </w:p>
        </w:tc>
        <w:tc>
          <w:tcPr>
            <w:tcW w:w="1418" w:type="dxa"/>
            <w:shd w:val="clear" w:color="auto" w:fill="FFFFFF" w:themeFill="background1"/>
          </w:tcPr>
          <w:p w:rsidR="005D034D" w:rsidRPr="009804ED" w:rsidRDefault="005D034D" w:rsidP="005D034D">
            <w:pPr>
              <w:pStyle w:val="RCNormalCA"/>
              <w:rPr>
                <w:sz w:val="20"/>
                <w:szCs w:val="20"/>
              </w:rPr>
            </w:pPr>
            <w:r w:rsidRPr="009804ED">
              <w:rPr>
                <w:noProof/>
                <w:sz w:val="20"/>
                <w:szCs w:val="20"/>
                <w:lang w:eastAsia="en-AU"/>
              </w:rPr>
              <w:drawing>
                <wp:inline distT="0" distB="0" distL="0" distR="0">
                  <wp:extent cx="348402" cy="288000"/>
                  <wp:effectExtent l="0" t="0" r="0" b="0"/>
                  <wp:docPr id="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symbols-01-3points.png"/>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8402" cy="288000"/>
                          </a:xfrm>
                          <a:prstGeom prst="rect">
                            <a:avLst/>
                          </a:prstGeom>
                        </pic:spPr>
                      </pic:pic>
                    </a:graphicData>
                  </a:graphic>
                </wp:inline>
              </w:drawing>
            </w:r>
          </w:p>
        </w:tc>
      </w:tr>
      <w:tr w:rsidR="005D034D" w:rsidRPr="005D034D" w:rsidTr="005D034D">
        <w:tc>
          <w:tcPr>
            <w:tcW w:w="10490" w:type="dxa"/>
            <w:gridSpan w:val="3"/>
            <w:shd w:val="clear" w:color="auto" w:fill="C6D9F1" w:themeFill="text2" w:themeFillTint="33"/>
          </w:tcPr>
          <w:p w:rsidR="005D034D" w:rsidRPr="005D034D" w:rsidRDefault="005D034D" w:rsidP="00351A79">
            <w:pPr>
              <w:pStyle w:val="RCHeading2"/>
              <w:spacing w:before="40" w:after="40"/>
              <w:rPr>
                <w:sz w:val="24"/>
                <w:szCs w:val="24"/>
              </w:rPr>
            </w:pPr>
            <w:r w:rsidRPr="005D034D">
              <w:rPr>
                <w:sz w:val="24"/>
                <w:szCs w:val="24"/>
              </w:rPr>
              <w:t>Representation/Accessibility</w:t>
            </w:r>
          </w:p>
        </w:tc>
      </w:tr>
      <w:tr w:rsidR="005D034D" w:rsidRPr="004C3844" w:rsidTr="005D034D">
        <w:trPr>
          <w:trHeight w:val="624"/>
        </w:trPr>
        <w:tc>
          <w:tcPr>
            <w:tcW w:w="7797" w:type="dxa"/>
            <w:shd w:val="clear" w:color="auto" w:fill="FFFFFF" w:themeFill="background1"/>
          </w:tcPr>
          <w:p w:rsidR="005D034D" w:rsidRPr="004C3844" w:rsidRDefault="005D034D" w:rsidP="005D034D">
            <w:pPr>
              <w:pStyle w:val="RCNormalHangingIndent"/>
            </w:pPr>
            <w:r w:rsidRPr="00526BEF">
              <w:rPr>
                <w:rStyle w:val="Strong"/>
              </w:rPr>
              <w:t>10.</w:t>
            </w:r>
            <w:r>
              <w:tab/>
              <w:t>a)</w:t>
            </w:r>
            <w:r>
              <w:tab/>
              <w:t>Number of submissions and witnesses per Committee inquiry</w:t>
            </w:r>
          </w:p>
        </w:tc>
        <w:tc>
          <w:tcPr>
            <w:tcW w:w="1275" w:type="dxa"/>
            <w:shd w:val="clear" w:color="auto" w:fill="FFFFFF" w:themeFill="background1"/>
          </w:tcPr>
          <w:p w:rsidR="005D034D" w:rsidRPr="004C3844" w:rsidRDefault="005D034D" w:rsidP="005D034D">
            <w:pPr>
              <w:pStyle w:val="RCNormalCA"/>
            </w:pPr>
            <w:r>
              <w:t>11/25</w:t>
            </w:r>
          </w:p>
        </w:tc>
        <w:tc>
          <w:tcPr>
            <w:tcW w:w="1418" w:type="dxa"/>
            <w:shd w:val="clear" w:color="auto" w:fill="FFFFFF" w:themeFill="background1"/>
          </w:tcPr>
          <w:p w:rsidR="005D034D" w:rsidRPr="009804ED" w:rsidRDefault="005D034D" w:rsidP="005D034D">
            <w:pPr>
              <w:pStyle w:val="RCNormalCA"/>
              <w:rPr>
                <w:sz w:val="20"/>
                <w:szCs w:val="20"/>
              </w:rPr>
            </w:pPr>
            <w:r w:rsidRPr="009804ED">
              <w:rPr>
                <w:noProof/>
                <w:sz w:val="20"/>
                <w:szCs w:val="20"/>
                <w:lang w:eastAsia="en-AU"/>
              </w:rPr>
              <w:drawing>
                <wp:inline distT="0" distB="0" distL="0" distR="0">
                  <wp:extent cx="348354" cy="288000"/>
                  <wp:effectExtent l="0" t="0" r="0" b="0"/>
                  <wp:docPr id="11"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symbols-01-2points.png"/>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8354" cy="288000"/>
                          </a:xfrm>
                          <a:prstGeom prst="rect">
                            <a:avLst/>
                          </a:prstGeom>
                        </pic:spPr>
                      </pic:pic>
                    </a:graphicData>
                  </a:graphic>
                </wp:inline>
              </w:drawing>
            </w:r>
          </w:p>
        </w:tc>
      </w:tr>
      <w:tr w:rsidR="005D034D" w:rsidRPr="004C3844" w:rsidTr="005D034D">
        <w:trPr>
          <w:trHeight w:val="624"/>
        </w:trPr>
        <w:tc>
          <w:tcPr>
            <w:tcW w:w="7797" w:type="dxa"/>
            <w:shd w:val="clear" w:color="auto" w:fill="FFFFFF" w:themeFill="background1"/>
          </w:tcPr>
          <w:p w:rsidR="005D034D" w:rsidRPr="004C3844" w:rsidRDefault="005D034D" w:rsidP="005D034D">
            <w:pPr>
              <w:pStyle w:val="RCNormalHangingIndent"/>
            </w:pPr>
            <w:r>
              <w:tab/>
              <w:t xml:space="preserve">b) </w:t>
            </w:r>
            <w:r>
              <w:tab/>
              <w:t>Average number of constituent matters dealt with by each Member in a year</w:t>
            </w:r>
          </w:p>
        </w:tc>
        <w:tc>
          <w:tcPr>
            <w:tcW w:w="1275" w:type="dxa"/>
            <w:shd w:val="clear" w:color="auto" w:fill="FFFFFF" w:themeFill="background1"/>
          </w:tcPr>
          <w:p w:rsidR="005D034D" w:rsidRPr="004C3844" w:rsidRDefault="005D034D" w:rsidP="005D034D">
            <w:pPr>
              <w:pStyle w:val="RCNormalCA"/>
            </w:pPr>
            <w:r>
              <w:t>98</w:t>
            </w:r>
          </w:p>
        </w:tc>
        <w:tc>
          <w:tcPr>
            <w:tcW w:w="1418" w:type="dxa"/>
            <w:shd w:val="clear" w:color="auto" w:fill="FFFFFF" w:themeFill="background1"/>
          </w:tcPr>
          <w:p w:rsidR="005D034D" w:rsidRPr="009804ED" w:rsidRDefault="005D034D" w:rsidP="005D034D">
            <w:pPr>
              <w:pStyle w:val="RCNormalCA"/>
              <w:rPr>
                <w:sz w:val="20"/>
                <w:szCs w:val="20"/>
              </w:rPr>
            </w:pPr>
            <w:r w:rsidRPr="009804ED">
              <w:rPr>
                <w:noProof/>
                <w:sz w:val="20"/>
                <w:szCs w:val="20"/>
                <w:lang w:eastAsia="en-AU"/>
              </w:rPr>
              <w:drawing>
                <wp:inline distT="0" distB="0" distL="0" distR="0">
                  <wp:extent cx="348354" cy="288000"/>
                  <wp:effectExtent l="0" t="0" r="0" b="0"/>
                  <wp:docPr id="12"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symbols-01-1point.png"/>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8354" cy="288000"/>
                          </a:xfrm>
                          <a:prstGeom prst="rect">
                            <a:avLst/>
                          </a:prstGeom>
                        </pic:spPr>
                      </pic:pic>
                    </a:graphicData>
                  </a:graphic>
                </wp:inline>
              </w:drawing>
            </w:r>
          </w:p>
        </w:tc>
      </w:tr>
    </w:tbl>
    <w:p w:rsidR="005D034D" w:rsidRPr="00DA41E5" w:rsidRDefault="005D034D" w:rsidP="005D034D">
      <w:pPr>
        <w:pStyle w:val="RCNormalHangingIndent"/>
        <w:spacing w:before="0" w:after="0"/>
        <w:rPr>
          <w:sz w:val="8"/>
          <w:szCs w:val="8"/>
        </w:rPr>
      </w:pPr>
    </w:p>
    <w:tbl>
      <w:tblPr>
        <w:tblStyle w:val="TableGrid"/>
        <w:tblW w:w="10490" w:type="dxa"/>
        <w:tblBorders>
          <w:top w:val="single" w:sz="8" w:space="0" w:color="4F81BD" w:themeColor="accent1"/>
          <w:left w:val="none" w:sz="0" w:space="0" w:color="auto"/>
          <w:bottom w:val="single" w:sz="8" w:space="0" w:color="4F81BD" w:themeColor="accent1"/>
          <w:right w:val="none" w:sz="0" w:space="0" w:color="auto"/>
          <w:insideH w:val="none" w:sz="0" w:space="0" w:color="auto"/>
          <w:insideV w:val="none" w:sz="0" w:space="0" w:color="auto"/>
        </w:tblBorders>
        <w:tblLayout w:type="fixed"/>
        <w:tblCellMar>
          <w:top w:w="57" w:type="dxa"/>
          <w:left w:w="0" w:type="dxa"/>
          <w:right w:w="0" w:type="dxa"/>
        </w:tblCellMar>
        <w:tblLook w:val="04A0"/>
      </w:tblPr>
      <w:tblGrid>
        <w:gridCol w:w="1384"/>
        <w:gridCol w:w="1517"/>
        <w:gridCol w:w="1518"/>
        <w:gridCol w:w="1518"/>
        <w:gridCol w:w="1517"/>
        <w:gridCol w:w="1518"/>
        <w:gridCol w:w="1518"/>
      </w:tblGrid>
      <w:tr w:rsidR="005D034D" w:rsidTr="005D034D">
        <w:tc>
          <w:tcPr>
            <w:tcW w:w="1384" w:type="dxa"/>
            <w:shd w:val="clear" w:color="auto" w:fill="DBE5F1" w:themeFill="accent1" w:themeFillTint="33"/>
            <w:vAlign w:val="center"/>
          </w:tcPr>
          <w:p w:rsidR="005D034D" w:rsidRPr="004516D7" w:rsidRDefault="005D034D" w:rsidP="005D034D">
            <w:pPr>
              <w:pStyle w:val="RCHeading2"/>
              <w:spacing w:before="0"/>
              <w:jc w:val="center"/>
              <w:rPr>
                <w:sz w:val="16"/>
              </w:rPr>
            </w:pPr>
            <w:r w:rsidRPr="004516D7">
              <w:rPr>
                <w:sz w:val="16"/>
              </w:rPr>
              <w:t>Symbol</w:t>
            </w:r>
          </w:p>
        </w:tc>
        <w:tc>
          <w:tcPr>
            <w:tcW w:w="1517" w:type="dxa"/>
            <w:shd w:val="clear" w:color="auto" w:fill="DBE5F1" w:themeFill="accent1" w:themeFillTint="33"/>
            <w:vAlign w:val="center"/>
          </w:tcPr>
          <w:p w:rsidR="005D034D" w:rsidRPr="004516D7" w:rsidRDefault="005D034D" w:rsidP="005D034D">
            <w:pPr>
              <w:pStyle w:val="RCHeading1CA"/>
              <w:spacing w:before="0"/>
              <w:rPr>
                <w:sz w:val="16"/>
              </w:rPr>
            </w:pPr>
            <w:r>
              <w:rPr>
                <w:noProof/>
                <w:sz w:val="16"/>
                <w:lang w:eastAsia="en-AU"/>
              </w:rPr>
              <w:drawing>
                <wp:inline distT="0" distB="0" distL="0" distR="0">
                  <wp:extent cx="348402" cy="2880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symbols-01-zero.png"/>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8402" cy="288000"/>
                          </a:xfrm>
                          <a:prstGeom prst="rect">
                            <a:avLst/>
                          </a:prstGeom>
                        </pic:spPr>
                      </pic:pic>
                    </a:graphicData>
                  </a:graphic>
                </wp:inline>
              </w:drawing>
            </w:r>
          </w:p>
        </w:tc>
        <w:tc>
          <w:tcPr>
            <w:tcW w:w="1518" w:type="dxa"/>
            <w:shd w:val="clear" w:color="auto" w:fill="DBE5F1" w:themeFill="accent1" w:themeFillTint="33"/>
            <w:vAlign w:val="center"/>
          </w:tcPr>
          <w:p w:rsidR="005D034D" w:rsidRPr="004516D7" w:rsidRDefault="005D034D" w:rsidP="005D034D">
            <w:pPr>
              <w:pStyle w:val="RCHeading1CA"/>
              <w:spacing w:before="0"/>
              <w:rPr>
                <w:sz w:val="16"/>
              </w:rPr>
            </w:pPr>
            <w:r>
              <w:rPr>
                <w:noProof/>
                <w:sz w:val="16"/>
                <w:lang w:eastAsia="en-AU"/>
              </w:rPr>
              <w:drawing>
                <wp:inline distT="0" distB="0" distL="0" distR="0">
                  <wp:extent cx="348354" cy="2880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symbols-01-1point.png"/>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8354" cy="288000"/>
                          </a:xfrm>
                          <a:prstGeom prst="rect">
                            <a:avLst/>
                          </a:prstGeom>
                        </pic:spPr>
                      </pic:pic>
                    </a:graphicData>
                  </a:graphic>
                </wp:inline>
              </w:drawing>
            </w:r>
          </w:p>
        </w:tc>
        <w:tc>
          <w:tcPr>
            <w:tcW w:w="1518" w:type="dxa"/>
            <w:shd w:val="clear" w:color="auto" w:fill="DBE5F1" w:themeFill="accent1" w:themeFillTint="33"/>
            <w:vAlign w:val="center"/>
          </w:tcPr>
          <w:p w:rsidR="005D034D" w:rsidRPr="004516D7" w:rsidRDefault="005D034D" w:rsidP="005D034D">
            <w:pPr>
              <w:pStyle w:val="RCHeading1CA"/>
              <w:spacing w:before="0"/>
              <w:rPr>
                <w:noProof/>
                <w:sz w:val="16"/>
                <w:lang w:eastAsia="en-AU"/>
              </w:rPr>
            </w:pPr>
            <w:r>
              <w:rPr>
                <w:noProof/>
                <w:sz w:val="16"/>
                <w:lang w:eastAsia="en-AU"/>
              </w:rPr>
              <w:drawing>
                <wp:inline distT="0" distB="0" distL="0" distR="0">
                  <wp:extent cx="348354" cy="2880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symbols-01-2points.png"/>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8354" cy="288000"/>
                          </a:xfrm>
                          <a:prstGeom prst="rect">
                            <a:avLst/>
                          </a:prstGeom>
                        </pic:spPr>
                      </pic:pic>
                    </a:graphicData>
                  </a:graphic>
                </wp:inline>
              </w:drawing>
            </w:r>
          </w:p>
        </w:tc>
        <w:tc>
          <w:tcPr>
            <w:tcW w:w="1517" w:type="dxa"/>
            <w:shd w:val="clear" w:color="auto" w:fill="DBE5F1" w:themeFill="accent1" w:themeFillTint="33"/>
            <w:vAlign w:val="center"/>
          </w:tcPr>
          <w:p w:rsidR="005D034D" w:rsidRPr="004516D7" w:rsidRDefault="005D034D" w:rsidP="005D034D">
            <w:pPr>
              <w:pStyle w:val="RCHeading1CA"/>
              <w:spacing w:before="0"/>
              <w:rPr>
                <w:sz w:val="16"/>
              </w:rPr>
            </w:pPr>
            <w:r>
              <w:rPr>
                <w:noProof/>
                <w:sz w:val="16"/>
                <w:lang w:eastAsia="en-AU"/>
              </w:rPr>
              <w:drawing>
                <wp:inline distT="0" distB="0" distL="0" distR="0">
                  <wp:extent cx="348402" cy="2880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symbols-01-3points.png"/>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8402" cy="288000"/>
                          </a:xfrm>
                          <a:prstGeom prst="rect">
                            <a:avLst/>
                          </a:prstGeom>
                        </pic:spPr>
                      </pic:pic>
                    </a:graphicData>
                  </a:graphic>
                </wp:inline>
              </w:drawing>
            </w:r>
          </w:p>
        </w:tc>
        <w:tc>
          <w:tcPr>
            <w:tcW w:w="1518" w:type="dxa"/>
            <w:shd w:val="clear" w:color="auto" w:fill="DBE5F1" w:themeFill="accent1" w:themeFillTint="33"/>
            <w:vAlign w:val="center"/>
          </w:tcPr>
          <w:p w:rsidR="005D034D" w:rsidRPr="004516D7" w:rsidRDefault="005D034D" w:rsidP="005D034D">
            <w:pPr>
              <w:pStyle w:val="RCHeading1CA"/>
              <w:spacing w:before="0"/>
              <w:rPr>
                <w:sz w:val="16"/>
              </w:rPr>
            </w:pPr>
            <w:r>
              <w:rPr>
                <w:noProof/>
                <w:sz w:val="16"/>
                <w:lang w:eastAsia="en-AU"/>
              </w:rPr>
              <w:drawing>
                <wp:inline distT="0" distB="0" distL="0" distR="0">
                  <wp:extent cx="348354" cy="2880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symbols-01-4points.png"/>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8354" cy="288000"/>
                          </a:xfrm>
                          <a:prstGeom prst="rect">
                            <a:avLst/>
                          </a:prstGeom>
                        </pic:spPr>
                      </pic:pic>
                    </a:graphicData>
                  </a:graphic>
                </wp:inline>
              </w:drawing>
            </w:r>
          </w:p>
        </w:tc>
        <w:tc>
          <w:tcPr>
            <w:tcW w:w="1518" w:type="dxa"/>
            <w:shd w:val="clear" w:color="auto" w:fill="DBE5F1" w:themeFill="accent1" w:themeFillTint="33"/>
            <w:vAlign w:val="center"/>
          </w:tcPr>
          <w:p w:rsidR="005D034D" w:rsidRPr="004516D7" w:rsidRDefault="005D034D" w:rsidP="005D034D">
            <w:pPr>
              <w:pStyle w:val="RCHeading1CA"/>
              <w:spacing w:before="0"/>
              <w:rPr>
                <w:sz w:val="16"/>
              </w:rPr>
            </w:pPr>
            <w:r>
              <w:rPr>
                <w:noProof/>
                <w:sz w:val="16"/>
                <w:lang w:eastAsia="en-AU"/>
              </w:rPr>
              <w:drawing>
                <wp:inline distT="0" distB="0" distL="0" distR="0">
                  <wp:extent cx="348354" cy="2880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symbols-01-5points.png"/>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8354" cy="288000"/>
                          </a:xfrm>
                          <a:prstGeom prst="rect">
                            <a:avLst/>
                          </a:prstGeom>
                        </pic:spPr>
                      </pic:pic>
                    </a:graphicData>
                  </a:graphic>
                </wp:inline>
              </w:drawing>
            </w:r>
          </w:p>
        </w:tc>
      </w:tr>
      <w:tr w:rsidR="005D034D" w:rsidTr="005D034D">
        <w:tc>
          <w:tcPr>
            <w:tcW w:w="1384" w:type="dxa"/>
            <w:shd w:val="clear" w:color="auto" w:fill="DBE5F1" w:themeFill="accent1" w:themeFillTint="33"/>
            <w:vAlign w:val="center"/>
          </w:tcPr>
          <w:p w:rsidR="005D034D" w:rsidRPr="004516D7" w:rsidRDefault="005D034D" w:rsidP="005D034D">
            <w:pPr>
              <w:pStyle w:val="RCHeading2"/>
              <w:spacing w:before="0" w:after="0"/>
              <w:jc w:val="center"/>
              <w:rPr>
                <w:sz w:val="16"/>
              </w:rPr>
            </w:pPr>
            <w:r w:rsidRPr="004516D7">
              <w:rPr>
                <w:sz w:val="16"/>
              </w:rPr>
              <w:t>Rating</w:t>
            </w:r>
          </w:p>
        </w:tc>
        <w:tc>
          <w:tcPr>
            <w:tcW w:w="1517" w:type="dxa"/>
            <w:shd w:val="clear" w:color="auto" w:fill="DBE5F1" w:themeFill="accent1" w:themeFillTint="33"/>
            <w:vAlign w:val="center"/>
          </w:tcPr>
          <w:p w:rsidR="005D034D" w:rsidRPr="004516D7" w:rsidRDefault="005D034D" w:rsidP="005D034D">
            <w:pPr>
              <w:pStyle w:val="RCNormalCA"/>
              <w:spacing w:before="0" w:after="0"/>
              <w:rPr>
                <w:sz w:val="16"/>
              </w:rPr>
            </w:pPr>
            <w:r w:rsidRPr="004516D7">
              <w:rPr>
                <w:rStyle w:val="Strong"/>
                <w:sz w:val="16"/>
              </w:rPr>
              <w:t>Very unhealthy</w:t>
            </w:r>
            <w:r w:rsidRPr="004516D7">
              <w:rPr>
                <w:rStyle w:val="Strong"/>
                <w:sz w:val="16"/>
              </w:rPr>
              <w:br/>
            </w:r>
            <w:r w:rsidRPr="004516D7">
              <w:rPr>
                <w:sz w:val="16"/>
              </w:rPr>
              <w:t>Completely dominated by government</w:t>
            </w:r>
          </w:p>
        </w:tc>
        <w:tc>
          <w:tcPr>
            <w:tcW w:w="1518" w:type="dxa"/>
            <w:shd w:val="clear" w:color="auto" w:fill="DBE5F1" w:themeFill="accent1" w:themeFillTint="33"/>
            <w:vAlign w:val="center"/>
          </w:tcPr>
          <w:p w:rsidR="005D034D" w:rsidRPr="004516D7" w:rsidRDefault="005D034D" w:rsidP="005D034D">
            <w:pPr>
              <w:pStyle w:val="RCNormalCA"/>
              <w:spacing w:before="0" w:after="0"/>
              <w:rPr>
                <w:b/>
                <w:sz w:val="16"/>
              </w:rPr>
            </w:pPr>
          </w:p>
        </w:tc>
        <w:tc>
          <w:tcPr>
            <w:tcW w:w="1518" w:type="dxa"/>
            <w:shd w:val="clear" w:color="auto" w:fill="DBE5F1" w:themeFill="accent1" w:themeFillTint="33"/>
            <w:vAlign w:val="center"/>
          </w:tcPr>
          <w:p w:rsidR="005D034D" w:rsidRPr="004516D7" w:rsidRDefault="005D034D" w:rsidP="005D034D">
            <w:pPr>
              <w:pStyle w:val="RCNormalCA"/>
              <w:spacing w:before="0" w:after="0"/>
              <w:rPr>
                <w:sz w:val="16"/>
              </w:rPr>
            </w:pPr>
          </w:p>
        </w:tc>
        <w:tc>
          <w:tcPr>
            <w:tcW w:w="1517" w:type="dxa"/>
            <w:shd w:val="clear" w:color="auto" w:fill="DBE5F1" w:themeFill="accent1" w:themeFillTint="33"/>
            <w:vAlign w:val="center"/>
          </w:tcPr>
          <w:p w:rsidR="005D034D" w:rsidRPr="004516D7" w:rsidRDefault="005D034D" w:rsidP="005D034D">
            <w:pPr>
              <w:pStyle w:val="RCNormalCA"/>
              <w:spacing w:before="0" w:after="0"/>
              <w:rPr>
                <w:sz w:val="16"/>
              </w:rPr>
            </w:pPr>
          </w:p>
        </w:tc>
        <w:tc>
          <w:tcPr>
            <w:tcW w:w="1518" w:type="dxa"/>
            <w:shd w:val="clear" w:color="auto" w:fill="DBE5F1" w:themeFill="accent1" w:themeFillTint="33"/>
            <w:vAlign w:val="center"/>
          </w:tcPr>
          <w:p w:rsidR="005D034D" w:rsidRPr="004516D7" w:rsidRDefault="005D034D" w:rsidP="005D034D">
            <w:pPr>
              <w:pStyle w:val="RCNormalCA"/>
              <w:spacing w:before="0" w:after="0"/>
              <w:rPr>
                <w:b/>
                <w:sz w:val="16"/>
              </w:rPr>
            </w:pPr>
          </w:p>
        </w:tc>
        <w:tc>
          <w:tcPr>
            <w:tcW w:w="1518" w:type="dxa"/>
            <w:shd w:val="clear" w:color="auto" w:fill="DBE5F1" w:themeFill="accent1" w:themeFillTint="33"/>
            <w:vAlign w:val="center"/>
          </w:tcPr>
          <w:p w:rsidR="005D034D" w:rsidRPr="004516D7" w:rsidRDefault="005D034D" w:rsidP="005D034D">
            <w:pPr>
              <w:pStyle w:val="RCNormalCA"/>
              <w:spacing w:before="0" w:after="0"/>
              <w:rPr>
                <w:sz w:val="16"/>
              </w:rPr>
            </w:pPr>
            <w:r w:rsidRPr="004516D7">
              <w:rPr>
                <w:b/>
                <w:sz w:val="16"/>
              </w:rPr>
              <w:t>Very healthy</w:t>
            </w:r>
            <w:r w:rsidRPr="004516D7">
              <w:rPr>
                <w:b/>
                <w:sz w:val="16"/>
              </w:rPr>
              <w:br/>
            </w:r>
            <w:r w:rsidRPr="004516D7">
              <w:rPr>
                <w:sz w:val="16"/>
              </w:rPr>
              <w:t xml:space="preserve">Highly democratic </w:t>
            </w:r>
            <w:r>
              <w:rPr>
                <w:sz w:val="16"/>
              </w:rPr>
              <w:br/>
            </w:r>
            <w:r w:rsidRPr="004516D7">
              <w:rPr>
                <w:sz w:val="16"/>
              </w:rPr>
              <w:t>and balanced</w:t>
            </w:r>
          </w:p>
        </w:tc>
      </w:tr>
    </w:tbl>
    <w:p w:rsidR="005D034D" w:rsidRPr="00FA0069" w:rsidRDefault="005D034D" w:rsidP="005D034D">
      <w:pPr>
        <w:pStyle w:val="Bodycopy"/>
        <w:keepNext w:val="0"/>
        <w:rPr>
          <w:sz w:val="24"/>
          <w:szCs w:val="24"/>
          <w:lang w:eastAsia="en-US"/>
        </w:rPr>
      </w:pPr>
    </w:p>
    <w:sectPr w:rsidR="005D034D" w:rsidRPr="00FA0069" w:rsidSect="005D034D">
      <w:headerReference w:type="default" r:id="rId23"/>
      <w:footerReference w:type="default" r:id="rId24"/>
      <w:pgSz w:w="11907" w:h="16840" w:code="9"/>
      <w:pgMar w:top="720" w:right="720" w:bottom="720" w:left="720" w:header="170"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1FD" w:rsidRDefault="000271FD" w:rsidP="00C044CF">
      <w:r>
        <w:separator/>
      </w:r>
    </w:p>
  </w:endnote>
  <w:endnote w:type="continuationSeparator" w:id="0">
    <w:p w:rsidR="000271FD" w:rsidRDefault="000271FD" w:rsidP="00C044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81" w:rsidRDefault="00212D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799777"/>
      <w:docPartObj>
        <w:docPartGallery w:val="Page Numbers (Top of Page)"/>
        <w:docPartUnique/>
      </w:docPartObj>
    </w:sdtPr>
    <w:sdtContent>
      <w:p w:rsidR="000271FD" w:rsidRDefault="000271FD" w:rsidP="006114B4">
        <w:pPr>
          <w:pStyle w:val="Footer"/>
          <w:jc w:val="right"/>
        </w:pPr>
        <w:r w:rsidRPr="006114B4">
          <w:t xml:space="preserve">Page </w:t>
        </w:r>
        <w:fldSimple w:instr=" PAGE ">
          <w:r w:rsidR="00212D81">
            <w:rPr>
              <w:noProof/>
            </w:rPr>
            <w:t>4</w:t>
          </w:r>
        </w:fldSimple>
        <w:r w:rsidRPr="006114B4">
          <w:t xml:space="preserve"> of </w:t>
        </w:r>
        <w:fldSimple w:instr=" NUMPAGES  ">
          <w:r w:rsidR="00212D81">
            <w:rPr>
              <w:noProof/>
            </w:rPr>
            <w:t>9</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81" w:rsidRDefault="00212D8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1FD" w:rsidRDefault="000271FD" w:rsidP="006114B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1FD" w:rsidRDefault="000271FD" w:rsidP="00C044CF">
      <w:r>
        <w:separator/>
      </w:r>
    </w:p>
  </w:footnote>
  <w:footnote w:type="continuationSeparator" w:id="0">
    <w:p w:rsidR="000271FD" w:rsidRDefault="000271FD" w:rsidP="00C044CF">
      <w:r>
        <w:continuationSeparator/>
      </w:r>
    </w:p>
  </w:footnote>
  <w:footnote w:id="1">
    <w:p w:rsidR="000271FD" w:rsidRDefault="000271FD">
      <w:pPr>
        <w:pStyle w:val="FootnoteText"/>
      </w:pPr>
      <w:r>
        <w:rPr>
          <w:rStyle w:val="FootnoteReference"/>
        </w:rPr>
        <w:footnoteRef/>
      </w:r>
      <w:r>
        <w:t xml:space="preserve"> </w:t>
      </w:r>
      <w:r w:rsidRPr="00087932">
        <w:rPr>
          <w:smallCaps w:val="0"/>
        </w:rPr>
        <w:t xml:space="preserve">Sir Gerard Brennan AC KBE QC, </w:t>
      </w:r>
      <w:r w:rsidRPr="00ED612D">
        <w:rPr>
          <w:i/>
          <w:smallCaps w:val="0"/>
        </w:rPr>
        <w:t>Members of Parliament: law and ethics by Gerard Carney</w:t>
      </w:r>
      <w:r w:rsidRPr="00087932">
        <w:rPr>
          <w:smallCaps w:val="0"/>
        </w:rPr>
        <w:t>, 2000, Foreword, p iii.</w:t>
      </w:r>
    </w:p>
  </w:footnote>
  <w:footnote w:id="2">
    <w:p w:rsidR="000271FD" w:rsidRPr="00FA0069" w:rsidRDefault="000271FD">
      <w:pPr>
        <w:pStyle w:val="FootnoteText"/>
        <w:rPr>
          <w:smallCaps w:val="0"/>
        </w:rPr>
      </w:pPr>
      <w:r>
        <w:rPr>
          <w:rStyle w:val="FootnoteReference"/>
        </w:rPr>
        <w:footnoteRef/>
      </w:r>
      <w:r>
        <w:t xml:space="preserve"> </w:t>
      </w:r>
      <w:r w:rsidRPr="00FA0069">
        <w:rPr>
          <w:smallCaps w:val="0"/>
        </w:rPr>
        <w:t xml:space="preserve">Charles Sampford, </w:t>
      </w:r>
      <w:r w:rsidRPr="00ED612D">
        <w:rPr>
          <w:i/>
          <w:smallCaps w:val="0"/>
        </w:rPr>
        <w:t>Parliament, Political Ethics and National Integrity Systems</w:t>
      </w:r>
      <w:r w:rsidRPr="00FA0069">
        <w:rPr>
          <w:smallCaps w:val="0"/>
        </w:rPr>
        <w:t>, Papers of Parliament No 55, February 2011.</w:t>
      </w:r>
    </w:p>
  </w:footnote>
  <w:footnote w:id="3">
    <w:p w:rsidR="000271FD" w:rsidRDefault="000271FD">
      <w:pPr>
        <w:pStyle w:val="FootnoteText"/>
      </w:pPr>
      <w:r>
        <w:rPr>
          <w:rStyle w:val="FootnoteReference"/>
        </w:rPr>
        <w:footnoteRef/>
      </w:r>
      <w:r>
        <w:t xml:space="preserve"> </w:t>
      </w:r>
      <w:r w:rsidRPr="00B46D7C">
        <w:rPr>
          <w:smallCaps w:val="0"/>
        </w:rPr>
        <w:t>Minutes of Proceedings of the Legislative Assembly No 37, 24 October 2013, p 378.</w:t>
      </w:r>
    </w:p>
  </w:footnote>
  <w:footnote w:id="4">
    <w:p w:rsidR="000271FD" w:rsidRDefault="000271FD">
      <w:pPr>
        <w:pStyle w:val="FootnoteText"/>
      </w:pPr>
      <w:r>
        <w:rPr>
          <w:rStyle w:val="FootnoteReference"/>
        </w:rPr>
        <w:footnoteRef/>
      </w:r>
      <w:r>
        <w:t xml:space="preserve"> </w:t>
      </w:r>
      <w:r w:rsidRPr="00ED612D">
        <w:rPr>
          <w:smallCaps w:val="0"/>
        </w:rPr>
        <w:t>R Stapenhurst, R Pelizzo and K Jacobs,</w:t>
      </w:r>
      <w:r w:rsidRPr="00ED612D">
        <w:rPr>
          <w:i/>
          <w:smallCaps w:val="0"/>
        </w:rPr>
        <w:t xml:space="preserve"> Following the Money</w:t>
      </w:r>
      <w:r w:rsidRPr="00ED612D">
        <w:rPr>
          <w:smallCaps w:val="0"/>
        </w:rPr>
        <w:t>, CPA/WBI, 2014, p 13</w:t>
      </w:r>
      <w:r>
        <w:t>.</w:t>
      </w:r>
    </w:p>
  </w:footnote>
  <w:footnote w:id="5">
    <w:p w:rsidR="000271FD" w:rsidRPr="00833E09" w:rsidRDefault="000271FD">
      <w:pPr>
        <w:pStyle w:val="FootnoteText"/>
        <w:rPr>
          <w:i/>
          <w:smallCaps w:val="0"/>
        </w:rPr>
      </w:pPr>
      <w:r>
        <w:rPr>
          <w:rStyle w:val="FootnoteReference"/>
        </w:rPr>
        <w:footnoteRef/>
      </w:r>
      <w:r>
        <w:t xml:space="preserve"> </w:t>
      </w:r>
      <w:r w:rsidRPr="00833E09">
        <w:rPr>
          <w:smallCaps w:val="0"/>
        </w:rPr>
        <w:t xml:space="preserve">Vicki Dunne MLA and David Skinner, </w:t>
      </w:r>
      <w:r w:rsidRPr="00833E09">
        <w:rPr>
          <w:i/>
          <w:smallCaps w:val="0"/>
        </w:rPr>
        <w:t xml:space="preserve">Embracing Latimer: The ACT Experience, </w:t>
      </w:r>
      <w:r w:rsidRPr="00B94742">
        <w:rPr>
          <w:smallCaps w:val="0"/>
        </w:rPr>
        <w:t>The Parliamentarian 2016, Issue 3, p 230</w:t>
      </w:r>
      <w:r w:rsidRPr="00833E09">
        <w:rPr>
          <w:i/>
          <w:smallCaps w:val="0"/>
        </w:rPr>
        <w:t>.</w:t>
      </w:r>
    </w:p>
  </w:footnote>
  <w:footnote w:id="6">
    <w:p w:rsidR="000271FD" w:rsidRPr="009F3FFE" w:rsidRDefault="000271FD">
      <w:pPr>
        <w:pStyle w:val="FootnoteText"/>
      </w:pPr>
      <w:r>
        <w:rPr>
          <w:rStyle w:val="FootnoteReference"/>
        </w:rPr>
        <w:footnoteRef/>
      </w:r>
      <w:r>
        <w:t xml:space="preserve"> </w:t>
      </w:r>
      <w:r w:rsidRPr="009F3FFE">
        <w:rPr>
          <w:smallCaps w:val="0"/>
        </w:rPr>
        <w:t xml:space="preserve">C. Sampford and D Wood, </w:t>
      </w:r>
      <w:r w:rsidRPr="009F3FFE">
        <w:rPr>
          <w:i/>
          <w:smallCaps w:val="0"/>
        </w:rPr>
        <w:t>From Greek Temple to bird’s nest; towards a theory of coherence and mutual accountability for national integrity systems</w:t>
      </w:r>
      <w:r w:rsidRPr="009F3FFE">
        <w:rPr>
          <w:smallCaps w:val="0"/>
        </w:rPr>
        <w:t>, Australian Journal of Public Administration, Vol 64, No 2, 2005, p 96.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81" w:rsidRDefault="00212D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81" w:rsidRDefault="00212D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1FD" w:rsidRPr="00F43DBE" w:rsidRDefault="0026066F" w:rsidP="00755FAC">
    <w:pPr>
      <w:pStyle w:val="Header"/>
      <w:spacing w:after="600"/>
    </w:pPr>
    <w:r>
      <w:rPr>
        <w:noProof/>
        <w:lang w:eastAsia="en-AU"/>
      </w:rPr>
      <w:pict>
        <v:shapetype id="_x0000_t202" coordsize="21600,21600" o:spt="202" path="m,l,21600r21600,l21600,xe">
          <v:stroke joinstyle="miter"/>
          <v:path gradientshapeok="t" o:connecttype="rect"/>
        </v:shapetype>
        <v:shape id="Text Box 3" o:spid="_x0000_s1035" type="#_x0000_t202" style="position:absolute;margin-left:93.9pt;margin-top:48.4pt;width:400pt;height:36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" filled="f" stroked="f">
          <v:textbox style="mso-next-textbox:#Text Box 3">
            <w:txbxContent>
              <w:p w:rsidR="000271FD" w:rsidRPr="00E749B1" w:rsidRDefault="000271FD" w:rsidP="00755FAC">
                <w:pPr>
                  <w:rPr>
                    <w:szCs w:val="36"/>
                  </w:rPr>
                </w:pPr>
              </w:p>
            </w:txbxContent>
          </v:textbox>
          <w10:anchorlock/>
        </v:shape>
      </w:pict>
    </w:r>
    <w:r>
      <w:rPr>
        <w:noProof/>
        <w:lang w:eastAsia="en-AU"/>
      </w:rPr>
      <w:pict>
        <v:shape id="Text Box 2" o:spid="_x0000_s1034" type="#_x0000_t202" style="position:absolute;margin-left:93.9pt;margin-top:3.5pt;width:403.2pt;height:44pt;z-index:251658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" filled="f" stroked="f">
          <v:textbox style="mso-next-textbox:#Text Box 2">
            <w:txbxContent>
              <w:p w:rsidR="000271FD" w:rsidRDefault="000271FD" w:rsidP="00755FAC">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rsidR="000271FD" w:rsidRDefault="000271FD" w:rsidP="00755FAC">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rsidR="000271FD" w:rsidRDefault="000271FD" w:rsidP="00755FAC">
                <w:pPr>
                  <w:spacing w:line="276" w:lineRule="auto"/>
                </w:pPr>
              </w:p>
            </w:txbxContent>
          </v:textbox>
        </v:shape>
      </w:pict>
    </w:r>
    <w:r w:rsidR="000271FD" w:rsidRPr="00755FAC">
      <w:rPr>
        <w:noProof/>
        <w:lang w:eastAsia="en-AU"/>
      </w:rPr>
      <w:drawing>
        <wp:inline distT="0" distB="0" distL="0" distR="0">
          <wp:extent cx="6120000" cy="1073612"/>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_Hdr5.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20000" cy="1073612"/>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1FD" w:rsidRPr="00DA41E5" w:rsidRDefault="000271FD" w:rsidP="00DA41E5">
    <w:pPr>
      <w:pStyle w:val="Header"/>
      <w:jc w:val="right"/>
      <w:rPr>
        <w:sz w:val="24"/>
      </w:rPr>
    </w:pPr>
    <w:r w:rsidRPr="00DA41E5">
      <w:rPr>
        <w:sz w:val="24"/>
      </w:rPr>
      <w:t>Attachment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A9C7B2A"/>
    <w:lvl w:ilvl="0">
      <w:start w:val="1"/>
      <w:numFmt w:val="decimal"/>
      <w:lvlText w:val="%1."/>
      <w:lvlJc w:val="left"/>
      <w:pPr>
        <w:tabs>
          <w:tab w:val="num" w:pos="1492"/>
        </w:tabs>
        <w:ind w:left="1492" w:hanging="360"/>
      </w:pPr>
    </w:lvl>
  </w:abstractNum>
  <w:abstractNum w:abstractNumId="1">
    <w:nsid w:val="FFFFFF7D"/>
    <w:multiLevelType w:val="singleLevel"/>
    <w:tmpl w:val="6D9084B4"/>
    <w:lvl w:ilvl="0">
      <w:start w:val="1"/>
      <w:numFmt w:val="decimal"/>
      <w:lvlText w:val="%1."/>
      <w:lvlJc w:val="left"/>
      <w:pPr>
        <w:tabs>
          <w:tab w:val="num" w:pos="1209"/>
        </w:tabs>
        <w:ind w:left="1209" w:hanging="360"/>
      </w:pPr>
    </w:lvl>
  </w:abstractNum>
  <w:abstractNum w:abstractNumId="2">
    <w:nsid w:val="FFFFFF7E"/>
    <w:multiLevelType w:val="singleLevel"/>
    <w:tmpl w:val="2E026912"/>
    <w:lvl w:ilvl="0">
      <w:start w:val="1"/>
      <w:numFmt w:val="decimal"/>
      <w:lvlText w:val="%1."/>
      <w:lvlJc w:val="left"/>
      <w:pPr>
        <w:tabs>
          <w:tab w:val="num" w:pos="926"/>
        </w:tabs>
        <w:ind w:left="926" w:hanging="360"/>
      </w:pPr>
    </w:lvl>
  </w:abstractNum>
  <w:abstractNum w:abstractNumId="3">
    <w:nsid w:val="FFFFFF7F"/>
    <w:multiLevelType w:val="singleLevel"/>
    <w:tmpl w:val="2C54FC8C"/>
    <w:lvl w:ilvl="0">
      <w:start w:val="1"/>
      <w:numFmt w:val="decimal"/>
      <w:lvlText w:val="%1."/>
      <w:lvlJc w:val="left"/>
      <w:pPr>
        <w:tabs>
          <w:tab w:val="num" w:pos="643"/>
        </w:tabs>
        <w:ind w:left="643" w:hanging="360"/>
      </w:pPr>
    </w:lvl>
  </w:abstractNum>
  <w:abstractNum w:abstractNumId="4">
    <w:nsid w:val="FFFFFF80"/>
    <w:multiLevelType w:val="singleLevel"/>
    <w:tmpl w:val="3A74E4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7D464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9CF6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C053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C2BD6A"/>
    <w:lvl w:ilvl="0">
      <w:start w:val="1"/>
      <w:numFmt w:val="decimal"/>
      <w:lvlText w:val="%1."/>
      <w:lvlJc w:val="left"/>
      <w:pPr>
        <w:tabs>
          <w:tab w:val="num" w:pos="360"/>
        </w:tabs>
        <w:ind w:left="360" w:hanging="360"/>
      </w:pPr>
    </w:lvl>
  </w:abstractNum>
  <w:abstractNum w:abstractNumId="9">
    <w:nsid w:val="FFFFFF89"/>
    <w:multiLevelType w:val="singleLevel"/>
    <w:tmpl w:val="5692B260"/>
    <w:lvl w:ilvl="0">
      <w:start w:val="1"/>
      <w:numFmt w:val="bullet"/>
      <w:lvlText w:val=""/>
      <w:lvlJc w:val="left"/>
      <w:pPr>
        <w:tabs>
          <w:tab w:val="num" w:pos="360"/>
        </w:tabs>
        <w:ind w:left="360" w:hanging="360"/>
      </w:pPr>
      <w:rPr>
        <w:rFonts w:ascii="Symbol" w:hAnsi="Symbol" w:hint="default"/>
      </w:rPr>
    </w:lvl>
  </w:abstractNum>
  <w:abstractNum w:abstractNumId="10">
    <w:nsid w:val="00F01F99"/>
    <w:multiLevelType w:val="hybridMultilevel"/>
    <w:tmpl w:val="38A2ED8E"/>
    <w:lvl w:ilvl="0" w:tplc="5A0AC8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6BF786A"/>
    <w:multiLevelType w:val="multilevel"/>
    <w:tmpl w:val="13C6DDC0"/>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7771A35"/>
    <w:multiLevelType w:val="multilevel"/>
    <w:tmpl w:val="BCFCBA68"/>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FB80F57"/>
    <w:multiLevelType w:val="hybridMultilevel"/>
    <w:tmpl w:val="90C0AFC6"/>
    <w:lvl w:ilvl="0" w:tplc="EB549C8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241617B"/>
    <w:multiLevelType w:val="multilevel"/>
    <w:tmpl w:val="4F8897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45D331E"/>
    <w:multiLevelType w:val="hybridMultilevel"/>
    <w:tmpl w:val="0D28184E"/>
    <w:lvl w:ilvl="0" w:tplc="DD1E62FC">
      <w:start w:val="1"/>
      <w:numFmt w:val="decimal"/>
      <w:pStyle w:val="Bulletnumbered"/>
      <w:lvlText w:val="%1."/>
      <w:lvlJc w:val="left"/>
      <w:pPr>
        <w:ind w:left="720" w:hanging="360"/>
      </w:pPr>
      <w:rPr>
        <w:rFonts w:hint="default"/>
      </w:rPr>
    </w:lvl>
    <w:lvl w:ilvl="1" w:tplc="4DE6EBD4" w:tentative="1">
      <w:start w:val="1"/>
      <w:numFmt w:val="lowerLetter"/>
      <w:lvlText w:val="%2."/>
      <w:lvlJc w:val="left"/>
      <w:pPr>
        <w:ind w:left="1440" w:hanging="360"/>
      </w:pPr>
    </w:lvl>
    <w:lvl w:ilvl="2" w:tplc="C7967D10" w:tentative="1">
      <w:start w:val="1"/>
      <w:numFmt w:val="lowerRoman"/>
      <w:lvlText w:val="%3."/>
      <w:lvlJc w:val="right"/>
      <w:pPr>
        <w:ind w:left="2160" w:hanging="180"/>
      </w:pPr>
    </w:lvl>
    <w:lvl w:ilvl="3" w:tplc="5F686C3E" w:tentative="1">
      <w:start w:val="1"/>
      <w:numFmt w:val="decimal"/>
      <w:lvlText w:val="%4."/>
      <w:lvlJc w:val="left"/>
      <w:pPr>
        <w:ind w:left="2880" w:hanging="360"/>
      </w:pPr>
    </w:lvl>
    <w:lvl w:ilvl="4" w:tplc="260039F4" w:tentative="1">
      <w:start w:val="1"/>
      <w:numFmt w:val="lowerLetter"/>
      <w:lvlText w:val="%5."/>
      <w:lvlJc w:val="left"/>
      <w:pPr>
        <w:ind w:left="3600" w:hanging="360"/>
      </w:pPr>
    </w:lvl>
    <w:lvl w:ilvl="5" w:tplc="A60EE054" w:tentative="1">
      <w:start w:val="1"/>
      <w:numFmt w:val="lowerRoman"/>
      <w:lvlText w:val="%6."/>
      <w:lvlJc w:val="right"/>
      <w:pPr>
        <w:ind w:left="4320" w:hanging="180"/>
      </w:pPr>
    </w:lvl>
    <w:lvl w:ilvl="6" w:tplc="8B7E0BDA" w:tentative="1">
      <w:start w:val="1"/>
      <w:numFmt w:val="decimal"/>
      <w:lvlText w:val="%7."/>
      <w:lvlJc w:val="left"/>
      <w:pPr>
        <w:ind w:left="5040" w:hanging="360"/>
      </w:pPr>
    </w:lvl>
    <w:lvl w:ilvl="7" w:tplc="FC9EEDE8" w:tentative="1">
      <w:start w:val="1"/>
      <w:numFmt w:val="lowerLetter"/>
      <w:lvlText w:val="%8."/>
      <w:lvlJc w:val="left"/>
      <w:pPr>
        <w:ind w:left="5760" w:hanging="360"/>
      </w:pPr>
    </w:lvl>
    <w:lvl w:ilvl="8" w:tplc="92D2FCD2" w:tentative="1">
      <w:start w:val="1"/>
      <w:numFmt w:val="lowerRoman"/>
      <w:lvlText w:val="%9."/>
      <w:lvlJc w:val="right"/>
      <w:pPr>
        <w:ind w:left="6480" w:hanging="180"/>
      </w:pPr>
    </w:lvl>
  </w:abstractNum>
  <w:abstractNum w:abstractNumId="16">
    <w:nsid w:val="2F35431E"/>
    <w:multiLevelType w:val="hybridMultilevel"/>
    <w:tmpl w:val="0A280DF8"/>
    <w:lvl w:ilvl="0" w:tplc="5A24A778">
      <w:start w:val="1"/>
      <w:numFmt w:val="bullet"/>
      <w:pStyle w:val="Bodycopybulletlevel2"/>
      <w:lvlText w:val="o"/>
      <w:lvlJc w:val="left"/>
      <w:pPr>
        <w:ind w:left="703" w:hanging="360"/>
      </w:pPr>
      <w:rPr>
        <w:rFonts w:ascii="Courier New" w:hAnsi="Courier New" w:cs="Courier New" w:hint="default"/>
      </w:rPr>
    </w:lvl>
    <w:lvl w:ilvl="1" w:tplc="0C090019" w:tentative="1">
      <w:start w:val="1"/>
      <w:numFmt w:val="lowerLetter"/>
      <w:lvlText w:val="%2."/>
      <w:lvlJc w:val="left"/>
      <w:pPr>
        <w:ind w:left="1423" w:hanging="360"/>
      </w:pPr>
    </w:lvl>
    <w:lvl w:ilvl="2" w:tplc="0C09001B" w:tentative="1">
      <w:start w:val="1"/>
      <w:numFmt w:val="lowerRoman"/>
      <w:lvlText w:val="%3."/>
      <w:lvlJc w:val="right"/>
      <w:pPr>
        <w:ind w:left="2143" w:hanging="180"/>
      </w:pPr>
    </w:lvl>
    <w:lvl w:ilvl="3" w:tplc="0C09000F" w:tentative="1">
      <w:start w:val="1"/>
      <w:numFmt w:val="decimal"/>
      <w:lvlText w:val="%4."/>
      <w:lvlJc w:val="left"/>
      <w:pPr>
        <w:ind w:left="2863" w:hanging="360"/>
      </w:pPr>
    </w:lvl>
    <w:lvl w:ilvl="4" w:tplc="0C090019" w:tentative="1">
      <w:start w:val="1"/>
      <w:numFmt w:val="lowerLetter"/>
      <w:lvlText w:val="%5."/>
      <w:lvlJc w:val="left"/>
      <w:pPr>
        <w:ind w:left="3583" w:hanging="360"/>
      </w:pPr>
    </w:lvl>
    <w:lvl w:ilvl="5" w:tplc="0C09001B" w:tentative="1">
      <w:start w:val="1"/>
      <w:numFmt w:val="lowerRoman"/>
      <w:lvlText w:val="%6."/>
      <w:lvlJc w:val="right"/>
      <w:pPr>
        <w:ind w:left="4303" w:hanging="180"/>
      </w:pPr>
    </w:lvl>
    <w:lvl w:ilvl="6" w:tplc="0C09000F" w:tentative="1">
      <w:start w:val="1"/>
      <w:numFmt w:val="decimal"/>
      <w:lvlText w:val="%7."/>
      <w:lvlJc w:val="left"/>
      <w:pPr>
        <w:ind w:left="5023" w:hanging="360"/>
      </w:pPr>
    </w:lvl>
    <w:lvl w:ilvl="7" w:tplc="0C090019" w:tentative="1">
      <w:start w:val="1"/>
      <w:numFmt w:val="lowerLetter"/>
      <w:lvlText w:val="%8."/>
      <w:lvlJc w:val="left"/>
      <w:pPr>
        <w:ind w:left="5743" w:hanging="360"/>
      </w:pPr>
    </w:lvl>
    <w:lvl w:ilvl="8" w:tplc="0C09001B" w:tentative="1">
      <w:start w:val="1"/>
      <w:numFmt w:val="lowerRoman"/>
      <w:lvlText w:val="%9."/>
      <w:lvlJc w:val="right"/>
      <w:pPr>
        <w:ind w:left="6463" w:hanging="180"/>
      </w:pPr>
    </w:lvl>
  </w:abstractNum>
  <w:abstractNum w:abstractNumId="17">
    <w:nsid w:val="31346687"/>
    <w:multiLevelType w:val="multilevel"/>
    <w:tmpl w:val="354E616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b w:val="0"/>
        <w:bCs w:val="0"/>
        <w:i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3B2750C"/>
    <w:multiLevelType w:val="multilevel"/>
    <w:tmpl w:val="C0E250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6644A06"/>
    <w:multiLevelType w:val="hybridMultilevel"/>
    <w:tmpl w:val="42B44E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7031E31"/>
    <w:multiLevelType w:val="multilevel"/>
    <w:tmpl w:val="D6287B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849080A"/>
    <w:multiLevelType w:val="multilevel"/>
    <w:tmpl w:val="6D62BE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CD87542"/>
    <w:multiLevelType w:val="multilevel"/>
    <w:tmpl w:val="BBBE0786"/>
    <w:styleLink w:val="Style2"/>
    <w:lvl w:ilvl="0">
      <w:start w:val="1"/>
      <w:numFmt w:val="decimal"/>
      <w:lvlText w:val="%1."/>
      <w:lvlJc w:val="left"/>
      <w:pPr>
        <w:ind w:left="720" w:hanging="360"/>
      </w:pPr>
      <w:rPr>
        <w:rFonts w:hint="default"/>
      </w:rPr>
    </w:lvl>
    <w:lvl w:ilvl="1">
      <w:start w:val="1"/>
      <w:numFmt w:val="decimal"/>
      <w:lvlText w:val="%1.i."/>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3">
    <w:nsid w:val="509C3327"/>
    <w:multiLevelType w:val="multilevel"/>
    <w:tmpl w:val="4A4A5E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D5D0108"/>
    <w:multiLevelType w:val="multilevel"/>
    <w:tmpl w:val="19B6DF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FF469CF"/>
    <w:multiLevelType w:val="multilevel"/>
    <w:tmpl w:val="0C80E50E"/>
    <w:lvl w:ilvl="0">
      <w:start w:val="1"/>
      <w:numFmt w:val="decimal"/>
      <w:pStyle w:val="Heading4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5496197"/>
    <w:multiLevelType w:val="multilevel"/>
    <w:tmpl w:val="21DEBBCC"/>
    <w:lvl w:ilvl="0">
      <w:start w:val="1"/>
      <w:numFmt w:val="lowerRoman"/>
      <w:pStyle w:val="Bulletlist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66F34FF5"/>
    <w:multiLevelType w:val="multilevel"/>
    <w:tmpl w:val="28B4FE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7601356"/>
    <w:multiLevelType w:val="hybridMultilevel"/>
    <w:tmpl w:val="3D2C4C98"/>
    <w:lvl w:ilvl="0" w:tplc="F55EC490">
      <w:start w:val="1"/>
      <w:numFmt w:val="decimal"/>
      <w:lvlText w:val="%1)"/>
      <w:lvlJc w:val="left"/>
      <w:pPr>
        <w:ind w:left="720" w:hanging="360"/>
      </w:pPr>
    </w:lvl>
    <w:lvl w:ilvl="1" w:tplc="E5E2C19C">
      <w:start w:val="1"/>
      <w:numFmt w:val="lowerLetter"/>
      <w:pStyle w:val="Bulletlistalpha"/>
      <w:lvlText w:val="%2)"/>
      <w:lvlJc w:val="left"/>
      <w:pPr>
        <w:ind w:left="1440" w:hanging="360"/>
      </w:pPr>
    </w:lvl>
    <w:lvl w:ilvl="2" w:tplc="E6862276" w:tentative="1">
      <w:start w:val="1"/>
      <w:numFmt w:val="lowerRoman"/>
      <w:lvlText w:val="%3."/>
      <w:lvlJc w:val="right"/>
      <w:pPr>
        <w:ind w:left="2160" w:hanging="180"/>
      </w:pPr>
    </w:lvl>
    <w:lvl w:ilvl="3" w:tplc="87381892" w:tentative="1">
      <w:start w:val="1"/>
      <w:numFmt w:val="decimal"/>
      <w:lvlText w:val="%4."/>
      <w:lvlJc w:val="left"/>
      <w:pPr>
        <w:ind w:left="2880" w:hanging="360"/>
      </w:pPr>
    </w:lvl>
    <w:lvl w:ilvl="4" w:tplc="F6E68498" w:tentative="1">
      <w:start w:val="1"/>
      <w:numFmt w:val="lowerLetter"/>
      <w:lvlText w:val="%5."/>
      <w:lvlJc w:val="left"/>
      <w:pPr>
        <w:ind w:left="3600" w:hanging="360"/>
      </w:pPr>
    </w:lvl>
    <w:lvl w:ilvl="5" w:tplc="1BAE2216" w:tentative="1">
      <w:start w:val="1"/>
      <w:numFmt w:val="lowerRoman"/>
      <w:lvlText w:val="%6."/>
      <w:lvlJc w:val="right"/>
      <w:pPr>
        <w:ind w:left="4320" w:hanging="180"/>
      </w:pPr>
    </w:lvl>
    <w:lvl w:ilvl="6" w:tplc="2C5E5882" w:tentative="1">
      <w:start w:val="1"/>
      <w:numFmt w:val="decimal"/>
      <w:lvlText w:val="%7."/>
      <w:lvlJc w:val="left"/>
      <w:pPr>
        <w:ind w:left="5040" w:hanging="360"/>
      </w:pPr>
    </w:lvl>
    <w:lvl w:ilvl="7" w:tplc="C7A4887E" w:tentative="1">
      <w:start w:val="1"/>
      <w:numFmt w:val="lowerLetter"/>
      <w:lvlText w:val="%8."/>
      <w:lvlJc w:val="left"/>
      <w:pPr>
        <w:ind w:left="5760" w:hanging="360"/>
      </w:pPr>
    </w:lvl>
    <w:lvl w:ilvl="8" w:tplc="B1688992" w:tentative="1">
      <w:start w:val="1"/>
      <w:numFmt w:val="lowerRoman"/>
      <w:lvlText w:val="%9."/>
      <w:lvlJc w:val="right"/>
      <w:pPr>
        <w:ind w:left="6480" w:hanging="180"/>
      </w:pPr>
    </w:lvl>
  </w:abstractNum>
  <w:abstractNum w:abstractNumId="30">
    <w:nsid w:val="6B060CDF"/>
    <w:multiLevelType w:val="hybridMultilevel"/>
    <w:tmpl w:val="AEA44266"/>
    <w:lvl w:ilvl="0" w:tplc="115065B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E19725E"/>
    <w:multiLevelType w:val="multilevel"/>
    <w:tmpl w:val="A7EEE4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04B2BAF"/>
    <w:multiLevelType w:val="multilevel"/>
    <w:tmpl w:val="BCFCBA68"/>
    <w:numStyleLink w:val="Style1"/>
  </w:abstractNum>
  <w:abstractNum w:abstractNumId="33">
    <w:nsid w:val="7D1314E2"/>
    <w:multiLevelType w:val="hybridMultilevel"/>
    <w:tmpl w:val="EA8474AC"/>
    <w:lvl w:ilvl="0" w:tplc="8800DFAA">
      <w:start w:val="1"/>
      <w:numFmt w:val="bullet"/>
      <w:pStyle w:val="Bodycopybulletlevel1"/>
      <w:lvlText w:val=""/>
      <w:lvlJc w:val="left"/>
      <w:pPr>
        <w:ind w:left="720" w:hanging="360"/>
      </w:pPr>
      <w:rPr>
        <w:rFonts w:ascii="Symbol" w:hAnsi="Symbol" w:hint="default"/>
      </w:rPr>
    </w:lvl>
    <w:lvl w:ilvl="1" w:tplc="4DE6EBD4" w:tentative="1">
      <w:start w:val="1"/>
      <w:numFmt w:val="lowerLetter"/>
      <w:lvlText w:val="%2."/>
      <w:lvlJc w:val="left"/>
      <w:pPr>
        <w:ind w:left="1440" w:hanging="360"/>
      </w:pPr>
    </w:lvl>
    <w:lvl w:ilvl="2" w:tplc="C7967D10" w:tentative="1">
      <w:start w:val="1"/>
      <w:numFmt w:val="lowerRoman"/>
      <w:lvlText w:val="%3."/>
      <w:lvlJc w:val="right"/>
      <w:pPr>
        <w:ind w:left="2160" w:hanging="180"/>
      </w:pPr>
    </w:lvl>
    <w:lvl w:ilvl="3" w:tplc="5F686C3E" w:tentative="1">
      <w:start w:val="1"/>
      <w:numFmt w:val="decimal"/>
      <w:lvlText w:val="%4."/>
      <w:lvlJc w:val="left"/>
      <w:pPr>
        <w:ind w:left="2880" w:hanging="360"/>
      </w:pPr>
    </w:lvl>
    <w:lvl w:ilvl="4" w:tplc="260039F4" w:tentative="1">
      <w:start w:val="1"/>
      <w:numFmt w:val="lowerLetter"/>
      <w:lvlText w:val="%5."/>
      <w:lvlJc w:val="left"/>
      <w:pPr>
        <w:ind w:left="3600" w:hanging="360"/>
      </w:pPr>
    </w:lvl>
    <w:lvl w:ilvl="5" w:tplc="A60EE054" w:tentative="1">
      <w:start w:val="1"/>
      <w:numFmt w:val="lowerRoman"/>
      <w:lvlText w:val="%6."/>
      <w:lvlJc w:val="right"/>
      <w:pPr>
        <w:ind w:left="4320" w:hanging="180"/>
      </w:pPr>
    </w:lvl>
    <w:lvl w:ilvl="6" w:tplc="8B7E0BDA" w:tentative="1">
      <w:start w:val="1"/>
      <w:numFmt w:val="decimal"/>
      <w:lvlText w:val="%7."/>
      <w:lvlJc w:val="left"/>
      <w:pPr>
        <w:ind w:left="5040" w:hanging="360"/>
      </w:pPr>
    </w:lvl>
    <w:lvl w:ilvl="7" w:tplc="FC9EEDE8" w:tentative="1">
      <w:start w:val="1"/>
      <w:numFmt w:val="lowerLetter"/>
      <w:lvlText w:val="%8."/>
      <w:lvlJc w:val="left"/>
      <w:pPr>
        <w:ind w:left="5760" w:hanging="360"/>
      </w:pPr>
    </w:lvl>
    <w:lvl w:ilvl="8" w:tplc="92D2FCD2" w:tentative="1">
      <w:start w:val="1"/>
      <w:numFmt w:val="lowerRoman"/>
      <w:lvlText w:val="%9."/>
      <w:lvlJc w:val="right"/>
      <w:pPr>
        <w:ind w:left="6480" w:hanging="180"/>
      </w:pPr>
    </w:lvl>
  </w:abstractNum>
  <w:abstractNum w:abstractNumId="34">
    <w:nsid w:val="7D6F4CEA"/>
    <w:multiLevelType w:val="multilevel"/>
    <w:tmpl w:val="DDC68364"/>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33"/>
  </w:num>
  <w:num w:numId="2">
    <w:abstractNumId w:val="16"/>
  </w:num>
  <w:num w:numId="3">
    <w:abstractNumId w:val="13"/>
  </w:num>
  <w:num w:numId="4">
    <w:abstractNumId w:val="31"/>
  </w:num>
  <w:num w:numId="5">
    <w:abstractNumId w:val="21"/>
  </w:num>
  <w:num w:numId="6">
    <w:abstractNumId w:val="28"/>
  </w:num>
  <w:num w:numId="7">
    <w:abstractNumId w:val="14"/>
  </w:num>
  <w:num w:numId="8">
    <w:abstractNumId w:val="12"/>
  </w:num>
  <w:num w:numId="9">
    <w:abstractNumId w:val="32"/>
  </w:num>
  <w:num w:numId="10">
    <w:abstractNumId w:val="18"/>
  </w:num>
  <w:num w:numId="11">
    <w:abstractNumId w:val="20"/>
  </w:num>
  <w:num w:numId="12">
    <w:abstractNumId w:val="22"/>
  </w:num>
  <w:num w:numId="13">
    <w:abstractNumId w:val="31"/>
    <w:lvlOverride w:ilvl="0">
      <w:lvl w:ilvl="0">
        <w:start w:val="1"/>
        <w:numFmt w:val="decimal"/>
        <w:lvlText w:val="%1."/>
        <w:lvlJc w:val="left"/>
        <w:pPr>
          <w:ind w:left="360" w:hanging="360"/>
        </w:pPr>
        <w:rPr>
          <w:rFonts w:hint="default"/>
        </w:rPr>
      </w:lvl>
    </w:lvlOverride>
    <w:lvlOverride w:ilvl="1">
      <w:lvl w:ilvl="1">
        <w:start w:val="1"/>
        <w:numFmt w:val="lowerRoman"/>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31"/>
    <w:lvlOverride w:ilvl="0">
      <w:lvl w:ilvl="0">
        <w:start w:val="1"/>
        <w:numFmt w:val="decimal"/>
        <w:lvlText w:val="%1."/>
        <w:lvlJc w:val="left"/>
        <w:pPr>
          <w:ind w:left="360" w:hanging="360"/>
        </w:pPr>
        <w:rPr>
          <w:rFonts w:hint="default"/>
        </w:rPr>
      </w:lvl>
    </w:lvlOverride>
    <w:lvlOverride w:ilvl="1">
      <w:lvl w:ilvl="1">
        <w:start w:val="1"/>
        <w:numFmt w:val="lowerLetter"/>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23"/>
  </w:num>
  <w:num w:numId="16">
    <w:abstractNumId w:val="11"/>
  </w:num>
  <w:num w:numId="17">
    <w:abstractNumId w:val="25"/>
  </w:num>
  <w:num w:numId="18">
    <w:abstractNumId w:val="29"/>
  </w:num>
  <w:num w:numId="19">
    <w:abstractNumId w:val="26"/>
  </w:num>
  <w:num w:numId="20">
    <w:abstractNumId w:val="17"/>
  </w:num>
  <w:num w:numId="21">
    <w:abstractNumId w:val="27"/>
  </w:num>
  <w:num w:numId="22">
    <w:abstractNumId w:val="24"/>
  </w:num>
  <w:num w:numId="23">
    <w:abstractNumId w:val="1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4"/>
  </w:num>
  <w:num w:numId="35">
    <w:abstractNumId w:val="10"/>
  </w:num>
  <w:num w:numId="36">
    <w:abstractNumId w:val="30"/>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attachedTemplate r:id="rId1"/>
  <w:stylePaneFormatFilter w:val="1021"/>
  <w:stylePaneSortMethod w:val="0000"/>
  <w:defaultTabStop w:val="720"/>
  <w:drawingGridHorizontalSpacing w:val="110"/>
  <w:displayHorizontalDrawingGridEvery w:val="2"/>
  <w:characterSpacingControl w:val="doNotCompress"/>
  <w:hdrShapeDefaults>
    <o:shapedefaults v:ext="edit" spidmax="2051">
      <o:colormenu v:ext="edit" fillcolor="none"/>
    </o:shapedefaults>
    <o:shapelayout v:ext="edit">
      <o:idmap v:ext="edit" data="1"/>
    </o:shapelayout>
  </w:hdrShapeDefaults>
  <w:footnotePr>
    <w:footnote w:id="-1"/>
    <w:footnote w:id="0"/>
  </w:footnotePr>
  <w:endnotePr>
    <w:endnote w:id="-1"/>
    <w:endnote w:id="0"/>
  </w:endnotePr>
  <w:compat/>
  <w:rsids>
    <w:rsidRoot w:val="00087932"/>
    <w:rsid w:val="000038F2"/>
    <w:rsid w:val="000244A3"/>
    <w:rsid w:val="000271FD"/>
    <w:rsid w:val="00053FE3"/>
    <w:rsid w:val="00060342"/>
    <w:rsid w:val="00065B8C"/>
    <w:rsid w:val="00072132"/>
    <w:rsid w:val="00087932"/>
    <w:rsid w:val="000A04C2"/>
    <w:rsid w:val="000D031B"/>
    <w:rsid w:val="000D216B"/>
    <w:rsid w:val="000D4C38"/>
    <w:rsid w:val="000F707C"/>
    <w:rsid w:val="001012CF"/>
    <w:rsid w:val="00121F31"/>
    <w:rsid w:val="00143F18"/>
    <w:rsid w:val="00154739"/>
    <w:rsid w:val="001632A1"/>
    <w:rsid w:val="001A0ED6"/>
    <w:rsid w:val="001C6D04"/>
    <w:rsid w:val="00211EB4"/>
    <w:rsid w:val="00212D81"/>
    <w:rsid w:val="00213E81"/>
    <w:rsid w:val="00244E7C"/>
    <w:rsid w:val="0024610B"/>
    <w:rsid w:val="00251FAF"/>
    <w:rsid w:val="00253B45"/>
    <w:rsid w:val="00260109"/>
    <w:rsid w:val="0026066F"/>
    <w:rsid w:val="00266334"/>
    <w:rsid w:val="00274259"/>
    <w:rsid w:val="002B099B"/>
    <w:rsid w:val="002B34F0"/>
    <w:rsid w:val="002C3913"/>
    <w:rsid w:val="002E5755"/>
    <w:rsid w:val="002E7552"/>
    <w:rsid w:val="002F74E0"/>
    <w:rsid w:val="00307BB9"/>
    <w:rsid w:val="00310B99"/>
    <w:rsid w:val="00346E5D"/>
    <w:rsid w:val="00351A79"/>
    <w:rsid w:val="003524CF"/>
    <w:rsid w:val="00357DDF"/>
    <w:rsid w:val="00367056"/>
    <w:rsid w:val="0037658C"/>
    <w:rsid w:val="003952D0"/>
    <w:rsid w:val="003C2CE5"/>
    <w:rsid w:val="003E2621"/>
    <w:rsid w:val="003F061C"/>
    <w:rsid w:val="004363ED"/>
    <w:rsid w:val="00445591"/>
    <w:rsid w:val="00456C60"/>
    <w:rsid w:val="00486941"/>
    <w:rsid w:val="0049361C"/>
    <w:rsid w:val="004A47A1"/>
    <w:rsid w:val="004C74ED"/>
    <w:rsid w:val="004C7CD5"/>
    <w:rsid w:val="0050064D"/>
    <w:rsid w:val="00510199"/>
    <w:rsid w:val="005116D3"/>
    <w:rsid w:val="00515CAF"/>
    <w:rsid w:val="00532C87"/>
    <w:rsid w:val="00544910"/>
    <w:rsid w:val="005914A1"/>
    <w:rsid w:val="0059610F"/>
    <w:rsid w:val="005A2A9F"/>
    <w:rsid w:val="005A41FB"/>
    <w:rsid w:val="005C0EA7"/>
    <w:rsid w:val="005D034D"/>
    <w:rsid w:val="005E1DA2"/>
    <w:rsid w:val="005F2DFD"/>
    <w:rsid w:val="005F2F07"/>
    <w:rsid w:val="006114B4"/>
    <w:rsid w:val="006461AB"/>
    <w:rsid w:val="00651835"/>
    <w:rsid w:val="00654342"/>
    <w:rsid w:val="0067609B"/>
    <w:rsid w:val="00676CD8"/>
    <w:rsid w:val="00684C3B"/>
    <w:rsid w:val="006A73FF"/>
    <w:rsid w:val="006B1615"/>
    <w:rsid w:val="006B19F0"/>
    <w:rsid w:val="006B568D"/>
    <w:rsid w:val="006C6B73"/>
    <w:rsid w:val="006E29BD"/>
    <w:rsid w:val="00701F4C"/>
    <w:rsid w:val="007101E9"/>
    <w:rsid w:val="00723ADD"/>
    <w:rsid w:val="007252C4"/>
    <w:rsid w:val="00742300"/>
    <w:rsid w:val="0075256D"/>
    <w:rsid w:val="00755282"/>
    <w:rsid w:val="00755FAC"/>
    <w:rsid w:val="007B009B"/>
    <w:rsid w:val="007B36E8"/>
    <w:rsid w:val="007B6208"/>
    <w:rsid w:val="007C514A"/>
    <w:rsid w:val="007C55CB"/>
    <w:rsid w:val="007D17D1"/>
    <w:rsid w:val="007D3448"/>
    <w:rsid w:val="007E175C"/>
    <w:rsid w:val="007F3168"/>
    <w:rsid w:val="008016B5"/>
    <w:rsid w:val="00815318"/>
    <w:rsid w:val="00823A30"/>
    <w:rsid w:val="00832789"/>
    <w:rsid w:val="00833E09"/>
    <w:rsid w:val="00841065"/>
    <w:rsid w:val="00850398"/>
    <w:rsid w:val="0085106B"/>
    <w:rsid w:val="00860066"/>
    <w:rsid w:val="00865C0E"/>
    <w:rsid w:val="00876FB7"/>
    <w:rsid w:val="008D7984"/>
    <w:rsid w:val="00903A96"/>
    <w:rsid w:val="0091065F"/>
    <w:rsid w:val="00915112"/>
    <w:rsid w:val="00921496"/>
    <w:rsid w:val="0094745C"/>
    <w:rsid w:val="0095313B"/>
    <w:rsid w:val="009619DB"/>
    <w:rsid w:val="00980198"/>
    <w:rsid w:val="0098422A"/>
    <w:rsid w:val="009E2415"/>
    <w:rsid w:val="009F0207"/>
    <w:rsid w:val="009F3FFE"/>
    <w:rsid w:val="009F5CD9"/>
    <w:rsid w:val="009F7429"/>
    <w:rsid w:val="00A022BA"/>
    <w:rsid w:val="00A67318"/>
    <w:rsid w:val="00A768BF"/>
    <w:rsid w:val="00A82B46"/>
    <w:rsid w:val="00A9742F"/>
    <w:rsid w:val="00AB6A48"/>
    <w:rsid w:val="00AC6EA3"/>
    <w:rsid w:val="00AC7549"/>
    <w:rsid w:val="00AF3E15"/>
    <w:rsid w:val="00AF64E7"/>
    <w:rsid w:val="00B00ECB"/>
    <w:rsid w:val="00B018A7"/>
    <w:rsid w:val="00B22358"/>
    <w:rsid w:val="00B46D7C"/>
    <w:rsid w:val="00B5147F"/>
    <w:rsid w:val="00B622F0"/>
    <w:rsid w:val="00B651B1"/>
    <w:rsid w:val="00B70F92"/>
    <w:rsid w:val="00B86CCE"/>
    <w:rsid w:val="00B87EEC"/>
    <w:rsid w:val="00B94012"/>
    <w:rsid w:val="00B94742"/>
    <w:rsid w:val="00BA7290"/>
    <w:rsid w:val="00BB0D31"/>
    <w:rsid w:val="00BB1CF6"/>
    <w:rsid w:val="00BB3339"/>
    <w:rsid w:val="00BB4FE8"/>
    <w:rsid w:val="00BE2505"/>
    <w:rsid w:val="00C01CC4"/>
    <w:rsid w:val="00C044CF"/>
    <w:rsid w:val="00C05681"/>
    <w:rsid w:val="00C25041"/>
    <w:rsid w:val="00C32AB7"/>
    <w:rsid w:val="00C34EDB"/>
    <w:rsid w:val="00C469A8"/>
    <w:rsid w:val="00C64C5B"/>
    <w:rsid w:val="00C70388"/>
    <w:rsid w:val="00C7686E"/>
    <w:rsid w:val="00CB4937"/>
    <w:rsid w:val="00CC18E1"/>
    <w:rsid w:val="00CD6DFE"/>
    <w:rsid w:val="00D043DC"/>
    <w:rsid w:val="00D243EE"/>
    <w:rsid w:val="00D40B77"/>
    <w:rsid w:val="00D50696"/>
    <w:rsid w:val="00D8252B"/>
    <w:rsid w:val="00D83D66"/>
    <w:rsid w:val="00D85E1E"/>
    <w:rsid w:val="00DA0A0B"/>
    <w:rsid w:val="00DA41E5"/>
    <w:rsid w:val="00DB212A"/>
    <w:rsid w:val="00DB6AE4"/>
    <w:rsid w:val="00DC0AFA"/>
    <w:rsid w:val="00DD29E6"/>
    <w:rsid w:val="00DD7619"/>
    <w:rsid w:val="00DE55CE"/>
    <w:rsid w:val="00DF705E"/>
    <w:rsid w:val="00DF7137"/>
    <w:rsid w:val="00E025B9"/>
    <w:rsid w:val="00E03190"/>
    <w:rsid w:val="00E039CE"/>
    <w:rsid w:val="00E03F13"/>
    <w:rsid w:val="00E11073"/>
    <w:rsid w:val="00E21AE6"/>
    <w:rsid w:val="00E27316"/>
    <w:rsid w:val="00E32579"/>
    <w:rsid w:val="00E33D36"/>
    <w:rsid w:val="00E45F1D"/>
    <w:rsid w:val="00E70AD5"/>
    <w:rsid w:val="00E749B1"/>
    <w:rsid w:val="00E763D3"/>
    <w:rsid w:val="00E86F88"/>
    <w:rsid w:val="00EB6485"/>
    <w:rsid w:val="00EC13DE"/>
    <w:rsid w:val="00ED4F1F"/>
    <w:rsid w:val="00ED612D"/>
    <w:rsid w:val="00EF3768"/>
    <w:rsid w:val="00EF78DC"/>
    <w:rsid w:val="00F00253"/>
    <w:rsid w:val="00F01785"/>
    <w:rsid w:val="00F17EB2"/>
    <w:rsid w:val="00F43DBE"/>
    <w:rsid w:val="00F65ADE"/>
    <w:rsid w:val="00F66E9A"/>
    <w:rsid w:val="00F72993"/>
    <w:rsid w:val="00F80ED1"/>
    <w:rsid w:val="00F97FEE"/>
    <w:rsid w:val="00FA0069"/>
    <w:rsid w:val="00FA61AE"/>
    <w:rsid w:val="00FD0C22"/>
    <w:rsid w:val="00FE5235"/>
    <w:rsid w:val="00FF324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342"/>
    <w:rPr>
      <w:rFonts w:ascii="Calibri" w:eastAsia="Times New Roman" w:hAnsi="Calibri" w:cs="Times New Roman"/>
      <w:sz w:val="22"/>
    </w:rPr>
  </w:style>
  <w:style w:type="paragraph" w:styleId="Heading1">
    <w:name w:val="heading 1"/>
    <w:next w:val="Bodycopy"/>
    <w:link w:val="Heading1Char"/>
    <w:qFormat/>
    <w:rsid w:val="007101E9"/>
    <w:pPr>
      <w:keepNext/>
      <w:numPr>
        <w:numId w:val="16"/>
      </w:numPr>
      <w:spacing w:beforeLines="150" w:afterLines="100"/>
      <w:ind w:left="567" w:hanging="567"/>
      <w:outlineLvl w:val="0"/>
    </w:pPr>
    <w:rPr>
      <w:rFonts w:ascii="Calibri" w:eastAsiaTheme="majorEastAsia" w:hAnsi="Calibri" w:cstheme="majorBidi"/>
      <w:bCs/>
      <w:smallCaps/>
      <w:color w:val="000000" w:themeColor="text1"/>
      <w:spacing w:val="-3"/>
      <w:sz w:val="44"/>
      <w:szCs w:val="44"/>
    </w:rPr>
  </w:style>
  <w:style w:type="paragraph" w:styleId="Heading2">
    <w:name w:val="heading 2"/>
    <w:next w:val="Bodycopy"/>
    <w:link w:val="Heading2Char"/>
    <w:uiPriority w:val="9"/>
    <w:unhideWhenUsed/>
    <w:qFormat/>
    <w:rsid w:val="007101E9"/>
    <w:pPr>
      <w:keepNext/>
      <w:widowControl w:val="0"/>
      <w:spacing w:beforeLines="150" w:afterLines="100"/>
      <w:outlineLvl w:val="1"/>
    </w:pPr>
    <w:rPr>
      <w:rFonts w:ascii="Calibri" w:eastAsiaTheme="minorEastAsia" w:hAnsi="Calibri" w:cstheme="majorHAnsi"/>
      <w:smallCaps/>
      <w:spacing w:val="-3"/>
      <w:sz w:val="36"/>
      <w:szCs w:val="36"/>
    </w:rPr>
  </w:style>
  <w:style w:type="paragraph" w:styleId="Heading3">
    <w:name w:val="heading 3"/>
    <w:next w:val="Bodycopy"/>
    <w:link w:val="Heading3Char"/>
    <w:qFormat/>
    <w:rsid w:val="007101E9"/>
    <w:pPr>
      <w:keepNext/>
      <w:widowControl w:val="0"/>
      <w:spacing w:beforeLines="100" w:afterLines="100"/>
      <w:outlineLvl w:val="2"/>
    </w:pPr>
    <w:rPr>
      <w:rFonts w:ascii="Calibri" w:eastAsiaTheme="minorEastAsia" w:hAnsi="Calibri" w:cstheme="majorHAnsi"/>
      <w:smallCaps/>
      <w:spacing w:val="-3"/>
      <w:sz w:val="30"/>
      <w:szCs w:val="30"/>
    </w:rPr>
  </w:style>
  <w:style w:type="paragraph" w:styleId="Heading4">
    <w:name w:val="heading 4"/>
    <w:aliases w:val="no number"/>
    <w:next w:val="Bodycopy"/>
    <w:link w:val="Heading4Char"/>
    <w:qFormat/>
    <w:rsid w:val="00D83D66"/>
    <w:pPr>
      <w:keepNext/>
      <w:widowControl w:val="0"/>
      <w:spacing w:beforeLines="100" w:afterLines="100"/>
      <w:outlineLvl w:val="3"/>
    </w:pPr>
    <w:rPr>
      <w:rFonts w:ascii="Calibri" w:eastAsiaTheme="minorEastAsia" w:hAnsi="Calibri" w:cstheme="majorHAnsi"/>
      <w:smallCaps/>
      <w:spacing w:val="-3"/>
      <w:sz w:val="26"/>
      <w:szCs w:val="26"/>
    </w:rPr>
  </w:style>
  <w:style w:type="paragraph" w:styleId="Heading5">
    <w:name w:val="heading 5"/>
    <w:next w:val="Bodycopy"/>
    <w:link w:val="Heading5Char"/>
    <w:uiPriority w:val="9"/>
    <w:unhideWhenUsed/>
    <w:qFormat/>
    <w:rsid w:val="00D83D66"/>
    <w:pPr>
      <w:keepNext/>
      <w:widowControl w:val="0"/>
      <w:spacing w:beforeLines="100" w:afterLines="50" w:line="300" w:lineRule="exact"/>
      <w:outlineLvl w:val="4"/>
    </w:pPr>
    <w:rPr>
      <w:rFonts w:ascii="Calibri" w:eastAsiaTheme="minorEastAsia" w:hAnsi="Calibri" w:cstheme="majorHAnsi"/>
      <w:i/>
      <w:smallCaps/>
      <w:spacing w:val="-3"/>
    </w:rPr>
  </w:style>
  <w:style w:type="paragraph" w:styleId="Heading6">
    <w:name w:val="heading 6"/>
    <w:next w:val="Bodycopy"/>
    <w:link w:val="Heading6Char"/>
    <w:uiPriority w:val="9"/>
    <w:semiHidden/>
    <w:unhideWhenUsed/>
    <w:qFormat/>
    <w:rsid w:val="00D83D66"/>
    <w:pPr>
      <w:keepNext/>
      <w:widowControl w:val="0"/>
      <w:spacing w:before="200"/>
      <w:outlineLvl w:val="5"/>
    </w:pPr>
    <w:rPr>
      <w:rFonts w:asciiTheme="majorHAnsi" w:eastAsiaTheme="majorEastAsia" w:hAnsiTheme="majorHAnsi" w:cstheme="majorBidi"/>
      <w:i/>
      <w:iCs/>
      <w:smallCaps/>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01E9"/>
    <w:rPr>
      <w:rFonts w:ascii="Calibri" w:eastAsiaTheme="majorEastAsia" w:hAnsi="Calibri" w:cstheme="majorBidi"/>
      <w:bCs/>
      <w:smallCaps/>
      <w:color w:val="000000" w:themeColor="text1"/>
      <w:spacing w:val="-3"/>
      <w:sz w:val="44"/>
      <w:szCs w:val="44"/>
    </w:rPr>
  </w:style>
  <w:style w:type="character" w:customStyle="1" w:styleId="Heading3Char">
    <w:name w:val="Heading 3 Char"/>
    <w:basedOn w:val="DefaultParagraphFont"/>
    <w:link w:val="Heading3"/>
    <w:rsid w:val="007101E9"/>
    <w:rPr>
      <w:rFonts w:ascii="Calibri" w:eastAsiaTheme="minorEastAsia" w:hAnsi="Calibri" w:cstheme="majorHAnsi"/>
      <w:smallCaps/>
      <w:spacing w:val="-3"/>
      <w:sz w:val="30"/>
      <w:szCs w:val="30"/>
    </w:rPr>
  </w:style>
  <w:style w:type="character" w:customStyle="1" w:styleId="Heading4Char">
    <w:name w:val="Heading 4 Char"/>
    <w:aliases w:val="no number Char"/>
    <w:basedOn w:val="DefaultParagraphFont"/>
    <w:link w:val="Heading4"/>
    <w:rsid w:val="00D83D66"/>
    <w:rPr>
      <w:rFonts w:ascii="Calibri" w:eastAsiaTheme="minorEastAsia" w:hAnsi="Calibri" w:cstheme="majorHAnsi"/>
      <w:smallCaps/>
      <w:spacing w:val="-3"/>
      <w:sz w:val="26"/>
      <w:szCs w:val="26"/>
    </w:rPr>
  </w:style>
  <w:style w:type="paragraph" w:customStyle="1" w:styleId="Bodycopybulletlevel2">
    <w:name w:val="Body copy bullet level 2"/>
    <w:qFormat/>
    <w:rsid w:val="00841065"/>
    <w:pPr>
      <w:keepNext/>
      <w:widowControl w:val="0"/>
      <w:numPr>
        <w:numId w:val="2"/>
      </w:numPr>
      <w:spacing w:beforeLines="120" w:afterLines="120" w:line="200" w:lineRule="exact"/>
      <w:ind w:left="1985" w:hanging="567"/>
    </w:pPr>
    <w:rPr>
      <w:rFonts w:cstheme="minorHAnsi"/>
      <w:color w:val="000000"/>
      <w:spacing w:val="-3"/>
      <w:sz w:val="22"/>
      <w:szCs w:val="20"/>
      <w:lang w:eastAsia="en-AU"/>
    </w:rPr>
  </w:style>
  <w:style w:type="paragraph" w:styleId="Header">
    <w:name w:val="header"/>
    <w:basedOn w:val="Normal"/>
    <w:link w:val="HeaderChar"/>
    <w:semiHidden/>
    <w:unhideWhenUsed/>
    <w:rsid w:val="005F2F07"/>
    <w:pPr>
      <w:tabs>
        <w:tab w:val="center" w:pos="4513"/>
        <w:tab w:val="right" w:pos="9026"/>
      </w:tabs>
    </w:pPr>
    <w:rPr>
      <w:rFonts w:asciiTheme="minorHAnsi" w:hAnsiTheme="minorHAnsi"/>
      <w:smallCaps/>
      <w:sz w:val="28"/>
    </w:rPr>
  </w:style>
  <w:style w:type="character" w:customStyle="1" w:styleId="HeaderChar">
    <w:name w:val="Header Char"/>
    <w:basedOn w:val="DefaultParagraphFont"/>
    <w:link w:val="Header"/>
    <w:semiHidden/>
    <w:rsid w:val="005F2F07"/>
    <w:rPr>
      <w:rFonts w:eastAsia="Times New Roman" w:cs="Times New Roman"/>
      <w:sz w:val="20"/>
    </w:rPr>
  </w:style>
  <w:style w:type="character" w:customStyle="1" w:styleId="Heading6Char">
    <w:name w:val="Heading 6 Char"/>
    <w:basedOn w:val="DefaultParagraphFont"/>
    <w:link w:val="Heading6"/>
    <w:uiPriority w:val="9"/>
    <w:semiHidden/>
    <w:rsid w:val="00D83D66"/>
    <w:rPr>
      <w:rFonts w:asciiTheme="majorHAnsi" w:eastAsiaTheme="majorEastAsia" w:hAnsiTheme="majorHAnsi" w:cstheme="majorBidi"/>
      <w:i/>
      <w:iCs/>
      <w:smallCaps/>
      <w:spacing w:val="-3"/>
      <w:sz w:val="22"/>
    </w:rPr>
  </w:style>
  <w:style w:type="table" w:customStyle="1" w:styleId="LightShading1">
    <w:name w:val="Light Shading1"/>
    <w:basedOn w:val="TableNormal"/>
    <w:uiPriority w:val="60"/>
    <w:rsid w:val="00274259"/>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copy">
    <w:name w:val="Body copy"/>
    <w:qFormat/>
    <w:rsid w:val="00742300"/>
    <w:pPr>
      <w:keepNext/>
      <w:widowControl w:val="0"/>
      <w:spacing w:before="200" w:after="200" w:line="300" w:lineRule="exact"/>
    </w:pPr>
    <w:rPr>
      <w:rFonts w:cstheme="minorHAnsi"/>
      <w:color w:val="000000"/>
      <w:spacing w:val="-3"/>
      <w:sz w:val="22"/>
      <w:szCs w:val="20"/>
      <w:lang w:eastAsia="en-AU"/>
    </w:rPr>
  </w:style>
  <w:style w:type="paragraph" w:customStyle="1" w:styleId="Bodycopybulletlevel1">
    <w:name w:val="Body copy bullet level 1"/>
    <w:qFormat/>
    <w:rsid w:val="00841065"/>
    <w:pPr>
      <w:keepNext/>
      <w:widowControl w:val="0"/>
      <w:numPr>
        <w:numId w:val="1"/>
      </w:numPr>
      <w:spacing w:beforeLines="120" w:afterLines="120" w:line="200" w:lineRule="exact"/>
      <w:ind w:left="1418" w:hanging="567"/>
    </w:pPr>
    <w:rPr>
      <w:rFonts w:cstheme="minorHAnsi"/>
      <w:color w:val="000000"/>
      <w:spacing w:val="-3"/>
      <w:sz w:val="22"/>
      <w:szCs w:val="20"/>
      <w:lang w:eastAsia="en-AU"/>
    </w:rPr>
  </w:style>
  <w:style w:type="character" w:customStyle="1" w:styleId="Heading2Char">
    <w:name w:val="Heading 2 Char"/>
    <w:basedOn w:val="DefaultParagraphFont"/>
    <w:link w:val="Heading2"/>
    <w:uiPriority w:val="9"/>
    <w:rsid w:val="007101E9"/>
    <w:rPr>
      <w:rFonts w:ascii="Calibri" w:eastAsiaTheme="minorEastAsia" w:hAnsi="Calibri" w:cstheme="majorHAnsi"/>
      <w:smallCaps/>
      <w:spacing w:val="-3"/>
      <w:sz w:val="36"/>
      <w:szCs w:val="36"/>
    </w:rPr>
  </w:style>
  <w:style w:type="paragraph" w:styleId="BalloonText">
    <w:name w:val="Balloon Text"/>
    <w:basedOn w:val="Normal"/>
    <w:link w:val="BalloonTextChar"/>
    <w:uiPriority w:val="99"/>
    <w:semiHidden/>
    <w:unhideWhenUsed/>
    <w:rsid w:val="00274259"/>
    <w:rPr>
      <w:rFonts w:ascii="Tahoma" w:hAnsi="Tahoma" w:cs="Tahoma"/>
      <w:sz w:val="16"/>
      <w:szCs w:val="16"/>
    </w:rPr>
  </w:style>
  <w:style w:type="character" w:customStyle="1" w:styleId="BalloonTextChar">
    <w:name w:val="Balloon Text Char"/>
    <w:basedOn w:val="DefaultParagraphFont"/>
    <w:link w:val="BalloonText"/>
    <w:uiPriority w:val="99"/>
    <w:semiHidden/>
    <w:rsid w:val="00274259"/>
    <w:rPr>
      <w:rFonts w:ascii="Tahoma" w:eastAsia="Times New Roman" w:hAnsi="Tahoma" w:cs="Tahoma"/>
      <w:sz w:val="16"/>
      <w:szCs w:val="16"/>
    </w:rPr>
  </w:style>
  <w:style w:type="numbering" w:customStyle="1" w:styleId="Style1">
    <w:name w:val="Style1"/>
    <w:uiPriority w:val="99"/>
    <w:rsid w:val="00DE55CE"/>
    <w:pPr>
      <w:numPr>
        <w:numId w:val="8"/>
      </w:numPr>
    </w:pPr>
  </w:style>
  <w:style w:type="character" w:customStyle="1" w:styleId="Heading5Char">
    <w:name w:val="Heading 5 Char"/>
    <w:basedOn w:val="DefaultParagraphFont"/>
    <w:link w:val="Heading5"/>
    <w:uiPriority w:val="9"/>
    <w:rsid w:val="00D83D66"/>
    <w:rPr>
      <w:rFonts w:ascii="Calibri" w:eastAsiaTheme="minorEastAsia" w:hAnsi="Calibri" w:cstheme="majorHAnsi"/>
      <w:i/>
      <w:smallCaps/>
      <w:spacing w:val="-3"/>
    </w:rPr>
  </w:style>
  <w:style w:type="paragraph" w:styleId="Footer">
    <w:name w:val="footer"/>
    <w:basedOn w:val="Normal"/>
    <w:link w:val="FooterChar"/>
    <w:uiPriority w:val="99"/>
    <w:semiHidden/>
    <w:unhideWhenUsed/>
    <w:rsid w:val="00755282"/>
    <w:pPr>
      <w:tabs>
        <w:tab w:val="center" w:pos="4513"/>
        <w:tab w:val="right" w:pos="9026"/>
      </w:tabs>
      <w:jc w:val="center"/>
    </w:pPr>
    <w:rPr>
      <w:rFonts w:asciiTheme="minorHAnsi" w:hAnsiTheme="minorHAnsi"/>
      <w:smallCaps/>
      <w:sz w:val="20"/>
    </w:rPr>
  </w:style>
  <w:style w:type="character" w:customStyle="1" w:styleId="FooterChar">
    <w:name w:val="Footer Char"/>
    <w:basedOn w:val="DefaultParagraphFont"/>
    <w:link w:val="Footer"/>
    <w:uiPriority w:val="99"/>
    <w:semiHidden/>
    <w:rsid w:val="00755282"/>
    <w:rPr>
      <w:rFonts w:eastAsia="Times New Roman" w:cs="Times New Roman"/>
      <w:sz w:val="20"/>
    </w:rPr>
  </w:style>
  <w:style w:type="numbering" w:customStyle="1" w:styleId="Style2">
    <w:name w:val="Style2"/>
    <w:uiPriority w:val="99"/>
    <w:rsid w:val="004C7CD5"/>
    <w:pPr>
      <w:numPr>
        <w:numId w:val="12"/>
      </w:numPr>
    </w:pPr>
  </w:style>
  <w:style w:type="paragraph" w:styleId="FootnoteText">
    <w:name w:val="footnote text"/>
    <w:basedOn w:val="Normal"/>
    <w:link w:val="FootnoteTextChar"/>
    <w:uiPriority w:val="99"/>
    <w:semiHidden/>
    <w:unhideWhenUsed/>
    <w:rsid w:val="00AF3E15"/>
    <w:pPr>
      <w:spacing w:before="80" w:after="80" w:line="160" w:lineRule="exact"/>
    </w:pPr>
    <w:rPr>
      <w:rFonts w:asciiTheme="minorHAnsi" w:hAnsiTheme="minorHAnsi"/>
      <w:smallCaps/>
      <w:sz w:val="18"/>
      <w:szCs w:val="20"/>
    </w:rPr>
  </w:style>
  <w:style w:type="character" w:customStyle="1" w:styleId="FootnoteTextChar">
    <w:name w:val="Footnote Text Char"/>
    <w:basedOn w:val="DefaultParagraphFont"/>
    <w:link w:val="FootnoteText"/>
    <w:uiPriority w:val="99"/>
    <w:semiHidden/>
    <w:rsid w:val="00AF3E15"/>
    <w:rPr>
      <w:rFonts w:eastAsia="Times New Roman" w:cs="Times New Roman"/>
      <w:sz w:val="18"/>
      <w:szCs w:val="20"/>
    </w:rPr>
  </w:style>
  <w:style w:type="paragraph" w:customStyle="1" w:styleId="Ends">
    <w:name w:val="Ends"/>
    <w:basedOn w:val="Heading3"/>
    <w:rsid w:val="007F3168"/>
    <w:pPr>
      <w:spacing w:beforeLines="200" w:afterLines="200"/>
    </w:pPr>
    <w:rPr>
      <w:b/>
    </w:rPr>
  </w:style>
  <w:style w:type="paragraph" w:customStyle="1" w:styleId="Heading4numbered">
    <w:name w:val="Heading 4 numbered"/>
    <w:next w:val="Bodycopy"/>
    <w:rsid w:val="00D83D66"/>
    <w:pPr>
      <w:keepNext/>
      <w:widowControl w:val="0"/>
      <w:numPr>
        <w:numId w:val="17"/>
      </w:numPr>
      <w:spacing w:before="240" w:after="240"/>
      <w:ind w:left="567" w:hanging="567"/>
    </w:pPr>
    <w:rPr>
      <w:rFonts w:ascii="Calibri" w:eastAsiaTheme="minorEastAsia" w:hAnsi="Calibri" w:cstheme="majorHAnsi"/>
      <w:b/>
      <w:smallCaps/>
      <w:spacing w:val="-3"/>
      <w:sz w:val="26"/>
      <w:szCs w:val="26"/>
    </w:rPr>
  </w:style>
  <w:style w:type="paragraph" w:customStyle="1" w:styleId="Heading1nonumber">
    <w:name w:val="Heading 1 no number"/>
    <w:next w:val="Bodycopy"/>
    <w:rsid w:val="007101E9"/>
    <w:pPr>
      <w:keepNext/>
      <w:widowControl w:val="0"/>
      <w:spacing w:beforeLines="150" w:afterLines="100"/>
    </w:pPr>
    <w:rPr>
      <w:rFonts w:ascii="Calibri" w:eastAsiaTheme="majorEastAsia" w:hAnsi="Calibri" w:cstheme="majorBidi"/>
      <w:bCs/>
      <w:smallCaps/>
      <w:color w:val="000000" w:themeColor="text1"/>
      <w:spacing w:val="-3"/>
      <w:sz w:val="44"/>
      <w:szCs w:val="44"/>
    </w:rPr>
  </w:style>
  <w:style w:type="paragraph" w:customStyle="1" w:styleId="Bodycopynumbered">
    <w:name w:val="Body copy numbered"/>
    <w:rsid w:val="006461AB"/>
    <w:pPr>
      <w:keepNext/>
      <w:widowControl w:val="0"/>
      <w:numPr>
        <w:numId w:val="21"/>
      </w:numPr>
      <w:spacing w:before="200" w:after="200" w:line="300" w:lineRule="exact"/>
      <w:ind w:left="567" w:hanging="567"/>
    </w:pPr>
    <w:rPr>
      <w:rFonts w:eastAsia="Times New Roman" w:cstheme="minorHAnsi"/>
      <w:iCs/>
      <w:sz w:val="22"/>
    </w:rPr>
  </w:style>
  <w:style w:type="paragraph" w:customStyle="1" w:styleId="Bulletlistalpha">
    <w:name w:val="Bullet list alpha"/>
    <w:rsid w:val="006461AB"/>
    <w:pPr>
      <w:keepNext/>
      <w:widowControl w:val="0"/>
      <w:numPr>
        <w:ilvl w:val="1"/>
        <w:numId w:val="18"/>
      </w:numPr>
      <w:spacing w:before="120" w:after="120" w:line="300" w:lineRule="exact"/>
      <w:ind w:left="1418" w:hanging="567"/>
    </w:pPr>
    <w:rPr>
      <w:rFonts w:cstheme="minorHAnsi"/>
      <w:color w:val="000000"/>
      <w:spacing w:val="-3"/>
      <w:szCs w:val="20"/>
      <w:lang w:eastAsia="en-AU"/>
    </w:rPr>
  </w:style>
  <w:style w:type="paragraph" w:customStyle="1" w:styleId="Bulletlistroman">
    <w:name w:val="Bullet list roman"/>
    <w:rsid w:val="006461AB"/>
    <w:pPr>
      <w:keepNext/>
      <w:widowControl w:val="0"/>
      <w:numPr>
        <w:numId w:val="19"/>
      </w:numPr>
      <w:spacing w:beforeLines="120" w:afterLines="120" w:line="200" w:lineRule="exact"/>
      <w:ind w:left="1985" w:hanging="567"/>
    </w:pPr>
    <w:rPr>
      <w:rFonts w:cstheme="minorHAnsi"/>
      <w:color w:val="000000"/>
      <w:spacing w:val="-3"/>
      <w:sz w:val="22"/>
      <w:szCs w:val="20"/>
      <w:lang w:eastAsia="en-AU"/>
    </w:rPr>
  </w:style>
  <w:style w:type="paragraph" w:customStyle="1" w:styleId="Bulletlistquote">
    <w:name w:val="Bullet list quote"/>
    <w:qFormat/>
    <w:rsid w:val="006461AB"/>
    <w:pPr>
      <w:keepNext/>
      <w:widowControl w:val="0"/>
      <w:ind w:left="1418"/>
    </w:pPr>
    <w:rPr>
      <w:rFonts w:cstheme="minorHAnsi"/>
      <w:i/>
      <w:color w:val="000000"/>
      <w:spacing w:val="-3"/>
      <w:sz w:val="22"/>
      <w:szCs w:val="20"/>
      <w:lang w:eastAsia="en-AU"/>
    </w:rPr>
  </w:style>
  <w:style w:type="paragraph" w:customStyle="1" w:styleId="Bulletnumbered">
    <w:name w:val="Bullet numbered"/>
    <w:basedOn w:val="Normal"/>
    <w:rsid w:val="00FE5235"/>
    <w:pPr>
      <w:numPr>
        <w:numId w:val="23"/>
      </w:numPr>
      <w:spacing w:before="200" w:after="200" w:line="300" w:lineRule="exact"/>
      <w:ind w:left="567" w:hanging="567"/>
    </w:pPr>
    <w:rPr>
      <w:rFonts w:asciiTheme="minorHAnsi" w:eastAsiaTheme="minorHAnsi" w:hAnsiTheme="minorHAnsi" w:cstheme="minorHAnsi"/>
      <w:smallCaps/>
      <w:color w:val="000000"/>
      <w:sz w:val="28"/>
      <w:szCs w:val="20"/>
      <w:lang w:eastAsia="en-AU"/>
    </w:rPr>
  </w:style>
  <w:style w:type="paragraph" w:styleId="Date">
    <w:name w:val="Date"/>
    <w:basedOn w:val="Normal"/>
    <w:next w:val="Normal"/>
    <w:link w:val="DateChar"/>
    <w:uiPriority w:val="99"/>
    <w:unhideWhenUsed/>
    <w:rsid w:val="00755282"/>
    <w:pPr>
      <w:spacing w:before="200" w:after="200" w:line="300" w:lineRule="exact"/>
    </w:pPr>
    <w:rPr>
      <w:rFonts w:asciiTheme="minorHAnsi" w:hAnsiTheme="minorHAnsi"/>
      <w:b/>
      <w:smallCaps/>
      <w:sz w:val="28"/>
    </w:rPr>
  </w:style>
  <w:style w:type="character" w:customStyle="1" w:styleId="DateChar">
    <w:name w:val="Date Char"/>
    <w:basedOn w:val="DefaultParagraphFont"/>
    <w:link w:val="Date"/>
    <w:uiPriority w:val="99"/>
    <w:rsid w:val="00755282"/>
    <w:rPr>
      <w:rFonts w:eastAsia="Times New Roman" w:cs="Times New Roman"/>
      <w:b/>
      <w:sz w:val="22"/>
    </w:rPr>
  </w:style>
  <w:style w:type="character" w:styleId="FootnoteReference">
    <w:name w:val="footnote reference"/>
    <w:basedOn w:val="DefaultParagraphFont"/>
    <w:uiPriority w:val="99"/>
    <w:semiHidden/>
    <w:unhideWhenUsed/>
    <w:rsid w:val="00087932"/>
    <w:rPr>
      <w:vertAlign w:val="superscript"/>
    </w:rPr>
  </w:style>
  <w:style w:type="paragraph" w:customStyle="1" w:styleId="DPSEntryIndents">
    <w:name w:val="DPSEntryIndents"/>
    <w:basedOn w:val="Normal"/>
    <w:rsid w:val="00FA0069"/>
    <w:pPr>
      <w:numPr>
        <w:numId w:val="34"/>
      </w:numPr>
      <w:spacing w:before="120"/>
      <w:jc w:val="both"/>
    </w:pPr>
    <w:rPr>
      <w:rFonts w:ascii="Times New Roman" w:hAnsi="Times New Roman"/>
      <w:sz w:val="24"/>
      <w:szCs w:val="20"/>
      <w:lang w:eastAsia="en-AU"/>
    </w:rPr>
  </w:style>
  <w:style w:type="table" w:styleId="TableContemporary">
    <w:name w:val="Table Contemporary"/>
    <w:basedOn w:val="TableNormal"/>
    <w:uiPriority w:val="99"/>
    <w:unhideWhenUsed/>
    <w:rsid w:val="004C74E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basedOn w:val="DefaultParagraphFont"/>
    <w:uiPriority w:val="99"/>
    <w:unhideWhenUsed/>
    <w:rsid w:val="00B46D7C"/>
    <w:rPr>
      <w:color w:val="0000FF" w:themeColor="hyperlink"/>
      <w:u w:val="single"/>
    </w:rPr>
  </w:style>
  <w:style w:type="paragraph" w:styleId="DocumentMap">
    <w:name w:val="Document Map"/>
    <w:basedOn w:val="Normal"/>
    <w:link w:val="DocumentMapChar"/>
    <w:uiPriority w:val="99"/>
    <w:semiHidden/>
    <w:unhideWhenUsed/>
    <w:rsid w:val="00BB3339"/>
    <w:rPr>
      <w:rFonts w:ascii="Tahoma" w:hAnsi="Tahoma" w:cs="Tahoma"/>
      <w:sz w:val="16"/>
      <w:szCs w:val="16"/>
    </w:rPr>
  </w:style>
  <w:style w:type="character" w:customStyle="1" w:styleId="DocumentMapChar">
    <w:name w:val="Document Map Char"/>
    <w:basedOn w:val="DefaultParagraphFont"/>
    <w:link w:val="DocumentMap"/>
    <w:uiPriority w:val="99"/>
    <w:semiHidden/>
    <w:rsid w:val="00BB3339"/>
    <w:rPr>
      <w:rFonts w:ascii="Tahoma" w:eastAsia="Times New Roman" w:hAnsi="Tahoma" w:cs="Tahoma"/>
      <w:sz w:val="16"/>
      <w:szCs w:val="16"/>
    </w:rPr>
  </w:style>
  <w:style w:type="paragraph" w:customStyle="1" w:styleId="RCNormalHangingIndent">
    <w:name w:val="RC NormalHangingIndent"/>
    <w:basedOn w:val="Normal"/>
    <w:qFormat/>
    <w:rsid w:val="005D034D"/>
    <w:pPr>
      <w:tabs>
        <w:tab w:val="left" w:pos="340"/>
        <w:tab w:val="left" w:pos="680"/>
      </w:tabs>
      <w:spacing w:before="40" w:after="40"/>
      <w:ind w:left="680" w:hanging="680"/>
    </w:pPr>
    <w:rPr>
      <w:rFonts w:asciiTheme="minorHAnsi" w:eastAsiaTheme="minorHAnsi" w:hAnsiTheme="minorHAnsi" w:cstheme="minorBidi"/>
      <w:szCs w:val="22"/>
    </w:rPr>
  </w:style>
  <w:style w:type="paragraph" w:customStyle="1" w:styleId="RCNormalCA">
    <w:name w:val="RC Normal CA"/>
    <w:basedOn w:val="Normal"/>
    <w:qFormat/>
    <w:rsid w:val="005D034D"/>
    <w:pPr>
      <w:spacing w:before="40" w:after="40"/>
      <w:jc w:val="center"/>
    </w:pPr>
    <w:rPr>
      <w:rFonts w:asciiTheme="minorHAnsi" w:eastAsiaTheme="minorHAnsi" w:hAnsiTheme="minorHAnsi" w:cstheme="minorBidi"/>
      <w:szCs w:val="22"/>
    </w:rPr>
  </w:style>
  <w:style w:type="paragraph" w:customStyle="1" w:styleId="RCTitle">
    <w:name w:val="RC Title"/>
    <w:qFormat/>
    <w:rsid w:val="005D034D"/>
    <w:pPr>
      <w:spacing w:after="120"/>
      <w:ind w:left="113"/>
    </w:pPr>
    <w:rPr>
      <w:rFonts w:eastAsiaTheme="majorEastAsia" w:cstheme="majorBidi"/>
      <w:color w:val="17365D" w:themeColor="text2" w:themeShade="BF"/>
      <w:spacing w:val="5"/>
      <w:kern w:val="28"/>
      <w:sz w:val="52"/>
      <w:szCs w:val="52"/>
    </w:rPr>
  </w:style>
  <w:style w:type="paragraph" w:customStyle="1" w:styleId="RCSubtitle">
    <w:name w:val="RC Subtitle"/>
    <w:qFormat/>
    <w:rsid w:val="005D034D"/>
    <w:pPr>
      <w:spacing w:after="120"/>
      <w:ind w:left="113"/>
    </w:pPr>
    <w:rPr>
      <w:rFonts w:eastAsiaTheme="majorEastAsia" w:cstheme="majorBidi"/>
      <w:b/>
      <w:iCs/>
      <w:color w:val="4F81BD" w:themeColor="accent1"/>
      <w:sz w:val="32"/>
    </w:rPr>
  </w:style>
  <w:style w:type="paragraph" w:customStyle="1" w:styleId="RCHeading1">
    <w:name w:val="RC Heading 1"/>
    <w:qFormat/>
    <w:rsid w:val="005D034D"/>
    <w:pPr>
      <w:spacing w:before="60" w:after="60"/>
    </w:pPr>
    <w:rPr>
      <w:rFonts w:eastAsiaTheme="majorEastAsia" w:cstheme="majorBidi"/>
      <w:b/>
      <w:bCs/>
      <w:color w:val="FFFFFF" w:themeColor="background1"/>
      <w:sz w:val="28"/>
      <w:szCs w:val="28"/>
    </w:rPr>
  </w:style>
  <w:style w:type="paragraph" w:customStyle="1" w:styleId="RCHeading2">
    <w:name w:val="RC Heading 2"/>
    <w:qFormat/>
    <w:rsid w:val="005D034D"/>
    <w:pPr>
      <w:spacing w:before="60" w:after="60"/>
    </w:pPr>
    <w:rPr>
      <w:rFonts w:eastAsiaTheme="majorEastAsia" w:cstheme="majorBidi"/>
      <w:b/>
      <w:bCs/>
      <w:color w:val="1F497D" w:themeColor="text2"/>
      <w:sz w:val="28"/>
      <w:szCs w:val="26"/>
    </w:rPr>
  </w:style>
  <w:style w:type="paragraph" w:customStyle="1" w:styleId="RCHeading1CA">
    <w:name w:val="RC Heading 1 CA"/>
    <w:basedOn w:val="RCHeading1"/>
    <w:qFormat/>
    <w:rsid w:val="005D034D"/>
    <w:pPr>
      <w:jc w:val="center"/>
    </w:pPr>
  </w:style>
  <w:style w:type="table" w:styleId="TableGrid">
    <w:name w:val="Table Grid"/>
    <w:basedOn w:val="TableNormal"/>
    <w:uiPriority w:val="59"/>
    <w:rsid w:val="005D034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D034D"/>
    <w:rPr>
      <w:b/>
      <w:bCs/>
    </w:rPr>
  </w:style>
</w:styles>
</file>

<file path=word/webSettings.xml><?xml version="1.0" encoding="utf-8"?>
<w:webSettings xmlns:r="http://schemas.openxmlformats.org/officeDocument/2006/relationships" xmlns:w="http://schemas.openxmlformats.org/wordprocessingml/2006/main">
  <w:divs>
    <w:div w:id="191805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act.gov.au/a/2009-55/default.asp"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parliament.act.gov.au/members/declarations-of-interest"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OLA\LA_media_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 Sans Serif">
      <a:majorFont>
        <a:latin typeface="Arial Narrow"/>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6F97F-8214-4136-9D82-E8E37A343D8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1F59B87-B375-489B-95A5-EE920F423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LA_media_release.dotx</Template>
  <TotalTime>7</TotalTime>
  <Pages>9</Pages>
  <Words>2516</Words>
  <Characters>14040</Characters>
  <Application>Microsoft Office Word</Application>
  <DocSecurity>0</DocSecurity>
  <Lines>468</Lines>
  <Paragraphs>271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Italiano</dc:creator>
  <cp:lastModifiedBy>FIONA MATZ</cp:lastModifiedBy>
  <cp:revision>2</cp:revision>
  <cp:lastPrinted>2016-11-24T23:09:00Z</cp:lastPrinted>
  <dcterms:created xsi:type="dcterms:W3CDTF">2016-12-05T00:36:00Z</dcterms:created>
  <dcterms:modified xsi:type="dcterms:W3CDTF">2016-12-05T00:36:00Z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de3ab731-736c-4825-9f2d-3cfaeb7ee0f0</vt:lpwstr>
  </property>
  <property fmtid="{D5CDD505-2E9C-101B-9397-08002B2CF9AE}" pid="3" name="bjSaver">
    <vt:lpwstr>OFpCuP4jiJTahHEN0YsCooI4ZlxP6j6S</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