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9A4" w:rsidRPr="00FA39A4" w:rsidRDefault="00FA39A4" w:rsidP="00FA39A4">
      <w:pPr>
        <w:jc w:val="center"/>
        <w:rPr>
          <w:rFonts w:ascii="Times New Roman" w:hAnsi="Times New Roman"/>
          <w:b/>
          <w:bCs/>
          <w:lang w:val="en-AU"/>
        </w:rPr>
      </w:pPr>
      <w:r w:rsidRPr="00FA39A4">
        <w:rPr>
          <w:rFonts w:ascii="Times New Roman" w:hAnsi="Times New Roman"/>
          <w:b/>
          <w:bCs/>
          <w:noProof/>
          <w:lang w:val="en-AU"/>
        </w:rPr>
        <w:drawing>
          <wp:inline distT="0" distB="0" distL="0" distR="0">
            <wp:extent cx="757555" cy="757555"/>
            <wp:effectExtent l="0" t="0" r="4445" b="444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FA39A4" w:rsidRPr="00FA39A4" w:rsidRDefault="00FA39A4" w:rsidP="00FA39A4">
      <w:pPr>
        <w:keepNext/>
        <w:keepLines/>
        <w:spacing w:before="320"/>
        <w:jc w:val="center"/>
        <w:rPr>
          <w:rFonts w:ascii="Calibri" w:hAnsi="Calibri"/>
          <w:b/>
          <w:bCs/>
          <w:sz w:val="32"/>
          <w:szCs w:val="32"/>
          <w:lang w:val="en-AU"/>
        </w:rPr>
      </w:pPr>
      <w:r w:rsidRPr="00FA39A4">
        <w:rPr>
          <w:rFonts w:ascii="Calibri" w:hAnsi="Calibri"/>
          <w:b/>
          <w:bCs/>
          <w:sz w:val="32"/>
          <w:szCs w:val="32"/>
          <w:lang w:val="en-AU"/>
        </w:rPr>
        <w:t>LEGISLATIVE ASSEMBLY FOR THE</w:t>
      </w:r>
    </w:p>
    <w:p w:rsidR="00FA39A4" w:rsidRPr="00FA39A4" w:rsidRDefault="00FA39A4" w:rsidP="00FA39A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A39A4">
            <w:rPr>
              <w:rFonts w:ascii="Calibri" w:hAnsi="Calibri"/>
              <w:b/>
              <w:bCs/>
              <w:sz w:val="32"/>
              <w:szCs w:val="32"/>
              <w:lang w:val="en-AU"/>
            </w:rPr>
            <w:t>AUSTRALIAN CAPITAL TERRITORY</w:t>
          </w:r>
        </w:smartTag>
      </w:smartTag>
    </w:p>
    <w:p w:rsidR="00FA39A4" w:rsidRPr="00FA39A4" w:rsidRDefault="00FA39A4" w:rsidP="00FA39A4">
      <w:pPr>
        <w:spacing w:before="360"/>
        <w:jc w:val="center"/>
        <w:rPr>
          <w:rFonts w:ascii="Calibri" w:hAnsi="Calibri"/>
          <w:b/>
          <w:sz w:val="28"/>
          <w:szCs w:val="28"/>
        </w:rPr>
      </w:pPr>
      <w:r w:rsidRPr="00FA39A4">
        <w:rPr>
          <w:rFonts w:ascii="Calibri" w:hAnsi="Calibri"/>
          <w:b/>
          <w:sz w:val="28"/>
          <w:szCs w:val="28"/>
        </w:rPr>
        <w:t>2020–2021–2022</w:t>
      </w:r>
    </w:p>
    <w:p w:rsidR="00FA39A4" w:rsidRPr="00FA39A4" w:rsidRDefault="00FA39A4" w:rsidP="00FA39A4">
      <w:pPr>
        <w:keepNext/>
        <w:keepLines/>
        <w:spacing w:before="360"/>
        <w:jc w:val="center"/>
        <w:rPr>
          <w:rFonts w:ascii="Calibri" w:hAnsi="Calibri"/>
          <w:b/>
          <w:sz w:val="40"/>
          <w:szCs w:val="40"/>
          <w:lang w:val="en-AU"/>
        </w:rPr>
      </w:pPr>
      <w:r w:rsidRPr="00FA39A4">
        <w:rPr>
          <w:rFonts w:ascii="Calibri" w:hAnsi="Calibri"/>
          <w:b/>
          <w:sz w:val="40"/>
          <w:szCs w:val="40"/>
          <w:lang w:val="en-AU"/>
        </w:rPr>
        <w:t>MINUTES OF PROCEEDINGS</w:t>
      </w:r>
    </w:p>
    <w:p w:rsidR="00FA39A4" w:rsidRPr="00FA39A4" w:rsidRDefault="00FA39A4" w:rsidP="00FA39A4">
      <w:pPr>
        <w:spacing w:before="360"/>
        <w:jc w:val="center"/>
        <w:rPr>
          <w:rFonts w:ascii="Calibri" w:hAnsi="Calibri"/>
          <w:b/>
          <w:sz w:val="28"/>
          <w:szCs w:val="28"/>
        </w:rPr>
      </w:pPr>
      <w:r w:rsidRPr="00FA39A4">
        <w:rPr>
          <w:rFonts w:ascii="Calibri" w:hAnsi="Calibri"/>
          <w:b/>
          <w:sz w:val="28"/>
          <w:szCs w:val="28"/>
        </w:rPr>
        <w:t xml:space="preserve">No </w:t>
      </w:r>
      <w:r>
        <w:rPr>
          <w:rFonts w:ascii="Calibri" w:hAnsi="Calibri"/>
          <w:b/>
          <w:sz w:val="28"/>
          <w:szCs w:val="28"/>
        </w:rPr>
        <w:t>48</w:t>
      </w:r>
    </w:p>
    <w:p w:rsidR="00FA39A4" w:rsidRPr="00FA39A4" w:rsidRDefault="00204E46" w:rsidP="00FA39A4">
      <w:pPr>
        <w:keepNext/>
        <w:keepLines/>
        <w:spacing w:before="360"/>
        <w:jc w:val="center"/>
        <w:rPr>
          <w:rFonts w:ascii="Calibri" w:hAnsi="Calibri"/>
          <w:b/>
          <w:bCs/>
          <w:caps/>
          <w:sz w:val="28"/>
          <w:szCs w:val="28"/>
          <w:lang w:val="en-AU"/>
        </w:rPr>
      </w:pPr>
      <w:hyperlink r:id="rId10" w:history="1">
        <w:r w:rsidR="00FA39A4" w:rsidRPr="004D1240">
          <w:rPr>
            <w:rStyle w:val="Hyperlink"/>
            <w:rFonts w:ascii="Calibri" w:hAnsi="Calibri"/>
            <w:b/>
            <w:bCs/>
            <w:caps/>
            <w:sz w:val="28"/>
            <w:szCs w:val="28"/>
            <w:lang w:val="en-AU"/>
          </w:rPr>
          <w:t>Thursday, 5 May 2022</w:t>
        </w:r>
      </w:hyperlink>
    </w:p>
    <w:tbl>
      <w:tblPr>
        <w:tblW w:w="0" w:type="auto"/>
        <w:jc w:val="center"/>
        <w:tblLayout w:type="fixed"/>
        <w:tblLook w:val="0000" w:firstRow="0" w:lastRow="0" w:firstColumn="0" w:lastColumn="0" w:noHBand="0" w:noVBand="0"/>
      </w:tblPr>
      <w:tblGrid>
        <w:gridCol w:w="2452"/>
      </w:tblGrid>
      <w:tr w:rsidR="00FA39A4" w:rsidRPr="00FA39A4" w:rsidTr="001E683C">
        <w:trPr>
          <w:trHeight w:hRule="exact" w:val="333"/>
          <w:jc w:val="center"/>
        </w:trPr>
        <w:tc>
          <w:tcPr>
            <w:tcW w:w="2452" w:type="dxa"/>
          </w:tcPr>
          <w:p w:rsidR="00FA39A4" w:rsidRPr="00FA39A4" w:rsidRDefault="00FA39A4" w:rsidP="00FA39A4">
            <w:pPr>
              <w:rPr>
                <w:rFonts w:ascii="Times New Roman" w:hAnsi="Times New Roman"/>
                <w:color w:val="008000"/>
                <w:sz w:val="16"/>
                <w:lang w:val="en-AU"/>
              </w:rPr>
            </w:pPr>
          </w:p>
        </w:tc>
      </w:tr>
      <w:tr w:rsidR="00FA39A4" w:rsidRPr="00FA39A4" w:rsidTr="001E683C">
        <w:trPr>
          <w:trHeight w:hRule="exact" w:val="60"/>
          <w:jc w:val="center"/>
        </w:trPr>
        <w:tc>
          <w:tcPr>
            <w:tcW w:w="2452" w:type="dxa"/>
            <w:tcBorders>
              <w:top w:val="single" w:sz="8" w:space="0" w:color="000000"/>
              <w:bottom w:val="single" w:sz="4" w:space="0" w:color="000000"/>
            </w:tcBorders>
          </w:tcPr>
          <w:p w:rsidR="00FA39A4" w:rsidRPr="00FA39A4" w:rsidRDefault="00FA39A4" w:rsidP="00FA39A4">
            <w:pPr>
              <w:rPr>
                <w:rFonts w:ascii="Times New Roman" w:hAnsi="Times New Roman"/>
                <w:color w:val="008000"/>
                <w:sz w:val="16"/>
                <w:lang w:val="en-AU"/>
              </w:rPr>
            </w:pPr>
          </w:p>
        </w:tc>
      </w:tr>
      <w:tr w:rsidR="00FA39A4" w:rsidRPr="00FA39A4" w:rsidTr="001E683C">
        <w:trPr>
          <w:trHeight w:hRule="exact" w:val="200"/>
          <w:jc w:val="center"/>
        </w:trPr>
        <w:tc>
          <w:tcPr>
            <w:tcW w:w="2452" w:type="dxa"/>
          </w:tcPr>
          <w:p w:rsidR="00FA39A4" w:rsidRPr="00FA39A4" w:rsidRDefault="00FA39A4" w:rsidP="00FA39A4">
            <w:pPr>
              <w:rPr>
                <w:rFonts w:ascii="Times New Roman" w:hAnsi="Times New Roman"/>
                <w:color w:val="008000"/>
                <w:sz w:val="16"/>
                <w:lang w:val="en-AU"/>
              </w:rPr>
            </w:pPr>
          </w:p>
        </w:tc>
      </w:tr>
    </w:tbl>
    <w:p w:rsidR="00FA39A4" w:rsidRPr="00FA39A4" w:rsidRDefault="00FA39A4" w:rsidP="00FA39A4">
      <w:pPr>
        <w:spacing w:before="60"/>
        <w:ind w:left="425"/>
        <w:jc w:val="both"/>
        <w:rPr>
          <w:rFonts w:ascii="Times New Roman" w:hAnsi="Times New Roman"/>
          <w:sz w:val="21"/>
          <w:lang w:val="en-AU"/>
        </w:rPr>
      </w:pPr>
    </w:p>
    <w:p w:rsidR="00FA39A4" w:rsidRPr="00FA39A4" w:rsidRDefault="00FA39A4" w:rsidP="00FA39A4">
      <w:pPr>
        <w:keepNext/>
        <w:keepLines/>
        <w:tabs>
          <w:tab w:val="right" w:pos="339"/>
          <w:tab w:val="left" w:pos="720"/>
        </w:tabs>
        <w:spacing w:before="240"/>
        <w:ind w:left="720" w:hanging="720"/>
        <w:jc w:val="both"/>
        <w:rPr>
          <w:rFonts w:ascii="Calibri" w:hAnsi="Calibri"/>
          <w:bCs/>
          <w:lang w:val="en-AU"/>
        </w:rPr>
      </w:pPr>
      <w:r w:rsidRPr="00FA39A4">
        <w:rPr>
          <w:rFonts w:ascii="Calibri" w:hAnsi="Calibri"/>
        </w:rPr>
        <w:tab/>
      </w:r>
      <w:r w:rsidR="00881F7D">
        <w:rPr>
          <w:rFonts w:ascii="Calibri" w:hAnsi="Calibri"/>
          <w:b/>
          <w:bCs/>
        </w:rPr>
        <w:fldChar w:fldCharType="begin"/>
      </w:r>
      <w:r w:rsidR="00881F7D">
        <w:rPr>
          <w:rFonts w:ascii="Calibri" w:hAnsi="Calibri"/>
          <w:b/>
          <w:bCs/>
        </w:rPr>
        <w:instrText xml:space="preserve"> SEQ A \* MERGEFORMAT </w:instrText>
      </w:r>
      <w:r w:rsidR="00881F7D">
        <w:rPr>
          <w:rFonts w:ascii="Calibri" w:hAnsi="Calibri"/>
          <w:b/>
          <w:bCs/>
        </w:rPr>
        <w:fldChar w:fldCharType="separate"/>
      </w:r>
      <w:r w:rsidR="00DF7FAE">
        <w:rPr>
          <w:rFonts w:ascii="Calibri" w:hAnsi="Calibri"/>
          <w:b/>
          <w:bCs/>
          <w:noProof/>
        </w:rPr>
        <w:t>1</w:t>
      </w:r>
      <w:r w:rsidR="00881F7D">
        <w:rPr>
          <w:rFonts w:ascii="Calibri" w:hAnsi="Calibri"/>
          <w:b/>
          <w:bCs/>
        </w:rPr>
        <w:fldChar w:fldCharType="end"/>
      </w:r>
      <w:r w:rsidRPr="00FA39A4">
        <w:rPr>
          <w:rFonts w:ascii="Calibri" w:hAnsi="Calibri"/>
        </w:rPr>
        <w:tab/>
      </w:r>
      <w:r w:rsidRPr="00FA39A4">
        <w:rPr>
          <w:rFonts w:ascii="Calibri" w:hAnsi="Calibri"/>
          <w:bCs/>
          <w:lang w:val="en-AU"/>
        </w:rPr>
        <w:t xml:space="preserve">The Assembly met at 10 am, pursuant to adjournment.  The Speaker </w:t>
      </w:r>
      <w:r w:rsidRPr="00FA39A4">
        <w:rPr>
          <w:rFonts w:ascii="Calibri" w:hAnsi="Calibri"/>
          <w:bCs/>
        </w:rPr>
        <w:t>(</w:t>
      </w:r>
      <w:proofErr w:type="spellStart"/>
      <w:r>
        <w:rPr>
          <w:rFonts w:ascii="Calibri" w:hAnsi="Calibri"/>
          <w:bCs/>
        </w:rPr>
        <w:t>Ms</w:t>
      </w:r>
      <w:proofErr w:type="spellEnd"/>
      <w:r>
        <w:rPr>
          <w:rFonts w:ascii="Calibri" w:hAnsi="Calibri"/>
          <w:bCs/>
        </w:rPr>
        <w:t xml:space="preserve"> Burch</w:t>
      </w:r>
      <w:r w:rsidRPr="00FA39A4">
        <w:rPr>
          <w:rFonts w:ascii="Calibri" w:hAnsi="Calibri"/>
          <w:bCs/>
        </w:rPr>
        <w:t>)</w:t>
      </w:r>
      <w:r w:rsidRPr="00FA39A4">
        <w:rPr>
          <w:rFonts w:ascii="Calibri" w:hAnsi="Calibri"/>
          <w:bCs/>
          <w:lang w:val="en-AU"/>
        </w:rPr>
        <w:t xml:space="preserve"> took the Chair and made the following acknowledgement of country in the Ngunnawal language:</w:t>
      </w:r>
    </w:p>
    <w:p w:rsidR="00FA39A4" w:rsidRPr="00FA39A4" w:rsidRDefault="00FA39A4" w:rsidP="00FA39A4">
      <w:pPr>
        <w:spacing w:before="120"/>
        <w:ind w:left="864"/>
        <w:jc w:val="both"/>
        <w:rPr>
          <w:rFonts w:ascii="Calibri" w:hAnsi="Calibri"/>
          <w:lang w:val="en-AU"/>
        </w:rPr>
      </w:pPr>
      <w:proofErr w:type="spellStart"/>
      <w:r w:rsidRPr="00FA39A4">
        <w:rPr>
          <w:rFonts w:ascii="Calibri" w:hAnsi="Calibri"/>
          <w:lang w:val="en-AU"/>
        </w:rPr>
        <w:t>Dhawura</w:t>
      </w:r>
      <w:proofErr w:type="spellEnd"/>
      <w:r w:rsidRPr="00FA39A4">
        <w:rPr>
          <w:rFonts w:ascii="Calibri" w:hAnsi="Calibri"/>
          <w:lang w:val="en-AU"/>
        </w:rPr>
        <w:t xml:space="preserve"> </w:t>
      </w:r>
      <w:proofErr w:type="spellStart"/>
      <w:r w:rsidRPr="00FA39A4">
        <w:rPr>
          <w:rFonts w:ascii="Calibri" w:hAnsi="Calibri"/>
          <w:lang w:val="en-AU"/>
        </w:rPr>
        <w:t>nguna</w:t>
      </w:r>
      <w:proofErr w:type="spellEnd"/>
      <w:r w:rsidRPr="00FA39A4">
        <w:rPr>
          <w:rFonts w:ascii="Calibri" w:hAnsi="Calibri"/>
          <w:lang w:val="en-AU"/>
        </w:rPr>
        <w:t xml:space="preserve">, </w:t>
      </w:r>
      <w:proofErr w:type="spellStart"/>
      <w:r w:rsidRPr="00FA39A4">
        <w:rPr>
          <w:rFonts w:ascii="Calibri" w:hAnsi="Calibri"/>
          <w:lang w:val="en-AU"/>
        </w:rPr>
        <w:t>dhawura</w:t>
      </w:r>
      <w:proofErr w:type="spellEnd"/>
      <w:r w:rsidRPr="00FA39A4">
        <w:rPr>
          <w:rFonts w:ascii="Calibri" w:hAnsi="Calibri"/>
          <w:lang w:val="en-AU"/>
        </w:rPr>
        <w:t xml:space="preserve"> Ngunnawal.</w:t>
      </w:r>
    </w:p>
    <w:p w:rsidR="00FA39A4" w:rsidRPr="00FA39A4" w:rsidRDefault="00FA39A4" w:rsidP="00FA39A4">
      <w:pPr>
        <w:spacing w:before="40"/>
        <w:ind w:left="864"/>
        <w:jc w:val="both"/>
        <w:rPr>
          <w:rFonts w:ascii="Calibri" w:hAnsi="Calibri"/>
          <w:lang w:val="en-AU"/>
        </w:rPr>
      </w:pPr>
      <w:proofErr w:type="spellStart"/>
      <w:r w:rsidRPr="00FA39A4">
        <w:rPr>
          <w:rFonts w:ascii="Calibri" w:hAnsi="Calibri"/>
          <w:lang w:val="en-AU"/>
        </w:rPr>
        <w:t>Yanggu</w:t>
      </w:r>
      <w:proofErr w:type="spellEnd"/>
      <w:r w:rsidRPr="00FA39A4">
        <w:rPr>
          <w:rFonts w:ascii="Calibri" w:hAnsi="Calibri"/>
          <w:lang w:val="en-AU"/>
        </w:rPr>
        <w:t xml:space="preserve"> </w:t>
      </w:r>
      <w:proofErr w:type="spellStart"/>
      <w:r w:rsidRPr="00FA39A4">
        <w:rPr>
          <w:rFonts w:ascii="Calibri" w:hAnsi="Calibri"/>
          <w:lang w:val="en-AU"/>
        </w:rPr>
        <w:t>ngalawiri</w:t>
      </w:r>
      <w:proofErr w:type="spellEnd"/>
      <w:r w:rsidRPr="00FA39A4">
        <w:rPr>
          <w:rFonts w:ascii="Calibri" w:hAnsi="Calibri"/>
          <w:lang w:val="en-AU"/>
        </w:rPr>
        <w:t xml:space="preserve">, </w:t>
      </w:r>
      <w:proofErr w:type="spellStart"/>
      <w:r w:rsidRPr="00FA39A4">
        <w:rPr>
          <w:rFonts w:ascii="Calibri" w:hAnsi="Calibri"/>
          <w:lang w:val="en-AU"/>
        </w:rPr>
        <w:t>dhunimanyin</w:t>
      </w:r>
      <w:proofErr w:type="spellEnd"/>
      <w:r w:rsidRPr="00FA39A4">
        <w:rPr>
          <w:rFonts w:ascii="Calibri" w:hAnsi="Calibri"/>
          <w:lang w:val="en-AU"/>
        </w:rPr>
        <w:t xml:space="preserve"> </w:t>
      </w:r>
      <w:proofErr w:type="spellStart"/>
      <w:r w:rsidRPr="00FA39A4">
        <w:rPr>
          <w:rFonts w:ascii="Calibri" w:hAnsi="Calibri"/>
          <w:lang w:val="en-AU"/>
        </w:rPr>
        <w:t>Ngunnawalwari</w:t>
      </w:r>
      <w:proofErr w:type="spellEnd"/>
      <w:r w:rsidRPr="00FA39A4">
        <w:rPr>
          <w:rFonts w:ascii="Calibri" w:hAnsi="Calibri"/>
          <w:lang w:val="en-AU"/>
        </w:rPr>
        <w:t xml:space="preserve"> </w:t>
      </w:r>
      <w:proofErr w:type="spellStart"/>
      <w:r w:rsidRPr="00FA39A4">
        <w:rPr>
          <w:rFonts w:ascii="Calibri" w:hAnsi="Calibri"/>
          <w:lang w:val="en-AU"/>
        </w:rPr>
        <w:t>dhawurawari</w:t>
      </w:r>
      <w:proofErr w:type="spellEnd"/>
      <w:r w:rsidRPr="00FA39A4">
        <w:rPr>
          <w:rFonts w:ascii="Calibri" w:hAnsi="Calibri"/>
          <w:lang w:val="en-AU"/>
        </w:rPr>
        <w:t>.</w:t>
      </w:r>
    </w:p>
    <w:p w:rsidR="00FA39A4" w:rsidRPr="00FA39A4" w:rsidRDefault="00FA39A4" w:rsidP="00FA39A4">
      <w:pPr>
        <w:spacing w:before="40"/>
        <w:ind w:left="864"/>
        <w:jc w:val="both"/>
        <w:rPr>
          <w:rFonts w:ascii="Calibri" w:hAnsi="Calibri"/>
          <w:lang w:val="en-AU"/>
        </w:rPr>
      </w:pPr>
      <w:proofErr w:type="spellStart"/>
      <w:r w:rsidRPr="00FA39A4">
        <w:rPr>
          <w:rFonts w:ascii="Calibri" w:hAnsi="Calibri"/>
          <w:lang w:val="en-AU"/>
        </w:rPr>
        <w:t>Nginggada</w:t>
      </w:r>
      <w:proofErr w:type="spellEnd"/>
      <w:r w:rsidRPr="00FA39A4">
        <w:rPr>
          <w:rFonts w:ascii="Calibri" w:hAnsi="Calibri"/>
          <w:lang w:val="en-AU"/>
        </w:rPr>
        <w:t xml:space="preserve"> </w:t>
      </w:r>
      <w:proofErr w:type="spellStart"/>
      <w:r w:rsidRPr="00FA39A4">
        <w:rPr>
          <w:rFonts w:ascii="Calibri" w:hAnsi="Calibri"/>
          <w:lang w:val="en-AU"/>
        </w:rPr>
        <w:t>Dindi</w:t>
      </w:r>
      <w:proofErr w:type="spellEnd"/>
      <w:r w:rsidRPr="00FA39A4">
        <w:rPr>
          <w:rFonts w:ascii="Calibri" w:hAnsi="Calibri"/>
          <w:lang w:val="en-AU"/>
        </w:rPr>
        <w:t xml:space="preserve"> </w:t>
      </w:r>
      <w:proofErr w:type="spellStart"/>
      <w:r w:rsidRPr="00FA39A4">
        <w:rPr>
          <w:rFonts w:ascii="Calibri" w:hAnsi="Calibri"/>
          <w:lang w:val="en-AU"/>
        </w:rPr>
        <w:t>dhawura</w:t>
      </w:r>
      <w:proofErr w:type="spellEnd"/>
      <w:r w:rsidRPr="00FA39A4">
        <w:rPr>
          <w:rFonts w:ascii="Calibri" w:hAnsi="Calibri"/>
          <w:lang w:val="en-AU"/>
        </w:rPr>
        <w:t xml:space="preserve"> </w:t>
      </w:r>
      <w:proofErr w:type="spellStart"/>
      <w:r w:rsidRPr="00FA39A4">
        <w:rPr>
          <w:rFonts w:ascii="Calibri" w:hAnsi="Calibri"/>
          <w:lang w:val="en-AU"/>
        </w:rPr>
        <w:t>Ngunnaawalbun</w:t>
      </w:r>
      <w:proofErr w:type="spellEnd"/>
      <w:r w:rsidRPr="00FA39A4">
        <w:rPr>
          <w:rFonts w:ascii="Calibri" w:hAnsi="Calibri"/>
          <w:lang w:val="en-AU"/>
        </w:rPr>
        <w:t xml:space="preserve"> </w:t>
      </w:r>
      <w:proofErr w:type="spellStart"/>
      <w:r w:rsidRPr="00FA39A4">
        <w:rPr>
          <w:rFonts w:ascii="Calibri" w:hAnsi="Calibri"/>
          <w:lang w:val="en-AU"/>
        </w:rPr>
        <w:t>yindjumaralidjinyin</w:t>
      </w:r>
      <w:proofErr w:type="spellEnd"/>
      <w:r w:rsidRPr="00FA39A4">
        <w:rPr>
          <w:rFonts w:ascii="Calibri" w:hAnsi="Calibri"/>
          <w:lang w:val="en-AU"/>
        </w:rPr>
        <w:t>.</w:t>
      </w:r>
    </w:p>
    <w:p w:rsidR="00FA39A4" w:rsidRPr="00FA39A4" w:rsidRDefault="00FA39A4" w:rsidP="00FA39A4">
      <w:pPr>
        <w:spacing w:before="120"/>
        <w:ind w:left="864"/>
        <w:jc w:val="both"/>
        <w:rPr>
          <w:rFonts w:ascii="Calibri" w:hAnsi="Calibri"/>
          <w:i/>
          <w:lang w:val="en-AU"/>
        </w:rPr>
      </w:pPr>
      <w:r w:rsidRPr="00FA39A4">
        <w:rPr>
          <w:rFonts w:ascii="Calibri" w:hAnsi="Calibri"/>
          <w:i/>
          <w:lang w:val="en-AU"/>
        </w:rPr>
        <w:t>This is Ngunnawal Country.</w:t>
      </w:r>
    </w:p>
    <w:p w:rsidR="00FA39A4" w:rsidRPr="00FA39A4" w:rsidRDefault="00FA39A4" w:rsidP="00FA39A4">
      <w:pPr>
        <w:spacing w:before="40"/>
        <w:ind w:left="864"/>
        <w:jc w:val="both"/>
        <w:rPr>
          <w:rFonts w:ascii="Calibri" w:hAnsi="Calibri"/>
          <w:i/>
          <w:lang w:val="en-AU"/>
        </w:rPr>
      </w:pPr>
      <w:r w:rsidRPr="00FA39A4">
        <w:rPr>
          <w:rFonts w:ascii="Calibri" w:hAnsi="Calibri"/>
          <w:i/>
          <w:lang w:val="en-AU"/>
        </w:rPr>
        <w:t>Today we are gathering on Ngunnawal country.</w:t>
      </w:r>
    </w:p>
    <w:p w:rsidR="00FA39A4" w:rsidRPr="00FA39A4" w:rsidRDefault="00FA39A4" w:rsidP="00FA39A4">
      <w:pPr>
        <w:spacing w:before="40"/>
        <w:ind w:left="864"/>
        <w:jc w:val="both"/>
        <w:rPr>
          <w:rFonts w:ascii="Calibri" w:hAnsi="Calibri"/>
          <w:i/>
          <w:lang w:val="en-AU"/>
        </w:rPr>
      </w:pPr>
      <w:r w:rsidRPr="00FA39A4">
        <w:rPr>
          <w:rFonts w:ascii="Calibri" w:hAnsi="Calibri"/>
          <w:i/>
          <w:lang w:val="en-AU"/>
        </w:rPr>
        <w:t>We always pay respect to Elders, female and male, and Ngunnawal country.</w:t>
      </w:r>
    </w:p>
    <w:p w:rsidR="00FA39A4" w:rsidRPr="00FA39A4" w:rsidRDefault="00FA39A4" w:rsidP="00FA39A4">
      <w:pPr>
        <w:spacing w:before="120"/>
        <w:ind w:left="720"/>
        <w:jc w:val="both"/>
        <w:rPr>
          <w:rFonts w:ascii="Calibri" w:hAnsi="Calibri"/>
          <w:lang w:val="en-AU"/>
        </w:rPr>
      </w:pPr>
      <w:r w:rsidRPr="00FA39A4">
        <w:rPr>
          <w:rFonts w:ascii="Calibri" w:hAnsi="Calibri"/>
          <w:lang w:val="en-AU"/>
        </w:rPr>
        <w:t>The Speaker asked Members to stand in silence and pray or reflect on their responsibilities to the people of the Australian Capital Territory.</w:t>
      </w:r>
    </w:p>
    <w:p w:rsidR="00156A41" w:rsidRPr="00156A41" w:rsidRDefault="00156A41" w:rsidP="00156A41">
      <w:pPr>
        <w:keepNext/>
        <w:keepLines/>
        <w:tabs>
          <w:tab w:val="right" w:pos="339"/>
          <w:tab w:val="left" w:pos="720"/>
        </w:tabs>
        <w:spacing w:before="240"/>
        <w:ind w:left="720" w:hanging="720"/>
        <w:rPr>
          <w:rFonts w:ascii="Calibri" w:hAnsi="Calibri"/>
          <w:b/>
          <w:lang w:val="en-AU"/>
        </w:rPr>
      </w:pPr>
      <w:r w:rsidRPr="00156A41">
        <w:rPr>
          <w:rFonts w:ascii="Calibri" w:hAnsi="Calibri"/>
          <w:b/>
          <w:lang w:val="en-AU"/>
        </w:rPr>
        <w:tab/>
      </w:r>
      <w:r w:rsidR="00881F7D">
        <w:rPr>
          <w:rFonts w:ascii="Calibri" w:hAnsi="Calibri"/>
          <w:b/>
          <w:bCs/>
          <w:lang w:val="en-AU"/>
        </w:rPr>
        <w:fldChar w:fldCharType="begin"/>
      </w:r>
      <w:r w:rsidR="00881F7D">
        <w:rPr>
          <w:rFonts w:ascii="Calibri" w:hAnsi="Calibri"/>
          <w:b/>
          <w:bCs/>
          <w:lang w:val="en-AU"/>
        </w:rPr>
        <w:instrText xml:space="preserve"> SEQ A \* MERGEFORMAT </w:instrText>
      </w:r>
      <w:r w:rsidR="00881F7D">
        <w:rPr>
          <w:rFonts w:ascii="Calibri" w:hAnsi="Calibri"/>
          <w:b/>
          <w:bCs/>
          <w:lang w:val="en-AU"/>
        </w:rPr>
        <w:fldChar w:fldCharType="separate"/>
      </w:r>
      <w:r w:rsidR="00DF7FAE">
        <w:rPr>
          <w:rFonts w:ascii="Calibri" w:hAnsi="Calibri"/>
          <w:b/>
          <w:bCs/>
          <w:noProof/>
          <w:lang w:val="en-AU"/>
        </w:rPr>
        <w:t>2</w:t>
      </w:r>
      <w:r w:rsidR="00881F7D">
        <w:rPr>
          <w:rFonts w:ascii="Calibri" w:hAnsi="Calibri"/>
          <w:b/>
          <w:bCs/>
          <w:lang w:val="en-AU"/>
        </w:rPr>
        <w:fldChar w:fldCharType="end"/>
      </w:r>
      <w:r w:rsidRPr="00156A41">
        <w:rPr>
          <w:rFonts w:ascii="Calibri" w:hAnsi="Calibri"/>
          <w:b/>
          <w:lang w:val="en-AU"/>
        </w:rPr>
        <w:tab/>
      </w:r>
      <w:r>
        <w:rPr>
          <w:rFonts w:ascii="Calibri" w:hAnsi="Calibri"/>
          <w:b/>
          <w:caps/>
          <w:lang w:val="en-AU"/>
        </w:rPr>
        <w:t>Wrongful Conviction: Reforms to the Right to Appeal and Right to Compensation</w:t>
      </w:r>
      <w:r w:rsidRPr="00156A41">
        <w:rPr>
          <w:rFonts w:ascii="Calibri" w:hAnsi="Calibri"/>
          <w:b/>
          <w:caps/>
          <w:lang w:val="en-AU"/>
        </w:rPr>
        <w:t>—MINISTERIAL STATEMENT—PAPER NOTED</w:t>
      </w:r>
    </w:p>
    <w:p w:rsidR="00156A41" w:rsidRPr="00156A41" w:rsidRDefault="00156A41" w:rsidP="00156A41">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Pr="00156A41">
        <w:rPr>
          <w:rFonts w:ascii="Calibri" w:hAnsi="Calibri"/>
          <w:lang w:val="en-AU"/>
        </w:rPr>
        <w:t xml:space="preserve"> made a ministerial statement concerning </w:t>
      </w:r>
      <w:r w:rsidR="00ED22D4">
        <w:rPr>
          <w:rFonts w:ascii="Calibri" w:hAnsi="Calibri"/>
          <w:lang w:val="en-AU"/>
        </w:rPr>
        <w:t xml:space="preserve">reforms to rights to appeal and to compensation </w:t>
      </w:r>
      <w:r w:rsidRPr="00156A41">
        <w:rPr>
          <w:rFonts w:ascii="Calibri" w:hAnsi="Calibri"/>
          <w:lang w:val="en-AU"/>
        </w:rPr>
        <w:t>and presented the following paper:</w:t>
      </w:r>
    </w:p>
    <w:p w:rsidR="00156A41" w:rsidRPr="00156A41" w:rsidRDefault="00156A41" w:rsidP="00156A41">
      <w:pPr>
        <w:spacing w:before="120"/>
        <w:ind w:left="720"/>
        <w:rPr>
          <w:rFonts w:ascii="Calibri" w:hAnsi="Calibri"/>
          <w:lang w:val="en-AU"/>
        </w:rPr>
      </w:pPr>
      <w:r>
        <w:rPr>
          <w:rFonts w:ascii="Calibri" w:hAnsi="Calibri"/>
          <w:lang w:val="en-AU"/>
        </w:rPr>
        <w:t>Wrongful Conviction: Reforms to the Right to Appeal and Right to Compensation</w:t>
      </w:r>
      <w:r w:rsidRPr="00156A41">
        <w:rPr>
          <w:rFonts w:ascii="Calibri" w:hAnsi="Calibri"/>
          <w:lang w:val="en-AU"/>
        </w:rPr>
        <w:t xml:space="preserve">—Ministerial statement, </w:t>
      </w:r>
      <w:r>
        <w:rPr>
          <w:rFonts w:ascii="Calibri" w:hAnsi="Calibri"/>
          <w:lang w:val="en-AU"/>
        </w:rPr>
        <w:t>5 May 2022</w:t>
      </w:r>
      <w:r w:rsidRPr="00156A41">
        <w:rPr>
          <w:rFonts w:ascii="Calibri" w:hAnsi="Calibri"/>
          <w:lang w:val="en-AU"/>
        </w:rPr>
        <w:t>.</w:t>
      </w:r>
    </w:p>
    <w:p w:rsidR="00156A41" w:rsidRPr="00156A41" w:rsidRDefault="00156A41" w:rsidP="00156A41">
      <w:pPr>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156A41">
        <w:rPr>
          <w:rFonts w:ascii="Calibri" w:hAnsi="Calibri"/>
          <w:lang w:val="en-AU"/>
        </w:rPr>
        <w:t xml:space="preserve"> moved—That the Assembly take note of the paper.</w:t>
      </w:r>
    </w:p>
    <w:p w:rsidR="00156A41" w:rsidRPr="00156A41" w:rsidRDefault="00156A41" w:rsidP="00156A41">
      <w:pPr>
        <w:spacing w:before="120"/>
        <w:ind w:left="720"/>
        <w:rPr>
          <w:rFonts w:ascii="Calibri" w:hAnsi="Calibri"/>
          <w:lang w:val="en-AU"/>
        </w:rPr>
      </w:pPr>
      <w:r w:rsidRPr="00156A41">
        <w:rPr>
          <w:rFonts w:ascii="Calibri" w:hAnsi="Calibri"/>
          <w:lang w:val="en-AU"/>
        </w:rPr>
        <w:t>Question—put and passed.</w:t>
      </w:r>
    </w:p>
    <w:p w:rsidR="003458AA" w:rsidRPr="003458AA" w:rsidRDefault="003458AA" w:rsidP="007D48D5">
      <w:pPr>
        <w:keepNext/>
        <w:keepLines/>
        <w:tabs>
          <w:tab w:val="right" w:pos="339"/>
          <w:tab w:val="left" w:pos="720"/>
        </w:tabs>
        <w:spacing w:before="240" w:line="216" w:lineRule="auto"/>
        <w:ind w:left="720" w:hanging="720"/>
        <w:rPr>
          <w:rFonts w:ascii="Calibri" w:hAnsi="Calibri"/>
          <w:b/>
          <w:lang w:val="en-AU"/>
        </w:rPr>
      </w:pPr>
      <w:r w:rsidRPr="003458AA">
        <w:rPr>
          <w:rFonts w:ascii="Calibri" w:hAnsi="Calibri"/>
          <w:b/>
          <w:lang w:val="en-AU"/>
        </w:rPr>
        <w:lastRenderedPageBreak/>
        <w:tab/>
      </w:r>
      <w:r w:rsidR="00881F7D">
        <w:rPr>
          <w:rFonts w:ascii="Calibri" w:hAnsi="Calibri"/>
          <w:b/>
          <w:bCs/>
          <w:lang w:val="en-AU"/>
        </w:rPr>
        <w:fldChar w:fldCharType="begin"/>
      </w:r>
      <w:r w:rsidR="00881F7D">
        <w:rPr>
          <w:rFonts w:ascii="Calibri" w:hAnsi="Calibri"/>
          <w:b/>
          <w:bCs/>
          <w:lang w:val="en-AU"/>
        </w:rPr>
        <w:instrText xml:space="preserve"> SEQ A \* MERGEFORMAT </w:instrText>
      </w:r>
      <w:r w:rsidR="00881F7D">
        <w:rPr>
          <w:rFonts w:ascii="Calibri" w:hAnsi="Calibri"/>
          <w:b/>
          <w:bCs/>
          <w:lang w:val="en-AU"/>
        </w:rPr>
        <w:fldChar w:fldCharType="separate"/>
      </w:r>
      <w:r w:rsidR="00DF7FAE">
        <w:rPr>
          <w:rFonts w:ascii="Calibri" w:hAnsi="Calibri"/>
          <w:b/>
          <w:bCs/>
          <w:noProof/>
          <w:lang w:val="en-AU"/>
        </w:rPr>
        <w:t>3</w:t>
      </w:r>
      <w:r w:rsidR="00881F7D">
        <w:rPr>
          <w:rFonts w:ascii="Calibri" w:hAnsi="Calibri"/>
          <w:b/>
          <w:bCs/>
          <w:lang w:val="en-AU"/>
        </w:rPr>
        <w:fldChar w:fldCharType="end"/>
      </w:r>
      <w:r w:rsidRPr="003458AA">
        <w:rPr>
          <w:rFonts w:ascii="Calibri" w:hAnsi="Calibri"/>
          <w:b/>
          <w:lang w:val="en-AU"/>
        </w:rPr>
        <w:tab/>
      </w:r>
      <w:r>
        <w:rPr>
          <w:rFonts w:ascii="Calibri" w:hAnsi="Calibri"/>
          <w:b/>
          <w:caps/>
          <w:lang w:val="en-AU"/>
        </w:rPr>
        <w:t>Home Energy Support Program and Business Fleet Advisory Service—Update</w:t>
      </w:r>
      <w:r w:rsidRPr="003458AA">
        <w:rPr>
          <w:rFonts w:ascii="Calibri" w:hAnsi="Calibri"/>
          <w:b/>
          <w:caps/>
          <w:lang w:val="en-AU"/>
        </w:rPr>
        <w:t>—MINISTERIAL STATEMENT—PAPER NOTED</w:t>
      </w:r>
    </w:p>
    <w:p w:rsidR="003458AA" w:rsidRPr="003458AA" w:rsidRDefault="003458AA" w:rsidP="007D48D5">
      <w:pPr>
        <w:spacing w:before="120" w:line="216" w:lineRule="auto"/>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(Minister for Water, Energy and Emissions Reduction)</w:t>
      </w:r>
      <w:r w:rsidRPr="003458AA">
        <w:rPr>
          <w:rFonts w:ascii="Calibri" w:hAnsi="Calibri"/>
          <w:lang w:val="en-AU"/>
        </w:rPr>
        <w:t xml:space="preserve"> made a ministerial statement concerning </w:t>
      </w:r>
      <w:r w:rsidR="00CB456C">
        <w:rPr>
          <w:rFonts w:ascii="Calibri" w:hAnsi="Calibri"/>
          <w:lang w:val="en-AU"/>
        </w:rPr>
        <w:t xml:space="preserve">an update to the </w:t>
      </w:r>
      <w:r>
        <w:rPr>
          <w:rFonts w:ascii="Calibri" w:hAnsi="Calibri"/>
          <w:lang w:val="en-AU"/>
        </w:rPr>
        <w:t>Home Energy Support Program and Business Fleet Advisory Service</w:t>
      </w:r>
      <w:r w:rsidRPr="003458AA">
        <w:rPr>
          <w:rFonts w:ascii="Calibri" w:hAnsi="Calibri"/>
          <w:lang w:val="en-AU"/>
        </w:rPr>
        <w:t xml:space="preserve"> and presented the following paper:</w:t>
      </w:r>
    </w:p>
    <w:p w:rsidR="003458AA" w:rsidRPr="003458AA" w:rsidRDefault="003458AA" w:rsidP="007D48D5">
      <w:pPr>
        <w:spacing w:before="120" w:line="216" w:lineRule="auto"/>
        <w:ind w:left="720"/>
        <w:rPr>
          <w:rFonts w:ascii="Calibri" w:hAnsi="Calibri"/>
          <w:lang w:val="en-AU"/>
        </w:rPr>
      </w:pPr>
      <w:r>
        <w:rPr>
          <w:rFonts w:ascii="Calibri" w:hAnsi="Calibri"/>
          <w:lang w:val="en-AU"/>
        </w:rPr>
        <w:t>Home Energy Support Program and Business Fleet Advisory Service—Update</w:t>
      </w:r>
      <w:r w:rsidRPr="003458AA">
        <w:rPr>
          <w:rFonts w:ascii="Calibri" w:hAnsi="Calibri"/>
          <w:lang w:val="en-AU"/>
        </w:rPr>
        <w:t xml:space="preserve">—Ministerial statement, </w:t>
      </w:r>
      <w:r>
        <w:rPr>
          <w:rFonts w:ascii="Calibri" w:hAnsi="Calibri"/>
          <w:lang w:val="en-AU"/>
        </w:rPr>
        <w:t>5 May 2022</w:t>
      </w:r>
      <w:r w:rsidRPr="003458AA">
        <w:rPr>
          <w:rFonts w:ascii="Calibri" w:hAnsi="Calibri"/>
          <w:lang w:val="en-AU"/>
        </w:rPr>
        <w:t>.</w:t>
      </w:r>
    </w:p>
    <w:p w:rsidR="003458AA" w:rsidRDefault="003458AA" w:rsidP="007D48D5">
      <w:pPr>
        <w:spacing w:before="120" w:line="216" w:lineRule="auto"/>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3458AA">
        <w:rPr>
          <w:rFonts w:ascii="Calibri" w:hAnsi="Calibri"/>
          <w:lang w:val="en-AU"/>
        </w:rPr>
        <w:t xml:space="preserve"> moved—That the Assembly take note of the paper.</w:t>
      </w:r>
    </w:p>
    <w:p w:rsidR="0036071D" w:rsidRPr="003458AA" w:rsidRDefault="0036071D" w:rsidP="007D48D5">
      <w:pPr>
        <w:spacing w:before="120" w:line="216" w:lineRule="auto"/>
        <w:ind w:left="720"/>
        <w:rPr>
          <w:rFonts w:ascii="Calibri" w:hAnsi="Calibri"/>
          <w:lang w:val="en-AU"/>
        </w:rPr>
      </w:pPr>
      <w:r>
        <w:rPr>
          <w:rFonts w:ascii="Calibri" w:hAnsi="Calibri"/>
          <w:lang w:val="en-AU"/>
        </w:rPr>
        <w:t>Debate ensued.</w:t>
      </w:r>
    </w:p>
    <w:p w:rsidR="003458AA" w:rsidRDefault="003458AA" w:rsidP="007D48D5">
      <w:pPr>
        <w:spacing w:before="120" w:line="216" w:lineRule="auto"/>
        <w:ind w:left="720"/>
        <w:rPr>
          <w:rFonts w:ascii="Calibri" w:hAnsi="Calibri"/>
          <w:lang w:val="en-AU"/>
        </w:rPr>
      </w:pPr>
      <w:r w:rsidRPr="003458AA">
        <w:rPr>
          <w:rFonts w:ascii="Calibri" w:hAnsi="Calibri"/>
          <w:lang w:val="en-AU"/>
        </w:rPr>
        <w:t>Question—put and passed.</w:t>
      </w:r>
    </w:p>
    <w:p w:rsidR="00565913" w:rsidRPr="00565913" w:rsidRDefault="00565913" w:rsidP="007D48D5">
      <w:pPr>
        <w:keepNext/>
        <w:keepLines/>
        <w:tabs>
          <w:tab w:val="right" w:pos="339"/>
          <w:tab w:val="left" w:pos="720"/>
        </w:tabs>
        <w:spacing w:before="240" w:line="216" w:lineRule="auto"/>
        <w:ind w:left="720" w:hanging="720"/>
        <w:rPr>
          <w:rFonts w:ascii="Calibri" w:hAnsi="Calibri"/>
          <w:b/>
          <w:lang w:val="en-AU"/>
        </w:rPr>
      </w:pPr>
      <w:r w:rsidRPr="00565913">
        <w:rPr>
          <w:rFonts w:ascii="Calibri" w:hAnsi="Calibri"/>
          <w:b/>
          <w:lang w:val="en-AU"/>
        </w:rPr>
        <w:tab/>
      </w:r>
      <w:r w:rsidR="00881F7D">
        <w:rPr>
          <w:rFonts w:ascii="Calibri" w:hAnsi="Calibri"/>
          <w:b/>
          <w:bCs/>
          <w:lang w:val="en-AU"/>
        </w:rPr>
        <w:fldChar w:fldCharType="begin"/>
      </w:r>
      <w:r w:rsidR="00881F7D">
        <w:rPr>
          <w:rFonts w:ascii="Calibri" w:hAnsi="Calibri"/>
          <w:b/>
          <w:bCs/>
          <w:lang w:val="en-AU"/>
        </w:rPr>
        <w:instrText xml:space="preserve"> SEQ A \* MERGEFORMAT </w:instrText>
      </w:r>
      <w:r w:rsidR="00881F7D">
        <w:rPr>
          <w:rFonts w:ascii="Calibri" w:hAnsi="Calibri"/>
          <w:b/>
          <w:bCs/>
          <w:lang w:val="en-AU"/>
        </w:rPr>
        <w:fldChar w:fldCharType="separate"/>
      </w:r>
      <w:r w:rsidR="00DF7FAE">
        <w:rPr>
          <w:rFonts w:ascii="Calibri" w:hAnsi="Calibri"/>
          <w:b/>
          <w:bCs/>
          <w:noProof/>
          <w:lang w:val="en-AU"/>
        </w:rPr>
        <w:t>4</w:t>
      </w:r>
      <w:r w:rsidR="00881F7D">
        <w:rPr>
          <w:rFonts w:ascii="Calibri" w:hAnsi="Calibri"/>
          <w:b/>
          <w:bCs/>
          <w:lang w:val="en-AU"/>
        </w:rPr>
        <w:fldChar w:fldCharType="end"/>
      </w:r>
      <w:r w:rsidRPr="00565913">
        <w:rPr>
          <w:rFonts w:ascii="Calibri" w:hAnsi="Calibri"/>
          <w:b/>
          <w:lang w:val="en-AU"/>
        </w:rPr>
        <w:tab/>
      </w:r>
      <w:r>
        <w:rPr>
          <w:rFonts w:ascii="Calibri" w:hAnsi="Calibri"/>
          <w:b/>
          <w:caps/>
          <w:lang w:val="en-AU"/>
        </w:rPr>
        <w:t>Canberra Hospital Expansion Project</w:t>
      </w:r>
      <w:r w:rsidRPr="00565913">
        <w:rPr>
          <w:rFonts w:ascii="Calibri" w:hAnsi="Calibri"/>
          <w:b/>
          <w:caps/>
          <w:lang w:val="en-AU"/>
        </w:rPr>
        <w:t>—MINISTERIAL STATEMENT—PAPER NOTED</w:t>
      </w:r>
    </w:p>
    <w:p w:rsidR="00565913" w:rsidRPr="00565913" w:rsidRDefault="00565913" w:rsidP="007D48D5">
      <w:pPr>
        <w:spacing w:before="120" w:line="216" w:lineRule="auto"/>
        <w:ind w:left="720"/>
        <w:rPr>
          <w:rFonts w:ascii="Calibri" w:hAnsi="Calibri"/>
          <w:lang w:val="en-AU"/>
        </w:rPr>
      </w:pPr>
      <w:r>
        <w:rPr>
          <w:rFonts w:ascii="Calibri" w:hAnsi="Calibri"/>
          <w:lang w:val="en-AU"/>
        </w:rPr>
        <w:t>Ms Stephen-Smith (Minister for Health)</w:t>
      </w:r>
      <w:r w:rsidRPr="00565913">
        <w:rPr>
          <w:rFonts w:ascii="Calibri" w:hAnsi="Calibri"/>
          <w:lang w:val="en-AU"/>
        </w:rPr>
        <w:t xml:space="preserve"> made a ministerial statement concerning </w:t>
      </w:r>
      <w:r w:rsidR="00CB456C">
        <w:rPr>
          <w:rFonts w:ascii="Calibri" w:hAnsi="Calibri"/>
          <w:lang w:val="en-AU"/>
        </w:rPr>
        <w:t xml:space="preserve">the </w:t>
      </w:r>
      <w:r>
        <w:rPr>
          <w:rFonts w:ascii="Calibri" w:hAnsi="Calibri"/>
          <w:lang w:val="en-AU"/>
        </w:rPr>
        <w:t xml:space="preserve">Canberra Hospital </w:t>
      </w:r>
      <w:r w:rsidR="00CB456C">
        <w:rPr>
          <w:rFonts w:ascii="Calibri" w:hAnsi="Calibri"/>
          <w:lang w:val="en-AU"/>
        </w:rPr>
        <w:t>e</w:t>
      </w:r>
      <w:r>
        <w:rPr>
          <w:rFonts w:ascii="Calibri" w:hAnsi="Calibri"/>
          <w:lang w:val="en-AU"/>
        </w:rPr>
        <w:t xml:space="preserve">xpansion </w:t>
      </w:r>
      <w:r w:rsidR="00CB456C">
        <w:rPr>
          <w:rFonts w:ascii="Calibri" w:hAnsi="Calibri"/>
          <w:lang w:val="en-AU"/>
        </w:rPr>
        <w:t>p</w:t>
      </w:r>
      <w:r>
        <w:rPr>
          <w:rFonts w:ascii="Calibri" w:hAnsi="Calibri"/>
          <w:lang w:val="en-AU"/>
        </w:rPr>
        <w:t>roject</w:t>
      </w:r>
      <w:r w:rsidRPr="00565913">
        <w:rPr>
          <w:rFonts w:ascii="Calibri" w:hAnsi="Calibri"/>
          <w:lang w:val="en-AU"/>
        </w:rPr>
        <w:t xml:space="preserve"> and presented the following paper:</w:t>
      </w:r>
    </w:p>
    <w:p w:rsidR="00565913" w:rsidRPr="00565913" w:rsidRDefault="00565913" w:rsidP="007D48D5">
      <w:pPr>
        <w:spacing w:before="120" w:line="216" w:lineRule="auto"/>
        <w:ind w:left="720"/>
        <w:rPr>
          <w:rFonts w:ascii="Calibri" w:hAnsi="Calibri"/>
          <w:lang w:val="en-AU"/>
        </w:rPr>
      </w:pPr>
      <w:r>
        <w:rPr>
          <w:rFonts w:ascii="Calibri" w:hAnsi="Calibri"/>
          <w:lang w:val="en-AU"/>
        </w:rPr>
        <w:t>Canberra Hospital Expansion Project</w:t>
      </w:r>
      <w:r w:rsidRPr="00565913">
        <w:rPr>
          <w:rFonts w:ascii="Calibri" w:hAnsi="Calibri"/>
          <w:lang w:val="en-AU"/>
        </w:rPr>
        <w:t xml:space="preserve">—Ministerial statement, </w:t>
      </w:r>
      <w:r>
        <w:rPr>
          <w:rFonts w:ascii="Calibri" w:hAnsi="Calibri"/>
          <w:lang w:val="en-AU"/>
        </w:rPr>
        <w:t>5 May 2022</w:t>
      </w:r>
      <w:r w:rsidRPr="00565913">
        <w:rPr>
          <w:rFonts w:ascii="Calibri" w:hAnsi="Calibri"/>
          <w:lang w:val="en-AU"/>
        </w:rPr>
        <w:t>.</w:t>
      </w:r>
    </w:p>
    <w:p w:rsidR="00565913" w:rsidRPr="00565913" w:rsidRDefault="00565913" w:rsidP="007D48D5">
      <w:pPr>
        <w:spacing w:before="120" w:line="216" w:lineRule="auto"/>
        <w:ind w:left="720"/>
        <w:rPr>
          <w:rFonts w:ascii="Calibri" w:hAnsi="Calibri"/>
          <w:lang w:val="en-AU"/>
        </w:rPr>
      </w:pPr>
      <w:r>
        <w:rPr>
          <w:rFonts w:ascii="Calibri" w:hAnsi="Calibri"/>
          <w:lang w:val="en-AU"/>
        </w:rPr>
        <w:t>Ms Stephen-Smith</w:t>
      </w:r>
      <w:r w:rsidRPr="00565913">
        <w:rPr>
          <w:rFonts w:ascii="Calibri" w:hAnsi="Calibri"/>
          <w:lang w:val="en-AU"/>
        </w:rPr>
        <w:t xml:space="preserve"> moved—That the Assembly take note of the paper.</w:t>
      </w:r>
    </w:p>
    <w:p w:rsidR="00565913" w:rsidRPr="002B0F52" w:rsidRDefault="00565913" w:rsidP="007D48D5">
      <w:pPr>
        <w:spacing w:before="120" w:line="216" w:lineRule="auto"/>
        <w:ind w:left="720"/>
        <w:rPr>
          <w:rFonts w:ascii="Calibri" w:hAnsi="Calibri"/>
          <w:lang w:val="en-AU"/>
        </w:rPr>
      </w:pPr>
      <w:r w:rsidRPr="002B0F52">
        <w:rPr>
          <w:rFonts w:ascii="Calibri" w:hAnsi="Calibri"/>
          <w:lang w:val="en-AU"/>
        </w:rPr>
        <w:t>Debate ensued.</w:t>
      </w:r>
    </w:p>
    <w:p w:rsidR="00565913" w:rsidRPr="00565913" w:rsidRDefault="00565913" w:rsidP="007D48D5">
      <w:pPr>
        <w:spacing w:before="120" w:line="216" w:lineRule="auto"/>
        <w:ind w:left="720"/>
        <w:rPr>
          <w:rFonts w:ascii="Calibri" w:hAnsi="Calibri"/>
          <w:lang w:val="en-AU"/>
        </w:rPr>
      </w:pPr>
      <w:r w:rsidRPr="00565913">
        <w:rPr>
          <w:rFonts w:ascii="Calibri" w:hAnsi="Calibri"/>
          <w:lang w:val="en-AU"/>
        </w:rPr>
        <w:t>Question—put and passed.</w:t>
      </w:r>
    </w:p>
    <w:p w:rsidR="00513E60" w:rsidRPr="00513E60" w:rsidRDefault="00513E60" w:rsidP="007D48D5">
      <w:pPr>
        <w:keepNext/>
        <w:keepLines/>
        <w:tabs>
          <w:tab w:val="right" w:pos="339"/>
          <w:tab w:val="left" w:pos="720"/>
        </w:tabs>
        <w:spacing w:before="240" w:line="216" w:lineRule="auto"/>
        <w:ind w:left="720" w:hanging="720"/>
        <w:rPr>
          <w:rFonts w:ascii="Calibri" w:hAnsi="Calibri"/>
          <w:b/>
          <w:lang w:val="en-AU"/>
        </w:rPr>
      </w:pPr>
      <w:r w:rsidRPr="00513E60">
        <w:rPr>
          <w:rFonts w:ascii="Calibri" w:hAnsi="Calibri"/>
          <w:b/>
          <w:lang w:val="en-AU"/>
        </w:rPr>
        <w:tab/>
      </w:r>
      <w:r w:rsidR="00881F7D">
        <w:rPr>
          <w:rFonts w:ascii="Calibri" w:hAnsi="Calibri"/>
          <w:b/>
          <w:bCs/>
          <w:lang w:val="en-AU"/>
        </w:rPr>
        <w:fldChar w:fldCharType="begin"/>
      </w:r>
      <w:r w:rsidR="00881F7D">
        <w:rPr>
          <w:rFonts w:ascii="Calibri" w:hAnsi="Calibri"/>
          <w:b/>
          <w:bCs/>
          <w:lang w:val="en-AU"/>
        </w:rPr>
        <w:instrText xml:space="preserve"> SEQ A \* MERGEFORMAT </w:instrText>
      </w:r>
      <w:r w:rsidR="00881F7D">
        <w:rPr>
          <w:rFonts w:ascii="Calibri" w:hAnsi="Calibri"/>
          <w:b/>
          <w:bCs/>
          <w:lang w:val="en-AU"/>
        </w:rPr>
        <w:fldChar w:fldCharType="separate"/>
      </w:r>
      <w:r w:rsidR="00DF7FAE">
        <w:rPr>
          <w:rFonts w:ascii="Calibri" w:hAnsi="Calibri"/>
          <w:b/>
          <w:bCs/>
          <w:noProof/>
          <w:lang w:val="en-AU"/>
        </w:rPr>
        <w:t>5</w:t>
      </w:r>
      <w:r w:rsidR="00881F7D">
        <w:rPr>
          <w:rFonts w:ascii="Calibri" w:hAnsi="Calibri"/>
          <w:b/>
          <w:bCs/>
          <w:lang w:val="en-AU"/>
        </w:rPr>
        <w:fldChar w:fldCharType="end"/>
      </w:r>
      <w:r w:rsidRPr="00513E60">
        <w:rPr>
          <w:rFonts w:ascii="Calibri" w:hAnsi="Calibri"/>
          <w:b/>
          <w:lang w:val="en-AU"/>
        </w:rPr>
        <w:tab/>
      </w:r>
      <w:r w:rsidR="00565913">
        <w:rPr>
          <w:rFonts w:ascii="Calibri" w:hAnsi="Calibri"/>
          <w:b/>
          <w:caps/>
          <w:lang w:val="en-AU"/>
        </w:rPr>
        <w:t>Bimberi headline indicators report</w:t>
      </w:r>
      <w:r w:rsidRPr="00513E60">
        <w:rPr>
          <w:rFonts w:ascii="Calibri" w:hAnsi="Calibri"/>
          <w:b/>
          <w:caps/>
          <w:lang w:val="en-AU"/>
        </w:rPr>
        <w:t>—MINISTERIAL STATEMENT</w:t>
      </w:r>
      <w:r w:rsidR="00565913">
        <w:rPr>
          <w:rFonts w:ascii="Calibri" w:hAnsi="Calibri"/>
          <w:b/>
          <w:caps/>
          <w:lang w:val="en-AU"/>
        </w:rPr>
        <w:t xml:space="preserve"> and paper</w:t>
      </w:r>
      <w:r w:rsidRPr="00513E60">
        <w:rPr>
          <w:rFonts w:ascii="Calibri" w:hAnsi="Calibri"/>
          <w:b/>
          <w:caps/>
          <w:lang w:val="en-AU"/>
        </w:rPr>
        <w:t>—PAPER NOTED</w:t>
      </w:r>
    </w:p>
    <w:p w:rsidR="00513E60" w:rsidRDefault="00513E60" w:rsidP="007D48D5">
      <w:pPr>
        <w:spacing w:before="120" w:line="216" w:lineRule="auto"/>
        <w:ind w:left="720"/>
        <w:rPr>
          <w:rFonts w:ascii="Calibri" w:hAnsi="Calibri"/>
          <w:lang w:val="en-AU"/>
        </w:rPr>
      </w:pPr>
      <w:r>
        <w:rPr>
          <w:rFonts w:ascii="Calibri" w:hAnsi="Calibri"/>
          <w:lang w:val="en-AU"/>
        </w:rPr>
        <w:t>Ms Davidson (Assistant Minister for Families and Community Services)</w:t>
      </w:r>
      <w:r w:rsidRPr="00513E60">
        <w:rPr>
          <w:rFonts w:ascii="Calibri" w:hAnsi="Calibri"/>
          <w:lang w:val="en-AU"/>
        </w:rPr>
        <w:t xml:space="preserve"> made a ministerial statement concerning </w:t>
      </w:r>
      <w:r w:rsidR="00565913">
        <w:rPr>
          <w:rFonts w:ascii="Calibri" w:hAnsi="Calibri"/>
          <w:lang w:val="en-AU"/>
        </w:rPr>
        <w:t xml:space="preserve">the </w:t>
      </w:r>
      <w:proofErr w:type="spellStart"/>
      <w:r w:rsidR="00565913">
        <w:rPr>
          <w:rFonts w:ascii="Calibri" w:hAnsi="Calibri"/>
          <w:lang w:val="en-AU"/>
        </w:rPr>
        <w:t>Bimberi</w:t>
      </w:r>
      <w:proofErr w:type="spellEnd"/>
      <w:r w:rsidR="00565913">
        <w:rPr>
          <w:rFonts w:ascii="Calibri" w:hAnsi="Calibri"/>
          <w:lang w:val="en-AU"/>
        </w:rPr>
        <w:t xml:space="preserve"> Headline Indicators Report</w:t>
      </w:r>
      <w:r w:rsidRPr="00513E60">
        <w:rPr>
          <w:rFonts w:ascii="Calibri" w:hAnsi="Calibri"/>
          <w:lang w:val="en-AU"/>
        </w:rPr>
        <w:t xml:space="preserve"> and presented the following paper</w:t>
      </w:r>
      <w:r w:rsidR="00565913">
        <w:rPr>
          <w:rFonts w:ascii="Calibri" w:hAnsi="Calibri"/>
          <w:lang w:val="en-AU"/>
        </w:rPr>
        <w:t>s</w:t>
      </w:r>
      <w:r w:rsidRPr="00513E60">
        <w:rPr>
          <w:rFonts w:ascii="Calibri" w:hAnsi="Calibri"/>
          <w:lang w:val="en-AU"/>
        </w:rPr>
        <w:t>:</w:t>
      </w:r>
    </w:p>
    <w:p w:rsidR="00137C4E" w:rsidRDefault="00565913" w:rsidP="007D48D5">
      <w:pPr>
        <w:spacing w:before="120" w:line="216" w:lineRule="auto"/>
        <w:ind w:left="720"/>
        <w:rPr>
          <w:rFonts w:ascii="Calibri" w:hAnsi="Calibri"/>
          <w:lang w:val="en-AU"/>
        </w:rPr>
      </w:pPr>
      <w:proofErr w:type="spellStart"/>
      <w:r>
        <w:rPr>
          <w:rFonts w:ascii="Calibri" w:hAnsi="Calibri"/>
          <w:lang w:val="en-AU"/>
        </w:rPr>
        <w:t>Bimberi</w:t>
      </w:r>
      <w:proofErr w:type="spellEnd"/>
      <w:r>
        <w:rPr>
          <w:rFonts w:ascii="Calibri" w:hAnsi="Calibri"/>
          <w:lang w:val="en-AU"/>
        </w:rPr>
        <w:t xml:space="preserve"> Headline Indicators Report</w:t>
      </w:r>
      <w:r w:rsidR="00513E60" w:rsidRPr="00513E60">
        <w:rPr>
          <w:rFonts w:ascii="Calibri" w:hAnsi="Calibri"/>
          <w:lang w:val="en-AU"/>
        </w:rPr>
        <w:t>—</w:t>
      </w:r>
    </w:p>
    <w:p w:rsidR="00513E60" w:rsidRDefault="00513E60" w:rsidP="007D48D5">
      <w:pPr>
        <w:pStyle w:val="DPSEntryDetailIndentLev1"/>
        <w:spacing w:line="216" w:lineRule="auto"/>
      </w:pPr>
      <w:r w:rsidRPr="00513E60">
        <w:t xml:space="preserve">Ministerial statement, </w:t>
      </w:r>
      <w:r>
        <w:t>5 May 2022</w:t>
      </w:r>
      <w:r w:rsidRPr="00513E60">
        <w:t>.</w:t>
      </w:r>
    </w:p>
    <w:p w:rsidR="00137C4E" w:rsidRDefault="00137C4E" w:rsidP="007D48D5">
      <w:pPr>
        <w:pStyle w:val="DPSEntryDetailIndentLev1"/>
        <w:spacing w:line="216" w:lineRule="auto"/>
      </w:pPr>
      <w:r>
        <w:t>Report, May 2022.</w:t>
      </w:r>
    </w:p>
    <w:p w:rsidR="00513E60" w:rsidRPr="00513E60" w:rsidRDefault="00513E60" w:rsidP="007D48D5">
      <w:pPr>
        <w:spacing w:before="120" w:line="216" w:lineRule="auto"/>
        <w:ind w:left="720"/>
        <w:rPr>
          <w:rFonts w:ascii="Calibri" w:hAnsi="Calibri"/>
          <w:lang w:val="en-AU"/>
        </w:rPr>
      </w:pPr>
      <w:r>
        <w:rPr>
          <w:rFonts w:ascii="Calibri" w:hAnsi="Calibri"/>
          <w:lang w:val="en-AU"/>
        </w:rPr>
        <w:t>Ms Davidson</w:t>
      </w:r>
      <w:r w:rsidRPr="00513E60">
        <w:rPr>
          <w:rFonts w:ascii="Calibri" w:hAnsi="Calibri"/>
          <w:lang w:val="en-AU"/>
        </w:rPr>
        <w:t xml:space="preserve"> moved—That the Assembly take note of the </w:t>
      </w:r>
      <w:r w:rsidR="00B707B4">
        <w:rPr>
          <w:rFonts w:ascii="Calibri" w:hAnsi="Calibri"/>
          <w:lang w:val="en-AU"/>
        </w:rPr>
        <w:t>ministerial statement</w:t>
      </w:r>
      <w:r w:rsidRPr="00513E60">
        <w:rPr>
          <w:rFonts w:ascii="Calibri" w:hAnsi="Calibri"/>
          <w:lang w:val="en-AU"/>
        </w:rPr>
        <w:t>.</w:t>
      </w:r>
    </w:p>
    <w:p w:rsidR="00513E60" w:rsidRPr="00513E60" w:rsidRDefault="00513E60" w:rsidP="007D48D5">
      <w:pPr>
        <w:spacing w:before="120" w:line="216" w:lineRule="auto"/>
        <w:ind w:left="720"/>
        <w:rPr>
          <w:rFonts w:ascii="Calibri" w:hAnsi="Calibri"/>
          <w:lang w:val="en-AU"/>
        </w:rPr>
      </w:pPr>
      <w:r w:rsidRPr="00E871A3">
        <w:rPr>
          <w:rFonts w:ascii="Calibri" w:hAnsi="Calibri"/>
          <w:lang w:val="en-AU"/>
        </w:rPr>
        <w:t>Debate ensued.</w:t>
      </w:r>
    </w:p>
    <w:p w:rsidR="00513E60" w:rsidRDefault="00513E60" w:rsidP="007D48D5">
      <w:pPr>
        <w:spacing w:before="120" w:line="216" w:lineRule="auto"/>
        <w:ind w:left="720"/>
        <w:rPr>
          <w:rFonts w:ascii="Calibri" w:hAnsi="Calibri"/>
          <w:lang w:val="en-AU"/>
        </w:rPr>
      </w:pPr>
      <w:r w:rsidRPr="00513E60">
        <w:rPr>
          <w:rFonts w:ascii="Calibri" w:hAnsi="Calibri"/>
          <w:lang w:val="en-AU"/>
        </w:rPr>
        <w:t>Question—put and passed.</w:t>
      </w:r>
    </w:p>
    <w:p w:rsidR="003A1D3D" w:rsidRPr="003A1D3D" w:rsidRDefault="003A1D3D" w:rsidP="007D48D5">
      <w:pPr>
        <w:keepNext/>
        <w:keepLines/>
        <w:tabs>
          <w:tab w:val="right" w:pos="339"/>
          <w:tab w:val="left" w:pos="720"/>
        </w:tabs>
        <w:spacing w:before="240" w:line="216" w:lineRule="auto"/>
        <w:ind w:left="720" w:hanging="720"/>
        <w:rPr>
          <w:rFonts w:ascii="Calibri" w:hAnsi="Calibri"/>
          <w:b/>
          <w:caps/>
          <w:lang w:val="en-AU"/>
        </w:rPr>
      </w:pPr>
      <w:r w:rsidRPr="003A1D3D">
        <w:rPr>
          <w:rFonts w:ascii="Calibri" w:hAnsi="Calibri"/>
          <w:b/>
          <w:caps/>
          <w:lang w:val="en-AU"/>
        </w:rPr>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6</w:t>
      </w:r>
      <w:r w:rsidR="00881F7D">
        <w:rPr>
          <w:rFonts w:ascii="Calibri" w:hAnsi="Calibri"/>
          <w:b/>
          <w:bCs/>
          <w:caps/>
          <w:lang w:val="en-AU"/>
        </w:rPr>
        <w:fldChar w:fldCharType="end"/>
      </w:r>
      <w:r w:rsidRPr="003A1D3D">
        <w:rPr>
          <w:rFonts w:ascii="Calibri" w:hAnsi="Calibri"/>
          <w:b/>
          <w:caps/>
          <w:lang w:val="en-AU"/>
        </w:rPr>
        <w:tab/>
      </w:r>
      <w:r>
        <w:rPr>
          <w:rFonts w:ascii="Calibri" w:hAnsi="Calibri"/>
          <w:b/>
          <w:caps/>
          <w:lang w:val="en-AU"/>
        </w:rPr>
        <w:t>Terrorism (Extraordinary Temporary Powers) Amendment Bill 2022</w:t>
      </w:r>
    </w:p>
    <w:p w:rsidR="003A1D3D" w:rsidRPr="003A1D3D" w:rsidRDefault="003A1D3D" w:rsidP="007D48D5">
      <w:pPr>
        <w:spacing w:before="120" w:line="216" w:lineRule="auto"/>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Pr>
          <w:rFonts w:ascii="Calibri" w:hAnsi="Calibri"/>
          <w:lang w:val="en-AU"/>
        </w:rPr>
        <w:t xml:space="preserve"> (Attorney-General)</w:t>
      </w:r>
      <w:r w:rsidRPr="003A1D3D">
        <w:rPr>
          <w:rFonts w:ascii="Calibri" w:hAnsi="Calibri"/>
          <w:lang w:val="en-AU"/>
        </w:rPr>
        <w:t xml:space="preserve">, pursuant to notice, presented </w:t>
      </w:r>
      <w:r>
        <w:rPr>
          <w:rFonts w:ascii="Calibri" w:hAnsi="Calibri"/>
          <w:lang w:val="en-AU"/>
        </w:rPr>
        <w:t xml:space="preserve">a Bill for an Act to amend the </w:t>
      </w:r>
      <w:r w:rsidRPr="00D71585">
        <w:rPr>
          <w:rFonts w:ascii="Calibri" w:hAnsi="Calibri"/>
          <w:i/>
          <w:lang w:val="en-AU"/>
        </w:rPr>
        <w:t>Terrorism (Extraordinary Temporary Powers) Act 2006</w:t>
      </w:r>
      <w:r w:rsidRPr="003A1D3D">
        <w:rPr>
          <w:rFonts w:ascii="Calibri" w:hAnsi="Calibri"/>
          <w:lang w:val="en-AU"/>
        </w:rPr>
        <w:t>.</w:t>
      </w:r>
    </w:p>
    <w:p w:rsidR="003A1D3D" w:rsidRPr="003A1D3D" w:rsidRDefault="003A1D3D" w:rsidP="007D48D5">
      <w:pPr>
        <w:spacing w:before="120" w:line="216" w:lineRule="auto"/>
        <w:ind w:left="720"/>
        <w:rPr>
          <w:rFonts w:ascii="Calibri" w:hAnsi="Calibri"/>
          <w:lang w:val="en-AU"/>
        </w:rPr>
      </w:pPr>
      <w:r w:rsidRPr="003A1D3D">
        <w:rPr>
          <w:rFonts w:ascii="Calibri" w:hAnsi="Calibri"/>
          <w:i/>
          <w:lang w:val="en-AU"/>
        </w:rPr>
        <w:t>Paper:</w:t>
      </w:r>
      <w:r w:rsidRPr="003A1D3D">
        <w:rPr>
          <w:rFonts w:ascii="Calibri" w:hAnsi="Calibri"/>
          <w:lang w:val="en-AU"/>
        </w:rPr>
        <w:t xml:space="preserve">  </w:t>
      </w:r>
      <w:r>
        <w:rPr>
          <w:rFonts w:ascii="Calibri" w:hAnsi="Calibri"/>
          <w:lang w:val="en-AU"/>
        </w:rPr>
        <w:t xml:space="preserve">Mr </w:t>
      </w:r>
      <w:proofErr w:type="spellStart"/>
      <w:r>
        <w:rPr>
          <w:rFonts w:ascii="Calibri" w:hAnsi="Calibri"/>
          <w:lang w:val="en-AU"/>
        </w:rPr>
        <w:t>Rattenbury</w:t>
      </w:r>
      <w:proofErr w:type="spellEnd"/>
      <w:r w:rsidRPr="003A1D3D">
        <w:rPr>
          <w:rFonts w:ascii="Calibri" w:hAnsi="Calibri"/>
          <w:lang w:val="en-AU"/>
        </w:rPr>
        <w:t xml:space="preserve"> presented the following paper:</w:t>
      </w:r>
    </w:p>
    <w:p w:rsidR="003A1D3D" w:rsidRPr="003A1D3D" w:rsidRDefault="003A1D3D" w:rsidP="007D48D5">
      <w:pPr>
        <w:spacing w:before="120" w:line="216" w:lineRule="auto"/>
        <w:ind w:left="720"/>
        <w:rPr>
          <w:rFonts w:ascii="Calibri" w:hAnsi="Calibri"/>
          <w:lang w:val="en-AU"/>
        </w:rPr>
      </w:pPr>
      <w:r w:rsidRPr="003A1D3D">
        <w:rPr>
          <w:rFonts w:ascii="Calibri" w:hAnsi="Calibri"/>
          <w:lang w:val="en-AU"/>
        </w:rPr>
        <w:t xml:space="preserve">Explanatory statement to the Bill, incorporating a compatibility statement, pursuant to section 37 of the </w:t>
      </w:r>
      <w:r w:rsidRPr="003A1D3D">
        <w:rPr>
          <w:rFonts w:ascii="Calibri" w:hAnsi="Calibri"/>
          <w:i/>
          <w:lang w:val="en-AU"/>
        </w:rPr>
        <w:t>Human Rights Act 2004</w:t>
      </w:r>
      <w:r w:rsidRPr="003A1D3D">
        <w:rPr>
          <w:rFonts w:ascii="Calibri" w:hAnsi="Calibri"/>
          <w:lang w:val="en-AU"/>
        </w:rPr>
        <w:t>.</w:t>
      </w:r>
    </w:p>
    <w:p w:rsidR="003A1D3D" w:rsidRPr="003A1D3D" w:rsidRDefault="003A1D3D" w:rsidP="007D48D5">
      <w:pPr>
        <w:spacing w:before="120" w:line="216" w:lineRule="auto"/>
        <w:ind w:left="720"/>
        <w:rPr>
          <w:rFonts w:ascii="Calibri" w:hAnsi="Calibri"/>
          <w:lang w:val="en-AU"/>
        </w:rPr>
      </w:pPr>
      <w:r w:rsidRPr="003A1D3D">
        <w:rPr>
          <w:rFonts w:ascii="Calibri" w:hAnsi="Calibri"/>
          <w:lang w:val="en-AU"/>
        </w:rPr>
        <w:t>Title read by Clerk.</w:t>
      </w:r>
    </w:p>
    <w:p w:rsidR="003A1D3D" w:rsidRPr="003A1D3D" w:rsidRDefault="003A1D3D" w:rsidP="007D48D5">
      <w:pPr>
        <w:spacing w:before="120" w:line="216" w:lineRule="auto"/>
        <w:ind w:left="720"/>
        <w:rPr>
          <w:rFonts w:ascii="Calibri" w:hAnsi="Calibri"/>
          <w:lang w:val="en-AU"/>
        </w:rPr>
      </w:pPr>
      <w:r>
        <w:rPr>
          <w:rFonts w:ascii="Calibri" w:hAnsi="Calibri"/>
          <w:lang w:val="en-AU"/>
        </w:rPr>
        <w:t xml:space="preserve">Mr </w:t>
      </w:r>
      <w:proofErr w:type="spellStart"/>
      <w:r>
        <w:rPr>
          <w:rFonts w:ascii="Calibri" w:hAnsi="Calibri"/>
          <w:lang w:val="en-AU"/>
        </w:rPr>
        <w:t>Rattenbury</w:t>
      </w:r>
      <w:proofErr w:type="spellEnd"/>
      <w:r w:rsidRPr="003A1D3D">
        <w:rPr>
          <w:rFonts w:ascii="Calibri" w:hAnsi="Calibri"/>
          <w:lang w:val="en-AU"/>
        </w:rPr>
        <w:t xml:space="preserve"> moved—That this Bill be agreed to in principle.</w:t>
      </w:r>
    </w:p>
    <w:p w:rsidR="003A1D3D" w:rsidRDefault="003A1D3D" w:rsidP="007D48D5">
      <w:pPr>
        <w:spacing w:before="120" w:line="216" w:lineRule="auto"/>
        <w:ind w:left="720"/>
        <w:rPr>
          <w:rFonts w:ascii="Calibri" w:hAnsi="Calibri"/>
          <w:lang w:val="en-AU"/>
        </w:rPr>
      </w:pPr>
      <w:r w:rsidRPr="003A1D3D">
        <w:rPr>
          <w:rFonts w:ascii="Calibri" w:hAnsi="Calibri"/>
          <w:lang w:val="en-AU"/>
        </w:rPr>
        <w:t>D</w:t>
      </w:r>
      <w:r w:rsidR="00245107">
        <w:rPr>
          <w:rFonts w:ascii="Calibri" w:hAnsi="Calibri"/>
          <w:lang w:val="en-AU"/>
        </w:rPr>
        <w:t>ebate adjourned (Mr Cain</w:t>
      </w:r>
      <w:r w:rsidRPr="003A1D3D">
        <w:rPr>
          <w:rFonts w:ascii="Calibri" w:hAnsi="Calibri"/>
          <w:lang w:val="en-AU"/>
        </w:rPr>
        <w:t>) and the resumption of the debate made an order of the day for the next sitting.</w:t>
      </w:r>
    </w:p>
    <w:p w:rsidR="00AB7032" w:rsidRPr="005754F7" w:rsidRDefault="00AB7032" w:rsidP="00AB7032">
      <w:pPr>
        <w:keepNext/>
        <w:keepLines/>
        <w:tabs>
          <w:tab w:val="right" w:pos="339"/>
          <w:tab w:val="left" w:pos="720"/>
        </w:tabs>
        <w:spacing w:before="240"/>
        <w:ind w:left="720" w:hanging="720"/>
        <w:rPr>
          <w:rFonts w:ascii="Calibri" w:hAnsi="Calibri"/>
          <w:b/>
          <w:caps/>
          <w:lang w:val="en-AU"/>
        </w:rPr>
      </w:pPr>
      <w:r w:rsidRPr="005754F7">
        <w:rPr>
          <w:rFonts w:ascii="Calibri" w:hAnsi="Calibri"/>
          <w:b/>
          <w:caps/>
          <w:lang w:val="en-AU"/>
        </w:rPr>
        <w:lastRenderedPageBreak/>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7</w:t>
      </w:r>
      <w:r w:rsidR="00881F7D">
        <w:rPr>
          <w:rFonts w:ascii="Calibri" w:hAnsi="Calibri"/>
          <w:b/>
          <w:bCs/>
          <w:caps/>
          <w:lang w:val="en-AU"/>
        </w:rPr>
        <w:fldChar w:fldCharType="end"/>
      </w:r>
      <w:r w:rsidRPr="005754F7">
        <w:rPr>
          <w:rFonts w:ascii="Calibri" w:hAnsi="Calibri"/>
          <w:b/>
          <w:caps/>
          <w:lang w:val="en-AU"/>
        </w:rPr>
        <w:tab/>
      </w:r>
      <w:r w:rsidR="00204E46">
        <w:rPr>
          <w:rFonts w:ascii="Calibri" w:hAnsi="Calibri"/>
          <w:b/>
          <w:caps/>
          <w:lang w:val="en-AU"/>
        </w:rPr>
        <w:t>health and community wellbeing—standing committee—DHULWA MENTAL HEALTH UNIT—WORKPLACE SAFETY—proposed reference</w:t>
      </w:r>
      <w:bookmarkStart w:id="0" w:name="_GoBack"/>
      <w:bookmarkEnd w:id="0"/>
    </w:p>
    <w:p w:rsidR="00AB7032" w:rsidRPr="005754F7" w:rsidRDefault="00AB7032" w:rsidP="00AB7032">
      <w:pPr>
        <w:spacing w:before="120"/>
        <w:ind w:left="720"/>
        <w:rPr>
          <w:rFonts w:ascii="Calibri" w:hAnsi="Calibri"/>
          <w:color w:val="000000"/>
          <w:lang w:val="en-AU"/>
        </w:rPr>
      </w:pPr>
      <w:r>
        <w:rPr>
          <w:rFonts w:ascii="Calibri" w:hAnsi="Calibri"/>
          <w:color w:val="000000"/>
          <w:lang w:val="en-AU"/>
        </w:rPr>
        <w:t>Ms Castley</w:t>
      </w:r>
      <w:r w:rsidRPr="005754F7">
        <w:rPr>
          <w:rFonts w:ascii="Calibri" w:hAnsi="Calibri"/>
          <w:color w:val="000000"/>
          <w:lang w:val="en-AU"/>
        </w:rPr>
        <w:t>, pursuant to notice, moved—That this Assembly:</w:t>
      </w:r>
    </w:p>
    <w:p w:rsidR="007059EA" w:rsidRPr="006D3AC3" w:rsidRDefault="007059EA" w:rsidP="00E95603">
      <w:pPr>
        <w:pStyle w:val="DPSEntryIndentsLev1"/>
        <w:ind w:left="1350" w:hanging="630"/>
        <w:rPr>
          <w:lang w:eastAsia="en-US"/>
        </w:rPr>
      </w:pPr>
      <w:r w:rsidRPr="006D3AC3">
        <w:rPr>
          <w:lang w:eastAsia="en-US"/>
        </w:rPr>
        <w:t>notes:</w:t>
      </w:r>
    </w:p>
    <w:p w:rsidR="007059EA" w:rsidRPr="006D3AC3" w:rsidRDefault="007059EA" w:rsidP="00E95603">
      <w:pPr>
        <w:pStyle w:val="DPSEntryIndentsLev2"/>
        <w:tabs>
          <w:tab w:val="clear" w:pos="1915"/>
          <w:tab w:val="left" w:pos="1890"/>
        </w:tabs>
        <w:ind w:left="1890" w:hanging="540"/>
        <w:rPr>
          <w:lang w:eastAsia="en-US"/>
        </w:rPr>
      </w:pPr>
      <w:r w:rsidRPr="006D3AC3">
        <w:rPr>
          <w:lang w:eastAsia="en-US"/>
        </w:rPr>
        <w:t xml:space="preserve">on 5 April, the Australian Nursing and Midwifery Association (ANMF) launched a public campaign calling on the ACT Government to conduct an urgent inquiry into the operation of the </w:t>
      </w:r>
      <w:proofErr w:type="spellStart"/>
      <w:r w:rsidRPr="006D3AC3">
        <w:rPr>
          <w:lang w:eastAsia="en-US"/>
        </w:rPr>
        <w:t>Dhulwa</w:t>
      </w:r>
      <w:proofErr w:type="spellEnd"/>
      <w:r w:rsidRPr="006D3AC3">
        <w:rPr>
          <w:lang w:eastAsia="en-US"/>
        </w:rPr>
        <w:t xml:space="preserve"> Secure Mental Health Unit;</w:t>
      </w:r>
    </w:p>
    <w:p w:rsidR="007059EA" w:rsidRPr="006D3AC3" w:rsidRDefault="007059EA" w:rsidP="00E95603">
      <w:pPr>
        <w:pStyle w:val="DPSEntryIndentsLev2"/>
        <w:tabs>
          <w:tab w:val="clear" w:pos="1915"/>
          <w:tab w:val="left" w:pos="1890"/>
        </w:tabs>
        <w:ind w:left="1890" w:hanging="540"/>
        <w:rPr>
          <w:lang w:eastAsia="en-US"/>
        </w:rPr>
      </w:pPr>
      <w:r w:rsidRPr="006D3AC3">
        <w:rPr>
          <w:lang w:eastAsia="en-US"/>
        </w:rPr>
        <w:t xml:space="preserve">the union said nurses had reported more than 100 physical assaults by patients over a six-month period to February this year with one nurse likening working at </w:t>
      </w:r>
      <w:proofErr w:type="spellStart"/>
      <w:r w:rsidRPr="006D3AC3">
        <w:rPr>
          <w:lang w:eastAsia="en-US"/>
        </w:rPr>
        <w:t>Dhulwa</w:t>
      </w:r>
      <w:proofErr w:type="spellEnd"/>
      <w:r w:rsidRPr="006D3AC3">
        <w:rPr>
          <w:lang w:eastAsia="en-US"/>
        </w:rPr>
        <w:t xml:space="preserve"> to being </w:t>
      </w:r>
      <w:r w:rsidR="00DF7FAE">
        <w:rPr>
          <w:lang w:eastAsia="en-US"/>
        </w:rPr>
        <w:t>“</w:t>
      </w:r>
      <w:r w:rsidRPr="006D3AC3">
        <w:rPr>
          <w:lang w:eastAsia="en-US"/>
        </w:rPr>
        <w:t>sent into the killing fields</w:t>
      </w:r>
      <w:r w:rsidR="00DF7FAE">
        <w:rPr>
          <w:lang w:eastAsia="en-US"/>
        </w:rPr>
        <w:t>”</w:t>
      </w:r>
      <w:r w:rsidRPr="006D3AC3">
        <w:rPr>
          <w:lang w:eastAsia="en-US"/>
        </w:rPr>
        <w:t>;</w:t>
      </w:r>
    </w:p>
    <w:p w:rsidR="007059EA" w:rsidRPr="006D3AC3" w:rsidRDefault="007059EA" w:rsidP="00E95603">
      <w:pPr>
        <w:pStyle w:val="DPSEntryIndentsLev2"/>
        <w:tabs>
          <w:tab w:val="clear" w:pos="1915"/>
          <w:tab w:val="left" w:pos="1890"/>
        </w:tabs>
        <w:ind w:left="1890" w:hanging="540"/>
        <w:rPr>
          <w:lang w:eastAsia="en-US"/>
        </w:rPr>
      </w:pPr>
      <w:r w:rsidRPr="006D3AC3">
        <w:rPr>
          <w:lang w:eastAsia="en-US"/>
        </w:rPr>
        <w:t xml:space="preserve">nurses say they have pleaded with the Government to keep them safe and the </w:t>
      </w:r>
      <w:r w:rsidR="00D86B01">
        <w:rPr>
          <w:lang w:eastAsia="en-US"/>
        </w:rPr>
        <w:t>G</w:t>
      </w:r>
      <w:r w:rsidRPr="006D3AC3">
        <w:rPr>
          <w:lang w:eastAsia="en-US"/>
        </w:rPr>
        <w:t xml:space="preserve">overnment has </w:t>
      </w:r>
      <w:r w:rsidR="00DF7FAE">
        <w:rPr>
          <w:lang w:eastAsia="en-US"/>
        </w:rPr>
        <w:t>“</w:t>
      </w:r>
      <w:r w:rsidRPr="006D3AC3">
        <w:rPr>
          <w:lang w:eastAsia="en-US"/>
        </w:rPr>
        <w:t>failed</w:t>
      </w:r>
      <w:r w:rsidR="00DF7FAE">
        <w:rPr>
          <w:lang w:eastAsia="en-US"/>
        </w:rPr>
        <w:t>”</w:t>
      </w:r>
      <w:r w:rsidRPr="006D3AC3">
        <w:rPr>
          <w:lang w:eastAsia="en-US"/>
        </w:rPr>
        <w:t xml:space="preserve"> them over safety;</w:t>
      </w:r>
    </w:p>
    <w:p w:rsidR="007059EA" w:rsidRPr="006D3AC3" w:rsidRDefault="007059EA" w:rsidP="00E95603">
      <w:pPr>
        <w:pStyle w:val="DPSEntryIndentsLev2"/>
        <w:tabs>
          <w:tab w:val="clear" w:pos="1915"/>
          <w:tab w:val="left" w:pos="1890"/>
        </w:tabs>
        <w:ind w:left="1890" w:hanging="540"/>
        <w:rPr>
          <w:lang w:eastAsia="en-US"/>
        </w:rPr>
      </w:pPr>
      <w:r w:rsidRPr="006D3AC3">
        <w:rPr>
          <w:lang w:eastAsia="en-US"/>
        </w:rPr>
        <w:t>staff turnover is high and nurses fear the Government</w:t>
      </w:r>
      <w:r w:rsidR="00DF7FAE">
        <w:rPr>
          <w:lang w:eastAsia="en-US"/>
        </w:rPr>
        <w:t>’</w:t>
      </w:r>
      <w:r w:rsidRPr="006D3AC3">
        <w:rPr>
          <w:lang w:eastAsia="en-US"/>
        </w:rPr>
        <w:t xml:space="preserve">s failure to respond to their serious concerns poses </w:t>
      </w:r>
      <w:r w:rsidR="00DF7FAE">
        <w:rPr>
          <w:lang w:eastAsia="en-US"/>
        </w:rPr>
        <w:t>“</w:t>
      </w:r>
      <w:r w:rsidRPr="006D3AC3">
        <w:rPr>
          <w:lang w:eastAsia="en-US"/>
        </w:rPr>
        <w:t>an imminent risk of a catastrophic event</w:t>
      </w:r>
      <w:r w:rsidR="00DF7FAE">
        <w:rPr>
          <w:lang w:eastAsia="en-US"/>
        </w:rPr>
        <w:t>”</w:t>
      </w:r>
      <w:r w:rsidRPr="006D3AC3">
        <w:rPr>
          <w:lang w:eastAsia="en-US"/>
        </w:rPr>
        <w:t>; and</w:t>
      </w:r>
    </w:p>
    <w:p w:rsidR="007059EA" w:rsidRPr="006D3AC3" w:rsidRDefault="007059EA" w:rsidP="00E95603">
      <w:pPr>
        <w:pStyle w:val="DPSEntryIndentsLev2"/>
        <w:tabs>
          <w:tab w:val="clear" w:pos="1915"/>
          <w:tab w:val="left" w:pos="1890"/>
        </w:tabs>
        <w:ind w:left="1890" w:hanging="540"/>
        <w:rPr>
          <w:lang w:eastAsia="en-US"/>
        </w:rPr>
      </w:pPr>
      <w:r w:rsidRPr="006D3AC3">
        <w:rPr>
          <w:lang w:eastAsia="en-US"/>
        </w:rPr>
        <w:t>violence has been an is</w:t>
      </w:r>
      <w:r w:rsidR="00296423">
        <w:rPr>
          <w:lang w:eastAsia="en-US"/>
        </w:rPr>
        <w:t xml:space="preserve">sue at </w:t>
      </w:r>
      <w:proofErr w:type="spellStart"/>
      <w:r w:rsidR="00296423">
        <w:rPr>
          <w:lang w:eastAsia="en-US"/>
        </w:rPr>
        <w:t>Dhulwa</w:t>
      </w:r>
      <w:proofErr w:type="spellEnd"/>
      <w:r w:rsidR="00296423">
        <w:rPr>
          <w:lang w:eastAsia="en-US"/>
        </w:rPr>
        <w:t xml:space="preserve"> since it opened. </w:t>
      </w:r>
      <w:r w:rsidRPr="006D3AC3">
        <w:rPr>
          <w:lang w:eastAsia="en-US"/>
        </w:rPr>
        <w:t>In 2018, several nurses reported being punched in the face and kicked in the head during multiple assaults by a patient and ACT Policing investigated;</w:t>
      </w:r>
    </w:p>
    <w:p w:rsidR="007059EA" w:rsidRPr="006D3AC3" w:rsidRDefault="007059EA" w:rsidP="00E95603">
      <w:pPr>
        <w:pStyle w:val="DPSEntryIndentsLev1"/>
        <w:ind w:left="1350" w:hanging="630"/>
        <w:rPr>
          <w:lang w:eastAsia="en-US"/>
        </w:rPr>
      </w:pPr>
      <w:r w:rsidRPr="006D3AC3">
        <w:rPr>
          <w:lang w:eastAsia="en-US"/>
        </w:rPr>
        <w:t>further notes that Minister Davidson:</w:t>
      </w:r>
    </w:p>
    <w:p w:rsidR="007059EA" w:rsidRPr="006D3AC3" w:rsidRDefault="007059EA" w:rsidP="007A0726">
      <w:pPr>
        <w:pStyle w:val="DPSEntryIndentsLev2"/>
        <w:numPr>
          <w:ilvl w:val="0"/>
          <w:numId w:val="5"/>
        </w:numPr>
        <w:ind w:left="1890" w:hanging="540"/>
        <w:rPr>
          <w:lang w:eastAsia="en-US"/>
        </w:rPr>
      </w:pPr>
      <w:r w:rsidRPr="006D3AC3">
        <w:rPr>
          <w:lang w:eastAsia="en-US"/>
        </w:rPr>
        <w:t>has been slow to respond to the nurses</w:t>
      </w:r>
      <w:r w:rsidR="00DF7FAE">
        <w:rPr>
          <w:lang w:eastAsia="en-US"/>
        </w:rPr>
        <w:t>’</w:t>
      </w:r>
      <w:r w:rsidRPr="006D3AC3">
        <w:rPr>
          <w:lang w:eastAsia="en-US"/>
        </w:rPr>
        <w:t xml:space="preserve"> pleas for an inquiry and dragged her feet on the issue;</w:t>
      </w:r>
    </w:p>
    <w:p w:rsidR="007059EA" w:rsidRPr="006D3AC3" w:rsidRDefault="007059EA" w:rsidP="007A0726">
      <w:pPr>
        <w:pStyle w:val="DPSEntryIndentsLev2"/>
        <w:numPr>
          <w:ilvl w:val="0"/>
          <w:numId w:val="5"/>
        </w:numPr>
        <w:ind w:left="1890" w:hanging="540"/>
        <w:rPr>
          <w:lang w:eastAsia="en-US"/>
        </w:rPr>
      </w:pPr>
      <w:r w:rsidRPr="006D3AC3">
        <w:rPr>
          <w:lang w:eastAsia="en-US"/>
        </w:rPr>
        <w:t xml:space="preserve">told Question Time on 6 April she was </w:t>
      </w:r>
      <w:r w:rsidR="00DF7FAE">
        <w:rPr>
          <w:lang w:eastAsia="en-US"/>
        </w:rPr>
        <w:t>“</w:t>
      </w:r>
      <w:r w:rsidRPr="006D3AC3">
        <w:rPr>
          <w:lang w:eastAsia="en-US"/>
        </w:rPr>
        <w:t>listening</w:t>
      </w:r>
      <w:r w:rsidR="00DF7FAE">
        <w:rPr>
          <w:lang w:eastAsia="en-US"/>
        </w:rPr>
        <w:t>”</w:t>
      </w:r>
      <w:r w:rsidRPr="006D3AC3">
        <w:rPr>
          <w:lang w:eastAsia="en-US"/>
        </w:rPr>
        <w:t xml:space="preserve"> to nurses and made a flippant remark, </w:t>
      </w:r>
      <w:r w:rsidR="00DF7FAE">
        <w:rPr>
          <w:lang w:eastAsia="en-US"/>
        </w:rPr>
        <w:t>“</w:t>
      </w:r>
      <w:r w:rsidRPr="006D3AC3">
        <w:rPr>
          <w:lang w:eastAsia="en-US"/>
        </w:rPr>
        <w:t>He</w:t>
      </w:r>
      <w:r w:rsidR="00DF7FAE">
        <w:rPr>
          <w:lang w:eastAsia="en-US"/>
        </w:rPr>
        <w:t>’</w:t>
      </w:r>
      <w:r w:rsidRPr="006D3AC3">
        <w:rPr>
          <w:lang w:eastAsia="en-US"/>
        </w:rPr>
        <w:t xml:space="preserve">s got my number.  Call me, </w:t>
      </w:r>
      <w:r w:rsidR="00D86B01">
        <w:rPr>
          <w:lang w:eastAsia="en-US"/>
        </w:rPr>
        <w:t>m</w:t>
      </w:r>
      <w:r w:rsidRPr="006D3AC3">
        <w:rPr>
          <w:lang w:eastAsia="en-US"/>
        </w:rPr>
        <w:t>aybe?</w:t>
      </w:r>
      <w:r w:rsidR="00DF7FAE">
        <w:rPr>
          <w:lang w:eastAsia="en-US"/>
        </w:rPr>
        <w:t>”</w:t>
      </w:r>
      <w:r w:rsidRPr="006D3AC3">
        <w:rPr>
          <w:lang w:eastAsia="en-US"/>
        </w:rPr>
        <w:t xml:space="preserve"> referring to the ANMF branch secretary; and</w:t>
      </w:r>
    </w:p>
    <w:p w:rsidR="007059EA" w:rsidRPr="006D3AC3" w:rsidRDefault="007059EA" w:rsidP="007A0726">
      <w:pPr>
        <w:pStyle w:val="DPSEntryIndentsLev2"/>
        <w:numPr>
          <w:ilvl w:val="0"/>
          <w:numId w:val="5"/>
        </w:numPr>
        <w:ind w:left="1890" w:hanging="540"/>
        <w:rPr>
          <w:lang w:eastAsia="en-US"/>
        </w:rPr>
      </w:pPr>
      <w:r w:rsidRPr="006D3AC3">
        <w:rPr>
          <w:lang w:eastAsia="en-US"/>
        </w:rPr>
        <w:t xml:space="preserve">announced on 2 May the Government would conduct an independent inquiry into legislative, clinical and governance policies at </w:t>
      </w:r>
      <w:proofErr w:type="spellStart"/>
      <w:r w:rsidRPr="006D3AC3">
        <w:rPr>
          <w:lang w:eastAsia="en-US"/>
        </w:rPr>
        <w:t>Dhulwa</w:t>
      </w:r>
      <w:proofErr w:type="spellEnd"/>
      <w:r w:rsidRPr="006D3AC3">
        <w:rPr>
          <w:lang w:eastAsia="en-US"/>
        </w:rPr>
        <w:t>; and</w:t>
      </w:r>
    </w:p>
    <w:p w:rsidR="007059EA" w:rsidRPr="006D3AC3" w:rsidRDefault="007059EA" w:rsidP="00E95603">
      <w:pPr>
        <w:pStyle w:val="DPSEntryIndentsLev1"/>
        <w:ind w:left="1350" w:hanging="630"/>
        <w:rPr>
          <w:lang w:eastAsia="en-US"/>
        </w:rPr>
      </w:pPr>
      <w:r w:rsidRPr="006D3AC3">
        <w:rPr>
          <w:lang w:eastAsia="en-US"/>
        </w:rPr>
        <w:t>refers to the Standing Committee on Health and Community Wellbeing the following matters:</w:t>
      </w:r>
    </w:p>
    <w:p w:rsidR="007059EA" w:rsidRPr="006D3AC3" w:rsidRDefault="007059EA" w:rsidP="007A0726">
      <w:pPr>
        <w:pStyle w:val="DPSEntryIndentsLev2"/>
        <w:numPr>
          <w:ilvl w:val="0"/>
          <w:numId w:val="6"/>
        </w:numPr>
        <w:ind w:left="1890" w:hanging="540"/>
        <w:rPr>
          <w:lang w:eastAsia="en-US"/>
        </w:rPr>
      </w:pPr>
      <w:r w:rsidRPr="006D3AC3">
        <w:rPr>
          <w:lang w:eastAsia="en-US"/>
        </w:rPr>
        <w:t xml:space="preserve">the adequacy of current security and staff safety arrangements to protect nurses at </w:t>
      </w:r>
      <w:proofErr w:type="spellStart"/>
      <w:r w:rsidRPr="006D3AC3">
        <w:rPr>
          <w:lang w:eastAsia="en-US"/>
        </w:rPr>
        <w:t>Dhulwa</w:t>
      </w:r>
      <w:proofErr w:type="spellEnd"/>
      <w:r w:rsidRPr="006D3AC3">
        <w:rPr>
          <w:lang w:eastAsia="en-US"/>
        </w:rPr>
        <w:t>;</w:t>
      </w:r>
    </w:p>
    <w:p w:rsidR="007059EA" w:rsidRPr="006D3AC3" w:rsidRDefault="007059EA" w:rsidP="003F053C">
      <w:pPr>
        <w:pStyle w:val="DPSEntryIndentsLev2"/>
        <w:ind w:left="1890" w:hanging="540"/>
        <w:rPr>
          <w:lang w:eastAsia="en-US"/>
        </w:rPr>
      </w:pPr>
      <w:r w:rsidRPr="006D3AC3">
        <w:rPr>
          <w:lang w:eastAsia="en-US"/>
        </w:rPr>
        <w:t>staff numbers and roles/positions to ensure staff are safe and protected at work; and</w:t>
      </w:r>
    </w:p>
    <w:p w:rsidR="00AB7032" w:rsidRPr="005754F7" w:rsidRDefault="007059EA" w:rsidP="003F053C">
      <w:pPr>
        <w:pStyle w:val="DPSEntryIndentsLev2"/>
        <w:ind w:left="1890" w:hanging="540"/>
        <w:rPr>
          <w:color w:val="000000"/>
        </w:rPr>
      </w:pPr>
      <w:r w:rsidRPr="006D3AC3">
        <w:rPr>
          <w:lang w:eastAsia="en-US"/>
        </w:rPr>
        <w:t>current protocols and procedures for staff responding to, and reporting on, incidents and violence.</w:t>
      </w:r>
    </w:p>
    <w:p w:rsidR="00B94D55" w:rsidRDefault="00B94D55" w:rsidP="00AB7032">
      <w:pPr>
        <w:spacing w:before="120"/>
        <w:ind w:left="720" w:right="-35"/>
        <w:rPr>
          <w:rFonts w:ascii="Calibri" w:hAnsi="Calibri"/>
          <w:color w:val="000000"/>
          <w:lang w:val="en-AU"/>
        </w:rPr>
      </w:pPr>
      <w:r>
        <w:rPr>
          <w:rFonts w:ascii="Calibri" w:hAnsi="Calibri"/>
          <w:color w:val="000000"/>
          <w:lang w:val="en-AU"/>
        </w:rPr>
        <w:t>Ms Davidson</w:t>
      </w:r>
      <w:r w:rsidR="0036071D">
        <w:rPr>
          <w:rFonts w:ascii="Calibri" w:hAnsi="Calibri"/>
          <w:color w:val="000000"/>
          <w:lang w:val="en-AU"/>
        </w:rPr>
        <w:t xml:space="preserve"> (Minister for Mental Health)</w:t>
      </w:r>
      <w:r>
        <w:rPr>
          <w:rFonts w:ascii="Calibri" w:hAnsi="Calibri"/>
          <w:color w:val="000000"/>
          <w:lang w:val="en-AU"/>
        </w:rPr>
        <w:t>, by leave, moved the following amendments</w:t>
      </w:r>
      <w:r w:rsidR="00E95603">
        <w:rPr>
          <w:rFonts w:ascii="Calibri" w:hAnsi="Calibri"/>
          <w:color w:val="000000"/>
          <w:lang w:val="en-AU"/>
        </w:rPr>
        <w:t xml:space="preserve"> together</w:t>
      </w:r>
      <w:r>
        <w:rPr>
          <w:rFonts w:ascii="Calibri" w:hAnsi="Calibri"/>
          <w:color w:val="000000"/>
          <w:lang w:val="en-AU"/>
        </w:rPr>
        <w:t>:</w:t>
      </w:r>
    </w:p>
    <w:p w:rsidR="00B94D55" w:rsidRDefault="00E95603" w:rsidP="00E95603">
      <w:pPr>
        <w:pStyle w:val="DPSEntryDetail"/>
      </w:pPr>
      <w:r>
        <w:t>1.</w:t>
      </w:r>
      <w:r>
        <w:tab/>
      </w:r>
      <w:r w:rsidR="00B94D55">
        <w:t>Omit paragraph</w:t>
      </w:r>
      <w:r w:rsidR="00993FA9">
        <w:t>s</w:t>
      </w:r>
      <w:r>
        <w:t xml:space="preserve"> (1) (a) to (e),</w:t>
      </w:r>
      <w:r w:rsidR="00B94D55">
        <w:t xml:space="preserve"> substitute:</w:t>
      </w:r>
    </w:p>
    <w:p w:rsidR="00B94D55" w:rsidRPr="005D2365" w:rsidRDefault="00DF7FAE" w:rsidP="00E95603">
      <w:pPr>
        <w:tabs>
          <w:tab w:val="left" w:pos="1350"/>
        </w:tabs>
        <w:spacing w:before="60" w:after="60"/>
        <w:ind w:left="1890" w:hanging="540"/>
        <w:rPr>
          <w:bCs/>
        </w:rPr>
      </w:pPr>
      <w:r>
        <w:rPr>
          <w:bCs/>
        </w:rPr>
        <w:t>“</w:t>
      </w:r>
      <w:r w:rsidR="00B94D55">
        <w:rPr>
          <w:bCs/>
        </w:rPr>
        <w:t>(a)</w:t>
      </w:r>
      <w:r w:rsidR="00B94D55">
        <w:rPr>
          <w:bCs/>
        </w:rPr>
        <w:tab/>
      </w:r>
      <w:r w:rsidR="00B94D55" w:rsidRPr="005D2365">
        <w:rPr>
          <w:bCs/>
        </w:rPr>
        <w:t xml:space="preserve">on 5 April, the Australian Nursing and Midwifery Federation (ANMF) called for an inquiry into the </w:t>
      </w:r>
      <w:proofErr w:type="spellStart"/>
      <w:r w:rsidR="00B94D55" w:rsidRPr="005D2365">
        <w:rPr>
          <w:bCs/>
        </w:rPr>
        <w:t>Dhulwa</w:t>
      </w:r>
      <w:proofErr w:type="spellEnd"/>
      <w:r w:rsidR="00B94D55" w:rsidRPr="005D2365">
        <w:rPr>
          <w:bCs/>
        </w:rPr>
        <w:t xml:space="preserve"> Mental Health Unit</w:t>
      </w:r>
      <w:r w:rsidR="00D86B01">
        <w:rPr>
          <w:bCs/>
        </w:rPr>
        <w:t>;</w:t>
      </w:r>
    </w:p>
    <w:p w:rsidR="00B94D55" w:rsidRPr="005D2365" w:rsidRDefault="00B94D55" w:rsidP="00B94D55">
      <w:pPr>
        <w:tabs>
          <w:tab w:val="left" w:pos="567"/>
        </w:tabs>
        <w:spacing w:before="60" w:after="60"/>
        <w:ind w:left="1890" w:hanging="540"/>
        <w:rPr>
          <w:bCs/>
        </w:rPr>
      </w:pPr>
      <w:r w:rsidRPr="005D2365">
        <w:rPr>
          <w:bCs/>
        </w:rPr>
        <w:lastRenderedPageBreak/>
        <w:t>(b)</w:t>
      </w:r>
      <w:r w:rsidRPr="005D2365">
        <w:rPr>
          <w:bCs/>
        </w:rPr>
        <w:tab/>
        <w:t xml:space="preserve">on 2 May 2022, the ACT Government committed to an inquiry into the legislative, clinical and governance framework to ensure the </w:t>
      </w:r>
      <w:proofErr w:type="spellStart"/>
      <w:r w:rsidRPr="005D2365">
        <w:rPr>
          <w:bCs/>
        </w:rPr>
        <w:t>Dhulwa</w:t>
      </w:r>
      <w:proofErr w:type="spellEnd"/>
      <w:r w:rsidRPr="005D2365">
        <w:rPr>
          <w:bCs/>
        </w:rPr>
        <w:t xml:space="preserve"> Mental Health Unit operates under best practice standards</w:t>
      </w:r>
      <w:r w:rsidR="009C1E53">
        <w:rPr>
          <w:bCs/>
        </w:rPr>
        <w:t>;</w:t>
      </w:r>
    </w:p>
    <w:p w:rsidR="00B94D55" w:rsidRDefault="00B94D55" w:rsidP="00B94D55">
      <w:pPr>
        <w:tabs>
          <w:tab w:val="left" w:pos="567"/>
        </w:tabs>
        <w:spacing w:before="60" w:after="60"/>
        <w:ind w:left="1890" w:hanging="540"/>
        <w:rPr>
          <w:bCs/>
        </w:rPr>
      </w:pPr>
      <w:r w:rsidRPr="005D2365">
        <w:rPr>
          <w:bCs/>
        </w:rPr>
        <w:t>(c)</w:t>
      </w:r>
      <w:r w:rsidRPr="005D2365">
        <w:rPr>
          <w:bCs/>
        </w:rPr>
        <w:tab/>
        <w:t xml:space="preserve">that the ACT Government is working collaboratively with the ANMF to </w:t>
      </w:r>
      <w:proofErr w:type="spellStart"/>
      <w:r w:rsidRPr="005D2365">
        <w:rPr>
          <w:bCs/>
        </w:rPr>
        <w:t>finalise</w:t>
      </w:r>
      <w:proofErr w:type="spellEnd"/>
      <w:r w:rsidRPr="005D2365">
        <w:rPr>
          <w:bCs/>
        </w:rPr>
        <w:t xml:space="preserve"> the terms of reference for the inquiry and appoint a suitably qualified and independent Chair</w:t>
      </w:r>
      <w:r w:rsidR="009C1E53">
        <w:rPr>
          <w:bCs/>
        </w:rPr>
        <w:t>;</w:t>
      </w:r>
      <w:r w:rsidR="00DF7FAE">
        <w:rPr>
          <w:bCs/>
        </w:rPr>
        <w:t>”</w:t>
      </w:r>
      <w:r w:rsidR="00E95603">
        <w:rPr>
          <w:bCs/>
        </w:rPr>
        <w:t>.</w:t>
      </w:r>
    </w:p>
    <w:p w:rsidR="00B94D55" w:rsidRDefault="00E95603" w:rsidP="00E95603">
      <w:pPr>
        <w:pStyle w:val="DPSEntryDetail"/>
        <w:rPr>
          <w:lang w:eastAsia="en-US"/>
        </w:rPr>
      </w:pPr>
      <w:r>
        <w:rPr>
          <w:lang w:eastAsia="en-US"/>
        </w:rPr>
        <w:t>2.</w:t>
      </w:r>
      <w:r>
        <w:rPr>
          <w:lang w:eastAsia="en-US"/>
        </w:rPr>
        <w:tab/>
        <w:t xml:space="preserve">Omit paragraph (2), </w:t>
      </w:r>
      <w:r w:rsidR="00993FA9">
        <w:rPr>
          <w:lang w:eastAsia="en-US"/>
        </w:rPr>
        <w:t>substitute:</w:t>
      </w:r>
    </w:p>
    <w:p w:rsidR="00993FA9" w:rsidRPr="005D2365" w:rsidRDefault="00DF7FAE" w:rsidP="00E95603">
      <w:pPr>
        <w:pStyle w:val="DPSEntryDetail"/>
        <w:tabs>
          <w:tab w:val="clear" w:pos="1197"/>
          <w:tab w:val="clear" w:pos="1767"/>
          <w:tab w:val="left" w:pos="1350"/>
          <w:tab w:val="left" w:pos="1890"/>
        </w:tabs>
        <w:ind w:left="1890" w:hanging="540"/>
      </w:pPr>
      <w:r>
        <w:t>“</w:t>
      </w:r>
      <w:r w:rsidR="00993FA9">
        <w:t>(</w:t>
      </w:r>
      <w:r w:rsidR="00F92EBA">
        <w:t>d</w:t>
      </w:r>
      <w:r w:rsidR="00993FA9">
        <w:t>)</w:t>
      </w:r>
      <w:r w:rsidR="00993FA9">
        <w:tab/>
      </w:r>
      <w:r w:rsidR="00993FA9" w:rsidRPr="005D2365">
        <w:t xml:space="preserve">the ACT Government is committed to providing exceptional healthcare for all </w:t>
      </w:r>
      <w:proofErr w:type="spellStart"/>
      <w:r w:rsidR="00993FA9" w:rsidRPr="005D2365">
        <w:t>Canberrans</w:t>
      </w:r>
      <w:proofErr w:type="spellEnd"/>
      <w:r w:rsidR="00993FA9" w:rsidRPr="005D2365">
        <w:t xml:space="preserve"> when they need it</w:t>
      </w:r>
      <w:r w:rsidR="009C1E53">
        <w:t>;</w:t>
      </w:r>
    </w:p>
    <w:p w:rsidR="00993FA9" w:rsidRPr="005D2365" w:rsidRDefault="00993FA9" w:rsidP="00E95603">
      <w:pPr>
        <w:pStyle w:val="DPSEntryDetail"/>
        <w:tabs>
          <w:tab w:val="clear" w:pos="1197"/>
          <w:tab w:val="clear" w:pos="1767"/>
          <w:tab w:val="left" w:pos="1350"/>
          <w:tab w:val="left" w:pos="1800"/>
          <w:tab w:val="left" w:pos="1890"/>
        </w:tabs>
        <w:ind w:left="1890" w:hanging="540"/>
      </w:pPr>
      <w:r w:rsidRPr="005D2365">
        <w:t>(</w:t>
      </w:r>
      <w:r w:rsidR="00F92EBA">
        <w:t>e</w:t>
      </w:r>
      <w:r w:rsidRPr="005D2365">
        <w:t>)</w:t>
      </w:r>
      <w:r w:rsidRPr="005D2365">
        <w:tab/>
        <w:t>the ACT Government is equally committed to ensuring all health workers have a safe workplace and are supported through effective measures to prevent and respond to occupational violence</w:t>
      </w:r>
      <w:r w:rsidR="009C1E53">
        <w:t>;</w:t>
      </w:r>
      <w:r w:rsidRPr="005D2365">
        <w:t xml:space="preserve"> </w:t>
      </w:r>
    </w:p>
    <w:p w:rsidR="00993FA9" w:rsidRPr="005D2365" w:rsidRDefault="00993FA9" w:rsidP="00E95603">
      <w:pPr>
        <w:pStyle w:val="DPSEntryDetail"/>
        <w:tabs>
          <w:tab w:val="clear" w:pos="1197"/>
          <w:tab w:val="clear" w:pos="1767"/>
          <w:tab w:val="left" w:pos="1350"/>
          <w:tab w:val="left" w:pos="1800"/>
          <w:tab w:val="left" w:pos="1890"/>
        </w:tabs>
        <w:ind w:left="1890" w:hanging="540"/>
      </w:pPr>
      <w:r w:rsidRPr="005D2365">
        <w:t>(</w:t>
      </w:r>
      <w:r w:rsidR="00F92EBA">
        <w:t>f</w:t>
      </w:r>
      <w:r w:rsidRPr="005D2365">
        <w:t>)</w:t>
      </w:r>
      <w:r w:rsidRPr="005D2365">
        <w:tab/>
      </w:r>
      <w:proofErr w:type="spellStart"/>
      <w:r w:rsidRPr="005D2365">
        <w:t>Dhulwa</w:t>
      </w:r>
      <w:proofErr w:type="spellEnd"/>
      <w:r w:rsidRPr="005D2365">
        <w:t xml:space="preserve"> is a secure mental health facility that may accommodate patients with very complex needs who may present a risk to public safety and cannot be care</w:t>
      </w:r>
      <w:r w:rsidR="009C1E53">
        <w:t>d</w:t>
      </w:r>
      <w:r w:rsidRPr="005D2365">
        <w:t xml:space="preserve"> for in any other setting in the Territory</w:t>
      </w:r>
      <w:r w:rsidR="009C1E53">
        <w:t>; and</w:t>
      </w:r>
    </w:p>
    <w:p w:rsidR="00993FA9" w:rsidRDefault="00993FA9" w:rsidP="00E95603">
      <w:pPr>
        <w:pStyle w:val="DPSEntryDetail"/>
        <w:tabs>
          <w:tab w:val="clear" w:pos="1197"/>
          <w:tab w:val="clear" w:pos="1767"/>
          <w:tab w:val="left" w:pos="1350"/>
          <w:tab w:val="left" w:pos="1800"/>
          <w:tab w:val="left" w:pos="1890"/>
        </w:tabs>
        <w:ind w:left="1890" w:hanging="540"/>
      </w:pPr>
      <w:r w:rsidRPr="005D2365">
        <w:t>(</w:t>
      </w:r>
      <w:r w:rsidR="00F92EBA">
        <w:t>g</w:t>
      </w:r>
      <w:r w:rsidRPr="005D2365">
        <w:t>)</w:t>
      </w:r>
      <w:r w:rsidRPr="005D2365">
        <w:tab/>
        <w:t xml:space="preserve">the ACT Government has listened to the concerns of staff and the ANMF and demonstrated its commitment to exceptional health services, as well as the safety and wellbeing of staff, by establishing an </w:t>
      </w:r>
      <w:r w:rsidR="009C1E53">
        <w:t>i</w:t>
      </w:r>
      <w:r w:rsidRPr="005D2365">
        <w:t>nquiry</w:t>
      </w:r>
      <w:r w:rsidR="009C1E53">
        <w:t>;</w:t>
      </w:r>
      <w:r w:rsidR="00DF7FAE">
        <w:t>”</w:t>
      </w:r>
      <w:r w:rsidR="00E95603">
        <w:t>.</w:t>
      </w:r>
    </w:p>
    <w:p w:rsidR="00BC69A3" w:rsidRDefault="00E95603" w:rsidP="00E95603">
      <w:pPr>
        <w:pStyle w:val="DPSEntryDetail"/>
        <w:rPr>
          <w:lang w:eastAsia="en-US"/>
        </w:rPr>
      </w:pPr>
      <w:r>
        <w:rPr>
          <w:lang w:eastAsia="en-US"/>
        </w:rPr>
        <w:t>3.</w:t>
      </w:r>
      <w:r>
        <w:rPr>
          <w:lang w:eastAsia="en-US"/>
        </w:rPr>
        <w:tab/>
        <w:t xml:space="preserve">Omit paragraph (3), </w:t>
      </w:r>
      <w:r w:rsidR="00BC69A3">
        <w:rPr>
          <w:lang w:eastAsia="en-US"/>
        </w:rPr>
        <w:t>substitute:</w:t>
      </w:r>
    </w:p>
    <w:p w:rsidR="00BC69A3" w:rsidRPr="005D2365" w:rsidRDefault="00DF7FAE" w:rsidP="00E95603">
      <w:pPr>
        <w:pStyle w:val="DPSEntryDetail"/>
        <w:tabs>
          <w:tab w:val="clear" w:pos="1197"/>
          <w:tab w:val="clear" w:pos="1767"/>
          <w:tab w:val="left" w:pos="1350"/>
          <w:tab w:val="left" w:pos="1710"/>
        </w:tabs>
        <w:ind w:left="630"/>
      </w:pPr>
      <w:r>
        <w:t>“</w:t>
      </w:r>
      <w:r w:rsidR="00BC69A3">
        <w:t>(</w:t>
      </w:r>
      <w:r w:rsidR="00F92EBA">
        <w:t>2</w:t>
      </w:r>
      <w:r w:rsidR="00BC69A3">
        <w:t>)</w:t>
      </w:r>
      <w:r w:rsidR="00BC69A3">
        <w:tab/>
      </w:r>
      <w:r w:rsidR="00BC69A3" w:rsidRPr="005D2365">
        <w:t>support</w:t>
      </w:r>
      <w:r w:rsidR="00F92EBA">
        <w:t>s</w:t>
      </w:r>
      <w:r w:rsidR="00BC69A3" w:rsidRPr="005D2365">
        <w:t xml:space="preserve"> the inquiry into the operation of </w:t>
      </w:r>
      <w:proofErr w:type="spellStart"/>
      <w:r w:rsidR="00BC69A3" w:rsidRPr="005D2365">
        <w:t>Dhulwa</w:t>
      </w:r>
      <w:proofErr w:type="spellEnd"/>
      <w:r w:rsidR="00BC69A3" w:rsidRPr="005D2365">
        <w:t xml:space="preserve">; and </w:t>
      </w:r>
    </w:p>
    <w:p w:rsidR="00BC69A3" w:rsidRPr="005D2365" w:rsidRDefault="00F92EBA" w:rsidP="00E95603">
      <w:pPr>
        <w:pStyle w:val="DPSEntryDetail"/>
        <w:tabs>
          <w:tab w:val="clear" w:pos="1197"/>
          <w:tab w:val="clear" w:pos="1767"/>
          <w:tab w:val="left" w:pos="1350"/>
          <w:tab w:val="left" w:pos="1620"/>
          <w:tab w:val="left" w:pos="1710"/>
        </w:tabs>
        <w:ind w:left="1350" w:hanging="630"/>
        <w:rPr>
          <w:rFonts w:ascii="Times New Roman Bold" w:hAnsi="Times New Roman Bold"/>
        </w:rPr>
      </w:pPr>
      <w:r>
        <w:t>(3)</w:t>
      </w:r>
      <w:r>
        <w:tab/>
      </w:r>
      <w:r w:rsidR="00BC69A3" w:rsidRPr="005D2365">
        <w:t>defer</w:t>
      </w:r>
      <w:r>
        <w:t>s</w:t>
      </w:r>
      <w:r w:rsidR="00BC69A3" w:rsidRPr="005D2365">
        <w:t xml:space="preserve"> a decision on the referral of the matter of </w:t>
      </w:r>
      <w:proofErr w:type="spellStart"/>
      <w:r w:rsidR="00BC69A3" w:rsidRPr="005D2365">
        <w:t>Dhulwa</w:t>
      </w:r>
      <w:r w:rsidR="00DF7FAE">
        <w:t>’</w:t>
      </w:r>
      <w:r w:rsidR="00BC69A3" w:rsidRPr="005D2365">
        <w:t>s</w:t>
      </w:r>
      <w:proofErr w:type="spellEnd"/>
      <w:r w:rsidR="00BC69A3" w:rsidRPr="005D2365">
        <w:t xml:space="preserve"> operation to the Standing Committee on Health and Community Wellbeing, until such time that the final repor</w:t>
      </w:r>
      <w:r>
        <w:t xml:space="preserve">t of the </w:t>
      </w:r>
      <w:r w:rsidR="009C1E53">
        <w:t>i</w:t>
      </w:r>
      <w:r>
        <w:t>nquiry is published.</w:t>
      </w:r>
      <w:r w:rsidR="00DF7FAE">
        <w:t>”</w:t>
      </w:r>
      <w:r w:rsidR="00E95603">
        <w:t>.</w:t>
      </w:r>
    </w:p>
    <w:p w:rsidR="00993FA9" w:rsidRDefault="00F92EBA" w:rsidP="00993FA9">
      <w:pPr>
        <w:pStyle w:val="DPSEntryDetail"/>
      </w:pPr>
      <w:r>
        <w:t>Debate ensu</w:t>
      </w:r>
      <w:r w:rsidR="00CC732F">
        <w:t>ed.</w:t>
      </w:r>
    </w:p>
    <w:p w:rsidR="00CC732F" w:rsidRDefault="00CC732F" w:rsidP="00993FA9">
      <w:pPr>
        <w:pStyle w:val="DPSEntryDetail"/>
      </w:pPr>
      <w:r>
        <w:t>The question—That the amendment</w:t>
      </w:r>
      <w:r w:rsidR="00AE3F53">
        <w:t>s</w:t>
      </w:r>
      <w:r>
        <w:t xml:space="preserve"> be agreed to—put</w:t>
      </w:r>
      <w:r w:rsidR="00AE3F53">
        <w:t>.</w:t>
      </w:r>
    </w:p>
    <w:p w:rsidR="00167DB4" w:rsidRDefault="00167DB4" w:rsidP="00167DB4">
      <w:pPr>
        <w:pStyle w:val="DPSEntryDetail"/>
        <w:spacing w:after="120"/>
      </w:pPr>
      <w:r>
        <w:t>The Assembly voted—</w:t>
      </w:r>
    </w:p>
    <w:tbl>
      <w:tblPr>
        <w:tblpPr w:rightFromText="180" w:vertAnchor="text" w:tblpY="1"/>
        <w:tblOverlap w:val="never"/>
        <w:tblW w:w="10701" w:type="dxa"/>
        <w:tblLayout w:type="fixed"/>
        <w:tblCellMar>
          <w:left w:w="720" w:type="dxa"/>
          <w:right w:w="56" w:type="dxa"/>
        </w:tblCellMar>
        <w:tblLook w:val="0000" w:firstRow="0" w:lastRow="0" w:firstColumn="0" w:lastColumn="0" w:noHBand="0" w:noVBand="0"/>
      </w:tblPr>
      <w:tblGrid>
        <w:gridCol w:w="243"/>
        <w:gridCol w:w="2430"/>
        <w:gridCol w:w="1323"/>
        <w:gridCol w:w="796"/>
        <w:gridCol w:w="761"/>
        <w:gridCol w:w="796"/>
        <w:gridCol w:w="2354"/>
        <w:gridCol w:w="85"/>
        <w:gridCol w:w="1913"/>
      </w:tblGrid>
      <w:tr w:rsidR="00167DB4" w:rsidTr="00167DB4">
        <w:trPr>
          <w:gridAfter w:val="1"/>
          <w:wAfter w:w="1913" w:type="dxa"/>
        </w:trPr>
        <w:tc>
          <w:tcPr>
            <w:tcW w:w="3996" w:type="dxa"/>
            <w:gridSpan w:val="3"/>
            <w:shd w:val="clear" w:color="auto" w:fill="auto"/>
          </w:tcPr>
          <w:p w:rsidR="00167DB4" w:rsidRDefault="00167DB4" w:rsidP="00167DB4">
            <w:pPr>
              <w:pStyle w:val="DPSEntryDetail"/>
              <w:tabs>
                <w:tab w:val="center" w:pos="1644"/>
              </w:tabs>
              <w:ind w:left="0"/>
            </w:pPr>
            <w:r>
              <w:tab/>
              <w:t>AYES, 15</w:t>
            </w:r>
          </w:p>
        </w:tc>
        <w:tc>
          <w:tcPr>
            <w:tcW w:w="796" w:type="dxa"/>
            <w:shd w:val="clear" w:color="auto" w:fill="auto"/>
          </w:tcPr>
          <w:p w:rsidR="00167DB4" w:rsidRDefault="00167DB4" w:rsidP="00167DB4">
            <w:pPr>
              <w:pStyle w:val="DPSEntryDetail"/>
              <w:ind w:left="0"/>
            </w:pPr>
          </w:p>
        </w:tc>
        <w:tc>
          <w:tcPr>
            <w:tcW w:w="3996" w:type="dxa"/>
            <w:gridSpan w:val="4"/>
            <w:shd w:val="clear" w:color="auto" w:fill="auto"/>
          </w:tcPr>
          <w:p w:rsidR="00167DB4" w:rsidRDefault="00167DB4" w:rsidP="00167DB4">
            <w:pPr>
              <w:pStyle w:val="DPSEntryDetail"/>
              <w:tabs>
                <w:tab w:val="clear" w:pos="1197"/>
                <w:tab w:val="clear" w:pos="1767"/>
                <w:tab w:val="left" w:pos="2048"/>
                <w:tab w:val="center" w:pos="2408"/>
                <w:tab w:val="left" w:pos="2768"/>
              </w:tabs>
              <w:ind w:left="0"/>
            </w:pPr>
            <w:r>
              <w:tab/>
              <w:t>NOES, 8</w:t>
            </w: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Ms Berry</w:t>
            </w:r>
          </w:p>
        </w:tc>
        <w:tc>
          <w:tcPr>
            <w:tcW w:w="2880" w:type="dxa"/>
            <w:gridSpan w:val="3"/>
            <w:shd w:val="clear" w:color="auto" w:fill="auto"/>
          </w:tcPr>
          <w:p w:rsidR="00167DB4" w:rsidRDefault="00167DB4" w:rsidP="00167DB4">
            <w:pPr>
              <w:pStyle w:val="DPSEntryDetail"/>
              <w:spacing w:before="0"/>
              <w:ind w:left="0"/>
            </w:pPr>
            <w:r>
              <w:t>Ms Orr</w:t>
            </w:r>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Mr Cain</w:t>
            </w:r>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Mr Braddock</w:t>
            </w:r>
          </w:p>
        </w:tc>
        <w:tc>
          <w:tcPr>
            <w:tcW w:w="2880" w:type="dxa"/>
            <w:gridSpan w:val="3"/>
            <w:shd w:val="clear" w:color="auto" w:fill="auto"/>
          </w:tcPr>
          <w:p w:rsidR="00167DB4" w:rsidRDefault="00167DB4" w:rsidP="00167DB4">
            <w:pPr>
              <w:pStyle w:val="DPSEntryDetail"/>
              <w:spacing w:before="0"/>
              <w:ind w:left="0"/>
            </w:pPr>
            <w:r>
              <w:t>Dr Paterson</w:t>
            </w:r>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Ms Castley</w:t>
            </w:r>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Ms Burch</w:t>
            </w:r>
          </w:p>
        </w:tc>
        <w:tc>
          <w:tcPr>
            <w:tcW w:w="2880" w:type="dxa"/>
            <w:gridSpan w:val="3"/>
            <w:shd w:val="clear" w:color="auto" w:fill="auto"/>
          </w:tcPr>
          <w:p w:rsidR="00167DB4" w:rsidRDefault="00167DB4" w:rsidP="00167DB4">
            <w:pPr>
              <w:pStyle w:val="DPSEntryDetail"/>
              <w:spacing w:before="0"/>
              <w:ind w:left="0"/>
            </w:pPr>
            <w:r>
              <w:t xml:space="preserve">Mr </w:t>
            </w:r>
            <w:proofErr w:type="spellStart"/>
            <w:r>
              <w:t>Pettersson</w:t>
            </w:r>
            <w:proofErr w:type="spellEnd"/>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Mr Hanson</w:t>
            </w:r>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Ms Cheyne</w:t>
            </w:r>
          </w:p>
        </w:tc>
        <w:tc>
          <w:tcPr>
            <w:tcW w:w="2880" w:type="dxa"/>
            <w:gridSpan w:val="3"/>
            <w:shd w:val="clear" w:color="auto" w:fill="auto"/>
          </w:tcPr>
          <w:p w:rsidR="00167DB4" w:rsidRDefault="00167DB4" w:rsidP="00167DB4">
            <w:pPr>
              <w:pStyle w:val="DPSEntryDetail"/>
              <w:spacing w:before="0"/>
              <w:ind w:left="0"/>
            </w:pPr>
            <w:r>
              <w:t xml:space="preserve">Mr </w:t>
            </w:r>
            <w:proofErr w:type="spellStart"/>
            <w:r>
              <w:t>Rattenbury</w:t>
            </w:r>
            <w:proofErr w:type="spellEnd"/>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 xml:space="preserve">Mrs </w:t>
            </w:r>
            <w:proofErr w:type="spellStart"/>
            <w:r>
              <w:t>Kikkert</w:t>
            </w:r>
            <w:proofErr w:type="spellEnd"/>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Ms Clay</w:t>
            </w:r>
          </w:p>
        </w:tc>
        <w:tc>
          <w:tcPr>
            <w:tcW w:w="2880" w:type="dxa"/>
            <w:gridSpan w:val="3"/>
            <w:shd w:val="clear" w:color="auto" w:fill="auto"/>
          </w:tcPr>
          <w:p w:rsidR="00167DB4" w:rsidRDefault="00167DB4" w:rsidP="00167DB4">
            <w:pPr>
              <w:pStyle w:val="DPSEntryDetail"/>
              <w:spacing w:before="0"/>
              <w:ind w:left="0"/>
            </w:pPr>
            <w:r>
              <w:t>Mr Steel</w:t>
            </w:r>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 xml:space="preserve">Ms </w:t>
            </w:r>
            <w:proofErr w:type="spellStart"/>
            <w:r>
              <w:t>Lawder</w:t>
            </w:r>
            <w:proofErr w:type="spellEnd"/>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Ms Davidson</w:t>
            </w:r>
          </w:p>
        </w:tc>
        <w:tc>
          <w:tcPr>
            <w:tcW w:w="2880" w:type="dxa"/>
            <w:gridSpan w:val="3"/>
            <w:shd w:val="clear" w:color="auto" w:fill="auto"/>
          </w:tcPr>
          <w:p w:rsidR="00167DB4" w:rsidRDefault="00167DB4" w:rsidP="00167DB4">
            <w:pPr>
              <w:pStyle w:val="DPSEntryDetail"/>
              <w:spacing w:before="0"/>
              <w:ind w:left="0"/>
            </w:pPr>
            <w:r>
              <w:t>Ms Stephen-Smith</w:t>
            </w:r>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Ms Lee</w:t>
            </w:r>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Mr Davis</w:t>
            </w:r>
          </w:p>
        </w:tc>
        <w:tc>
          <w:tcPr>
            <w:tcW w:w="2880" w:type="dxa"/>
            <w:gridSpan w:val="3"/>
            <w:shd w:val="clear" w:color="auto" w:fill="auto"/>
          </w:tcPr>
          <w:p w:rsidR="00167DB4" w:rsidRDefault="00167DB4" w:rsidP="00167DB4">
            <w:pPr>
              <w:pStyle w:val="DPSEntryDetail"/>
              <w:spacing w:before="0"/>
              <w:ind w:left="0"/>
            </w:pPr>
            <w:r>
              <w:t xml:space="preserve">Ms </w:t>
            </w:r>
            <w:proofErr w:type="spellStart"/>
            <w:r>
              <w:t>Vassarotti</w:t>
            </w:r>
            <w:proofErr w:type="spellEnd"/>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Mr Milligan</w:t>
            </w:r>
          </w:p>
        </w:tc>
        <w:tc>
          <w:tcPr>
            <w:tcW w:w="1998" w:type="dxa"/>
            <w:gridSpan w:val="2"/>
            <w:shd w:val="clear" w:color="auto" w:fill="auto"/>
          </w:tcPr>
          <w:p w:rsidR="00167DB4" w:rsidRDefault="00167DB4" w:rsidP="00167DB4">
            <w:pPr>
              <w:pStyle w:val="DPSEntryDetail"/>
              <w:ind w:left="0"/>
            </w:pPr>
          </w:p>
        </w:tc>
      </w:tr>
      <w:tr w:rsidR="00167DB4" w:rsidTr="00167DB4">
        <w:trPr>
          <w:gridBefore w:val="1"/>
          <w:wBefore w:w="243" w:type="dxa"/>
          <w:trHeight w:hRule="exact" w:val="312"/>
        </w:trPr>
        <w:tc>
          <w:tcPr>
            <w:tcW w:w="2430" w:type="dxa"/>
            <w:shd w:val="clear" w:color="auto" w:fill="auto"/>
          </w:tcPr>
          <w:p w:rsidR="00167DB4" w:rsidRDefault="00167DB4" w:rsidP="00167DB4">
            <w:pPr>
              <w:pStyle w:val="DPSEntryDetail"/>
              <w:spacing w:before="0"/>
              <w:ind w:left="0"/>
            </w:pPr>
            <w:r>
              <w:t>Mr Gentleman</w:t>
            </w:r>
          </w:p>
        </w:tc>
        <w:tc>
          <w:tcPr>
            <w:tcW w:w="2880" w:type="dxa"/>
            <w:gridSpan w:val="3"/>
            <w:shd w:val="clear" w:color="auto" w:fill="auto"/>
          </w:tcPr>
          <w:p w:rsidR="00167DB4" w:rsidRDefault="00167DB4" w:rsidP="00167DB4">
            <w:pPr>
              <w:pStyle w:val="DPSEntryDetail"/>
              <w:ind w:left="0"/>
            </w:pPr>
          </w:p>
        </w:tc>
        <w:tc>
          <w:tcPr>
            <w:tcW w:w="796" w:type="dxa"/>
            <w:shd w:val="clear" w:color="auto" w:fill="auto"/>
          </w:tcPr>
          <w:p w:rsidR="00167DB4" w:rsidRDefault="00167DB4" w:rsidP="00167DB4">
            <w:pPr>
              <w:pStyle w:val="DPSEntryDetail"/>
              <w:ind w:left="0"/>
            </w:pPr>
          </w:p>
        </w:tc>
        <w:tc>
          <w:tcPr>
            <w:tcW w:w="2354" w:type="dxa"/>
            <w:shd w:val="clear" w:color="auto" w:fill="auto"/>
          </w:tcPr>
          <w:p w:rsidR="00167DB4" w:rsidRDefault="00167DB4" w:rsidP="00167DB4">
            <w:pPr>
              <w:pStyle w:val="DPSEntryDetail"/>
              <w:spacing w:before="0"/>
              <w:ind w:left="-679"/>
            </w:pPr>
            <w:r>
              <w:t>Mr Parton</w:t>
            </w:r>
          </w:p>
        </w:tc>
        <w:tc>
          <w:tcPr>
            <w:tcW w:w="1998" w:type="dxa"/>
            <w:gridSpan w:val="2"/>
            <w:shd w:val="clear" w:color="auto" w:fill="auto"/>
          </w:tcPr>
          <w:p w:rsidR="00167DB4" w:rsidRDefault="00167DB4" w:rsidP="00167DB4">
            <w:pPr>
              <w:pStyle w:val="DPSEntryDetail"/>
              <w:ind w:left="0"/>
            </w:pPr>
          </w:p>
        </w:tc>
      </w:tr>
    </w:tbl>
    <w:p w:rsidR="00167DB4" w:rsidRDefault="00167DB4" w:rsidP="00167DB4">
      <w:pPr>
        <w:pStyle w:val="DPSEntryDetail"/>
      </w:pPr>
      <w:r>
        <w:t>And so it was resolved in the affirmative.</w:t>
      </w:r>
    </w:p>
    <w:p w:rsidR="00167DB4" w:rsidRDefault="00AB7032" w:rsidP="00AB7032">
      <w:pPr>
        <w:spacing w:before="120"/>
        <w:ind w:left="720"/>
        <w:rPr>
          <w:rFonts w:ascii="Calibri" w:hAnsi="Calibri"/>
          <w:color w:val="000000"/>
          <w:lang w:val="en-AU"/>
        </w:rPr>
      </w:pPr>
      <w:r w:rsidRPr="005754F7">
        <w:rPr>
          <w:rFonts w:ascii="Calibri" w:hAnsi="Calibri"/>
          <w:color w:val="000000"/>
          <w:lang w:val="en-AU"/>
        </w:rPr>
        <w:t>Question—</w:t>
      </w:r>
      <w:r w:rsidR="00167DB4">
        <w:rPr>
          <w:rFonts w:ascii="Calibri" w:hAnsi="Calibri"/>
          <w:color w:val="000000"/>
          <w:lang w:val="en-AU"/>
        </w:rPr>
        <w:t>T</w:t>
      </w:r>
      <w:r w:rsidR="00E95603">
        <w:rPr>
          <w:rFonts w:ascii="Calibri" w:hAnsi="Calibri"/>
          <w:color w:val="000000"/>
          <w:lang w:val="en-AU"/>
        </w:rPr>
        <w:t xml:space="preserve">hat the motion, as amended, </w:t>
      </w:r>
      <w:proofErr w:type="spellStart"/>
      <w:r w:rsidR="00E95603">
        <w:rPr>
          <w:rFonts w:ascii="Calibri" w:hAnsi="Calibri"/>
          <w:color w:val="000000"/>
          <w:lang w:val="en-AU"/>
        </w:rPr>
        <w:t>viz</w:t>
      </w:r>
      <w:proofErr w:type="spellEnd"/>
      <w:r w:rsidR="00E95603">
        <w:rPr>
          <w:rFonts w:ascii="Calibri" w:hAnsi="Calibri"/>
          <w:color w:val="000000"/>
          <w:lang w:val="en-AU"/>
        </w:rPr>
        <w:t>:</w:t>
      </w:r>
    </w:p>
    <w:p w:rsidR="00167DB4" w:rsidRDefault="00DF7FAE" w:rsidP="00876ADE">
      <w:pPr>
        <w:spacing w:before="120" w:line="228" w:lineRule="auto"/>
        <w:ind w:left="720"/>
        <w:rPr>
          <w:rFonts w:ascii="Calibri" w:hAnsi="Calibri"/>
          <w:color w:val="000000"/>
          <w:lang w:val="en-AU"/>
        </w:rPr>
      </w:pPr>
      <w:r>
        <w:rPr>
          <w:rFonts w:ascii="Calibri" w:hAnsi="Calibri"/>
          <w:color w:val="000000"/>
          <w:lang w:val="en-AU"/>
        </w:rPr>
        <w:t>“</w:t>
      </w:r>
      <w:r w:rsidR="00167DB4">
        <w:rPr>
          <w:rFonts w:ascii="Calibri" w:hAnsi="Calibri"/>
          <w:color w:val="000000"/>
          <w:lang w:val="en-AU"/>
        </w:rPr>
        <w:t>That this Assembly:</w:t>
      </w:r>
    </w:p>
    <w:p w:rsidR="008329B1" w:rsidRDefault="00E95603" w:rsidP="00E95603">
      <w:pPr>
        <w:pStyle w:val="DPSEntryDetail"/>
        <w:tabs>
          <w:tab w:val="clear" w:pos="1197"/>
          <w:tab w:val="clear" w:pos="1767"/>
          <w:tab w:val="left" w:pos="1350"/>
          <w:tab w:val="left" w:pos="1620"/>
          <w:tab w:val="left" w:pos="1710"/>
        </w:tabs>
        <w:ind w:left="1350" w:hanging="630"/>
      </w:pPr>
      <w:r>
        <w:t>(1)</w:t>
      </w:r>
      <w:r>
        <w:tab/>
      </w:r>
      <w:r w:rsidR="008329B1">
        <w:t>notes:</w:t>
      </w:r>
    </w:p>
    <w:p w:rsidR="008329B1" w:rsidRPr="005D2365" w:rsidRDefault="008329B1" w:rsidP="007A0726">
      <w:pPr>
        <w:pStyle w:val="DPSEntryIndentsLev2"/>
        <w:numPr>
          <w:ilvl w:val="0"/>
          <w:numId w:val="7"/>
        </w:numPr>
        <w:tabs>
          <w:tab w:val="clear" w:pos="1915"/>
          <w:tab w:val="left" w:pos="1890"/>
        </w:tabs>
        <w:spacing w:line="228" w:lineRule="auto"/>
        <w:ind w:left="1890" w:hanging="540"/>
      </w:pPr>
      <w:r w:rsidRPr="005D2365">
        <w:lastRenderedPageBreak/>
        <w:t xml:space="preserve">on 5 April, the Australian Nursing and Midwifery Federation (ANMF) called for an inquiry into the </w:t>
      </w:r>
      <w:proofErr w:type="spellStart"/>
      <w:r w:rsidRPr="005D2365">
        <w:t>Dhulwa</w:t>
      </w:r>
      <w:proofErr w:type="spellEnd"/>
      <w:r w:rsidRPr="005D2365">
        <w:t xml:space="preserve"> Mental Health Unit</w:t>
      </w:r>
      <w:r w:rsidR="00D03538">
        <w:t>;</w:t>
      </w:r>
    </w:p>
    <w:p w:rsidR="008329B1" w:rsidRPr="005D2365" w:rsidRDefault="008329B1" w:rsidP="00876ADE">
      <w:pPr>
        <w:pStyle w:val="DPSEntryIndentsLev2"/>
        <w:spacing w:line="228" w:lineRule="auto"/>
        <w:ind w:left="1890" w:hanging="540"/>
      </w:pPr>
      <w:r w:rsidRPr="005D2365">
        <w:t xml:space="preserve">on 2 May 2022, the ACT Government committed to an inquiry into the legislative, clinical and governance framework to ensure the </w:t>
      </w:r>
      <w:proofErr w:type="spellStart"/>
      <w:r w:rsidRPr="005D2365">
        <w:t>Dhulwa</w:t>
      </w:r>
      <w:proofErr w:type="spellEnd"/>
      <w:r w:rsidRPr="005D2365">
        <w:t xml:space="preserve"> Mental Health Unit operates under best practice standards</w:t>
      </w:r>
      <w:r w:rsidR="00D03538">
        <w:t>;</w:t>
      </w:r>
    </w:p>
    <w:p w:rsidR="008329B1" w:rsidRDefault="008329B1" w:rsidP="00876ADE">
      <w:pPr>
        <w:pStyle w:val="DPSEntryIndentsLev2"/>
        <w:spacing w:line="228" w:lineRule="auto"/>
        <w:ind w:left="1890" w:hanging="540"/>
      </w:pPr>
      <w:r w:rsidRPr="005D2365">
        <w:t>that the ACT Government is working collaboratively with the ANMF to finalise the terms of reference for the inquiry and appoint a suitably qualified and independent Chair</w:t>
      </w:r>
      <w:r w:rsidR="00D03538">
        <w:t>;</w:t>
      </w:r>
    </w:p>
    <w:p w:rsidR="008329B1" w:rsidRPr="008329B1" w:rsidRDefault="008329B1" w:rsidP="00876ADE">
      <w:pPr>
        <w:pStyle w:val="DPSEntryIndentsLev2"/>
        <w:spacing w:line="228" w:lineRule="auto"/>
        <w:ind w:left="1890" w:hanging="540"/>
      </w:pPr>
      <w:r w:rsidRPr="005D2365">
        <w:rPr>
          <w:bCs/>
        </w:rPr>
        <w:t xml:space="preserve">the ACT Government is committed to providing exceptional healthcare for all </w:t>
      </w:r>
      <w:proofErr w:type="spellStart"/>
      <w:r w:rsidRPr="005D2365">
        <w:rPr>
          <w:bCs/>
        </w:rPr>
        <w:t>Canberrans</w:t>
      </w:r>
      <w:proofErr w:type="spellEnd"/>
      <w:r w:rsidRPr="005D2365">
        <w:rPr>
          <w:bCs/>
        </w:rPr>
        <w:t xml:space="preserve"> when they need it</w:t>
      </w:r>
      <w:r w:rsidR="00D03538">
        <w:rPr>
          <w:bCs/>
        </w:rPr>
        <w:t>;</w:t>
      </w:r>
    </w:p>
    <w:p w:rsidR="008329B1" w:rsidRPr="008329B1" w:rsidRDefault="008329B1" w:rsidP="00876ADE">
      <w:pPr>
        <w:pStyle w:val="DPSEntryIndentsLev2"/>
        <w:spacing w:line="228" w:lineRule="auto"/>
        <w:ind w:left="1890" w:hanging="540"/>
      </w:pPr>
      <w:r w:rsidRPr="005D2365">
        <w:rPr>
          <w:bCs/>
        </w:rPr>
        <w:t>the ACT Government is equally committed to ensuring all health workers have a safe workplace and are supported through effective measures to prevent and respond to occupational violence</w:t>
      </w:r>
      <w:r w:rsidR="00D03538">
        <w:rPr>
          <w:bCs/>
        </w:rPr>
        <w:t>;</w:t>
      </w:r>
    </w:p>
    <w:p w:rsidR="008329B1" w:rsidRPr="008329B1" w:rsidRDefault="008329B1" w:rsidP="00876ADE">
      <w:pPr>
        <w:pStyle w:val="DPSEntryIndentsLev2"/>
        <w:spacing w:line="228" w:lineRule="auto"/>
        <w:ind w:left="1890" w:hanging="540"/>
      </w:pPr>
      <w:proofErr w:type="spellStart"/>
      <w:r w:rsidRPr="005D2365">
        <w:rPr>
          <w:bCs/>
        </w:rPr>
        <w:t>Dhulwa</w:t>
      </w:r>
      <w:proofErr w:type="spellEnd"/>
      <w:r w:rsidRPr="005D2365">
        <w:rPr>
          <w:bCs/>
        </w:rPr>
        <w:t xml:space="preserve"> is a secure mental health facility that may accommodate patients with very complex needs who may present a risk to public safety and cannot be care</w:t>
      </w:r>
      <w:r w:rsidR="00500FD0">
        <w:rPr>
          <w:bCs/>
        </w:rPr>
        <w:t>d</w:t>
      </w:r>
      <w:r w:rsidRPr="005D2365">
        <w:rPr>
          <w:bCs/>
        </w:rPr>
        <w:t xml:space="preserve"> for in any other setting in the Territory</w:t>
      </w:r>
      <w:r w:rsidR="00D03538">
        <w:rPr>
          <w:bCs/>
        </w:rPr>
        <w:t>;</w:t>
      </w:r>
      <w:r w:rsidR="009E272E">
        <w:rPr>
          <w:bCs/>
        </w:rPr>
        <w:t xml:space="preserve"> </w:t>
      </w:r>
      <w:r w:rsidR="00D03538">
        <w:rPr>
          <w:bCs/>
        </w:rPr>
        <w:t>and</w:t>
      </w:r>
    </w:p>
    <w:p w:rsidR="008329B1" w:rsidRPr="008329B1" w:rsidRDefault="008329B1" w:rsidP="00876ADE">
      <w:pPr>
        <w:pStyle w:val="DPSEntryIndentsLev2"/>
        <w:spacing w:line="228" w:lineRule="auto"/>
        <w:ind w:left="1890" w:hanging="540"/>
      </w:pPr>
      <w:r w:rsidRPr="005D2365">
        <w:rPr>
          <w:bCs/>
        </w:rPr>
        <w:t xml:space="preserve">the ACT Government has listened to the concerns of staff and the ANMF and demonstrated its commitment to exceptional health services, as well as the safety and wellbeing of staff, by establishing an </w:t>
      </w:r>
      <w:r w:rsidR="00500FD0">
        <w:rPr>
          <w:bCs/>
        </w:rPr>
        <w:t>i</w:t>
      </w:r>
      <w:r w:rsidRPr="005D2365">
        <w:rPr>
          <w:bCs/>
        </w:rPr>
        <w:t>nquiry</w:t>
      </w:r>
      <w:r w:rsidR="00D03538">
        <w:rPr>
          <w:bCs/>
        </w:rPr>
        <w:t>;</w:t>
      </w:r>
    </w:p>
    <w:p w:rsidR="008329B1" w:rsidRPr="008329B1" w:rsidRDefault="00E95603" w:rsidP="00E95603">
      <w:pPr>
        <w:pStyle w:val="DPSEntryDetail"/>
        <w:tabs>
          <w:tab w:val="clear" w:pos="1197"/>
          <w:tab w:val="clear" w:pos="1767"/>
          <w:tab w:val="left" w:pos="1350"/>
          <w:tab w:val="left" w:pos="1620"/>
          <w:tab w:val="left" w:pos="1710"/>
        </w:tabs>
        <w:ind w:left="1354" w:hanging="634"/>
      </w:pPr>
      <w:r>
        <w:t>(2)</w:t>
      </w:r>
      <w:r>
        <w:tab/>
      </w:r>
      <w:r w:rsidR="008329B1" w:rsidRPr="005D2365">
        <w:t>support</w:t>
      </w:r>
      <w:r w:rsidR="008329B1">
        <w:t>s</w:t>
      </w:r>
      <w:r w:rsidR="008329B1" w:rsidRPr="005D2365">
        <w:t xml:space="preserve"> the inquiry into the operation of </w:t>
      </w:r>
      <w:proofErr w:type="spellStart"/>
      <w:r w:rsidR="008329B1" w:rsidRPr="005D2365">
        <w:t>Dhulwa</w:t>
      </w:r>
      <w:proofErr w:type="spellEnd"/>
      <w:r w:rsidR="008329B1" w:rsidRPr="005D2365">
        <w:t>; and</w:t>
      </w:r>
    </w:p>
    <w:p w:rsidR="008329B1" w:rsidRPr="005D2365" w:rsidRDefault="00E95603" w:rsidP="00E95603">
      <w:pPr>
        <w:pStyle w:val="DPSEntryDetail"/>
        <w:tabs>
          <w:tab w:val="clear" w:pos="1197"/>
          <w:tab w:val="clear" w:pos="1767"/>
          <w:tab w:val="left" w:pos="1350"/>
          <w:tab w:val="left" w:pos="1620"/>
          <w:tab w:val="left" w:pos="1710"/>
        </w:tabs>
        <w:ind w:left="1354" w:hanging="634"/>
      </w:pPr>
      <w:r>
        <w:t>(3)</w:t>
      </w:r>
      <w:r>
        <w:tab/>
      </w:r>
      <w:r w:rsidR="008329B1" w:rsidRPr="005D2365">
        <w:t>defer</w:t>
      </w:r>
      <w:r w:rsidR="008329B1">
        <w:t>s</w:t>
      </w:r>
      <w:r w:rsidR="008329B1" w:rsidRPr="005D2365">
        <w:t xml:space="preserve"> a decision on the referral of the matter of </w:t>
      </w:r>
      <w:proofErr w:type="spellStart"/>
      <w:r w:rsidR="008329B1" w:rsidRPr="005D2365">
        <w:t>Dhulwa</w:t>
      </w:r>
      <w:r w:rsidR="00DF7FAE">
        <w:t>’</w:t>
      </w:r>
      <w:r w:rsidR="008329B1" w:rsidRPr="005D2365">
        <w:t>s</w:t>
      </w:r>
      <w:proofErr w:type="spellEnd"/>
      <w:r w:rsidR="008329B1" w:rsidRPr="005D2365">
        <w:t xml:space="preserve"> operation to the Standing Committee on Health and Community Wellbeing, until such time that the final report of the </w:t>
      </w:r>
      <w:r w:rsidR="00500FD0">
        <w:t>i</w:t>
      </w:r>
      <w:r w:rsidR="008329B1" w:rsidRPr="005D2365">
        <w:t>nquiry is published.</w:t>
      </w:r>
      <w:r w:rsidR="00DF7FAE">
        <w:t>”</w:t>
      </w:r>
      <w:r w:rsidR="008329B1">
        <w:t>—</w:t>
      </w:r>
    </w:p>
    <w:p w:rsidR="00AB7032" w:rsidRDefault="00E95603" w:rsidP="00876ADE">
      <w:pPr>
        <w:spacing w:before="120" w:line="228" w:lineRule="auto"/>
        <w:ind w:left="720"/>
        <w:rPr>
          <w:rFonts w:ascii="Calibri" w:hAnsi="Calibri"/>
          <w:color w:val="000000"/>
          <w:lang w:val="en-AU"/>
        </w:rPr>
      </w:pPr>
      <w:r>
        <w:rPr>
          <w:rFonts w:ascii="Calibri" w:hAnsi="Calibri"/>
          <w:color w:val="000000"/>
          <w:lang w:val="en-AU"/>
        </w:rPr>
        <w:t>be agreed to—</w:t>
      </w:r>
      <w:r w:rsidR="00AB7032" w:rsidRPr="005754F7">
        <w:rPr>
          <w:rFonts w:ascii="Calibri" w:hAnsi="Calibri"/>
          <w:color w:val="000000"/>
          <w:lang w:val="en-AU"/>
        </w:rPr>
        <w:t>put and passed.</w:t>
      </w:r>
    </w:p>
    <w:p w:rsidR="00E41A02" w:rsidRPr="00AB7032" w:rsidRDefault="00E41A02" w:rsidP="00876ADE">
      <w:pPr>
        <w:keepNext/>
        <w:keepLines/>
        <w:tabs>
          <w:tab w:val="right" w:pos="339"/>
          <w:tab w:val="left" w:pos="720"/>
        </w:tabs>
        <w:spacing w:before="240" w:line="228" w:lineRule="auto"/>
        <w:ind w:left="720" w:hanging="720"/>
        <w:rPr>
          <w:rFonts w:ascii="Calibri" w:hAnsi="Calibri"/>
          <w:b/>
          <w:caps/>
          <w:lang w:val="en-AU"/>
        </w:rPr>
      </w:pPr>
      <w:r w:rsidRPr="00AB703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DF7FAE">
        <w:rPr>
          <w:rFonts w:ascii="Calibri" w:hAnsi="Calibri"/>
          <w:b/>
          <w:bCs/>
          <w:caps/>
          <w:noProof/>
          <w:lang w:val="en-AU"/>
        </w:rPr>
        <w:t>8</w:t>
      </w:r>
      <w:r>
        <w:rPr>
          <w:rFonts w:ascii="Calibri" w:hAnsi="Calibri"/>
          <w:b/>
          <w:bCs/>
          <w:caps/>
          <w:lang w:val="en-AU"/>
        </w:rPr>
        <w:fldChar w:fldCharType="end"/>
      </w:r>
      <w:r w:rsidRPr="00AB7032">
        <w:rPr>
          <w:rFonts w:ascii="Calibri" w:hAnsi="Calibri"/>
          <w:b/>
          <w:caps/>
          <w:lang w:val="en-AU"/>
        </w:rPr>
        <w:tab/>
      </w:r>
      <w:r>
        <w:rPr>
          <w:rFonts w:ascii="Calibri" w:hAnsi="Calibri"/>
          <w:b/>
          <w:caps/>
          <w:lang w:val="en-AU"/>
        </w:rPr>
        <w:t>ASSEMBLY BUSINESS—EXTENSION OF TIME</w:t>
      </w:r>
    </w:p>
    <w:p w:rsidR="00BD0D96" w:rsidRPr="00754EAE" w:rsidRDefault="00BD0D96" w:rsidP="00876ADE">
      <w:pPr>
        <w:tabs>
          <w:tab w:val="left" w:pos="1197"/>
          <w:tab w:val="left" w:pos="1767"/>
        </w:tabs>
        <w:spacing w:before="120" w:line="228" w:lineRule="auto"/>
        <w:ind w:left="720"/>
        <w:rPr>
          <w:rFonts w:ascii="Calibri" w:hAnsi="Calibri"/>
          <w:lang w:val="en-AU"/>
        </w:rPr>
      </w:pPr>
      <w:r w:rsidRPr="00754EAE">
        <w:rPr>
          <w:rFonts w:ascii="Calibri" w:hAnsi="Calibri"/>
          <w:lang w:val="en-AU"/>
        </w:rPr>
        <w:t>It being 45 minutes after the commencement of Assembly business—</w:t>
      </w:r>
    </w:p>
    <w:p w:rsidR="00BD0D96" w:rsidRPr="00754EAE" w:rsidRDefault="00BD0D96" w:rsidP="00876ADE">
      <w:pPr>
        <w:tabs>
          <w:tab w:val="left" w:pos="1197"/>
          <w:tab w:val="left" w:pos="1767"/>
        </w:tabs>
        <w:spacing w:before="120" w:line="228" w:lineRule="auto"/>
        <w:ind w:left="720"/>
        <w:rPr>
          <w:rFonts w:ascii="Calibri" w:hAnsi="Calibri"/>
          <w:lang w:val="en-AU"/>
        </w:rPr>
      </w:pPr>
      <w:r w:rsidRPr="00754EAE">
        <w:rPr>
          <w:rFonts w:ascii="Calibri" w:hAnsi="Calibri"/>
          <w:lang w:val="en-AU"/>
        </w:rPr>
        <w:t>Ordered—That the time allotted to Assembly business be extended by 30 minutes.</w:t>
      </w:r>
    </w:p>
    <w:p w:rsidR="00AB7032" w:rsidRPr="00AB7032" w:rsidRDefault="00AB7032" w:rsidP="00876ADE">
      <w:pPr>
        <w:keepNext/>
        <w:keepLines/>
        <w:tabs>
          <w:tab w:val="right" w:pos="339"/>
          <w:tab w:val="left" w:pos="720"/>
        </w:tabs>
        <w:spacing w:before="240" w:line="228" w:lineRule="auto"/>
        <w:ind w:left="720" w:hanging="720"/>
        <w:rPr>
          <w:rFonts w:ascii="Calibri" w:hAnsi="Calibri"/>
          <w:b/>
          <w:caps/>
          <w:lang w:val="en-AU"/>
        </w:rPr>
      </w:pPr>
      <w:r w:rsidRPr="00AB7032">
        <w:rPr>
          <w:rFonts w:ascii="Calibri" w:hAnsi="Calibri"/>
          <w:b/>
          <w:caps/>
          <w:lang w:val="en-AU"/>
        </w:rPr>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9</w:t>
      </w:r>
      <w:r w:rsidR="00881F7D">
        <w:rPr>
          <w:rFonts w:ascii="Calibri" w:hAnsi="Calibri"/>
          <w:b/>
          <w:bCs/>
          <w:caps/>
          <w:lang w:val="en-AU"/>
        </w:rPr>
        <w:fldChar w:fldCharType="end"/>
      </w:r>
      <w:r w:rsidRPr="00AB7032">
        <w:rPr>
          <w:rFonts w:ascii="Calibri" w:hAnsi="Calibri"/>
          <w:b/>
          <w:caps/>
          <w:lang w:val="en-AU"/>
        </w:rPr>
        <w:tab/>
      </w:r>
      <w:r w:rsidR="008663B2">
        <w:rPr>
          <w:rFonts w:ascii="Calibri" w:hAnsi="Calibri"/>
          <w:b/>
          <w:caps/>
          <w:lang w:val="en-AU"/>
        </w:rPr>
        <w:t>PLANNING, TRANSPORT, AND CITY SERVICES—STANDING COMMITTEE—</w:t>
      </w:r>
      <w:r>
        <w:rPr>
          <w:rFonts w:ascii="Calibri" w:hAnsi="Calibri"/>
          <w:b/>
          <w:caps/>
          <w:lang w:val="en-AU"/>
        </w:rPr>
        <w:t>rental housing market—impact of short-term holiday letting</w:t>
      </w:r>
      <w:r w:rsidR="0072337A">
        <w:rPr>
          <w:rFonts w:ascii="Calibri" w:hAnsi="Calibri"/>
          <w:b/>
          <w:caps/>
          <w:lang w:val="en-AU"/>
        </w:rPr>
        <w:t>—REQUEST TO CONSIDER</w:t>
      </w:r>
    </w:p>
    <w:p w:rsidR="00AB7032" w:rsidRPr="00AB7032" w:rsidRDefault="000A4E7C" w:rsidP="00876ADE">
      <w:pPr>
        <w:spacing w:before="120" w:line="228" w:lineRule="auto"/>
        <w:ind w:left="720"/>
        <w:rPr>
          <w:rFonts w:ascii="Calibri" w:hAnsi="Calibri"/>
          <w:color w:val="000000"/>
          <w:lang w:val="en-AU"/>
        </w:rPr>
      </w:pPr>
      <w:r>
        <w:rPr>
          <w:rFonts w:ascii="Calibri" w:hAnsi="Calibri"/>
          <w:color w:val="000000"/>
          <w:lang w:val="en-AU"/>
        </w:rPr>
        <w:t>Mr Davis</w:t>
      </w:r>
      <w:r w:rsidR="00AB7032" w:rsidRPr="00AB7032">
        <w:rPr>
          <w:rFonts w:ascii="Calibri" w:hAnsi="Calibri"/>
          <w:color w:val="000000"/>
          <w:lang w:val="en-AU"/>
        </w:rPr>
        <w:t>, pursuant to notice, moved—That</w:t>
      </w:r>
      <w:r>
        <w:rPr>
          <w:rFonts w:ascii="Calibri" w:hAnsi="Calibri"/>
          <w:color w:val="000000"/>
          <w:lang w:val="en-AU"/>
        </w:rPr>
        <w:t xml:space="preserve"> this Assembly:</w:t>
      </w:r>
    </w:p>
    <w:p w:rsidR="000A4E7C" w:rsidRPr="006D3AC3" w:rsidRDefault="000A4E7C" w:rsidP="00E95603">
      <w:pPr>
        <w:pStyle w:val="DPSEntryDetail"/>
        <w:tabs>
          <w:tab w:val="clear" w:pos="1197"/>
          <w:tab w:val="clear" w:pos="1767"/>
          <w:tab w:val="left" w:pos="1350"/>
          <w:tab w:val="left" w:pos="1620"/>
          <w:tab w:val="left" w:pos="1710"/>
        </w:tabs>
        <w:ind w:left="1350" w:hanging="630"/>
      </w:pPr>
      <w:r w:rsidRPr="006D3AC3">
        <w:t>(1)</w:t>
      </w:r>
      <w:r w:rsidRPr="006D3AC3">
        <w:tab/>
        <w:t>notes that: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the ACT is experiencing a shortage of long-term rental accommodation which is increasing rent;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platform-based short-term accommodation is an increasingly common way for landlords to earn an income on their properties without entering into tenancy agreements;</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an entire residential dwelling which is used for platform-based short-term accommodation, is a habitable dwelling that is removed from the rental market;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lastRenderedPageBreak/>
        <w:t>(d)</w:t>
      </w:r>
      <w:r w:rsidRPr="006D3AC3">
        <w:rPr>
          <w:rFonts w:ascii="Calibri" w:hAnsi="Calibri"/>
          <w:lang w:val="en-AU" w:eastAsia="en-US"/>
        </w:rPr>
        <w:tab/>
        <w:t>bringing platform-based short-term accommodation back into the long-term rental accommodation market would create an immediate increase in housing supply without urban sprawl and carbon emissions from construction;</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(e)</w:t>
      </w:r>
      <w:r w:rsidRPr="006D3AC3">
        <w:rPr>
          <w:rFonts w:ascii="Calibri" w:hAnsi="Calibri"/>
          <w:lang w:val="en-AU" w:eastAsia="en-US"/>
        </w:rPr>
        <w:tab/>
        <w:t>there are currently no regulations or restrictions on platform-based short-term accommodation in the ACT;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(f)</w:t>
      </w:r>
      <w:r w:rsidRPr="006D3AC3">
        <w:rPr>
          <w:rFonts w:ascii="Calibri" w:hAnsi="Calibri"/>
          <w:lang w:val="en-AU" w:eastAsia="en-US"/>
        </w:rPr>
        <w:tab/>
        <w:t>many cities around the world, and within Australia, have implemented regulations on platform-based short-term accommodation with the aim of increasing rental affordability; and</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(g)</w:t>
      </w:r>
      <w:r w:rsidRPr="006D3AC3">
        <w:rPr>
          <w:rFonts w:ascii="Calibri" w:hAnsi="Calibri"/>
          <w:lang w:val="en-AU" w:eastAsia="en-US"/>
        </w:rPr>
        <w:tab/>
        <w:t>several Australian state parliaments have undertaken inquiries and tabled legislation to address this issue including South Australia, Tasmania, Western Australia, New South Wales, and Victoria;</w:t>
      </w:r>
    </w:p>
    <w:p w:rsidR="000A4E7C" w:rsidRPr="006D3AC3" w:rsidRDefault="000A4E7C" w:rsidP="00E95603">
      <w:pPr>
        <w:pStyle w:val="DPSEntryDetail"/>
        <w:tabs>
          <w:tab w:val="clear" w:pos="1197"/>
          <w:tab w:val="clear" w:pos="1767"/>
          <w:tab w:val="left" w:pos="1350"/>
          <w:tab w:val="left" w:pos="1620"/>
          <w:tab w:val="left" w:pos="1710"/>
        </w:tabs>
        <w:ind w:left="1350" w:hanging="630"/>
      </w:pPr>
      <w:r w:rsidRPr="006D3AC3">
        <w:t>(2)</w:t>
      </w:r>
      <w:r w:rsidRPr="006D3AC3">
        <w:tab/>
        <w:t>further notes that: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the local hotel industry has been disproportionately impacted by the economic impacts of COVID-19; and</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over the last 10 years, platform-based short-term accommodation providers have competed with the local hotel industry creating excess capacity within licensed hotels;</w:t>
      </w:r>
    </w:p>
    <w:p w:rsidR="000A4E7C" w:rsidRPr="006D3AC3" w:rsidRDefault="000A4E7C" w:rsidP="00E95603">
      <w:pPr>
        <w:pStyle w:val="DPSEntryDetail"/>
        <w:tabs>
          <w:tab w:val="clear" w:pos="1197"/>
          <w:tab w:val="clear" w:pos="1767"/>
          <w:tab w:val="left" w:pos="1350"/>
          <w:tab w:val="left" w:pos="1620"/>
          <w:tab w:val="left" w:pos="1710"/>
        </w:tabs>
        <w:ind w:left="1350" w:hanging="630"/>
      </w:pPr>
      <w:r w:rsidRPr="006D3AC3">
        <w:t>(3)</w:t>
      </w:r>
      <w:r w:rsidRPr="006D3AC3">
        <w:tab/>
        <w:t>requests that the Standing Committee on Planning, Transport and City Services consider investigating the impact of platform-based short-term accommodation providers on rental affordability in the ACT;</w:t>
      </w:r>
    </w:p>
    <w:p w:rsidR="000A4E7C" w:rsidRPr="00E95603" w:rsidRDefault="000A4E7C" w:rsidP="00E95603">
      <w:pPr>
        <w:pStyle w:val="DPSEntryDetail"/>
        <w:tabs>
          <w:tab w:val="clear" w:pos="1197"/>
          <w:tab w:val="clear" w:pos="1767"/>
          <w:tab w:val="left" w:pos="1350"/>
          <w:tab w:val="left" w:pos="1620"/>
          <w:tab w:val="left" w:pos="1710"/>
        </w:tabs>
        <w:ind w:left="1350" w:hanging="630"/>
      </w:pPr>
      <w:r w:rsidRPr="006D3AC3">
        <w:t>(4)</w:t>
      </w:r>
      <w:r w:rsidRPr="006D3AC3">
        <w:tab/>
        <w:t>r</w:t>
      </w:r>
      <w:r w:rsidRPr="00E95603">
        <w:t>equests the Committee, should it decide to inquire into this matter, to investigate:</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(a)</w:t>
      </w:r>
      <w:r w:rsidRPr="006D3AC3">
        <w:rPr>
          <w:rFonts w:ascii="Calibri" w:hAnsi="Calibri"/>
          <w:lang w:val="en-AU" w:eastAsia="en-US"/>
        </w:rPr>
        <w:tab/>
        <w:t>the current regulatory and planning settings for managing platform-based short-term accommodation in other states in Australia;</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(b)</w:t>
      </w:r>
      <w:r w:rsidRPr="006D3AC3">
        <w:rPr>
          <w:rFonts w:ascii="Calibri" w:hAnsi="Calibri"/>
          <w:lang w:val="en-AU" w:eastAsia="en-US"/>
        </w:rPr>
        <w:tab/>
        <w:t>the current regulatory and planning settings for managing platform-based short-term accommodation in the ACT;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(c)</w:t>
      </w:r>
      <w:r w:rsidRPr="006D3AC3">
        <w:rPr>
          <w:rFonts w:ascii="Calibri" w:hAnsi="Calibri"/>
          <w:lang w:val="en-AU" w:eastAsia="en-US"/>
        </w:rPr>
        <w:tab/>
        <w:t>whether these settings may contribute to the number of long-term rental properties available in the ACT;</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(d)</w:t>
      </w:r>
      <w:r w:rsidRPr="006D3AC3">
        <w:rPr>
          <w:rFonts w:ascii="Calibri" w:hAnsi="Calibri"/>
          <w:lang w:val="en-AU" w:eastAsia="en-US"/>
        </w:rPr>
        <w:tab/>
        <w:t>whether additional regulatory and planning settings are required to manage the ACT</w:t>
      </w:r>
      <w:r w:rsidR="00DF7FAE">
        <w:rPr>
          <w:rFonts w:ascii="Calibri" w:hAnsi="Calibri"/>
          <w:lang w:val="en-AU" w:eastAsia="en-US"/>
        </w:rPr>
        <w:t>’</w:t>
      </w:r>
      <w:r w:rsidRPr="006D3AC3">
        <w:rPr>
          <w:rFonts w:ascii="Calibri" w:hAnsi="Calibri"/>
          <w:lang w:val="en-AU" w:eastAsia="en-US"/>
        </w:rPr>
        <w:t>s platform-based short-term accommodation industry; and</w:t>
      </w:r>
    </w:p>
    <w:p w:rsidR="000A4E7C" w:rsidRPr="006D3AC3" w:rsidRDefault="000A4E7C" w:rsidP="00E95603">
      <w:pPr>
        <w:tabs>
          <w:tab w:val="left" w:pos="1890"/>
        </w:tabs>
        <w:spacing w:before="120"/>
        <w:ind w:left="1901" w:hanging="547"/>
        <w:rPr>
          <w:rFonts w:ascii="Calibri" w:hAnsi="Calibri"/>
          <w:lang w:val="en-AU" w:eastAsia="en-US"/>
        </w:rPr>
      </w:pPr>
      <w:r w:rsidRPr="006D3AC3">
        <w:rPr>
          <w:rFonts w:ascii="Calibri" w:hAnsi="Calibri"/>
          <w:lang w:val="en-AU" w:eastAsia="en-US"/>
        </w:rPr>
        <w:t>(e)</w:t>
      </w:r>
      <w:r w:rsidRPr="006D3AC3">
        <w:rPr>
          <w:rFonts w:ascii="Calibri" w:hAnsi="Calibri"/>
          <w:lang w:val="en-AU" w:eastAsia="en-US"/>
        </w:rPr>
        <w:tab/>
        <w:t>any other related matters; and</w:t>
      </w:r>
    </w:p>
    <w:p w:rsidR="000A4E7C" w:rsidRDefault="000A4E7C" w:rsidP="00E95603">
      <w:pPr>
        <w:pStyle w:val="DPSEntryDetail"/>
        <w:tabs>
          <w:tab w:val="clear" w:pos="1197"/>
          <w:tab w:val="clear" w:pos="1767"/>
          <w:tab w:val="left" w:pos="1350"/>
          <w:tab w:val="left" w:pos="1620"/>
          <w:tab w:val="left" w:pos="1710"/>
        </w:tabs>
        <w:ind w:left="1350" w:hanging="630"/>
      </w:pPr>
      <w:r w:rsidRPr="006D3AC3">
        <w:t>(5)</w:t>
      </w:r>
      <w:r w:rsidRPr="006D3AC3">
        <w:tab/>
        <w:t>requests the Committee, should it decide to inquire into this matter, determine a reporting date bas</w:t>
      </w:r>
      <w:r>
        <w:t>ed on the Committee</w:t>
      </w:r>
      <w:r w:rsidR="00DF7FAE">
        <w:t>’</w:t>
      </w:r>
      <w:r>
        <w:t>s capacity.</w:t>
      </w:r>
    </w:p>
    <w:p w:rsidR="00AB7032" w:rsidRPr="00AB7032" w:rsidRDefault="00AB7032" w:rsidP="00876ADE">
      <w:pPr>
        <w:spacing w:before="120" w:line="228" w:lineRule="auto"/>
        <w:ind w:left="720"/>
        <w:rPr>
          <w:rFonts w:ascii="Calibri" w:hAnsi="Calibri"/>
          <w:color w:val="000000"/>
          <w:lang w:val="en-AU"/>
        </w:rPr>
      </w:pPr>
      <w:r w:rsidRPr="00AB7032">
        <w:rPr>
          <w:rFonts w:ascii="Calibri" w:hAnsi="Calibri"/>
          <w:color w:val="000000"/>
          <w:lang w:val="en-AU"/>
        </w:rPr>
        <w:t>Debate ensued.</w:t>
      </w:r>
    </w:p>
    <w:p w:rsidR="00AB7032" w:rsidRPr="00AB7032" w:rsidRDefault="00AB7032" w:rsidP="00876ADE">
      <w:pPr>
        <w:spacing w:before="120" w:line="228" w:lineRule="auto"/>
        <w:ind w:left="720"/>
        <w:rPr>
          <w:rFonts w:ascii="Calibri" w:hAnsi="Calibri"/>
          <w:color w:val="000000"/>
          <w:lang w:val="en-AU"/>
        </w:rPr>
      </w:pPr>
      <w:r w:rsidRPr="00AB7032">
        <w:rPr>
          <w:rFonts w:ascii="Calibri" w:hAnsi="Calibri"/>
          <w:color w:val="000000"/>
          <w:lang w:val="en-AU"/>
        </w:rPr>
        <w:t>Question—put and passed.</w:t>
      </w:r>
    </w:p>
    <w:p w:rsidR="000508CD" w:rsidRPr="000508CD" w:rsidRDefault="000508CD" w:rsidP="004C39DF">
      <w:pPr>
        <w:keepNext/>
        <w:keepLines/>
        <w:tabs>
          <w:tab w:val="right" w:pos="339"/>
          <w:tab w:val="left" w:pos="720"/>
        </w:tabs>
        <w:spacing w:before="240" w:line="228" w:lineRule="auto"/>
        <w:ind w:left="720" w:hanging="720"/>
        <w:rPr>
          <w:rFonts w:ascii="Calibri" w:hAnsi="Calibri"/>
          <w:b/>
          <w:caps/>
          <w:lang w:val="en-AU"/>
        </w:rPr>
      </w:pPr>
      <w:r w:rsidRPr="000508CD">
        <w:rPr>
          <w:rFonts w:ascii="Calibri" w:hAnsi="Calibri"/>
          <w:b/>
          <w:caps/>
          <w:lang w:val="en-AU"/>
        </w:rPr>
        <w:lastRenderedPageBreak/>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10</w:t>
      </w:r>
      <w:r w:rsidR="00881F7D">
        <w:rPr>
          <w:rFonts w:ascii="Calibri" w:hAnsi="Calibri"/>
          <w:b/>
          <w:bCs/>
          <w:caps/>
          <w:lang w:val="en-AU"/>
        </w:rPr>
        <w:fldChar w:fldCharType="end"/>
      </w:r>
      <w:r w:rsidRPr="000508CD">
        <w:rPr>
          <w:rFonts w:ascii="Calibri" w:hAnsi="Calibri"/>
          <w:b/>
          <w:caps/>
          <w:lang w:val="en-AU"/>
        </w:rPr>
        <w:tab/>
      </w:r>
      <w:r>
        <w:rPr>
          <w:rFonts w:ascii="Calibri" w:hAnsi="Calibri"/>
          <w:b/>
          <w:caps/>
          <w:lang w:val="en-AU"/>
        </w:rPr>
        <w:t>Education and Community Inclusion—Standing Committee</w:t>
      </w:r>
      <w:r w:rsidRPr="000508CD">
        <w:rPr>
          <w:rFonts w:ascii="Calibri" w:hAnsi="Calibri"/>
          <w:b/>
          <w:caps/>
          <w:lang w:val="en-AU"/>
        </w:rPr>
        <w:t xml:space="preserve">—REPORT </w:t>
      </w:r>
      <w:r>
        <w:rPr>
          <w:rFonts w:ascii="Calibri" w:hAnsi="Calibri"/>
          <w:b/>
          <w:caps/>
          <w:lang w:val="en-AU"/>
        </w:rPr>
        <w:t>3</w:t>
      </w:r>
      <w:r w:rsidRPr="000508CD">
        <w:rPr>
          <w:rFonts w:ascii="Calibri" w:hAnsi="Calibri"/>
          <w:b/>
          <w:caps/>
          <w:lang w:val="en-AU"/>
        </w:rPr>
        <w:t>—</w:t>
      </w:r>
      <w:r>
        <w:rPr>
          <w:rFonts w:ascii="Calibri" w:hAnsi="Calibri"/>
          <w:b/>
          <w:caps/>
          <w:lang w:val="en-AU"/>
        </w:rPr>
        <w:t>Managing ACT School Infrastructure</w:t>
      </w:r>
      <w:r w:rsidRPr="000508CD">
        <w:rPr>
          <w:rFonts w:ascii="Calibri" w:hAnsi="Calibri"/>
          <w:b/>
          <w:caps/>
          <w:lang w:val="en-AU"/>
        </w:rPr>
        <w:t>—report noted</w:t>
      </w:r>
    </w:p>
    <w:p w:rsidR="000508CD" w:rsidRPr="000508CD" w:rsidRDefault="000508CD" w:rsidP="004C39DF">
      <w:pPr>
        <w:keepNext/>
        <w:spacing w:before="120" w:line="228" w:lineRule="auto"/>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0508CD">
        <w:rPr>
          <w:rFonts w:ascii="Calibri" w:hAnsi="Calibri"/>
          <w:lang w:val="en-AU"/>
        </w:rPr>
        <w:t xml:space="preserve"> (Chair) presented the following report:</w:t>
      </w:r>
    </w:p>
    <w:p w:rsidR="000508CD" w:rsidRPr="000508CD" w:rsidRDefault="000508CD" w:rsidP="00876ADE">
      <w:pPr>
        <w:spacing w:before="120" w:line="228" w:lineRule="auto"/>
        <w:ind w:left="720"/>
        <w:rPr>
          <w:rFonts w:ascii="Calibri" w:hAnsi="Calibri"/>
          <w:iCs/>
          <w:lang w:val="en-AU"/>
        </w:rPr>
      </w:pPr>
      <w:r>
        <w:rPr>
          <w:rFonts w:ascii="Calibri" w:hAnsi="Calibri"/>
          <w:bCs/>
          <w:lang w:val="en-AU"/>
        </w:rPr>
        <w:t>Education and Community Inclusion—Standing Committee</w:t>
      </w:r>
      <w:r w:rsidRPr="000508CD">
        <w:rPr>
          <w:rFonts w:ascii="Calibri" w:hAnsi="Calibri"/>
          <w:lang w:val="en-AU"/>
        </w:rPr>
        <w:t xml:space="preserve">—Report </w:t>
      </w:r>
      <w:r>
        <w:rPr>
          <w:rFonts w:ascii="Calibri" w:hAnsi="Calibri"/>
          <w:caps/>
          <w:lang w:val="en-AU"/>
        </w:rPr>
        <w:t>3</w:t>
      </w:r>
      <w:r w:rsidRPr="000508CD">
        <w:rPr>
          <w:rFonts w:ascii="Calibri" w:hAnsi="Calibri"/>
          <w:lang w:val="en-AU"/>
        </w:rPr>
        <w:t>—</w:t>
      </w:r>
      <w:r>
        <w:rPr>
          <w:rFonts w:ascii="Calibri" w:hAnsi="Calibri"/>
          <w:i/>
          <w:iCs/>
          <w:lang w:val="en-AU"/>
        </w:rPr>
        <w:t>Managing ACT School Infrastructure</w:t>
      </w:r>
      <w:r w:rsidRPr="000508CD">
        <w:rPr>
          <w:rFonts w:ascii="Calibri" w:hAnsi="Calibri"/>
          <w:i/>
          <w:iCs/>
          <w:lang w:val="en-AU"/>
        </w:rPr>
        <w:t>,</w:t>
      </w:r>
      <w:r w:rsidRPr="000508CD">
        <w:rPr>
          <w:rFonts w:ascii="Calibri" w:hAnsi="Calibri"/>
          <w:iCs/>
          <w:lang w:val="en-AU"/>
        </w:rPr>
        <w:t xml:space="preserve"> dated </w:t>
      </w:r>
      <w:r w:rsidR="007A5F19">
        <w:rPr>
          <w:rFonts w:ascii="Calibri" w:hAnsi="Calibri"/>
          <w:iCs/>
          <w:lang w:val="en-AU"/>
        </w:rPr>
        <w:t>4</w:t>
      </w:r>
      <w:r>
        <w:rPr>
          <w:rFonts w:ascii="Calibri" w:hAnsi="Calibri"/>
          <w:iCs/>
          <w:lang w:val="en-AU"/>
        </w:rPr>
        <w:t xml:space="preserve"> May 2022</w:t>
      </w:r>
      <w:r w:rsidRPr="000508CD">
        <w:rPr>
          <w:rFonts w:ascii="Calibri" w:hAnsi="Calibri"/>
          <w:iCs/>
          <w:lang w:val="en-AU"/>
        </w:rPr>
        <w:t>, together with a copy of the extracts of the relevant minutes of proceedings—</w:t>
      </w:r>
    </w:p>
    <w:p w:rsidR="000508CD" w:rsidRDefault="000508CD" w:rsidP="00876ADE">
      <w:pPr>
        <w:spacing w:before="120" w:line="228" w:lineRule="auto"/>
        <w:ind w:left="720"/>
        <w:rPr>
          <w:rFonts w:ascii="Calibri" w:hAnsi="Calibri"/>
          <w:iCs/>
          <w:lang w:val="en-AU"/>
        </w:rPr>
      </w:pPr>
      <w:r w:rsidRPr="000508CD">
        <w:rPr>
          <w:rFonts w:ascii="Calibri" w:hAnsi="Calibri"/>
          <w:iCs/>
          <w:lang w:val="en-AU"/>
        </w:rPr>
        <w:t>and moved—That the report be noted.</w:t>
      </w:r>
    </w:p>
    <w:p w:rsidR="000508CD" w:rsidRPr="000508CD" w:rsidRDefault="000508CD" w:rsidP="00876ADE">
      <w:pPr>
        <w:spacing w:before="120" w:line="228" w:lineRule="auto"/>
        <w:ind w:left="720"/>
        <w:rPr>
          <w:rFonts w:ascii="Calibri" w:hAnsi="Calibri"/>
          <w:iCs/>
          <w:lang w:val="en-AU"/>
        </w:rPr>
      </w:pPr>
      <w:r w:rsidRPr="000508CD">
        <w:rPr>
          <w:rFonts w:ascii="Calibri" w:hAnsi="Calibri"/>
          <w:iCs/>
          <w:lang w:val="en-AU"/>
        </w:rPr>
        <w:t>Question—put and passed.</w:t>
      </w:r>
    </w:p>
    <w:p w:rsidR="00A25622" w:rsidRPr="00A25622" w:rsidRDefault="00A25622" w:rsidP="00A25622">
      <w:pPr>
        <w:keepNext/>
        <w:keepLines/>
        <w:tabs>
          <w:tab w:val="right" w:pos="339"/>
          <w:tab w:val="left" w:pos="720"/>
        </w:tabs>
        <w:spacing w:before="240"/>
        <w:ind w:left="720" w:hanging="720"/>
        <w:jc w:val="both"/>
        <w:rPr>
          <w:rFonts w:ascii="Calibri" w:hAnsi="Calibri"/>
          <w:b/>
          <w:caps/>
        </w:rPr>
      </w:pPr>
      <w:r w:rsidRPr="00A25622">
        <w:rPr>
          <w:rFonts w:ascii="Calibri" w:hAnsi="Calibri"/>
          <w:b/>
          <w:caps/>
        </w:rPr>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11</w:t>
      </w:r>
      <w:r w:rsidR="00881F7D">
        <w:rPr>
          <w:rFonts w:ascii="Calibri" w:hAnsi="Calibri"/>
          <w:b/>
          <w:bCs/>
          <w:caps/>
          <w:lang w:val="en-AU"/>
        </w:rPr>
        <w:fldChar w:fldCharType="end"/>
      </w:r>
      <w:r w:rsidRPr="00A25622">
        <w:rPr>
          <w:rFonts w:ascii="Calibri" w:hAnsi="Calibri"/>
          <w:b/>
          <w:caps/>
        </w:rPr>
        <w:tab/>
        <w:t>QUESTIONS</w:t>
      </w:r>
    </w:p>
    <w:p w:rsidR="00A25622" w:rsidRPr="00A25622" w:rsidRDefault="00A25622" w:rsidP="00A25622">
      <w:pPr>
        <w:spacing w:before="120"/>
        <w:ind w:left="720"/>
        <w:jc w:val="both"/>
        <w:rPr>
          <w:rFonts w:ascii="Calibri" w:hAnsi="Calibri"/>
          <w:lang w:val="en-AU"/>
        </w:rPr>
      </w:pPr>
      <w:r w:rsidRPr="00A25622">
        <w:rPr>
          <w:rFonts w:ascii="Calibri" w:hAnsi="Calibri"/>
          <w:lang w:val="en-AU"/>
        </w:rPr>
        <w:t>Questions without notice were asked.</w:t>
      </w:r>
    </w:p>
    <w:p w:rsidR="00A25622" w:rsidRPr="00A25622" w:rsidRDefault="00A25622" w:rsidP="00A25622">
      <w:pPr>
        <w:keepNext/>
        <w:keepLines/>
        <w:tabs>
          <w:tab w:val="right" w:pos="339"/>
          <w:tab w:val="left" w:pos="720"/>
        </w:tabs>
        <w:spacing w:before="240"/>
        <w:ind w:left="720" w:hanging="720"/>
        <w:jc w:val="both"/>
        <w:rPr>
          <w:rFonts w:ascii="Calibri" w:hAnsi="Calibri"/>
          <w:b/>
          <w:lang w:val="en-AU"/>
        </w:rPr>
      </w:pPr>
      <w:r w:rsidRPr="00A25622">
        <w:rPr>
          <w:rFonts w:ascii="Calibri" w:hAnsi="Calibri"/>
          <w:b/>
          <w:lang w:val="en-AU"/>
        </w:rPr>
        <w:tab/>
      </w:r>
      <w:r w:rsidR="00881F7D">
        <w:rPr>
          <w:rFonts w:ascii="Calibri" w:hAnsi="Calibri"/>
          <w:b/>
          <w:bCs/>
          <w:lang w:val="en-AU"/>
        </w:rPr>
        <w:fldChar w:fldCharType="begin"/>
      </w:r>
      <w:r w:rsidR="00881F7D">
        <w:rPr>
          <w:rFonts w:ascii="Calibri" w:hAnsi="Calibri"/>
          <w:b/>
          <w:bCs/>
          <w:lang w:val="en-AU"/>
        </w:rPr>
        <w:instrText xml:space="preserve"> SEQ A \* MERGEFORMAT </w:instrText>
      </w:r>
      <w:r w:rsidR="00881F7D">
        <w:rPr>
          <w:rFonts w:ascii="Calibri" w:hAnsi="Calibri"/>
          <w:b/>
          <w:bCs/>
          <w:lang w:val="en-AU"/>
        </w:rPr>
        <w:fldChar w:fldCharType="separate"/>
      </w:r>
      <w:r w:rsidR="00DF7FAE">
        <w:rPr>
          <w:rFonts w:ascii="Calibri" w:hAnsi="Calibri"/>
          <w:b/>
          <w:bCs/>
          <w:noProof/>
          <w:lang w:val="en-AU"/>
        </w:rPr>
        <w:t>12</w:t>
      </w:r>
      <w:r w:rsidR="00881F7D">
        <w:rPr>
          <w:rFonts w:ascii="Calibri" w:hAnsi="Calibri"/>
          <w:b/>
          <w:bCs/>
          <w:lang w:val="en-AU"/>
        </w:rPr>
        <w:fldChar w:fldCharType="end"/>
      </w:r>
      <w:r w:rsidRPr="00A25622">
        <w:rPr>
          <w:rFonts w:ascii="Calibri" w:hAnsi="Calibri"/>
          <w:b/>
          <w:lang w:val="en-AU"/>
        </w:rPr>
        <w:tab/>
        <w:t>PRESENTATION OF PAPER</w:t>
      </w:r>
      <w:r w:rsidR="004D4D5D">
        <w:rPr>
          <w:rFonts w:ascii="Calibri" w:hAnsi="Calibri"/>
          <w:b/>
          <w:lang w:val="en-AU"/>
        </w:rPr>
        <w:t>S</w:t>
      </w:r>
    </w:p>
    <w:p w:rsidR="00A25622" w:rsidRPr="00A25622" w:rsidRDefault="00A25622" w:rsidP="00A25622">
      <w:pPr>
        <w:spacing w:before="120"/>
        <w:ind w:left="720"/>
        <w:jc w:val="both"/>
        <w:rPr>
          <w:rFonts w:ascii="Calibri" w:hAnsi="Calibri"/>
          <w:lang w:val="en-AU"/>
        </w:rPr>
      </w:pPr>
      <w:r>
        <w:rPr>
          <w:rFonts w:ascii="Calibri" w:hAnsi="Calibri"/>
          <w:lang w:val="en-AU"/>
        </w:rPr>
        <w:t>Mr Gentleman</w:t>
      </w:r>
      <w:r w:rsidRPr="00A25622">
        <w:rPr>
          <w:rFonts w:ascii="Calibri" w:hAnsi="Calibri"/>
          <w:lang w:val="en-AU"/>
        </w:rPr>
        <w:t xml:space="preserve"> (</w:t>
      </w:r>
      <w:r>
        <w:rPr>
          <w:rFonts w:ascii="Calibri" w:hAnsi="Calibri"/>
          <w:lang w:val="en-AU"/>
        </w:rPr>
        <w:t>Manager of Government Business</w:t>
      </w:r>
      <w:r w:rsidRPr="00A25622">
        <w:rPr>
          <w:rFonts w:ascii="Calibri" w:hAnsi="Calibri"/>
          <w:lang w:val="en-AU"/>
        </w:rPr>
        <w:t>) presented the following paper</w:t>
      </w:r>
      <w:r w:rsidR="004D4D5D">
        <w:rPr>
          <w:rFonts w:ascii="Calibri" w:hAnsi="Calibri"/>
          <w:lang w:val="en-AU"/>
        </w:rPr>
        <w:t>s</w:t>
      </w:r>
      <w:r w:rsidRPr="00A25622">
        <w:rPr>
          <w:rFonts w:ascii="Calibri" w:hAnsi="Calibri"/>
          <w:lang w:val="en-AU"/>
        </w:rPr>
        <w:t>:</w:t>
      </w:r>
    </w:p>
    <w:p w:rsidR="007954DD" w:rsidRPr="006B5DE7" w:rsidRDefault="007954DD" w:rsidP="007954DD">
      <w:pPr>
        <w:pStyle w:val="DPSEntryDetail"/>
      </w:pPr>
      <w:r w:rsidRPr="006B5DE7">
        <w:t>A Step Up for Our Kids—Snapshot Report—A presentation of data covering—1 July 2017 to 31 December 2021.</w:t>
      </w:r>
    </w:p>
    <w:p w:rsidR="007954DD" w:rsidRPr="006B5DE7" w:rsidRDefault="007954DD" w:rsidP="007954DD">
      <w:pPr>
        <w:pStyle w:val="DPSEntryDetail"/>
      </w:pPr>
      <w:r w:rsidRPr="006B5DE7">
        <w:t>ACT Aboriginal and Torres Strait Islander Agreement 2019-2028—ACT Impact Statement 2021—Revised.</w:t>
      </w:r>
    </w:p>
    <w:p w:rsidR="007954DD" w:rsidRPr="006B5DE7" w:rsidRDefault="007954DD" w:rsidP="007954DD">
      <w:pPr>
        <w:pStyle w:val="DPSEntryDetail"/>
      </w:pPr>
      <w:r w:rsidRPr="006B5DE7">
        <w:t>Annual Rep</w:t>
      </w:r>
      <w:r w:rsidR="001F462B">
        <w:t>orts (Government Agencies) Act, p</w:t>
      </w:r>
      <w:r w:rsidRPr="006B5DE7">
        <w:t>ursu</w:t>
      </w:r>
      <w:r w:rsidR="00FA4772">
        <w:t xml:space="preserve">ant to section 13—Annual Report </w:t>
      </w:r>
      <w:r w:rsidRPr="006B5DE7">
        <w:t>2020-2021—Justice a</w:t>
      </w:r>
      <w:r w:rsidR="00E229E8">
        <w:t>nd Community Safety Directorate</w:t>
      </w:r>
      <w:r w:rsidRPr="006B5DE7">
        <w:t>—</w:t>
      </w:r>
      <w:r>
        <w:t>Corrigendum.</w:t>
      </w:r>
    </w:p>
    <w:p w:rsidR="00E229E8" w:rsidRDefault="001F462B" w:rsidP="007954DD">
      <w:pPr>
        <w:pStyle w:val="DPSEntryDetail"/>
      </w:pPr>
      <w:r>
        <w:t>Coroners Act—Report of Coroner, p</w:t>
      </w:r>
      <w:r w:rsidR="007954DD" w:rsidRPr="00514DB3">
        <w:t xml:space="preserve">ursuant to subsection 57(4)—Inquest into the death of Blake Andrew </w:t>
      </w:r>
      <w:proofErr w:type="spellStart"/>
      <w:r w:rsidR="007954DD" w:rsidRPr="00514DB3">
        <w:t>Corney</w:t>
      </w:r>
      <w:proofErr w:type="spellEnd"/>
      <w:r w:rsidR="00514DB3">
        <w:t>—</w:t>
      </w:r>
    </w:p>
    <w:p w:rsidR="00514DB3" w:rsidRPr="00514DB3" w:rsidRDefault="00514DB3" w:rsidP="00B249F6">
      <w:pPr>
        <w:pStyle w:val="DPSEntryDetailIndentLev1"/>
      </w:pPr>
      <w:r>
        <w:t>Report, dated 16 November 2021.</w:t>
      </w:r>
    </w:p>
    <w:p w:rsidR="007954DD" w:rsidRPr="006B5DE7" w:rsidRDefault="007954DD" w:rsidP="00B249F6">
      <w:pPr>
        <w:pStyle w:val="DPSEntryDetailIndentLev1"/>
      </w:pPr>
      <w:r w:rsidRPr="00514DB3">
        <w:t>Government response, dated 5 May 2022.</w:t>
      </w:r>
    </w:p>
    <w:p w:rsidR="007954DD" w:rsidRPr="006B5DE7" w:rsidRDefault="007954DD" w:rsidP="007954DD">
      <w:pPr>
        <w:pStyle w:val="DPSEntryDetail"/>
      </w:pPr>
      <w:r w:rsidRPr="006B5DE7">
        <w:t xml:space="preserve">Freedom of Information </w:t>
      </w:r>
      <w:r>
        <w:t>Act</w:t>
      </w:r>
      <w:r w:rsidRPr="006B5DE7">
        <w:t xml:space="preserve">—Freedom of Information (Accessibility of Government Information) </w:t>
      </w:r>
      <w:r w:rsidR="00AB02C6">
        <w:t>Statement</w:t>
      </w:r>
      <w:r w:rsidRPr="006B5DE7">
        <w:t xml:space="preserve"> 202</w:t>
      </w:r>
      <w:r w:rsidR="00AB02C6">
        <w:t>2</w:t>
      </w:r>
      <w:r w:rsidRPr="006B5DE7">
        <w:t xml:space="preserve"> (No 1)—Notifiable Instrument NI2022-205, dated </w:t>
      </w:r>
      <w:r w:rsidR="00AB02C6">
        <w:t>11</w:t>
      </w:r>
      <w:r w:rsidRPr="006B5DE7">
        <w:t xml:space="preserve"> May 2022.</w:t>
      </w:r>
    </w:p>
    <w:p w:rsidR="007954DD" w:rsidRPr="006B5DE7" w:rsidRDefault="007954DD" w:rsidP="007954DD">
      <w:pPr>
        <w:pStyle w:val="DPSEntryDetail"/>
      </w:pPr>
      <w:r w:rsidRPr="006B5DE7">
        <w:t xml:space="preserve">Inspector of Correctional Services </w:t>
      </w:r>
      <w:r>
        <w:t>Act</w:t>
      </w:r>
      <w:r w:rsidRPr="006B5DE7">
        <w:t>—Review of a Critical Incident by the ACT Inspector of Correctional Services—Hostage taking incident at the Alexander Maconochie Centre on 27 March 2021—</w:t>
      </w:r>
      <w:r>
        <w:t>Government response.</w:t>
      </w:r>
    </w:p>
    <w:p w:rsidR="007954DD" w:rsidRPr="006B5DE7" w:rsidRDefault="007954DD" w:rsidP="00E229E8">
      <w:pPr>
        <w:pStyle w:val="DPSEntryDetail"/>
      </w:pPr>
      <w:r w:rsidRPr="006B5DE7">
        <w:t xml:space="preserve">Our </w:t>
      </w:r>
      <w:proofErr w:type="spellStart"/>
      <w:r w:rsidRPr="006B5DE7">
        <w:t>Booris</w:t>
      </w:r>
      <w:proofErr w:type="spellEnd"/>
      <w:r w:rsidRPr="006B5DE7">
        <w:t>, Our Way—Review,</w:t>
      </w:r>
      <w:r w:rsidR="008337B2">
        <w:t xml:space="preserve"> Six Monthly Update (July 2021 to</w:t>
      </w:r>
      <w:r w:rsidRPr="006B5DE7">
        <w:t xml:space="preserve"> December 2021), dated May 2022.</w:t>
      </w:r>
    </w:p>
    <w:p w:rsidR="0056300C" w:rsidRDefault="007954DD" w:rsidP="007954DD">
      <w:pPr>
        <w:pStyle w:val="DPSEntryDetail"/>
      </w:pPr>
      <w:r w:rsidRPr="006B5DE7">
        <w:t xml:space="preserve">Planning and Development </w:t>
      </w:r>
      <w:r>
        <w:t>Act</w:t>
      </w:r>
      <w:r w:rsidRPr="006B5DE7">
        <w:t>—</w:t>
      </w:r>
    </w:p>
    <w:p w:rsidR="007954DD" w:rsidRPr="006B5DE7" w:rsidRDefault="007954DD" w:rsidP="0056300C">
      <w:pPr>
        <w:pStyle w:val="DPSEntryDetailIndentLev1"/>
      </w:pPr>
      <w:r w:rsidRPr="006B5DE7">
        <w:t>Pursuant to subsection 79(1)—Variations to the Territory Plan together with associated documents—</w:t>
      </w:r>
    </w:p>
    <w:p w:rsidR="007954DD" w:rsidRPr="006B5DE7" w:rsidRDefault="007954DD" w:rsidP="0056300C">
      <w:pPr>
        <w:pStyle w:val="DPSEntryDetailIndentLev2"/>
      </w:pPr>
      <w:r w:rsidRPr="006B5DE7">
        <w:t>No 368—</w:t>
      </w:r>
      <w:r>
        <w:t xml:space="preserve">City and Gateway South </w:t>
      </w:r>
      <w:proofErr w:type="spellStart"/>
      <w:r>
        <w:t>Northbourne</w:t>
      </w:r>
      <w:proofErr w:type="spellEnd"/>
      <w:r>
        <w:t xml:space="preserve"> Avenue Corridor.</w:t>
      </w:r>
    </w:p>
    <w:p w:rsidR="007954DD" w:rsidRPr="006B5DE7" w:rsidRDefault="007954DD" w:rsidP="0056300C">
      <w:pPr>
        <w:pStyle w:val="DPSEntryDetailIndentLev2"/>
      </w:pPr>
      <w:r w:rsidRPr="006B5DE7">
        <w:t>No 369—</w:t>
      </w:r>
      <w:r>
        <w:t>Living Infrastructure in Residential Zones.</w:t>
      </w:r>
    </w:p>
    <w:p w:rsidR="007954DD" w:rsidRPr="006B5DE7" w:rsidRDefault="00664889" w:rsidP="0056300C">
      <w:pPr>
        <w:pStyle w:val="DPSEntryDetailIndentLev1"/>
      </w:pPr>
      <w:r>
        <w:t>Pursuant to subsection 242 (2)—</w:t>
      </w:r>
      <w:r w:rsidR="007954DD" w:rsidRPr="006B5DE7">
        <w:t xml:space="preserve">Statement of Leases granted for </w:t>
      </w:r>
      <w:r w:rsidR="0003350E">
        <w:t>the period</w:t>
      </w:r>
      <w:r>
        <w:t xml:space="preserve"> </w:t>
      </w:r>
      <w:r w:rsidR="007954DD" w:rsidRPr="006B5DE7">
        <w:t>1 January to 31 March 2022.</w:t>
      </w:r>
    </w:p>
    <w:p w:rsidR="007954DD" w:rsidRPr="00FB2D6C" w:rsidRDefault="007954DD" w:rsidP="007954DD">
      <w:pPr>
        <w:pStyle w:val="DPSEntryDetail"/>
        <w:rPr>
          <w:i/>
        </w:rPr>
      </w:pPr>
      <w:r w:rsidRPr="006B5DE7">
        <w:lastRenderedPageBreak/>
        <w:t>Planning, Transport and City Services—Standing Committee—Reports presented—2021—Repo</w:t>
      </w:r>
      <w:r w:rsidR="00FB2D6C">
        <w:t>rt 9—</w:t>
      </w:r>
      <w:r w:rsidR="00FB2D6C" w:rsidRPr="00FB2D6C">
        <w:rPr>
          <w:i/>
        </w:rPr>
        <w:t>Inquiry into the impact of revised speed l</w:t>
      </w:r>
      <w:r w:rsidRPr="00FB2D6C">
        <w:rPr>
          <w:i/>
        </w:rPr>
        <w:t>imits in Civic—Petitions 31</w:t>
      </w:r>
      <w:r w:rsidR="00296423" w:rsidRPr="00FB2D6C">
        <w:rPr>
          <w:i/>
        </w:rPr>
        <w:noBreakHyphen/>
      </w:r>
      <w:r w:rsidRPr="00FB2D6C">
        <w:rPr>
          <w:i/>
        </w:rPr>
        <w:t>21 and 38-21</w:t>
      </w:r>
      <w:r w:rsidRPr="00FB2D6C">
        <w:t>—</w:t>
      </w:r>
      <w:r w:rsidR="00FB2D6C">
        <w:t>Government r</w:t>
      </w:r>
      <w:r w:rsidRPr="00FB2D6C">
        <w:t>esponse.</w:t>
      </w:r>
    </w:p>
    <w:p w:rsidR="00B249F6" w:rsidRPr="00B249F6" w:rsidRDefault="00B249F6" w:rsidP="00B249F6">
      <w:pPr>
        <w:keepNext/>
        <w:keepLines/>
        <w:tabs>
          <w:tab w:val="right" w:pos="339"/>
          <w:tab w:val="left" w:pos="720"/>
        </w:tabs>
        <w:spacing w:before="240"/>
        <w:ind w:left="720" w:hanging="720"/>
        <w:rPr>
          <w:rFonts w:ascii="Calibri" w:hAnsi="Calibri"/>
          <w:b/>
          <w:caps/>
          <w:lang w:val="en-AU"/>
        </w:rPr>
      </w:pPr>
      <w:r w:rsidRPr="00B249F6">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13</w:t>
      </w:r>
      <w:r w:rsidR="004A1499">
        <w:rPr>
          <w:rFonts w:ascii="Calibri" w:hAnsi="Calibri"/>
          <w:b/>
          <w:bCs/>
          <w:lang w:val="en-AU"/>
        </w:rPr>
        <w:fldChar w:fldCharType="end"/>
      </w:r>
      <w:r w:rsidRPr="00B249F6">
        <w:rPr>
          <w:rFonts w:ascii="Calibri" w:hAnsi="Calibri"/>
          <w:b/>
          <w:lang w:val="en-AU"/>
        </w:rPr>
        <w:tab/>
      </w:r>
      <w:r>
        <w:rPr>
          <w:rFonts w:ascii="Calibri" w:hAnsi="Calibri"/>
          <w:b/>
          <w:caps/>
          <w:lang w:val="en-AU"/>
        </w:rPr>
        <w:t>COR</w:t>
      </w:r>
      <w:r w:rsidR="00297551">
        <w:rPr>
          <w:rFonts w:ascii="Calibri" w:hAnsi="Calibri"/>
          <w:b/>
          <w:caps/>
          <w:lang w:val="en-AU"/>
        </w:rPr>
        <w:t>o</w:t>
      </w:r>
      <w:r>
        <w:rPr>
          <w:rFonts w:ascii="Calibri" w:hAnsi="Calibri"/>
          <w:b/>
          <w:caps/>
          <w:lang w:val="en-AU"/>
        </w:rPr>
        <w:t>NERS ACT—REPORT OF CORONER—INQUEST INTO THE DEATH OF BLAKE ANDREW CORNEY—REPORT AND GOVERNMENT RESPONSE—</w:t>
      </w:r>
      <w:r w:rsidRPr="00B249F6">
        <w:rPr>
          <w:rFonts w:ascii="Calibri" w:hAnsi="Calibri"/>
          <w:b/>
          <w:caps/>
          <w:lang w:val="en-AU"/>
        </w:rPr>
        <w:t>PAPER</w:t>
      </w:r>
      <w:r>
        <w:rPr>
          <w:rFonts w:ascii="Calibri" w:hAnsi="Calibri"/>
          <w:b/>
          <w:caps/>
          <w:lang w:val="en-AU"/>
        </w:rPr>
        <w:t>S</w:t>
      </w:r>
      <w:r w:rsidRPr="00B249F6">
        <w:rPr>
          <w:rFonts w:ascii="Calibri" w:hAnsi="Calibri"/>
          <w:b/>
          <w:caps/>
          <w:lang w:val="en-AU"/>
        </w:rPr>
        <w:t xml:space="preserve"> NOTED</w:t>
      </w:r>
    </w:p>
    <w:p w:rsidR="00B249F6" w:rsidRPr="00B249F6" w:rsidRDefault="00B249F6" w:rsidP="00B249F6">
      <w:pPr>
        <w:spacing w:before="120"/>
        <w:ind w:left="720"/>
        <w:rPr>
          <w:rFonts w:ascii="Calibri" w:hAnsi="Calibri"/>
          <w:lang w:val="en-AU"/>
        </w:rPr>
      </w:pPr>
      <w:r w:rsidRPr="00B249F6">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B249F6">
        <w:rPr>
          <w:rFonts w:ascii="Calibri" w:hAnsi="Calibri"/>
          <w:lang w:val="en-AU"/>
        </w:rPr>
        <w:t>:</w:t>
      </w:r>
    </w:p>
    <w:p w:rsidR="00B249F6" w:rsidRDefault="00FB2D6C" w:rsidP="00B249F6">
      <w:pPr>
        <w:pStyle w:val="DPSEntryDetail"/>
      </w:pPr>
      <w:r>
        <w:t>Coroners Act—Report of Coroner, p</w:t>
      </w:r>
      <w:r w:rsidR="00B249F6" w:rsidRPr="00514DB3">
        <w:t xml:space="preserve">ursuant to subsection 57(4)—Inquest into the death of Blake Andrew </w:t>
      </w:r>
      <w:proofErr w:type="spellStart"/>
      <w:r w:rsidR="00B249F6" w:rsidRPr="00514DB3">
        <w:t>Corney</w:t>
      </w:r>
      <w:proofErr w:type="spellEnd"/>
      <w:r w:rsidR="00B249F6">
        <w:t>—</w:t>
      </w:r>
    </w:p>
    <w:p w:rsidR="00B249F6" w:rsidRPr="00514DB3" w:rsidRDefault="00B249F6" w:rsidP="00B249F6">
      <w:pPr>
        <w:pStyle w:val="DPSEntryDetailIndentLev1"/>
      </w:pPr>
      <w:r>
        <w:t>Report, dated 16 November 2021.</w:t>
      </w:r>
    </w:p>
    <w:p w:rsidR="00B249F6" w:rsidRPr="006B5DE7" w:rsidRDefault="00B249F6" w:rsidP="00B249F6">
      <w:pPr>
        <w:pStyle w:val="DPSEntryDetailIndentLev1"/>
      </w:pPr>
      <w:r w:rsidRPr="00514DB3">
        <w:t>Government response, dated 5 May 2022.</w:t>
      </w:r>
    </w:p>
    <w:p w:rsidR="00B249F6" w:rsidRDefault="00B249F6" w:rsidP="00B249F6">
      <w:pPr>
        <w:spacing w:before="120"/>
        <w:ind w:left="720"/>
        <w:rPr>
          <w:rFonts w:ascii="Calibri" w:hAnsi="Calibri"/>
          <w:lang w:val="en-AU"/>
        </w:rPr>
      </w:pPr>
      <w:r w:rsidRPr="00B249F6">
        <w:rPr>
          <w:rFonts w:ascii="Calibri" w:hAnsi="Calibri"/>
          <w:lang w:val="en-AU"/>
        </w:rPr>
        <w:t>Debate ensued.</w:t>
      </w:r>
    </w:p>
    <w:p w:rsidR="009474C7" w:rsidRPr="00B249F6" w:rsidRDefault="009474C7" w:rsidP="00074944">
      <w:pPr>
        <w:spacing w:before="120"/>
        <w:ind w:left="720"/>
        <w:jc w:val="both"/>
        <w:rPr>
          <w:rFonts w:ascii="Calibri" w:hAnsi="Calibri"/>
          <w:lang w:val="en-AU"/>
        </w:rPr>
      </w:pPr>
      <w:r>
        <w:rPr>
          <w:rFonts w:ascii="Calibri" w:hAnsi="Calibri"/>
          <w:lang w:val="en-AU"/>
        </w:rPr>
        <w:t>Mr Steel, by leave, was granted an extension of time.</w:t>
      </w:r>
    </w:p>
    <w:p w:rsidR="00B249F6" w:rsidRPr="00B249F6" w:rsidRDefault="00B249F6" w:rsidP="00B249F6">
      <w:pPr>
        <w:spacing w:before="120"/>
        <w:ind w:left="720"/>
        <w:rPr>
          <w:rFonts w:ascii="Calibri" w:hAnsi="Calibri"/>
          <w:lang w:val="en-AU"/>
        </w:rPr>
      </w:pPr>
      <w:r w:rsidRPr="00B249F6">
        <w:rPr>
          <w:rFonts w:ascii="Calibri" w:hAnsi="Calibri"/>
          <w:lang w:val="en-AU"/>
        </w:rPr>
        <w:t>Question—put and passed.</w:t>
      </w:r>
    </w:p>
    <w:p w:rsidR="004D4D5D" w:rsidRPr="004D4D5D" w:rsidRDefault="004D4D5D" w:rsidP="004D4D5D">
      <w:pPr>
        <w:keepNext/>
        <w:keepLines/>
        <w:tabs>
          <w:tab w:val="right" w:pos="339"/>
          <w:tab w:val="left" w:pos="720"/>
        </w:tabs>
        <w:spacing w:before="240"/>
        <w:ind w:left="720" w:hanging="720"/>
        <w:jc w:val="both"/>
        <w:rPr>
          <w:rFonts w:ascii="Calibri" w:hAnsi="Calibri"/>
          <w:b/>
          <w:lang w:val="en-AU"/>
        </w:rPr>
      </w:pPr>
      <w:r w:rsidRPr="004D4D5D">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14</w:t>
      </w:r>
      <w:r w:rsidR="004A1499">
        <w:rPr>
          <w:rFonts w:ascii="Calibri" w:hAnsi="Calibri"/>
          <w:b/>
          <w:bCs/>
          <w:lang w:val="en-AU"/>
        </w:rPr>
        <w:fldChar w:fldCharType="end"/>
      </w:r>
      <w:r w:rsidRPr="004D4D5D">
        <w:rPr>
          <w:rFonts w:ascii="Calibri" w:hAnsi="Calibri"/>
          <w:b/>
          <w:lang w:val="en-AU"/>
        </w:rPr>
        <w:tab/>
        <w:t>PRESENTATION OF PAPER</w:t>
      </w:r>
      <w:r>
        <w:rPr>
          <w:rFonts w:ascii="Calibri" w:hAnsi="Calibri"/>
          <w:b/>
          <w:lang w:val="en-AU"/>
        </w:rPr>
        <w:t>S</w:t>
      </w:r>
    </w:p>
    <w:p w:rsidR="004D4D5D" w:rsidRPr="004D4D5D" w:rsidRDefault="004D4D5D" w:rsidP="004D4D5D">
      <w:pPr>
        <w:spacing w:before="120"/>
        <w:ind w:left="720"/>
        <w:jc w:val="both"/>
        <w:rPr>
          <w:rFonts w:ascii="Calibri" w:hAnsi="Calibri"/>
          <w:lang w:val="en-AU"/>
        </w:rPr>
      </w:pPr>
      <w:r>
        <w:rPr>
          <w:rFonts w:ascii="Calibri" w:hAnsi="Calibri"/>
          <w:lang w:val="en-AU"/>
        </w:rPr>
        <w:t>Mr Gentleman</w:t>
      </w:r>
      <w:r w:rsidRPr="004D4D5D">
        <w:rPr>
          <w:rFonts w:ascii="Calibri" w:hAnsi="Calibri"/>
          <w:lang w:val="en-AU"/>
        </w:rPr>
        <w:t xml:space="preserve"> (</w:t>
      </w:r>
      <w:r>
        <w:rPr>
          <w:rFonts w:ascii="Calibri" w:hAnsi="Calibri"/>
          <w:lang w:val="en-AU"/>
        </w:rPr>
        <w:t>Manager of Government Business</w:t>
      </w:r>
      <w:r w:rsidRPr="004D4D5D">
        <w:rPr>
          <w:rFonts w:ascii="Calibri" w:hAnsi="Calibri"/>
          <w:lang w:val="en-AU"/>
        </w:rPr>
        <w:t>) presented the following paper</w:t>
      </w:r>
      <w:r>
        <w:rPr>
          <w:rFonts w:ascii="Calibri" w:hAnsi="Calibri"/>
          <w:lang w:val="en-AU"/>
        </w:rPr>
        <w:t>s</w:t>
      </w:r>
      <w:r w:rsidRPr="004D4D5D">
        <w:rPr>
          <w:rFonts w:ascii="Calibri" w:hAnsi="Calibri"/>
          <w:lang w:val="en-AU"/>
        </w:rPr>
        <w:t>:</w:t>
      </w:r>
    </w:p>
    <w:p w:rsidR="0015362B" w:rsidRPr="00A6775B" w:rsidRDefault="0015362B" w:rsidP="00A6775B">
      <w:pPr>
        <w:pStyle w:val="DPSEntryDetail"/>
        <w:rPr>
          <w:b/>
        </w:rPr>
      </w:pPr>
      <w:r w:rsidRPr="00A6775B">
        <w:rPr>
          <w:b/>
        </w:rPr>
        <w:t>Subordinate legislation (including explanatory statements unless otherwise stated)</w:t>
      </w:r>
    </w:p>
    <w:p w:rsidR="005E573F" w:rsidRPr="00A6775B" w:rsidRDefault="005E573F" w:rsidP="00A6775B">
      <w:pPr>
        <w:pStyle w:val="DPSEntryDetail"/>
      </w:pPr>
      <w:r w:rsidRPr="00A6775B">
        <w:t>Gaming Machine Act—Gaming Machine (Authorisation Surrender - Fee Waiver) Determination 2022 (No 1)—Disallowable Instrument DI2022-34 (LR, 28 March 2022).</w:t>
      </w:r>
    </w:p>
    <w:p w:rsidR="005E573F" w:rsidRPr="00A6775B" w:rsidRDefault="005E573F" w:rsidP="00A6775B">
      <w:pPr>
        <w:pStyle w:val="DPSEntryDetail"/>
      </w:pPr>
      <w:r w:rsidRPr="00A6775B">
        <w:t>Legal Aid Act—Legal Aid (Commissioner Law Society Nominee) Appointment 2022—Disallowable Instrument DI2022-30 (LR, 25 March 2022).</w:t>
      </w:r>
    </w:p>
    <w:p w:rsidR="005E573F" w:rsidRPr="00A6775B" w:rsidRDefault="005E573F" w:rsidP="00A6775B">
      <w:pPr>
        <w:pStyle w:val="DPSEntryDetail"/>
      </w:pPr>
      <w:r w:rsidRPr="00A6775B">
        <w:t>Liquor Regulation 2010—Liquor (COVID-19 Emergency Response—Licence Fee Waiver) Declaration 2022 (No 1)—Disallowable Instrument DI2022-36 (LR, 31 March 2022).</w:t>
      </w:r>
    </w:p>
    <w:p w:rsidR="005E573F" w:rsidRPr="00A6775B" w:rsidRDefault="005E573F" w:rsidP="00A6775B">
      <w:pPr>
        <w:pStyle w:val="DPSEntryDetail"/>
      </w:pPr>
      <w:r w:rsidRPr="00A6775B">
        <w:t>Official Visitor Act—Official Visitor (Disability Services) Appointment 2022 (No 1)—Disallowable Instrument DI2022-29 (LR, 24 March 2022).</w:t>
      </w:r>
    </w:p>
    <w:p w:rsidR="005E573F" w:rsidRPr="00A6775B" w:rsidRDefault="005E573F" w:rsidP="00A6775B">
      <w:pPr>
        <w:pStyle w:val="DPSEntryDetail"/>
      </w:pPr>
      <w:r w:rsidRPr="00A6775B">
        <w:t>Public Health Act—Public Health (Fees) Determination 2022 (No 1)—Disallowable Instrument DI2022-35 (LR, 27 March 2022).</w:t>
      </w:r>
    </w:p>
    <w:p w:rsidR="005E573F" w:rsidRPr="00A6775B" w:rsidRDefault="005E573F" w:rsidP="00A6775B">
      <w:pPr>
        <w:pStyle w:val="DPSEntryDetail"/>
      </w:pPr>
      <w:r w:rsidRPr="00A6775B">
        <w:t>Road Transport (General) Act—</w:t>
      </w:r>
    </w:p>
    <w:p w:rsidR="005E573F" w:rsidRDefault="005E573F" w:rsidP="00A6775B">
      <w:pPr>
        <w:pStyle w:val="DPSEntryDetailIndentLev1"/>
      </w:pPr>
      <w:r w:rsidRPr="007F3EAB">
        <w:t>Road Transport (General) (COVID-19 Emergency Response) Application Order 2022 (No 2)—Disallowable Instrument DI2022-37 (LR, 31 March 2022).</w:t>
      </w:r>
    </w:p>
    <w:p w:rsidR="005E573F" w:rsidRPr="007F3EAB" w:rsidRDefault="005E573F" w:rsidP="00A6775B">
      <w:pPr>
        <w:pStyle w:val="DPSEntryDetailIndentLev1"/>
      </w:pPr>
      <w:r w:rsidRPr="007F3EAB">
        <w:t>Road Transport (General) Application of Road Transport Legislation Declaration 2022 (No 4)—Disallowable Instrument DI2022-33 (LR, 28 March 2022).</w:t>
      </w:r>
    </w:p>
    <w:p w:rsidR="005E573F" w:rsidRPr="007F3EAB" w:rsidRDefault="005E573F" w:rsidP="00A6775B">
      <w:pPr>
        <w:pStyle w:val="DPSEntryDetail"/>
      </w:pPr>
      <w:r>
        <w:t>Taxation Administration Act—</w:t>
      </w:r>
      <w:r w:rsidRPr="007F3EAB">
        <w:t>Taxation Administration (Amounts Payable—Utilities (Network Facilities Tax)) Determination 2022—Disallowable Instrument DI2022-32 (LR,</w:t>
      </w:r>
      <w:r w:rsidR="00A6775B">
        <w:t> </w:t>
      </w:r>
      <w:r w:rsidRPr="007F3EAB">
        <w:t>24 March 2022).</w:t>
      </w:r>
    </w:p>
    <w:p w:rsidR="005E573F" w:rsidRDefault="005E573F" w:rsidP="00A6775B">
      <w:pPr>
        <w:pStyle w:val="DPSEntryDetail"/>
      </w:pPr>
      <w:r>
        <w:t>Workers Compensation Act—</w:t>
      </w:r>
      <w:r w:rsidRPr="007F3EAB">
        <w:t>Workers Compensation Amendment Regulation 2022 (No</w:t>
      </w:r>
      <w:r w:rsidR="00A6775B">
        <w:t> </w:t>
      </w:r>
      <w:r w:rsidRPr="007F3EAB">
        <w:t>1)—Subordinate Law SL2022-4 (LR, 31 March 2022).</w:t>
      </w:r>
    </w:p>
    <w:p w:rsidR="00597DCF" w:rsidRPr="00597DCF" w:rsidRDefault="00597DCF" w:rsidP="00597DCF">
      <w:pPr>
        <w:keepNext/>
        <w:keepLines/>
        <w:tabs>
          <w:tab w:val="right" w:pos="339"/>
          <w:tab w:val="left" w:pos="720"/>
        </w:tabs>
        <w:spacing w:before="240"/>
        <w:ind w:left="720" w:hanging="720"/>
        <w:rPr>
          <w:rFonts w:ascii="Calibri" w:hAnsi="Calibri"/>
          <w:b/>
          <w:lang w:val="en-AU"/>
        </w:rPr>
      </w:pPr>
      <w:r w:rsidRPr="00597DCF">
        <w:rPr>
          <w:rFonts w:ascii="Calibri" w:hAnsi="Calibri"/>
          <w:b/>
          <w:lang w:val="en-AU"/>
        </w:rPr>
        <w:lastRenderedPageBreak/>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15</w:t>
      </w:r>
      <w:r w:rsidR="004A1499">
        <w:rPr>
          <w:rFonts w:ascii="Calibri" w:hAnsi="Calibri"/>
          <w:b/>
          <w:bCs/>
          <w:lang w:val="en-AU"/>
        </w:rPr>
        <w:fldChar w:fldCharType="end"/>
      </w:r>
      <w:r w:rsidRPr="00597DCF">
        <w:rPr>
          <w:rFonts w:ascii="Calibri" w:hAnsi="Calibri"/>
          <w:b/>
          <w:lang w:val="en-AU"/>
        </w:rPr>
        <w:tab/>
      </w:r>
      <w:r>
        <w:rPr>
          <w:rFonts w:ascii="Calibri" w:hAnsi="Calibri"/>
          <w:b/>
          <w:lang w:val="en-AU"/>
        </w:rPr>
        <w:t>A STEP UP FOR OUR KIDS—SNAPSHOT REPORT—A PRESENTATION OF DATA COVERING 1 JULY 2017 TO 31 DECEMBER 2021—OUR BOORIS, OUR WAY—REVIEW—SIX MONTHLY UPDATE</w:t>
      </w:r>
      <w:r w:rsidRPr="00597DCF">
        <w:rPr>
          <w:rFonts w:ascii="Calibri" w:hAnsi="Calibri"/>
          <w:b/>
          <w:lang w:val="en-AU"/>
        </w:rPr>
        <w:t>—MOTION TO TAKE NOTE OF PAPER</w:t>
      </w:r>
      <w:r>
        <w:rPr>
          <w:rFonts w:ascii="Calibri" w:hAnsi="Calibri"/>
          <w:b/>
          <w:lang w:val="en-AU"/>
        </w:rPr>
        <w:t>s</w:t>
      </w:r>
    </w:p>
    <w:p w:rsidR="00597DCF" w:rsidRPr="00597DCF" w:rsidRDefault="00597DCF" w:rsidP="00597DCF">
      <w:pPr>
        <w:spacing w:before="120"/>
        <w:ind w:left="720"/>
        <w:rPr>
          <w:rFonts w:ascii="Calibri" w:hAnsi="Calibri"/>
          <w:lang w:val="en-AU"/>
        </w:rPr>
      </w:pPr>
      <w:r w:rsidRPr="00597DCF">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597DCF">
        <w:rPr>
          <w:rFonts w:ascii="Calibri" w:hAnsi="Calibri"/>
          <w:lang w:val="en-AU"/>
        </w:rPr>
        <w:t>:</w:t>
      </w:r>
    </w:p>
    <w:p w:rsidR="00597DCF" w:rsidRPr="006B5DE7" w:rsidRDefault="00597DCF" w:rsidP="00597DCF">
      <w:pPr>
        <w:pStyle w:val="DPSEntryDetail"/>
      </w:pPr>
      <w:r w:rsidRPr="006B5DE7">
        <w:t>A Step Up for Our Kids—Snapshot Report—A presentation of data covering—1 July 2017 to 31 December 2021.</w:t>
      </w:r>
    </w:p>
    <w:p w:rsidR="00597DCF" w:rsidRPr="006B5DE7" w:rsidRDefault="00597DCF" w:rsidP="00597DCF">
      <w:pPr>
        <w:pStyle w:val="DPSEntryDetail"/>
      </w:pPr>
      <w:r w:rsidRPr="006B5DE7">
        <w:t xml:space="preserve">Our </w:t>
      </w:r>
      <w:proofErr w:type="spellStart"/>
      <w:r w:rsidRPr="006B5DE7">
        <w:t>Booris</w:t>
      </w:r>
      <w:proofErr w:type="spellEnd"/>
      <w:r w:rsidRPr="006B5DE7">
        <w:t>, Our Way—Review</w:t>
      </w:r>
      <w:r>
        <w:t>—</w:t>
      </w:r>
      <w:r w:rsidRPr="006B5DE7">
        <w:t>Six Monthly Update (July 2021 - December 2021), dated May 2022.</w:t>
      </w:r>
    </w:p>
    <w:p w:rsidR="0056106B" w:rsidRDefault="0056106B" w:rsidP="00597DCF">
      <w:pPr>
        <w:spacing w:before="120"/>
        <w:ind w:left="720"/>
        <w:rPr>
          <w:rFonts w:ascii="Calibri" w:hAnsi="Calibri"/>
          <w:lang w:val="en-AU"/>
        </w:rPr>
      </w:pPr>
      <w:r>
        <w:rPr>
          <w:rFonts w:ascii="Calibri" w:hAnsi="Calibri"/>
          <w:lang w:val="en-AU"/>
        </w:rPr>
        <w:t>Debate ensued.</w:t>
      </w:r>
    </w:p>
    <w:p w:rsidR="00BD7606" w:rsidRDefault="00BD7606" w:rsidP="00BD7606">
      <w:pPr>
        <w:spacing w:before="120"/>
        <w:ind w:left="720"/>
        <w:jc w:val="both"/>
        <w:rPr>
          <w:rFonts w:ascii="Calibri" w:hAnsi="Calibri"/>
        </w:rPr>
      </w:pPr>
      <w:proofErr w:type="spellStart"/>
      <w:r>
        <w:rPr>
          <w:rFonts w:ascii="Calibri" w:hAnsi="Calibri"/>
        </w:rPr>
        <w:t>Ms</w:t>
      </w:r>
      <w:proofErr w:type="spellEnd"/>
      <w:r>
        <w:rPr>
          <w:rFonts w:ascii="Calibri" w:hAnsi="Calibri"/>
        </w:rPr>
        <w:t xml:space="preserve"> Stephen-Smith (Minister for Health), by leave, was granted an extension of time.</w:t>
      </w:r>
    </w:p>
    <w:p w:rsidR="00597DCF" w:rsidRDefault="00597DCF" w:rsidP="00597DCF">
      <w:pPr>
        <w:spacing w:before="120"/>
        <w:ind w:left="720"/>
        <w:rPr>
          <w:rFonts w:ascii="Calibri" w:hAnsi="Calibri"/>
          <w:lang w:val="en-AU"/>
        </w:rPr>
      </w:pPr>
      <w:r w:rsidRPr="00597DCF">
        <w:rPr>
          <w:rFonts w:ascii="Calibri" w:hAnsi="Calibri"/>
          <w:lang w:val="en-AU"/>
        </w:rPr>
        <w:t>Debate adjourned (</w:t>
      </w:r>
      <w:r>
        <w:rPr>
          <w:rFonts w:ascii="Calibri" w:hAnsi="Calibri"/>
          <w:lang w:val="en-AU"/>
        </w:rPr>
        <w:t xml:space="preserve">Ms </w:t>
      </w:r>
      <w:proofErr w:type="spellStart"/>
      <w:r>
        <w:rPr>
          <w:rFonts w:ascii="Calibri" w:hAnsi="Calibri"/>
          <w:lang w:val="en-AU"/>
        </w:rPr>
        <w:t>Lawder</w:t>
      </w:r>
      <w:proofErr w:type="spellEnd"/>
      <w:r w:rsidRPr="00597DCF">
        <w:rPr>
          <w:rFonts w:ascii="Calibri" w:hAnsi="Calibri"/>
          <w:lang w:val="en-AU"/>
        </w:rPr>
        <w:t>) and the resumption of the debate made an order of the day for the next sitting.</w:t>
      </w:r>
    </w:p>
    <w:p w:rsidR="00DC6705" w:rsidRPr="0056300C" w:rsidRDefault="00DC6705" w:rsidP="00DC6705">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16</w:t>
      </w:r>
      <w:r w:rsidR="004A1499">
        <w:rPr>
          <w:rFonts w:ascii="Calibri" w:hAnsi="Calibri"/>
          <w:b/>
          <w:bCs/>
          <w:lang w:val="en-AU"/>
        </w:rPr>
        <w:fldChar w:fldCharType="end"/>
      </w:r>
      <w:r w:rsidRPr="0056300C">
        <w:rPr>
          <w:rFonts w:ascii="Calibri" w:hAnsi="Calibri"/>
          <w:b/>
          <w:lang w:val="en-AU"/>
        </w:rPr>
        <w:tab/>
      </w:r>
      <w:r w:rsidRPr="00467D9A">
        <w:rPr>
          <w:rFonts w:ascii="Calibri" w:hAnsi="Calibri"/>
          <w:b/>
          <w:lang w:val="en-AU"/>
        </w:rPr>
        <w:t>PLANNING, TRANSPORT AND CITY SERVICES—STANDING COMMITTEE</w:t>
      </w:r>
      <w:r w:rsidR="00FB2D6C">
        <w:rPr>
          <w:rFonts w:ascii="Calibri" w:hAnsi="Calibri"/>
          <w:b/>
          <w:lang w:val="en-AU"/>
        </w:rPr>
        <w:t>—</w:t>
      </w:r>
      <w:r w:rsidRPr="00467D9A">
        <w:rPr>
          <w:rFonts w:ascii="Calibri" w:hAnsi="Calibri"/>
          <w:b/>
          <w:lang w:val="en-AU"/>
        </w:rPr>
        <w:t>REPORT 9—INQUIRY INTO THE IMPACT OF REVISED SPEED LIMI</w:t>
      </w:r>
      <w:r w:rsidR="00FB2D6C">
        <w:rPr>
          <w:rFonts w:ascii="Calibri" w:hAnsi="Calibri"/>
          <w:b/>
          <w:lang w:val="en-AU"/>
        </w:rPr>
        <w:t>TS IN CIVIC—PETITIONS 31-21 AND </w:t>
      </w:r>
      <w:r w:rsidRPr="00467D9A">
        <w:rPr>
          <w:rFonts w:ascii="Calibri" w:hAnsi="Calibri"/>
          <w:b/>
          <w:lang w:val="en-AU"/>
        </w:rPr>
        <w:t>38-21—GOVERNMENT RESPONSE</w:t>
      </w:r>
      <w:r w:rsidRPr="0056300C">
        <w:rPr>
          <w:rFonts w:ascii="Calibri" w:hAnsi="Calibri"/>
          <w:b/>
          <w:lang w:val="en-AU"/>
        </w:rPr>
        <w:t>—MOTION TO TAKE NOTE OF PAPER</w:t>
      </w:r>
    </w:p>
    <w:p w:rsidR="00DC6705" w:rsidRPr="0056300C" w:rsidRDefault="00DC6705" w:rsidP="00DC6705">
      <w:pPr>
        <w:spacing w:before="120"/>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DC6705" w:rsidRPr="006B5DE7" w:rsidRDefault="00DC6705" w:rsidP="00DC6705">
      <w:pPr>
        <w:pStyle w:val="DPSEntryDetail"/>
      </w:pPr>
      <w:r w:rsidRPr="006B5DE7">
        <w:t>Planning, Transport and City Services—Standing Committee—Report 9—Inquiry into the Impact of Revised Speed Limits in Civic—Petitions 31</w:t>
      </w:r>
      <w:r w:rsidR="00296423">
        <w:noBreakHyphen/>
      </w:r>
      <w:r w:rsidRPr="006B5DE7">
        <w:t>21 and 38-21—</w:t>
      </w:r>
      <w:r>
        <w:t>Government Response.</w:t>
      </w:r>
    </w:p>
    <w:p w:rsidR="00DC6705" w:rsidRDefault="00DC6705" w:rsidP="00DC6705">
      <w:pPr>
        <w:spacing w:before="120"/>
        <w:ind w:left="720"/>
        <w:rPr>
          <w:rFonts w:ascii="Calibri" w:hAnsi="Calibri"/>
          <w:lang w:val="en-AU"/>
        </w:rPr>
      </w:pPr>
      <w:r w:rsidRPr="0056300C">
        <w:rPr>
          <w:rFonts w:ascii="Calibri" w:hAnsi="Calibri"/>
          <w:lang w:val="en-AU"/>
        </w:rPr>
        <w:t>Debate adjourned (</w:t>
      </w:r>
      <w:r>
        <w:rPr>
          <w:rFonts w:ascii="Calibri" w:hAnsi="Calibri"/>
          <w:lang w:val="en-AU"/>
        </w:rPr>
        <w:t>Mr Braddock</w:t>
      </w:r>
      <w:r w:rsidRPr="0056300C">
        <w:rPr>
          <w:rFonts w:ascii="Calibri" w:hAnsi="Calibri"/>
          <w:lang w:val="en-AU"/>
        </w:rPr>
        <w:t>) and the resumption of the debate made an order of the day for the next sitting.</w:t>
      </w:r>
    </w:p>
    <w:p w:rsidR="0092127E" w:rsidRPr="0056300C" w:rsidRDefault="0092127E" w:rsidP="0092127E">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17</w:t>
      </w:r>
      <w:r w:rsidR="004A1499">
        <w:rPr>
          <w:rFonts w:ascii="Calibri" w:hAnsi="Calibri"/>
          <w:b/>
          <w:bCs/>
          <w:lang w:val="en-AU"/>
        </w:rPr>
        <w:fldChar w:fldCharType="end"/>
      </w:r>
      <w:r w:rsidRPr="0056300C">
        <w:rPr>
          <w:rFonts w:ascii="Calibri" w:hAnsi="Calibri"/>
          <w:b/>
          <w:lang w:val="en-AU"/>
        </w:rPr>
        <w:tab/>
      </w:r>
      <w:r>
        <w:rPr>
          <w:rFonts w:ascii="Calibri" w:hAnsi="Calibri"/>
          <w:b/>
          <w:lang w:val="en-AU"/>
        </w:rPr>
        <w:t>PLANNING AND DEVELOPMENT ACT—</w:t>
      </w:r>
      <w:r w:rsidR="00FB2D6C">
        <w:rPr>
          <w:rFonts w:ascii="Calibri" w:hAnsi="Calibri"/>
          <w:b/>
          <w:lang w:val="en-AU"/>
        </w:rPr>
        <w:t>VARIATION</w:t>
      </w:r>
      <w:r w:rsidRPr="00812DA8">
        <w:rPr>
          <w:rFonts w:ascii="Calibri" w:hAnsi="Calibri"/>
          <w:b/>
          <w:lang w:val="en-AU"/>
        </w:rPr>
        <w:t xml:space="preserve"> TO THE TERRITORY PLAN NO 36</w:t>
      </w:r>
      <w:r>
        <w:rPr>
          <w:rFonts w:ascii="Calibri" w:hAnsi="Calibri"/>
          <w:b/>
          <w:lang w:val="en-AU"/>
        </w:rPr>
        <w:t>9</w:t>
      </w:r>
      <w:r w:rsidRPr="00812DA8">
        <w:rPr>
          <w:rFonts w:ascii="Calibri" w:hAnsi="Calibri"/>
          <w:b/>
          <w:lang w:val="en-AU"/>
        </w:rPr>
        <w:t>—</w:t>
      </w:r>
      <w:r>
        <w:rPr>
          <w:rFonts w:ascii="Calibri" w:hAnsi="Calibri"/>
          <w:b/>
          <w:lang w:val="en-AU"/>
        </w:rPr>
        <w:t>LIVING INFRASTRUCTURE IN RESIDENTIAL ZONES</w:t>
      </w:r>
      <w:r w:rsidRPr="0056300C">
        <w:rPr>
          <w:rFonts w:ascii="Calibri" w:hAnsi="Calibri"/>
          <w:b/>
          <w:lang w:val="en-AU"/>
        </w:rPr>
        <w:t>—MOTION TO TAKE NOTE OF PAPER</w:t>
      </w:r>
    </w:p>
    <w:p w:rsidR="0092127E" w:rsidRPr="0056300C" w:rsidRDefault="0092127E" w:rsidP="0092127E">
      <w:pPr>
        <w:spacing w:before="120"/>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92127E" w:rsidRPr="006B5DE7" w:rsidRDefault="0092127E" w:rsidP="0092127E">
      <w:pPr>
        <w:pStyle w:val="DPSEntryDetail"/>
      </w:pPr>
      <w:r w:rsidRPr="006B5DE7">
        <w:t xml:space="preserve">Planning and Development </w:t>
      </w:r>
      <w:r>
        <w:t>Act</w:t>
      </w:r>
      <w:r w:rsidR="00FB2D6C">
        <w:t>, p</w:t>
      </w:r>
      <w:r w:rsidRPr="006B5DE7">
        <w:t>ursuant to subsection 79(1)—Variation to the Territory Plan No 369—</w:t>
      </w:r>
      <w:r>
        <w:t>Living Infrastructure in Residential Zones.</w:t>
      </w:r>
    </w:p>
    <w:p w:rsidR="0092127E" w:rsidRPr="006B5DE7" w:rsidRDefault="0092127E" w:rsidP="0092127E">
      <w:pPr>
        <w:pStyle w:val="DPSEntryDetail"/>
      </w:pPr>
      <w:r>
        <w:t>Debate ensued.</w:t>
      </w:r>
    </w:p>
    <w:p w:rsidR="0092127E" w:rsidRPr="0056300C" w:rsidRDefault="0092127E" w:rsidP="0092127E">
      <w:pPr>
        <w:spacing w:before="120"/>
        <w:ind w:left="720"/>
        <w:rPr>
          <w:rFonts w:ascii="Calibri" w:hAnsi="Calibri"/>
          <w:lang w:val="en-AU"/>
        </w:rPr>
      </w:pPr>
      <w:r w:rsidRPr="0056300C">
        <w:rPr>
          <w:rFonts w:ascii="Calibri" w:hAnsi="Calibri"/>
          <w:lang w:val="en-AU"/>
        </w:rPr>
        <w:t>Debate adjourned (</w:t>
      </w:r>
      <w:r>
        <w:rPr>
          <w:rFonts w:ascii="Calibri" w:hAnsi="Calibri"/>
          <w:lang w:val="en-AU"/>
        </w:rPr>
        <w:t xml:space="preserve">Ms </w:t>
      </w:r>
      <w:proofErr w:type="spellStart"/>
      <w:r>
        <w:rPr>
          <w:rFonts w:ascii="Calibri" w:hAnsi="Calibri"/>
          <w:lang w:val="en-AU"/>
        </w:rPr>
        <w:t>Lawder</w:t>
      </w:r>
      <w:proofErr w:type="spellEnd"/>
      <w:r w:rsidRPr="0056300C">
        <w:rPr>
          <w:rFonts w:ascii="Calibri" w:hAnsi="Calibri"/>
          <w:lang w:val="en-AU"/>
        </w:rPr>
        <w:t>) and the resumption of the debate made an order of the day for the next sitting.</w:t>
      </w:r>
    </w:p>
    <w:p w:rsidR="00DB1587" w:rsidRPr="0056300C" w:rsidRDefault="00DB1587" w:rsidP="00DB1587">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18</w:t>
      </w:r>
      <w:r w:rsidR="004A1499">
        <w:rPr>
          <w:rFonts w:ascii="Calibri" w:hAnsi="Calibri"/>
          <w:b/>
          <w:bCs/>
          <w:lang w:val="en-AU"/>
        </w:rPr>
        <w:fldChar w:fldCharType="end"/>
      </w:r>
      <w:r w:rsidRPr="0056300C">
        <w:rPr>
          <w:rFonts w:ascii="Calibri" w:hAnsi="Calibri"/>
          <w:b/>
          <w:lang w:val="en-AU"/>
        </w:rPr>
        <w:tab/>
      </w:r>
      <w:r>
        <w:rPr>
          <w:rFonts w:ascii="Calibri" w:hAnsi="Calibri"/>
          <w:b/>
          <w:lang w:val="en-AU"/>
        </w:rPr>
        <w:t>FREEDOM OF INFORMATION ACT—</w:t>
      </w:r>
      <w:r w:rsidRPr="00812DA8">
        <w:rPr>
          <w:rFonts w:ascii="Calibri" w:hAnsi="Calibri"/>
          <w:b/>
          <w:lang w:val="en-AU"/>
        </w:rPr>
        <w:t xml:space="preserve">FREEDOM OF INFORMATION (ACCESSIBILITY OF GOVERNMENT INFORMATION) </w:t>
      </w:r>
      <w:r w:rsidR="00FE04EB">
        <w:rPr>
          <w:rFonts w:ascii="Calibri" w:hAnsi="Calibri"/>
          <w:b/>
          <w:lang w:val="en-AU"/>
        </w:rPr>
        <w:t>STATEMENT</w:t>
      </w:r>
      <w:r w:rsidRPr="00812DA8">
        <w:rPr>
          <w:rFonts w:ascii="Calibri" w:hAnsi="Calibri"/>
          <w:b/>
          <w:lang w:val="en-AU"/>
        </w:rPr>
        <w:t xml:space="preserve"> 202</w:t>
      </w:r>
      <w:r w:rsidR="00FE04EB">
        <w:rPr>
          <w:rFonts w:ascii="Calibri" w:hAnsi="Calibri"/>
          <w:b/>
          <w:lang w:val="en-AU"/>
        </w:rPr>
        <w:t>2</w:t>
      </w:r>
      <w:r w:rsidRPr="00812DA8">
        <w:rPr>
          <w:rFonts w:ascii="Calibri" w:hAnsi="Calibri"/>
          <w:b/>
          <w:lang w:val="en-AU"/>
        </w:rPr>
        <w:t xml:space="preserve"> (NO 1)—NOTIFIABLE INSTRUMENT NI2022-205</w:t>
      </w:r>
      <w:r w:rsidRPr="0056300C">
        <w:rPr>
          <w:rFonts w:ascii="Calibri" w:hAnsi="Calibri"/>
          <w:b/>
          <w:lang w:val="en-AU"/>
        </w:rPr>
        <w:t>—MOTION TO TAKE NOTE OF PAPER</w:t>
      </w:r>
    </w:p>
    <w:p w:rsidR="00DB1587" w:rsidRPr="0056300C" w:rsidRDefault="00DB1587" w:rsidP="0038104A">
      <w:pPr>
        <w:pStyle w:val="DPSEntryDetail"/>
      </w:pPr>
      <w:r w:rsidRPr="0056300C">
        <w:t>Mr Gentleman (Manager of Government Business), pursuant to standing order 211, moved—That the Assembly take note of the following paper:</w:t>
      </w:r>
    </w:p>
    <w:p w:rsidR="00C24DCD" w:rsidRPr="006B5DE7" w:rsidRDefault="00C24DCD" w:rsidP="004C39DF">
      <w:pPr>
        <w:pStyle w:val="DPSEntryDetail"/>
        <w:spacing w:before="106"/>
      </w:pPr>
      <w:r w:rsidRPr="006B5DE7">
        <w:lastRenderedPageBreak/>
        <w:t xml:space="preserve">Freedom of Information </w:t>
      </w:r>
      <w:r>
        <w:t>Act</w:t>
      </w:r>
      <w:r w:rsidRPr="006B5DE7">
        <w:t xml:space="preserve">—Freedom of Information (Accessibility of Government Information) </w:t>
      </w:r>
      <w:r>
        <w:t>Statement</w:t>
      </w:r>
      <w:r w:rsidRPr="006B5DE7">
        <w:t xml:space="preserve"> 202</w:t>
      </w:r>
      <w:r>
        <w:t>2</w:t>
      </w:r>
      <w:r w:rsidRPr="006B5DE7">
        <w:t xml:space="preserve"> (No 1)—Notifiable Instrument NI2022-205, dated </w:t>
      </w:r>
      <w:r>
        <w:t>11</w:t>
      </w:r>
      <w:r w:rsidRPr="006B5DE7">
        <w:t xml:space="preserve"> May 2022.</w:t>
      </w:r>
    </w:p>
    <w:p w:rsidR="00DB1587" w:rsidRPr="0056300C" w:rsidRDefault="00DB1587" w:rsidP="004C39DF">
      <w:pPr>
        <w:spacing w:before="106"/>
        <w:ind w:left="720"/>
        <w:rPr>
          <w:rFonts w:ascii="Calibri" w:hAnsi="Calibri"/>
          <w:lang w:val="en-AU"/>
        </w:rPr>
      </w:pPr>
      <w:r w:rsidRPr="0056300C">
        <w:rPr>
          <w:rFonts w:ascii="Calibri" w:hAnsi="Calibri"/>
          <w:lang w:val="en-AU"/>
        </w:rPr>
        <w:t>Debate adjourned (</w:t>
      </w:r>
      <w:r>
        <w:rPr>
          <w:rFonts w:ascii="Calibri" w:hAnsi="Calibri"/>
          <w:lang w:val="en-AU"/>
        </w:rPr>
        <w:t xml:space="preserve">Ms </w:t>
      </w:r>
      <w:proofErr w:type="spellStart"/>
      <w:r>
        <w:rPr>
          <w:rFonts w:ascii="Calibri" w:hAnsi="Calibri"/>
          <w:lang w:val="en-AU"/>
        </w:rPr>
        <w:t>Lawder</w:t>
      </w:r>
      <w:proofErr w:type="spellEnd"/>
      <w:r w:rsidRPr="0056300C">
        <w:rPr>
          <w:rFonts w:ascii="Calibri" w:hAnsi="Calibri"/>
          <w:lang w:val="en-AU"/>
        </w:rPr>
        <w:t>) and the resumption of the debate made an order of the day for the next sitting.</w:t>
      </w:r>
    </w:p>
    <w:p w:rsidR="002E4617" w:rsidRPr="0056300C" w:rsidRDefault="004A1499" w:rsidP="002E4617">
      <w:pPr>
        <w:keepNext/>
        <w:keepLines/>
        <w:tabs>
          <w:tab w:val="right" w:pos="339"/>
          <w:tab w:val="left" w:pos="720"/>
        </w:tabs>
        <w:spacing w:before="240"/>
        <w:ind w:left="720" w:hanging="720"/>
        <w:rPr>
          <w:rFonts w:ascii="Calibri" w:hAnsi="Calibri"/>
          <w:b/>
          <w:lang w:val="en-AU"/>
        </w:rPr>
      </w:pP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DF7FAE">
        <w:rPr>
          <w:rFonts w:ascii="Calibri" w:hAnsi="Calibri"/>
          <w:b/>
          <w:bCs/>
          <w:noProof/>
          <w:lang w:val="en-AU"/>
        </w:rPr>
        <w:t>19</w:t>
      </w:r>
      <w:r>
        <w:rPr>
          <w:rFonts w:ascii="Calibri" w:hAnsi="Calibri"/>
          <w:b/>
          <w:bCs/>
          <w:lang w:val="en-AU"/>
        </w:rPr>
        <w:fldChar w:fldCharType="end"/>
      </w:r>
      <w:r w:rsidR="002E4617" w:rsidRPr="0056300C">
        <w:rPr>
          <w:rFonts w:ascii="Calibri" w:hAnsi="Calibri"/>
          <w:b/>
          <w:lang w:val="en-AU"/>
        </w:rPr>
        <w:tab/>
      </w:r>
      <w:r w:rsidR="002E4617">
        <w:rPr>
          <w:rFonts w:ascii="Calibri" w:hAnsi="Calibri"/>
          <w:b/>
          <w:lang w:val="en-AU"/>
        </w:rPr>
        <w:tab/>
        <w:t>PLANNING AND DEVELOPMENT ACT—</w:t>
      </w:r>
      <w:r w:rsidR="0038104A">
        <w:rPr>
          <w:rFonts w:ascii="Calibri" w:hAnsi="Calibri"/>
          <w:b/>
          <w:lang w:val="en-AU"/>
        </w:rPr>
        <w:t>STATEMENT OF LEASES GRANTED</w:t>
      </w:r>
      <w:r w:rsidR="002E4617">
        <w:rPr>
          <w:rFonts w:ascii="Calibri" w:hAnsi="Calibri"/>
          <w:b/>
          <w:lang w:val="en-AU"/>
        </w:rPr>
        <w:t>—1 JANUARY TO 31 MARCH 2022</w:t>
      </w:r>
      <w:r w:rsidR="002E4617" w:rsidRPr="0056300C">
        <w:rPr>
          <w:rFonts w:ascii="Calibri" w:hAnsi="Calibri"/>
          <w:b/>
          <w:lang w:val="en-AU"/>
        </w:rPr>
        <w:t>—MOTION TO TAKE NOTE OF PAPER</w:t>
      </w:r>
    </w:p>
    <w:p w:rsidR="002E4617" w:rsidRPr="0056300C" w:rsidRDefault="002E4617" w:rsidP="004C39DF">
      <w:pPr>
        <w:spacing w:before="106"/>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2E4617" w:rsidRPr="006B5DE7" w:rsidRDefault="002E4617" w:rsidP="004C39DF">
      <w:pPr>
        <w:pStyle w:val="DPSEntryDetail"/>
        <w:spacing w:before="106"/>
      </w:pPr>
      <w:r w:rsidRPr="006B5DE7">
        <w:t xml:space="preserve">Planning and Development </w:t>
      </w:r>
      <w:r>
        <w:t>Act</w:t>
      </w:r>
      <w:r w:rsidR="0038104A">
        <w:t>, pursuant to subsection 242 (2)—</w:t>
      </w:r>
      <w:r w:rsidR="0038104A" w:rsidRPr="006B5DE7">
        <w:t xml:space="preserve">Statement of Leases granted for </w:t>
      </w:r>
      <w:r w:rsidR="0038104A">
        <w:t xml:space="preserve">the period </w:t>
      </w:r>
      <w:r w:rsidR="0038104A" w:rsidRPr="006B5DE7">
        <w:t>1 January to 31 March 2022</w:t>
      </w:r>
      <w:r w:rsidRPr="006B5DE7">
        <w:t>.</w:t>
      </w:r>
    </w:p>
    <w:p w:rsidR="002E4617" w:rsidRPr="0056300C" w:rsidRDefault="002E4617" w:rsidP="004C39DF">
      <w:pPr>
        <w:spacing w:before="106"/>
        <w:ind w:left="720"/>
        <w:rPr>
          <w:rFonts w:ascii="Calibri" w:hAnsi="Calibri"/>
          <w:lang w:val="en-AU"/>
        </w:rPr>
      </w:pPr>
      <w:r w:rsidRPr="0056300C">
        <w:rPr>
          <w:rFonts w:ascii="Calibri" w:hAnsi="Calibri"/>
          <w:lang w:val="en-AU"/>
        </w:rPr>
        <w:t>Debate adjourned (</w:t>
      </w:r>
      <w:r>
        <w:rPr>
          <w:rFonts w:ascii="Calibri" w:hAnsi="Calibri"/>
          <w:lang w:val="en-AU"/>
        </w:rPr>
        <w:t xml:space="preserve">Ms </w:t>
      </w:r>
      <w:proofErr w:type="spellStart"/>
      <w:r>
        <w:rPr>
          <w:rFonts w:ascii="Calibri" w:hAnsi="Calibri"/>
          <w:lang w:val="en-AU"/>
        </w:rPr>
        <w:t>Lawder</w:t>
      </w:r>
      <w:proofErr w:type="spellEnd"/>
      <w:r w:rsidRPr="0056300C">
        <w:rPr>
          <w:rFonts w:ascii="Calibri" w:hAnsi="Calibri"/>
          <w:lang w:val="en-AU"/>
        </w:rPr>
        <w:t>) and the resumption of the debate made an order of the day for the next sitting.</w:t>
      </w:r>
    </w:p>
    <w:p w:rsidR="0092127E" w:rsidRPr="0056300C" w:rsidRDefault="0092127E" w:rsidP="0092127E">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20</w:t>
      </w:r>
      <w:r w:rsidR="004A1499">
        <w:rPr>
          <w:rFonts w:ascii="Calibri" w:hAnsi="Calibri"/>
          <w:b/>
          <w:bCs/>
          <w:lang w:val="en-AU"/>
        </w:rPr>
        <w:fldChar w:fldCharType="end"/>
      </w:r>
      <w:r w:rsidRPr="0056300C">
        <w:rPr>
          <w:rFonts w:ascii="Calibri" w:hAnsi="Calibri"/>
          <w:b/>
          <w:lang w:val="en-AU"/>
        </w:rPr>
        <w:tab/>
      </w:r>
      <w:r>
        <w:rPr>
          <w:rFonts w:ascii="Calibri" w:hAnsi="Calibri"/>
          <w:b/>
          <w:lang w:val="en-AU"/>
        </w:rPr>
        <w:t>PLANNING AND DEVELOPMENT ACT—</w:t>
      </w:r>
      <w:r w:rsidRPr="00812DA8">
        <w:rPr>
          <w:rFonts w:ascii="Calibri" w:hAnsi="Calibri"/>
          <w:b/>
          <w:lang w:val="en-AU"/>
        </w:rPr>
        <w:t>V</w:t>
      </w:r>
      <w:r w:rsidR="003A1177">
        <w:rPr>
          <w:rFonts w:ascii="Calibri" w:hAnsi="Calibri"/>
          <w:b/>
          <w:lang w:val="en-AU"/>
        </w:rPr>
        <w:t>ARIATION</w:t>
      </w:r>
      <w:r w:rsidRPr="00812DA8">
        <w:rPr>
          <w:rFonts w:ascii="Calibri" w:hAnsi="Calibri"/>
          <w:b/>
          <w:lang w:val="en-AU"/>
        </w:rPr>
        <w:t xml:space="preserve"> TO THE TERRITORY PLAN</w:t>
      </w:r>
      <w:r w:rsidR="003A1177">
        <w:rPr>
          <w:rFonts w:ascii="Calibri" w:hAnsi="Calibri"/>
          <w:b/>
          <w:lang w:val="en-AU"/>
        </w:rPr>
        <w:t xml:space="preserve"> </w:t>
      </w:r>
      <w:r w:rsidRPr="00812DA8">
        <w:rPr>
          <w:rFonts w:ascii="Calibri" w:hAnsi="Calibri"/>
          <w:b/>
          <w:lang w:val="en-AU"/>
        </w:rPr>
        <w:t>NO 368—CITY AND GATEWAY SOUTH NORTHBOURNE AVENUE CORRIDOR</w:t>
      </w:r>
      <w:r w:rsidRPr="0056300C">
        <w:rPr>
          <w:rFonts w:ascii="Calibri" w:hAnsi="Calibri"/>
          <w:b/>
          <w:lang w:val="en-AU"/>
        </w:rPr>
        <w:t>—MOTION TO TAKE NOTE OF PAPER</w:t>
      </w:r>
    </w:p>
    <w:p w:rsidR="0092127E" w:rsidRPr="0056300C" w:rsidRDefault="0092127E" w:rsidP="004C39DF">
      <w:pPr>
        <w:spacing w:before="106"/>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92127E" w:rsidRDefault="0092127E" w:rsidP="004C39DF">
      <w:pPr>
        <w:pStyle w:val="DPSEntryDetail"/>
        <w:spacing w:before="106"/>
      </w:pPr>
      <w:r w:rsidRPr="006B5DE7">
        <w:t xml:space="preserve">Planning and Development </w:t>
      </w:r>
      <w:r>
        <w:t>Act</w:t>
      </w:r>
      <w:r w:rsidR="003A1177">
        <w:t>, p</w:t>
      </w:r>
      <w:r w:rsidRPr="006B5DE7">
        <w:t>ursuan</w:t>
      </w:r>
      <w:r w:rsidR="003A1177">
        <w:t>t to subsection 79(1)—Variation</w:t>
      </w:r>
      <w:r w:rsidRPr="006B5DE7">
        <w:t xml:space="preserve"> to the Territory Plan No 368—</w:t>
      </w:r>
      <w:r>
        <w:t xml:space="preserve">City and Gateway South </w:t>
      </w:r>
      <w:proofErr w:type="spellStart"/>
      <w:r>
        <w:t>Northbourne</w:t>
      </w:r>
      <w:proofErr w:type="spellEnd"/>
      <w:r>
        <w:t xml:space="preserve"> Avenue Corridor.</w:t>
      </w:r>
    </w:p>
    <w:p w:rsidR="0092127E" w:rsidRPr="0056300C" w:rsidRDefault="0092127E" w:rsidP="004C39DF">
      <w:pPr>
        <w:spacing w:before="106"/>
        <w:ind w:left="720"/>
        <w:rPr>
          <w:rFonts w:ascii="Calibri" w:hAnsi="Calibri"/>
          <w:lang w:val="en-AU"/>
        </w:rPr>
      </w:pPr>
      <w:r w:rsidRPr="0056300C">
        <w:rPr>
          <w:rFonts w:ascii="Calibri" w:hAnsi="Calibri"/>
          <w:lang w:val="en-AU"/>
        </w:rPr>
        <w:t>Debate adjourned (</w:t>
      </w:r>
      <w:r>
        <w:rPr>
          <w:rFonts w:ascii="Calibri" w:hAnsi="Calibri"/>
          <w:lang w:val="en-AU"/>
        </w:rPr>
        <w:t xml:space="preserve">Ms </w:t>
      </w:r>
      <w:proofErr w:type="spellStart"/>
      <w:r>
        <w:rPr>
          <w:rFonts w:ascii="Calibri" w:hAnsi="Calibri"/>
          <w:lang w:val="en-AU"/>
        </w:rPr>
        <w:t>Lawder</w:t>
      </w:r>
      <w:proofErr w:type="spellEnd"/>
      <w:r w:rsidRPr="0056300C">
        <w:rPr>
          <w:rFonts w:ascii="Calibri" w:hAnsi="Calibri"/>
          <w:lang w:val="en-AU"/>
        </w:rPr>
        <w:t>) and the resumption of the debate made an order of the day for the next sitting.</w:t>
      </w:r>
    </w:p>
    <w:p w:rsidR="0056300C" w:rsidRPr="0056300C" w:rsidRDefault="0056300C" w:rsidP="0056300C">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21</w:t>
      </w:r>
      <w:r w:rsidR="004A1499">
        <w:rPr>
          <w:rFonts w:ascii="Calibri" w:hAnsi="Calibri"/>
          <w:b/>
          <w:bCs/>
          <w:lang w:val="en-AU"/>
        </w:rPr>
        <w:fldChar w:fldCharType="end"/>
      </w:r>
      <w:r w:rsidRPr="0056300C">
        <w:rPr>
          <w:rFonts w:ascii="Calibri" w:hAnsi="Calibri"/>
          <w:b/>
          <w:lang w:val="en-AU"/>
        </w:rPr>
        <w:tab/>
      </w:r>
      <w:r w:rsidR="00812DA8">
        <w:rPr>
          <w:rFonts w:ascii="Calibri" w:hAnsi="Calibri"/>
          <w:b/>
          <w:lang w:val="en-AU"/>
        </w:rPr>
        <w:t>INSPECTOR OF CORRECTIONAL SERVICES ACT—</w:t>
      </w:r>
      <w:r w:rsidR="00812DA8" w:rsidRPr="00812DA8">
        <w:rPr>
          <w:rFonts w:ascii="Calibri" w:hAnsi="Calibri"/>
          <w:b/>
          <w:lang w:val="en-AU"/>
        </w:rPr>
        <w:t>REVIEW OF A CRITICAL INCIDENT BY THE A</w:t>
      </w:r>
      <w:r w:rsidR="002659E0">
        <w:rPr>
          <w:rFonts w:ascii="Calibri" w:hAnsi="Calibri"/>
          <w:b/>
          <w:lang w:val="en-AU"/>
        </w:rPr>
        <w:t>.</w:t>
      </w:r>
      <w:r w:rsidR="00812DA8" w:rsidRPr="00812DA8">
        <w:rPr>
          <w:rFonts w:ascii="Calibri" w:hAnsi="Calibri"/>
          <w:b/>
          <w:lang w:val="en-AU"/>
        </w:rPr>
        <w:t>C</w:t>
      </w:r>
      <w:r w:rsidR="002659E0">
        <w:rPr>
          <w:rFonts w:ascii="Calibri" w:hAnsi="Calibri"/>
          <w:b/>
          <w:lang w:val="en-AU"/>
        </w:rPr>
        <w:t>.</w:t>
      </w:r>
      <w:r w:rsidR="00812DA8" w:rsidRPr="00812DA8">
        <w:rPr>
          <w:rFonts w:ascii="Calibri" w:hAnsi="Calibri"/>
          <w:b/>
          <w:lang w:val="en-AU"/>
        </w:rPr>
        <w:t>T</w:t>
      </w:r>
      <w:r w:rsidR="002659E0">
        <w:rPr>
          <w:rFonts w:ascii="Calibri" w:hAnsi="Calibri"/>
          <w:b/>
          <w:lang w:val="en-AU"/>
        </w:rPr>
        <w:t>.</w:t>
      </w:r>
      <w:r w:rsidR="00812DA8" w:rsidRPr="00812DA8">
        <w:rPr>
          <w:rFonts w:ascii="Calibri" w:hAnsi="Calibri"/>
          <w:b/>
          <w:lang w:val="en-AU"/>
        </w:rPr>
        <w:t xml:space="preserve"> INSPECTOR OF CORRECTIONAL SERVICES—HOSTAGE TAKING INCIDENT AT THE ALEXANDER MACONOCHIE CENTRE ON 27 MARCH 2021—GOVERNMENT RESPONSE</w:t>
      </w:r>
      <w:r w:rsidRPr="0056300C">
        <w:rPr>
          <w:rFonts w:ascii="Calibri" w:hAnsi="Calibri"/>
          <w:b/>
          <w:lang w:val="en-AU"/>
        </w:rPr>
        <w:t>—MOTION TO TAKE NOTE OF PAPER</w:t>
      </w:r>
    </w:p>
    <w:p w:rsidR="0056300C" w:rsidRPr="0056300C" w:rsidRDefault="0056300C" w:rsidP="004C39DF">
      <w:pPr>
        <w:spacing w:before="106"/>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AD4151" w:rsidRPr="006B5DE7" w:rsidRDefault="00AD4151" w:rsidP="004C39DF">
      <w:pPr>
        <w:pStyle w:val="DPSEntryDetail"/>
        <w:spacing w:before="106"/>
      </w:pPr>
      <w:r w:rsidRPr="006B5DE7">
        <w:t xml:space="preserve">Inspector of Correctional Services </w:t>
      </w:r>
      <w:r>
        <w:t>Act</w:t>
      </w:r>
      <w:r w:rsidRPr="006B5DE7">
        <w:t>—Review of a Critical Incident by the ACT Inspector of Correctional Services—Hostage taking incident at the Alexander Maconochie Centre on 27 March 2021—</w:t>
      </w:r>
      <w:r>
        <w:t>Government response.</w:t>
      </w:r>
    </w:p>
    <w:p w:rsidR="0056300C" w:rsidRPr="0056300C" w:rsidRDefault="0056300C" w:rsidP="004C39DF">
      <w:pPr>
        <w:spacing w:before="106"/>
        <w:ind w:left="720"/>
        <w:rPr>
          <w:rFonts w:ascii="Calibri" w:hAnsi="Calibri"/>
          <w:lang w:val="en-AU"/>
        </w:rPr>
      </w:pPr>
      <w:r w:rsidRPr="0056300C">
        <w:rPr>
          <w:rFonts w:ascii="Calibri" w:hAnsi="Calibri"/>
          <w:lang w:val="en-AU"/>
        </w:rPr>
        <w:t>Debate adjourned (</w:t>
      </w:r>
      <w:r w:rsidR="00C119F6">
        <w:rPr>
          <w:rFonts w:ascii="Calibri" w:hAnsi="Calibri"/>
          <w:lang w:val="en-AU"/>
        </w:rPr>
        <w:t xml:space="preserve">Ms </w:t>
      </w:r>
      <w:proofErr w:type="spellStart"/>
      <w:r w:rsidR="00C119F6">
        <w:rPr>
          <w:rFonts w:ascii="Calibri" w:hAnsi="Calibri"/>
          <w:lang w:val="en-AU"/>
        </w:rPr>
        <w:t>Lawder</w:t>
      </w:r>
      <w:proofErr w:type="spellEnd"/>
      <w:r w:rsidRPr="0056300C">
        <w:rPr>
          <w:rFonts w:ascii="Calibri" w:hAnsi="Calibri"/>
          <w:lang w:val="en-AU"/>
        </w:rPr>
        <w:t>) and the resumption of the debate made an order of the day for the next sitting.</w:t>
      </w:r>
    </w:p>
    <w:p w:rsidR="0056300C" w:rsidRPr="0056300C" w:rsidRDefault="0056300C" w:rsidP="0056300C">
      <w:pPr>
        <w:keepNext/>
        <w:keepLines/>
        <w:tabs>
          <w:tab w:val="right" w:pos="339"/>
          <w:tab w:val="left" w:pos="720"/>
        </w:tabs>
        <w:spacing w:before="240"/>
        <w:ind w:left="720" w:hanging="720"/>
        <w:rPr>
          <w:rFonts w:ascii="Calibri" w:hAnsi="Calibri"/>
          <w:b/>
          <w:lang w:val="en-AU"/>
        </w:rPr>
      </w:pPr>
      <w:r w:rsidRPr="0056300C">
        <w:rPr>
          <w:rFonts w:ascii="Calibri" w:hAnsi="Calibri"/>
          <w:b/>
          <w:lang w:val="en-AU"/>
        </w:rPr>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22</w:t>
      </w:r>
      <w:r w:rsidR="004A1499">
        <w:rPr>
          <w:rFonts w:ascii="Calibri" w:hAnsi="Calibri"/>
          <w:b/>
          <w:bCs/>
          <w:lang w:val="en-AU"/>
        </w:rPr>
        <w:fldChar w:fldCharType="end"/>
      </w:r>
      <w:r w:rsidRPr="0056300C">
        <w:rPr>
          <w:rFonts w:ascii="Calibri" w:hAnsi="Calibri"/>
          <w:b/>
          <w:lang w:val="en-AU"/>
        </w:rPr>
        <w:tab/>
      </w:r>
      <w:r w:rsidR="00055F57" w:rsidRPr="00055F57">
        <w:rPr>
          <w:rFonts w:ascii="Calibri" w:hAnsi="Calibri"/>
          <w:b/>
          <w:lang w:val="en-AU"/>
        </w:rPr>
        <w:t>ANNUAL REPORTS</w:t>
      </w:r>
      <w:r w:rsidR="00447964">
        <w:rPr>
          <w:rFonts w:ascii="Calibri" w:hAnsi="Calibri"/>
          <w:b/>
          <w:lang w:val="en-AU"/>
        </w:rPr>
        <w:t xml:space="preserve"> (GOVERNMENT AGENCIES) ACT</w:t>
      </w:r>
      <w:r w:rsidR="00055F57" w:rsidRPr="00055F57">
        <w:rPr>
          <w:rFonts w:ascii="Calibri" w:hAnsi="Calibri"/>
          <w:b/>
          <w:lang w:val="en-AU"/>
        </w:rPr>
        <w:t>—</w:t>
      </w:r>
      <w:r w:rsidR="009D4A83">
        <w:rPr>
          <w:rFonts w:ascii="Calibri" w:hAnsi="Calibri"/>
          <w:b/>
          <w:lang w:val="en-AU"/>
        </w:rPr>
        <w:t xml:space="preserve">ANNUAL REPORT </w:t>
      </w:r>
      <w:r w:rsidR="00055F57" w:rsidRPr="00055F57">
        <w:rPr>
          <w:rFonts w:ascii="Calibri" w:hAnsi="Calibri"/>
          <w:b/>
          <w:lang w:val="en-AU"/>
        </w:rPr>
        <w:t>2020-2021—JUSTICE A</w:t>
      </w:r>
      <w:r w:rsidR="00055F57">
        <w:rPr>
          <w:rFonts w:ascii="Calibri" w:hAnsi="Calibri"/>
          <w:b/>
          <w:lang w:val="en-AU"/>
        </w:rPr>
        <w:t>ND COMMUNITY SAFETY DIRECTORATE</w:t>
      </w:r>
      <w:r w:rsidR="00055F57" w:rsidRPr="00055F57">
        <w:rPr>
          <w:rFonts w:ascii="Calibri" w:hAnsi="Calibri"/>
          <w:b/>
          <w:lang w:val="en-AU"/>
        </w:rPr>
        <w:t>—CORRIGENDUM</w:t>
      </w:r>
      <w:r w:rsidR="00055F57">
        <w:rPr>
          <w:rFonts w:ascii="Calibri" w:hAnsi="Calibri"/>
          <w:b/>
          <w:lang w:val="en-AU"/>
        </w:rPr>
        <w:t>—</w:t>
      </w:r>
      <w:r w:rsidR="0057097B">
        <w:rPr>
          <w:rFonts w:ascii="Calibri" w:hAnsi="Calibri"/>
          <w:b/>
          <w:lang w:val="en-AU"/>
        </w:rPr>
        <w:t>PAPER NOTED</w:t>
      </w:r>
    </w:p>
    <w:p w:rsidR="0056300C" w:rsidRPr="0056300C" w:rsidRDefault="0056300C" w:rsidP="004C39DF">
      <w:pPr>
        <w:spacing w:before="102"/>
        <w:ind w:left="720"/>
        <w:rPr>
          <w:rFonts w:ascii="Calibri" w:hAnsi="Calibri"/>
          <w:lang w:val="en-AU"/>
        </w:rPr>
      </w:pPr>
      <w:r w:rsidRPr="0056300C">
        <w:rPr>
          <w:rFonts w:ascii="Calibri" w:hAnsi="Calibri"/>
          <w:lang w:val="en-AU"/>
        </w:rPr>
        <w:t>Mr Gentleman (Manager of Government Business), pursuant to standing order 211, moved—That the Assembly take note of the following paper:</w:t>
      </w:r>
    </w:p>
    <w:p w:rsidR="00856C1A" w:rsidRPr="006B5DE7" w:rsidRDefault="00856C1A" w:rsidP="004C39DF">
      <w:pPr>
        <w:pStyle w:val="DPSEntryDetail"/>
        <w:spacing w:before="102"/>
      </w:pPr>
      <w:r w:rsidRPr="006B5DE7">
        <w:t>Annual Reports (Government Agencies) A</w:t>
      </w:r>
      <w:r w:rsidR="00FA4772">
        <w:t>ct, p</w:t>
      </w:r>
      <w:r w:rsidRPr="006B5DE7">
        <w:t>ursua</w:t>
      </w:r>
      <w:r w:rsidR="009D4A83">
        <w:t xml:space="preserve">nt to section 13—Annual Report </w:t>
      </w:r>
      <w:r w:rsidRPr="006B5DE7">
        <w:t>2020-2021—Justice a</w:t>
      </w:r>
      <w:r>
        <w:t>nd Community Safety Directorate</w:t>
      </w:r>
      <w:r w:rsidRPr="006B5DE7">
        <w:t>—</w:t>
      </w:r>
      <w:r>
        <w:t>Corrigendum.</w:t>
      </w:r>
    </w:p>
    <w:p w:rsidR="00FD13D6" w:rsidRDefault="00FD13D6" w:rsidP="004C39DF">
      <w:pPr>
        <w:spacing w:before="102"/>
        <w:ind w:left="720"/>
        <w:rPr>
          <w:rFonts w:ascii="Calibri" w:hAnsi="Calibri"/>
          <w:lang w:val="en-AU"/>
        </w:rPr>
      </w:pPr>
      <w:r w:rsidRPr="00B249F6">
        <w:rPr>
          <w:rFonts w:ascii="Calibri" w:hAnsi="Calibri"/>
          <w:lang w:val="en-AU"/>
        </w:rPr>
        <w:t>Question—put and passed.</w:t>
      </w:r>
    </w:p>
    <w:p w:rsidR="002B1C8C" w:rsidRPr="002B1C8C" w:rsidRDefault="002B1C8C" w:rsidP="002B1C8C">
      <w:pPr>
        <w:keepNext/>
        <w:keepLines/>
        <w:tabs>
          <w:tab w:val="right" w:pos="339"/>
          <w:tab w:val="left" w:pos="720"/>
        </w:tabs>
        <w:spacing w:before="240"/>
        <w:ind w:left="720" w:hanging="720"/>
        <w:rPr>
          <w:rFonts w:ascii="Calibri" w:hAnsi="Calibri"/>
          <w:b/>
          <w:lang w:val="en-AU"/>
        </w:rPr>
      </w:pPr>
      <w:r w:rsidRPr="002B1C8C">
        <w:rPr>
          <w:rFonts w:ascii="Calibri" w:hAnsi="Calibri"/>
          <w:b/>
          <w:lang w:val="en-AU"/>
        </w:rPr>
        <w:lastRenderedPageBreak/>
        <w:tab/>
      </w:r>
      <w:r w:rsidR="004A1499">
        <w:rPr>
          <w:rFonts w:ascii="Calibri" w:hAnsi="Calibri"/>
          <w:b/>
          <w:bCs/>
          <w:lang w:val="en-AU"/>
        </w:rPr>
        <w:fldChar w:fldCharType="begin"/>
      </w:r>
      <w:r w:rsidR="004A1499">
        <w:rPr>
          <w:rFonts w:ascii="Calibri" w:hAnsi="Calibri"/>
          <w:b/>
          <w:bCs/>
          <w:lang w:val="en-AU"/>
        </w:rPr>
        <w:instrText xml:space="preserve"> SEQ A \* MERGEFORMAT </w:instrText>
      </w:r>
      <w:r w:rsidR="004A1499">
        <w:rPr>
          <w:rFonts w:ascii="Calibri" w:hAnsi="Calibri"/>
          <w:b/>
          <w:bCs/>
          <w:lang w:val="en-AU"/>
        </w:rPr>
        <w:fldChar w:fldCharType="separate"/>
      </w:r>
      <w:r w:rsidR="00DF7FAE">
        <w:rPr>
          <w:rFonts w:ascii="Calibri" w:hAnsi="Calibri"/>
          <w:b/>
          <w:bCs/>
          <w:noProof/>
          <w:lang w:val="en-AU"/>
        </w:rPr>
        <w:t>23</w:t>
      </w:r>
      <w:r w:rsidR="004A1499">
        <w:rPr>
          <w:rFonts w:ascii="Calibri" w:hAnsi="Calibri"/>
          <w:b/>
          <w:bCs/>
          <w:lang w:val="en-AU"/>
        </w:rPr>
        <w:fldChar w:fldCharType="end"/>
      </w:r>
      <w:r w:rsidRPr="002B1C8C">
        <w:rPr>
          <w:rFonts w:ascii="Calibri" w:hAnsi="Calibri"/>
          <w:b/>
          <w:lang w:val="en-AU"/>
        </w:rPr>
        <w:tab/>
        <w:t>A</w:t>
      </w:r>
      <w:r w:rsidR="00FA4772">
        <w:rPr>
          <w:rFonts w:ascii="Calibri" w:hAnsi="Calibri"/>
          <w:b/>
          <w:lang w:val="en-AU"/>
        </w:rPr>
        <w:t>.</w:t>
      </w:r>
      <w:r w:rsidRPr="002B1C8C">
        <w:rPr>
          <w:rFonts w:ascii="Calibri" w:hAnsi="Calibri"/>
          <w:b/>
          <w:lang w:val="en-AU"/>
        </w:rPr>
        <w:t>C</w:t>
      </w:r>
      <w:r w:rsidR="00FA4772">
        <w:rPr>
          <w:rFonts w:ascii="Calibri" w:hAnsi="Calibri"/>
          <w:b/>
          <w:lang w:val="en-AU"/>
        </w:rPr>
        <w:t>.</w:t>
      </w:r>
      <w:r w:rsidRPr="002B1C8C">
        <w:rPr>
          <w:rFonts w:ascii="Calibri" w:hAnsi="Calibri"/>
          <w:b/>
          <w:lang w:val="en-AU"/>
        </w:rPr>
        <w:t>T</w:t>
      </w:r>
      <w:r w:rsidR="00FA4772">
        <w:rPr>
          <w:rFonts w:ascii="Calibri" w:hAnsi="Calibri"/>
          <w:b/>
          <w:lang w:val="en-AU"/>
        </w:rPr>
        <w:t>.</w:t>
      </w:r>
      <w:r w:rsidRPr="002B1C8C">
        <w:rPr>
          <w:rFonts w:ascii="Calibri" w:hAnsi="Calibri"/>
          <w:b/>
          <w:lang w:val="en-AU"/>
        </w:rPr>
        <w:t xml:space="preserve"> ABORIGINAL AND TORRES STRAIT ISLANDER AGREEMENT 2019-2028—ACT IMPACT STATEMENT 2021—REVISED—MOTION TO TAKE NOTE OF PAPER</w:t>
      </w:r>
    </w:p>
    <w:p w:rsidR="002B1C8C" w:rsidRPr="002B1C8C" w:rsidRDefault="002B1C8C" w:rsidP="002B1C8C">
      <w:pPr>
        <w:spacing w:before="120"/>
        <w:ind w:left="720"/>
        <w:rPr>
          <w:rFonts w:ascii="Calibri" w:hAnsi="Calibri"/>
          <w:lang w:val="en-AU"/>
        </w:rPr>
      </w:pPr>
      <w:r w:rsidRPr="002B1C8C">
        <w:rPr>
          <w:rFonts w:ascii="Calibri" w:hAnsi="Calibri"/>
          <w:lang w:val="en-AU"/>
        </w:rPr>
        <w:t>Mr Gentleman (Manager of Government Business), pursuant to standing order 211, moved—That the Assembly take note of the following paper:</w:t>
      </w:r>
    </w:p>
    <w:p w:rsidR="002B1C8C" w:rsidRPr="006B5DE7" w:rsidRDefault="002B1C8C" w:rsidP="002B1C8C">
      <w:pPr>
        <w:pStyle w:val="DPSEntryDetail"/>
      </w:pPr>
      <w:r w:rsidRPr="006B5DE7">
        <w:t>ACT Aboriginal and Torres Strait Islander Agreement 2019-2028—ACT Impact Statement 2021—Revised.</w:t>
      </w:r>
    </w:p>
    <w:p w:rsidR="002B1C8C" w:rsidRPr="002B1C8C" w:rsidRDefault="002B1C8C" w:rsidP="00C762F5">
      <w:pPr>
        <w:spacing w:before="120" w:line="228" w:lineRule="auto"/>
        <w:ind w:left="720"/>
        <w:rPr>
          <w:rFonts w:ascii="Calibri" w:hAnsi="Calibri"/>
          <w:lang w:val="en-AU"/>
        </w:rPr>
      </w:pPr>
      <w:r w:rsidRPr="002B1C8C">
        <w:rPr>
          <w:rFonts w:ascii="Calibri" w:hAnsi="Calibri"/>
          <w:lang w:val="en-AU"/>
        </w:rPr>
        <w:t>Debate adjourned (</w:t>
      </w:r>
      <w:r w:rsidR="000D0535">
        <w:rPr>
          <w:rFonts w:ascii="Calibri" w:hAnsi="Calibri"/>
          <w:lang w:val="en-AU"/>
        </w:rPr>
        <w:t xml:space="preserve">Ms </w:t>
      </w:r>
      <w:proofErr w:type="spellStart"/>
      <w:r w:rsidR="000D0535">
        <w:rPr>
          <w:rFonts w:ascii="Calibri" w:hAnsi="Calibri"/>
          <w:lang w:val="en-AU"/>
        </w:rPr>
        <w:t>Lawder</w:t>
      </w:r>
      <w:proofErr w:type="spellEnd"/>
      <w:r w:rsidRPr="002B1C8C">
        <w:rPr>
          <w:rFonts w:ascii="Calibri" w:hAnsi="Calibri"/>
          <w:lang w:val="en-AU"/>
        </w:rPr>
        <w:t>) and the resumption of the debate made an order of the day for the next sitting.</w:t>
      </w:r>
    </w:p>
    <w:p w:rsidR="00CC5F38" w:rsidRPr="00CC5F38" w:rsidRDefault="00CC5F38" w:rsidP="00C762F5">
      <w:pPr>
        <w:keepNext/>
        <w:keepLines/>
        <w:tabs>
          <w:tab w:val="right" w:pos="339"/>
          <w:tab w:val="left" w:pos="720"/>
        </w:tabs>
        <w:spacing w:before="240" w:line="228" w:lineRule="auto"/>
        <w:ind w:left="720" w:hanging="720"/>
        <w:rPr>
          <w:rFonts w:ascii="Calibri" w:hAnsi="Calibri"/>
          <w:b/>
          <w:caps/>
          <w:lang w:val="en-AU"/>
        </w:rPr>
      </w:pPr>
      <w:r w:rsidRPr="00CC5F38">
        <w:rPr>
          <w:rFonts w:ascii="Calibri" w:hAnsi="Calibri"/>
          <w:b/>
          <w:caps/>
          <w:lang w:val="en-AU"/>
        </w:rPr>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24</w:t>
      </w:r>
      <w:r w:rsidR="00881F7D">
        <w:rPr>
          <w:rFonts w:ascii="Calibri" w:hAnsi="Calibri"/>
          <w:b/>
          <w:bCs/>
          <w:caps/>
          <w:lang w:val="en-AU"/>
        </w:rPr>
        <w:fldChar w:fldCharType="end"/>
      </w:r>
      <w:r w:rsidRPr="00CC5F38">
        <w:rPr>
          <w:rFonts w:ascii="Calibri" w:hAnsi="Calibri"/>
          <w:b/>
          <w:caps/>
          <w:lang w:val="en-AU"/>
        </w:rPr>
        <w:tab/>
      </w:r>
      <w:r>
        <w:rPr>
          <w:rFonts w:ascii="Calibri" w:hAnsi="Calibri"/>
          <w:b/>
          <w:caps/>
          <w:lang w:val="en-AU"/>
        </w:rPr>
        <w:t>Crimes (Consent) Amendment Bill 2022</w:t>
      </w:r>
    </w:p>
    <w:p w:rsidR="00CC5F38" w:rsidRPr="00CC5F38" w:rsidRDefault="00CC5F38" w:rsidP="00C762F5">
      <w:pPr>
        <w:spacing w:before="120" w:line="228" w:lineRule="auto"/>
        <w:ind w:left="720"/>
        <w:rPr>
          <w:rFonts w:ascii="Calibri" w:hAnsi="Calibri"/>
          <w:lang w:val="en-AU"/>
        </w:rPr>
      </w:pPr>
      <w:r w:rsidRPr="00CC5F38">
        <w:rPr>
          <w:rFonts w:ascii="Calibri" w:hAnsi="Calibri"/>
          <w:lang w:val="en-AU"/>
        </w:rPr>
        <w:t>The order of the day having been read for the resumption of the debate on the question—That this Bill be agreed to in principle—</w:t>
      </w:r>
    </w:p>
    <w:p w:rsidR="00CC5F38" w:rsidRDefault="00CC5F38" w:rsidP="00C762F5">
      <w:pPr>
        <w:spacing w:before="120" w:line="228" w:lineRule="auto"/>
        <w:ind w:left="720"/>
        <w:rPr>
          <w:rFonts w:ascii="Calibri" w:hAnsi="Calibri"/>
          <w:iCs/>
          <w:lang w:val="en-AU"/>
        </w:rPr>
      </w:pPr>
      <w:r w:rsidRPr="00CC5F38">
        <w:rPr>
          <w:rFonts w:ascii="Calibri" w:hAnsi="Calibri"/>
          <w:iCs/>
          <w:lang w:val="en-AU"/>
        </w:rPr>
        <w:t>Debate resumed.</w:t>
      </w:r>
    </w:p>
    <w:p w:rsidR="00094086" w:rsidRPr="00CC5F38" w:rsidRDefault="00094086" w:rsidP="00C762F5">
      <w:pPr>
        <w:spacing w:before="120" w:line="228" w:lineRule="auto"/>
        <w:ind w:left="720"/>
        <w:rPr>
          <w:rFonts w:ascii="Calibri" w:hAnsi="Calibri"/>
          <w:iCs/>
          <w:lang w:val="en-AU"/>
        </w:rPr>
      </w:pPr>
      <w:r w:rsidRPr="00094086">
        <w:rPr>
          <w:rFonts w:ascii="Calibri" w:hAnsi="Calibri"/>
          <w:i/>
          <w:iCs/>
          <w:lang w:val="en-AU"/>
        </w:rPr>
        <w:t>Paper:</w:t>
      </w:r>
      <w:r>
        <w:rPr>
          <w:rFonts w:ascii="Calibri" w:hAnsi="Calibri"/>
          <w:iCs/>
          <w:lang w:val="en-AU"/>
        </w:rPr>
        <w:t xml:space="preserve"> Dr Paterson presented a revised explanatory statement to the Bill.</w:t>
      </w:r>
    </w:p>
    <w:p w:rsidR="00CC5F38" w:rsidRPr="00CC5F38" w:rsidRDefault="00CC5F38" w:rsidP="00C762F5">
      <w:pPr>
        <w:spacing w:before="120" w:line="228" w:lineRule="auto"/>
        <w:ind w:left="720"/>
        <w:rPr>
          <w:rFonts w:ascii="Calibri" w:hAnsi="Calibri"/>
          <w:iCs/>
          <w:lang w:val="en-AU"/>
        </w:rPr>
      </w:pPr>
      <w:r w:rsidRPr="00CC5F38">
        <w:rPr>
          <w:rFonts w:ascii="Calibri" w:hAnsi="Calibri"/>
          <w:iCs/>
          <w:lang w:val="en-AU"/>
        </w:rPr>
        <w:t>Question—That this Bill be agreed to in principle—put and passed.</w:t>
      </w:r>
    </w:p>
    <w:p w:rsidR="00CC5F38" w:rsidRPr="00CC5F38" w:rsidRDefault="00CC5F38" w:rsidP="00C762F5">
      <w:pPr>
        <w:pBdr>
          <w:bottom w:val="thinThickLargeGap" w:sz="18" w:space="1" w:color="auto"/>
        </w:pBdr>
        <w:spacing w:line="228" w:lineRule="auto"/>
        <w:ind w:left="3427" w:right="3658"/>
        <w:jc w:val="center"/>
        <w:rPr>
          <w:rFonts w:ascii="Calibri" w:hAnsi="Calibri"/>
          <w:i/>
          <w:iCs/>
          <w:lang w:val="en-AU"/>
        </w:rPr>
      </w:pPr>
    </w:p>
    <w:p w:rsidR="00CC5F38" w:rsidRPr="00CC5F38" w:rsidRDefault="00CC5F38" w:rsidP="00C762F5">
      <w:pPr>
        <w:tabs>
          <w:tab w:val="left" w:pos="1197"/>
          <w:tab w:val="left" w:pos="1767"/>
        </w:tabs>
        <w:spacing w:before="120" w:line="228" w:lineRule="auto"/>
        <w:jc w:val="center"/>
        <w:rPr>
          <w:rFonts w:ascii="Calibri" w:hAnsi="Calibri"/>
          <w:i/>
          <w:iCs/>
          <w:lang w:val="en-AU"/>
        </w:rPr>
      </w:pPr>
      <w:r w:rsidRPr="00CC5F38">
        <w:rPr>
          <w:rFonts w:ascii="Calibri" w:hAnsi="Calibri"/>
          <w:i/>
          <w:iCs/>
          <w:lang w:val="en-AU"/>
        </w:rPr>
        <w:t>Detail Stage</w:t>
      </w:r>
    </w:p>
    <w:p w:rsidR="00CC5F38" w:rsidRDefault="002951C5" w:rsidP="00C762F5">
      <w:pPr>
        <w:spacing w:before="120" w:line="228" w:lineRule="auto"/>
        <w:ind w:left="720"/>
        <w:rPr>
          <w:rFonts w:ascii="Calibri" w:hAnsi="Calibri"/>
          <w:lang w:val="en-AU"/>
        </w:rPr>
      </w:pPr>
      <w:r>
        <w:rPr>
          <w:rFonts w:ascii="Calibri" w:hAnsi="Calibri"/>
          <w:lang w:val="en-AU"/>
        </w:rPr>
        <w:t>Clauses 1 to 3, by leave, taken</w:t>
      </w:r>
      <w:r w:rsidR="00433095">
        <w:rPr>
          <w:rFonts w:ascii="Calibri" w:hAnsi="Calibri"/>
          <w:lang w:val="en-AU"/>
        </w:rPr>
        <w:t xml:space="preserve"> together and agreed to.</w:t>
      </w:r>
    </w:p>
    <w:p w:rsidR="00433095" w:rsidRDefault="00433095" w:rsidP="00C762F5">
      <w:pPr>
        <w:spacing w:before="120" w:line="228" w:lineRule="auto"/>
        <w:ind w:left="720"/>
        <w:rPr>
          <w:rFonts w:ascii="Calibri" w:hAnsi="Calibri"/>
          <w:lang w:val="en-AU"/>
        </w:rPr>
      </w:pPr>
      <w:r>
        <w:rPr>
          <w:rFonts w:ascii="Calibri" w:hAnsi="Calibri"/>
          <w:lang w:val="en-AU"/>
        </w:rPr>
        <w:t>Clause 4—</w:t>
      </w:r>
    </w:p>
    <w:p w:rsidR="00433095" w:rsidRDefault="00433095" w:rsidP="00C762F5">
      <w:pPr>
        <w:spacing w:before="120" w:line="228" w:lineRule="auto"/>
        <w:ind w:left="720"/>
        <w:rPr>
          <w:rFonts w:ascii="Calibri" w:hAnsi="Calibri"/>
          <w:lang w:val="en-AU"/>
        </w:rPr>
      </w:pPr>
      <w:r>
        <w:rPr>
          <w:rFonts w:ascii="Calibri" w:hAnsi="Calibri"/>
          <w:lang w:val="en-AU"/>
        </w:rPr>
        <w:t>Dr Paterson</w:t>
      </w:r>
      <w:r w:rsidR="0006251D">
        <w:rPr>
          <w:rFonts w:ascii="Calibri" w:hAnsi="Calibri"/>
          <w:lang w:val="en-AU"/>
        </w:rPr>
        <w:t>, pursuant to standing orders 182A (b) and (c),</w:t>
      </w:r>
      <w:r>
        <w:rPr>
          <w:rFonts w:ascii="Calibri" w:hAnsi="Calibri"/>
          <w:lang w:val="en-AU"/>
        </w:rPr>
        <w:t xml:space="preserve"> was granted leave to move amendments that </w:t>
      </w:r>
      <w:r w:rsidR="00252A54">
        <w:rPr>
          <w:rFonts w:ascii="Calibri" w:hAnsi="Calibri"/>
          <w:lang w:val="en-AU"/>
        </w:rPr>
        <w:t>were minor or technical in detail and in response to comments made by the Scrutiny Committee.</w:t>
      </w:r>
    </w:p>
    <w:p w:rsidR="00ED3476" w:rsidRPr="00ED3476" w:rsidRDefault="00ED3476" w:rsidP="00C762F5">
      <w:pPr>
        <w:spacing w:before="120" w:line="228" w:lineRule="auto"/>
        <w:ind w:left="720"/>
        <w:rPr>
          <w:rFonts w:ascii="Calibri" w:hAnsi="Calibri"/>
          <w:lang w:val="en-AU"/>
        </w:rPr>
      </w:pPr>
      <w:r>
        <w:rPr>
          <w:rFonts w:ascii="Calibri" w:hAnsi="Calibri"/>
          <w:lang w:val="en-AU"/>
        </w:rPr>
        <w:t>Dr Paterson, by leave, moved her amendments Nos 1 to 3 together.</w:t>
      </w:r>
      <w:r w:rsidR="006B0A46">
        <w:rPr>
          <w:rFonts w:ascii="Calibri" w:hAnsi="Calibri"/>
          <w:lang w:val="en-AU"/>
        </w:rPr>
        <w:t xml:space="preserve"> (</w:t>
      </w:r>
      <w:r w:rsidR="006B0A46" w:rsidRPr="006B0A46">
        <w:rPr>
          <w:rFonts w:ascii="Calibri" w:hAnsi="Calibri"/>
          <w:i/>
          <w:lang w:val="en-AU"/>
        </w:rPr>
        <w:t>See</w:t>
      </w:r>
      <w:r w:rsidR="006B0A46">
        <w:rPr>
          <w:rFonts w:ascii="Calibri" w:hAnsi="Calibri"/>
          <w:lang w:val="en-AU"/>
        </w:rPr>
        <w:t xml:space="preserve"> </w:t>
      </w:r>
      <w:hyperlink w:anchor="Schedule1" w:history="1">
        <w:r w:rsidR="006B0A46" w:rsidRPr="006B0A46">
          <w:rPr>
            <w:rStyle w:val="Hyperlink"/>
            <w:rFonts w:ascii="Calibri" w:hAnsi="Calibri"/>
            <w:lang w:val="en-AU"/>
          </w:rPr>
          <w:t>Schedule 1</w:t>
        </w:r>
      </w:hyperlink>
      <w:r w:rsidR="006B0A46">
        <w:rPr>
          <w:rFonts w:ascii="Calibri" w:hAnsi="Calibri"/>
          <w:lang w:val="en-AU"/>
        </w:rPr>
        <w:t>)</w:t>
      </w:r>
    </w:p>
    <w:p w:rsidR="0032162C" w:rsidRDefault="0032162C" w:rsidP="00C762F5">
      <w:pPr>
        <w:spacing w:before="120" w:line="228" w:lineRule="auto"/>
        <w:ind w:left="720"/>
        <w:rPr>
          <w:rFonts w:ascii="Calibri" w:hAnsi="Calibri"/>
          <w:lang w:val="en-AU"/>
        </w:rPr>
      </w:pPr>
      <w:r>
        <w:rPr>
          <w:rFonts w:ascii="Calibri" w:hAnsi="Calibri"/>
          <w:i/>
          <w:lang w:val="en-AU"/>
        </w:rPr>
        <w:t>Paper</w:t>
      </w:r>
      <w:r w:rsidRPr="00433095">
        <w:rPr>
          <w:rFonts w:ascii="Calibri" w:hAnsi="Calibri"/>
          <w:i/>
          <w:lang w:val="en-AU"/>
        </w:rPr>
        <w:t>:</w:t>
      </w:r>
      <w:r>
        <w:rPr>
          <w:rFonts w:ascii="Calibri" w:hAnsi="Calibri"/>
          <w:lang w:val="en-AU"/>
        </w:rPr>
        <w:t xml:space="preserve"> Dr Paterson, by leave, presented a supplementary explanatory statement to the </w:t>
      </w:r>
      <w:r w:rsidR="009D4A83">
        <w:rPr>
          <w:rFonts w:ascii="Calibri" w:hAnsi="Calibri"/>
          <w:lang w:val="en-AU"/>
        </w:rPr>
        <w:t xml:space="preserve">Government </w:t>
      </w:r>
      <w:r>
        <w:rPr>
          <w:rFonts w:ascii="Calibri" w:hAnsi="Calibri"/>
          <w:lang w:val="en-AU"/>
        </w:rPr>
        <w:t>amendments.</w:t>
      </w:r>
    </w:p>
    <w:p w:rsidR="0008371E" w:rsidRDefault="0008371E" w:rsidP="00C762F5">
      <w:pPr>
        <w:pStyle w:val="DPSEntryDetail"/>
        <w:spacing w:line="228" w:lineRule="auto"/>
      </w:pPr>
      <w:r>
        <w:t>Debate continued.</w:t>
      </w:r>
    </w:p>
    <w:p w:rsidR="00ED3476" w:rsidRDefault="00ED3476" w:rsidP="00C762F5">
      <w:pPr>
        <w:spacing w:before="120" w:line="228" w:lineRule="auto"/>
        <w:ind w:left="720"/>
        <w:rPr>
          <w:rFonts w:ascii="Calibri" w:hAnsi="Calibri"/>
          <w:lang w:val="en-AU"/>
        </w:rPr>
      </w:pPr>
      <w:r>
        <w:rPr>
          <w:rFonts w:ascii="Calibri" w:hAnsi="Calibri"/>
          <w:lang w:val="en-AU"/>
        </w:rPr>
        <w:t>Amendments Nos 1 to 3—agreed to.</w:t>
      </w:r>
    </w:p>
    <w:p w:rsidR="007725DE" w:rsidRDefault="007725DE" w:rsidP="00C762F5">
      <w:pPr>
        <w:spacing w:before="120" w:line="228" w:lineRule="auto"/>
        <w:ind w:left="720"/>
        <w:rPr>
          <w:rFonts w:ascii="Calibri" w:hAnsi="Calibri"/>
          <w:lang w:val="en-AU"/>
        </w:rPr>
      </w:pPr>
      <w:r>
        <w:rPr>
          <w:rFonts w:ascii="Calibri" w:hAnsi="Calibri"/>
          <w:lang w:val="en-AU"/>
        </w:rPr>
        <w:t>Clause 4, as amended, agreed to.</w:t>
      </w:r>
    </w:p>
    <w:p w:rsidR="007725DE" w:rsidRDefault="007725DE" w:rsidP="00C762F5">
      <w:pPr>
        <w:spacing w:before="120" w:line="228" w:lineRule="auto"/>
        <w:ind w:left="720"/>
        <w:rPr>
          <w:rFonts w:ascii="Calibri" w:hAnsi="Calibri"/>
          <w:lang w:val="en-AU"/>
        </w:rPr>
      </w:pPr>
      <w:r>
        <w:rPr>
          <w:rFonts w:ascii="Calibri" w:hAnsi="Calibri"/>
          <w:lang w:val="en-AU"/>
        </w:rPr>
        <w:t>Clause 5—</w:t>
      </w:r>
    </w:p>
    <w:p w:rsidR="007725DE" w:rsidRDefault="007725DE" w:rsidP="00C762F5">
      <w:pPr>
        <w:spacing w:before="120" w:line="228" w:lineRule="auto"/>
        <w:ind w:left="720" w:hanging="90"/>
        <w:rPr>
          <w:rFonts w:ascii="Calibri" w:hAnsi="Calibri"/>
          <w:lang w:val="en-AU"/>
        </w:rPr>
      </w:pPr>
      <w:r>
        <w:rPr>
          <w:rFonts w:ascii="Calibri" w:hAnsi="Calibri"/>
          <w:lang w:val="en-AU"/>
        </w:rPr>
        <w:tab/>
        <w:t>On the motion of Dr Paterson, by leave, her amendments Nos 4 to 7 were made.</w:t>
      </w:r>
      <w:r w:rsidR="006F3AA7">
        <w:rPr>
          <w:rFonts w:ascii="Calibri" w:hAnsi="Calibri"/>
          <w:lang w:val="en-AU"/>
        </w:rPr>
        <w:t xml:space="preserve"> (</w:t>
      </w:r>
      <w:r w:rsidR="006F3AA7" w:rsidRPr="006B0A46">
        <w:rPr>
          <w:rFonts w:ascii="Calibri" w:hAnsi="Calibri"/>
          <w:i/>
          <w:lang w:val="en-AU"/>
        </w:rPr>
        <w:t>See</w:t>
      </w:r>
      <w:r w:rsidR="006F3AA7">
        <w:rPr>
          <w:rFonts w:ascii="Calibri" w:hAnsi="Calibri"/>
          <w:lang w:val="en-AU"/>
        </w:rPr>
        <w:t> </w:t>
      </w:r>
      <w:hyperlink w:anchor="Schedule1" w:history="1">
        <w:r w:rsidR="006F3AA7" w:rsidRPr="006B0A46">
          <w:rPr>
            <w:rStyle w:val="Hyperlink"/>
            <w:rFonts w:ascii="Calibri" w:hAnsi="Calibri"/>
            <w:lang w:val="en-AU"/>
          </w:rPr>
          <w:t>Schedule 1</w:t>
        </w:r>
      </w:hyperlink>
      <w:r w:rsidR="006F3AA7">
        <w:rPr>
          <w:rFonts w:ascii="Calibri" w:hAnsi="Calibri"/>
          <w:lang w:val="en-AU"/>
        </w:rPr>
        <w:t>)</w:t>
      </w:r>
    </w:p>
    <w:p w:rsidR="007725DE" w:rsidRDefault="007725DE" w:rsidP="00C762F5">
      <w:pPr>
        <w:pStyle w:val="DPSEntryDetail"/>
        <w:spacing w:line="228" w:lineRule="auto"/>
      </w:pPr>
      <w:r>
        <w:t>Clause 5, as amended, agreed to.</w:t>
      </w:r>
    </w:p>
    <w:p w:rsidR="001568FC" w:rsidRDefault="001568FC" w:rsidP="00C762F5">
      <w:pPr>
        <w:pStyle w:val="DPSEntryDetail"/>
        <w:spacing w:line="228" w:lineRule="auto"/>
      </w:pPr>
      <w:r>
        <w:t>Clause 6 agreed to.</w:t>
      </w:r>
    </w:p>
    <w:p w:rsidR="001568FC" w:rsidRDefault="001568FC" w:rsidP="00C762F5">
      <w:pPr>
        <w:spacing w:before="120" w:line="228" w:lineRule="auto"/>
        <w:ind w:left="720"/>
        <w:rPr>
          <w:rFonts w:ascii="Calibri" w:hAnsi="Calibri"/>
          <w:lang w:val="en-AU"/>
        </w:rPr>
      </w:pPr>
      <w:r>
        <w:rPr>
          <w:rFonts w:ascii="Calibri" w:hAnsi="Calibri"/>
          <w:lang w:val="en-AU"/>
        </w:rPr>
        <w:t>Clause 7—</w:t>
      </w:r>
    </w:p>
    <w:p w:rsidR="001568FC" w:rsidRDefault="001568FC" w:rsidP="00C762F5">
      <w:pPr>
        <w:spacing w:before="120" w:line="228" w:lineRule="auto"/>
        <w:ind w:left="720" w:hanging="720"/>
        <w:rPr>
          <w:rFonts w:ascii="Calibri" w:hAnsi="Calibri"/>
          <w:lang w:val="en-AU"/>
        </w:rPr>
      </w:pPr>
      <w:r>
        <w:rPr>
          <w:rFonts w:ascii="Calibri" w:hAnsi="Calibri"/>
          <w:lang w:val="en-AU"/>
        </w:rPr>
        <w:tab/>
        <w:t>On the motion of Dr Paterson, by leave, her amendments Nos 8 and 9 were made.</w:t>
      </w:r>
      <w:r w:rsidR="006F3AA7">
        <w:rPr>
          <w:rFonts w:ascii="Calibri" w:hAnsi="Calibri"/>
          <w:lang w:val="en-AU"/>
        </w:rPr>
        <w:t xml:space="preserve"> (</w:t>
      </w:r>
      <w:r w:rsidR="006F3AA7" w:rsidRPr="006B0A46">
        <w:rPr>
          <w:rFonts w:ascii="Calibri" w:hAnsi="Calibri"/>
          <w:i/>
          <w:lang w:val="en-AU"/>
        </w:rPr>
        <w:t>See</w:t>
      </w:r>
      <w:r w:rsidR="006F3AA7">
        <w:rPr>
          <w:rFonts w:ascii="Calibri" w:hAnsi="Calibri"/>
          <w:lang w:val="en-AU"/>
        </w:rPr>
        <w:t> </w:t>
      </w:r>
      <w:hyperlink w:anchor="Schedule1" w:history="1">
        <w:r w:rsidR="006F3AA7" w:rsidRPr="006B0A46">
          <w:rPr>
            <w:rStyle w:val="Hyperlink"/>
            <w:rFonts w:ascii="Calibri" w:hAnsi="Calibri"/>
            <w:lang w:val="en-AU"/>
          </w:rPr>
          <w:t>Schedule 1</w:t>
        </w:r>
      </w:hyperlink>
      <w:r w:rsidR="006F3AA7">
        <w:rPr>
          <w:rFonts w:ascii="Calibri" w:hAnsi="Calibri"/>
          <w:lang w:val="en-AU"/>
        </w:rPr>
        <w:t>)</w:t>
      </w:r>
    </w:p>
    <w:p w:rsidR="001568FC" w:rsidRDefault="001568FC" w:rsidP="00C762F5">
      <w:pPr>
        <w:pStyle w:val="DPSEntryDetail"/>
        <w:spacing w:line="228" w:lineRule="auto"/>
      </w:pPr>
      <w:r>
        <w:t>Clause 7, as amended, agreed to.</w:t>
      </w:r>
    </w:p>
    <w:p w:rsidR="001568FC" w:rsidRDefault="009649B5" w:rsidP="00C762F5">
      <w:pPr>
        <w:pStyle w:val="DPSEntryDetail"/>
        <w:spacing w:line="228" w:lineRule="auto"/>
      </w:pPr>
      <w:r>
        <w:t>Clause 8—</w:t>
      </w:r>
    </w:p>
    <w:p w:rsidR="009649B5" w:rsidRDefault="009649B5" w:rsidP="00C762F5">
      <w:pPr>
        <w:pStyle w:val="DPSEntryDetail"/>
        <w:spacing w:line="228" w:lineRule="auto"/>
      </w:pPr>
      <w:r>
        <w:t>On the motion of Dr Paterson, her amendment No 10 was made.</w:t>
      </w:r>
      <w:r w:rsidR="006F3AA7">
        <w:t xml:space="preserve"> (</w:t>
      </w:r>
      <w:r w:rsidR="006F3AA7" w:rsidRPr="006B0A46">
        <w:rPr>
          <w:i/>
        </w:rPr>
        <w:t>See</w:t>
      </w:r>
      <w:r w:rsidR="006F3AA7">
        <w:t xml:space="preserve"> </w:t>
      </w:r>
      <w:hyperlink w:anchor="Schedule1" w:history="1">
        <w:r w:rsidR="006F3AA7" w:rsidRPr="006B0A46">
          <w:rPr>
            <w:rStyle w:val="Hyperlink"/>
          </w:rPr>
          <w:t>Schedule 1</w:t>
        </w:r>
      </w:hyperlink>
      <w:r w:rsidR="006F3AA7">
        <w:t>)</w:t>
      </w:r>
    </w:p>
    <w:p w:rsidR="009649B5" w:rsidRDefault="009649B5" w:rsidP="00C762F5">
      <w:pPr>
        <w:pStyle w:val="DPSEntryDetail"/>
        <w:spacing w:line="228" w:lineRule="auto"/>
      </w:pPr>
      <w:r>
        <w:lastRenderedPageBreak/>
        <w:t>Clause 8, as amended, agreed to.</w:t>
      </w:r>
    </w:p>
    <w:p w:rsidR="009649B5" w:rsidRDefault="009649B5" w:rsidP="00C762F5">
      <w:pPr>
        <w:pStyle w:val="DPSEntryDetail"/>
        <w:spacing w:line="228" w:lineRule="auto"/>
      </w:pPr>
      <w:r>
        <w:t xml:space="preserve">Title </w:t>
      </w:r>
      <w:r w:rsidR="00EF6D84">
        <w:t xml:space="preserve">debated and </w:t>
      </w:r>
      <w:r>
        <w:t>agreed to.</w:t>
      </w:r>
    </w:p>
    <w:p w:rsidR="00CC5F38" w:rsidRPr="00CC5F38" w:rsidRDefault="00CC5F38" w:rsidP="00C762F5">
      <w:pPr>
        <w:pBdr>
          <w:top w:val="thickThinLargeGap" w:sz="18" w:space="1" w:color="auto"/>
        </w:pBdr>
        <w:spacing w:before="180" w:line="228" w:lineRule="auto"/>
        <w:ind w:left="3427" w:right="3658"/>
        <w:jc w:val="center"/>
        <w:rPr>
          <w:rFonts w:ascii="Calibri" w:hAnsi="Calibri"/>
          <w:lang w:val="en-AU"/>
        </w:rPr>
      </w:pPr>
    </w:p>
    <w:p w:rsidR="00CC5F38" w:rsidRDefault="00CC5F38" w:rsidP="00C762F5">
      <w:pPr>
        <w:spacing w:line="228" w:lineRule="auto"/>
        <w:ind w:left="720"/>
        <w:rPr>
          <w:rFonts w:ascii="Calibri" w:hAnsi="Calibri"/>
          <w:lang w:val="en-AU"/>
        </w:rPr>
      </w:pPr>
      <w:r w:rsidRPr="00CC5F38">
        <w:rPr>
          <w:rFonts w:ascii="Calibri" w:hAnsi="Calibri"/>
          <w:lang w:val="en-AU"/>
        </w:rPr>
        <w:t>Question—That this Bill, as amended, be agreed to—put and passed.</w:t>
      </w:r>
    </w:p>
    <w:p w:rsidR="00CC5F38" w:rsidRPr="00CC5F38" w:rsidRDefault="00CC5F38" w:rsidP="00CC5F38">
      <w:pPr>
        <w:keepNext/>
        <w:keepLines/>
        <w:tabs>
          <w:tab w:val="right" w:pos="339"/>
          <w:tab w:val="left" w:pos="720"/>
        </w:tabs>
        <w:spacing w:before="240"/>
        <w:ind w:left="720" w:hanging="720"/>
        <w:rPr>
          <w:rFonts w:ascii="Calibri" w:hAnsi="Calibri"/>
          <w:b/>
          <w:caps/>
          <w:lang w:val="en-AU"/>
        </w:rPr>
      </w:pPr>
      <w:r w:rsidRPr="00CC5F38">
        <w:rPr>
          <w:rFonts w:ascii="Calibri" w:hAnsi="Calibri"/>
          <w:b/>
          <w:caps/>
          <w:lang w:val="en-AU"/>
        </w:rPr>
        <w:tab/>
      </w:r>
      <w:r w:rsidR="00881F7D">
        <w:rPr>
          <w:rFonts w:ascii="Calibri" w:hAnsi="Calibri"/>
          <w:b/>
          <w:bCs/>
          <w:caps/>
          <w:lang w:val="en-AU"/>
        </w:rPr>
        <w:fldChar w:fldCharType="begin"/>
      </w:r>
      <w:r w:rsidR="00881F7D">
        <w:rPr>
          <w:rFonts w:ascii="Calibri" w:hAnsi="Calibri"/>
          <w:b/>
          <w:bCs/>
          <w:caps/>
          <w:lang w:val="en-AU"/>
        </w:rPr>
        <w:instrText xml:space="preserve"> SEQ A \* MERGEFORMAT </w:instrText>
      </w:r>
      <w:r w:rsidR="00881F7D">
        <w:rPr>
          <w:rFonts w:ascii="Calibri" w:hAnsi="Calibri"/>
          <w:b/>
          <w:bCs/>
          <w:caps/>
          <w:lang w:val="en-AU"/>
        </w:rPr>
        <w:fldChar w:fldCharType="separate"/>
      </w:r>
      <w:r w:rsidR="00DF7FAE">
        <w:rPr>
          <w:rFonts w:ascii="Calibri" w:hAnsi="Calibri"/>
          <w:b/>
          <w:bCs/>
          <w:caps/>
          <w:noProof/>
          <w:lang w:val="en-AU"/>
        </w:rPr>
        <w:t>25</w:t>
      </w:r>
      <w:r w:rsidR="00881F7D">
        <w:rPr>
          <w:rFonts w:ascii="Calibri" w:hAnsi="Calibri"/>
          <w:b/>
          <w:bCs/>
          <w:caps/>
          <w:lang w:val="en-AU"/>
        </w:rPr>
        <w:fldChar w:fldCharType="end"/>
      </w:r>
      <w:r w:rsidRPr="00CC5F38">
        <w:rPr>
          <w:rFonts w:ascii="Calibri" w:hAnsi="Calibri"/>
          <w:b/>
          <w:caps/>
          <w:lang w:val="en-AU"/>
        </w:rPr>
        <w:tab/>
      </w:r>
      <w:r>
        <w:rPr>
          <w:rFonts w:ascii="Calibri" w:hAnsi="Calibri"/>
          <w:b/>
          <w:caps/>
          <w:lang w:val="en-AU"/>
        </w:rPr>
        <w:t>Land Release Program</w:t>
      </w:r>
    </w:p>
    <w:p w:rsidR="00CC5F38" w:rsidRPr="00CC5F38" w:rsidRDefault="00CC5F38" w:rsidP="00CC5F38">
      <w:pPr>
        <w:spacing w:before="120"/>
        <w:ind w:left="720"/>
        <w:rPr>
          <w:rFonts w:ascii="Calibri" w:hAnsi="Calibri"/>
          <w:color w:val="000000"/>
          <w:lang w:val="en-AU"/>
        </w:rPr>
      </w:pPr>
      <w:r>
        <w:rPr>
          <w:rFonts w:ascii="Calibri" w:hAnsi="Calibri"/>
          <w:color w:val="000000"/>
          <w:lang w:val="en-AU"/>
        </w:rPr>
        <w:t>Ms Lee</w:t>
      </w:r>
      <w:r w:rsidRPr="00CC5F38">
        <w:rPr>
          <w:rFonts w:ascii="Calibri" w:hAnsi="Calibri"/>
          <w:color w:val="000000"/>
          <w:lang w:val="en-AU"/>
        </w:rPr>
        <w:t>, pursuant to notice, moved—That this Assembly:</w:t>
      </w:r>
    </w:p>
    <w:p w:rsidR="00683DE9" w:rsidRPr="006D3AC3" w:rsidRDefault="00683DE9" w:rsidP="00E95603">
      <w:pPr>
        <w:pStyle w:val="DPSEntryIndents"/>
        <w:rPr>
          <w:lang w:eastAsia="en-US"/>
        </w:rPr>
      </w:pPr>
      <w:r w:rsidRPr="006D3AC3">
        <w:rPr>
          <w:lang w:eastAsia="en-US"/>
        </w:rPr>
        <w:t>notes:</w:t>
      </w:r>
    </w:p>
    <w:p w:rsidR="00683DE9" w:rsidRPr="00E55119" w:rsidRDefault="00683DE9" w:rsidP="007A0726">
      <w:pPr>
        <w:pStyle w:val="DPSEntryIndents"/>
        <w:numPr>
          <w:ilvl w:val="1"/>
          <w:numId w:val="1"/>
        </w:numPr>
      </w:pPr>
      <w:r w:rsidRPr="00E55119">
        <w:t>in 2014, a review of the National Capital Plan was undertaken to better balance land use options for the ACT;</w:t>
      </w:r>
    </w:p>
    <w:p w:rsidR="00683DE9" w:rsidRPr="00E55119" w:rsidRDefault="00683DE9" w:rsidP="007A0726">
      <w:pPr>
        <w:pStyle w:val="DPSEntryIndents"/>
        <w:numPr>
          <w:ilvl w:val="1"/>
          <w:numId w:val="1"/>
        </w:numPr>
      </w:pPr>
      <w:r w:rsidRPr="00E55119">
        <w:t>in 2016, the National Capital Plan was amended, greatly reducing the amount of ACT land controlled by the Commonwealth and transferring it to the jurisdiction of the ACT Government;</w:t>
      </w:r>
    </w:p>
    <w:p w:rsidR="00683DE9" w:rsidRPr="00E55119" w:rsidRDefault="00683DE9" w:rsidP="007A0726">
      <w:pPr>
        <w:pStyle w:val="DPSEntryIndents"/>
        <w:numPr>
          <w:ilvl w:val="1"/>
          <w:numId w:val="1"/>
        </w:numPr>
      </w:pPr>
      <w:r w:rsidRPr="00E55119">
        <w:t>as part of the amended National Capital Plan, the National Capital Authority identified 726 hectares of land in Tuggeranong, west of the Murrumbidgee, as suitable for potential residential development;</w:t>
      </w:r>
      <w:r w:rsidR="00C762F5">
        <w:t xml:space="preserve"> and</w:t>
      </w:r>
    </w:p>
    <w:p w:rsidR="00683DE9" w:rsidRPr="00E55119" w:rsidRDefault="00683DE9" w:rsidP="007A0726">
      <w:pPr>
        <w:pStyle w:val="DPSEntryIndents"/>
        <w:numPr>
          <w:ilvl w:val="1"/>
          <w:numId w:val="1"/>
        </w:numPr>
      </w:pPr>
      <w:r w:rsidRPr="00E55119">
        <w:t xml:space="preserve">the ACT </w:t>
      </w:r>
      <w:proofErr w:type="spellStart"/>
      <w:r w:rsidRPr="00E55119">
        <w:t>Labor</w:t>
      </w:r>
      <w:proofErr w:type="spellEnd"/>
      <w:r w:rsidRPr="00E55119">
        <w:t>-Greens Government has the jurisdictional authority to release this additional land in West Tuggeranong for residential purposes;</w:t>
      </w:r>
    </w:p>
    <w:p w:rsidR="00683DE9" w:rsidRPr="006D3AC3" w:rsidRDefault="00683DE9" w:rsidP="00E95603">
      <w:pPr>
        <w:pStyle w:val="DPSEntryIndents"/>
        <w:rPr>
          <w:lang w:eastAsia="en-US"/>
        </w:rPr>
      </w:pPr>
      <w:r w:rsidRPr="006D3AC3">
        <w:rPr>
          <w:lang w:eastAsia="en-US"/>
        </w:rPr>
        <w:t>further notes:</w:t>
      </w:r>
    </w:p>
    <w:p w:rsidR="00683DE9" w:rsidRPr="006D3AC3" w:rsidRDefault="00683DE9" w:rsidP="007A0726">
      <w:pPr>
        <w:pStyle w:val="DPSEntryIndents"/>
        <w:numPr>
          <w:ilvl w:val="1"/>
          <w:numId w:val="1"/>
        </w:numPr>
        <w:rPr>
          <w:lang w:eastAsia="en-US"/>
        </w:rPr>
      </w:pPr>
      <w:r w:rsidRPr="006D3AC3">
        <w:rPr>
          <w:lang w:eastAsia="en-US"/>
        </w:rPr>
        <w:t xml:space="preserve">there is a housing crisis in Canberra, driven in part by the decisions of the ACT </w:t>
      </w:r>
      <w:proofErr w:type="spellStart"/>
      <w:r w:rsidRPr="006D3AC3">
        <w:rPr>
          <w:lang w:eastAsia="en-US"/>
        </w:rPr>
        <w:t>Labor</w:t>
      </w:r>
      <w:proofErr w:type="spellEnd"/>
      <w:r w:rsidRPr="006D3AC3">
        <w:rPr>
          <w:lang w:eastAsia="en-US"/>
        </w:rPr>
        <w:t>-Greens Government;</w:t>
      </w:r>
    </w:p>
    <w:p w:rsidR="00683DE9" w:rsidRPr="006D3AC3" w:rsidRDefault="00683DE9" w:rsidP="007A0726">
      <w:pPr>
        <w:pStyle w:val="DPSEntryIndents"/>
        <w:numPr>
          <w:ilvl w:val="1"/>
          <w:numId w:val="1"/>
        </w:numPr>
        <w:rPr>
          <w:lang w:eastAsia="en-US"/>
        </w:rPr>
      </w:pPr>
      <w:r w:rsidRPr="006D3AC3">
        <w:rPr>
          <w:lang w:eastAsia="en-US"/>
        </w:rPr>
        <w:t>12</w:t>
      </w:r>
      <w:r w:rsidR="00E55119">
        <w:rPr>
          <w:lang w:eastAsia="en-US"/>
        </w:rPr>
        <w:t xml:space="preserve"> </w:t>
      </w:r>
      <w:r w:rsidRPr="006D3AC3">
        <w:rPr>
          <w:lang w:eastAsia="en-US"/>
        </w:rPr>
        <w:t xml:space="preserve">417 </w:t>
      </w:r>
      <w:proofErr w:type="spellStart"/>
      <w:r w:rsidRPr="006D3AC3">
        <w:rPr>
          <w:lang w:eastAsia="en-US"/>
        </w:rPr>
        <w:t>Canberrans</w:t>
      </w:r>
      <w:proofErr w:type="spellEnd"/>
      <w:r w:rsidRPr="006D3AC3">
        <w:rPr>
          <w:lang w:eastAsia="en-US"/>
        </w:rPr>
        <w:t xml:space="preserve"> applied for 101 blocks of land in Whitlam in March 2022;</w:t>
      </w:r>
    </w:p>
    <w:p w:rsidR="00683DE9" w:rsidRPr="006D3AC3" w:rsidRDefault="00683DE9" w:rsidP="007A0726">
      <w:pPr>
        <w:pStyle w:val="DPSEntryIndents"/>
        <w:numPr>
          <w:ilvl w:val="1"/>
          <w:numId w:val="1"/>
        </w:numPr>
        <w:rPr>
          <w:lang w:eastAsia="en-US"/>
        </w:rPr>
      </w:pPr>
      <w:r w:rsidRPr="006D3AC3">
        <w:rPr>
          <w:lang w:eastAsia="en-US"/>
        </w:rPr>
        <w:t>8</w:t>
      </w:r>
      <w:r w:rsidR="00E55119">
        <w:rPr>
          <w:lang w:eastAsia="en-US"/>
        </w:rPr>
        <w:t xml:space="preserve"> </w:t>
      </w:r>
      <w:r w:rsidRPr="006D3AC3">
        <w:rPr>
          <w:lang w:eastAsia="en-US"/>
        </w:rPr>
        <w:t xml:space="preserve">700 </w:t>
      </w:r>
      <w:proofErr w:type="spellStart"/>
      <w:r w:rsidRPr="006D3AC3">
        <w:rPr>
          <w:lang w:eastAsia="en-US"/>
        </w:rPr>
        <w:t>Canberrans</w:t>
      </w:r>
      <w:proofErr w:type="spellEnd"/>
      <w:r w:rsidRPr="006D3AC3">
        <w:rPr>
          <w:lang w:eastAsia="en-US"/>
        </w:rPr>
        <w:t xml:space="preserve"> applied for 71 blocks of land in </w:t>
      </w:r>
      <w:proofErr w:type="spellStart"/>
      <w:r w:rsidRPr="006D3AC3">
        <w:rPr>
          <w:lang w:eastAsia="en-US"/>
        </w:rPr>
        <w:t>Macnamara</w:t>
      </w:r>
      <w:proofErr w:type="spellEnd"/>
      <w:r w:rsidRPr="006D3AC3">
        <w:rPr>
          <w:lang w:eastAsia="en-US"/>
        </w:rPr>
        <w:t xml:space="preserve"> in February 2022;</w:t>
      </w:r>
    </w:p>
    <w:p w:rsidR="00683DE9" w:rsidRPr="006D3AC3" w:rsidRDefault="00683DE9" w:rsidP="007A0726">
      <w:pPr>
        <w:pStyle w:val="DPSEntryIndents"/>
        <w:numPr>
          <w:ilvl w:val="1"/>
          <w:numId w:val="1"/>
        </w:numPr>
        <w:rPr>
          <w:lang w:eastAsia="en-US"/>
        </w:rPr>
      </w:pPr>
      <w:r w:rsidRPr="006D3AC3">
        <w:rPr>
          <w:lang w:eastAsia="en-US"/>
        </w:rPr>
        <w:t>7</w:t>
      </w:r>
      <w:r w:rsidR="00E55119">
        <w:rPr>
          <w:lang w:eastAsia="en-US"/>
        </w:rPr>
        <w:t xml:space="preserve"> </w:t>
      </w:r>
      <w:r w:rsidRPr="006D3AC3">
        <w:rPr>
          <w:lang w:eastAsia="en-US"/>
        </w:rPr>
        <w:t xml:space="preserve">484 </w:t>
      </w:r>
      <w:proofErr w:type="spellStart"/>
      <w:r w:rsidRPr="006D3AC3">
        <w:rPr>
          <w:lang w:eastAsia="en-US"/>
        </w:rPr>
        <w:t>Canberrans</w:t>
      </w:r>
      <w:proofErr w:type="spellEnd"/>
      <w:r w:rsidRPr="006D3AC3">
        <w:rPr>
          <w:lang w:eastAsia="en-US"/>
        </w:rPr>
        <w:t xml:space="preserve"> applied for 115 blocks of land in Taylor in October 2021;</w:t>
      </w:r>
    </w:p>
    <w:p w:rsidR="00683DE9" w:rsidRPr="006D3AC3" w:rsidRDefault="00683DE9" w:rsidP="007A0726">
      <w:pPr>
        <w:pStyle w:val="DPSEntryIndents"/>
        <w:numPr>
          <w:ilvl w:val="1"/>
          <w:numId w:val="1"/>
        </w:numPr>
        <w:rPr>
          <w:lang w:eastAsia="en-US"/>
        </w:rPr>
      </w:pPr>
      <w:r w:rsidRPr="006D3AC3">
        <w:rPr>
          <w:lang w:eastAsia="en-US"/>
        </w:rPr>
        <w:t>7</w:t>
      </w:r>
      <w:r w:rsidR="00E55119">
        <w:rPr>
          <w:lang w:eastAsia="en-US"/>
        </w:rPr>
        <w:t xml:space="preserve"> </w:t>
      </w:r>
      <w:r w:rsidRPr="006D3AC3">
        <w:rPr>
          <w:lang w:eastAsia="en-US"/>
        </w:rPr>
        <w:t xml:space="preserve">566 </w:t>
      </w:r>
      <w:proofErr w:type="spellStart"/>
      <w:r w:rsidRPr="006D3AC3">
        <w:rPr>
          <w:lang w:eastAsia="en-US"/>
        </w:rPr>
        <w:t>Canberrans</w:t>
      </w:r>
      <w:proofErr w:type="spellEnd"/>
      <w:r w:rsidRPr="006D3AC3">
        <w:rPr>
          <w:lang w:eastAsia="en-US"/>
        </w:rPr>
        <w:t xml:space="preserve"> applied for 92 blocks of land in Whitlam in March 2021;</w:t>
      </w:r>
    </w:p>
    <w:p w:rsidR="00683DE9" w:rsidRPr="006D3AC3" w:rsidRDefault="00683DE9" w:rsidP="007A0726">
      <w:pPr>
        <w:pStyle w:val="DPSEntryIndents"/>
        <w:numPr>
          <w:ilvl w:val="1"/>
          <w:numId w:val="1"/>
        </w:numPr>
        <w:rPr>
          <w:lang w:eastAsia="en-US"/>
        </w:rPr>
      </w:pPr>
      <w:r w:rsidRPr="006D3AC3">
        <w:rPr>
          <w:lang w:eastAsia="en-US"/>
        </w:rPr>
        <w:t xml:space="preserve">there is clear demand for blocks of land for detached housing, and the </w:t>
      </w:r>
      <w:proofErr w:type="spellStart"/>
      <w:r w:rsidRPr="006D3AC3">
        <w:rPr>
          <w:lang w:eastAsia="en-US"/>
        </w:rPr>
        <w:t>Labor</w:t>
      </w:r>
      <w:proofErr w:type="spellEnd"/>
      <w:r w:rsidRPr="006D3AC3">
        <w:rPr>
          <w:lang w:eastAsia="en-US"/>
        </w:rPr>
        <w:t>-Greens Government</w:t>
      </w:r>
      <w:r w:rsidR="00DF7FAE">
        <w:rPr>
          <w:lang w:eastAsia="en-US"/>
        </w:rPr>
        <w:t>’</w:t>
      </w:r>
      <w:r w:rsidRPr="006D3AC3">
        <w:rPr>
          <w:lang w:eastAsia="en-US"/>
        </w:rPr>
        <w:t>s land release strategy does not meet the community</w:t>
      </w:r>
      <w:r w:rsidR="00DF7FAE">
        <w:rPr>
          <w:lang w:eastAsia="en-US"/>
        </w:rPr>
        <w:t>’</w:t>
      </w:r>
      <w:r w:rsidRPr="006D3AC3">
        <w:rPr>
          <w:lang w:eastAsia="en-US"/>
        </w:rPr>
        <w:t>s needs or wants;</w:t>
      </w:r>
    </w:p>
    <w:p w:rsidR="00683DE9" w:rsidRPr="006D3AC3" w:rsidRDefault="00683DE9" w:rsidP="007A0726">
      <w:pPr>
        <w:pStyle w:val="DPSEntryIndents"/>
        <w:numPr>
          <w:ilvl w:val="1"/>
          <w:numId w:val="1"/>
        </w:numPr>
        <w:rPr>
          <w:lang w:eastAsia="en-US"/>
        </w:rPr>
      </w:pPr>
      <w:r w:rsidRPr="006D3AC3">
        <w:rPr>
          <w:lang w:eastAsia="en-US"/>
        </w:rPr>
        <w:t>more must be done to increase the supply of detached housing in Canberra; and</w:t>
      </w:r>
    </w:p>
    <w:p w:rsidR="00683DE9" w:rsidRPr="006D3AC3" w:rsidRDefault="00683DE9" w:rsidP="007A0726">
      <w:pPr>
        <w:pStyle w:val="DPSEntryIndents"/>
        <w:numPr>
          <w:ilvl w:val="1"/>
          <w:numId w:val="1"/>
        </w:numPr>
        <w:rPr>
          <w:lang w:eastAsia="en-US"/>
        </w:rPr>
      </w:pPr>
      <w:r w:rsidRPr="006D3AC3">
        <w:rPr>
          <w:lang w:eastAsia="en-US"/>
        </w:rPr>
        <w:t>medium and high density housing, such as townhouses and apartments, form part of a balanced approach to provide more choice; and</w:t>
      </w:r>
    </w:p>
    <w:p w:rsidR="00683DE9" w:rsidRPr="006D3AC3" w:rsidRDefault="00683DE9" w:rsidP="00E95603">
      <w:pPr>
        <w:pStyle w:val="DPSEntryIndents"/>
        <w:rPr>
          <w:lang w:eastAsia="en-US"/>
        </w:rPr>
      </w:pPr>
      <w:r w:rsidRPr="006D3AC3">
        <w:rPr>
          <w:lang w:eastAsia="en-US"/>
        </w:rPr>
        <w:t>calls on the ACT Government to:</w:t>
      </w:r>
    </w:p>
    <w:p w:rsidR="00683DE9" w:rsidRPr="006D3AC3" w:rsidRDefault="00683DE9" w:rsidP="007A0726">
      <w:pPr>
        <w:pStyle w:val="DPSEntryIndents"/>
        <w:numPr>
          <w:ilvl w:val="1"/>
          <w:numId w:val="1"/>
        </w:numPr>
        <w:rPr>
          <w:lang w:eastAsia="en-US"/>
        </w:rPr>
      </w:pPr>
      <w:r w:rsidRPr="006D3AC3">
        <w:rPr>
          <w:lang w:eastAsia="en-US"/>
        </w:rPr>
        <w:t xml:space="preserve">provide </w:t>
      </w:r>
      <w:proofErr w:type="spellStart"/>
      <w:r w:rsidRPr="006D3AC3">
        <w:rPr>
          <w:lang w:eastAsia="en-US"/>
        </w:rPr>
        <w:t>Canberrans</w:t>
      </w:r>
      <w:proofErr w:type="spellEnd"/>
      <w:r w:rsidRPr="006D3AC3">
        <w:rPr>
          <w:lang w:eastAsia="en-US"/>
        </w:rPr>
        <w:t xml:space="preserve"> with more choice, including land for detached and medium-density housing in the Indicative Land Release Program;</w:t>
      </w:r>
    </w:p>
    <w:p w:rsidR="00683DE9" w:rsidRPr="006D3AC3" w:rsidRDefault="00683DE9" w:rsidP="007A0726">
      <w:pPr>
        <w:pStyle w:val="DPSEntryIndents"/>
        <w:numPr>
          <w:ilvl w:val="1"/>
          <w:numId w:val="1"/>
        </w:numPr>
        <w:rPr>
          <w:lang w:eastAsia="en-US"/>
        </w:rPr>
      </w:pPr>
      <w:r w:rsidRPr="006D3AC3">
        <w:rPr>
          <w:lang w:eastAsia="en-US"/>
        </w:rPr>
        <w:t xml:space="preserve">give proper consideration to possible future suburban sites now permitted by the National Capital Plan; </w:t>
      </w:r>
    </w:p>
    <w:p w:rsidR="00683DE9" w:rsidRPr="006D3AC3" w:rsidRDefault="00683DE9" w:rsidP="007A0726">
      <w:pPr>
        <w:pStyle w:val="DPSEntryIndents"/>
        <w:numPr>
          <w:ilvl w:val="1"/>
          <w:numId w:val="1"/>
        </w:numPr>
        <w:rPr>
          <w:lang w:eastAsia="en-US"/>
        </w:rPr>
      </w:pPr>
      <w:r w:rsidRPr="006D3AC3">
        <w:rPr>
          <w:lang w:eastAsia="en-US"/>
        </w:rPr>
        <w:lastRenderedPageBreak/>
        <w:t>commit to a feasibility study into the West Tuggeranong site and its potential for residential development and in doing so, take into consideration:</w:t>
      </w:r>
    </w:p>
    <w:p w:rsidR="00683DE9" w:rsidRPr="006D3AC3" w:rsidRDefault="00683DE9" w:rsidP="007A0726">
      <w:pPr>
        <w:pStyle w:val="DPSEntryIndents"/>
        <w:numPr>
          <w:ilvl w:val="2"/>
          <w:numId w:val="1"/>
        </w:numPr>
        <w:rPr>
          <w:lang w:eastAsia="en-US"/>
        </w:rPr>
      </w:pPr>
      <w:r w:rsidRPr="006D3AC3">
        <w:rPr>
          <w:lang w:eastAsia="en-US"/>
        </w:rPr>
        <w:t xml:space="preserve">housing affordability for thousands of </w:t>
      </w:r>
      <w:proofErr w:type="spellStart"/>
      <w:r w:rsidRPr="006D3AC3">
        <w:rPr>
          <w:lang w:eastAsia="en-US"/>
        </w:rPr>
        <w:t>Canberrans</w:t>
      </w:r>
      <w:proofErr w:type="spellEnd"/>
      <w:r w:rsidRPr="006D3AC3">
        <w:rPr>
          <w:lang w:eastAsia="en-US"/>
        </w:rPr>
        <w:t xml:space="preserve"> who want the option to purchase land for a detached house;</w:t>
      </w:r>
    </w:p>
    <w:p w:rsidR="00683DE9" w:rsidRPr="006D3AC3" w:rsidRDefault="00683DE9" w:rsidP="007A0726">
      <w:pPr>
        <w:pStyle w:val="DPSEntryIndents"/>
        <w:numPr>
          <w:ilvl w:val="2"/>
          <w:numId w:val="1"/>
        </w:numPr>
        <w:rPr>
          <w:lang w:eastAsia="en-US"/>
        </w:rPr>
      </w:pPr>
      <w:r w:rsidRPr="006D3AC3">
        <w:rPr>
          <w:lang w:eastAsia="en-US"/>
        </w:rPr>
        <w:t>identification and assessment of environmental impacts, including minimisation, mitigation and offsets; and</w:t>
      </w:r>
    </w:p>
    <w:p w:rsidR="00683DE9" w:rsidRPr="006D3AC3" w:rsidRDefault="00683DE9" w:rsidP="007A0726">
      <w:pPr>
        <w:pStyle w:val="DPSEntryIndents"/>
        <w:numPr>
          <w:ilvl w:val="2"/>
          <w:numId w:val="1"/>
        </w:numPr>
        <w:rPr>
          <w:lang w:eastAsia="en-US"/>
        </w:rPr>
      </w:pPr>
      <w:r w:rsidRPr="006D3AC3">
        <w:rPr>
          <w:lang w:eastAsia="en-US"/>
        </w:rPr>
        <w:t>the future infrastructure needs of any potential new residential development to deliver essential services; and</w:t>
      </w:r>
    </w:p>
    <w:p w:rsidR="00CC5F38" w:rsidRPr="00CC5F38" w:rsidRDefault="00683DE9" w:rsidP="007A0726">
      <w:pPr>
        <w:pStyle w:val="DPSEntryIndents"/>
        <w:numPr>
          <w:ilvl w:val="1"/>
          <w:numId w:val="1"/>
        </w:numPr>
        <w:rPr>
          <w:color w:val="000000"/>
        </w:rPr>
      </w:pPr>
      <w:r w:rsidRPr="006D3AC3">
        <w:rPr>
          <w:lang w:eastAsia="en-US"/>
        </w:rPr>
        <w:t>report back to the Assembly by the last sitting day in 2022.</w:t>
      </w:r>
    </w:p>
    <w:p w:rsidR="00CC5F38" w:rsidRDefault="00E87521" w:rsidP="00CC5F38">
      <w:pPr>
        <w:spacing w:before="120"/>
        <w:ind w:left="720" w:right="-35"/>
        <w:rPr>
          <w:rFonts w:ascii="Calibri" w:hAnsi="Calibri"/>
          <w:color w:val="000000"/>
          <w:lang w:val="en-AU"/>
        </w:rPr>
      </w:pPr>
      <w:r>
        <w:rPr>
          <w:rFonts w:ascii="Calibri" w:hAnsi="Calibri"/>
          <w:color w:val="000000"/>
          <w:lang w:val="en-AU"/>
        </w:rPr>
        <w:t>Mr Gentleman (Minister for Planning and Land Management) moved the following amendment:</w:t>
      </w:r>
    </w:p>
    <w:p w:rsidR="00E87521" w:rsidRDefault="00556D17" w:rsidP="00CC5F38">
      <w:pPr>
        <w:spacing w:before="120"/>
        <w:ind w:left="720" w:right="-35"/>
        <w:rPr>
          <w:rFonts w:ascii="Calibri" w:hAnsi="Calibri"/>
          <w:color w:val="000000"/>
          <w:lang w:val="en-AU"/>
        </w:rPr>
      </w:pPr>
      <w:r>
        <w:rPr>
          <w:rFonts w:ascii="Calibri" w:hAnsi="Calibri"/>
          <w:color w:val="000000"/>
          <w:lang w:val="en-AU"/>
        </w:rPr>
        <w:t xml:space="preserve">Omit all text after </w:t>
      </w:r>
      <w:r w:rsidR="00DF7FAE">
        <w:rPr>
          <w:rFonts w:ascii="Calibri" w:hAnsi="Calibri"/>
          <w:color w:val="000000"/>
          <w:lang w:val="en-AU"/>
        </w:rPr>
        <w:t>‘</w:t>
      </w:r>
      <w:r>
        <w:rPr>
          <w:rFonts w:ascii="Calibri" w:hAnsi="Calibri"/>
          <w:color w:val="000000"/>
          <w:lang w:val="en-AU"/>
        </w:rPr>
        <w:t>That this Assembly</w:t>
      </w:r>
      <w:r w:rsidR="00DF7FAE">
        <w:rPr>
          <w:rFonts w:ascii="Calibri" w:hAnsi="Calibri"/>
          <w:color w:val="000000"/>
          <w:lang w:val="en-AU"/>
        </w:rPr>
        <w:t>’</w:t>
      </w:r>
      <w:r>
        <w:rPr>
          <w:rFonts w:ascii="Calibri" w:hAnsi="Calibri"/>
          <w:color w:val="000000"/>
          <w:lang w:val="en-AU"/>
        </w:rPr>
        <w:t xml:space="preserve"> and substitute:</w:t>
      </w:r>
    </w:p>
    <w:p w:rsidR="00556D17" w:rsidRDefault="00DF7FAE" w:rsidP="007A0726">
      <w:pPr>
        <w:tabs>
          <w:tab w:val="left" w:pos="1350"/>
        </w:tabs>
        <w:spacing w:before="120"/>
        <w:ind w:left="720" w:right="-35"/>
        <w:rPr>
          <w:rFonts w:ascii="Calibri" w:hAnsi="Calibri"/>
          <w:color w:val="000000"/>
          <w:lang w:val="en-AU"/>
        </w:rPr>
      </w:pPr>
      <w:r>
        <w:rPr>
          <w:rFonts w:ascii="Calibri" w:hAnsi="Calibri"/>
          <w:color w:val="000000"/>
          <w:lang w:val="en-AU"/>
        </w:rPr>
        <w:t>“</w:t>
      </w:r>
      <w:r w:rsidR="007A0726">
        <w:rPr>
          <w:rFonts w:ascii="Calibri" w:hAnsi="Calibri"/>
          <w:color w:val="000000"/>
          <w:lang w:val="en-AU"/>
        </w:rPr>
        <w:t>(1)</w:t>
      </w:r>
      <w:r w:rsidR="007A0726">
        <w:rPr>
          <w:rFonts w:ascii="Calibri" w:hAnsi="Calibri"/>
          <w:color w:val="000000"/>
          <w:lang w:val="en-AU"/>
        </w:rPr>
        <w:tab/>
        <w:t>n</w:t>
      </w:r>
      <w:r w:rsidR="00556D17">
        <w:rPr>
          <w:rFonts w:ascii="Calibri" w:hAnsi="Calibri"/>
          <w:color w:val="000000"/>
          <w:lang w:val="en-AU"/>
        </w:rPr>
        <w:t>otes that:</w:t>
      </w:r>
    </w:p>
    <w:p w:rsidR="00556D17" w:rsidRDefault="00982BA1" w:rsidP="007A0726">
      <w:pPr>
        <w:pStyle w:val="DPSEntryIndentsLev2"/>
        <w:numPr>
          <w:ilvl w:val="0"/>
          <w:numId w:val="10"/>
        </w:numPr>
        <w:tabs>
          <w:tab w:val="clear" w:pos="1915"/>
          <w:tab w:val="left" w:pos="1890"/>
        </w:tabs>
        <w:ind w:left="1890" w:hanging="540"/>
      </w:pPr>
      <w:r>
        <w:t xml:space="preserve">the ACT Government conducted initial planning studies </w:t>
      </w:r>
      <w:r w:rsidR="006D552E">
        <w:t>in West Murrumbidgee in 2015 and found that:</w:t>
      </w:r>
    </w:p>
    <w:p w:rsidR="006D552E" w:rsidRDefault="00E034B1" w:rsidP="007A0726">
      <w:pPr>
        <w:pStyle w:val="DPSEntryIndents"/>
        <w:numPr>
          <w:ilvl w:val="2"/>
          <w:numId w:val="1"/>
        </w:numPr>
      </w:pPr>
      <w:r>
        <w:t>the area is restricted in terms of conservation areas and reserves, threatened species and ecological communities, heritage and topography;</w:t>
      </w:r>
    </w:p>
    <w:p w:rsidR="00355B8F" w:rsidRDefault="00355B8F" w:rsidP="007A0726">
      <w:pPr>
        <w:pStyle w:val="DPSEntryIndents"/>
        <w:numPr>
          <w:ilvl w:val="2"/>
          <w:numId w:val="1"/>
        </w:numPr>
      </w:pPr>
      <w:r>
        <w:t>the environmental constraints and topography both limit the developable area and make infrastructure servicing expensive;</w:t>
      </w:r>
    </w:p>
    <w:p w:rsidR="00E034B1" w:rsidRDefault="00355B8F" w:rsidP="007A0726">
      <w:pPr>
        <w:pStyle w:val="DPSEntryIndents"/>
        <w:numPr>
          <w:ilvl w:val="2"/>
          <w:numId w:val="1"/>
        </w:numPr>
      </w:pPr>
      <w:r>
        <w:t>the Murrumbidgee River is a significant boundary to urban development, both from a landscape and practical perspective; and</w:t>
      </w:r>
    </w:p>
    <w:p w:rsidR="00355B8F" w:rsidRDefault="00355B8F" w:rsidP="007A0726">
      <w:pPr>
        <w:pStyle w:val="DPSEntryIndents"/>
        <w:numPr>
          <w:ilvl w:val="2"/>
          <w:numId w:val="1"/>
        </w:numPr>
      </w:pPr>
      <w:r>
        <w:t>other areas need to be considered to determine if they could be developed more effectively and with less environmental impact;</w:t>
      </w:r>
    </w:p>
    <w:p w:rsidR="00355B8F" w:rsidRDefault="00355B8F" w:rsidP="007A0726">
      <w:pPr>
        <w:pStyle w:val="DPSEntryIndentsLev2"/>
        <w:numPr>
          <w:ilvl w:val="0"/>
          <w:numId w:val="10"/>
        </w:numPr>
        <w:tabs>
          <w:tab w:val="clear" w:pos="1915"/>
          <w:tab w:val="left" w:pos="1890"/>
        </w:tabs>
        <w:ind w:left="1890" w:hanging="540"/>
      </w:pPr>
      <w:r>
        <w:t>the ACT Government considered development in West Greenway, between the Tuggeranong Town Centre and the Murrumbidgee River, in 2016 and found that:</w:t>
      </w:r>
    </w:p>
    <w:p w:rsidR="00355B8F" w:rsidRDefault="00355B8F" w:rsidP="007A0726">
      <w:pPr>
        <w:pStyle w:val="DPSEntryIndents"/>
        <w:numPr>
          <w:ilvl w:val="2"/>
          <w:numId w:val="14"/>
        </w:numPr>
      </w:pPr>
      <w:r>
        <w:t>community, sporting and environmental groups opposed the development; and</w:t>
      </w:r>
    </w:p>
    <w:p w:rsidR="00355B8F" w:rsidRDefault="00355B8F" w:rsidP="007A0726">
      <w:pPr>
        <w:pStyle w:val="DPSEntryIndents"/>
        <w:numPr>
          <w:ilvl w:val="2"/>
          <w:numId w:val="14"/>
        </w:numPr>
      </w:pPr>
      <w:r>
        <w:t>the area close to the Murrumbidgee River corridor is home to endangered flora and fauna as well as natural and built heritage sites;</w:t>
      </w:r>
    </w:p>
    <w:p w:rsidR="00355B8F" w:rsidRDefault="00355B8F" w:rsidP="007A0726">
      <w:pPr>
        <w:pStyle w:val="DPSEntryIndentsLev2"/>
        <w:numPr>
          <w:ilvl w:val="0"/>
          <w:numId w:val="10"/>
        </w:numPr>
        <w:tabs>
          <w:tab w:val="clear" w:pos="1915"/>
          <w:tab w:val="left" w:pos="1890"/>
        </w:tabs>
        <w:ind w:left="1890" w:hanging="540"/>
      </w:pPr>
      <w:r>
        <w:t>the ACT Government has commen</w:t>
      </w:r>
      <w:r w:rsidR="00C762F5">
        <w:t>c</w:t>
      </w:r>
      <w:r>
        <w:t>ed preliminary investigations for potential future greenfield development in the Western Edge; and</w:t>
      </w:r>
    </w:p>
    <w:p w:rsidR="00355B8F" w:rsidRDefault="00656CF1" w:rsidP="007A0726">
      <w:pPr>
        <w:pStyle w:val="DPSEntryIndentsLev2"/>
        <w:numPr>
          <w:ilvl w:val="0"/>
          <w:numId w:val="10"/>
        </w:numPr>
        <w:tabs>
          <w:tab w:val="clear" w:pos="1915"/>
          <w:tab w:val="left" w:pos="1890"/>
        </w:tabs>
        <w:ind w:left="1890" w:hanging="540"/>
      </w:pPr>
      <w:r>
        <w:t>the CT Government ruled out development in West Murrumbidgee in the 2018 Planning Strategy;</w:t>
      </w:r>
    </w:p>
    <w:p w:rsidR="00656CF1" w:rsidRDefault="00656CF1" w:rsidP="007A0726">
      <w:pPr>
        <w:pStyle w:val="DPSEntryIndentsLev1"/>
        <w:numPr>
          <w:ilvl w:val="0"/>
          <w:numId w:val="12"/>
        </w:numPr>
        <w:tabs>
          <w:tab w:val="clear" w:pos="1368"/>
          <w:tab w:val="left" w:pos="1350"/>
        </w:tabs>
        <w:ind w:left="1350" w:hanging="630"/>
      </w:pPr>
      <w:r>
        <w:t>further notes that:</w:t>
      </w:r>
    </w:p>
    <w:p w:rsidR="00656CF1" w:rsidRDefault="00656CF1" w:rsidP="007A0726">
      <w:pPr>
        <w:pStyle w:val="DPSEntryIndentsLev2"/>
        <w:numPr>
          <w:ilvl w:val="0"/>
          <w:numId w:val="15"/>
        </w:numPr>
        <w:tabs>
          <w:tab w:val="clear" w:pos="1915"/>
          <w:tab w:val="left" w:pos="1890"/>
        </w:tabs>
        <w:ind w:left="1890" w:hanging="540"/>
      </w:pPr>
      <w:r>
        <w:t>Australia, including the ACT, is facing significant increases in house prices;</w:t>
      </w:r>
    </w:p>
    <w:p w:rsidR="00656CF1" w:rsidRDefault="00C762F5" w:rsidP="007A0726">
      <w:pPr>
        <w:pStyle w:val="DPSEntryIndentsLev2"/>
        <w:numPr>
          <w:ilvl w:val="0"/>
          <w:numId w:val="15"/>
        </w:numPr>
        <w:tabs>
          <w:tab w:val="clear" w:pos="1915"/>
          <w:tab w:val="left" w:pos="1890"/>
        </w:tabs>
        <w:ind w:left="1890" w:hanging="540"/>
      </w:pPr>
      <w:r>
        <w:lastRenderedPageBreak/>
        <w:t>d</w:t>
      </w:r>
      <w:r w:rsidR="00656CF1">
        <w:t xml:space="preserve">evelopment of </w:t>
      </w:r>
      <w:proofErr w:type="spellStart"/>
      <w:r w:rsidR="00656CF1">
        <w:t>greenfields</w:t>
      </w:r>
      <w:proofErr w:type="spellEnd"/>
      <w:r w:rsidR="00656CF1">
        <w:t xml:space="preserve"> land takes approximately seven to ten years before housing is available, due to a range of factors;</w:t>
      </w:r>
    </w:p>
    <w:p w:rsidR="00656CF1" w:rsidRDefault="00C762F5" w:rsidP="007A0726">
      <w:pPr>
        <w:pStyle w:val="DPSEntryIndentsLev2"/>
        <w:numPr>
          <w:ilvl w:val="0"/>
          <w:numId w:val="15"/>
        </w:numPr>
        <w:tabs>
          <w:tab w:val="clear" w:pos="1915"/>
          <w:tab w:val="left" w:pos="1890"/>
        </w:tabs>
        <w:ind w:left="1890" w:hanging="540"/>
      </w:pPr>
      <w:r>
        <w:t>t</w:t>
      </w:r>
      <w:r w:rsidR="00656CF1">
        <w:t>he ACT Government is committed to ensuring 70 percent of development is within our existing urban footprint;</w:t>
      </w:r>
    </w:p>
    <w:p w:rsidR="00656CF1" w:rsidRDefault="00C762F5" w:rsidP="007A0726">
      <w:pPr>
        <w:pStyle w:val="DPSEntryIndentsLev2"/>
        <w:numPr>
          <w:ilvl w:val="0"/>
          <w:numId w:val="10"/>
        </w:numPr>
        <w:tabs>
          <w:tab w:val="clear" w:pos="1915"/>
          <w:tab w:val="left" w:pos="1890"/>
        </w:tabs>
        <w:ind w:left="1890" w:hanging="540"/>
      </w:pPr>
      <w:r>
        <w:t>t</w:t>
      </w:r>
      <w:r w:rsidR="00656CF1">
        <w:t>he ACT Government is committed to protecting environmental habitat and ensuring proper environmental assessments are conducted prior to any land release;</w:t>
      </w:r>
    </w:p>
    <w:p w:rsidR="00656CF1" w:rsidRDefault="00C762F5" w:rsidP="007A0726">
      <w:pPr>
        <w:pStyle w:val="DPSEntryIndentsLev2"/>
        <w:numPr>
          <w:ilvl w:val="0"/>
          <w:numId w:val="10"/>
        </w:numPr>
        <w:tabs>
          <w:tab w:val="clear" w:pos="1915"/>
          <w:tab w:val="left" w:pos="1890"/>
        </w:tabs>
        <w:ind w:left="1890" w:hanging="540"/>
      </w:pPr>
      <w:r>
        <w:t>t</w:t>
      </w:r>
      <w:r w:rsidR="00656CF1">
        <w:t>he ACT Government is committed to taking action on climate change which, as highlighted by recent IPCC reports, requires less urban sprawl and more high-quality climate-resilient infill along transit corridors that are well-serviced by public and active transport;</w:t>
      </w:r>
      <w:r>
        <w:t xml:space="preserve"> and</w:t>
      </w:r>
    </w:p>
    <w:p w:rsidR="00656CF1" w:rsidRDefault="00656CF1" w:rsidP="007A0726">
      <w:pPr>
        <w:pStyle w:val="DPSEntryIndentsLev2"/>
        <w:numPr>
          <w:ilvl w:val="0"/>
          <w:numId w:val="10"/>
        </w:numPr>
        <w:tabs>
          <w:tab w:val="clear" w:pos="1915"/>
          <w:tab w:val="left" w:pos="1890"/>
        </w:tabs>
        <w:ind w:left="1890" w:hanging="540"/>
      </w:pPr>
      <w:r>
        <w:t>Legislative Assembly Committees are investigating several specific areas of housing and rental affordability, including vacancy rates and the impacts of the platform-based short</w:t>
      </w:r>
      <w:r w:rsidR="00C17098">
        <w:t>-</w:t>
      </w:r>
      <w:r>
        <w:t>term accommodation sector; and</w:t>
      </w:r>
    </w:p>
    <w:p w:rsidR="00656CF1" w:rsidRDefault="00215A98" w:rsidP="007A0726">
      <w:pPr>
        <w:pStyle w:val="DPSEntryIndentsLev1"/>
        <w:ind w:left="1350" w:hanging="630"/>
      </w:pPr>
      <w:r>
        <w:t>calls on the ACT Government to:</w:t>
      </w:r>
    </w:p>
    <w:p w:rsidR="00215A98" w:rsidRDefault="00215A98" w:rsidP="007A0726">
      <w:pPr>
        <w:pStyle w:val="DPSEntryIndentsLev2"/>
        <w:numPr>
          <w:ilvl w:val="0"/>
          <w:numId w:val="16"/>
        </w:numPr>
        <w:tabs>
          <w:tab w:val="clear" w:pos="1915"/>
          <w:tab w:val="left" w:pos="1890"/>
        </w:tabs>
        <w:ind w:left="1890" w:hanging="540"/>
      </w:pPr>
      <w:r>
        <w:t xml:space="preserve">continue a policy of 70 percent urban infill and 30 percent </w:t>
      </w:r>
      <w:proofErr w:type="spellStart"/>
      <w:r w:rsidR="005E73A7">
        <w:t>greenfields</w:t>
      </w:r>
      <w:proofErr w:type="spellEnd"/>
      <w:r w:rsidR="005E73A7">
        <w:t xml:space="preserve"> development;</w:t>
      </w:r>
    </w:p>
    <w:p w:rsidR="005E73A7" w:rsidRDefault="005E73A7" w:rsidP="007A0726">
      <w:pPr>
        <w:pStyle w:val="DPSEntryIndentsLev2"/>
        <w:numPr>
          <w:ilvl w:val="0"/>
          <w:numId w:val="10"/>
        </w:numPr>
        <w:tabs>
          <w:tab w:val="clear" w:pos="1915"/>
          <w:tab w:val="left" w:pos="1890"/>
        </w:tabs>
        <w:ind w:left="1890" w:hanging="540"/>
      </w:pPr>
      <w:r>
        <w:t>continue identifying suitable locations for additional medium density development in our inner suburbs; and</w:t>
      </w:r>
    </w:p>
    <w:p w:rsidR="005E73A7" w:rsidRPr="00CC5F38" w:rsidRDefault="005E73A7" w:rsidP="007A0726">
      <w:pPr>
        <w:pStyle w:val="DPSEntryIndentsLev2"/>
        <w:numPr>
          <w:ilvl w:val="0"/>
          <w:numId w:val="10"/>
        </w:numPr>
        <w:tabs>
          <w:tab w:val="clear" w:pos="1915"/>
          <w:tab w:val="left" w:pos="1890"/>
        </w:tabs>
        <w:ind w:left="1890" w:hanging="540"/>
      </w:pPr>
      <w:r>
        <w:t>provide an update by the last sitting day in 2022.</w:t>
      </w:r>
      <w:r w:rsidR="00DF7FAE">
        <w:t>”</w:t>
      </w:r>
    </w:p>
    <w:p w:rsidR="00F62AE5" w:rsidRDefault="00F62AE5" w:rsidP="00CC5F38">
      <w:pPr>
        <w:spacing w:before="120"/>
        <w:ind w:left="720"/>
        <w:rPr>
          <w:rFonts w:ascii="Calibri" w:hAnsi="Calibri"/>
          <w:color w:val="000000"/>
          <w:lang w:val="en-AU"/>
        </w:rPr>
      </w:pPr>
      <w:r>
        <w:rPr>
          <w:rFonts w:ascii="Calibri" w:hAnsi="Calibri"/>
          <w:color w:val="000000"/>
          <w:lang w:val="en-AU"/>
        </w:rPr>
        <w:t>Debate ensued.</w:t>
      </w:r>
    </w:p>
    <w:p w:rsidR="00AC1E30" w:rsidRDefault="00AC1E30" w:rsidP="00CC5F38">
      <w:pPr>
        <w:spacing w:before="120"/>
        <w:ind w:left="720"/>
        <w:rPr>
          <w:rFonts w:ascii="Calibri" w:hAnsi="Calibri"/>
          <w:color w:val="000000"/>
          <w:lang w:val="en-AU"/>
        </w:rPr>
      </w:pPr>
      <w:r>
        <w:rPr>
          <w:rFonts w:ascii="Calibri" w:hAnsi="Calibri"/>
          <w:color w:val="000000"/>
          <w:lang w:val="en-AU"/>
        </w:rPr>
        <w:t>Question—That the amendment be agreed to—put.</w:t>
      </w:r>
    </w:p>
    <w:p w:rsidR="00D13621" w:rsidRDefault="00D13621" w:rsidP="00D13621">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10080" w:type="dxa"/>
        <w:tblLayout w:type="fixed"/>
        <w:tblCellMar>
          <w:left w:w="720" w:type="dxa"/>
          <w:right w:w="56" w:type="dxa"/>
        </w:tblCellMar>
        <w:tblLook w:val="0000" w:firstRow="0" w:lastRow="0" w:firstColumn="0" w:lastColumn="0" w:noHBand="0" w:noVBand="0"/>
      </w:tblPr>
      <w:tblGrid>
        <w:gridCol w:w="2160"/>
        <w:gridCol w:w="1836"/>
        <w:gridCol w:w="796"/>
        <w:gridCol w:w="230"/>
        <w:gridCol w:w="796"/>
        <w:gridCol w:w="2264"/>
        <w:gridCol w:w="706"/>
        <w:gridCol w:w="1292"/>
      </w:tblGrid>
      <w:tr w:rsidR="00D13621" w:rsidTr="00D13621">
        <w:trPr>
          <w:gridAfter w:val="1"/>
          <w:wAfter w:w="1292" w:type="dxa"/>
        </w:trPr>
        <w:tc>
          <w:tcPr>
            <w:tcW w:w="3996" w:type="dxa"/>
            <w:gridSpan w:val="2"/>
            <w:shd w:val="clear" w:color="auto" w:fill="auto"/>
          </w:tcPr>
          <w:p w:rsidR="00D13621" w:rsidRDefault="00D13621" w:rsidP="00D13621">
            <w:pPr>
              <w:tabs>
                <w:tab w:val="center" w:pos="1644"/>
              </w:tabs>
              <w:spacing w:before="120"/>
              <w:rPr>
                <w:rFonts w:ascii="Calibri" w:hAnsi="Calibri"/>
                <w:color w:val="000000"/>
                <w:lang w:val="en-AU"/>
              </w:rPr>
            </w:pPr>
            <w:r>
              <w:rPr>
                <w:rFonts w:ascii="Calibri" w:hAnsi="Calibri"/>
                <w:color w:val="000000"/>
                <w:lang w:val="en-AU"/>
              </w:rPr>
              <w:tab/>
              <w:t>AYES, 15</w:t>
            </w:r>
          </w:p>
        </w:tc>
        <w:tc>
          <w:tcPr>
            <w:tcW w:w="796" w:type="dxa"/>
            <w:shd w:val="clear" w:color="auto" w:fill="auto"/>
          </w:tcPr>
          <w:p w:rsidR="00D13621" w:rsidRDefault="00D13621" w:rsidP="00D13621">
            <w:pPr>
              <w:spacing w:before="120"/>
              <w:rPr>
                <w:rFonts w:ascii="Calibri" w:hAnsi="Calibri"/>
                <w:color w:val="000000"/>
                <w:lang w:val="en-AU"/>
              </w:rPr>
            </w:pPr>
          </w:p>
        </w:tc>
        <w:tc>
          <w:tcPr>
            <w:tcW w:w="3996" w:type="dxa"/>
            <w:gridSpan w:val="4"/>
            <w:shd w:val="clear" w:color="auto" w:fill="auto"/>
          </w:tcPr>
          <w:p w:rsidR="00D13621" w:rsidRDefault="00D13621" w:rsidP="00D13621">
            <w:pPr>
              <w:tabs>
                <w:tab w:val="center" w:pos="2228"/>
              </w:tabs>
              <w:spacing w:before="120"/>
              <w:rPr>
                <w:rFonts w:ascii="Calibri" w:hAnsi="Calibri"/>
                <w:color w:val="000000"/>
                <w:lang w:val="en-AU"/>
              </w:rPr>
            </w:pPr>
            <w:r>
              <w:rPr>
                <w:rFonts w:ascii="Calibri" w:hAnsi="Calibri"/>
                <w:color w:val="000000"/>
                <w:lang w:val="en-AU"/>
              </w:rPr>
              <w:tab/>
              <w:t>NOES, 8</w:t>
            </w: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Berry</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Orr</w:t>
            </w:r>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Braddock</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Dr Paterson</w:t>
            </w:r>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Burch</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Pettersson</w:t>
            </w:r>
            <w:proofErr w:type="spellEnd"/>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Cheyne</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 xml:space="preserve">Mr </w:t>
            </w:r>
            <w:proofErr w:type="spellStart"/>
            <w:r>
              <w:rPr>
                <w:rFonts w:ascii="Calibri" w:hAnsi="Calibri"/>
                <w:color w:val="000000"/>
                <w:lang w:val="en-AU"/>
              </w:rPr>
              <w:t>Rattenbury</w:t>
            </w:r>
            <w:proofErr w:type="spellEnd"/>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 xml:space="preserve">Mrs </w:t>
            </w:r>
            <w:proofErr w:type="spellStart"/>
            <w:r>
              <w:rPr>
                <w:rFonts w:ascii="Calibri" w:hAnsi="Calibri"/>
                <w:color w:val="000000"/>
                <w:lang w:val="en-AU"/>
              </w:rPr>
              <w:t>Kikkert</w:t>
            </w:r>
            <w:proofErr w:type="spellEnd"/>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Clay</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Steel</w:t>
            </w:r>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Lawder</w:t>
            </w:r>
            <w:proofErr w:type="spellEnd"/>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Davidson</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Stephen-Smith</w:t>
            </w:r>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Ms Lee</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Davis</w:t>
            </w:r>
          </w:p>
        </w:tc>
        <w:tc>
          <w:tcPr>
            <w:tcW w:w="2862" w:type="dxa"/>
            <w:gridSpan w:val="3"/>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 xml:space="preserve">Ms </w:t>
            </w:r>
            <w:proofErr w:type="spellStart"/>
            <w:r>
              <w:rPr>
                <w:rFonts w:ascii="Calibri" w:hAnsi="Calibri"/>
                <w:color w:val="000000"/>
                <w:lang w:val="en-AU"/>
              </w:rPr>
              <w:t>Vassarotti</w:t>
            </w:r>
            <w:proofErr w:type="spellEnd"/>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r w:rsidR="00D13621" w:rsidTr="00D13621">
        <w:trPr>
          <w:trHeight w:hRule="exact" w:val="312"/>
        </w:trPr>
        <w:tc>
          <w:tcPr>
            <w:tcW w:w="2160"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Gentleman</w:t>
            </w:r>
          </w:p>
        </w:tc>
        <w:tc>
          <w:tcPr>
            <w:tcW w:w="2862" w:type="dxa"/>
            <w:gridSpan w:val="3"/>
            <w:shd w:val="clear" w:color="auto" w:fill="auto"/>
          </w:tcPr>
          <w:p w:rsidR="00D13621" w:rsidRDefault="00D13621" w:rsidP="00D13621">
            <w:pPr>
              <w:spacing w:before="120"/>
              <w:ind w:right="-308"/>
              <w:rPr>
                <w:rFonts w:ascii="Calibri" w:hAnsi="Calibri"/>
                <w:color w:val="000000"/>
                <w:lang w:val="en-AU"/>
              </w:rPr>
            </w:pPr>
          </w:p>
        </w:tc>
        <w:tc>
          <w:tcPr>
            <w:tcW w:w="796" w:type="dxa"/>
            <w:shd w:val="clear" w:color="auto" w:fill="auto"/>
          </w:tcPr>
          <w:p w:rsidR="00D13621" w:rsidRDefault="00D13621" w:rsidP="00D13621">
            <w:pPr>
              <w:spacing w:before="120"/>
              <w:ind w:right="-308"/>
              <w:rPr>
                <w:rFonts w:ascii="Calibri" w:hAnsi="Calibri"/>
                <w:color w:val="000000"/>
                <w:lang w:val="en-AU"/>
              </w:rPr>
            </w:pPr>
          </w:p>
        </w:tc>
        <w:tc>
          <w:tcPr>
            <w:tcW w:w="2264" w:type="dxa"/>
            <w:shd w:val="clear" w:color="auto" w:fill="auto"/>
          </w:tcPr>
          <w:p w:rsidR="00D13621" w:rsidRDefault="00D13621" w:rsidP="00D13621">
            <w:pPr>
              <w:ind w:right="-308"/>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D13621" w:rsidRDefault="00D13621" w:rsidP="00D13621">
            <w:pPr>
              <w:spacing w:before="120"/>
              <w:ind w:right="-308"/>
              <w:rPr>
                <w:rFonts w:ascii="Calibri" w:hAnsi="Calibri"/>
                <w:color w:val="000000"/>
                <w:lang w:val="en-AU"/>
              </w:rPr>
            </w:pPr>
          </w:p>
        </w:tc>
      </w:tr>
    </w:tbl>
    <w:p w:rsidR="00D13621" w:rsidRDefault="00D13621" w:rsidP="00D13621">
      <w:pPr>
        <w:spacing w:before="120"/>
        <w:ind w:left="720"/>
        <w:rPr>
          <w:rFonts w:ascii="Calibri" w:hAnsi="Calibri"/>
          <w:color w:val="000000"/>
          <w:lang w:val="en-AU"/>
        </w:rPr>
      </w:pPr>
      <w:r>
        <w:rPr>
          <w:rFonts w:ascii="Calibri" w:hAnsi="Calibri"/>
          <w:color w:val="000000"/>
          <w:lang w:val="en-AU"/>
        </w:rPr>
        <w:t>And so it was resolved in the affirmative.</w:t>
      </w:r>
    </w:p>
    <w:p w:rsidR="00CC5F38" w:rsidRDefault="00CC5F38" w:rsidP="00CC5F38">
      <w:pPr>
        <w:spacing w:before="120"/>
        <w:ind w:left="720"/>
        <w:rPr>
          <w:rFonts w:ascii="Calibri" w:hAnsi="Calibri"/>
          <w:color w:val="000000"/>
          <w:lang w:val="en-AU"/>
        </w:rPr>
      </w:pPr>
      <w:r w:rsidRPr="00CC5F38">
        <w:rPr>
          <w:rFonts w:ascii="Calibri" w:hAnsi="Calibri"/>
          <w:color w:val="000000"/>
          <w:lang w:val="en-AU"/>
        </w:rPr>
        <w:t>Question—</w:t>
      </w:r>
      <w:r w:rsidR="00AC1E30">
        <w:rPr>
          <w:rFonts w:ascii="Calibri" w:hAnsi="Calibri"/>
          <w:color w:val="000000"/>
          <w:lang w:val="en-AU"/>
        </w:rPr>
        <w:t xml:space="preserve">That the motion, as amended, </w:t>
      </w:r>
      <w:proofErr w:type="spellStart"/>
      <w:r w:rsidR="00AC1E30">
        <w:rPr>
          <w:rFonts w:ascii="Calibri" w:hAnsi="Calibri"/>
          <w:color w:val="000000"/>
          <w:lang w:val="en-AU"/>
        </w:rPr>
        <w:t>viz</w:t>
      </w:r>
      <w:proofErr w:type="spellEnd"/>
      <w:r w:rsidR="00AC1E30">
        <w:rPr>
          <w:rFonts w:ascii="Calibri" w:hAnsi="Calibri"/>
          <w:color w:val="000000"/>
          <w:lang w:val="en-AU"/>
        </w:rPr>
        <w:t>—</w:t>
      </w:r>
    </w:p>
    <w:p w:rsidR="00AC1E30" w:rsidRDefault="00DF7FAE" w:rsidP="00CC5F38">
      <w:pPr>
        <w:spacing w:before="120"/>
        <w:ind w:left="720"/>
        <w:rPr>
          <w:rFonts w:ascii="Calibri" w:hAnsi="Calibri"/>
          <w:color w:val="000000"/>
          <w:lang w:val="en-AU"/>
        </w:rPr>
      </w:pPr>
      <w:r>
        <w:rPr>
          <w:rFonts w:ascii="Calibri" w:hAnsi="Calibri"/>
          <w:color w:val="000000"/>
          <w:lang w:val="en-AU"/>
        </w:rPr>
        <w:t>“</w:t>
      </w:r>
      <w:r w:rsidR="00A753C6">
        <w:rPr>
          <w:rFonts w:ascii="Calibri" w:hAnsi="Calibri"/>
          <w:color w:val="000000"/>
          <w:lang w:val="en-AU"/>
        </w:rPr>
        <w:t>That this Assembly:</w:t>
      </w:r>
    </w:p>
    <w:p w:rsidR="00A753C6" w:rsidRDefault="007A0726" w:rsidP="007A0726">
      <w:pPr>
        <w:pStyle w:val="DPSEntryIndentsLev1"/>
        <w:numPr>
          <w:ilvl w:val="0"/>
          <w:numId w:val="13"/>
        </w:numPr>
        <w:ind w:left="1350" w:hanging="630"/>
      </w:pPr>
      <w:r>
        <w:t>n</w:t>
      </w:r>
      <w:r w:rsidR="00A753C6">
        <w:t>otes that:</w:t>
      </w:r>
    </w:p>
    <w:p w:rsidR="00A753C6" w:rsidRDefault="00A753C6" w:rsidP="007A0726">
      <w:pPr>
        <w:pStyle w:val="DPSEntryIndentsLev2"/>
        <w:numPr>
          <w:ilvl w:val="0"/>
          <w:numId w:val="17"/>
        </w:numPr>
        <w:tabs>
          <w:tab w:val="clear" w:pos="1915"/>
          <w:tab w:val="left" w:pos="1890"/>
        </w:tabs>
        <w:ind w:left="1890" w:hanging="540"/>
      </w:pPr>
      <w:r>
        <w:t>the ACT Government conducted initial planning studies in West Murrumbidgee in 2015 and found that:</w:t>
      </w:r>
    </w:p>
    <w:p w:rsidR="00A753C6" w:rsidRDefault="00A753C6" w:rsidP="007A0726">
      <w:pPr>
        <w:pStyle w:val="DPSEntryIndents"/>
        <w:numPr>
          <w:ilvl w:val="2"/>
          <w:numId w:val="18"/>
        </w:numPr>
      </w:pPr>
      <w:r>
        <w:lastRenderedPageBreak/>
        <w:t>the area is restricted in terms of conservation areas and reserves, threatened species and ecological communities, heritage and topography;</w:t>
      </w:r>
    </w:p>
    <w:p w:rsidR="00A753C6" w:rsidRDefault="00A753C6" w:rsidP="007A0726">
      <w:pPr>
        <w:pStyle w:val="DPSEntryIndents"/>
        <w:numPr>
          <w:ilvl w:val="2"/>
          <w:numId w:val="18"/>
        </w:numPr>
      </w:pPr>
      <w:r>
        <w:t>the environmental constraints and topography both limit the developable area and make infrastructure servicing expensive;</w:t>
      </w:r>
    </w:p>
    <w:p w:rsidR="00A753C6" w:rsidRDefault="00A753C6" w:rsidP="007A0726">
      <w:pPr>
        <w:pStyle w:val="DPSEntryIndents"/>
        <w:numPr>
          <w:ilvl w:val="2"/>
          <w:numId w:val="18"/>
        </w:numPr>
      </w:pPr>
      <w:r>
        <w:t>the Murrumbidgee River is a significant boundary to urban development, both from a landscape and practical perspective; and</w:t>
      </w:r>
    </w:p>
    <w:p w:rsidR="00A753C6" w:rsidRDefault="00A753C6" w:rsidP="007A0726">
      <w:pPr>
        <w:pStyle w:val="DPSEntryIndents"/>
        <w:numPr>
          <w:ilvl w:val="2"/>
          <w:numId w:val="18"/>
        </w:numPr>
      </w:pPr>
      <w:r>
        <w:t>other areas need to be considered to determine if they could be developed more effectively and with less environmental impact;</w:t>
      </w:r>
    </w:p>
    <w:p w:rsidR="00A753C6" w:rsidRDefault="00A753C6" w:rsidP="007A0726">
      <w:pPr>
        <w:pStyle w:val="DPSEntryIndentsLev2"/>
        <w:ind w:left="1890" w:hanging="540"/>
      </w:pPr>
      <w:r>
        <w:t>the ACT Government considered development in West Greenway, between the Tuggeranong Town Centre and the Murrumbidgee River, in 2016 and found that:</w:t>
      </w:r>
    </w:p>
    <w:p w:rsidR="00A753C6" w:rsidRDefault="00A753C6" w:rsidP="007A0726">
      <w:pPr>
        <w:pStyle w:val="DPSEntryIndents"/>
        <w:numPr>
          <w:ilvl w:val="2"/>
          <w:numId w:val="19"/>
        </w:numPr>
      </w:pPr>
      <w:r>
        <w:t>community, sporting and environmental groups opposed the development; and</w:t>
      </w:r>
    </w:p>
    <w:p w:rsidR="00A753C6" w:rsidRDefault="00A753C6" w:rsidP="007A0726">
      <w:pPr>
        <w:pStyle w:val="DPSEntryIndents"/>
        <w:numPr>
          <w:ilvl w:val="2"/>
          <w:numId w:val="19"/>
        </w:numPr>
      </w:pPr>
      <w:r>
        <w:t>the area close to the Murrumbidgee River corridor is home to endangered flora and fauna as well as natural and built heritage sites;</w:t>
      </w:r>
    </w:p>
    <w:p w:rsidR="00A753C6" w:rsidRDefault="00A753C6" w:rsidP="007A0726">
      <w:pPr>
        <w:pStyle w:val="DPSEntryIndentsLev2"/>
        <w:ind w:left="1890" w:hanging="540"/>
      </w:pPr>
      <w:r>
        <w:t>the ACT Government has commen</w:t>
      </w:r>
      <w:r w:rsidR="00C17098">
        <w:t>c</w:t>
      </w:r>
      <w:r>
        <w:t>ed preliminary investigations for potential future greenfield development in the Western Edge; and</w:t>
      </w:r>
    </w:p>
    <w:p w:rsidR="00A753C6" w:rsidRDefault="00A753C6" w:rsidP="007A0726">
      <w:pPr>
        <w:pStyle w:val="DPSEntryIndentsLev2"/>
        <w:ind w:left="1890" w:hanging="540"/>
      </w:pPr>
      <w:r>
        <w:t>the CT Government ruled out development in West Murrumbidgee in the 2018 Planning Strategy;</w:t>
      </w:r>
    </w:p>
    <w:p w:rsidR="00A753C6" w:rsidRDefault="00A753C6" w:rsidP="007A0726">
      <w:pPr>
        <w:pStyle w:val="DPSEntryIndentsLev1"/>
        <w:numPr>
          <w:ilvl w:val="0"/>
          <w:numId w:val="12"/>
        </w:numPr>
        <w:ind w:left="1350" w:hanging="630"/>
      </w:pPr>
      <w:r>
        <w:t>further notes that:</w:t>
      </w:r>
    </w:p>
    <w:p w:rsidR="00A753C6" w:rsidRDefault="00A753C6" w:rsidP="007A0726">
      <w:pPr>
        <w:pStyle w:val="DPSEntryIndentsLev2"/>
        <w:numPr>
          <w:ilvl w:val="0"/>
          <w:numId w:val="20"/>
        </w:numPr>
        <w:tabs>
          <w:tab w:val="left" w:pos="5850"/>
        </w:tabs>
        <w:ind w:left="1890" w:hanging="540"/>
      </w:pPr>
      <w:r>
        <w:t>Australia, including the ACT, is facing significant increases in house prices;</w:t>
      </w:r>
    </w:p>
    <w:p w:rsidR="00A753C6" w:rsidRDefault="00A753C6" w:rsidP="007A0726">
      <w:pPr>
        <w:pStyle w:val="DPSEntryIndentsLev2"/>
        <w:ind w:left="1890" w:hanging="540"/>
      </w:pPr>
      <w:r>
        <w:t xml:space="preserve">Development of </w:t>
      </w:r>
      <w:proofErr w:type="spellStart"/>
      <w:r>
        <w:t>greenfields</w:t>
      </w:r>
      <w:proofErr w:type="spellEnd"/>
      <w:r>
        <w:t xml:space="preserve"> land takes approximately seven to ten years before housing is available, due to a range of factors;</w:t>
      </w:r>
    </w:p>
    <w:p w:rsidR="00A753C6" w:rsidRDefault="00A753C6" w:rsidP="007A0726">
      <w:pPr>
        <w:pStyle w:val="DPSEntryIndentsLev2"/>
        <w:ind w:left="1890" w:hanging="540"/>
      </w:pPr>
      <w:r>
        <w:t>The ACT Government is committed to ensuring 70 percent of development is within our existing urban footprint;</w:t>
      </w:r>
    </w:p>
    <w:p w:rsidR="00A753C6" w:rsidRDefault="00A753C6" w:rsidP="007A0726">
      <w:pPr>
        <w:pStyle w:val="DPSEntryIndentsLev2"/>
        <w:ind w:left="1890" w:hanging="540"/>
      </w:pPr>
      <w:r>
        <w:t>The ACT Government is committed to protecting environmental habitat and ensuring proper environmental assessments are conducted prior to any land release;</w:t>
      </w:r>
    </w:p>
    <w:p w:rsidR="00A753C6" w:rsidRDefault="00A753C6" w:rsidP="007A0726">
      <w:pPr>
        <w:pStyle w:val="DPSEntryIndentsLev2"/>
        <w:ind w:left="1890" w:hanging="540"/>
      </w:pPr>
      <w:r>
        <w:t>The ACT Government is committed to taking action on climate change which, as highlighted by recent IPCC reports, requires less urban sprawl and more high-quality climate-resilient infill along transit corridors that are well-serviced by public and active transport;</w:t>
      </w:r>
      <w:r w:rsidR="00C17098">
        <w:t xml:space="preserve"> and</w:t>
      </w:r>
    </w:p>
    <w:p w:rsidR="00A753C6" w:rsidRDefault="00A753C6" w:rsidP="007A0726">
      <w:pPr>
        <w:pStyle w:val="DPSEntryIndentsLev2"/>
        <w:ind w:left="1890" w:hanging="540"/>
      </w:pPr>
      <w:r>
        <w:t>Legislative Assembly Committees are investigating several specific areas of housing and rental affordability, including vacancy rates and the impacts of the platform-based short</w:t>
      </w:r>
      <w:r w:rsidR="00C17098">
        <w:t>-</w:t>
      </w:r>
      <w:r>
        <w:t>term accommodation sector; and</w:t>
      </w:r>
    </w:p>
    <w:p w:rsidR="00A753C6" w:rsidRDefault="00A753C6" w:rsidP="007A0726">
      <w:pPr>
        <w:pStyle w:val="DPSEntryIndentsLev1"/>
        <w:ind w:left="1350" w:hanging="630"/>
      </w:pPr>
      <w:r>
        <w:t>calls on the ACT Government to:</w:t>
      </w:r>
    </w:p>
    <w:p w:rsidR="00A753C6" w:rsidRDefault="00A753C6" w:rsidP="007A0726">
      <w:pPr>
        <w:pStyle w:val="DPSEntryIndentsLev2"/>
        <w:numPr>
          <w:ilvl w:val="0"/>
          <w:numId w:val="21"/>
        </w:numPr>
        <w:ind w:left="1890" w:hanging="540"/>
      </w:pPr>
      <w:r>
        <w:t xml:space="preserve">continue a policy of 70 percent urban infill and 30 percent </w:t>
      </w:r>
      <w:proofErr w:type="spellStart"/>
      <w:r>
        <w:t>greenfields</w:t>
      </w:r>
      <w:proofErr w:type="spellEnd"/>
      <w:r>
        <w:t xml:space="preserve"> development;</w:t>
      </w:r>
    </w:p>
    <w:p w:rsidR="00A753C6" w:rsidRDefault="00A753C6" w:rsidP="007A0726">
      <w:pPr>
        <w:pStyle w:val="DPSEntryIndentsLev2"/>
        <w:numPr>
          <w:ilvl w:val="0"/>
          <w:numId w:val="21"/>
        </w:numPr>
        <w:ind w:left="1890" w:hanging="540"/>
      </w:pPr>
      <w:r>
        <w:lastRenderedPageBreak/>
        <w:t>continue identifying suitable locations for additional medium density development in our inner suburbs; and</w:t>
      </w:r>
    </w:p>
    <w:p w:rsidR="00A753C6" w:rsidRDefault="00A753C6" w:rsidP="007A0726">
      <w:pPr>
        <w:pStyle w:val="DPSEntryIndentsLev2"/>
        <w:numPr>
          <w:ilvl w:val="0"/>
          <w:numId w:val="21"/>
        </w:numPr>
        <w:ind w:left="1890" w:hanging="540"/>
      </w:pPr>
      <w:r>
        <w:t>provide an update by the last sitting day in 2022.</w:t>
      </w:r>
      <w:r w:rsidR="00DF7FAE">
        <w:t>”</w:t>
      </w:r>
      <w:r>
        <w:t>—</w:t>
      </w:r>
    </w:p>
    <w:p w:rsidR="00A753C6" w:rsidRPr="00CC5F38" w:rsidRDefault="00A753C6" w:rsidP="00A753C6">
      <w:pPr>
        <w:pStyle w:val="DPSEntryDetail"/>
      </w:pPr>
      <w:r>
        <w:t>be agreed to—put and passed.</w:t>
      </w:r>
    </w:p>
    <w:p w:rsidR="00717966" w:rsidRPr="003352B8" w:rsidRDefault="00717966" w:rsidP="00717966">
      <w:pPr>
        <w:keepNext/>
        <w:keepLines/>
        <w:tabs>
          <w:tab w:val="right" w:pos="339"/>
          <w:tab w:val="left" w:pos="720"/>
        </w:tabs>
        <w:spacing w:before="240"/>
        <w:ind w:left="720" w:hanging="720"/>
        <w:rPr>
          <w:rFonts w:ascii="Calibri" w:hAnsi="Calibri"/>
          <w:b/>
          <w:caps/>
          <w:lang w:val="en-AU"/>
        </w:rPr>
      </w:pPr>
      <w:r w:rsidRPr="003352B8">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DF7FAE">
        <w:rPr>
          <w:rFonts w:ascii="Calibri" w:hAnsi="Calibri"/>
          <w:b/>
          <w:bCs/>
          <w:caps/>
          <w:noProof/>
          <w:lang w:val="en-AU"/>
        </w:rPr>
        <w:t>26</w:t>
      </w:r>
      <w:r>
        <w:rPr>
          <w:rFonts w:ascii="Calibri" w:hAnsi="Calibri"/>
          <w:b/>
          <w:bCs/>
          <w:caps/>
          <w:lang w:val="en-AU"/>
        </w:rPr>
        <w:fldChar w:fldCharType="end"/>
      </w:r>
      <w:r w:rsidRPr="003352B8">
        <w:rPr>
          <w:rFonts w:ascii="Calibri" w:hAnsi="Calibri"/>
          <w:b/>
          <w:caps/>
          <w:lang w:val="en-AU"/>
        </w:rPr>
        <w:tab/>
      </w:r>
      <w:r>
        <w:rPr>
          <w:rFonts w:ascii="Calibri" w:hAnsi="Calibri"/>
          <w:b/>
          <w:caps/>
          <w:lang w:val="en-AU"/>
        </w:rPr>
        <w:t>Health and Community Wellbeing—Standing Committee</w:t>
      </w:r>
      <w:r w:rsidRPr="003352B8">
        <w:rPr>
          <w:rFonts w:ascii="Calibri" w:hAnsi="Calibri"/>
          <w:b/>
          <w:caps/>
          <w:lang w:val="en-AU"/>
        </w:rPr>
        <w:t xml:space="preserve">—REPORT </w:t>
      </w:r>
      <w:r>
        <w:rPr>
          <w:rFonts w:ascii="Calibri" w:hAnsi="Calibri"/>
          <w:b/>
          <w:caps/>
          <w:lang w:val="en-AU"/>
        </w:rPr>
        <w:t>5</w:t>
      </w:r>
      <w:r w:rsidRPr="003352B8">
        <w:rPr>
          <w:rFonts w:ascii="Calibri" w:hAnsi="Calibri"/>
          <w:b/>
          <w:caps/>
          <w:lang w:val="en-AU"/>
        </w:rPr>
        <w:t>—</w:t>
      </w:r>
      <w:r>
        <w:rPr>
          <w:rFonts w:ascii="Calibri" w:hAnsi="Calibri"/>
          <w:b/>
          <w:caps/>
          <w:lang w:val="en-AU"/>
        </w:rPr>
        <w:t>Review of A</w:t>
      </w:r>
      <w:r w:rsidR="00FD4172">
        <w:rPr>
          <w:rFonts w:ascii="Calibri" w:hAnsi="Calibri"/>
          <w:b/>
          <w:caps/>
          <w:lang w:val="en-AU"/>
        </w:rPr>
        <w:t>.</w:t>
      </w:r>
      <w:r>
        <w:rPr>
          <w:rFonts w:ascii="Calibri" w:hAnsi="Calibri"/>
          <w:b/>
          <w:caps/>
          <w:lang w:val="en-AU"/>
        </w:rPr>
        <w:t>C</w:t>
      </w:r>
      <w:r w:rsidR="00FD4172">
        <w:rPr>
          <w:rFonts w:ascii="Calibri" w:hAnsi="Calibri"/>
          <w:b/>
          <w:caps/>
          <w:lang w:val="en-AU"/>
        </w:rPr>
        <w:t>.</w:t>
      </w:r>
      <w:r>
        <w:rPr>
          <w:rFonts w:ascii="Calibri" w:hAnsi="Calibri"/>
          <w:b/>
          <w:caps/>
          <w:lang w:val="en-AU"/>
        </w:rPr>
        <w:t>T</w:t>
      </w:r>
      <w:r w:rsidR="00FD4172">
        <w:rPr>
          <w:rFonts w:ascii="Calibri" w:hAnsi="Calibri"/>
          <w:b/>
          <w:caps/>
          <w:lang w:val="en-AU"/>
        </w:rPr>
        <w:t>.</w:t>
      </w:r>
      <w:r>
        <w:rPr>
          <w:rFonts w:ascii="Calibri" w:hAnsi="Calibri"/>
          <w:b/>
          <w:caps/>
          <w:lang w:val="en-AU"/>
        </w:rPr>
        <w:t xml:space="preserve"> Heal</w:t>
      </w:r>
      <w:r w:rsidR="008B052D">
        <w:rPr>
          <w:rFonts w:ascii="Calibri" w:hAnsi="Calibri"/>
          <w:b/>
          <w:caps/>
          <w:lang w:val="en-AU"/>
        </w:rPr>
        <w:t>t</w:t>
      </w:r>
      <w:r>
        <w:rPr>
          <w:rFonts w:ascii="Calibri" w:hAnsi="Calibri"/>
          <w:b/>
          <w:caps/>
          <w:lang w:val="en-AU"/>
        </w:rPr>
        <w:t>h Programs—Children and young people and responses t</w:t>
      </w:r>
      <w:r w:rsidR="008B052D">
        <w:rPr>
          <w:rFonts w:ascii="Calibri" w:hAnsi="Calibri"/>
          <w:b/>
          <w:caps/>
          <w:lang w:val="en-AU"/>
        </w:rPr>
        <w:t>o</w:t>
      </w:r>
      <w:r>
        <w:rPr>
          <w:rFonts w:ascii="Calibri" w:hAnsi="Calibri"/>
          <w:b/>
          <w:caps/>
          <w:lang w:val="en-AU"/>
        </w:rPr>
        <w:t xml:space="preserve"> Fetal Alcohol Spectrum Disorder (FASD)</w:t>
      </w:r>
      <w:r w:rsidRPr="003352B8">
        <w:rPr>
          <w:rFonts w:ascii="Calibri" w:hAnsi="Calibri"/>
          <w:b/>
          <w:caps/>
          <w:lang w:val="en-AU"/>
        </w:rPr>
        <w:t>—report noted</w:t>
      </w:r>
    </w:p>
    <w:p w:rsidR="00717966" w:rsidRPr="003352B8" w:rsidRDefault="00717966" w:rsidP="00717966">
      <w:pPr>
        <w:spacing w:before="120"/>
        <w:ind w:left="720"/>
        <w:rPr>
          <w:rFonts w:ascii="Calibri" w:hAnsi="Calibri"/>
          <w:lang w:val="en-AU"/>
        </w:rPr>
      </w:pPr>
      <w:r>
        <w:rPr>
          <w:rFonts w:ascii="Calibri" w:hAnsi="Calibri"/>
          <w:lang w:val="en-AU"/>
        </w:rPr>
        <w:t>Mr Davis</w:t>
      </w:r>
      <w:r w:rsidRPr="003352B8">
        <w:rPr>
          <w:rFonts w:ascii="Calibri" w:hAnsi="Calibri"/>
          <w:lang w:val="en-AU"/>
        </w:rPr>
        <w:t xml:space="preserve"> (Chair) presented the following report:</w:t>
      </w:r>
    </w:p>
    <w:p w:rsidR="00717966" w:rsidRPr="003352B8" w:rsidRDefault="00717966" w:rsidP="00717966">
      <w:pPr>
        <w:spacing w:before="120"/>
        <w:ind w:left="720"/>
        <w:rPr>
          <w:rFonts w:ascii="Calibri" w:hAnsi="Calibri"/>
          <w:iCs/>
          <w:lang w:val="en-AU"/>
        </w:rPr>
      </w:pPr>
      <w:r>
        <w:rPr>
          <w:rFonts w:ascii="Calibri" w:hAnsi="Calibri"/>
          <w:bCs/>
          <w:lang w:val="en-AU"/>
        </w:rPr>
        <w:t>Health and Community Wellbeing—Standing Committee</w:t>
      </w:r>
      <w:r w:rsidRPr="003352B8">
        <w:rPr>
          <w:rFonts w:ascii="Calibri" w:hAnsi="Calibri"/>
          <w:lang w:val="en-AU"/>
        </w:rPr>
        <w:t xml:space="preserve">—Report </w:t>
      </w:r>
      <w:r>
        <w:rPr>
          <w:rFonts w:ascii="Calibri" w:hAnsi="Calibri"/>
          <w:caps/>
          <w:lang w:val="en-AU"/>
        </w:rPr>
        <w:t>5</w:t>
      </w:r>
      <w:r w:rsidRPr="003352B8">
        <w:rPr>
          <w:rFonts w:ascii="Calibri" w:hAnsi="Calibri"/>
          <w:lang w:val="en-AU"/>
        </w:rPr>
        <w:t>—</w:t>
      </w:r>
      <w:r>
        <w:rPr>
          <w:rFonts w:ascii="Calibri" w:hAnsi="Calibri"/>
          <w:i/>
          <w:iCs/>
          <w:lang w:val="en-AU"/>
        </w:rPr>
        <w:t>Review of ACT Heal</w:t>
      </w:r>
      <w:r w:rsidR="008B052D">
        <w:rPr>
          <w:rFonts w:ascii="Calibri" w:hAnsi="Calibri"/>
          <w:i/>
          <w:iCs/>
          <w:lang w:val="en-AU"/>
        </w:rPr>
        <w:t>t</w:t>
      </w:r>
      <w:r>
        <w:rPr>
          <w:rFonts w:ascii="Calibri" w:hAnsi="Calibri"/>
          <w:i/>
          <w:iCs/>
          <w:lang w:val="en-AU"/>
        </w:rPr>
        <w:t>h Programs—Children and young people and responses t</w:t>
      </w:r>
      <w:r w:rsidR="008B052D">
        <w:rPr>
          <w:rFonts w:ascii="Calibri" w:hAnsi="Calibri"/>
          <w:i/>
          <w:iCs/>
          <w:lang w:val="en-AU"/>
        </w:rPr>
        <w:t>o</w:t>
      </w:r>
      <w:r>
        <w:rPr>
          <w:rFonts w:ascii="Calibri" w:hAnsi="Calibri"/>
          <w:i/>
          <w:iCs/>
          <w:lang w:val="en-AU"/>
        </w:rPr>
        <w:t xml:space="preserve"> </w:t>
      </w:r>
      <w:proofErr w:type="spellStart"/>
      <w:r>
        <w:rPr>
          <w:rFonts w:ascii="Calibri" w:hAnsi="Calibri"/>
          <w:i/>
          <w:iCs/>
          <w:lang w:val="en-AU"/>
        </w:rPr>
        <w:t>Fetal</w:t>
      </w:r>
      <w:proofErr w:type="spellEnd"/>
      <w:r>
        <w:rPr>
          <w:rFonts w:ascii="Calibri" w:hAnsi="Calibri"/>
          <w:i/>
          <w:iCs/>
          <w:lang w:val="en-AU"/>
        </w:rPr>
        <w:t xml:space="preserve"> Alcohol Spectrum Disorder (FASD)</w:t>
      </w:r>
      <w:r w:rsidRPr="003352B8">
        <w:rPr>
          <w:rFonts w:ascii="Calibri" w:hAnsi="Calibri"/>
          <w:i/>
          <w:iCs/>
          <w:lang w:val="en-AU"/>
        </w:rPr>
        <w:t>,</w:t>
      </w:r>
      <w:r w:rsidRPr="003352B8">
        <w:rPr>
          <w:rFonts w:ascii="Calibri" w:hAnsi="Calibri"/>
          <w:iCs/>
          <w:lang w:val="en-AU"/>
        </w:rPr>
        <w:t xml:space="preserve"> dated </w:t>
      </w:r>
      <w:r>
        <w:rPr>
          <w:rFonts w:ascii="Calibri" w:hAnsi="Calibri"/>
          <w:iCs/>
          <w:lang w:val="en-AU"/>
        </w:rPr>
        <w:t>27 April 2022</w:t>
      </w:r>
      <w:r w:rsidRPr="003352B8">
        <w:rPr>
          <w:rFonts w:ascii="Calibri" w:hAnsi="Calibri"/>
          <w:iCs/>
          <w:lang w:val="en-AU"/>
        </w:rPr>
        <w:t>, together with a copy of the extracts of the relevant minutes of proceedings—</w:t>
      </w:r>
    </w:p>
    <w:p w:rsidR="00717966" w:rsidRPr="003352B8" w:rsidRDefault="00717966" w:rsidP="00717966">
      <w:pPr>
        <w:spacing w:before="120"/>
        <w:ind w:left="720"/>
        <w:rPr>
          <w:rFonts w:ascii="Calibri" w:hAnsi="Calibri"/>
          <w:iCs/>
          <w:lang w:val="en-AU"/>
        </w:rPr>
      </w:pPr>
      <w:r w:rsidRPr="003352B8">
        <w:rPr>
          <w:rFonts w:ascii="Calibri" w:hAnsi="Calibri"/>
          <w:iCs/>
          <w:lang w:val="en-AU"/>
        </w:rPr>
        <w:t>and moved—That the report be noted.</w:t>
      </w:r>
    </w:p>
    <w:p w:rsidR="00717966" w:rsidRPr="003352B8" w:rsidRDefault="00717966" w:rsidP="00717966">
      <w:pPr>
        <w:spacing w:before="120"/>
        <w:ind w:left="720"/>
        <w:rPr>
          <w:rFonts w:ascii="Calibri" w:hAnsi="Calibri"/>
          <w:iCs/>
          <w:lang w:val="en-AU"/>
        </w:rPr>
      </w:pPr>
      <w:r w:rsidRPr="003352B8">
        <w:rPr>
          <w:rFonts w:ascii="Calibri" w:hAnsi="Calibri"/>
          <w:iCs/>
          <w:lang w:val="en-AU"/>
        </w:rPr>
        <w:t>Question—put and passed.</w:t>
      </w:r>
    </w:p>
    <w:p w:rsidR="00717966" w:rsidRPr="00185B47" w:rsidRDefault="00717966" w:rsidP="00717966">
      <w:pPr>
        <w:keepNext/>
        <w:keepLines/>
        <w:tabs>
          <w:tab w:val="right" w:pos="339"/>
          <w:tab w:val="left" w:pos="720"/>
        </w:tabs>
        <w:spacing w:before="240"/>
        <w:ind w:left="720" w:hanging="720"/>
        <w:rPr>
          <w:rFonts w:ascii="Calibri" w:hAnsi="Calibri"/>
          <w:b/>
          <w:caps/>
        </w:rPr>
      </w:pPr>
      <w:r w:rsidRPr="00185B47">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DF7FAE">
        <w:rPr>
          <w:rFonts w:ascii="Calibri" w:hAnsi="Calibri"/>
          <w:b/>
          <w:bCs/>
          <w:caps/>
          <w:noProof/>
        </w:rPr>
        <w:t>27</w:t>
      </w:r>
      <w:r>
        <w:rPr>
          <w:rFonts w:ascii="Calibri" w:hAnsi="Calibri"/>
          <w:b/>
          <w:bCs/>
          <w:caps/>
        </w:rPr>
        <w:fldChar w:fldCharType="end"/>
      </w:r>
      <w:r w:rsidRPr="00185B47">
        <w:rPr>
          <w:rFonts w:ascii="Calibri" w:hAnsi="Calibri"/>
          <w:b/>
          <w:caps/>
        </w:rPr>
        <w:tab/>
      </w:r>
      <w:r>
        <w:rPr>
          <w:rFonts w:ascii="Calibri" w:hAnsi="Calibri"/>
          <w:b/>
          <w:caps/>
        </w:rPr>
        <w:t>Education and Community Inclusion—Standing Committee</w:t>
      </w:r>
      <w:r w:rsidRPr="00185B47">
        <w:rPr>
          <w:rFonts w:ascii="Calibri" w:hAnsi="Calibri"/>
          <w:b/>
          <w:caps/>
        </w:rPr>
        <w:t>—INQUIRY—</w:t>
      </w:r>
      <w:r>
        <w:rPr>
          <w:rFonts w:ascii="Calibri" w:hAnsi="Calibri"/>
          <w:b/>
          <w:caps/>
        </w:rPr>
        <w:t>A</w:t>
      </w:r>
      <w:r w:rsidR="000E48CC">
        <w:rPr>
          <w:rFonts w:ascii="Calibri" w:hAnsi="Calibri"/>
          <w:b/>
          <w:caps/>
        </w:rPr>
        <w:t>.</w:t>
      </w:r>
      <w:r>
        <w:rPr>
          <w:rFonts w:ascii="Calibri" w:hAnsi="Calibri"/>
          <w:b/>
          <w:caps/>
        </w:rPr>
        <w:t>C</w:t>
      </w:r>
      <w:r w:rsidR="000E48CC">
        <w:rPr>
          <w:rFonts w:ascii="Calibri" w:hAnsi="Calibri"/>
          <w:b/>
          <w:caps/>
        </w:rPr>
        <w:t>.</w:t>
      </w:r>
      <w:r>
        <w:rPr>
          <w:rFonts w:ascii="Calibri" w:hAnsi="Calibri"/>
          <w:b/>
          <w:caps/>
        </w:rPr>
        <w:t>T</w:t>
      </w:r>
      <w:r w:rsidR="000E48CC">
        <w:rPr>
          <w:rFonts w:ascii="Calibri" w:hAnsi="Calibri"/>
          <w:b/>
          <w:caps/>
        </w:rPr>
        <w:t>.</w:t>
      </w:r>
      <w:r>
        <w:rPr>
          <w:rFonts w:ascii="Calibri" w:hAnsi="Calibri"/>
          <w:b/>
          <w:caps/>
        </w:rPr>
        <w:t xml:space="preserve"> </w:t>
      </w:r>
      <w:r w:rsidRPr="00185B47">
        <w:rPr>
          <w:rFonts w:ascii="Calibri" w:hAnsi="Calibri"/>
          <w:b/>
          <w:caps/>
        </w:rPr>
        <w:t>Skate park</w:t>
      </w:r>
      <w:r>
        <w:rPr>
          <w:rFonts w:ascii="Calibri" w:hAnsi="Calibri"/>
          <w:b/>
          <w:caps/>
        </w:rPr>
        <w:t>s</w:t>
      </w:r>
      <w:r w:rsidRPr="00185B47">
        <w:rPr>
          <w:rFonts w:ascii="Calibri" w:hAnsi="Calibri"/>
          <w:b/>
          <w:caps/>
        </w:rPr>
        <w:t>—STATEMENT BY CHAIR</w:t>
      </w:r>
    </w:p>
    <w:p w:rsidR="00717966" w:rsidRDefault="00717966" w:rsidP="00717966">
      <w:pPr>
        <w:tabs>
          <w:tab w:val="left" w:pos="1197"/>
          <w:tab w:val="left" w:pos="1767"/>
        </w:tabs>
        <w:spacing w:before="120"/>
        <w:ind w:left="720"/>
        <w:rPr>
          <w:rFonts w:ascii="Calibri" w:hAnsi="Calibri"/>
          <w:lang w:val="en-AU"/>
        </w:rPr>
      </w:pPr>
      <w:r>
        <w:rPr>
          <w:rFonts w:ascii="Calibri" w:hAnsi="Calibri"/>
          <w:lang w:val="en-AU"/>
        </w:rPr>
        <w:t xml:space="preserve">Mr </w:t>
      </w:r>
      <w:proofErr w:type="spellStart"/>
      <w:r>
        <w:rPr>
          <w:rFonts w:ascii="Calibri" w:hAnsi="Calibri"/>
          <w:lang w:val="en-AU"/>
        </w:rPr>
        <w:t>Pettersson</w:t>
      </w:r>
      <w:proofErr w:type="spellEnd"/>
      <w:r w:rsidRPr="00185B47">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185B47">
        <w:rPr>
          <w:rFonts w:ascii="Calibri" w:hAnsi="Calibri"/>
          <w:lang w:val="en-AU"/>
        </w:rPr>
        <w:t xml:space="preserve"> had resolved to conduct an inquiry into and report on </w:t>
      </w:r>
      <w:r>
        <w:rPr>
          <w:rFonts w:ascii="Calibri" w:hAnsi="Calibri"/>
          <w:lang w:val="en-AU"/>
        </w:rPr>
        <w:t>ACT skate parks</w:t>
      </w:r>
      <w:r w:rsidR="009A2EDA">
        <w:rPr>
          <w:rFonts w:ascii="Calibri" w:hAnsi="Calibri"/>
          <w:lang w:val="en-AU"/>
        </w:rPr>
        <w:t>.</w:t>
      </w:r>
    </w:p>
    <w:p w:rsidR="009A2EDA" w:rsidRPr="00185B47" w:rsidRDefault="009A2EDA" w:rsidP="00717966">
      <w:pPr>
        <w:tabs>
          <w:tab w:val="left" w:pos="1197"/>
          <w:tab w:val="left" w:pos="1767"/>
        </w:tabs>
        <w:spacing w:before="120"/>
        <w:ind w:left="720"/>
        <w:rPr>
          <w:rFonts w:ascii="Calibri" w:hAnsi="Calibri"/>
          <w:lang w:val="en-AU"/>
        </w:rPr>
      </w:pPr>
      <w:r>
        <w:rPr>
          <w:rFonts w:ascii="Calibri" w:hAnsi="Calibri"/>
          <w:lang w:val="en-AU"/>
        </w:rPr>
        <w:t>Mr Braddock, by leave, made a statement in relation to the statement.</w:t>
      </w:r>
    </w:p>
    <w:p w:rsidR="00717966" w:rsidRPr="001B7328" w:rsidRDefault="00717966" w:rsidP="00717966">
      <w:pPr>
        <w:keepNext/>
        <w:keepLines/>
        <w:tabs>
          <w:tab w:val="right" w:pos="339"/>
          <w:tab w:val="left" w:pos="720"/>
        </w:tabs>
        <w:spacing w:before="240"/>
        <w:ind w:left="720" w:hanging="720"/>
        <w:rPr>
          <w:rFonts w:ascii="Calibri" w:hAnsi="Calibri"/>
          <w:b/>
          <w:caps/>
        </w:rPr>
      </w:pPr>
      <w:r w:rsidRPr="001B732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DF7FAE">
        <w:rPr>
          <w:rFonts w:ascii="Calibri" w:hAnsi="Calibri"/>
          <w:b/>
          <w:bCs/>
          <w:caps/>
          <w:noProof/>
        </w:rPr>
        <w:t>28</w:t>
      </w:r>
      <w:r>
        <w:rPr>
          <w:rFonts w:ascii="Calibri" w:hAnsi="Calibri"/>
          <w:b/>
          <w:bCs/>
          <w:caps/>
        </w:rPr>
        <w:fldChar w:fldCharType="end"/>
      </w:r>
      <w:r w:rsidRPr="001B7328">
        <w:rPr>
          <w:rFonts w:ascii="Calibri" w:hAnsi="Calibri"/>
          <w:b/>
          <w:caps/>
        </w:rPr>
        <w:tab/>
      </w:r>
      <w:r>
        <w:rPr>
          <w:rFonts w:ascii="Calibri" w:hAnsi="Calibri"/>
          <w:b/>
          <w:caps/>
        </w:rPr>
        <w:t>Environment, Climate Change and Biodiversity—Standing Committee</w:t>
      </w:r>
      <w:r w:rsidRPr="001B7328">
        <w:rPr>
          <w:rFonts w:ascii="Calibri" w:hAnsi="Calibri"/>
          <w:b/>
          <w:caps/>
        </w:rPr>
        <w:t>—CONSIDERATION OF STATUTORY APPOINTMENTS—STATEMENT BY CHAIR—PAPER</w:t>
      </w:r>
    </w:p>
    <w:p w:rsidR="00717966" w:rsidRPr="001B7328" w:rsidRDefault="00717966" w:rsidP="00717966">
      <w:pPr>
        <w:tabs>
          <w:tab w:val="left" w:pos="1197"/>
          <w:tab w:val="left" w:pos="1767"/>
        </w:tabs>
        <w:spacing w:before="120"/>
        <w:ind w:left="720"/>
        <w:rPr>
          <w:rFonts w:ascii="Calibri" w:hAnsi="Calibri"/>
          <w:lang w:val="en-AU"/>
        </w:rPr>
      </w:pPr>
      <w:r>
        <w:rPr>
          <w:rFonts w:ascii="Calibri" w:hAnsi="Calibri"/>
          <w:lang w:val="en-AU"/>
        </w:rPr>
        <w:t>Dr Paterson</w:t>
      </w:r>
      <w:r w:rsidRPr="001B7328">
        <w:rPr>
          <w:rFonts w:ascii="Calibri" w:hAnsi="Calibri"/>
          <w:lang w:val="en-AU"/>
        </w:rPr>
        <w:t xml:space="preserve"> (Chair), pursuant to standing order 246A</w:t>
      </w:r>
      <w:r w:rsidRPr="001B7328">
        <w:rPr>
          <w:rFonts w:ascii="Calibri" w:hAnsi="Calibri"/>
        </w:rPr>
        <w:t xml:space="preserve"> and Continuing Resolution 5A, made a statement concerning consideration of statutory appointments by the</w:t>
      </w:r>
      <w:r w:rsidRPr="001B7328">
        <w:rPr>
          <w:rFonts w:ascii="Calibri" w:hAnsi="Calibri"/>
          <w:lang w:val="en-AU"/>
        </w:rPr>
        <w:t xml:space="preserve"> </w:t>
      </w:r>
      <w:r>
        <w:rPr>
          <w:rFonts w:ascii="Calibri" w:hAnsi="Calibri"/>
          <w:szCs w:val="24"/>
          <w:lang w:val="en-AU" w:eastAsia="en-US"/>
        </w:rPr>
        <w:t>Standing Committee on Environment, Climate Change and Biodiversity</w:t>
      </w:r>
      <w:r w:rsidRPr="001B7328">
        <w:rPr>
          <w:rFonts w:ascii="Calibri" w:hAnsi="Calibri"/>
          <w:lang w:val="en-AU"/>
        </w:rPr>
        <w:t>.</w:t>
      </w:r>
    </w:p>
    <w:p w:rsidR="00717966" w:rsidRPr="001B7328" w:rsidRDefault="00717966" w:rsidP="00717966">
      <w:pPr>
        <w:tabs>
          <w:tab w:val="left" w:pos="1197"/>
          <w:tab w:val="left" w:pos="1767"/>
        </w:tabs>
        <w:spacing w:before="120"/>
        <w:ind w:left="720"/>
        <w:rPr>
          <w:rFonts w:ascii="Calibri" w:hAnsi="Calibri"/>
        </w:rPr>
      </w:pPr>
      <w:r w:rsidRPr="001B7328">
        <w:rPr>
          <w:rFonts w:ascii="Calibri" w:hAnsi="Calibri"/>
          <w:i/>
        </w:rPr>
        <w:t>Paper:</w:t>
      </w:r>
      <w:r w:rsidRPr="001B7328">
        <w:rPr>
          <w:rFonts w:ascii="Calibri" w:hAnsi="Calibri"/>
        </w:rPr>
        <w:t xml:space="preserve"> </w:t>
      </w:r>
      <w:r>
        <w:rPr>
          <w:rFonts w:ascii="Calibri" w:hAnsi="Calibri"/>
          <w:lang w:val="en-AU"/>
        </w:rPr>
        <w:t>Dr Paterson</w:t>
      </w:r>
      <w:r w:rsidRPr="001B7328">
        <w:rPr>
          <w:rFonts w:ascii="Calibri" w:hAnsi="Calibri"/>
        </w:rPr>
        <w:t>, pursuant to Continuing Resolution 5A, presented the following paper:</w:t>
      </w:r>
    </w:p>
    <w:p w:rsidR="00717966" w:rsidRPr="001B7328" w:rsidRDefault="00717966" w:rsidP="00717966">
      <w:pPr>
        <w:tabs>
          <w:tab w:val="left" w:pos="1197"/>
          <w:tab w:val="left" w:pos="1767"/>
        </w:tabs>
        <w:spacing w:before="120"/>
        <w:ind w:left="720"/>
        <w:rPr>
          <w:rFonts w:ascii="Calibri" w:hAnsi="Calibri"/>
        </w:rPr>
      </w:pPr>
      <w:r>
        <w:rPr>
          <w:rFonts w:ascii="Calibri" w:hAnsi="Calibri"/>
          <w:bCs/>
          <w:lang w:val="en-AU"/>
        </w:rPr>
        <w:t>Environment, Climate Change and Biodiversity—Standing Committee</w:t>
      </w:r>
      <w:r w:rsidRPr="001B7328">
        <w:rPr>
          <w:rFonts w:ascii="Calibri" w:hAnsi="Calibri"/>
        </w:rPr>
        <w:t>—Schedule of Statutory Appointments—</w:t>
      </w:r>
      <w:r>
        <w:rPr>
          <w:rFonts w:ascii="Calibri" w:hAnsi="Calibri"/>
        </w:rPr>
        <w:t>10th</w:t>
      </w:r>
      <w:r w:rsidRPr="001B7328">
        <w:rPr>
          <w:rFonts w:ascii="Calibri" w:hAnsi="Calibri"/>
        </w:rPr>
        <w:t xml:space="preserve"> Assembly—Period </w:t>
      </w:r>
      <w:r>
        <w:rPr>
          <w:rFonts w:ascii="Calibri" w:hAnsi="Calibri"/>
        </w:rPr>
        <w:t>1 July to 31 December 2021.</w:t>
      </w:r>
    </w:p>
    <w:p w:rsidR="00717966" w:rsidRPr="00F34B63" w:rsidRDefault="00717966" w:rsidP="007A0726">
      <w:pPr>
        <w:keepNext/>
        <w:keepLines/>
        <w:tabs>
          <w:tab w:val="right" w:pos="339"/>
          <w:tab w:val="left" w:pos="720"/>
        </w:tabs>
        <w:spacing w:before="240"/>
        <w:ind w:left="720" w:hanging="720"/>
        <w:rPr>
          <w:rFonts w:ascii="Calibri" w:hAnsi="Calibri"/>
          <w:b/>
          <w:caps/>
          <w:lang w:val="en-AU"/>
        </w:rPr>
      </w:pPr>
      <w:r w:rsidRPr="00F34B6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DF7FAE">
        <w:rPr>
          <w:rFonts w:ascii="Calibri" w:hAnsi="Calibri"/>
          <w:b/>
          <w:bCs/>
          <w:caps/>
          <w:noProof/>
          <w:lang w:val="en-AU"/>
        </w:rPr>
        <w:t>29</w:t>
      </w:r>
      <w:r>
        <w:rPr>
          <w:rFonts w:ascii="Calibri" w:hAnsi="Calibri"/>
          <w:b/>
          <w:bCs/>
          <w:caps/>
          <w:lang w:val="en-AU"/>
        </w:rPr>
        <w:fldChar w:fldCharType="end"/>
      </w:r>
      <w:r w:rsidRPr="00F34B63">
        <w:rPr>
          <w:rFonts w:ascii="Calibri" w:hAnsi="Calibri"/>
          <w:b/>
          <w:caps/>
          <w:lang w:val="en-AU"/>
        </w:rPr>
        <w:tab/>
      </w:r>
      <w:r>
        <w:rPr>
          <w:rFonts w:ascii="Calibri" w:hAnsi="Calibri"/>
          <w:b/>
          <w:caps/>
          <w:lang w:val="en-AU"/>
        </w:rPr>
        <w:t>Fair Trading and Other Justice Legislation Amendment Bill 2022</w:t>
      </w:r>
    </w:p>
    <w:p w:rsidR="00717966" w:rsidRPr="00F34B63" w:rsidRDefault="00717966" w:rsidP="007A0726">
      <w:pPr>
        <w:keepNext/>
        <w:spacing w:before="120"/>
        <w:ind w:left="720"/>
        <w:rPr>
          <w:rFonts w:ascii="Calibri" w:hAnsi="Calibri"/>
          <w:lang w:val="en-AU"/>
        </w:rPr>
      </w:pPr>
      <w:r w:rsidRPr="00F34B63">
        <w:rPr>
          <w:rFonts w:ascii="Calibri" w:hAnsi="Calibri"/>
          <w:lang w:val="en-AU"/>
        </w:rPr>
        <w:t>The order of the day having been read for the resumption of the debate on the question—That this Bill be agreed to in principle—</w:t>
      </w:r>
    </w:p>
    <w:p w:rsidR="00717966" w:rsidRDefault="00717966" w:rsidP="00717966">
      <w:pPr>
        <w:spacing w:before="120"/>
        <w:ind w:left="720"/>
        <w:rPr>
          <w:rFonts w:ascii="Calibri" w:hAnsi="Calibri"/>
          <w:iCs/>
          <w:lang w:val="en-AU"/>
        </w:rPr>
      </w:pPr>
      <w:r w:rsidRPr="00F34B63">
        <w:rPr>
          <w:rFonts w:ascii="Calibri" w:hAnsi="Calibri"/>
          <w:iCs/>
          <w:lang w:val="en-AU"/>
        </w:rPr>
        <w:t>Debate resumed.</w:t>
      </w:r>
    </w:p>
    <w:p w:rsidR="00EF6D84" w:rsidRDefault="00EF6D84" w:rsidP="00717966">
      <w:pPr>
        <w:spacing w:before="120"/>
        <w:ind w:left="720"/>
        <w:rPr>
          <w:rFonts w:ascii="Calibri" w:hAnsi="Calibri"/>
          <w:iCs/>
          <w:lang w:val="en-AU"/>
        </w:rPr>
      </w:pPr>
      <w:r w:rsidRPr="00EF6D84">
        <w:rPr>
          <w:rFonts w:ascii="Calibri" w:hAnsi="Calibri"/>
          <w:i/>
          <w:iCs/>
          <w:lang w:val="en-AU"/>
        </w:rPr>
        <w:t>Paper:</w:t>
      </w:r>
      <w:r>
        <w:rPr>
          <w:rFonts w:ascii="Calibri" w:hAnsi="Calibri"/>
          <w:iCs/>
          <w:lang w:val="en-AU"/>
        </w:rPr>
        <w:t xml:space="preserve"> Mr </w:t>
      </w:r>
      <w:proofErr w:type="spellStart"/>
      <w:r>
        <w:rPr>
          <w:rFonts w:ascii="Calibri" w:hAnsi="Calibri"/>
          <w:iCs/>
          <w:lang w:val="en-AU"/>
        </w:rPr>
        <w:t>Rattenbury</w:t>
      </w:r>
      <w:proofErr w:type="spellEnd"/>
      <w:r>
        <w:rPr>
          <w:rFonts w:ascii="Calibri" w:hAnsi="Calibri"/>
          <w:iCs/>
          <w:lang w:val="en-AU"/>
        </w:rPr>
        <w:t xml:space="preserve"> tabled a revised explanatory statement.</w:t>
      </w:r>
    </w:p>
    <w:p w:rsidR="00CD7E91" w:rsidRPr="00666FE9" w:rsidRDefault="00CD7E91" w:rsidP="00CD7E91">
      <w:pPr>
        <w:pStyle w:val="DPSEntryDetail"/>
        <w:pBdr>
          <w:bottom w:val="thinThickLargeGap" w:sz="18" w:space="1" w:color="auto"/>
        </w:pBdr>
        <w:spacing w:before="0"/>
        <w:ind w:left="3427" w:right="3658"/>
        <w:jc w:val="center"/>
        <w:rPr>
          <w:iCs/>
        </w:rPr>
      </w:pPr>
    </w:p>
    <w:p w:rsidR="00CD7E91" w:rsidRPr="00840CF4" w:rsidRDefault="00CD7E91" w:rsidP="00CD7E91">
      <w:pPr>
        <w:pStyle w:val="DPSEntryDetail"/>
        <w:spacing w:before="180"/>
      </w:pPr>
      <w:r w:rsidRPr="00840CF4">
        <w:rPr>
          <w:i/>
          <w:iCs/>
        </w:rPr>
        <w:t xml:space="preserve">Adjournment negatived:  </w:t>
      </w:r>
      <w:r w:rsidRPr="00840CF4">
        <w:t>It being 6</w:t>
      </w:r>
      <w:r>
        <w:t>.30</w:t>
      </w:r>
      <w:r w:rsidRPr="00840CF4">
        <w:t xml:space="preserve"> pm—The question was proposed—That the Assembly do now adjourn.</w:t>
      </w:r>
    </w:p>
    <w:p w:rsidR="00CD7E91" w:rsidRPr="00840CF4" w:rsidRDefault="00CD7E91" w:rsidP="00CD7E91">
      <w:pPr>
        <w:pStyle w:val="DPSEntryDetail"/>
      </w:pPr>
      <w:r>
        <w:lastRenderedPageBreak/>
        <w:t xml:space="preserve">Mr </w:t>
      </w:r>
      <w:proofErr w:type="spellStart"/>
      <w:r>
        <w:t>Rattenbury</w:t>
      </w:r>
      <w:proofErr w:type="spellEnd"/>
      <w:r w:rsidRPr="00840CF4">
        <w:t xml:space="preserve"> (</w:t>
      </w:r>
      <w:r>
        <w:t>Minister for Consumer Affairs</w:t>
      </w:r>
      <w:r w:rsidRPr="00840CF4">
        <w:t>) requiring the question to be put forthwith without debate—</w:t>
      </w:r>
    </w:p>
    <w:p w:rsidR="00CD7E91" w:rsidRPr="00840CF4" w:rsidRDefault="00CD7E91" w:rsidP="00CD7E91">
      <w:pPr>
        <w:pStyle w:val="DPSEntryDetail"/>
      </w:pPr>
      <w:r w:rsidRPr="00840CF4">
        <w:t>Question—put and negatived.</w:t>
      </w:r>
    </w:p>
    <w:p w:rsidR="00CD7E91" w:rsidRPr="00840CF4" w:rsidRDefault="00CD7E91" w:rsidP="00CD7E91">
      <w:pPr>
        <w:pStyle w:val="DPSEntryDetail"/>
        <w:pBdr>
          <w:top w:val="thickThinLargeGap" w:sz="18" w:space="1" w:color="auto"/>
        </w:pBdr>
        <w:spacing w:before="180"/>
        <w:ind w:left="3427" w:right="3658"/>
        <w:jc w:val="center"/>
      </w:pPr>
    </w:p>
    <w:p w:rsidR="00EF6D84" w:rsidRDefault="00EF6D84" w:rsidP="00717966">
      <w:pPr>
        <w:spacing w:before="120"/>
        <w:ind w:left="720"/>
        <w:rPr>
          <w:rFonts w:ascii="Calibri" w:hAnsi="Calibri"/>
          <w:iCs/>
          <w:lang w:val="en-AU"/>
        </w:rPr>
      </w:pPr>
      <w:r>
        <w:rPr>
          <w:rFonts w:ascii="Calibri" w:hAnsi="Calibri"/>
          <w:iCs/>
          <w:lang w:val="en-AU"/>
        </w:rPr>
        <w:t xml:space="preserve">Mr </w:t>
      </w:r>
      <w:proofErr w:type="spellStart"/>
      <w:r>
        <w:rPr>
          <w:rFonts w:ascii="Calibri" w:hAnsi="Calibri"/>
          <w:iCs/>
          <w:lang w:val="en-AU"/>
        </w:rPr>
        <w:t>Rattenbury</w:t>
      </w:r>
      <w:proofErr w:type="spellEnd"/>
      <w:r>
        <w:rPr>
          <w:rFonts w:ascii="Calibri" w:hAnsi="Calibri"/>
          <w:iCs/>
          <w:lang w:val="en-AU"/>
        </w:rPr>
        <w:t xml:space="preserve">, by leave, was granted an extension of time. </w:t>
      </w:r>
    </w:p>
    <w:p w:rsidR="00717966" w:rsidRPr="00F34B63" w:rsidRDefault="00717966" w:rsidP="00717966">
      <w:pPr>
        <w:spacing w:before="120"/>
        <w:ind w:left="720"/>
        <w:rPr>
          <w:rFonts w:ascii="Calibri" w:hAnsi="Calibri"/>
          <w:iCs/>
          <w:lang w:val="en-AU"/>
        </w:rPr>
      </w:pPr>
      <w:r w:rsidRPr="00F34B63">
        <w:rPr>
          <w:rFonts w:ascii="Calibri" w:hAnsi="Calibri"/>
          <w:iCs/>
          <w:lang w:val="en-AU"/>
        </w:rPr>
        <w:t>Question—That this Bill be agreed to in principle—put and passed.</w:t>
      </w:r>
    </w:p>
    <w:p w:rsidR="00717966" w:rsidRPr="00F34B63" w:rsidRDefault="00717966" w:rsidP="00717966">
      <w:pPr>
        <w:spacing w:before="120"/>
        <w:ind w:left="720"/>
        <w:rPr>
          <w:rFonts w:ascii="Calibri" w:hAnsi="Calibri"/>
          <w:iCs/>
          <w:lang w:val="en-AU"/>
        </w:rPr>
      </w:pPr>
      <w:r w:rsidRPr="00F34B63">
        <w:rPr>
          <w:rFonts w:ascii="Calibri" w:hAnsi="Calibri"/>
          <w:iCs/>
          <w:lang w:val="en-AU"/>
        </w:rPr>
        <w:t>Leave granted to dispense with the detail stage.</w:t>
      </w:r>
    </w:p>
    <w:p w:rsidR="00717966" w:rsidRDefault="00717966" w:rsidP="00717966">
      <w:pPr>
        <w:spacing w:before="120"/>
        <w:ind w:left="720"/>
        <w:rPr>
          <w:rFonts w:ascii="Calibri" w:hAnsi="Calibri"/>
          <w:lang w:val="en-AU"/>
        </w:rPr>
      </w:pPr>
      <w:r w:rsidRPr="00F34B63">
        <w:rPr>
          <w:rFonts w:ascii="Calibri" w:hAnsi="Calibri"/>
          <w:lang w:val="en-AU"/>
        </w:rPr>
        <w:t>Question—That this Bill be agreed to—put and passed.</w:t>
      </w:r>
    </w:p>
    <w:p w:rsidR="006B3020" w:rsidRPr="006B3020" w:rsidRDefault="006B3020" w:rsidP="006B3020">
      <w:pPr>
        <w:keepNext/>
        <w:keepLines/>
        <w:tabs>
          <w:tab w:val="right" w:pos="339"/>
          <w:tab w:val="left" w:pos="720"/>
        </w:tabs>
        <w:spacing w:before="240"/>
        <w:ind w:left="720" w:hanging="720"/>
        <w:rPr>
          <w:rFonts w:ascii="Calibri" w:hAnsi="Calibri"/>
          <w:b/>
          <w:lang w:val="en-AU"/>
        </w:rPr>
      </w:pPr>
      <w:r w:rsidRPr="006B3020">
        <w:rPr>
          <w:rFonts w:ascii="Calibri" w:hAnsi="Calibri"/>
          <w:b/>
          <w:lang w:val="en-AU"/>
        </w:rPr>
        <w:tab/>
      </w:r>
      <w:r w:rsidR="00D33712">
        <w:rPr>
          <w:rFonts w:ascii="Calibri" w:hAnsi="Calibri"/>
          <w:b/>
          <w:bCs/>
          <w:lang w:val="en-AU"/>
        </w:rPr>
        <w:fldChar w:fldCharType="begin"/>
      </w:r>
      <w:r w:rsidR="00D33712">
        <w:rPr>
          <w:rFonts w:ascii="Calibri" w:hAnsi="Calibri"/>
          <w:b/>
          <w:bCs/>
          <w:lang w:val="en-AU"/>
        </w:rPr>
        <w:instrText xml:space="preserve"> SEQ A \* MERGEFORMAT </w:instrText>
      </w:r>
      <w:r w:rsidR="00D33712">
        <w:rPr>
          <w:rFonts w:ascii="Calibri" w:hAnsi="Calibri"/>
          <w:b/>
          <w:bCs/>
          <w:lang w:val="en-AU"/>
        </w:rPr>
        <w:fldChar w:fldCharType="separate"/>
      </w:r>
      <w:r w:rsidR="00DF7FAE">
        <w:rPr>
          <w:rFonts w:ascii="Calibri" w:hAnsi="Calibri"/>
          <w:b/>
          <w:bCs/>
          <w:noProof/>
          <w:lang w:val="en-AU"/>
        </w:rPr>
        <w:t>30</w:t>
      </w:r>
      <w:r w:rsidR="00D33712">
        <w:rPr>
          <w:rFonts w:ascii="Calibri" w:hAnsi="Calibri"/>
          <w:b/>
          <w:bCs/>
          <w:lang w:val="en-AU"/>
        </w:rPr>
        <w:fldChar w:fldCharType="end"/>
      </w:r>
      <w:r w:rsidRPr="006B3020">
        <w:rPr>
          <w:rFonts w:ascii="Calibri" w:hAnsi="Calibri"/>
          <w:b/>
          <w:lang w:val="en-AU"/>
        </w:rPr>
        <w:tab/>
        <w:t>ADJOURNMENT</w:t>
      </w:r>
    </w:p>
    <w:p w:rsidR="006B3020" w:rsidRPr="006B3020" w:rsidRDefault="006B3020" w:rsidP="006B3020">
      <w:pPr>
        <w:spacing w:before="120"/>
        <w:ind w:left="720"/>
        <w:rPr>
          <w:rFonts w:ascii="Calibri" w:hAnsi="Calibri"/>
          <w:lang w:val="en-AU"/>
        </w:rPr>
      </w:pPr>
      <w:r>
        <w:rPr>
          <w:rFonts w:ascii="Calibri" w:hAnsi="Calibri"/>
          <w:lang w:val="en-AU"/>
        </w:rPr>
        <w:t xml:space="preserve">Mr </w:t>
      </w:r>
      <w:proofErr w:type="spellStart"/>
      <w:r w:rsidR="00B5554D">
        <w:rPr>
          <w:rFonts w:ascii="Calibri" w:hAnsi="Calibri"/>
          <w:lang w:val="en-AU"/>
        </w:rPr>
        <w:t>Rattenbury</w:t>
      </w:r>
      <w:proofErr w:type="spellEnd"/>
      <w:r w:rsidRPr="006B3020">
        <w:rPr>
          <w:rFonts w:ascii="Calibri" w:hAnsi="Calibri"/>
          <w:lang w:val="en-AU"/>
        </w:rPr>
        <w:t xml:space="preserve"> (</w:t>
      </w:r>
      <w:r w:rsidR="00B5554D">
        <w:rPr>
          <w:rFonts w:ascii="Calibri" w:hAnsi="Calibri"/>
          <w:lang w:val="en-AU"/>
        </w:rPr>
        <w:t>M</w:t>
      </w:r>
      <w:r w:rsidR="00393FE6">
        <w:rPr>
          <w:rFonts w:ascii="Calibri" w:hAnsi="Calibri"/>
          <w:lang w:val="en-AU"/>
        </w:rPr>
        <w:t>inister for Consumer Affairs</w:t>
      </w:r>
      <w:r w:rsidRPr="006B3020">
        <w:rPr>
          <w:rFonts w:ascii="Calibri" w:hAnsi="Calibri"/>
          <w:lang w:val="en-AU"/>
        </w:rPr>
        <w:t>) moved—That the Assembly do now adjourn.</w:t>
      </w:r>
    </w:p>
    <w:p w:rsidR="006B3020" w:rsidRPr="006B3020" w:rsidRDefault="006B3020" w:rsidP="006B3020">
      <w:pPr>
        <w:spacing w:before="120"/>
        <w:ind w:left="720"/>
        <w:rPr>
          <w:rFonts w:ascii="Calibri" w:hAnsi="Calibri"/>
          <w:lang w:val="en-AU"/>
        </w:rPr>
      </w:pPr>
      <w:r w:rsidRPr="006B3020">
        <w:rPr>
          <w:rFonts w:ascii="Calibri" w:hAnsi="Calibri"/>
          <w:lang w:val="en-AU"/>
        </w:rPr>
        <w:t>Debate ensued.</w:t>
      </w:r>
    </w:p>
    <w:p w:rsidR="006B3020" w:rsidRPr="006B3020" w:rsidRDefault="006B3020" w:rsidP="006B3020">
      <w:pPr>
        <w:spacing w:before="120"/>
        <w:ind w:left="720"/>
        <w:rPr>
          <w:rFonts w:ascii="Calibri" w:hAnsi="Calibri"/>
          <w:lang w:val="en-AU"/>
        </w:rPr>
      </w:pPr>
      <w:r w:rsidRPr="006B3020">
        <w:rPr>
          <w:rFonts w:ascii="Calibri" w:hAnsi="Calibri"/>
          <w:lang w:val="en-AU"/>
        </w:rPr>
        <w:t>Question—put and passed.</w:t>
      </w:r>
    </w:p>
    <w:p w:rsidR="006B3020" w:rsidRPr="006B3020" w:rsidRDefault="006B3020" w:rsidP="006B3020">
      <w:pPr>
        <w:spacing w:before="120"/>
        <w:ind w:left="720"/>
        <w:rPr>
          <w:rFonts w:ascii="Calibri" w:hAnsi="Calibri"/>
          <w:lang w:val="en-AU"/>
        </w:rPr>
      </w:pPr>
      <w:r w:rsidRPr="006B3020">
        <w:rPr>
          <w:rFonts w:ascii="Calibri" w:hAnsi="Calibri"/>
          <w:lang w:val="en-AU"/>
        </w:rPr>
        <w:t>And then the Assembly, at</w:t>
      </w:r>
      <w:r w:rsidR="006A54B4">
        <w:rPr>
          <w:rFonts w:ascii="Calibri" w:hAnsi="Calibri"/>
          <w:lang w:val="en-AU"/>
        </w:rPr>
        <w:t xml:space="preserve"> 6.42 pm</w:t>
      </w:r>
      <w:r w:rsidRPr="006B3020">
        <w:rPr>
          <w:rFonts w:ascii="Calibri" w:hAnsi="Calibri"/>
          <w:lang w:val="en-AU"/>
        </w:rPr>
        <w:t xml:space="preserve">, adjourned until </w:t>
      </w:r>
      <w:r w:rsidR="00D33712">
        <w:rPr>
          <w:rFonts w:ascii="Calibri" w:hAnsi="Calibri"/>
          <w:lang w:val="en-AU"/>
        </w:rPr>
        <w:t xml:space="preserve">Wednesday, </w:t>
      </w:r>
      <w:r>
        <w:rPr>
          <w:rFonts w:ascii="Calibri" w:hAnsi="Calibri"/>
          <w:lang w:val="en-AU"/>
        </w:rPr>
        <w:t>1 June 2022 at 10 am</w:t>
      </w:r>
      <w:r w:rsidRPr="006B3020">
        <w:rPr>
          <w:rFonts w:ascii="Calibri" w:hAnsi="Calibri"/>
          <w:lang w:val="en-AU"/>
        </w:rPr>
        <w:t>.</w:t>
      </w:r>
    </w:p>
    <w:p w:rsidR="006B3020" w:rsidRPr="006B3020" w:rsidRDefault="006B3020" w:rsidP="006B3020">
      <w:pPr>
        <w:pBdr>
          <w:bottom w:val="thinThickLargeGap" w:sz="18" w:space="1" w:color="auto"/>
        </w:pBdr>
        <w:ind w:left="3427" w:right="3658"/>
        <w:jc w:val="center"/>
        <w:rPr>
          <w:rFonts w:ascii="Calibri" w:hAnsi="Calibri"/>
          <w:i/>
          <w:iCs/>
          <w:lang w:val="en-AU"/>
        </w:rPr>
      </w:pPr>
    </w:p>
    <w:p w:rsidR="006B3020" w:rsidRDefault="006B3020" w:rsidP="006B3020">
      <w:pPr>
        <w:keepNext/>
        <w:keepLines/>
        <w:spacing w:before="240" w:after="100" w:afterAutospacing="1"/>
        <w:ind w:left="180"/>
        <w:jc w:val="both"/>
        <w:rPr>
          <w:rFonts w:ascii="Calibri" w:hAnsi="Calibri"/>
          <w:bCs/>
        </w:rPr>
      </w:pPr>
      <w:r w:rsidRPr="006B3020">
        <w:rPr>
          <w:rFonts w:ascii="Calibri" w:hAnsi="Calibri"/>
          <w:b/>
          <w:caps/>
        </w:rPr>
        <w:t>MEMBERS</w:t>
      </w:r>
      <w:r w:rsidR="00DF7FAE">
        <w:rPr>
          <w:rFonts w:ascii="Calibri" w:hAnsi="Calibri"/>
          <w:b/>
          <w:caps/>
        </w:rPr>
        <w:t>’</w:t>
      </w:r>
      <w:r w:rsidRPr="006B3020">
        <w:rPr>
          <w:rFonts w:ascii="Calibri" w:hAnsi="Calibri"/>
          <w:b/>
          <w:caps/>
        </w:rPr>
        <w:t xml:space="preserve"> ATTENDANCE:  </w:t>
      </w:r>
      <w:r w:rsidRPr="006B3020">
        <w:rPr>
          <w:rFonts w:ascii="Calibri" w:hAnsi="Calibri"/>
        </w:rPr>
        <w:t>All Members were present at some time during the sitting</w:t>
      </w:r>
      <w:r>
        <w:rPr>
          <w:rFonts w:ascii="Calibri" w:hAnsi="Calibri"/>
        </w:rPr>
        <w:t xml:space="preserve">, except </w:t>
      </w:r>
      <w:proofErr w:type="spellStart"/>
      <w:r>
        <w:rPr>
          <w:rFonts w:ascii="Calibri" w:hAnsi="Calibri"/>
        </w:rPr>
        <w:t>Mrs</w:t>
      </w:r>
      <w:proofErr w:type="spellEnd"/>
      <w:r>
        <w:rPr>
          <w:rFonts w:ascii="Calibri" w:hAnsi="Calibri"/>
        </w:rPr>
        <w:t xml:space="preserve"> Jone</w:t>
      </w:r>
      <w:r w:rsidR="0054292C">
        <w:rPr>
          <w:rFonts w:ascii="Calibri" w:hAnsi="Calibri"/>
        </w:rPr>
        <w:t>s</w:t>
      </w:r>
      <w:r>
        <w:rPr>
          <w:rFonts w:ascii="Calibri" w:hAnsi="Calibri"/>
          <w:bCs/>
        </w:rPr>
        <w:t>*</w:t>
      </w:r>
      <w:r w:rsidR="0054292C">
        <w:rPr>
          <w:rFonts w:ascii="Calibri" w:hAnsi="Calibri"/>
          <w:bCs/>
        </w:rPr>
        <w:t>.</w:t>
      </w:r>
    </w:p>
    <w:p w:rsidR="006B3020" w:rsidRPr="006B3020" w:rsidRDefault="006B3020" w:rsidP="006B3020">
      <w:pPr>
        <w:keepNext/>
        <w:keepLines/>
        <w:spacing w:before="240" w:after="100" w:afterAutospacing="1"/>
        <w:ind w:left="180"/>
        <w:jc w:val="center"/>
        <w:rPr>
          <w:rFonts w:ascii="Calibri" w:hAnsi="Calibri"/>
        </w:rPr>
      </w:pPr>
      <w:r w:rsidRPr="006B3020">
        <w:rPr>
          <w:rFonts w:ascii="Calibri" w:hAnsi="Calibri"/>
        </w:rPr>
        <w:t>*on leave.</w:t>
      </w:r>
    </w:p>
    <w:p w:rsidR="006B3020" w:rsidRPr="006B3020" w:rsidRDefault="006B3020" w:rsidP="006B3020">
      <w:pPr>
        <w:pBdr>
          <w:top w:val="thickThinLargeGap" w:sz="18" w:space="1" w:color="auto"/>
        </w:pBdr>
        <w:spacing w:before="180"/>
        <w:ind w:left="3427" w:right="3658"/>
        <w:jc w:val="center"/>
        <w:rPr>
          <w:rFonts w:ascii="Calibri" w:hAnsi="Calibri"/>
          <w:lang w:val="en-AU"/>
        </w:rPr>
      </w:pPr>
    </w:p>
    <w:p w:rsidR="006B3020" w:rsidRPr="006B3020" w:rsidRDefault="006B3020" w:rsidP="006B3020">
      <w:pPr>
        <w:keepNext/>
        <w:keepLines/>
        <w:spacing w:before="720"/>
        <w:ind w:left="5670" w:right="-33"/>
        <w:jc w:val="center"/>
        <w:rPr>
          <w:rFonts w:ascii="Calibri" w:hAnsi="Calibri"/>
          <w:b/>
          <w:bCs/>
          <w:lang w:val="en-AU"/>
        </w:rPr>
      </w:pPr>
      <w:r w:rsidRPr="006B3020">
        <w:rPr>
          <w:rFonts w:ascii="Calibri" w:hAnsi="Calibri"/>
          <w:b/>
          <w:bCs/>
          <w:lang w:val="en-AU"/>
        </w:rPr>
        <w:t>Tom Duncan</w:t>
      </w:r>
    </w:p>
    <w:p w:rsidR="006B3020" w:rsidRPr="006B3020" w:rsidRDefault="006B3020" w:rsidP="006B3020">
      <w:pPr>
        <w:ind w:left="5850"/>
        <w:rPr>
          <w:rFonts w:ascii="Calibri" w:hAnsi="Calibri"/>
          <w:szCs w:val="24"/>
        </w:rPr>
      </w:pPr>
      <w:r w:rsidRPr="006B3020">
        <w:rPr>
          <w:rFonts w:ascii="Calibri" w:hAnsi="Calibri"/>
          <w:szCs w:val="24"/>
        </w:rPr>
        <w:t>Clerk of the Legislative Assembly</w:t>
      </w:r>
    </w:p>
    <w:p w:rsidR="00C82CD2" w:rsidRPr="00F34B63" w:rsidRDefault="00C82CD2" w:rsidP="00717966">
      <w:pPr>
        <w:spacing w:before="120"/>
        <w:ind w:left="720"/>
        <w:rPr>
          <w:rFonts w:ascii="Calibri" w:hAnsi="Calibri"/>
          <w:lang w:val="en-AU"/>
        </w:rPr>
      </w:pPr>
    </w:p>
    <w:p w:rsidR="003D69C2" w:rsidRDefault="003D69C2" w:rsidP="00C82CD2">
      <w:pPr>
        <w:pStyle w:val="DPSEntryDetail"/>
      </w:pPr>
      <w:r>
        <w:br w:type="page"/>
      </w:r>
    </w:p>
    <w:p w:rsidR="001459D4" w:rsidRDefault="00E014AA" w:rsidP="001459D4">
      <w:pPr>
        <w:pStyle w:val="Heading2"/>
        <w:jc w:val="center"/>
        <w:rPr>
          <w:rFonts w:asciiTheme="minorHAnsi" w:hAnsiTheme="minorHAnsi"/>
          <w:i w:val="0"/>
          <w:sz w:val="36"/>
          <w:szCs w:val="36"/>
        </w:rPr>
        <w:sectPr w:rsidR="001459D4" w:rsidSect="000D1C0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26" w:right="1440" w:bottom="1267" w:left="1138" w:header="634" w:footer="576" w:gutter="0"/>
          <w:pgNumType w:start="621"/>
          <w:cols w:space="708"/>
          <w:titlePg/>
          <w:docGrid w:linePitch="360"/>
        </w:sectPr>
      </w:pPr>
      <w:r>
        <w:rPr>
          <w:rFonts w:asciiTheme="minorHAnsi" w:hAnsiTheme="minorHAnsi"/>
          <w:i w:val="0"/>
          <w:sz w:val="36"/>
          <w:szCs w:val="36"/>
        </w:rPr>
        <w:lastRenderedPageBreak/>
        <w:t>SCHEDULE</w:t>
      </w:r>
      <w:r w:rsidR="001459D4" w:rsidRPr="00802856">
        <w:rPr>
          <w:rFonts w:asciiTheme="minorHAnsi" w:hAnsiTheme="minorHAnsi"/>
          <w:i w:val="0"/>
          <w:sz w:val="36"/>
          <w:szCs w:val="36"/>
        </w:rPr>
        <w:t xml:space="preserve"> OF AMENDMENTS</w:t>
      </w:r>
    </w:p>
    <w:p w:rsidR="001459D4" w:rsidRPr="00F25EF9" w:rsidRDefault="001459D4" w:rsidP="001459D4">
      <w:pPr>
        <w:pStyle w:val="DPSEntryDetail"/>
        <w:ind w:left="0"/>
        <w:rPr>
          <w:b/>
          <w:sz w:val="36"/>
          <w:szCs w:val="36"/>
          <w:u w:val="single"/>
        </w:rPr>
      </w:pPr>
    </w:p>
    <w:p w:rsidR="001459D4" w:rsidRPr="00E014AA" w:rsidRDefault="001459D4" w:rsidP="0033216F">
      <w:pPr>
        <w:pStyle w:val="DPSEntryDetail"/>
        <w:ind w:left="0" w:right="1408"/>
        <w:rPr>
          <w:b/>
          <w:sz w:val="28"/>
          <w:szCs w:val="28"/>
          <w:u w:val="single"/>
        </w:rPr>
      </w:pPr>
      <w:bookmarkStart w:id="1" w:name="Schedule1"/>
      <w:r w:rsidRPr="00E014AA">
        <w:rPr>
          <w:rStyle w:val="Hyperlink"/>
          <w:b/>
          <w:color w:val="auto"/>
          <w:sz w:val="28"/>
          <w:szCs w:val="28"/>
          <w:u w:val="single"/>
        </w:rPr>
        <w:t>Schedule 1</w:t>
      </w:r>
      <w:bookmarkEnd w:id="1"/>
    </w:p>
    <w:p w:rsidR="001459D4" w:rsidRPr="00733D8E" w:rsidRDefault="001459D4" w:rsidP="0033216F">
      <w:pPr>
        <w:pStyle w:val="DPSEntryDetail"/>
        <w:ind w:left="0" w:right="1408"/>
        <w:rPr>
          <w:b/>
          <w:sz w:val="28"/>
          <w:szCs w:val="28"/>
          <w:u w:val="single"/>
        </w:rPr>
      </w:pPr>
    </w:p>
    <w:p w:rsidR="001459D4" w:rsidRPr="00733D8E" w:rsidRDefault="001459D4" w:rsidP="0033216F">
      <w:pPr>
        <w:pBdr>
          <w:bottom w:val="single" w:sz="4" w:space="1" w:color="auto"/>
        </w:pBdr>
        <w:tabs>
          <w:tab w:val="left" w:pos="1197"/>
          <w:tab w:val="left" w:pos="1767"/>
        </w:tabs>
        <w:spacing w:after="120"/>
        <w:ind w:right="1408"/>
        <w:rPr>
          <w:caps/>
          <w:spacing w:val="-2"/>
          <w:szCs w:val="24"/>
          <w:lang w:val="en-AU"/>
        </w:rPr>
      </w:pPr>
      <w:r>
        <w:rPr>
          <w:b/>
          <w:szCs w:val="24"/>
        </w:rPr>
        <w:t>CRIMES (CONSENT) AMENDMENT BILL 2022</w:t>
      </w:r>
    </w:p>
    <w:p w:rsidR="001459D4" w:rsidRDefault="001459D4" w:rsidP="0033216F">
      <w:pPr>
        <w:tabs>
          <w:tab w:val="left" w:pos="1197"/>
          <w:tab w:val="left" w:pos="1767"/>
        </w:tabs>
        <w:spacing w:before="120"/>
        <w:ind w:right="1408"/>
        <w:rPr>
          <w:lang w:val="en-AU"/>
        </w:rPr>
      </w:pPr>
      <w:r>
        <w:rPr>
          <w:lang w:val="en-AU"/>
        </w:rPr>
        <w:t>Amendments</w:t>
      </w:r>
      <w:r w:rsidRPr="00733D8E">
        <w:rPr>
          <w:lang w:val="en-AU"/>
        </w:rPr>
        <w:t xml:space="preserve"> circulated by </w:t>
      </w:r>
      <w:r>
        <w:rPr>
          <w:lang w:val="en-AU"/>
        </w:rPr>
        <w:t>Dr Paterson</w:t>
      </w:r>
    </w:p>
    <w:p w:rsidR="001459D4" w:rsidRPr="00E22755" w:rsidRDefault="001459D4" w:rsidP="0033216F">
      <w:pPr>
        <w:pStyle w:val="AH3sec"/>
        <w:numPr>
          <w:ilvl w:val="0"/>
          <w:numId w:val="0"/>
        </w:numPr>
        <w:ind w:right="1408"/>
      </w:pPr>
      <w:r>
        <w:t>1</w:t>
      </w:r>
      <w:r>
        <w:tab/>
      </w:r>
      <w:r w:rsidRPr="00E22755">
        <w:br/>
        <w:t>Clause 4 heading</w:t>
      </w:r>
      <w:r w:rsidRPr="00E22755">
        <w:br/>
        <w:t>Page 2, line 9—</w:t>
      </w:r>
    </w:p>
    <w:p w:rsidR="001459D4" w:rsidRPr="00E22755" w:rsidRDefault="001459D4" w:rsidP="0033216F">
      <w:pPr>
        <w:pStyle w:val="direction"/>
        <w:ind w:right="1408"/>
      </w:pPr>
      <w:r w:rsidRPr="00E22755">
        <w:t>omit the heading, substitute</w:t>
      </w:r>
    </w:p>
    <w:p w:rsidR="001459D4" w:rsidRPr="00E22755" w:rsidRDefault="001459D4" w:rsidP="0033216F">
      <w:pPr>
        <w:pStyle w:val="IshadedH5Sec"/>
        <w:ind w:right="1408"/>
      </w:pPr>
      <w:r w:rsidRPr="00E22755">
        <w:t>4</w:t>
      </w:r>
      <w:r w:rsidRPr="00E22755">
        <w:tab/>
        <w:t>New sections 50A</w:t>
      </w:r>
      <w:r>
        <w:t xml:space="preserve"> to</w:t>
      </w:r>
      <w:r w:rsidRPr="00E22755">
        <w:t xml:space="preserve"> 50C</w:t>
      </w:r>
    </w:p>
    <w:p w:rsidR="001459D4" w:rsidRPr="00E22755" w:rsidRDefault="001459D4" w:rsidP="0033216F">
      <w:pPr>
        <w:pStyle w:val="AH3sec"/>
        <w:numPr>
          <w:ilvl w:val="0"/>
          <w:numId w:val="0"/>
        </w:numPr>
        <w:ind w:right="1408"/>
      </w:pPr>
      <w:r w:rsidRPr="00E22755">
        <w:t>2</w:t>
      </w:r>
      <w:r>
        <w:tab/>
      </w:r>
      <w:r w:rsidRPr="00E22755">
        <w:br/>
        <w:t>Clause 4</w:t>
      </w:r>
      <w:r w:rsidRPr="00E22755">
        <w:br/>
        <w:t>Proposed new section 50A</w:t>
      </w:r>
      <w:r w:rsidRPr="00E22755">
        <w:br/>
        <w:t>Page 2, line 11—</w:t>
      </w:r>
    </w:p>
    <w:p w:rsidR="001459D4" w:rsidRPr="00E22755" w:rsidRDefault="001459D4" w:rsidP="0033216F">
      <w:pPr>
        <w:pStyle w:val="direction"/>
        <w:ind w:right="1408"/>
      </w:pPr>
      <w:r w:rsidRPr="00E22755">
        <w:t>omit proposed new section 50A, substitute</w:t>
      </w:r>
    </w:p>
    <w:p w:rsidR="001459D4" w:rsidRPr="00E22755" w:rsidRDefault="001459D4" w:rsidP="0033216F">
      <w:pPr>
        <w:pStyle w:val="IH5Sec"/>
        <w:ind w:right="1408"/>
      </w:pPr>
      <w:r w:rsidRPr="00E22755">
        <w:t>50A</w:t>
      </w:r>
      <w:r w:rsidRPr="00E22755">
        <w:tab/>
        <w:t>Objects—</w:t>
      </w:r>
      <w:proofErr w:type="spellStart"/>
      <w:r w:rsidRPr="00E22755">
        <w:t>pt</w:t>
      </w:r>
      <w:proofErr w:type="spellEnd"/>
      <w:r w:rsidRPr="00E22755">
        <w:t xml:space="preserve"> 3</w:t>
      </w:r>
    </w:p>
    <w:p w:rsidR="001459D4" w:rsidRPr="00E22755" w:rsidRDefault="001459D4" w:rsidP="0033216F">
      <w:pPr>
        <w:pStyle w:val="Amainreturn"/>
        <w:ind w:right="1408"/>
      </w:pPr>
      <w:r w:rsidRPr="00E22755">
        <w:t>An object of this part is to recognise the following in relation to a sexual act:</w:t>
      </w:r>
    </w:p>
    <w:p w:rsidR="001459D4" w:rsidRPr="00E22755" w:rsidRDefault="001459D4" w:rsidP="0033216F">
      <w:pPr>
        <w:pStyle w:val="Ipara"/>
        <w:ind w:right="1408"/>
      </w:pPr>
      <w:r w:rsidRPr="00E22755">
        <w:tab/>
        <w:t>(a)</w:t>
      </w:r>
      <w:r w:rsidRPr="00E22755">
        <w:tab/>
        <w:t>consent to participate in a sexual act is not to be presumed;</w:t>
      </w:r>
    </w:p>
    <w:p w:rsidR="001459D4" w:rsidRPr="00E22755" w:rsidRDefault="001459D4" w:rsidP="0033216F">
      <w:pPr>
        <w:pStyle w:val="Ipara"/>
        <w:ind w:right="1408"/>
      </w:pPr>
      <w:r w:rsidRPr="00E22755">
        <w:tab/>
        <w:t>(b)</w:t>
      </w:r>
      <w:r w:rsidRPr="00E22755">
        <w:tab/>
        <w:t>every person has a right to choose not to participate in a sexual act;</w:t>
      </w:r>
    </w:p>
    <w:p w:rsidR="001459D4" w:rsidRPr="00733D8E" w:rsidRDefault="001459D4" w:rsidP="0033216F">
      <w:pPr>
        <w:pStyle w:val="Ipara"/>
        <w:ind w:right="1408"/>
      </w:pPr>
      <w:r w:rsidRPr="00E22755">
        <w:tab/>
        <w:t>(c)</w:t>
      </w:r>
      <w:r w:rsidRPr="00E22755">
        <w:tab/>
        <w:t>a consensual sexual act involves ongoing and mutual communication and decision-making by the people participating in the sexual act.</w:t>
      </w:r>
    </w:p>
    <w:p w:rsidR="001459D4" w:rsidRPr="00E22755" w:rsidRDefault="001459D4" w:rsidP="0033216F">
      <w:pPr>
        <w:pStyle w:val="AH3sec"/>
        <w:numPr>
          <w:ilvl w:val="0"/>
          <w:numId w:val="0"/>
        </w:numPr>
        <w:ind w:right="1408"/>
      </w:pPr>
      <w:r>
        <w:t>3</w:t>
      </w:r>
      <w:r>
        <w:tab/>
      </w:r>
      <w:r w:rsidRPr="00E22755">
        <w:br/>
        <w:t>Clause 4</w:t>
      </w:r>
      <w:r w:rsidRPr="00E22755">
        <w:br/>
        <w:t>Proposed new section 50C</w:t>
      </w:r>
      <w:r w:rsidRPr="00E22755">
        <w:br/>
        <w:t>Page 3, line 7—</w:t>
      </w:r>
    </w:p>
    <w:p w:rsidR="001459D4" w:rsidRPr="00E22755" w:rsidRDefault="001459D4" w:rsidP="0033216F">
      <w:pPr>
        <w:pStyle w:val="direction"/>
        <w:ind w:right="1408"/>
      </w:pPr>
      <w:r w:rsidRPr="00E22755">
        <w:t>insert</w:t>
      </w:r>
    </w:p>
    <w:p w:rsidR="001459D4" w:rsidRPr="00E22755" w:rsidRDefault="001459D4" w:rsidP="0033216F">
      <w:pPr>
        <w:pStyle w:val="IH5Sec"/>
        <w:ind w:right="1408"/>
      </w:pPr>
      <w:r w:rsidRPr="00E22755">
        <w:t>50C</w:t>
      </w:r>
      <w:r w:rsidRPr="00E22755">
        <w:tab/>
        <w:t xml:space="preserve">Meaning of </w:t>
      </w:r>
      <w:r w:rsidRPr="00E22755">
        <w:rPr>
          <w:i/>
          <w:iCs/>
        </w:rPr>
        <w:t>sexual act</w:t>
      </w:r>
      <w:r w:rsidRPr="00E22755">
        <w:t>—</w:t>
      </w:r>
      <w:proofErr w:type="spellStart"/>
      <w:r w:rsidRPr="00E22755">
        <w:t>pt</w:t>
      </w:r>
      <w:proofErr w:type="spellEnd"/>
      <w:r w:rsidRPr="00E22755">
        <w:t xml:space="preserve"> 3</w:t>
      </w:r>
    </w:p>
    <w:p w:rsidR="001459D4" w:rsidRPr="00E22755" w:rsidRDefault="001459D4" w:rsidP="0033216F">
      <w:pPr>
        <w:pStyle w:val="IMain"/>
        <w:ind w:right="1408"/>
      </w:pPr>
      <w:r w:rsidRPr="00E22755">
        <w:tab/>
        <w:t>(1)</w:t>
      </w:r>
      <w:r w:rsidRPr="00E22755">
        <w:tab/>
        <w:t>In this part:</w:t>
      </w:r>
    </w:p>
    <w:p w:rsidR="001459D4" w:rsidRPr="00E22755" w:rsidRDefault="001459D4" w:rsidP="0033216F">
      <w:pPr>
        <w:pStyle w:val="aDef"/>
        <w:ind w:right="1408"/>
      </w:pPr>
      <w:r w:rsidRPr="00E22755">
        <w:rPr>
          <w:b/>
          <w:i/>
        </w:rPr>
        <w:t>sexual act</w:t>
      </w:r>
      <w:r w:rsidRPr="00E22755">
        <w:t>—</w:t>
      </w:r>
    </w:p>
    <w:p w:rsidR="001459D4" w:rsidRPr="00E22755" w:rsidRDefault="001459D4" w:rsidP="0033216F">
      <w:pPr>
        <w:pStyle w:val="Idefpara"/>
        <w:ind w:right="1408"/>
      </w:pPr>
      <w:r w:rsidRPr="00E22755">
        <w:tab/>
        <w:t>(a)</w:t>
      </w:r>
      <w:r w:rsidRPr="00E22755">
        <w:tab/>
        <w:t>means—</w:t>
      </w:r>
    </w:p>
    <w:p w:rsidR="001459D4" w:rsidRPr="00E22755" w:rsidRDefault="001459D4" w:rsidP="0033216F">
      <w:pPr>
        <w:pStyle w:val="Idefsubpara"/>
        <w:ind w:right="1408"/>
      </w:pPr>
      <w:r w:rsidRPr="00E22755">
        <w:tab/>
        <w:t>(</w:t>
      </w:r>
      <w:proofErr w:type="spellStart"/>
      <w:r w:rsidRPr="00E22755">
        <w:t>i</w:t>
      </w:r>
      <w:proofErr w:type="spellEnd"/>
      <w:r w:rsidRPr="00E22755">
        <w:t>)</w:t>
      </w:r>
      <w:r w:rsidRPr="00E22755">
        <w:tab/>
        <w:t>sexual intercourse; and</w:t>
      </w:r>
    </w:p>
    <w:p w:rsidR="001459D4" w:rsidRPr="00E22755" w:rsidRDefault="001459D4" w:rsidP="0033216F">
      <w:pPr>
        <w:pStyle w:val="Idefsubpara"/>
        <w:ind w:right="1408"/>
      </w:pPr>
      <w:r w:rsidRPr="00E22755">
        <w:tab/>
        <w:t>(ii)</w:t>
      </w:r>
      <w:r w:rsidRPr="00E22755">
        <w:tab/>
        <w:t>sexual touching; and</w:t>
      </w:r>
    </w:p>
    <w:p w:rsidR="001459D4" w:rsidRPr="00E22755" w:rsidRDefault="001459D4" w:rsidP="0033216F">
      <w:pPr>
        <w:pStyle w:val="Idefsubpara"/>
        <w:ind w:right="1408"/>
      </w:pPr>
      <w:r w:rsidRPr="00E22755">
        <w:lastRenderedPageBreak/>
        <w:tab/>
        <w:t>(iii)</w:t>
      </w:r>
      <w:r w:rsidRPr="00E22755">
        <w:tab/>
        <w:t>any other act in circumstances where a reasonable person would consider the act to be sexual; but</w:t>
      </w:r>
    </w:p>
    <w:p w:rsidR="001459D4" w:rsidRPr="00E22755" w:rsidRDefault="001459D4" w:rsidP="0033216F">
      <w:pPr>
        <w:pStyle w:val="Idefpara"/>
        <w:ind w:right="1408"/>
      </w:pPr>
      <w:r w:rsidRPr="00E22755">
        <w:tab/>
        <w:t>(b)</w:t>
      </w:r>
      <w:r w:rsidRPr="00E22755">
        <w:tab/>
        <w:t>does not include an act carried out for a proper medical purpose or otherwise authorised by law.</w:t>
      </w:r>
    </w:p>
    <w:p w:rsidR="001459D4" w:rsidRPr="00E22755" w:rsidRDefault="001459D4" w:rsidP="0033216F">
      <w:pPr>
        <w:pStyle w:val="IMain"/>
        <w:ind w:right="1408"/>
        <w:rPr>
          <w:lang w:eastAsia="en-AU"/>
        </w:rPr>
      </w:pPr>
      <w:r w:rsidRPr="00E22755">
        <w:tab/>
        <w:t>(2)</w:t>
      </w:r>
      <w:r w:rsidRPr="00E22755">
        <w:tab/>
      </w:r>
      <w:r w:rsidRPr="00E22755">
        <w:rPr>
          <w:lang w:eastAsia="en-AU"/>
        </w:rPr>
        <w:t>The matters to be taken into account in deciding whether a reasonable person would consider an act to be sexual include the following:</w:t>
      </w:r>
    </w:p>
    <w:p w:rsidR="001459D4" w:rsidRPr="00E22755" w:rsidRDefault="001459D4" w:rsidP="0033216F">
      <w:pPr>
        <w:pStyle w:val="Ipara"/>
        <w:ind w:right="1408"/>
        <w:rPr>
          <w:lang w:eastAsia="en-AU"/>
        </w:rPr>
      </w:pPr>
      <w:r w:rsidRPr="00E22755">
        <w:rPr>
          <w:lang w:eastAsia="en-AU"/>
        </w:rPr>
        <w:tab/>
        <w:t>(a)</w:t>
      </w:r>
      <w:r w:rsidRPr="00E22755">
        <w:rPr>
          <w:lang w:eastAsia="en-AU"/>
        </w:rPr>
        <w:tab/>
        <w:t>whether the area of the body involved in the act is a person</w:t>
      </w:r>
      <w:r w:rsidR="00DF7FAE">
        <w:rPr>
          <w:lang w:eastAsia="en-AU"/>
        </w:rPr>
        <w:t>’</w:t>
      </w:r>
      <w:r w:rsidRPr="00E22755">
        <w:rPr>
          <w:lang w:eastAsia="en-AU"/>
        </w:rPr>
        <w:t>s breasts, genital area or anal area;</w:t>
      </w:r>
    </w:p>
    <w:p w:rsidR="001459D4" w:rsidRPr="00E22755" w:rsidRDefault="001459D4" w:rsidP="0033216F">
      <w:pPr>
        <w:pStyle w:val="Ipara"/>
        <w:ind w:right="1408"/>
        <w:rPr>
          <w:lang w:eastAsia="en-AU"/>
        </w:rPr>
      </w:pPr>
      <w:r w:rsidRPr="00E22755">
        <w:rPr>
          <w:lang w:eastAsia="en-AU"/>
        </w:rPr>
        <w:tab/>
        <w:t>(b)</w:t>
      </w:r>
      <w:r w:rsidRPr="00E22755">
        <w:rPr>
          <w:lang w:eastAsia="en-AU"/>
        </w:rPr>
        <w:tab/>
        <w:t>whether the person carrying out the act does so for the purpose of sexual arousal or sexual gratification;</w:t>
      </w:r>
    </w:p>
    <w:p w:rsidR="001459D4" w:rsidRPr="00E22755" w:rsidRDefault="001459D4" w:rsidP="0033216F">
      <w:pPr>
        <w:pStyle w:val="Ipara"/>
        <w:ind w:right="1408"/>
        <w:rPr>
          <w:lang w:eastAsia="en-AU"/>
        </w:rPr>
      </w:pPr>
      <w:r w:rsidRPr="00E22755">
        <w:rPr>
          <w:lang w:eastAsia="en-AU"/>
        </w:rPr>
        <w:tab/>
        <w:t>(c)</w:t>
      </w:r>
      <w:r w:rsidRPr="00E22755">
        <w:rPr>
          <w:lang w:eastAsia="en-AU"/>
        </w:rPr>
        <w:tab/>
        <w:t>whether any other aspect of the act (including the circumstances in which it is carried out) makes it sexual.</w:t>
      </w:r>
    </w:p>
    <w:p w:rsidR="001459D4" w:rsidRPr="00E22755" w:rsidRDefault="001459D4" w:rsidP="0033216F">
      <w:pPr>
        <w:pStyle w:val="IMain"/>
        <w:ind w:right="1408"/>
      </w:pPr>
      <w:r w:rsidRPr="00E22755">
        <w:tab/>
        <w:t>(3)</w:t>
      </w:r>
      <w:r w:rsidRPr="00E22755">
        <w:tab/>
        <w:t>In this section:</w:t>
      </w:r>
    </w:p>
    <w:p w:rsidR="001459D4" w:rsidRPr="00E22755" w:rsidRDefault="001459D4" w:rsidP="0033216F">
      <w:pPr>
        <w:pStyle w:val="aDef"/>
        <w:ind w:right="1408"/>
        <w:rPr>
          <w:lang w:eastAsia="en-AU"/>
        </w:rPr>
      </w:pPr>
      <w:r w:rsidRPr="00E22755">
        <w:rPr>
          <w:b/>
          <w:i/>
          <w:lang w:eastAsia="en-AU"/>
        </w:rPr>
        <w:t>object</w:t>
      </w:r>
      <w:r w:rsidRPr="00E22755">
        <w:rPr>
          <w:bCs/>
          <w:iCs/>
          <w:lang w:eastAsia="en-AU"/>
        </w:rPr>
        <w:t>—see section 50 (2).</w:t>
      </w:r>
    </w:p>
    <w:p w:rsidR="001459D4" w:rsidRPr="00E22755" w:rsidRDefault="001459D4" w:rsidP="0033216F">
      <w:pPr>
        <w:pStyle w:val="aDef"/>
        <w:ind w:right="1408"/>
        <w:rPr>
          <w:lang w:eastAsia="en-AU"/>
        </w:rPr>
      </w:pPr>
      <w:r w:rsidRPr="00E22755">
        <w:rPr>
          <w:b/>
          <w:i/>
        </w:rPr>
        <w:t>sexual touching</w:t>
      </w:r>
      <w:r w:rsidRPr="00E22755">
        <w:rPr>
          <w:bCs/>
          <w:iCs/>
        </w:rPr>
        <w:t xml:space="preserve">, by a person (the </w:t>
      </w:r>
      <w:r w:rsidRPr="00E22755">
        <w:rPr>
          <w:b/>
          <w:i/>
        </w:rPr>
        <w:t>first person</w:t>
      </w:r>
      <w:r w:rsidRPr="00E22755">
        <w:rPr>
          <w:bCs/>
          <w:iCs/>
        </w:rPr>
        <w:t>)</w:t>
      </w:r>
      <w:r w:rsidRPr="00E22755">
        <w:t xml:space="preserve"> means—</w:t>
      </w:r>
    </w:p>
    <w:p w:rsidR="00717966" w:rsidRDefault="001459D4" w:rsidP="0033216F">
      <w:pPr>
        <w:pStyle w:val="Ipara"/>
        <w:ind w:right="1408"/>
        <w:rPr>
          <w:lang w:eastAsia="en-AU"/>
        </w:rPr>
      </w:pPr>
      <w:r w:rsidRPr="00E22755">
        <w:tab/>
      </w:r>
      <w:r w:rsidRPr="00E22755">
        <w:rPr>
          <w:lang w:eastAsia="en-AU"/>
        </w:rPr>
        <w:t>(a)</w:t>
      </w:r>
      <w:r w:rsidRPr="00E22755">
        <w:rPr>
          <w:lang w:eastAsia="en-AU"/>
        </w:rPr>
        <w:tab/>
        <w:t>touching another person, including through something, with any part of the first person</w:t>
      </w:r>
      <w:r w:rsidR="00DF7FAE">
        <w:rPr>
          <w:lang w:eastAsia="en-AU"/>
        </w:rPr>
        <w:t>’</w:t>
      </w:r>
      <w:r w:rsidRPr="00E22755">
        <w:rPr>
          <w:lang w:eastAsia="en-AU"/>
        </w:rPr>
        <w:t>s body or with an object in circumstances where a reasonable person would consider the touching to be sexual; and</w:t>
      </w:r>
    </w:p>
    <w:p w:rsidR="001459D4" w:rsidRDefault="001459D4" w:rsidP="0033216F">
      <w:pPr>
        <w:pStyle w:val="Ipara"/>
        <w:ind w:right="1408"/>
        <w:rPr>
          <w:lang w:eastAsia="en-AU"/>
        </w:rPr>
      </w:pPr>
      <w:r>
        <w:rPr>
          <w:lang w:eastAsia="en-AU"/>
        </w:rPr>
        <w:tab/>
      </w:r>
      <w:r w:rsidRPr="00E22755">
        <w:rPr>
          <w:lang w:eastAsia="en-AU"/>
        </w:rPr>
        <w:t>(b)</w:t>
      </w:r>
      <w:r w:rsidRPr="00E22755">
        <w:rPr>
          <w:lang w:eastAsia="en-AU"/>
        </w:rPr>
        <w:tab/>
        <w:t>the continuation of sexual touching as defined in paragraph (a).</w:t>
      </w:r>
    </w:p>
    <w:p w:rsidR="00A4532B" w:rsidRPr="00E22755" w:rsidRDefault="00A4532B" w:rsidP="0033216F">
      <w:pPr>
        <w:pStyle w:val="AH3sec"/>
        <w:numPr>
          <w:ilvl w:val="0"/>
          <w:numId w:val="0"/>
        </w:numPr>
        <w:ind w:right="1408"/>
      </w:pPr>
      <w:r>
        <w:t>4</w:t>
      </w:r>
      <w:r>
        <w:tab/>
      </w:r>
      <w:r w:rsidRPr="00E22755">
        <w:br/>
        <w:t>Clause 5</w:t>
      </w:r>
      <w:r w:rsidRPr="00E22755">
        <w:br/>
        <w:t>Proposed new section 67 (2)</w:t>
      </w:r>
      <w:r w:rsidRPr="00E22755">
        <w:br/>
        <w:t>Page 4, line 15—</w:t>
      </w:r>
    </w:p>
    <w:p w:rsidR="00A4532B" w:rsidRPr="00E22755" w:rsidRDefault="00A4532B" w:rsidP="0033216F">
      <w:pPr>
        <w:pStyle w:val="direction"/>
        <w:ind w:right="1408"/>
      </w:pPr>
      <w:r w:rsidRPr="00E22755">
        <w:t>omit proposed new section 67 (2), substitute</w:t>
      </w:r>
    </w:p>
    <w:p w:rsidR="00A4532B" w:rsidRPr="00E22755" w:rsidRDefault="00A4532B" w:rsidP="0033216F">
      <w:pPr>
        <w:pStyle w:val="IMain"/>
        <w:ind w:right="1408"/>
      </w:pPr>
      <w:r w:rsidRPr="00E22755">
        <w:tab/>
        <w:t>(2)</w:t>
      </w:r>
      <w:r w:rsidRPr="00E22755">
        <w:tab/>
        <w:t>A person also does not consent to an act with another person (the</w:t>
      </w:r>
      <w:r>
        <w:t> </w:t>
      </w:r>
      <w:r w:rsidRPr="00E22755">
        <w:rPr>
          <w:b/>
          <w:bCs/>
          <w:i/>
          <w:iCs/>
        </w:rPr>
        <w:t>accused person</w:t>
      </w:r>
      <w:r w:rsidRPr="00E22755">
        <w:t>) only because the person—</w:t>
      </w:r>
    </w:p>
    <w:p w:rsidR="00A4532B" w:rsidRPr="00E22755" w:rsidRDefault="00A4532B" w:rsidP="0033216F">
      <w:pPr>
        <w:pStyle w:val="Ipara"/>
        <w:ind w:right="1408"/>
      </w:pPr>
      <w:r w:rsidRPr="00E22755">
        <w:tab/>
        <w:t>(a)</w:t>
      </w:r>
      <w:r w:rsidRPr="00E22755">
        <w:tab/>
        <w:t>does not say or do something to resist the act; or</w:t>
      </w:r>
    </w:p>
    <w:p w:rsidR="00A4532B" w:rsidRPr="00E22755" w:rsidRDefault="00A4532B" w:rsidP="0033216F">
      <w:pPr>
        <w:pStyle w:val="Ipara"/>
        <w:ind w:right="1408"/>
      </w:pPr>
      <w:r w:rsidRPr="00E22755">
        <w:tab/>
        <w:t>(b)</w:t>
      </w:r>
      <w:r w:rsidRPr="00E22755">
        <w:tab/>
        <w:t>consented to—</w:t>
      </w:r>
    </w:p>
    <w:p w:rsidR="00A4532B" w:rsidRPr="00E22755" w:rsidRDefault="00A4532B" w:rsidP="0033216F">
      <w:pPr>
        <w:pStyle w:val="Isubpara"/>
        <w:ind w:right="1408"/>
        <w:rPr>
          <w:szCs w:val="24"/>
        </w:rPr>
      </w:pPr>
      <w:r w:rsidRPr="00E22755">
        <w:rPr>
          <w:szCs w:val="24"/>
        </w:rPr>
        <w:tab/>
        <w:t>(</w:t>
      </w:r>
      <w:proofErr w:type="spellStart"/>
      <w:r w:rsidRPr="00E22755">
        <w:rPr>
          <w:szCs w:val="24"/>
        </w:rPr>
        <w:t>i</w:t>
      </w:r>
      <w:proofErr w:type="spellEnd"/>
      <w:r w:rsidRPr="00E22755">
        <w:rPr>
          <w:szCs w:val="24"/>
        </w:rPr>
        <w:t>)</w:t>
      </w:r>
      <w:r w:rsidRPr="00E22755">
        <w:rPr>
          <w:szCs w:val="24"/>
        </w:rPr>
        <w:tab/>
        <w:t>another act with the accused person; or</w:t>
      </w:r>
    </w:p>
    <w:p w:rsidR="00A4532B" w:rsidRPr="00E22755" w:rsidRDefault="00A4532B" w:rsidP="0033216F">
      <w:pPr>
        <w:pStyle w:val="Isubpara"/>
        <w:ind w:right="1408"/>
        <w:rPr>
          <w:szCs w:val="24"/>
        </w:rPr>
      </w:pPr>
      <w:r w:rsidRPr="00E22755">
        <w:rPr>
          <w:szCs w:val="24"/>
        </w:rPr>
        <w:tab/>
        <w:t>(ii)</w:t>
      </w:r>
      <w:r w:rsidRPr="00E22755">
        <w:rPr>
          <w:szCs w:val="24"/>
        </w:rPr>
        <w:tab/>
        <w:t>the same act with the accused person at a different time or place; or</w:t>
      </w:r>
    </w:p>
    <w:p w:rsidR="00A4532B" w:rsidRPr="00E22755" w:rsidRDefault="00A4532B" w:rsidP="0033216F">
      <w:pPr>
        <w:pStyle w:val="Isubpara"/>
        <w:ind w:right="1408"/>
        <w:rPr>
          <w:szCs w:val="24"/>
        </w:rPr>
      </w:pPr>
      <w:r w:rsidRPr="00E22755">
        <w:rPr>
          <w:szCs w:val="24"/>
        </w:rPr>
        <w:tab/>
        <w:t>(iii)</w:t>
      </w:r>
      <w:r w:rsidRPr="00E22755">
        <w:rPr>
          <w:szCs w:val="24"/>
        </w:rPr>
        <w:tab/>
        <w:t>the same act with a person other than the accused person; or</w:t>
      </w:r>
    </w:p>
    <w:p w:rsidR="001459D4" w:rsidRDefault="00A4532B" w:rsidP="0033216F">
      <w:pPr>
        <w:pStyle w:val="Ipara"/>
        <w:ind w:right="1408"/>
        <w:rPr>
          <w:szCs w:val="24"/>
        </w:rPr>
      </w:pPr>
      <w:r w:rsidRPr="00E22755">
        <w:rPr>
          <w:szCs w:val="24"/>
        </w:rPr>
        <w:tab/>
        <w:t>(iv)</w:t>
      </w:r>
      <w:r w:rsidRPr="00E22755">
        <w:rPr>
          <w:szCs w:val="24"/>
        </w:rPr>
        <w:tab/>
        <w:t>a different act with a person other than the accused person.</w:t>
      </w:r>
    </w:p>
    <w:p w:rsidR="00A4532B" w:rsidRPr="00E22755" w:rsidRDefault="00A4532B" w:rsidP="0033216F">
      <w:pPr>
        <w:pStyle w:val="AH3sec"/>
        <w:numPr>
          <w:ilvl w:val="0"/>
          <w:numId w:val="0"/>
        </w:numPr>
        <w:ind w:right="1408"/>
      </w:pPr>
      <w:r>
        <w:lastRenderedPageBreak/>
        <w:t>5</w:t>
      </w:r>
      <w:r>
        <w:tab/>
      </w:r>
      <w:r w:rsidRPr="00E22755">
        <w:br/>
        <w:t>Clause 5</w:t>
      </w:r>
      <w:r w:rsidRPr="00E22755">
        <w:br/>
        <w:t>Proposed new section 67 (3)</w:t>
      </w:r>
      <w:r w:rsidRPr="00E22755">
        <w:br/>
        <w:t>Page 4, line 23—</w:t>
      </w:r>
    </w:p>
    <w:p w:rsidR="00A4532B" w:rsidRPr="00E22755" w:rsidRDefault="00A4532B" w:rsidP="0033216F">
      <w:pPr>
        <w:pStyle w:val="direction"/>
        <w:ind w:right="1408"/>
      </w:pPr>
      <w:r w:rsidRPr="00E22755">
        <w:t>omit</w:t>
      </w:r>
    </w:p>
    <w:p w:rsidR="00A4532B" w:rsidRPr="00E22755" w:rsidRDefault="00A4532B" w:rsidP="0033216F">
      <w:pPr>
        <w:pStyle w:val="Amainreturn"/>
        <w:ind w:right="1408"/>
      </w:pPr>
      <w:r w:rsidRPr="00E22755">
        <w:t>a person</w:t>
      </w:r>
    </w:p>
    <w:p w:rsidR="00A4532B" w:rsidRPr="00E22755" w:rsidRDefault="00A4532B" w:rsidP="0033216F">
      <w:pPr>
        <w:pStyle w:val="direction"/>
        <w:ind w:right="1408"/>
      </w:pPr>
      <w:r w:rsidRPr="00E22755">
        <w:t>substitute</w:t>
      </w:r>
    </w:p>
    <w:p w:rsidR="00A4532B" w:rsidRPr="00E22755" w:rsidRDefault="00A4532B" w:rsidP="0033216F">
      <w:pPr>
        <w:pStyle w:val="Amainreturn"/>
        <w:ind w:right="1408"/>
      </w:pPr>
      <w:r w:rsidRPr="00E22755">
        <w:t>an accused person</w:t>
      </w:r>
    </w:p>
    <w:p w:rsidR="00A4532B" w:rsidRPr="00E22755" w:rsidRDefault="00A4532B" w:rsidP="0033216F">
      <w:pPr>
        <w:pStyle w:val="AH3sec"/>
        <w:numPr>
          <w:ilvl w:val="0"/>
          <w:numId w:val="0"/>
        </w:numPr>
        <w:spacing w:line="228" w:lineRule="auto"/>
        <w:ind w:right="1408"/>
      </w:pPr>
      <w:r>
        <w:t>6</w:t>
      </w:r>
      <w:r>
        <w:tab/>
      </w:r>
      <w:r w:rsidRPr="00E22755">
        <w:br/>
        <w:t>Clause 5</w:t>
      </w:r>
      <w:r w:rsidRPr="00E22755">
        <w:br/>
        <w:t>Proposed new section 67 (3)</w:t>
      </w:r>
      <w:r w:rsidRPr="00E22755">
        <w:br/>
        <w:t>Page 4, line 26—</w:t>
      </w:r>
    </w:p>
    <w:p w:rsidR="00A4532B" w:rsidRPr="00E22755" w:rsidRDefault="00A4532B" w:rsidP="0033216F">
      <w:pPr>
        <w:pStyle w:val="direction"/>
        <w:spacing w:line="228" w:lineRule="auto"/>
        <w:ind w:right="1408"/>
      </w:pPr>
      <w:r w:rsidRPr="00E22755">
        <w:t>omit</w:t>
      </w:r>
    </w:p>
    <w:p w:rsidR="00A4532B" w:rsidRPr="00E22755" w:rsidRDefault="00A4532B" w:rsidP="0033216F">
      <w:pPr>
        <w:pStyle w:val="Amainreturn"/>
        <w:keepNext/>
        <w:spacing w:line="228" w:lineRule="auto"/>
        <w:ind w:right="1408"/>
      </w:pPr>
      <w:r w:rsidRPr="00E22755">
        <w:t>subsection (1) (a) to (o), the</w:t>
      </w:r>
    </w:p>
    <w:p w:rsidR="00A4532B" w:rsidRPr="00E22755" w:rsidRDefault="00A4532B" w:rsidP="0033216F">
      <w:pPr>
        <w:pStyle w:val="direction"/>
        <w:spacing w:line="228" w:lineRule="auto"/>
        <w:ind w:right="1408"/>
      </w:pPr>
      <w:r w:rsidRPr="00E22755">
        <w:t>substitute</w:t>
      </w:r>
    </w:p>
    <w:p w:rsidR="00A4532B" w:rsidRPr="00E22755" w:rsidRDefault="00A4532B" w:rsidP="0033216F">
      <w:pPr>
        <w:pStyle w:val="Amainreturn"/>
        <w:spacing w:line="228" w:lineRule="auto"/>
        <w:ind w:right="1408"/>
      </w:pPr>
      <w:r w:rsidRPr="00E22755">
        <w:t>subsection (1) (a) to (o), the accused</w:t>
      </w:r>
    </w:p>
    <w:p w:rsidR="00A4532B" w:rsidRPr="00E22755" w:rsidRDefault="00A4532B" w:rsidP="0033216F">
      <w:pPr>
        <w:pStyle w:val="AH3sec"/>
        <w:numPr>
          <w:ilvl w:val="0"/>
          <w:numId w:val="0"/>
        </w:numPr>
        <w:spacing w:line="228" w:lineRule="auto"/>
        <w:ind w:right="1408"/>
      </w:pPr>
      <w:r>
        <w:t>7</w:t>
      </w:r>
      <w:r>
        <w:tab/>
      </w:r>
      <w:r w:rsidRPr="00E22755">
        <w:br/>
        <w:t>Clause 5</w:t>
      </w:r>
      <w:r w:rsidRPr="00E22755">
        <w:br/>
        <w:t>Proposed new section 67 (4)</w:t>
      </w:r>
      <w:r w:rsidRPr="00E22755">
        <w:br/>
        <w:t>Page 5, line 1—</w:t>
      </w:r>
    </w:p>
    <w:p w:rsidR="00A4532B" w:rsidRPr="00E22755" w:rsidRDefault="00A4532B" w:rsidP="0033216F">
      <w:pPr>
        <w:pStyle w:val="direction"/>
        <w:spacing w:line="228" w:lineRule="auto"/>
        <w:ind w:right="1408"/>
      </w:pPr>
      <w:r w:rsidRPr="00E22755">
        <w:t>omit</w:t>
      </w:r>
    </w:p>
    <w:p w:rsidR="00A4532B" w:rsidRPr="00E22755" w:rsidRDefault="00A4532B" w:rsidP="0033216F">
      <w:pPr>
        <w:pStyle w:val="Amainreturn"/>
        <w:spacing w:line="228" w:lineRule="auto"/>
        <w:ind w:right="1408"/>
      </w:pPr>
      <w:r w:rsidRPr="00E22755">
        <w:t xml:space="preserve">A person (the </w:t>
      </w:r>
      <w:r w:rsidRPr="00E22755">
        <w:rPr>
          <w:b/>
          <w:bCs/>
          <w:i/>
          <w:iCs/>
        </w:rPr>
        <w:t>accused person</w:t>
      </w:r>
      <w:r w:rsidRPr="00E22755">
        <w:t>)</w:t>
      </w:r>
    </w:p>
    <w:p w:rsidR="00A4532B" w:rsidRPr="00E22755" w:rsidRDefault="00A4532B" w:rsidP="0033216F">
      <w:pPr>
        <w:pStyle w:val="direction"/>
        <w:spacing w:line="228" w:lineRule="auto"/>
        <w:ind w:right="1408"/>
      </w:pPr>
      <w:r w:rsidRPr="00E22755">
        <w:t>substitute</w:t>
      </w:r>
    </w:p>
    <w:p w:rsidR="00A4532B" w:rsidRPr="00E22755" w:rsidRDefault="00A4532B" w:rsidP="0033216F">
      <w:pPr>
        <w:pStyle w:val="Amainreturn"/>
        <w:spacing w:line="228" w:lineRule="auto"/>
        <w:ind w:right="1408"/>
      </w:pPr>
      <w:r w:rsidRPr="00E22755">
        <w:t>An accused person</w:t>
      </w:r>
    </w:p>
    <w:p w:rsidR="00A4532B" w:rsidRPr="00E22755" w:rsidRDefault="00A4532B" w:rsidP="0033216F">
      <w:pPr>
        <w:pStyle w:val="AH3sec"/>
        <w:numPr>
          <w:ilvl w:val="0"/>
          <w:numId w:val="0"/>
        </w:numPr>
        <w:spacing w:line="228" w:lineRule="auto"/>
        <w:ind w:right="1408"/>
      </w:pPr>
      <w:r>
        <w:t>8</w:t>
      </w:r>
      <w:r>
        <w:tab/>
      </w:r>
      <w:r w:rsidRPr="00E22755">
        <w:br/>
        <w:t>Clause 7</w:t>
      </w:r>
      <w:r w:rsidRPr="00E22755">
        <w:br/>
        <w:t xml:space="preserve">Proposed new section 442D heading </w:t>
      </w:r>
      <w:r w:rsidRPr="00E22755">
        <w:br/>
        <w:t>Page 6, line 3—</w:t>
      </w:r>
    </w:p>
    <w:p w:rsidR="00A4532B" w:rsidRPr="00E22755" w:rsidRDefault="00A4532B" w:rsidP="0033216F">
      <w:pPr>
        <w:pStyle w:val="direction"/>
        <w:spacing w:line="228" w:lineRule="auto"/>
        <w:ind w:right="1408"/>
      </w:pPr>
      <w:r w:rsidRPr="00E22755">
        <w:t>omit the heading, substitute</w:t>
      </w:r>
    </w:p>
    <w:p w:rsidR="00A4532B" w:rsidRPr="00E22755" w:rsidRDefault="00A4532B" w:rsidP="0033216F">
      <w:pPr>
        <w:pStyle w:val="IH5Sec"/>
        <w:spacing w:line="228" w:lineRule="auto"/>
        <w:ind w:right="1408"/>
      </w:pPr>
      <w:r w:rsidRPr="00E22755">
        <w:t>442D</w:t>
      </w:r>
      <w:r w:rsidRPr="00E22755">
        <w:tab/>
        <w:t>Review—</w:t>
      </w:r>
      <w:proofErr w:type="spellStart"/>
      <w:r w:rsidRPr="00E22755">
        <w:t>pt</w:t>
      </w:r>
      <w:proofErr w:type="spellEnd"/>
      <w:r w:rsidRPr="00E22755">
        <w:t xml:space="preserve"> 3</w:t>
      </w:r>
    </w:p>
    <w:p w:rsidR="00A4532B" w:rsidRPr="00E22755" w:rsidRDefault="00A4532B" w:rsidP="0033216F">
      <w:pPr>
        <w:pStyle w:val="AH3sec"/>
        <w:numPr>
          <w:ilvl w:val="0"/>
          <w:numId w:val="0"/>
        </w:numPr>
        <w:spacing w:line="228" w:lineRule="auto"/>
        <w:ind w:right="1408"/>
      </w:pPr>
      <w:r>
        <w:t>9</w:t>
      </w:r>
      <w:r>
        <w:tab/>
      </w:r>
      <w:r w:rsidRPr="00E22755">
        <w:br/>
        <w:t>Clause 7</w:t>
      </w:r>
      <w:r w:rsidRPr="00E22755">
        <w:br/>
        <w:t>Proposed new section 442D (3)</w:t>
      </w:r>
      <w:r w:rsidRPr="00E22755">
        <w:br/>
        <w:t>Page 6, line 10—</w:t>
      </w:r>
    </w:p>
    <w:p w:rsidR="00A4532B" w:rsidRPr="00E22755" w:rsidRDefault="00A4532B" w:rsidP="0033216F">
      <w:pPr>
        <w:pStyle w:val="direction"/>
        <w:spacing w:line="228" w:lineRule="auto"/>
        <w:ind w:right="1408"/>
      </w:pPr>
      <w:r w:rsidRPr="00E22755">
        <w:t>omit</w:t>
      </w:r>
    </w:p>
    <w:p w:rsidR="00A4532B" w:rsidRPr="00E22755" w:rsidRDefault="00A4532B" w:rsidP="0033216F">
      <w:pPr>
        <w:pStyle w:val="Amainreturn"/>
        <w:spacing w:line="228" w:lineRule="auto"/>
        <w:ind w:right="1408"/>
      </w:pPr>
      <w:r w:rsidRPr="00E22755">
        <w:t>6 months</w:t>
      </w:r>
    </w:p>
    <w:p w:rsidR="00A4532B" w:rsidRPr="00E22755" w:rsidRDefault="00A4532B" w:rsidP="0033216F">
      <w:pPr>
        <w:pStyle w:val="direction"/>
        <w:spacing w:line="228" w:lineRule="auto"/>
        <w:ind w:right="1408"/>
      </w:pPr>
      <w:r w:rsidRPr="00E22755">
        <w:t>substitute</w:t>
      </w:r>
    </w:p>
    <w:p w:rsidR="00A4532B" w:rsidRDefault="00A4532B" w:rsidP="0033216F">
      <w:pPr>
        <w:pStyle w:val="Amainreturn"/>
        <w:spacing w:line="228" w:lineRule="auto"/>
        <w:ind w:right="1408"/>
      </w:pPr>
      <w:r w:rsidRPr="00E22755">
        <w:t>12 months</w:t>
      </w:r>
    </w:p>
    <w:p w:rsidR="00BA0A01" w:rsidRPr="00E22755" w:rsidRDefault="00BA0A01" w:rsidP="00BA0A01">
      <w:pPr>
        <w:pStyle w:val="Amainreturn"/>
        <w:pBdr>
          <w:top w:val="single" w:sz="4" w:space="1" w:color="auto"/>
        </w:pBdr>
        <w:spacing w:line="228" w:lineRule="auto"/>
        <w:ind w:left="0" w:right="1408"/>
      </w:pPr>
    </w:p>
    <w:p w:rsidR="00A4532B" w:rsidRPr="00E22755" w:rsidRDefault="00A4532B" w:rsidP="0033216F">
      <w:pPr>
        <w:pStyle w:val="AH3sec"/>
        <w:numPr>
          <w:ilvl w:val="0"/>
          <w:numId w:val="0"/>
        </w:numPr>
        <w:spacing w:line="228" w:lineRule="auto"/>
        <w:ind w:right="1408"/>
      </w:pPr>
      <w:r>
        <w:lastRenderedPageBreak/>
        <w:t>10</w:t>
      </w:r>
      <w:r>
        <w:tab/>
      </w:r>
      <w:r w:rsidRPr="00E22755">
        <w:br/>
        <w:t>Clause 8</w:t>
      </w:r>
      <w:r w:rsidRPr="00E22755">
        <w:br/>
        <w:t>Page 6, line 12—</w:t>
      </w:r>
    </w:p>
    <w:p w:rsidR="00A4532B" w:rsidRPr="00E22755" w:rsidRDefault="00A4532B" w:rsidP="0033216F">
      <w:pPr>
        <w:pStyle w:val="direction"/>
        <w:spacing w:line="228" w:lineRule="auto"/>
        <w:ind w:right="1408"/>
      </w:pPr>
      <w:r w:rsidRPr="00E22755">
        <w:t>omit clause 8, substitute</w:t>
      </w:r>
    </w:p>
    <w:p w:rsidR="00A4532B" w:rsidRPr="00E22755" w:rsidRDefault="00A4532B" w:rsidP="0033216F">
      <w:pPr>
        <w:pStyle w:val="IshadedH5Sec"/>
        <w:spacing w:line="228" w:lineRule="auto"/>
        <w:ind w:right="1408"/>
        <w:rPr>
          <w:i/>
          <w:iCs/>
        </w:rPr>
      </w:pPr>
      <w:r w:rsidRPr="00E22755">
        <w:t>8</w:t>
      </w:r>
      <w:r w:rsidRPr="00E22755">
        <w:tab/>
        <w:t>Dictionary, new definitions</w:t>
      </w:r>
    </w:p>
    <w:p w:rsidR="00A4532B" w:rsidRPr="00E22755" w:rsidRDefault="00A4532B" w:rsidP="0033216F">
      <w:pPr>
        <w:pStyle w:val="direction"/>
        <w:spacing w:line="228" w:lineRule="auto"/>
        <w:ind w:right="1408"/>
      </w:pPr>
      <w:r w:rsidRPr="00E22755">
        <w:t>insert</w:t>
      </w:r>
    </w:p>
    <w:p w:rsidR="00A4532B" w:rsidRPr="00E22755" w:rsidRDefault="00A4532B" w:rsidP="0033216F">
      <w:pPr>
        <w:pStyle w:val="aDef"/>
        <w:spacing w:line="228" w:lineRule="auto"/>
        <w:ind w:right="1408"/>
      </w:pPr>
      <w:r w:rsidRPr="00E22755">
        <w:rPr>
          <w:b/>
          <w:bCs/>
          <w:i/>
          <w:iCs/>
        </w:rPr>
        <w:t>consent</w:t>
      </w:r>
      <w:r w:rsidRPr="00E22755">
        <w:t xml:space="preserve">, </w:t>
      </w:r>
      <w:r w:rsidRPr="00E22755">
        <w:rPr>
          <w:bCs/>
          <w:iCs/>
        </w:rPr>
        <w:t>for part 3 (Sexual offences)—see section 50B.</w:t>
      </w:r>
      <w:r w:rsidRPr="00E22755">
        <w:t xml:space="preserve"> </w:t>
      </w:r>
    </w:p>
    <w:p w:rsidR="002C5C71" w:rsidRDefault="00A4532B" w:rsidP="00D1016E">
      <w:pPr>
        <w:pStyle w:val="aDef"/>
        <w:spacing w:after="120" w:line="228" w:lineRule="auto"/>
        <w:ind w:left="1094" w:right="1408"/>
        <w:rPr>
          <w:bCs/>
          <w:iCs/>
        </w:rPr>
      </w:pPr>
      <w:r w:rsidRPr="00BA0A01">
        <w:rPr>
          <w:b/>
          <w:i/>
        </w:rPr>
        <w:t>sexual act</w:t>
      </w:r>
      <w:r w:rsidRPr="00BA0A01">
        <w:rPr>
          <w:bCs/>
          <w:iCs/>
        </w:rPr>
        <w:t>, for part 3 (Sexual offences)—see section 50C.</w:t>
      </w:r>
    </w:p>
    <w:p w:rsidR="00A772ED" w:rsidRPr="00E22755" w:rsidRDefault="00A772ED" w:rsidP="00BA0A01">
      <w:pPr>
        <w:pStyle w:val="Amainreturn"/>
        <w:pBdr>
          <w:top w:val="single" w:sz="4" w:space="1" w:color="auto"/>
        </w:pBdr>
        <w:spacing w:line="228" w:lineRule="auto"/>
        <w:ind w:left="0" w:right="1408"/>
      </w:pPr>
    </w:p>
    <w:sectPr w:rsidR="00A772ED" w:rsidRPr="00E22755" w:rsidSect="00A772ED">
      <w:type w:val="continuous"/>
      <w:pgSz w:w="11906" w:h="16838"/>
      <w:pgMar w:top="1526" w:right="1286" w:bottom="1267" w:left="1350"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D6C" w:rsidRDefault="00FB2D6C" w:rsidP="000F3D35">
      <w:r>
        <w:separator/>
      </w:r>
    </w:p>
  </w:endnote>
  <w:endnote w:type="continuationSeparator" w:id="0">
    <w:p w:rsidR="00FB2D6C" w:rsidRDefault="00FB2D6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6C" w:rsidRDefault="00FB2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6C" w:rsidRDefault="00FB2D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6C" w:rsidRDefault="00FB2D6C" w:rsidP="00A9381B">
    <w:pPr>
      <w:pBdr>
        <w:top w:val="single" w:sz="4" w:space="0" w:color="auto"/>
      </w:pBdr>
      <w:jc w:val="center"/>
      <w:rPr>
        <w:b/>
        <w:sz w:val="20"/>
      </w:rPr>
    </w:pPr>
  </w:p>
  <w:p w:rsidR="00FB2D6C" w:rsidRDefault="00204E46" w:rsidP="00A9381B">
    <w:pPr>
      <w:pStyle w:val="Footer"/>
      <w:pBdr>
        <w:top w:val="single" w:sz="4" w:space="0" w:color="auto"/>
      </w:pBdr>
      <w:jc w:val="center"/>
    </w:pPr>
    <w:hyperlink r:id="rId1" w:history="1">
      <w:r w:rsidR="00FB2D6C">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D6C" w:rsidRDefault="00FB2D6C" w:rsidP="000F3D35">
      <w:r>
        <w:separator/>
      </w:r>
    </w:p>
  </w:footnote>
  <w:footnote w:type="continuationSeparator" w:id="0">
    <w:p w:rsidR="00FB2D6C" w:rsidRDefault="00FB2D6C"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6C" w:rsidRPr="000E4643" w:rsidRDefault="00FB2D6C"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04E46">
      <w:rPr>
        <w:noProof/>
        <w:sz w:val="22"/>
        <w:szCs w:val="22"/>
      </w:rPr>
      <w:t>622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48</w:t>
    </w:r>
    <w:r w:rsidRPr="000E4643">
      <w:rPr>
        <w:rFonts w:ascii="Arial" w:hAnsi="Arial" w:cs="Arial"/>
        <w:i/>
        <w:color w:val="222222"/>
        <w:sz w:val="22"/>
        <w:szCs w:val="22"/>
        <w:shd w:val="clear" w:color="auto" w:fill="FFFFFF"/>
      </w:rPr>
      <w:t>—</w:t>
    </w:r>
    <w:r>
      <w:rPr>
        <w:i/>
        <w:sz w:val="22"/>
        <w:szCs w:val="22"/>
      </w:rPr>
      <w:t>5 May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6C" w:rsidRPr="001B5139" w:rsidRDefault="00FB2D6C"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48</w:t>
    </w:r>
    <w:r w:rsidRPr="001B5139">
      <w:rPr>
        <w:rFonts w:ascii="Arial" w:hAnsi="Arial" w:cs="Arial"/>
        <w:i/>
        <w:color w:val="222222"/>
        <w:sz w:val="22"/>
        <w:szCs w:val="22"/>
        <w:shd w:val="clear" w:color="auto" w:fill="FFFFFF"/>
      </w:rPr>
      <w:t>—</w:t>
    </w:r>
    <w:r>
      <w:rPr>
        <w:i/>
        <w:sz w:val="22"/>
        <w:szCs w:val="22"/>
      </w:rPr>
      <w:t>5 May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204E46">
      <w:rPr>
        <w:noProof/>
        <w:sz w:val="22"/>
        <w:szCs w:val="22"/>
      </w:rPr>
      <w:t>623</w:t>
    </w:r>
    <w:r w:rsidRPr="001B5139">
      <w:rPr>
        <w:noProof/>
        <w:sz w:val="22"/>
        <w:szCs w:val="22"/>
      </w:rPr>
      <w:fldChar w:fldCharType="end"/>
    </w:r>
  </w:p>
  <w:p w:rsidR="00FB2D6C" w:rsidRPr="0075625A" w:rsidRDefault="00FB2D6C"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330766393"/>
      <w:docPartObj>
        <w:docPartGallery w:val="Page Numbers (Top of Page)"/>
        <w:docPartUnique/>
      </w:docPartObj>
    </w:sdtPr>
    <w:sdtEndPr>
      <w:rPr>
        <w:noProof/>
      </w:rPr>
    </w:sdtEndPr>
    <w:sdtContent>
      <w:p w:rsidR="00FB2D6C" w:rsidRPr="000E4643" w:rsidRDefault="00FB2D6C"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04E46">
          <w:rPr>
            <w:noProof/>
            <w:sz w:val="22"/>
            <w:szCs w:val="22"/>
          </w:rPr>
          <w:t>621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4BA686DE"/>
    <w:lvl w:ilvl="0" w:tplc="046E31F0">
      <w:start w:val="1"/>
      <w:numFmt w:val="decimal"/>
      <w:pStyle w:val="DPSEntryIndentsLev1"/>
      <w:lvlText w:val="(%1)"/>
      <w:lvlJc w:val="left"/>
      <w:pPr>
        <w:ind w:left="108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89AE646C"/>
    <w:lvl w:ilvl="0" w:tplc="237A7076">
      <w:start w:val="1"/>
      <w:numFmt w:val="lowerLetter"/>
      <w:pStyle w:val="DPSEntryIndentsLev2"/>
      <w:lvlText w:val="(%1)"/>
      <w:lvlJc w:val="left"/>
      <w:pPr>
        <w:ind w:left="1710" w:hanging="360"/>
      </w:pPr>
      <w:rPr>
        <w:rFonts w:hint="default"/>
      </w:rPr>
    </w:lvl>
    <w:lvl w:ilvl="1" w:tplc="0C090019">
      <w:start w:val="1"/>
      <w:numFmt w:val="lowerLetter"/>
      <w:lvlText w:val="%2."/>
      <w:lvlJc w:val="left"/>
      <w:pPr>
        <w:ind w:left="3424" w:hanging="360"/>
      </w:pPr>
    </w:lvl>
    <w:lvl w:ilvl="2" w:tplc="0C09001B" w:tentative="1">
      <w:start w:val="1"/>
      <w:numFmt w:val="lowerRoman"/>
      <w:lvlText w:val="%3."/>
      <w:lvlJc w:val="right"/>
      <w:pPr>
        <w:ind w:left="4144" w:hanging="180"/>
      </w:pPr>
    </w:lvl>
    <w:lvl w:ilvl="3" w:tplc="0C09000F" w:tentative="1">
      <w:start w:val="1"/>
      <w:numFmt w:val="decimal"/>
      <w:lvlText w:val="%4."/>
      <w:lvlJc w:val="left"/>
      <w:pPr>
        <w:ind w:left="4864" w:hanging="360"/>
      </w:pPr>
    </w:lvl>
    <w:lvl w:ilvl="4" w:tplc="0C090019" w:tentative="1">
      <w:start w:val="1"/>
      <w:numFmt w:val="lowerLetter"/>
      <w:lvlText w:val="%5."/>
      <w:lvlJc w:val="left"/>
      <w:pPr>
        <w:ind w:left="5584" w:hanging="360"/>
      </w:pPr>
    </w:lvl>
    <w:lvl w:ilvl="5" w:tplc="0C09001B" w:tentative="1">
      <w:start w:val="1"/>
      <w:numFmt w:val="lowerRoman"/>
      <w:lvlText w:val="%6."/>
      <w:lvlJc w:val="right"/>
      <w:pPr>
        <w:ind w:left="6304" w:hanging="180"/>
      </w:pPr>
    </w:lvl>
    <w:lvl w:ilvl="6" w:tplc="0C09000F" w:tentative="1">
      <w:start w:val="1"/>
      <w:numFmt w:val="decimal"/>
      <w:lvlText w:val="%7."/>
      <w:lvlJc w:val="left"/>
      <w:pPr>
        <w:ind w:left="7024" w:hanging="360"/>
      </w:pPr>
    </w:lvl>
    <w:lvl w:ilvl="7" w:tplc="0C090019" w:tentative="1">
      <w:start w:val="1"/>
      <w:numFmt w:val="lowerLetter"/>
      <w:lvlText w:val="%8."/>
      <w:lvlJc w:val="left"/>
      <w:pPr>
        <w:ind w:left="7744" w:hanging="360"/>
      </w:pPr>
    </w:lvl>
    <w:lvl w:ilvl="8" w:tplc="0C09001B" w:tentative="1">
      <w:start w:val="1"/>
      <w:numFmt w:val="lowerRoman"/>
      <w:lvlText w:val="%9."/>
      <w:lvlJc w:val="right"/>
      <w:pPr>
        <w:ind w:left="846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7FE9684D"/>
    <w:multiLevelType w:val="multilevel"/>
    <w:tmpl w:val="AF108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5"/>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4"/>
  </w:num>
  <w:num w:numId="9">
    <w:abstractNumId w:val="6"/>
  </w:num>
  <w:num w:numId="10">
    <w:abstractNumId w:val="2"/>
    <w:lvlOverride w:ilvl="0">
      <w:startOverride w:val="1"/>
    </w:lvlOverride>
  </w:num>
  <w:num w:numId="11">
    <w:abstractNumId w:val="0"/>
  </w:num>
  <w:num w:numId="12">
    <w:abstractNumId w:val="0"/>
    <w:lvlOverride w:ilvl="0">
      <w:startOverride w:val="2"/>
    </w:lvlOverride>
  </w:num>
  <w:num w:numId="13">
    <w:abstractNumId w:val="0"/>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attachedTemplate r:id="rId1"/>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88"/>
    <w:rsid w:val="00002AC1"/>
    <w:rsid w:val="000316BA"/>
    <w:rsid w:val="000327ED"/>
    <w:rsid w:val="0003311A"/>
    <w:rsid w:val="0003350E"/>
    <w:rsid w:val="000411B4"/>
    <w:rsid w:val="00042F8B"/>
    <w:rsid w:val="000453A9"/>
    <w:rsid w:val="000508CD"/>
    <w:rsid w:val="00055F57"/>
    <w:rsid w:val="00056B48"/>
    <w:rsid w:val="0006086E"/>
    <w:rsid w:val="0006251D"/>
    <w:rsid w:val="00074944"/>
    <w:rsid w:val="0008371E"/>
    <w:rsid w:val="00094086"/>
    <w:rsid w:val="000A4E7C"/>
    <w:rsid w:val="000A5BA3"/>
    <w:rsid w:val="000C40FA"/>
    <w:rsid w:val="000C5440"/>
    <w:rsid w:val="000D0535"/>
    <w:rsid w:val="000D1C03"/>
    <w:rsid w:val="000E4643"/>
    <w:rsid w:val="000E48CC"/>
    <w:rsid w:val="000F3D35"/>
    <w:rsid w:val="000F719C"/>
    <w:rsid w:val="00101CC9"/>
    <w:rsid w:val="001167CE"/>
    <w:rsid w:val="00117D25"/>
    <w:rsid w:val="00137C4E"/>
    <w:rsid w:val="001459D4"/>
    <w:rsid w:val="00151988"/>
    <w:rsid w:val="0015362B"/>
    <w:rsid w:val="0015436A"/>
    <w:rsid w:val="001568FC"/>
    <w:rsid w:val="00156A41"/>
    <w:rsid w:val="001652A5"/>
    <w:rsid w:val="00167033"/>
    <w:rsid w:val="00167DB4"/>
    <w:rsid w:val="00175CB1"/>
    <w:rsid w:val="001826BD"/>
    <w:rsid w:val="00185B47"/>
    <w:rsid w:val="001B5139"/>
    <w:rsid w:val="001B7328"/>
    <w:rsid w:val="001C6884"/>
    <w:rsid w:val="001D4D88"/>
    <w:rsid w:val="001E683C"/>
    <w:rsid w:val="001F462B"/>
    <w:rsid w:val="00204E46"/>
    <w:rsid w:val="00215A98"/>
    <w:rsid w:val="0024164D"/>
    <w:rsid w:val="00245107"/>
    <w:rsid w:val="0024549F"/>
    <w:rsid w:val="00247DB3"/>
    <w:rsid w:val="00250023"/>
    <w:rsid w:val="00252A54"/>
    <w:rsid w:val="0025469E"/>
    <w:rsid w:val="0025747F"/>
    <w:rsid w:val="002659E0"/>
    <w:rsid w:val="0029017E"/>
    <w:rsid w:val="0029476A"/>
    <w:rsid w:val="002951C5"/>
    <w:rsid w:val="00296423"/>
    <w:rsid w:val="00297551"/>
    <w:rsid w:val="002B0F52"/>
    <w:rsid w:val="002B1C8C"/>
    <w:rsid w:val="002C1A82"/>
    <w:rsid w:val="002C4EC0"/>
    <w:rsid w:val="002C5C71"/>
    <w:rsid w:val="002E4617"/>
    <w:rsid w:val="002F5566"/>
    <w:rsid w:val="0032162C"/>
    <w:rsid w:val="00322C0A"/>
    <w:rsid w:val="00324019"/>
    <w:rsid w:val="0032707B"/>
    <w:rsid w:val="0033216F"/>
    <w:rsid w:val="003352B8"/>
    <w:rsid w:val="00335A47"/>
    <w:rsid w:val="003458AA"/>
    <w:rsid w:val="00352FBA"/>
    <w:rsid w:val="00355B8F"/>
    <w:rsid w:val="00360297"/>
    <w:rsid w:val="0036071D"/>
    <w:rsid w:val="00363133"/>
    <w:rsid w:val="003679A0"/>
    <w:rsid w:val="00374414"/>
    <w:rsid w:val="0038104A"/>
    <w:rsid w:val="00393FE6"/>
    <w:rsid w:val="003A1177"/>
    <w:rsid w:val="003A1D3D"/>
    <w:rsid w:val="003A3341"/>
    <w:rsid w:val="003A3ABF"/>
    <w:rsid w:val="003B7161"/>
    <w:rsid w:val="003C7C49"/>
    <w:rsid w:val="003D12D4"/>
    <w:rsid w:val="003D69C2"/>
    <w:rsid w:val="003F053C"/>
    <w:rsid w:val="003F6913"/>
    <w:rsid w:val="0042748C"/>
    <w:rsid w:val="00432F9E"/>
    <w:rsid w:val="00433095"/>
    <w:rsid w:val="00434476"/>
    <w:rsid w:val="00440967"/>
    <w:rsid w:val="004419C3"/>
    <w:rsid w:val="00446D96"/>
    <w:rsid w:val="00447964"/>
    <w:rsid w:val="00455D09"/>
    <w:rsid w:val="00457113"/>
    <w:rsid w:val="00460C5A"/>
    <w:rsid w:val="00463BF6"/>
    <w:rsid w:val="00467D9A"/>
    <w:rsid w:val="00476347"/>
    <w:rsid w:val="00495C4D"/>
    <w:rsid w:val="004A1499"/>
    <w:rsid w:val="004A473E"/>
    <w:rsid w:val="004A6CFB"/>
    <w:rsid w:val="004C39DF"/>
    <w:rsid w:val="004D1240"/>
    <w:rsid w:val="004D13A8"/>
    <w:rsid w:val="004D4D5D"/>
    <w:rsid w:val="004F1D14"/>
    <w:rsid w:val="004F3AA0"/>
    <w:rsid w:val="00500FD0"/>
    <w:rsid w:val="00505EDF"/>
    <w:rsid w:val="00513E60"/>
    <w:rsid w:val="00514CA9"/>
    <w:rsid w:val="00514DB3"/>
    <w:rsid w:val="00525EF7"/>
    <w:rsid w:val="0053064A"/>
    <w:rsid w:val="005370E0"/>
    <w:rsid w:val="0054292C"/>
    <w:rsid w:val="00550CFC"/>
    <w:rsid w:val="00551A57"/>
    <w:rsid w:val="00556D17"/>
    <w:rsid w:val="0056106B"/>
    <w:rsid w:val="0056300C"/>
    <w:rsid w:val="00565913"/>
    <w:rsid w:val="0057097B"/>
    <w:rsid w:val="005754F7"/>
    <w:rsid w:val="0058608D"/>
    <w:rsid w:val="00591368"/>
    <w:rsid w:val="00597DCF"/>
    <w:rsid w:val="005A3E01"/>
    <w:rsid w:val="005E573F"/>
    <w:rsid w:val="005E73A7"/>
    <w:rsid w:val="005F3AB0"/>
    <w:rsid w:val="006015EF"/>
    <w:rsid w:val="0060380C"/>
    <w:rsid w:val="006150F6"/>
    <w:rsid w:val="00622D21"/>
    <w:rsid w:val="006258B9"/>
    <w:rsid w:val="00626BA9"/>
    <w:rsid w:val="00632A05"/>
    <w:rsid w:val="00656CF1"/>
    <w:rsid w:val="006602D2"/>
    <w:rsid w:val="006613D1"/>
    <w:rsid w:val="006628C0"/>
    <w:rsid w:val="00664889"/>
    <w:rsid w:val="00667147"/>
    <w:rsid w:val="00673DC3"/>
    <w:rsid w:val="006816A4"/>
    <w:rsid w:val="00683B0A"/>
    <w:rsid w:val="00683DE9"/>
    <w:rsid w:val="006A29DD"/>
    <w:rsid w:val="006A2D21"/>
    <w:rsid w:val="006A54B4"/>
    <w:rsid w:val="006B0A46"/>
    <w:rsid w:val="006B2704"/>
    <w:rsid w:val="006B3020"/>
    <w:rsid w:val="006B3AB3"/>
    <w:rsid w:val="006D0D92"/>
    <w:rsid w:val="006D552E"/>
    <w:rsid w:val="006D7183"/>
    <w:rsid w:val="006E45CA"/>
    <w:rsid w:val="006E54FE"/>
    <w:rsid w:val="006F25F1"/>
    <w:rsid w:val="006F3AA7"/>
    <w:rsid w:val="006F6540"/>
    <w:rsid w:val="007059EA"/>
    <w:rsid w:val="00713C38"/>
    <w:rsid w:val="00717966"/>
    <w:rsid w:val="0072337A"/>
    <w:rsid w:val="00730F9B"/>
    <w:rsid w:val="007522CB"/>
    <w:rsid w:val="0075625A"/>
    <w:rsid w:val="007725DE"/>
    <w:rsid w:val="007754A9"/>
    <w:rsid w:val="00791499"/>
    <w:rsid w:val="007954DD"/>
    <w:rsid w:val="007A0726"/>
    <w:rsid w:val="007A24FD"/>
    <w:rsid w:val="007A5F19"/>
    <w:rsid w:val="007D05AB"/>
    <w:rsid w:val="007D48D5"/>
    <w:rsid w:val="007E763F"/>
    <w:rsid w:val="007E77C3"/>
    <w:rsid w:val="007F2936"/>
    <w:rsid w:val="0081083C"/>
    <w:rsid w:val="00812CE0"/>
    <w:rsid w:val="00812DA8"/>
    <w:rsid w:val="008161B1"/>
    <w:rsid w:val="00826A1D"/>
    <w:rsid w:val="0083252E"/>
    <w:rsid w:val="008329B1"/>
    <w:rsid w:val="008337B2"/>
    <w:rsid w:val="008470DD"/>
    <w:rsid w:val="00856C1A"/>
    <w:rsid w:val="00863EEC"/>
    <w:rsid w:val="008663B2"/>
    <w:rsid w:val="008678F0"/>
    <w:rsid w:val="00876ADE"/>
    <w:rsid w:val="00881F7D"/>
    <w:rsid w:val="008907F9"/>
    <w:rsid w:val="00890FA9"/>
    <w:rsid w:val="008B052D"/>
    <w:rsid w:val="008C556F"/>
    <w:rsid w:val="008E55AC"/>
    <w:rsid w:val="00903F59"/>
    <w:rsid w:val="00906321"/>
    <w:rsid w:val="0091176F"/>
    <w:rsid w:val="00915FC6"/>
    <w:rsid w:val="0091670C"/>
    <w:rsid w:val="0092127E"/>
    <w:rsid w:val="00927556"/>
    <w:rsid w:val="009474C7"/>
    <w:rsid w:val="00947600"/>
    <w:rsid w:val="00947A9C"/>
    <w:rsid w:val="00947F1F"/>
    <w:rsid w:val="009649B5"/>
    <w:rsid w:val="00970290"/>
    <w:rsid w:val="00982BA1"/>
    <w:rsid w:val="009850CE"/>
    <w:rsid w:val="00992CE7"/>
    <w:rsid w:val="00993FA9"/>
    <w:rsid w:val="009A2DEA"/>
    <w:rsid w:val="009A2EDA"/>
    <w:rsid w:val="009A4AED"/>
    <w:rsid w:val="009B51E8"/>
    <w:rsid w:val="009C09B3"/>
    <w:rsid w:val="009C1E53"/>
    <w:rsid w:val="009C604C"/>
    <w:rsid w:val="009C679C"/>
    <w:rsid w:val="009D4A83"/>
    <w:rsid w:val="009E272E"/>
    <w:rsid w:val="009E4530"/>
    <w:rsid w:val="00A25622"/>
    <w:rsid w:val="00A273E2"/>
    <w:rsid w:val="00A4532B"/>
    <w:rsid w:val="00A57A76"/>
    <w:rsid w:val="00A6775B"/>
    <w:rsid w:val="00A753C6"/>
    <w:rsid w:val="00A76A84"/>
    <w:rsid w:val="00A772ED"/>
    <w:rsid w:val="00A85D5B"/>
    <w:rsid w:val="00A911EA"/>
    <w:rsid w:val="00A9381B"/>
    <w:rsid w:val="00AA3F2F"/>
    <w:rsid w:val="00AB02C6"/>
    <w:rsid w:val="00AB7032"/>
    <w:rsid w:val="00AC1E30"/>
    <w:rsid w:val="00AC7116"/>
    <w:rsid w:val="00AD3DEE"/>
    <w:rsid w:val="00AD4151"/>
    <w:rsid w:val="00AE3F53"/>
    <w:rsid w:val="00AF3C23"/>
    <w:rsid w:val="00B12EAF"/>
    <w:rsid w:val="00B13B4A"/>
    <w:rsid w:val="00B249F6"/>
    <w:rsid w:val="00B35E85"/>
    <w:rsid w:val="00B37E2F"/>
    <w:rsid w:val="00B521B3"/>
    <w:rsid w:val="00B54777"/>
    <w:rsid w:val="00B5554D"/>
    <w:rsid w:val="00B707B4"/>
    <w:rsid w:val="00B766B9"/>
    <w:rsid w:val="00B93E99"/>
    <w:rsid w:val="00B94D55"/>
    <w:rsid w:val="00B9772E"/>
    <w:rsid w:val="00BA0A01"/>
    <w:rsid w:val="00BA706F"/>
    <w:rsid w:val="00BB08CF"/>
    <w:rsid w:val="00BC69A3"/>
    <w:rsid w:val="00BD0D96"/>
    <w:rsid w:val="00BD7606"/>
    <w:rsid w:val="00BE0C9A"/>
    <w:rsid w:val="00BE719C"/>
    <w:rsid w:val="00C07633"/>
    <w:rsid w:val="00C119F6"/>
    <w:rsid w:val="00C17098"/>
    <w:rsid w:val="00C173D3"/>
    <w:rsid w:val="00C24DCD"/>
    <w:rsid w:val="00C41FC2"/>
    <w:rsid w:val="00C74887"/>
    <w:rsid w:val="00C762F5"/>
    <w:rsid w:val="00C82CD2"/>
    <w:rsid w:val="00C83242"/>
    <w:rsid w:val="00C92B99"/>
    <w:rsid w:val="00CB456C"/>
    <w:rsid w:val="00CC0868"/>
    <w:rsid w:val="00CC5F38"/>
    <w:rsid w:val="00CC732F"/>
    <w:rsid w:val="00CD7D76"/>
    <w:rsid w:val="00CD7E91"/>
    <w:rsid w:val="00CE052D"/>
    <w:rsid w:val="00CE458A"/>
    <w:rsid w:val="00D03538"/>
    <w:rsid w:val="00D050FE"/>
    <w:rsid w:val="00D13621"/>
    <w:rsid w:val="00D17B81"/>
    <w:rsid w:val="00D22EF7"/>
    <w:rsid w:val="00D33712"/>
    <w:rsid w:val="00D55354"/>
    <w:rsid w:val="00D57414"/>
    <w:rsid w:val="00D71585"/>
    <w:rsid w:val="00D724F6"/>
    <w:rsid w:val="00D74B53"/>
    <w:rsid w:val="00D7660C"/>
    <w:rsid w:val="00D85EC7"/>
    <w:rsid w:val="00D86B01"/>
    <w:rsid w:val="00D874E7"/>
    <w:rsid w:val="00D90BD9"/>
    <w:rsid w:val="00D96038"/>
    <w:rsid w:val="00D974F0"/>
    <w:rsid w:val="00D9788C"/>
    <w:rsid w:val="00DB1587"/>
    <w:rsid w:val="00DC12B3"/>
    <w:rsid w:val="00DC6705"/>
    <w:rsid w:val="00DC6821"/>
    <w:rsid w:val="00DD2520"/>
    <w:rsid w:val="00DF7FAE"/>
    <w:rsid w:val="00E014AA"/>
    <w:rsid w:val="00E034B1"/>
    <w:rsid w:val="00E154FF"/>
    <w:rsid w:val="00E229E8"/>
    <w:rsid w:val="00E2410B"/>
    <w:rsid w:val="00E35335"/>
    <w:rsid w:val="00E41A02"/>
    <w:rsid w:val="00E50CFA"/>
    <w:rsid w:val="00E55119"/>
    <w:rsid w:val="00E60D62"/>
    <w:rsid w:val="00E65DEF"/>
    <w:rsid w:val="00E65F1E"/>
    <w:rsid w:val="00E722D4"/>
    <w:rsid w:val="00E758AC"/>
    <w:rsid w:val="00E871A3"/>
    <w:rsid w:val="00E87521"/>
    <w:rsid w:val="00E92DB7"/>
    <w:rsid w:val="00E95603"/>
    <w:rsid w:val="00EA286E"/>
    <w:rsid w:val="00EB5789"/>
    <w:rsid w:val="00EC0D13"/>
    <w:rsid w:val="00ED22D4"/>
    <w:rsid w:val="00ED3476"/>
    <w:rsid w:val="00EE58C4"/>
    <w:rsid w:val="00EF6D84"/>
    <w:rsid w:val="00F22E89"/>
    <w:rsid w:val="00F34B63"/>
    <w:rsid w:val="00F52FEA"/>
    <w:rsid w:val="00F6170A"/>
    <w:rsid w:val="00F62370"/>
    <w:rsid w:val="00F62AE5"/>
    <w:rsid w:val="00F62CE8"/>
    <w:rsid w:val="00F64A40"/>
    <w:rsid w:val="00F77E66"/>
    <w:rsid w:val="00F92EBA"/>
    <w:rsid w:val="00FA21B7"/>
    <w:rsid w:val="00FA39A4"/>
    <w:rsid w:val="00FA4772"/>
    <w:rsid w:val="00FB2D6C"/>
    <w:rsid w:val="00FC64FA"/>
    <w:rsid w:val="00FD13D6"/>
    <w:rsid w:val="00FD4172"/>
    <w:rsid w:val="00FD5C7C"/>
    <w:rsid w:val="00FE04EB"/>
    <w:rsid w:val="00FE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5:chartTrackingRefBased/>
  <w15:docId w15:val="{0D2A2A84-7730-4608-BFB0-3D3851CE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1"/>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2"/>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3"/>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4"/>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5E573F"/>
    <w:rPr>
      <w:rFonts w:ascii="Calibri" w:eastAsia="Times New Roman" w:hAnsi="Calibri" w:cs="Times New Roman"/>
      <w:sz w:val="24"/>
      <w:szCs w:val="20"/>
    </w:rPr>
  </w:style>
  <w:style w:type="paragraph" w:customStyle="1" w:styleId="PaperTitleIndent1">
    <w:name w:val="PaperTitleIndent1"/>
    <w:basedOn w:val="Normal"/>
    <w:link w:val="PaperTitleIndent1Char"/>
    <w:rsid w:val="005E573F"/>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5E573F"/>
    <w:rPr>
      <w:rFonts w:ascii="Times New Roman" w:eastAsia="Times New Roman" w:hAnsi="Times New Roman" w:cs="Times New Roman"/>
      <w:sz w:val="24"/>
      <w:szCs w:val="20"/>
    </w:rPr>
  </w:style>
  <w:style w:type="character" w:customStyle="1" w:styleId="DPSEntryDetailChar">
    <w:name w:val="DPSEntryDetail Char"/>
    <w:basedOn w:val="DefaultParagraphFont"/>
    <w:link w:val="DPSEntryDetail"/>
    <w:rsid w:val="001459D4"/>
    <w:rPr>
      <w:rFonts w:ascii="Calibri" w:eastAsia="Times New Roman" w:hAnsi="Calibri" w:cs="Times New Roman"/>
      <w:sz w:val="24"/>
      <w:szCs w:val="20"/>
    </w:rPr>
  </w:style>
  <w:style w:type="paragraph" w:customStyle="1" w:styleId="Amainreturn">
    <w:name w:val="A main return"/>
    <w:basedOn w:val="Normal"/>
    <w:rsid w:val="001459D4"/>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1459D4"/>
    <w:pPr>
      <w:keepNext/>
      <w:spacing w:before="140"/>
      <w:ind w:left="1100"/>
      <w:jc w:val="both"/>
    </w:pPr>
    <w:rPr>
      <w:rFonts w:ascii="Times New Roman" w:hAnsi="Times New Roman"/>
      <w:i/>
      <w:lang w:val="en-AU" w:eastAsia="en-US"/>
    </w:rPr>
  </w:style>
  <w:style w:type="paragraph" w:customStyle="1" w:styleId="IH5Sec">
    <w:name w:val="I H5 Sec"/>
    <w:basedOn w:val="Normal"/>
    <w:next w:val="Amainreturn"/>
    <w:rsid w:val="001459D4"/>
    <w:pPr>
      <w:keepNext/>
      <w:tabs>
        <w:tab w:val="left" w:pos="1100"/>
      </w:tabs>
      <w:spacing w:before="240"/>
      <w:ind w:left="1100" w:hanging="1100"/>
    </w:pPr>
    <w:rPr>
      <w:rFonts w:ascii="Arial" w:hAnsi="Arial"/>
      <w:b/>
      <w:lang w:val="en-AU" w:eastAsia="en-US"/>
    </w:rPr>
  </w:style>
  <w:style w:type="paragraph" w:customStyle="1" w:styleId="Ipara">
    <w:name w:val="I para"/>
    <w:basedOn w:val="Normal"/>
    <w:rsid w:val="001459D4"/>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1459D4"/>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1459D4"/>
    <w:pPr>
      <w:keepNext/>
      <w:keepLines/>
      <w:numPr>
        <w:numId w:val="8"/>
      </w:numPr>
      <w:pBdr>
        <w:top w:val="single" w:sz="4" w:space="1" w:color="auto"/>
      </w:pBdr>
      <w:tabs>
        <w:tab w:val="left" w:pos="284"/>
      </w:tabs>
      <w:spacing w:before="240"/>
    </w:pPr>
    <w:rPr>
      <w:rFonts w:ascii="Arial" w:hAnsi="Arial"/>
      <w:b/>
      <w:sz w:val="22"/>
      <w:lang w:val="en-AU" w:eastAsia="en-US"/>
    </w:rPr>
  </w:style>
  <w:style w:type="paragraph" w:customStyle="1" w:styleId="aDef">
    <w:name w:val="aDef"/>
    <w:basedOn w:val="Normal"/>
    <w:rsid w:val="001459D4"/>
    <w:pPr>
      <w:numPr>
        <w:ilvl w:val="5"/>
        <w:numId w:val="9"/>
      </w:numPr>
      <w:spacing w:before="140"/>
      <w:jc w:val="both"/>
      <w:outlineLvl w:val="5"/>
    </w:pPr>
    <w:rPr>
      <w:rFonts w:ascii="Times New Roman" w:hAnsi="Times New Roman"/>
      <w:lang w:val="en-AU" w:eastAsia="en-US"/>
    </w:rPr>
  </w:style>
  <w:style w:type="paragraph" w:customStyle="1" w:styleId="IMain">
    <w:name w:val="I Main"/>
    <w:basedOn w:val="Normal"/>
    <w:rsid w:val="001459D4"/>
    <w:pPr>
      <w:tabs>
        <w:tab w:val="right" w:pos="900"/>
        <w:tab w:val="left" w:pos="1100"/>
      </w:tabs>
      <w:spacing w:before="140"/>
      <w:ind w:left="1100" w:hanging="1100"/>
      <w:jc w:val="both"/>
    </w:pPr>
    <w:rPr>
      <w:rFonts w:ascii="Times New Roman" w:hAnsi="Times New Roman"/>
      <w:lang w:val="en-AU" w:eastAsia="en-US"/>
    </w:rPr>
  </w:style>
  <w:style w:type="paragraph" w:customStyle="1" w:styleId="aDefpara">
    <w:name w:val="aDef para"/>
    <w:basedOn w:val="Normal"/>
    <w:rsid w:val="001459D4"/>
    <w:pPr>
      <w:numPr>
        <w:ilvl w:val="6"/>
        <w:numId w:val="9"/>
      </w:numPr>
      <w:spacing w:before="140"/>
      <w:jc w:val="both"/>
      <w:outlineLvl w:val="6"/>
    </w:pPr>
    <w:rPr>
      <w:rFonts w:ascii="Times New Roman" w:hAnsi="Times New Roman"/>
      <w:lang w:val="en-AU" w:eastAsia="en-US"/>
    </w:rPr>
  </w:style>
  <w:style w:type="paragraph" w:customStyle="1" w:styleId="aDefsubpara">
    <w:name w:val="aDef subpara"/>
    <w:basedOn w:val="Normal"/>
    <w:rsid w:val="001459D4"/>
    <w:pPr>
      <w:numPr>
        <w:ilvl w:val="7"/>
        <w:numId w:val="9"/>
      </w:numPr>
      <w:spacing w:before="140"/>
      <w:ind w:left="2140" w:hanging="200"/>
      <w:jc w:val="both"/>
      <w:outlineLvl w:val="7"/>
    </w:pPr>
    <w:rPr>
      <w:rFonts w:ascii="Times New Roman" w:hAnsi="Times New Roman"/>
      <w:lang w:val="en-AU" w:eastAsia="en-US"/>
    </w:rPr>
  </w:style>
  <w:style w:type="paragraph" w:customStyle="1" w:styleId="Idefpara">
    <w:name w:val="I def para"/>
    <w:basedOn w:val="Ipara"/>
    <w:rsid w:val="001459D4"/>
  </w:style>
  <w:style w:type="paragraph" w:customStyle="1" w:styleId="Idefsubpara">
    <w:name w:val="I def subpara"/>
    <w:basedOn w:val="Normal"/>
    <w:rsid w:val="001459D4"/>
    <w:pPr>
      <w:tabs>
        <w:tab w:val="right" w:pos="1940"/>
        <w:tab w:val="left" w:pos="2140"/>
      </w:tabs>
      <w:spacing w:before="140"/>
      <w:ind w:left="2140" w:hanging="2140"/>
      <w:jc w:val="both"/>
    </w:pPr>
    <w:rPr>
      <w:rFonts w:ascii="Times New Roman" w:hAnsi="Times New Roman"/>
      <w:lang w:val="en-AU" w:eastAsia="en-US"/>
    </w:rPr>
  </w:style>
  <w:style w:type="paragraph" w:customStyle="1" w:styleId="Isubpara">
    <w:name w:val="I subpara"/>
    <w:basedOn w:val="Normal"/>
    <w:rsid w:val="00A4532B"/>
    <w:pPr>
      <w:tabs>
        <w:tab w:val="right" w:pos="1940"/>
        <w:tab w:val="left" w:pos="2140"/>
      </w:tabs>
      <w:spacing w:before="140"/>
      <w:ind w:left="2140" w:hanging="2140"/>
      <w:jc w:val="both"/>
    </w:pPr>
    <w:rPr>
      <w:rFonts w:ascii="Times New Roman" w:hAnsi="Times New Roman"/>
      <w:lang w:val="en-AU" w:eastAsia="en-US"/>
    </w:rPr>
  </w:style>
  <w:style w:type="character" w:customStyle="1" w:styleId="CharSectNo">
    <w:name w:val="CharSectNo"/>
    <w:basedOn w:val="DefaultParagraphFont"/>
    <w:rsid w:val="00A4532B"/>
  </w:style>
  <w:style w:type="paragraph" w:styleId="Index1">
    <w:name w:val="index 1"/>
    <w:basedOn w:val="Normal"/>
    <w:next w:val="Normal"/>
    <w:autoRedefine/>
    <w:uiPriority w:val="99"/>
    <w:semiHidden/>
    <w:unhideWhenUsed/>
    <w:rsid w:val="00360297"/>
    <w:pPr>
      <w:ind w:left="240" w:hanging="240"/>
    </w:pPr>
  </w:style>
  <w:style w:type="paragraph" w:styleId="Index2">
    <w:name w:val="index 2"/>
    <w:basedOn w:val="Normal"/>
    <w:next w:val="Normal"/>
    <w:autoRedefine/>
    <w:uiPriority w:val="99"/>
    <w:semiHidden/>
    <w:unhideWhenUsed/>
    <w:rsid w:val="00360297"/>
    <w:pPr>
      <w:ind w:left="480" w:hanging="240"/>
    </w:pPr>
  </w:style>
  <w:style w:type="paragraph" w:styleId="Index3">
    <w:name w:val="index 3"/>
    <w:basedOn w:val="Normal"/>
    <w:next w:val="Normal"/>
    <w:autoRedefine/>
    <w:uiPriority w:val="99"/>
    <w:unhideWhenUsed/>
    <w:rsid w:val="00360297"/>
    <w:pPr>
      <w:ind w:left="720" w:hanging="240"/>
    </w:pPr>
  </w:style>
  <w:style w:type="paragraph" w:styleId="Index4">
    <w:name w:val="index 4"/>
    <w:basedOn w:val="Normal"/>
    <w:next w:val="Normal"/>
    <w:autoRedefine/>
    <w:uiPriority w:val="99"/>
    <w:unhideWhenUsed/>
    <w:rsid w:val="00360297"/>
    <w:pPr>
      <w:ind w:left="960" w:hanging="240"/>
    </w:pPr>
  </w:style>
  <w:style w:type="paragraph" w:styleId="Index5">
    <w:name w:val="index 5"/>
    <w:basedOn w:val="Normal"/>
    <w:next w:val="Normal"/>
    <w:autoRedefine/>
    <w:uiPriority w:val="99"/>
    <w:semiHidden/>
    <w:unhideWhenUsed/>
    <w:rsid w:val="00360297"/>
    <w:pPr>
      <w:ind w:left="1200" w:hanging="240"/>
    </w:pPr>
  </w:style>
  <w:style w:type="paragraph" w:styleId="Index6">
    <w:name w:val="index 6"/>
    <w:basedOn w:val="Normal"/>
    <w:next w:val="Normal"/>
    <w:autoRedefine/>
    <w:uiPriority w:val="99"/>
    <w:semiHidden/>
    <w:unhideWhenUsed/>
    <w:rsid w:val="00360297"/>
    <w:pPr>
      <w:ind w:left="1440" w:hanging="240"/>
    </w:pPr>
  </w:style>
  <w:style w:type="character" w:styleId="FollowedHyperlink">
    <w:name w:val="FollowedHyperlink"/>
    <w:basedOn w:val="DefaultParagraphFont"/>
    <w:uiPriority w:val="99"/>
    <w:semiHidden/>
    <w:unhideWhenUsed/>
    <w:rsid w:val="00E01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49ADA7-F5F9-41AD-B696-B586DBC1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21</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Scott, Frieda</cp:lastModifiedBy>
  <cp:revision>3</cp:revision>
  <cp:lastPrinted>2022-05-05T02:26:00Z</cp:lastPrinted>
  <dcterms:created xsi:type="dcterms:W3CDTF">2022-08-08T02:30:00Z</dcterms:created>
  <dcterms:modified xsi:type="dcterms:W3CDTF">2022-09-01T01:51:00Z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