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CF" w:rsidRPr="00BC021A" w:rsidRDefault="002F12CF" w:rsidP="002F12CF">
      <w:pPr>
        <w:rPr>
          <w:rFonts w:ascii="Times New Roman" w:hAnsi="Times New Roman" w:cs="Times New Roman"/>
          <w:sz w:val="24"/>
          <w:szCs w:val="24"/>
        </w:rPr>
      </w:pPr>
      <w:r w:rsidRPr="00BC021A">
        <w:rPr>
          <w:rFonts w:ascii="Times New Roman" w:hAnsi="Times New Roman" w:cs="Times New Roman"/>
          <w:sz w:val="24"/>
          <w:szCs w:val="24"/>
        </w:rPr>
        <w:t>Mrs Giulia Jones MLA</w:t>
      </w:r>
      <w:r w:rsidRPr="00BC021A">
        <w:rPr>
          <w:rFonts w:ascii="Times New Roman" w:hAnsi="Times New Roman" w:cs="Times New Roman"/>
          <w:sz w:val="24"/>
          <w:szCs w:val="24"/>
        </w:rPr>
        <w:br/>
        <w:t xml:space="preserve">Chair </w:t>
      </w:r>
      <w:r w:rsidRPr="00BC021A">
        <w:rPr>
          <w:rFonts w:ascii="Times New Roman" w:hAnsi="Times New Roman" w:cs="Times New Roman"/>
          <w:sz w:val="24"/>
          <w:szCs w:val="24"/>
        </w:rPr>
        <w:br/>
        <w:t xml:space="preserve">Standing Committee on Justice and Community Safety (Legislative Scrutiny Role) </w:t>
      </w:r>
      <w:r w:rsidRPr="00BC021A">
        <w:rPr>
          <w:rFonts w:ascii="Times New Roman" w:hAnsi="Times New Roman" w:cs="Times New Roman"/>
          <w:sz w:val="24"/>
          <w:szCs w:val="24"/>
        </w:rPr>
        <w:br/>
        <w:t xml:space="preserve">ACT Legislative Assembly </w:t>
      </w:r>
      <w:r w:rsidRPr="00BC021A">
        <w:rPr>
          <w:rFonts w:ascii="Times New Roman" w:hAnsi="Times New Roman" w:cs="Times New Roman"/>
          <w:sz w:val="24"/>
          <w:szCs w:val="24"/>
        </w:rPr>
        <w:br/>
        <w:t xml:space="preserve">GPO Box 1020 </w:t>
      </w:r>
      <w:r w:rsidRPr="00BC021A">
        <w:rPr>
          <w:rFonts w:ascii="Times New Roman" w:hAnsi="Times New Roman" w:cs="Times New Roman"/>
          <w:sz w:val="24"/>
          <w:szCs w:val="24"/>
        </w:rPr>
        <w:br/>
        <w:t>CANBERRA ACT 2601</w:t>
      </w:r>
    </w:p>
    <w:p w:rsidR="002F12CF" w:rsidRDefault="002F12CF" w:rsidP="002F1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2CF" w:rsidRPr="00BC021A" w:rsidRDefault="002F12CF" w:rsidP="002F12CF">
      <w:pPr>
        <w:jc w:val="both"/>
        <w:rPr>
          <w:rFonts w:ascii="Times New Roman" w:hAnsi="Times New Roman" w:cs="Times New Roman"/>
          <w:sz w:val="24"/>
          <w:szCs w:val="24"/>
        </w:rPr>
      </w:pPr>
      <w:r w:rsidRPr="00BC021A">
        <w:rPr>
          <w:rFonts w:ascii="Times New Roman" w:hAnsi="Times New Roman" w:cs="Times New Roman"/>
          <w:sz w:val="24"/>
          <w:szCs w:val="24"/>
        </w:rPr>
        <w:t>Dear Mrs Jones,</w:t>
      </w:r>
    </w:p>
    <w:p w:rsidR="002F12CF" w:rsidRPr="00374B0D" w:rsidRDefault="002F12CF" w:rsidP="002F12C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021A">
        <w:rPr>
          <w:rFonts w:ascii="Times New Roman" w:hAnsi="Times New Roman" w:cs="Times New Roman"/>
          <w:sz w:val="24"/>
          <w:szCs w:val="24"/>
        </w:rPr>
        <w:t xml:space="preserve">I write </w:t>
      </w:r>
      <w:r w:rsidRPr="00CF5B3B">
        <w:rPr>
          <w:rFonts w:ascii="Times New Roman" w:hAnsi="Times New Roman" w:cs="Times New Roman"/>
          <w:noProof/>
          <w:sz w:val="24"/>
          <w:szCs w:val="24"/>
        </w:rPr>
        <w:t>in relation to</w:t>
      </w:r>
      <w:r w:rsidRPr="00BC021A">
        <w:rPr>
          <w:rFonts w:ascii="Times New Roman" w:hAnsi="Times New Roman" w:cs="Times New Roman"/>
          <w:sz w:val="24"/>
          <w:szCs w:val="24"/>
        </w:rPr>
        <w:t xml:space="preserve"> comments made by the Standing Committee on Justice and Community 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>Safety in Scrutiny Report 24 published on 20</w:t>
      </w:r>
      <w:r w:rsidRPr="00374B0D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November 2018 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in relation to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 Domestic Animals (Dangerous Dogs) Legislation Amendment Bill 2018 (the Bill).</w:t>
      </w:r>
    </w:p>
    <w:p w:rsidR="002F12CF" w:rsidRPr="00374B0D" w:rsidRDefault="002F12CF" w:rsidP="002F12C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I am grateful for the committee’s comments on the proposed Bill and note the committee’s recommendation that I respond. </w:t>
      </w:r>
    </w:p>
    <w:p w:rsidR="002F12CF" w:rsidRPr="00374B0D" w:rsidRDefault="002F12CF" w:rsidP="002F12C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I thank the committee for their comments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 over provisions in the Bill which may </w:t>
      </w:r>
      <w:r w:rsidRPr="00374B0D">
        <w:rPr>
          <w:rFonts w:ascii="Times New Roman" w:eastAsia="Calibri" w:hAnsi="Times New Roman" w:cs="Times New Roman"/>
          <w:spacing w:val="-2"/>
          <w:sz w:val="24"/>
          <w:szCs w:val="24"/>
          <w:lang w:eastAsia="en-AU"/>
        </w:rPr>
        <w:t xml:space="preserve">potentially limit the protection </w:t>
      </w:r>
      <w:r w:rsidRPr="00374B0D"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AU"/>
        </w:rPr>
        <w:t>against unlawful and arbitrary interference with privacy</w:t>
      </w:r>
      <w:r w:rsidRPr="00374B0D">
        <w:rPr>
          <w:rFonts w:ascii="Times New Roman" w:eastAsia="Calibri" w:hAnsi="Times New Roman" w:cs="Times New Roman"/>
          <w:spacing w:val="-2"/>
          <w:sz w:val="24"/>
          <w:szCs w:val="24"/>
          <w:lang w:eastAsia="en-AU"/>
        </w:rPr>
        <w:t xml:space="preserve"> protected under Section 12 of the Human Rights </w:t>
      </w:r>
      <w:r w:rsidRPr="00374B0D">
        <w:rPr>
          <w:rFonts w:ascii="Times New Roman" w:eastAsia="Calibri" w:hAnsi="Times New Roman" w:cs="Times New Roman"/>
          <w:noProof/>
          <w:spacing w:val="-2"/>
          <w:sz w:val="24"/>
          <w:szCs w:val="24"/>
          <w:lang w:eastAsia="en-AU"/>
        </w:rPr>
        <w:t>Act</w:t>
      </w:r>
      <w:r w:rsidRPr="00374B0D">
        <w:rPr>
          <w:rFonts w:ascii="Times New Roman" w:eastAsia="Calibri" w:hAnsi="Times New Roman" w:cs="Times New Roman"/>
          <w:spacing w:val="-2"/>
          <w:sz w:val="24"/>
          <w:szCs w:val="24"/>
          <w:lang w:eastAsia="en-AU"/>
        </w:rPr>
        <w:t xml:space="preserve"> 2004.  I 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>provide the following response:</w:t>
      </w:r>
    </w:p>
    <w:p w:rsidR="002F12CF" w:rsidRPr="00374B0D" w:rsidRDefault="002F12CF" w:rsidP="00AD042A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4B0D">
        <w:rPr>
          <w:rFonts w:ascii="Times New Roman" w:hAnsi="Times New Roman" w:cs="Times New Roman"/>
          <w:spacing w:val="-2"/>
          <w:sz w:val="24"/>
          <w:szCs w:val="24"/>
        </w:rPr>
        <w:t>Many victims of dog attacks have complained they are</w:t>
      </w:r>
      <w:r w:rsidR="00CF5B3B"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CF5B3B" w:rsidRPr="00374B0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t informed about the status of an investigation into the 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attack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>. They have felt that their safety has been compromised and their</w:t>
      </w:r>
      <w:r w:rsidR="003E6530"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 future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 freedom of movement </w:t>
      </w:r>
      <w:r w:rsidR="003E6530"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may be 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>limited out of fear of further attacks.</w:t>
      </w:r>
    </w:p>
    <w:p w:rsidR="002F12CF" w:rsidRPr="00374B0D" w:rsidRDefault="002F12CF" w:rsidP="002F12CF">
      <w:pPr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Currently</w:t>
      </w:r>
      <w:r w:rsidR="003E6530"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under the Act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, as noted in the Commit</w:t>
      </w:r>
      <w:r w:rsidR="003E6530"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tee’s R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eport</w:t>
      </w:r>
      <w:r w:rsidR="00CF5B3B"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,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notice to affected neighbours is permitted under Section 55B of the Domestic Animals Act 2000 at the discretion of the </w:t>
      </w:r>
      <w:r w:rsidR="0097111F"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Registrar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. The </w:t>
      </w:r>
      <w:r w:rsidR="0097111F"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Registrar 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may give notice if the </w:t>
      </w:r>
      <w:r w:rsidR="0097111F"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Registrar 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believes it is in the interest of public safety. Under the Act the </w:t>
      </w:r>
      <w:r w:rsidR="0097111F"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Registrar 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may give notice to people occupying the property adjacent </w:t>
      </w:r>
      <w:r w:rsidRPr="00374B0D">
        <w:rPr>
          <w:rFonts w:ascii="Times New Roman" w:hAnsi="Times New Roman" w:cs="Times New Roman"/>
          <w:noProof/>
          <w:spacing w:val="-4"/>
          <w:sz w:val="24"/>
          <w:szCs w:val="24"/>
        </w:rPr>
        <w:t>to or nearby a premises where a dog is kept, or being cared for that has been declared dangerous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, receive a control order or nuisance notice. </w:t>
      </w:r>
    </w:p>
    <w:p w:rsidR="002F12CF" w:rsidRPr="00374B0D" w:rsidRDefault="002F12CF" w:rsidP="002F12CF">
      <w:pPr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The Bill proposes to make a simple amendment to the current notification arrangement. The Bill proposes to make it 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  <w:u w:val="single"/>
        </w:rPr>
        <w:t>mandatory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for the </w:t>
      </w:r>
      <w:r w:rsidR="0097111F"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Registrar 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to give notice to the complainant and people occupying property adjacent or nearby premises to where the dog is kept, at the conclusion of an investigation into a dog attack. </w:t>
      </w:r>
    </w:p>
    <w:p w:rsidR="002F12CF" w:rsidRPr="00374B0D" w:rsidRDefault="002F12CF" w:rsidP="002F12CF">
      <w:pPr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This change will provide victims and concerned neighbours with the required information as to their and their families</w:t>
      </w:r>
      <w:r w:rsidR="00AD042A"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’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safety. I agree with the committee</w:t>
      </w:r>
      <w:r w:rsidR="00CF5B3B"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’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s assessment that it is not intended that private information, not otherwise known to those receiving information under the Bill, be included in reporting on the outcome of an investigation</w:t>
      </w:r>
      <w:r w:rsidR="003E6530"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, h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owever I disagree that the place for 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lastRenderedPageBreak/>
        <w:t>scoping what information is provided in a written notice of an investigation is within the Bill itself. I believe that the place for such scoping is within directorate policy documents.</w:t>
      </w:r>
      <w:r w:rsidR="00F82011"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</w:p>
    <w:p w:rsidR="00EE41B1" w:rsidRPr="00374B0D" w:rsidRDefault="002F12CF" w:rsidP="002F12C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I 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>acknowledge the committee</w:t>
      </w:r>
      <w:r w:rsidR="003E6530" w:rsidRPr="00374B0D">
        <w:rPr>
          <w:rFonts w:ascii="Times New Roman" w:hAnsi="Times New Roman" w:cs="Times New Roman"/>
          <w:spacing w:val="-2"/>
          <w:sz w:val="24"/>
          <w:szCs w:val="24"/>
        </w:rPr>
        <w:t>’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>s concerns that the obligation to disclose the outcome of the investigation may involve disclosure of personal information and potentially limit the protection against unlawful and arbitrary interference with privacy</w:t>
      </w:r>
      <w:r w:rsidR="00EE41B1" w:rsidRPr="00374B0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 protected under section 12 of the H</w:t>
      </w:r>
      <w:r w:rsidR="00EE41B1"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uman 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EE41B1"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ights 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EE41B1" w:rsidRPr="00374B0D">
        <w:rPr>
          <w:rFonts w:ascii="Times New Roman" w:hAnsi="Times New Roman" w:cs="Times New Roman"/>
          <w:spacing w:val="-2"/>
          <w:sz w:val="24"/>
          <w:szCs w:val="24"/>
        </w:rPr>
        <w:t>ct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. I feel that this limitation is fair and reasonable 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in order to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 ensure the </w:t>
      </w:r>
      <w:r w:rsidRPr="00374B0D">
        <w:rPr>
          <w:rFonts w:ascii="Times New Roman" w:hAnsi="Times New Roman" w:cs="Times New Roman"/>
          <w:sz w:val="24"/>
          <w:szCs w:val="24"/>
        </w:rPr>
        <w:t>protection of family and children, freedom of movement, and the right to liberty and security of the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 person </w:t>
      </w:r>
      <w:r w:rsidR="00EE41B1" w:rsidRPr="00374B0D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 the wider local community. While I feel that the information that is provided </w:t>
      </w:r>
      <w:r w:rsidRPr="00374B0D">
        <w:rPr>
          <w:rFonts w:ascii="Times New Roman" w:hAnsi="Times New Roman" w:cs="Times New Roman"/>
          <w:sz w:val="24"/>
          <w:szCs w:val="24"/>
        </w:rPr>
        <w:t xml:space="preserve">within the written notice should be direct and should avoid providing </w:t>
      </w:r>
      <w:r w:rsidR="00EE41B1" w:rsidRPr="00374B0D">
        <w:rPr>
          <w:rFonts w:ascii="Times New Roman" w:hAnsi="Times New Roman" w:cs="Times New Roman"/>
          <w:sz w:val="24"/>
          <w:szCs w:val="24"/>
        </w:rPr>
        <w:t>too</w:t>
      </w:r>
      <w:r w:rsidRPr="00374B0D">
        <w:rPr>
          <w:rFonts w:ascii="Times New Roman" w:hAnsi="Times New Roman" w:cs="Times New Roman"/>
          <w:sz w:val="24"/>
          <w:szCs w:val="24"/>
        </w:rPr>
        <w:t xml:space="preserve"> much information that</w:t>
      </w:r>
      <w:r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41B1"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impinges on the rights of the dog owner, I do not believe that the Bill is the place for such direction to the public service. I do urge the Minister to ensure that the rights of the </w:t>
      </w:r>
      <w:r w:rsidR="003E6530"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affected </w:t>
      </w:r>
      <w:r w:rsidR="00EE41B1" w:rsidRPr="00374B0D">
        <w:rPr>
          <w:rFonts w:ascii="Times New Roman" w:hAnsi="Times New Roman" w:cs="Times New Roman"/>
          <w:spacing w:val="-2"/>
          <w:sz w:val="24"/>
          <w:szCs w:val="24"/>
        </w:rPr>
        <w:t>individual are considered when considering</w:t>
      </w:r>
      <w:bookmarkStart w:id="0" w:name="_GoBack"/>
      <w:bookmarkEnd w:id="0"/>
      <w:r w:rsidR="00EE41B1"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F5B3B" w:rsidRPr="00374B0D">
        <w:rPr>
          <w:rFonts w:ascii="Times New Roman" w:hAnsi="Times New Roman" w:cs="Times New Roman"/>
          <w:spacing w:val="-2"/>
          <w:sz w:val="24"/>
          <w:szCs w:val="24"/>
        </w:rPr>
        <w:t>what</w:t>
      </w:r>
      <w:r w:rsidR="00EE41B1"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 information is provided in the notice.</w:t>
      </w:r>
    </w:p>
    <w:p w:rsidR="002F12CF" w:rsidRPr="00374B0D" w:rsidRDefault="00F82011" w:rsidP="002F12C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The Explanatory</w:t>
      </w:r>
      <w:r w:rsidR="00CF5B3B"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S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tatement has been revised to further expand on the human rights cons</w:t>
      </w:r>
      <w:r w:rsidR="00CF5B3B"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id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erations and I will table the amend</w:t>
      </w:r>
      <w:r w:rsidR="00CF5B3B"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ed Explanatory S</w:t>
      </w:r>
      <w:r w:rsidRPr="00374B0D">
        <w:rPr>
          <w:rFonts w:ascii="Times New Roman" w:hAnsi="Times New Roman" w:cs="Times New Roman"/>
          <w:noProof/>
          <w:spacing w:val="-2"/>
          <w:sz w:val="24"/>
          <w:szCs w:val="24"/>
        </w:rPr>
        <w:t>tatement in the Assembly.</w:t>
      </w:r>
      <w:r w:rsidR="00EE41B1" w:rsidRPr="00374B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12CF" w:rsidRPr="00374B0D">
        <w:rPr>
          <w:rFonts w:ascii="Times New Roman" w:hAnsi="Times New Roman" w:cs="Times New Roman"/>
          <w:spacing w:val="-2"/>
          <w:sz w:val="24"/>
          <w:szCs w:val="24"/>
        </w:rPr>
        <w:t>I trust that this explains the situation and addresses the Committee’s concerns.</w:t>
      </w:r>
    </w:p>
    <w:p w:rsidR="002F12CF" w:rsidRDefault="00AD042A" w:rsidP="002F1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</w:t>
      </w:r>
      <w:r w:rsidR="002F12CF" w:rsidRPr="00BC021A">
        <w:rPr>
          <w:rFonts w:ascii="Times New Roman" w:hAnsi="Times New Roman" w:cs="Times New Roman"/>
          <w:sz w:val="24"/>
          <w:szCs w:val="24"/>
        </w:rPr>
        <w:t>incerely</w:t>
      </w:r>
    </w:p>
    <w:p w:rsidR="002F12CF" w:rsidRDefault="002F12CF" w:rsidP="002F1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2CF" w:rsidRPr="00BC021A" w:rsidRDefault="002F12CF" w:rsidP="002F12CF">
      <w:pPr>
        <w:jc w:val="both"/>
        <w:rPr>
          <w:rFonts w:ascii="Times New Roman" w:hAnsi="Times New Roman" w:cs="Times New Roman"/>
          <w:sz w:val="24"/>
          <w:szCs w:val="24"/>
        </w:rPr>
      </w:pPr>
      <w:r w:rsidRPr="00BC021A">
        <w:rPr>
          <w:rFonts w:ascii="Times New Roman" w:hAnsi="Times New Roman" w:cs="Times New Roman"/>
          <w:sz w:val="24"/>
          <w:szCs w:val="24"/>
        </w:rPr>
        <w:t>Nicole Lawder MLA</w:t>
      </w:r>
    </w:p>
    <w:p w:rsidR="00BF2506" w:rsidRPr="00AD042A" w:rsidRDefault="00AD042A" w:rsidP="00AD042A">
      <w:pPr>
        <w:jc w:val="both"/>
        <w:rPr>
          <w:rFonts w:ascii="Times New Roman" w:hAnsi="Times New Roman" w:cs="Times New Roman"/>
          <w:sz w:val="24"/>
          <w:szCs w:val="24"/>
        </w:rPr>
      </w:pPr>
      <w:r w:rsidRPr="00AD042A">
        <w:rPr>
          <w:rFonts w:ascii="Times New Roman" w:hAnsi="Times New Roman" w:cs="Times New Roman"/>
          <w:sz w:val="24"/>
          <w:szCs w:val="24"/>
        </w:rPr>
        <w:t xml:space="preserve">        December 2018</w:t>
      </w:r>
    </w:p>
    <w:sectPr w:rsidR="00BF2506" w:rsidRPr="00AD042A" w:rsidSect="00B872D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36" w:rsidRDefault="00F23936">
      <w:pPr>
        <w:spacing w:before="0" w:after="0" w:line="240" w:lineRule="auto"/>
      </w:pPr>
      <w:r>
        <w:separator/>
      </w:r>
    </w:p>
  </w:endnote>
  <w:endnote w:type="continuationSeparator" w:id="0">
    <w:p w:rsidR="00F23936" w:rsidRDefault="00F239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22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42A" w:rsidRDefault="00B21D56">
        <w:pPr>
          <w:pStyle w:val="Footer"/>
          <w:jc w:val="center"/>
        </w:pPr>
        <w:r>
          <w:fldChar w:fldCharType="begin"/>
        </w:r>
        <w:r w:rsidR="00AD042A">
          <w:instrText xml:space="preserve"> PAGE   \* MERGEFORMAT </w:instrText>
        </w:r>
        <w:r>
          <w:fldChar w:fldCharType="separate"/>
        </w:r>
        <w:r w:rsidR="007D1A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42A" w:rsidRDefault="00AD04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36" w:rsidRDefault="00F23936">
      <w:pPr>
        <w:spacing w:before="0" w:after="0" w:line="240" w:lineRule="auto"/>
      </w:pPr>
      <w:r>
        <w:separator/>
      </w:r>
    </w:p>
  </w:footnote>
  <w:footnote w:type="continuationSeparator" w:id="0">
    <w:p w:rsidR="00F23936" w:rsidRDefault="00F239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2" w:type="dxa"/>
      <w:tblLook w:val="04A0"/>
    </w:tblPr>
    <w:tblGrid>
      <w:gridCol w:w="9702"/>
    </w:tblGrid>
    <w:tr w:rsidR="00FD63CA" w:rsidRPr="007C2197" w:rsidTr="00200EFE">
      <w:trPr>
        <w:trHeight w:val="1412"/>
      </w:trPr>
      <w:tc>
        <w:tcPr>
          <w:tcW w:w="9702" w:type="dxa"/>
          <w:shd w:val="clear" w:color="auto" w:fill="auto"/>
          <w:vAlign w:val="center"/>
        </w:tcPr>
        <w:p w:rsidR="00FD63CA" w:rsidRPr="007C2197" w:rsidRDefault="003D2CB1" w:rsidP="00FD63CA">
          <w:pPr>
            <w:pStyle w:val="Header"/>
            <w:tabs>
              <w:tab w:val="clear" w:pos="4513"/>
              <w:tab w:val="clear" w:pos="9026"/>
              <w:tab w:val="right" w:pos="1418"/>
            </w:tabs>
            <w:ind w:right="175"/>
            <w:jc w:val="center"/>
          </w:pPr>
          <w:r>
            <w:rPr>
              <w:noProof/>
              <w:lang w:eastAsia="en-AU"/>
            </w:rPr>
            <w:drawing>
              <wp:inline distT="0" distB="0" distL="0" distR="0">
                <wp:extent cx="977900" cy="863600"/>
                <wp:effectExtent l="19050" t="0" r="0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63CA" w:rsidRPr="007C2197" w:rsidTr="00200EFE">
      <w:trPr>
        <w:trHeight w:val="224"/>
      </w:trPr>
      <w:tc>
        <w:tcPr>
          <w:tcW w:w="9702" w:type="dxa"/>
          <w:shd w:val="clear" w:color="auto" w:fill="000000"/>
          <w:vAlign w:val="center"/>
        </w:tcPr>
        <w:p w:rsidR="00FD63CA" w:rsidRPr="007C2197" w:rsidRDefault="003D2CB1" w:rsidP="00FD63CA">
          <w:pPr>
            <w:pStyle w:val="Header"/>
            <w:tabs>
              <w:tab w:val="clear" w:pos="4513"/>
              <w:tab w:val="clear" w:pos="9026"/>
              <w:tab w:val="right" w:pos="1418"/>
            </w:tabs>
            <w:ind w:right="175"/>
            <w:jc w:val="center"/>
            <w:rPr>
              <w:color w:val="FFFFFF"/>
            </w:rPr>
          </w:pPr>
          <w:r w:rsidRPr="007C2197">
            <w:rPr>
              <w:b/>
              <w:color w:val="FFFFFF"/>
              <w:sz w:val="32"/>
            </w:rPr>
            <w:t>Nicole Lawder</w:t>
          </w:r>
          <w:r w:rsidRPr="007C2197">
            <w:rPr>
              <w:color w:val="FFFFFF"/>
              <w:sz w:val="32"/>
            </w:rPr>
            <w:t xml:space="preserve"> </w:t>
          </w:r>
          <w:r w:rsidRPr="007C2197">
            <w:rPr>
              <w:color w:val="FFFFFF"/>
            </w:rPr>
            <w:t>MLA</w:t>
          </w:r>
        </w:p>
      </w:tc>
    </w:tr>
    <w:tr w:rsidR="00FD63CA" w:rsidRPr="007C2197" w:rsidTr="00200EFE">
      <w:trPr>
        <w:trHeight w:val="212"/>
      </w:trPr>
      <w:tc>
        <w:tcPr>
          <w:tcW w:w="9702" w:type="dxa"/>
          <w:shd w:val="clear" w:color="auto" w:fill="auto"/>
          <w:vAlign w:val="center"/>
        </w:tcPr>
        <w:p w:rsidR="00FD63CA" w:rsidRPr="007C2197" w:rsidRDefault="007D1A7B" w:rsidP="00FD63CA">
          <w:pPr>
            <w:pStyle w:val="Header"/>
            <w:tabs>
              <w:tab w:val="clear" w:pos="4513"/>
              <w:tab w:val="clear" w:pos="9026"/>
              <w:tab w:val="right" w:pos="1418"/>
            </w:tabs>
            <w:ind w:left="176"/>
            <w:jc w:val="center"/>
            <w:rPr>
              <w:rFonts w:cs="Aharoni"/>
              <w:b/>
              <w:sz w:val="6"/>
            </w:rPr>
          </w:pPr>
        </w:p>
        <w:p w:rsidR="00FD63CA" w:rsidRPr="007C2197" w:rsidRDefault="003D2CB1" w:rsidP="00FD63CA">
          <w:pPr>
            <w:pStyle w:val="Header"/>
            <w:tabs>
              <w:tab w:val="clear" w:pos="4513"/>
              <w:tab w:val="clear" w:pos="9026"/>
              <w:tab w:val="right" w:pos="1418"/>
            </w:tabs>
            <w:ind w:left="176"/>
            <w:jc w:val="center"/>
            <w:rPr>
              <w:rFonts w:cs="Aharoni"/>
              <w:sz w:val="20"/>
            </w:rPr>
          </w:pPr>
          <w:r w:rsidRPr="007C2197">
            <w:rPr>
              <w:rFonts w:cs="Aharoni"/>
              <w:b/>
              <w:sz w:val="20"/>
            </w:rPr>
            <w:t xml:space="preserve">Liberal Member for Brindabella - </w:t>
          </w:r>
          <w:r w:rsidRPr="007C2197">
            <w:rPr>
              <w:b/>
              <w:sz w:val="20"/>
            </w:rPr>
            <w:t>Australian Capital Territory</w:t>
          </w:r>
        </w:p>
        <w:p w:rsidR="00FD63CA" w:rsidRDefault="003D2CB1" w:rsidP="00FD63CA">
          <w:pPr>
            <w:pStyle w:val="Header"/>
            <w:tabs>
              <w:tab w:val="clear" w:pos="4513"/>
              <w:tab w:val="clear" w:pos="9026"/>
              <w:tab w:val="right" w:pos="1418"/>
            </w:tabs>
            <w:ind w:right="175"/>
            <w:jc w:val="center"/>
            <w:rPr>
              <w:rFonts w:cs="Aharoni"/>
              <w:i/>
              <w:sz w:val="20"/>
            </w:rPr>
          </w:pPr>
          <w:r>
            <w:rPr>
              <w:rFonts w:cs="Aharoni"/>
              <w:i/>
              <w:sz w:val="20"/>
            </w:rPr>
            <w:t>Deputy Leader of the Opposition</w:t>
          </w:r>
        </w:p>
        <w:p w:rsidR="00FD63CA" w:rsidRPr="007C2197" w:rsidRDefault="003D2CB1" w:rsidP="00FD63CA">
          <w:pPr>
            <w:pStyle w:val="Header"/>
            <w:tabs>
              <w:tab w:val="clear" w:pos="4513"/>
              <w:tab w:val="clear" w:pos="9026"/>
              <w:tab w:val="right" w:pos="1418"/>
            </w:tabs>
            <w:ind w:right="175"/>
            <w:jc w:val="center"/>
            <w:rPr>
              <w:i/>
            </w:rPr>
          </w:pPr>
          <w:r w:rsidRPr="007C2197">
            <w:rPr>
              <w:rFonts w:cs="Aharoni"/>
              <w:i/>
              <w:sz w:val="20"/>
            </w:rPr>
            <w:t xml:space="preserve">Shadow Minister for </w:t>
          </w:r>
          <w:r>
            <w:rPr>
              <w:rFonts w:cs="Aharoni"/>
              <w:i/>
              <w:sz w:val="20"/>
            </w:rPr>
            <w:t>Urban Services, Seniors and Heritage</w:t>
          </w:r>
        </w:p>
      </w:tc>
    </w:tr>
  </w:tbl>
  <w:p w:rsidR="00FD63CA" w:rsidRDefault="007D1A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sDAxMzI3MDAAsswMDZR0lIJTi4sz8/NACkxqAcC65LosAAAA"/>
  </w:docVars>
  <w:rsids>
    <w:rsidRoot w:val="002F12CF"/>
    <w:rsid w:val="002F12CF"/>
    <w:rsid w:val="00374B0D"/>
    <w:rsid w:val="003D2CB1"/>
    <w:rsid w:val="003E6530"/>
    <w:rsid w:val="006A7B6F"/>
    <w:rsid w:val="007D1A7B"/>
    <w:rsid w:val="0097111F"/>
    <w:rsid w:val="00AD042A"/>
    <w:rsid w:val="00B21D56"/>
    <w:rsid w:val="00B872D8"/>
    <w:rsid w:val="00BF2506"/>
    <w:rsid w:val="00CF5B3B"/>
    <w:rsid w:val="00D870EF"/>
    <w:rsid w:val="00EE41B1"/>
    <w:rsid w:val="00F23936"/>
    <w:rsid w:val="00F82011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CF"/>
    <w:pPr>
      <w:spacing w:before="220" w:after="220" w:line="2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2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CF"/>
  </w:style>
  <w:style w:type="paragraph" w:styleId="BalloonText">
    <w:name w:val="Balloon Text"/>
    <w:basedOn w:val="Normal"/>
    <w:link w:val="BalloonTextChar"/>
    <w:uiPriority w:val="99"/>
    <w:semiHidden/>
    <w:unhideWhenUsed/>
    <w:rsid w:val="00EE41B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B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D042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3108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- Domestic Animals (Dangerous Dogs) Legislation Amendment Bill 2018</dc:title>
  <dc:creator>anne shannon</dc:creator>
  <cp:lastModifiedBy>anne shannon</cp:lastModifiedBy>
  <cp:revision>2</cp:revision>
  <cp:lastPrinted>2018-12-20T03:51:00Z</cp:lastPrinted>
  <dcterms:created xsi:type="dcterms:W3CDTF">2018-12-20T04:02:00Z</dcterms:created>
  <dcterms:modified xsi:type="dcterms:W3CDTF">2018-12-20T04:02:00Z</dcterms:modified>
</cp:coreProperties>
</file>