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4FF71" w14:textId="26965CDD" w:rsidR="00C02510" w:rsidRPr="00C8358A" w:rsidRDefault="00C02510" w:rsidP="00AD25DE">
      <w:pPr>
        <w:pStyle w:val="Cover-Committeename"/>
        <w:ind w:left="1701" w:right="2222"/>
      </w:pPr>
      <w:bookmarkStart w:id="0" w:name="_Toc79133346"/>
      <w:r w:rsidRPr="00C8358A">
        <w:t>Standing Committee on</w:t>
      </w:r>
      <w:r w:rsidR="00FE46F2">
        <w:t xml:space="preserve"> </w:t>
      </w:r>
      <w:r w:rsidR="00AD25DE">
        <w:t>Legal Affairs</w:t>
      </w:r>
      <w:r w:rsidR="00FE46F2">
        <w:t xml:space="preserve"> (Legislative Scrutiny Role)</w:t>
      </w:r>
    </w:p>
    <w:p w14:paraId="6F1D36AD" w14:textId="5C44CB97" w:rsidR="00A23A3E" w:rsidRDefault="00FE46F2" w:rsidP="00E31783">
      <w:pPr>
        <w:pStyle w:val="Title"/>
        <w:tabs>
          <w:tab w:val="left" w:pos="5006"/>
        </w:tabs>
        <w:sectPr w:rsidR="00A23A3E" w:rsidSect="003C3E0B">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r>
        <w:t xml:space="preserve">Scrutiny Report </w:t>
      </w:r>
      <w:r w:rsidR="00EE2DD3">
        <w:t>20</w:t>
      </w:r>
    </w:p>
    <w:p w14:paraId="348D1164" w14:textId="2A8AD5BC" w:rsidR="00A23A3E" w:rsidRDefault="00123781" w:rsidP="009F5A83">
      <w:pPr>
        <w:pStyle w:val="Heading1nonumber"/>
      </w:pPr>
      <w:bookmarkStart w:id="1" w:name="_Toc230939451"/>
      <w:r>
        <w:lastRenderedPageBreak/>
        <w:t>About the</w:t>
      </w:r>
      <w:r w:rsidR="00A23A3E">
        <w:t xml:space="preserve"> committee</w:t>
      </w:r>
      <w:bookmarkEnd w:id="1"/>
    </w:p>
    <w:p w14:paraId="5F0FD841" w14:textId="4E43C4A1" w:rsidR="00123781" w:rsidRDefault="00D23E3A" w:rsidP="00514770">
      <w:pPr>
        <w:pStyle w:val="Heading20"/>
      </w:pPr>
      <w:bookmarkStart w:id="2" w:name="_Toc230939452"/>
      <w:r>
        <w:t>Establishing resolution</w:t>
      </w:r>
      <w:bookmarkEnd w:id="2"/>
    </w:p>
    <w:p w14:paraId="12BE434B" w14:textId="4B7D86E9" w:rsidR="00024F1A" w:rsidRDefault="00123781" w:rsidP="00123781">
      <w:r>
        <w:t xml:space="preserve">The Assembly established </w:t>
      </w:r>
      <w:r w:rsidR="00024F1A">
        <w:t>the</w:t>
      </w:r>
      <w:r>
        <w:t xml:space="preserve"> </w:t>
      </w:r>
      <w:fldSimple w:instr=" STYLEREF  &quot;Cover - Committee name&quot;  \* MERGEFORMAT ">
        <w:r w:rsidR="00BC382C">
          <w:rPr>
            <w:noProof/>
          </w:rPr>
          <w:t>Standing Committee on Legal Affairs (Legislative Scrutiny Role)</w:t>
        </w:r>
      </w:fldSimple>
      <w:r>
        <w:t xml:space="preserve"> on </w:t>
      </w:r>
      <w:r w:rsidR="00221E09">
        <w:t>3</w:t>
      </w:r>
      <w:r w:rsidR="00C31C58">
        <w:t> </w:t>
      </w:r>
      <w:r>
        <w:t>December 202</w:t>
      </w:r>
      <w:r w:rsidR="00221E09">
        <w:t>4</w:t>
      </w:r>
      <w:r>
        <w:t xml:space="preserve">. </w:t>
      </w:r>
    </w:p>
    <w:p w14:paraId="64CBB1EF" w14:textId="06545F2A" w:rsidR="005D0971" w:rsidRDefault="00024F1A" w:rsidP="005D0971">
      <w:pPr>
        <w:spacing w:after="120"/>
      </w:pPr>
      <w:r>
        <w:t>The Committee is responsible for the following areas</w:t>
      </w:r>
      <w:r w:rsidR="005D0971">
        <w:t>:</w:t>
      </w:r>
    </w:p>
    <w:p w14:paraId="016248E4" w14:textId="2AE0B25E" w:rsidR="00FB72F9" w:rsidRPr="00697120" w:rsidRDefault="00587A92" w:rsidP="00FB72F9">
      <w:pPr>
        <w:keepNext/>
        <w:keepLines/>
        <w:tabs>
          <w:tab w:val="left" w:pos="567"/>
        </w:tabs>
        <w:spacing w:before="60" w:after="60"/>
        <w:ind w:left="1134" w:hanging="567"/>
        <w:rPr>
          <w:rFonts w:ascii="Calibri" w:hAnsi="Calibri"/>
        </w:rPr>
      </w:pPr>
      <w:r>
        <w:rPr>
          <w:rFonts w:ascii="Calibri" w:hAnsi="Calibri"/>
        </w:rPr>
        <w:t>“</w:t>
      </w:r>
      <w:r w:rsidR="00FB72F9" w:rsidRPr="00697120">
        <w:rPr>
          <w:rFonts w:ascii="Calibri" w:hAnsi="Calibri"/>
        </w:rPr>
        <w:t>(</w:t>
      </w:r>
      <w:r w:rsidR="00221E09">
        <w:rPr>
          <w:rFonts w:ascii="Calibri" w:hAnsi="Calibri"/>
        </w:rPr>
        <w:t>9</w:t>
      </w:r>
      <w:r w:rsidR="00FB72F9" w:rsidRPr="00697120">
        <w:rPr>
          <w:rFonts w:ascii="Calibri" w:hAnsi="Calibri"/>
        </w:rPr>
        <w:t>)</w:t>
      </w:r>
      <w:r w:rsidR="00FB72F9" w:rsidRPr="00697120">
        <w:rPr>
          <w:rFonts w:ascii="Calibri" w:hAnsi="Calibri"/>
        </w:rPr>
        <w:tab/>
        <w:t xml:space="preserve">the Standing Committee on </w:t>
      </w:r>
      <w:r w:rsidR="00221E09">
        <w:rPr>
          <w:rFonts w:ascii="Calibri" w:hAnsi="Calibri"/>
        </w:rPr>
        <w:t>Legal Affairs</w:t>
      </w:r>
      <w:r w:rsidR="00FB72F9" w:rsidRPr="00697120">
        <w:rPr>
          <w:rFonts w:ascii="Calibri" w:hAnsi="Calibri"/>
        </w:rPr>
        <w:t xml:space="preserve"> is also to perform a</w:t>
      </w:r>
      <w:r w:rsidR="00C57B76">
        <w:rPr>
          <w:rFonts w:ascii="Calibri" w:hAnsi="Calibri"/>
        </w:rPr>
        <w:t> </w:t>
      </w:r>
      <w:r w:rsidR="00FB72F9" w:rsidRPr="00697120">
        <w:rPr>
          <w:rFonts w:ascii="Calibri" w:hAnsi="Calibri"/>
        </w:rPr>
        <w:t>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w:t>
      </w:r>
      <w:proofErr w:type="spellStart"/>
      <w:r w:rsidRPr="00697120">
        <w:rPr>
          <w:rFonts w:ascii="Calibri" w:hAnsi="Calibri"/>
        </w:rPr>
        <w:t>i</w:t>
      </w:r>
      <w:proofErr w:type="spellEnd"/>
      <w:r w:rsidRPr="00697120">
        <w:rPr>
          <w:rFonts w:ascii="Calibri" w:hAnsi="Calibri"/>
        </w:rPr>
        <w:t>)</w:t>
      </w:r>
      <w:r w:rsidRPr="00697120">
        <w:rPr>
          <w:rFonts w:ascii="Calibri" w:hAnsi="Calibri"/>
        </w:rPr>
        <w:tab/>
        <w:t xml:space="preserve">unduly trespass on personal rights and </w:t>
      </w:r>
      <w:proofErr w:type="gramStart"/>
      <w:r w:rsidRPr="00697120">
        <w:rPr>
          <w:rFonts w:ascii="Calibri" w:hAnsi="Calibri"/>
        </w:rPr>
        <w:t>liberties;</w:t>
      </w:r>
      <w:proofErr w:type="gramEnd"/>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 xml:space="preserve">make rights, liberties and/or obligations unduly dependent upon insufficiently defined administrative </w:t>
      </w:r>
      <w:proofErr w:type="gramStart"/>
      <w:r w:rsidRPr="00697120">
        <w:rPr>
          <w:rFonts w:ascii="Calibri" w:hAnsi="Calibri"/>
        </w:rPr>
        <w:t>powers;</w:t>
      </w:r>
      <w:proofErr w:type="gramEnd"/>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 xml:space="preserve">make rights, liberties and/or obligations unduly dependent upon non-reviewable </w:t>
      </w:r>
      <w:proofErr w:type="gramStart"/>
      <w:r w:rsidRPr="00697120">
        <w:rPr>
          <w:rFonts w:ascii="Calibri" w:hAnsi="Calibri"/>
        </w:rPr>
        <w:t>decisions;</w:t>
      </w:r>
      <w:proofErr w:type="gramEnd"/>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 xml:space="preserve">consider whether any explanatory statement associated with legislation meets the technical or stylistic standards expected by the </w:t>
      </w:r>
      <w:proofErr w:type="gramStart"/>
      <w:r w:rsidRPr="00697120">
        <w:rPr>
          <w:rFonts w:ascii="Calibri" w:hAnsi="Calibri"/>
        </w:rPr>
        <w:t>Assembly;</w:t>
      </w:r>
      <w:proofErr w:type="gramEnd"/>
    </w:p>
    <w:p w14:paraId="72B8A819" w14:textId="79B29332"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w:t>
      </w:r>
      <w:r w:rsidR="00221E09">
        <w:rPr>
          <w:rFonts w:ascii="Calibri" w:hAnsi="Calibri"/>
        </w:rPr>
        <w:t xml:space="preserve">and subordinate laws </w:t>
      </w:r>
      <w:r w:rsidRPr="00697120">
        <w:rPr>
          <w:rFonts w:ascii="Calibri" w:hAnsi="Calibri"/>
        </w:rPr>
        <w:t xml:space="preserve">presented to the Assembly pursuant to section 38 of the </w:t>
      </w:r>
      <w:r w:rsidRPr="00697120">
        <w:rPr>
          <w:rFonts w:ascii="Calibri" w:hAnsi="Calibri"/>
          <w:i/>
        </w:rPr>
        <w:t xml:space="preserve">Human Rights Act </w:t>
      </w:r>
      <w:proofErr w:type="gramStart"/>
      <w:r w:rsidRPr="00697120">
        <w:rPr>
          <w:rFonts w:ascii="Calibri" w:hAnsi="Calibri"/>
          <w:i/>
        </w:rPr>
        <w:t>2004</w:t>
      </w:r>
      <w:r w:rsidRPr="00697120">
        <w:rPr>
          <w:rFonts w:ascii="Calibri" w:hAnsi="Calibri"/>
        </w:rPr>
        <w:t>;</w:t>
      </w:r>
      <w:proofErr w:type="gramEnd"/>
      <w:r w:rsidRPr="00697120">
        <w:rPr>
          <w:rFonts w:ascii="Calibri" w:hAnsi="Calibri"/>
        </w:rPr>
        <w:t xml:space="preserve"> </w:t>
      </w:r>
    </w:p>
    <w:p w14:paraId="3115B980" w14:textId="3F7641EA"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w:t>
      </w:r>
      <w:r w:rsidR="00C57B76">
        <w:rPr>
          <w:rFonts w:ascii="Calibri" w:hAnsi="Calibri"/>
        </w:rPr>
        <w:t> </w:t>
      </w:r>
      <w:r w:rsidRPr="00697120">
        <w:rPr>
          <w:rFonts w:ascii="Calibri" w:hAnsi="Calibri"/>
        </w:rPr>
        <w:t>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w:t>
      </w:r>
      <w:proofErr w:type="spellStart"/>
      <w:r w:rsidRPr="00697120">
        <w:rPr>
          <w:rFonts w:ascii="Calibri" w:hAnsi="Calibri"/>
        </w:rPr>
        <w:t>i</w:t>
      </w:r>
      <w:proofErr w:type="spellEnd"/>
      <w:r w:rsidRPr="00697120">
        <w:rPr>
          <w:rFonts w:ascii="Calibri" w:hAnsi="Calibri"/>
        </w:rPr>
        <w:t>)</w:t>
      </w:r>
      <w:r w:rsidRPr="00697120">
        <w:rPr>
          <w:rFonts w:ascii="Calibri" w:hAnsi="Calibri"/>
        </w:rPr>
        <w:tab/>
        <w:t xml:space="preserve">is in accord with the general objects of the Act under which it is </w:t>
      </w:r>
      <w:proofErr w:type="gramStart"/>
      <w:r w:rsidRPr="00697120">
        <w:rPr>
          <w:rFonts w:ascii="Calibri" w:hAnsi="Calibri"/>
        </w:rPr>
        <w:t>made;</w:t>
      </w:r>
      <w:proofErr w:type="gramEnd"/>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 xml:space="preserve">unduly trespasses on rights previously established by </w:t>
      </w:r>
      <w:proofErr w:type="gramStart"/>
      <w:r w:rsidRPr="00697120">
        <w:rPr>
          <w:rFonts w:ascii="Calibri" w:hAnsi="Calibri"/>
        </w:rPr>
        <w:t>law;</w:t>
      </w:r>
      <w:proofErr w:type="gramEnd"/>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4AB0C59B"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r w:rsidR="00587A92">
        <w:rPr>
          <w:rFonts w:ascii="Calibri" w:hAnsi="Calibri"/>
        </w:rPr>
        <w:t>”</w:t>
      </w:r>
      <w:r w:rsidR="00C65340">
        <w:rPr>
          <w:rFonts w:ascii="Calibri" w:hAnsi="Calibri"/>
        </w:rPr>
        <w:t>.</w:t>
      </w:r>
    </w:p>
    <w:p w14:paraId="459E064D" w14:textId="30DCCE44" w:rsidR="007A7A8B" w:rsidRDefault="007A7A8B" w:rsidP="007A7A8B">
      <w:pPr>
        <w:spacing w:before="120"/>
        <w:rPr>
          <w:rStyle w:val="Hyperlink"/>
        </w:rPr>
      </w:pPr>
      <w:r>
        <w:t xml:space="preserve">You can read the full establishing resolution </w:t>
      </w:r>
      <w:hyperlink r:id="rId12" w:history="1">
        <w:r w:rsidRPr="003B5735">
          <w:rPr>
            <w:rStyle w:val="Hyperlink"/>
          </w:rPr>
          <w:t>on our website</w:t>
        </w:r>
      </w:hyperlink>
      <w:r w:rsidRPr="003B5735">
        <w:t>.</w:t>
      </w:r>
      <w:r w:rsidR="00BA149C">
        <w:rPr>
          <w:rStyle w:val="FootnoteReference"/>
        </w:rPr>
        <w:footnoteReference w:id="1"/>
      </w:r>
    </w:p>
    <w:p w14:paraId="15D66793" w14:textId="77777777" w:rsidR="008D102D" w:rsidRDefault="008D102D" w:rsidP="00514770">
      <w:pPr>
        <w:pStyle w:val="Heading20"/>
      </w:pPr>
      <w:bookmarkStart w:id="3" w:name="_Toc148444489"/>
      <w:bookmarkStart w:id="4" w:name="_Toc230939453"/>
      <w:r>
        <w:lastRenderedPageBreak/>
        <w:t>Committee members</w:t>
      </w:r>
      <w:bookmarkEnd w:id="3"/>
      <w:bookmarkEnd w:id="4"/>
    </w:p>
    <w:p w14:paraId="5D504293" w14:textId="57267F1C" w:rsidR="008D102D" w:rsidRDefault="008E5AFB" w:rsidP="008D102D">
      <w:pPr>
        <w:pStyle w:val="List"/>
        <w:keepNext/>
      </w:pPr>
      <w:proofErr w:type="spellStart"/>
      <w:r>
        <w:t>Chiaka</w:t>
      </w:r>
      <w:proofErr w:type="spellEnd"/>
      <w:r>
        <w:t xml:space="preserve"> Barry</w:t>
      </w:r>
      <w:r w:rsidR="008D102D">
        <w:t xml:space="preserve"> MLA, Chair</w:t>
      </w:r>
    </w:p>
    <w:p w14:paraId="6B16E8E0" w14:textId="6963497D" w:rsidR="008D102D" w:rsidRDefault="00C3426A" w:rsidP="008D102D">
      <w:pPr>
        <w:pStyle w:val="List"/>
      </w:pPr>
      <w:r>
        <w:t>Taimus Werner-Gibbings MLA, Deputy Chair</w:t>
      </w:r>
    </w:p>
    <w:p w14:paraId="79F4BEA7" w14:textId="77777777" w:rsidR="008D102D" w:rsidRDefault="008D102D" w:rsidP="00514770">
      <w:pPr>
        <w:pStyle w:val="Heading20"/>
      </w:pPr>
      <w:bookmarkStart w:id="5" w:name="_Toc148444490"/>
      <w:bookmarkStart w:id="6" w:name="_Toc230939454"/>
      <w:r>
        <w:t>Secretariat</w:t>
      </w:r>
      <w:bookmarkEnd w:id="5"/>
      <w:bookmarkEnd w:id="6"/>
    </w:p>
    <w:p w14:paraId="3D42F8B7" w14:textId="77777777" w:rsidR="008D102D" w:rsidRPr="00A23A3E" w:rsidRDefault="008D102D" w:rsidP="008D102D">
      <w:pPr>
        <w:pStyle w:val="List"/>
      </w:pPr>
      <w:r>
        <w:t>Hamish Finlay</w:t>
      </w:r>
      <w:r w:rsidRPr="00A23A3E">
        <w:t>, Committee Secretary</w:t>
      </w:r>
    </w:p>
    <w:p w14:paraId="0563C61F" w14:textId="766767ED" w:rsidR="008D102D" w:rsidRDefault="008D102D" w:rsidP="008D102D">
      <w:pPr>
        <w:pStyle w:val="List"/>
      </w:pPr>
      <w:r>
        <w:t xml:space="preserve">Frieda Scott, </w:t>
      </w:r>
      <w:r w:rsidR="00B46BE9">
        <w:t>Assistant Secretary</w:t>
      </w:r>
    </w:p>
    <w:p w14:paraId="123BA736" w14:textId="3F55A5CE" w:rsidR="00CE02FD" w:rsidRPr="00A23A3E" w:rsidRDefault="00CE02FD" w:rsidP="008D102D">
      <w:pPr>
        <w:pStyle w:val="List"/>
      </w:pPr>
      <w:r>
        <w:t xml:space="preserve">Melissa </w:t>
      </w:r>
      <w:r w:rsidRPr="00CE02FD">
        <w:t>Trpkovski</w:t>
      </w:r>
      <w:r>
        <w:t>, Administration Officer</w:t>
      </w:r>
    </w:p>
    <w:p w14:paraId="2135DBE8" w14:textId="77777777" w:rsidR="008D102D" w:rsidRDefault="008D102D" w:rsidP="008D102D">
      <w:pPr>
        <w:pStyle w:val="List"/>
      </w:pPr>
      <w:r>
        <w:t>Stephen Argument, Legal Adviser (Subordinate Legislation)</w:t>
      </w:r>
    </w:p>
    <w:p w14:paraId="3668809E" w14:textId="2D8E7AFD" w:rsidR="00DE714C" w:rsidRDefault="00DE714C" w:rsidP="008D102D">
      <w:pPr>
        <w:pStyle w:val="List"/>
      </w:pPr>
      <w:r>
        <w:t>Jacinta Dharmananda, Legal Adviser (Bills)</w:t>
      </w:r>
    </w:p>
    <w:p w14:paraId="2A42045C" w14:textId="77777777" w:rsidR="008D102D" w:rsidRDefault="008D102D" w:rsidP="00514770">
      <w:pPr>
        <w:pStyle w:val="Heading20"/>
      </w:pPr>
      <w:bookmarkStart w:id="7" w:name="_Toc148444491"/>
      <w:bookmarkStart w:id="8" w:name="_Toc230939455"/>
      <w:r>
        <w:t>Contact us</w:t>
      </w:r>
      <w:bookmarkEnd w:id="7"/>
      <w:bookmarkEnd w:id="8"/>
    </w:p>
    <w:p w14:paraId="41AE1649" w14:textId="7EB48937" w:rsidR="008D102D" w:rsidRDefault="008D102D" w:rsidP="008D102D">
      <w:pPr>
        <w:ind w:left="1134" w:hanging="1134"/>
      </w:pPr>
      <w:r>
        <w:rPr>
          <w:b/>
          <w:bCs/>
        </w:rPr>
        <w:t>Mail</w:t>
      </w:r>
      <w:r>
        <w:tab/>
      </w:r>
      <w:fldSimple w:instr=" STYLEREF  &quot;Cover - Committee name&quot;  \* MERGEFORMAT ">
        <w:r w:rsidR="00BC382C">
          <w:rPr>
            <w:noProof/>
          </w:rPr>
          <w:t>Standing Committee on Legal Affairs (Legislative Scrutiny Role)</w:t>
        </w:r>
      </w:fldSimple>
      <w:r>
        <w:br/>
        <w:t>Legislative Assembly for the Australian Capital Territory</w:t>
      </w:r>
      <w:r>
        <w:br/>
        <w:t>GPO Box 1020</w:t>
      </w:r>
      <w:r>
        <w:br/>
        <w:t>CANBERRA ACT 2601</w:t>
      </w:r>
    </w:p>
    <w:p w14:paraId="4E99D8B1" w14:textId="77777777" w:rsidR="008D102D" w:rsidRDefault="008D102D" w:rsidP="008D102D">
      <w:pPr>
        <w:ind w:left="1134" w:hanging="1134"/>
      </w:pPr>
      <w:r>
        <w:rPr>
          <w:b/>
          <w:bCs/>
        </w:rPr>
        <w:t>Phone</w:t>
      </w:r>
      <w:r>
        <w:rPr>
          <w:b/>
          <w:bCs/>
        </w:rPr>
        <w:tab/>
      </w:r>
      <w:r>
        <w:t xml:space="preserve">(02) </w:t>
      </w:r>
      <w:r w:rsidRPr="008E750D">
        <w:t>620</w:t>
      </w:r>
      <w:r>
        <w:t>5 0171</w:t>
      </w:r>
    </w:p>
    <w:p w14:paraId="7F1AE6E6" w14:textId="77777777" w:rsidR="008D102D" w:rsidRDefault="008D102D" w:rsidP="008D102D">
      <w:pPr>
        <w:ind w:left="1134" w:hanging="1134"/>
      </w:pPr>
      <w:r>
        <w:rPr>
          <w:b/>
          <w:bCs/>
        </w:rPr>
        <w:t>Email</w:t>
      </w:r>
      <w:r>
        <w:tab/>
      </w:r>
      <w:hyperlink r:id="rId13" w:history="1">
        <w:r w:rsidRPr="008845EF">
          <w:rPr>
            <w:rStyle w:val="Hyperlink"/>
          </w:rPr>
          <w:t>scrutiny@parliament.act.gov.au</w:t>
        </w:r>
      </w:hyperlink>
      <w:r>
        <w:t xml:space="preserve"> </w:t>
      </w:r>
    </w:p>
    <w:p w14:paraId="4618F546" w14:textId="77777777" w:rsidR="008D102D" w:rsidRDefault="008D102D" w:rsidP="008D102D">
      <w:pPr>
        <w:spacing w:line="259" w:lineRule="auto"/>
        <w:ind w:left="1134" w:hanging="1134"/>
      </w:pPr>
      <w:r>
        <w:rPr>
          <w:b/>
          <w:bCs/>
        </w:rPr>
        <w:t>Website</w:t>
      </w:r>
      <w:r>
        <w:rPr>
          <w:b/>
          <w:bCs/>
        </w:rPr>
        <w:tab/>
      </w:r>
      <w:hyperlink r:id="rId14" w:history="1">
        <w:r w:rsidRPr="001D22FC">
          <w:rPr>
            <w:rStyle w:val="Hyperlink"/>
          </w:rPr>
          <w:t>parliament.act.gov.au/parliamentary-business/in-committees</w:t>
        </w:r>
      </w:hyperlink>
    </w:p>
    <w:p w14:paraId="468651AD" w14:textId="77777777" w:rsidR="008D102D" w:rsidRPr="00AF7746" w:rsidRDefault="008D102D" w:rsidP="00514770">
      <w:pPr>
        <w:pStyle w:val="Heading20"/>
      </w:pPr>
      <w:bookmarkStart w:id="9" w:name="_Toc500938172"/>
      <w:bookmarkStart w:id="10" w:name="_Toc500947020"/>
      <w:bookmarkStart w:id="11" w:name="_Toc501547029"/>
      <w:bookmarkStart w:id="12" w:name="_Toc501547384"/>
      <w:bookmarkStart w:id="13" w:name="_Toc505005668"/>
      <w:bookmarkStart w:id="14" w:name="_Toc505153759"/>
      <w:bookmarkStart w:id="15" w:name="_Toc508283427"/>
      <w:bookmarkStart w:id="16" w:name="_Toc510081783"/>
      <w:bookmarkStart w:id="17" w:name="_Toc511812220"/>
      <w:bookmarkStart w:id="18" w:name="_Toc512240158"/>
      <w:bookmarkStart w:id="19" w:name="_Toc513192155"/>
      <w:bookmarkStart w:id="20" w:name="_Toc514832417"/>
      <w:bookmarkStart w:id="21" w:name="_Toc514837962"/>
      <w:bookmarkStart w:id="22" w:name="_Toc514943596"/>
      <w:bookmarkStart w:id="23" w:name="_Toc515352039"/>
      <w:bookmarkStart w:id="24" w:name="_Toc518297248"/>
      <w:bookmarkStart w:id="25" w:name="_Toc519069306"/>
      <w:bookmarkStart w:id="26" w:name="_Toc519069367"/>
      <w:bookmarkStart w:id="27" w:name="_Toc519520734"/>
      <w:bookmarkStart w:id="28" w:name="_Toc520188713"/>
      <w:bookmarkStart w:id="29" w:name="_Toc521054230"/>
      <w:bookmarkStart w:id="30" w:name="_Toc521054317"/>
      <w:bookmarkStart w:id="31" w:name="_Toc521054389"/>
      <w:bookmarkStart w:id="32" w:name="_Toc523753612"/>
      <w:bookmarkStart w:id="33" w:name="_Toc523814161"/>
      <w:bookmarkStart w:id="34" w:name="_Toc523900452"/>
      <w:bookmarkStart w:id="35" w:name="_Toc526855813"/>
      <w:bookmarkStart w:id="36" w:name="_Toc528155839"/>
      <w:bookmarkStart w:id="37" w:name="_Toc528157198"/>
      <w:bookmarkStart w:id="38" w:name="_Toc528310851"/>
      <w:bookmarkStart w:id="39" w:name="_Toc529974530"/>
      <w:bookmarkStart w:id="40" w:name="_Toc530039425"/>
      <w:bookmarkStart w:id="41" w:name="_Toc536527673"/>
      <w:bookmarkStart w:id="42" w:name="_Toc536527836"/>
      <w:bookmarkStart w:id="43" w:name="_Toc536615374"/>
      <w:bookmarkStart w:id="44" w:name="_Toc172152"/>
      <w:bookmarkStart w:id="45" w:name="_Toc506077"/>
      <w:bookmarkStart w:id="46" w:name="_Toc945921"/>
      <w:bookmarkStart w:id="47" w:name="_Toc965811"/>
      <w:bookmarkStart w:id="48" w:name="_Toc2839575"/>
      <w:bookmarkStart w:id="49" w:name="_Toc2850235"/>
      <w:bookmarkStart w:id="50" w:name="_Toc3271212"/>
      <w:bookmarkStart w:id="51" w:name="_Toc4588273"/>
      <w:bookmarkStart w:id="52" w:name="_Toc4652919"/>
      <w:bookmarkStart w:id="53" w:name="_Toc5003661"/>
      <w:bookmarkStart w:id="54" w:name="_Toc6211034"/>
      <w:bookmarkStart w:id="55" w:name="_Toc9499992"/>
      <w:bookmarkStart w:id="56" w:name="_Toc14266114"/>
      <w:bookmarkStart w:id="57" w:name="_Toc14334603"/>
      <w:bookmarkStart w:id="58" w:name="_Toc14775953"/>
      <w:bookmarkStart w:id="59" w:name="_Toc15285031"/>
      <w:bookmarkStart w:id="60" w:name="_Toc15630651"/>
      <w:bookmarkStart w:id="61" w:name="_Toc18415323"/>
      <w:bookmarkStart w:id="62" w:name="_Toc18487691"/>
      <w:bookmarkStart w:id="63" w:name="_Toc19708394"/>
      <w:bookmarkStart w:id="64" w:name="_Toc20131683"/>
      <w:bookmarkStart w:id="65" w:name="_Toc21595441"/>
      <w:bookmarkStart w:id="66" w:name="_Toc22025442"/>
      <w:bookmarkStart w:id="67" w:name="_Toc24463705"/>
      <w:bookmarkStart w:id="68" w:name="_Toc24617702"/>
      <w:bookmarkStart w:id="69" w:name="_Toc25050774"/>
      <w:bookmarkStart w:id="70" w:name="_Toc31202138"/>
      <w:bookmarkStart w:id="71" w:name="_Toc31202259"/>
      <w:bookmarkStart w:id="72" w:name="_Toc32390199"/>
      <w:bookmarkStart w:id="73" w:name="_Toc32566840"/>
      <w:bookmarkStart w:id="74" w:name="_Toc35437930"/>
      <w:bookmarkStart w:id="75" w:name="_Toc38270540"/>
      <w:bookmarkStart w:id="76" w:name="_Toc38362391"/>
      <w:bookmarkStart w:id="77" w:name="_Toc38441872"/>
      <w:bookmarkStart w:id="78" w:name="_Toc38442379"/>
      <w:bookmarkStart w:id="79" w:name="_Toc38976317"/>
      <w:bookmarkStart w:id="80" w:name="_Toc40693088"/>
      <w:bookmarkStart w:id="81" w:name="_Toc40693229"/>
      <w:bookmarkStart w:id="82" w:name="_Toc41570915"/>
      <w:bookmarkStart w:id="83" w:name="_Toc42874997"/>
      <w:bookmarkStart w:id="84" w:name="_Toc44074214"/>
      <w:bookmarkStart w:id="85" w:name="_Toc44317225"/>
      <w:bookmarkStart w:id="86" w:name="_Toc44323928"/>
      <w:bookmarkStart w:id="87" w:name="_Toc80105327"/>
      <w:bookmarkStart w:id="88" w:name="_Toc80347171"/>
      <w:bookmarkStart w:id="89" w:name="_Toc80613167"/>
      <w:bookmarkStart w:id="90" w:name="_Toc80613257"/>
      <w:bookmarkStart w:id="91" w:name="_Toc80701764"/>
      <w:bookmarkStart w:id="92" w:name="_Toc83302219"/>
      <w:bookmarkStart w:id="93" w:name="_Toc83639599"/>
      <w:bookmarkStart w:id="94" w:name="_Toc86229552"/>
      <w:bookmarkStart w:id="95" w:name="_Toc148444492"/>
      <w:bookmarkStart w:id="96" w:name="_Toc230939456"/>
      <w:r w:rsidRPr="00AF7746">
        <w:t>Role of Committee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9F82C1F" w14:textId="77777777" w:rsidR="008D102D" w:rsidRPr="00104A8B" w:rsidRDefault="008D102D" w:rsidP="00A41D49">
      <w:pPr>
        <w:spacing w:before="160"/>
      </w:pPr>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7C256754" w14:textId="4CE93C2D" w:rsidR="008D102D" w:rsidRPr="008D102D" w:rsidRDefault="008D102D" w:rsidP="008D102D">
      <w:pPr>
        <w:spacing w:line="259" w:lineRule="auto"/>
        <w:rPr>
          <w:rStyle w:val="Hyperlink"/>
          <w:color w:val="auto"/>
          <w:u w:val="none"/>
        </w:rPr>
      </w:pPr>
      <w:r>
        <w:br w:type="page"/>
      </w: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3CD36BCE" w14:textId="66D08EA6" w:rsidR="00716E75" w:rsidRDefault="00716E75" w:rsidP="00A622E6">
          <w:pPr>
            <w:pStyle w:val="TOCHeading"/>
            <w:tabs>
              <w:tab w:val="center" w:pos="4513"/>
            </w:tabs>
          </w:pPr>
          <w:r>
            <w:t>Contents</w:t>
          </w:r>
          <w:r w:rsidR="00A622E6">
            <w:tab/>
          </w:r>
        </w:p>
        <w:p w14:paraId="04AD35F6" w14:textId="4702CDA8" w:rsidR="000B0C3C" w:rsidRDefault="00B02BB7">
          <w:pPr>
            <w:pStyle w:val="TOC1"/>
            <w:rPr>
              <w:rFonts w:asciiTheme="minorHAnsi" w:eastAsiaTheme="minorEastAsia" w:hAnsiTheme="minorHAnsi"/>
              <w:b w:val="0"/>
              <w:bCs w:val="0"/>
              <w:color w:val="auto"/>
              <w:w w:val="100"/>
              <w:kern w:val="2"/>
              <w:sz w:val="24"/>
              <w:szCs w:val="24"/>
              <w:lang w:eastAsia="en-AU"/>
              <w14:ligatures w14:val="standardContextual"/>
            </w:rPr>
          </w:pPr>
          <w:r>
            <w:fldChar w:fldCharType="begin"/>
          </w:r>
          <w:r>
            <w:instrText xml:space="preserve"> TOC \o "1-4" \h \z \u </w:instrText>
          </w:r>
          <w:r>
            <w:fldChar w:fldCharType="separate"/>
          </w:r>
          <w:hyperlink w:anchor="_Toc230939451" w:history="1">
            <w:r w:rsidR="000B0C3C" w:rsidRPr="00211C40">
              <w:rPr>
                <w:rStyle w:val="Hyperlink"/>
              </w:rPr>
              <w:t>About the committee</w:t>
            </w:r>
            <w:r w:rsidR="000B0C3C">
              <w:rPr>
                <w:webHidden/>
              </w:rPr>
              <w:tab/>
            </w:r>
            <w:r w:rsidR="000B0C3C">
              <w:rPr>
                <w:webHidden/>
              </w:rPr>
              <w:fldChar w:fldCharType="begin"/>
            </w:r>
            <w:r w:rsidR="000B0C3C">
              <w:rPr>
                <w:webHidden/>
              </w:rPr>
              <w:instrText xml:space="preserve"> PAGEREF _Toc230939451 \h </w:instrText>
            </w:r>
            <w:r w:rsidR="000B0C3C">
              <w:rPr>
                <w:webHidden/>
              </w:rPr>
            </w:r>
            <w:r w:rsidR="000B0C3C">
              <w:rPr>
                <w:webHidden/>
              </w:rPr>
              <w:fldChar w:fldCharType="separate"/>
            </w:r>
            <w:r w:rsidR="00BC382C">
              <w:rPr>
                <w:webHidden/>
              </w:rPr>
              <w:t>i</w:t>
            </w:r>
            <w:r w:rsidR="000B0C3C">
              <w:rPr>
                <w:webHidden/>
              </w:rPr>
              <w:fldChar w:fldCharType="end"/>
            </w:r>
          </w:hyperlink>
        </w:p>
        <w:p w14:paraId="03FBD36C" w14:textId="63B610F0" w:rsidR="000B0C3C" w:rsidRDefault="000B0C3C">
          <w:pPr>
            <w:pStyle w:val="TOC2"/>
            <w:rPr>
              <w:rFonts w:eastAsiaTheme="minorEastAsia" w:cstheme="minorBidi"/>
              <w:kern w:val="2"/>
              <w:sz w:val="24"/>
              <w:szCs w:val="24"/>
              <w:lang w:eastAsia="en-AU"/>
              <w14:ligatures w14:val="standardContextual"/>
            </w:rPr>
          </w:pPr>
          <w:hyperlink w:anchor="_Toc230939452" w:history="1">
            <w:r w:rsidRPr="00211C40">
              <w:rPr>
                <w:rStyle w:val="Hyperlink"/>
              </w:rPr>
              <w:t>Establishing resolution</w:t>
            </w:r>
            <w:r>
              <w:rPr>
                <w:webHidden/>
              </w:rPr>
              <w:tab/>
            </w:r>
            <w:r>
              <w:rPr>
                <w:webHidden/>
              </w:rPr>
              <w:fldChar w:fldCharType="begin"/>
            </w:r>
            <w:r>
              <w:rPr>
                <w:webHidden/>
              </w:rPr>
              <w:instrText xml:space="preserve"> PAGEREF _Toc230939452 \h </w:instrText>
            </w:r>
            <w:r>
              <w:rPr>
                <w:webHidden/>
              </w:rPr>
            </w:r>
            <w:r>
              <w:rPr>
                <w:webHidden/>
              </w:rPr>
              <w:fldChar w:fldCharType="separate"/>
            </w:r>
            <w:r w:rsidR="00BC382C">
              <w:rPr>
                <w:webHidden/>
              </w:rPr>
              <w:t>i</w:t>
            </w:r>
            <w:r>
              <w:rPr>
                <w:webHidden/>
              </w:rPr>
              <w:fldChar w:fldCharType="end"/>
            </w:r>
          </w:hyperlink>
        </w:p>
        <w:p w14:paraId="6EEA7A6C" w14:textId="62D6AA12" w:rsidR="000B0C3C" w:rsidRDefault="000B0C3C">
          <w:pPr>
            <w:pStyle w:val="TOC2"/>
            <w:rPr>
              <w:rFonts w:eastAsiaTheme="minorEastAsia" w:cstheme="minorBidi"/>
              <w:kern w:val="2"/>
              <w:sz w:val="24"/>
              <w:szCs w:val="24"/>
              <w:lang w:eastAsia="en-AU"/>
              <w14:ligatures w14:val="standardContextual"/>
            </w:rPr>
          </w:pPr>
          <w:hyperlink w:anchor="_Toc230939453" w:history="1">
            <w:r w:rsidRPr="00211C40">
              <w:rPr>
                <w:rStyle w:val="Hyperlink"/>
              </w:rPr>
              <w:t>Committee members</w:t>
            </w:r>
            <w:r>
              <w:rPr>
                <w:webHidden/>
              </w:rPr>
              <w:tab/>
            </w:r>
            <w:r>
              <w:rPr>
                <w:webHidden/>
              </w:rPr>
              <w:fldChar w:fldCharType="begin"/>
            </w:r>
            <w:r>
              <w:rPr>
                <w:webHidden/>
              </w:rPr>
              <w:instrText xml:space="preserve"> PAGEREF _Toc230939453 \h </w:instrText>
            </w:r>
            <w:r>
              <w:rPr>
                <w:webHidden/>
              </w:rPr>
            </w:r>
            <w:r>
              <w:rPr>
                <w:webHidden/>
              </w:rPr>
              <w:fldChar w:fldCharType="separate"/>
            </w:r>
            <w:r w:rsidR="00BC382C">
              <w:rPr>
                <w:webHidden/>
              </w:rPr>
              <w:t>ii</w:t>
            </w:r>
            <w:r>
              <w:rPr>
                <w:webHidden/>
              </w:rPr>
              <w:fldChar w:fldCharType="end"/>
            </w:r>
          </w:hyperlink>
        </w:p>
        <w:p w14:paraId="3467772C" w14:textId="2B8DE5CA" w:rsidR="000B0C3C" w:rsidRDefault="000B0C3C">
          <w:pPr>
            <w:pStyle w:val="TOC2"/>
            <w:rPr>
              <w:rFonts w:eastAsiaTheme="minorEastAsia" w:cstheme="minorBidi"/>
              <w:kern w:val="2"/>
              <w:sz w:val="24"/>
              <w:szCs w:val="24"/>
              <w:lang w:eastAsia="en-AU"/>
              <w14:ligatures w14:val="standardContextual"/>
            </w:rPr>
          </w:pPr>
          <w:hyperlink w:anchor="_Toc230939454" w:history="1">
            <w:r w:rsidRPr="00211C40">
              <w:rPr>
                <w:rStyle w:val="Hyperlink"/>
              </w:rPr>
              <w:t>Secretariat</w:t>
            </w:r>
            <w:r>
              <w:rPr>
                <w:webHidden/>
              </w:rPr>
              <w:tab/>
            </w:r>
            <w:r>
              <w:rPr>
                <w:webHidden/>
              </w:rPr>
              <w:fldChar w:fldCharType="begin"/>
            </w:r>
            <w:r>
              <w:rPr>
                <w:webHidden/>
              </w:rPr>
              <w:instrText xml:space="preserve"> PAGEREF _Toc230939454 \h </w:instrText>
            </w:r>
            <w:r>
              <w:rPr>
                <w:webHidden/>
              </w:rPr>
            </w:r>
            <w:r>
              <w:rPr>
                <w:webHidden/>
              </w:rPr>
              <w:fldChar w:fldCharType="separate"/>
            </w:r>
            <w:r w:rsidR="00BC382C">
              <w:rPr>
                <w:webHidden/>
              </w:rPr>
              <w:t>ii</w:t>
            </w:r>
            <w:r>
              <w:rPr>
                <w:webHidden/>
              </w:rPr>
              <w:fldChar w:fldCharType="end"/>
            </w:r>
          </w:hyperlink>
        </w:p>
        <w:p w14:paraId="0053A93B" w14:textId="2E637CEF" w:rsidR="000B0C3C" w:rsidRDefault="000B0C3C">
          <w:pPr>
            <w:pStyle w:val="TOC2"/>
            <w:rPr>
              <w:rFonts w:eastAsiaTheme="minorEastAsia" w:cstheme="minorBidi"/>
              <w:kern w:val="2"/>
              <w:sz w:val="24"/>
              <w:szCs w:val="24"/>
              <w:lang w:eastAsia="en-AU"/>
              <w14:ligatures w14:val="standardContextual"/>
            </w:rPr>
          </w:pPr>
          <w:hyperlink w:anchor="_Toc230939455" w:history="1">
            <w:r w:rsidRPr="00211C40">
              <w:rPr>
                <w:rStyle w:val="Hyperlink"/>
              </w:rPr>
              <w:t>Contact us</w:t>
            </w:r>
            <w:r>
              <w:rPr>
                <w:webHidden/>
              </w:rPr>
              <w:tab/>
            </w:r>
            <w:r>
              <w:rPr>
                <w:webHidden/>
              </w:rPr>
              <w:fldChar w:fldCharType="begin"/>
            </w:r>
            <w:r>
              <w:rPr>
                <w:webHidden/>
              </w:rPr>
              <w:instrText xml:space="preserve"> PAGEREF _Toc230939455 \h </w:instrText>
            </w:r>
            <w:r>
              <w:rPr>
                <w:webHidden/>
              </w:rPr>
            </w:r>
            <w:r>
              <w:rPr>
                <w:webHidden/>
              </w:rPr>
              <w:fldChar w:fldCharType="separate"/>
            </w:r>
            <w:r w:rsidR="00BC382C">
              <w:rPr>
                <w:webHidden/>
              </w:rPr>
              <w:t>ii</w:t>
            </w:r>
            <w:r>
              <w:rPr>
                <w:webHidden/>
              </w:rPr>
              <w:fldChar w:fldCharType="end"/>
            </w:r>
          </w:hyperlink>
        </w:p>
        <w:p w14:paraId="248FF289" w14:textId="163CFA81" w:rsidR="000B0C3C" w:rsidRDefault="000B0C3C">
          <w:pPr>
            <w:pStyle w:val="TOC2"/>
            <w:rPr>
              <w:rFonts w:eastAsiaTheme="minorEastAsia" w:cstheme="minorBidi"/>
              <w:kern w:val="2"/>
              <w:sz w:val="24"/>
              <w:szCs w:val="24"/>
              <w:lang w:eastAsia="en-AU"/>
              <w14:ligatures w14:val="standardContextual"/>
            </w:rPr>
          </w:pPr>
          <w:hyperlink w:anchor="_Toc230939456" w:history="1">
            <w:r w:rsidRPr="00211C40">
              <w:rPr>
                <w:rStyle w:val="Hyperlink"/>
              </w:rPr>
              <w:t>Role of Committee</w:t>
            </w:r>
            <w:r>
              <w:rPr>
                <w:webHidden/>
              </w:rPr>
              <w:tab/>
            </w:r>
            <w:r>
              <w:rPr>
                <w:webHidden/>
              </w:rPr>
              <w:fldChar w:fldCharType="begin"/>
            </w:r>
            <w:r>
              <w:rPr>
                <w:webHidden/>
              </w:rPr>
              <w:instrText xml:space="preserve"> PAGEREF _Toc230939456 \h </w:instrText>
            </w:r>
            <w:r>
              <w:rPr>
                <w:webHidden/>
              </w:rPr>
            </w:r>
            <w:r>
              <w:rPr>
                <w:webHidden/>
              </w:rPr>
              <w:fldChar w:fldCharType="separate"/>
            </w:r>
            <w:r w:rsidR="00BC382C">
              <w:rPr>
                <w:webHidden/>
              </w:rPr>
              <w:t>ii</w:t>
            </w:r>
            <w:r>
              <w:rPr>
                <w:webHidden/>
              </w:rPr>
              <w:fldChar w:fldCharType="end"/>
            </w:r>
          </w:hyperlink>
        </w:p>
        <w:p w14:paraId="41582ACB" w14:textId="38564228" w:rsidR="000B0C3C" w:rsidRDefault="000B0C3C">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0939457" w:history="1">
            <w:r w:rsidRPr="00211C40">
              <w:rPr>
                <w:rStyle w:val="Hyperlink"/>
              </w:rPr>
              <w:t>1.</w:t>
            </w:r>
            <w:r>
              <w:rPr>
                <w:rFonts w:asciiTheme="minorHAnsi" w:eastAsiaTheme="minorEastAsia" w:hAnsiTheme="minorHAnsi"/>
                <w:b w:val="0"/>
                <w:bCs w:val="0"/>
                <w:color w:val="auto"/>
                <w:w w:val="100"/>
                <w:kern w:val="2"/>
                <w:sz w:val="24"/>
                <w:szCs w:val="24"/>
                <w:lang w:eastAsia="en-AU"/>
                <w14:ligatures w14:val="standardContextual"/>
              </w:rPr>
              <w:tab/>
            </w:r>
            <w:r w:rsidRPr="00211C40">
              <w:rPr>
                <w:rStyle w:val="Hyperlink"/>
              </w:rPr>
              <w:t>Bills</w:t>
            </w:r>
            <w:r>
              <w:rPr>
                <w:webHidden/>
              </w:rPr>
              <w:tab/>
            </w:r>
            <w:r>
              <w:rPr>
                <w:webHidden/>
              </w:rPr>
              <w:fldChar w:fldCharType="begin"/>
            </w:r>
            <w:r>
              <w:rPr>
                <w:webHidden/>
              </w:rPr>
              <w:instrText xml:space="preserve"> PAGEREF _Toc230939457 \h </w:instrText>
            </w:r>
            <w:r>
              <w:rPr>
                <w:webHidden/>
              </w:rPr>
            </w:r>
            <w:r>
              <w:rPr>
                <w:webHidden/>
              </w:rPr>
              <w:fldChar w:fldCharType="separate"/>
            </w:r>
            <w:r w:rsidR="00BC382C">
              <w:rPr>
                <w:webHidden/>
              </w:rPr>
              <w:t>1</w:t>
            </w:r>
            <w:r>
              <w:rPr>
                <w:webHidden/>
              </w:rPr>
              <w:fldChar w:fldCharType="end"/>
            </w:r>
          </w:hyperlink>
        </w:p>
        <w:p w14:paraId="6E6E785F" w14:textId="640768BC" w:rsidR="000B0C3C" w:rsidRDefault="000B0C3C">
          <w:pPr>
            <w:pStyle w:val="TOC2"/>
            <w:rPr>
              <w:rFonts w:eastAsiaTheme="minorEastAsia" w:cstheme="minorBidi"/>
              <w:kern w:val="2"/>
              <w:sz w:val="24"/>
              <w:szCs w:val="24"/>
              <w:lang w:eastAsia="en-AU"/>
              <w14:ligatures w14:val="standardContextual"/>
            </w:rPr>
          </w:pPr>
          <w:hyperlink w:anchor="_Toc230939458" w:history="1">
            <w:r w:rsidRPr="00211C40">
              <w:rPr>
                <w:rStyle w:val="Hyperlink"/>
              </w:rPr>
              <w:t>Bills—Comment</w:t>
            </w:r>
            <w:r>
              <w:rPr>
                <w:webHidden/>
              </w:rPr>
              <w:tab/>
            </w:r>
            <w:r>
              <w:rPr>
                <w:webHidden/>
              </w:rPr>
              <w:fldChar w:fldCharType="begin"/>
            </w:r>
            <w:r>
              <w:rPr>
                <w:webHidden/>
              </w:rPr>
              <w:instrText xml:space="preserve"> PAGEREF _Toc230939458 \h </w:instrText>
            </w:r>
            <w:r>
              <w:rPr>
                <w:webHidden/>
              </w:rPr>
            </w:r>
            <w:r>
              <w:rPr>
                <w:webHidden/>
              </w:rPr>
              <w:fldChar w:fldCharType="separate"/>
            </w:r>
            <w:r w:rsidR="00BC382C">
              <w:rPr>
                <w:webHidden/>
              </w:rPr>
              <w:t>1</w:t>
            </w:r>
            <w:r>
              <w:rPr>
                <w:webHidden/>
              </w:rPr>
              <w:fldChar w:fldCharType="end"/>
            </w:r>
          </w:hyperlink>
        </w:p>
        <w:p w14:paraId="1F0CD16B" w14:textId="2DB47581" w:rsidR="000B0C3C" w:rsidRDefault="000B0C3C">
          <w:pPr>
            <w:pStyle w:val="TOC3"/>
            <w:rPr>
              <w:rFonts w:eastAsiaTheme="minorEastAsia"/>
              <w:kern w:val="2"/>
              <w:sz w:val="24"/>
              <w:szCs w:val="24"/>
              <w:lang w:val="en-AU" w:eastAsia="en-AU"/>
              <w14:ligatures w14:val="standardContextual"/>
            </w:rPr>
          </w:pPr>
          <w:hyperlink w:anchor="_Toc230939459" w:history="1">
            <w:r w:rsidRPr="00211C40">
              <w:rPr>
                <w:rStyle w:val="Hyperlink"/>
              </w:rPr>
              <w:t>Crimes (Coercive Control) Amendment Bill 2026</w:t>
            </w:r>
            <w:r>
              <w:rPr>
                <w:webHidden/>
              </w:rPr>
              <w:tab/>
            </w:r>
            <w:r>
              <w:rPr>
                <w:webHidden/>
              </w:rPr>
              <w:fldChar w:fldCharType="begin"/>
            </w:r>
            <w:r>
              <w:rPr>
                <w:webHidden/>
              </w:rPr>
              <w:instrText xml:space="preserve"> PAGEREF _Toc230939459 \h </w:instrText>
            </w:r>
            <w:r>
              <w:rPr>
                <w:webHidden/>
              </w:rPr>
            </w:r>
            <w:r>
              <w:rPr>
                <w:webHidden/>
              </w:rPr>
              <w:fldChar w:fldCharType="separate"/>
            </w:r>
            <w:r w:rsidR="00BC382C">
              <w:rPr>
                <w:webHidden/>
              </w:rPr>
              <w:t>1</w:t>
            </w:r>
            <w:r>
              <w:rPr>
                <w:webHidden/>
              </w:rPr>
              <w:fldChar w:fldCharType="end"/>
            </w:r>
          </w:hyperlink>
        </w:p>
        <w:p w14:paraId="49CAC7EB" w14:textId="213106EF" w:rsidR="000B0C3C" w:rsidRDefault="000B0C3C">
          <w:pPr>
            <w:pStyle w:val="TOC2"/>
            <w:rPr>
              <w:rFonts w:eastAsiaTheme="minorEastAsia" w:cstheme="minorBidi"/>
              <w:kern w:val="2"/>
              <w:sz w:val="24"/>
              <w:szCs w:val="24"/>
              <w:lang w:eastAsia="en-AU"/>
              <w14:ligatures w14:val="standardContextual"/>
            </w:rPr>
          </w:pPr>
          <w:hyperlink w:anchor="_Toc230939460" w:history="1">
            <w:r w:rsidRPr="00211C40">
              <w:rPr>
                <w:rStyle w:val="Hyperlink"/>
              </w:rPr>
              <w:t>Government response—Comment</w:t>
            </w:r>
            <w:r>
              <w:rPr>
                <w:webHidden/>
              </w:rPr>
              <w:tab/>
            </w:r>
            <w:r>
              <w:rPr>
                <w:webHidden/>
              </w:rPr>
              <w:fldChar w:fldCharType="begin"/>
            </w:r>
            <w:r>
              <w:rPr>
                <w:webHidden/>
              </w:rPr>
              <w:instrText xml:space="preserve"> PAGEREF _Toc230939460 \h </w:instrText>
            </w:r>
            <w:r>
              <w:rPr>
                <w:webHidden/>
              </w:rPr>
            </w:r>
            <w:r>
              <w:rPr>
                <w:webHidden/>
              </w:rPr>
              <w:fldChar w:fldCharType="separate"/>
            </w:r>
            <w:r w:rsidR="00BC382C">
              <w:rPr>
                <w:webHidden/>
              </w:rPr>
              <w:t>1</w:t>
            </w:r>
            <w:r>
              <w:rPr>
                <w:webHidden/>
              </w:rPr>
              <w:fldChar w:fldCharType="end"/>
            </w:r>
          </w:hyperlink>
        </w:p>
        <w:p w14:paraId="0364583E" w14:textId="69E009C8" w:rsidR="000B0C3C" w:rsidRDefault="000B0C3C">
          <w:pPr>
            <w:pStyle w:val="TOC3"/>
            <w:rPr>
              <w:rFonts w:eastAsiaTheme="minorEastAsia"/>
              <w:kern w:val="2"/>
              <w:sz w:val="24"/>
              <w:szCs w:val="24"/>
              <w:lang w:val="en-AU" w:eastAsia="en-AU"/>
              <w14:ligatures w14:val="standardContextual"/>
            </w:rPr>
          </w:pPr>
          <w:hyperlink w:anchor="_Toc230939461" w:history="1">
            <w:r w:rsidRPr="00211C40">
              <w:rPr>
                <w:rStyle w:val="Hyperlink"/>
              </w:rPr>
              <w:t>City and Environment Legislation Amendment Bill 2026</w:t>
            </w:r>
            <w:r>
              <w:rPr>
                <w:webHidden/>
              </w:rPr>
              <w:tab/>
            </w:r>
            <w:r>
              <w:rPr>
                <w:webHidden/>
              </w:rPr>
              <w:fldChar w:fldCharType="begin"/>
            </w:r>
            <w:r>
              <w:rPr>
                <w:webHidden/>
              </w:rPr>
              <w:instrText xml:space="preserve"> PAGEREF _Toc230939461 \h </w:instrText>
            </w:r>
            <w:r>
              <w:rPr>
                <w:webHidden/>
              </w:rPr>
            </w:r>
            <w:r>
              <w:rPr>
                <w:webHidden/>
              </w:rPr>
              <w:fldChar w:fldCharType="separate"/>
            </w:r>
            <w:r w:rsidR="00BC382C">
              <w:rPr>
                <w:webHidden/>
              </w:rPr>
              <w:t>1</w:t>
            </w:r>
            <w:r>
              <w:rPr>
                <w:webHidden/>
              </w:rPr>
              <w:fldChar w:fldCharType="end"/>
            </w:r>
          </w:hyperlink>
        </w:p>
        <w:p w14:paraId="3B99FC25" w14:textId="15DE985C" w:rsidR="000B0C3C" w:rsidRDefault="000B0C3C">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0939462" w:history="1">
            <w:r w:rsidRPr="00211C40">
              <w:rPr>
                <w:rStyle w:val="Hyperlink"/>
              </w:rPr>
              <w:t>2.</w:t>
            </w:r>
            <w:r>
              <w:rPr>
                <w:rFonts w:asciiTheme="minorHAnsi" w:eastAsiaTheme="minorEastAsia" w:hAnsiTheme="minorHAnsi"/>
                <w:b w:val="0"/>
                <w:bCs w:val="0"/>
                <w:color w:val="auto"/>
                <w:w w:val="100"/>
                <w:kern w:val="2"/>
                <w:sz w:val="24"/>
                <w:szCs w:val="24"/>
                <w:lang w:eastAsia="en-AU"/>
                <w14:ligatures w14:val="standardContextual"/>
              </w:rPr>
              <w:tab/>
            </w:r>
            <w:r w:rsidRPr="00211C40">
              <w:rPr>
                <w:rStyle w:val="Hyperlink"/>
              </w:rPr>
              <w:t>Subordinate Legislation</w:t>
            </w:r>
            <w:r>
              <w:rPr>
                <w:webHidden/>
              </w:rPr>
              <w:tab/>
            </w:r>
            <w:r>
              <w:rPr>
                <w:webHidden/>
              </w:rPr>
              <w:fldChar w:fldCharType="begin"/>
            </w:r>
            <w:r>
              <w:rPr>
                <w:webHidden/>
              </w:rPr>
              <w:instrText xml:space="preserve"> PAGEREF _Toc230939462 \h </w:instrText>
            </w:r>
            <w:r>
              <w:rPr>
                <w:webHidden/>
              </w:rPr>
            </w:r>
            <w:r>
              <w:rPr>
                <w:webHidden/>
              </w:rPr>
              <w:fldChar w:fldCharType="separate"/>
            </w:r>
            <w:r w:rsidR="00BC382C">
              <w:rPr>
                <w:webHidden/>
              </w:rPr>
              <w:t>2</w:t>
            </w:r>
            <w:r>
              <w:rPr>
                <w:webHidden/>
              </w:rPr>
              <w:fldChar w:fldCharType="end"/>
            </w:r>
          </w:hyperlink>
        </w:p>
        <w:p w14:paraId="1D6AE512" w14:textId="4E3ED5B0" w:rsidR="000B0C3C" w:rsidRDefault="000B0C3C">
          <w:pPr>
            <w:pStyle w:val="TOC2"/>
            <w:rPr>
              <w:rFonts w:eastAsiaTheme="minorEastAsia" w:cstheme="minorBidi"/>
              <w:kern w:val="2"/>
              <w:sz w:val="24"/>
              <w:szCs w:val="24"/>
              <w:lang w:eastAsia="en-AU"/>
              <w14:ligatures w14:val="standardContextual"/>
            </w:rPr>
          </w:pPr>
          <w:hyperlink w:anchor="_Toc230939463" w:history="1">
            <w:r w:rsidRPr="00211C40">
              <w:rPr>
                <w:rStyle w:val="Hyperlink"/>
              </w:rPr>
              <w:t>Disallowable Instruments—No comment</w:t>
            </w:r>
            <w:r>
              <w:rPr>
                <w:webHidden/>
              </w:rPr>
              <w:tab/>
            </w:r>
            <w:r>
              <w:rPr>
                <w:webHidden/>
              </w:rPr>
              <w:fldChar w:fldCharType="begin"/>
            </w:r>
            <w:r>
              <w:rPr>
                <w:webHidden/>
              </w:rPr>
              <w:instrText xml:space="preserve"> PAGEREF _Toc230939463 \h </w:instrText>
            </w:r>
            <w:r>
              <w:rPr>
                <w:webHidden/>
              </w:rPr>
            </w:r>
            <w:r>
              <w:rPr>
                <w:webHidden/>
              </w:rPr>
              <w:fldChar w:fldCharType="separate"/>
            </w:r>
            <w:r w:rsidR="00BC382C">
              <w:rPr>
                <w:webHidden/>
              </w:rPr>
              <w:t>2</w:t>
            </w:r>
            <w:r>
              <w:rPr>
                <w:webHidden/>
              </w:rPr>
              <w:fldChar w:fldCharType="end"/>
            </w:r>
          </w:hyperlink>
        </w:p>
        <w:p w14:paraId="28E29DE9" w14:textId="0AFA7900" w:rsidR="000B0C3C" w:rsidRDefault="000B0C3C">
          <w:pPr>
            <w:pStyle w:val="TOC2"/>
            <w:rPr>
              <w:rFonts w:eastAsiaTheme="minorEastAsia" w:cstheme="minorBidi"/>
              <w:kern w:val="2"/>
              <w:sz w:val="24"/>
              <w:szCs w:val="24"/>
              <w:lang w:eastAsia="en-AU"/>
              <w14:ligatures w14:val="standardContextual"/>
            </w:rPr>
          </w:pPr>
          <w:hyperlink w:anchor="_Toc230939464" w:history="1">
            <w:r w:rsidRPr="00211C40">
              <w:rPr>
                <w:rStyle w:val="Hyperlink"/>
                <w:rFonts w:eastAsia="Times New Roman"/>
              </w:rPr>
              <w:t>Disallowable Instruments</w:t>
            </w:r>
            <w:r w:rsidRPr="00211C40">
              <w:rPr>
                <w:rStyle w:val="Hyperlink"/>
              </w:rPr>
              <w:t>—</w:t>
            </w:r>
            <w:r w:rsidRPr="00211C40">
              <w:rPr>
                <w:rStyle w:val="Hyperlink"/>
                <w:rFonts w:eastAsia="Times New Roman"/>
              </w:rPr>
              <w:t>Comment</w:t>
            </w:r>
            <w:r>
              <w:rPr>
                <w:webHidden/>
              </w:rPr>
              <w:tab/>
            </w:r>
            <w:r>
              <w:rPr>
                <w:webHidden/>
              </w:rPr>
              <w:fldChar w:fldCharType="begin"/>
            </w:r>
            <w:r>
              <w:rPr>
                <w:webHidden/>
              </w:rPr>
              <w:instrText xml:space="preserve"> PAGEREF _Toc230939464 \h </w:instrText>
            </w:r>
            <w:r>
              <w:rPr>
                <w:webHidden/>
              </w:rPr>
            </w:r>
            <w:r>
              <w:rPr>
                <w:webHidden/>
              </w:rPr>
              <w:fldChar w:fldCharType="separate"/>
            </w:r>
            <w:r w:rsidR="00BC382C">
              <w:rPr>
                <w:webHidden/>
              </w:rPr>
              <w:t>3</w:t>
            </w:r>
            <w:r>
              <w:rPr>
                <w:webHidden/>
              </w:rPr>
              <w:fldChar w:fldCharType="end"/>
            </w:r>
          </w:hyperlink>
        </w:p>
        <w:p w14:paraId="4B80BF1A" w14:textId="21DEE6E9" w:rsidR="000B0C3C" w:rsidRDefault="000B0C3C">
          <w:pPr>
            <w:pStyle w:val="TOC2"/>
            <w:rPr>
              <w:rFonts w:eastAsiaTheme="minorEastAsia" w:cstheme="minorBidi"/>
              <w:kern w:val="2"/>
              <w:sz w:val="24"/>
              <w:szCs w:val="24"/>
              <w:lang w:eastAsia="en-AU"/>
              <w14:ligatures w14:val="standardContextual"/>
            </w:rPr>
          </w:pPr>
          <w:hyperlink w:anchor="_Toc230939469" w:history="1">
            <w:r w:rsidRPr="00211C40">
              <w:rPr>
                <w:rStyle w:val="Hyperlink"/>
                <w:rFonts w:eastAsia="Times New Roman"/>
              </w:rPr>
              <w:t>Subordinate Laws—Comment</w:t>
            </w:r>
            <w:r>
              <w:rPr>
                <w:webHidden/>
              </w:rPr>
              <w:tab/>
            </w:r>
            <w:r>
              <w:rPr>
                <w:webHidden/>
              </w:rPr>
              <w:fldChar w:fldCharType="begin"/>
            </w:r>
            <w:r>
              <w:rPr>
                <w:webHidden/>
              </w:rPr>
              <w:instrText xml:space="preserve"> PAGEREF _Toc230939469 \h </w:instrText>
            </w:r>
            <w:r>
              <w:rPr>
                <w:webHidden/>
              </w:rPr>
            </w:r>
            <w:r>
              <w:rPr>
                <w:webHidden/>
              </w:rPr>
              <w:fldChar w:fldCharType="separate"/>
            </w:r>
            <w:r w:rsidR="00BC382C">
              <w:rPr>
                <w:webHidden/>
              </w:rPr>
              <w:t>10</w:t>
            </w:r>
            <w:r>
              <w:rPr>
                <w:webHidden/>
              </w:rPr>
              <w:fldChar w:fldCharType="end"/>
            </w:r>
          </w:hyperlink>
        </w:p>
        <w:p w14:paraId="468D1E59" w14:textId="4F09EE47" w:rsidR="000B0C3C" w:rsidRDefault="000B0C3C">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30939472" w:history="1">
            <w:r w:rsidRPr="00211C40">
              <w:rPr>
                <w:rStyle w:val="Hyperlink"/>
                <w:rFonts w:eastAsia="Calibri"/>
              </w:rPr>
              <w:t>Outstanding responses</w:t>
            </w:r>
            <w:r>
              <w:rPr>
                <w:webHidden/>
              </w:rPr>
              <w:tab/>
            </w:r>
            <w:r>
              <w:rPr>
                <w:webHidden/>
              </w:rPr>
              <w:fldChar w:fldCharType="begin"/>
            </w:r>
            <w:r>
              <w:rPr>
                <w:webHidden/>
              </w:rPr>
              <w:instrText xml:space="preserve"> PAGEREF _Toc230939472 \h </w:instrText>
            </w:r>
            <w:r>
              <w:rPr>
                <w:webHidden/>
              </w:rPr>
            </w:r>
            <w:r>
              <w:rPr>
                <w:webHidden/>
              </w:rPr>
              <w:fldChar w:fldCharType="separate"/>
            </w:r>
            <w:r w:rsidR="00BC382C">
              <w:rPr>
                <w:webHidden/>
              </w:rPr>
              <w:t>15</w:t>
            </w:r>
            <w:r>
              <w:rPr>
                <w:webHidden/>
              </w:rPr>
              <w:fldChar w:fldCharType="end"/>
            </w:r>
          </w:hyperlink>
        </w:p>
        <w:p w14:paraId="2ED2144D" w14:textId="6575573F" w:rsidR="000B0C3C" w:rsidRDefault="000B0C3C">
          <w:pPr>
            <w:pStyle w:val="TOC2"/>
            <w:rPr>
              <w:rFonts w:eastAsiaTheme="minorEastAsia" w:cstheme="minorBidi"/>
              <w:kern w:val="2"/>
              <w:sz w:val="24"/>
              <w:szCs w:val="24"/>
              <w:lang w:eastAsia="en-AU"/>
              <w14:ligatures w14:val="standardContextual"/>
            </w:rPr>
          </w:pPr>
          <w:hyperlink w:anchor="_Toc230939473" w:history="1">
            <w:r w:rsidRPr="00211C40">
              <w:rPr>
                <w:rStyle w:val="Hyperlink"/>
              </w:rPr>
              <w:t>Bills/Subordinate Legislation/National Laws</w:t>
            </w:r>
            <w:r>
              <w:rPr>
                <w:webHidden/>
              </w:rPr>
              <w:tab/>
            </w:r>
            <w:r>
              <w:rPr>
                <w:webHidden/>
              </w:rPr>
              <w:fldChar w:fldCharType="begin"/>
            </w:r>
            <w:r>
              <w:rPr>
                <w:webHidden/>
              </w:rPr>
              <w:instrText xml:space="preserve"> PAGEREF _Toc230939473 \h </w:instrText>
            </w:r>
            <w:r>
              <w:rPr>
                <w:webHidden/>
              </w:rPr>
            </w:r>
            <w:r>
              <w:rPr>
                <w:webHidden/>
              </w:rPr>
              <w:fldChar w:fldCharType="separate"/>
            </w:r>
            <w:r w:rsidR="00BC382C">
              <w:rPr>
                <w:webHidden/>
              </w:rPr>
              <w:t>15</w:t>
            </w:r>
            <w:r>
              <w:rPr>
                <w:webHidden/>
              </w:rPr>
              <w:fldChar w:fldCharType="end"/>
            </w:r>
          </w:hyperlink>
        </w:p>
        <w:p w14:paraId="4C618AE4" w14:textId="75409ABD" w:rsidR="000B0C3C" w:rsidRDefault="000B0C3C">
          <w:pPr>
            <w:pStyle w:val="TOC3"/>
            <w:rPr>
              <w:rFonts w:eastAsiaTheme="minorEastAsia"/>
              <w:kern w:val="2"/>
              <w:sz w:val="24"/>
              <w:szCs w:val="24"/>
              <w:lang w:val="en-AU" w:eastAsia="en-AU"/>
              <w14:ligatures w14:val="standardContextual"/>
            </w:rPr>
          </w:pPr>
          <w:hyperlink w:anchor="_Toc230939474" w:history="1">
            <w:r w:rsidRPr="00211C40">
              <w:rPr>
                <w:rStyle w:val="Hyperlink"/>
              </w:rPr>
              <w:t>Report 14, dated 27 January 2026</w:t>
            </w:r>
            <w:r>
              <w:rPr>
                <w:webHidden/>
              </w:rPr>
              <w:tab/>
            </w:r>
            <w:r>
              <w:rPr>
                <w:webHidden/>
              </w:rPr>
              <w:fldChar w:fldCharType="begin"/>
            </w:r>
            <w:r>
              <w:rPr>
                <w:webHidden/>
              </w:rPr>
              <w:instrText xml:space="preserve"> PAGEREF _Toc230939474 \h </w:instrText>
            </w:r>
            <w:r>
              <w:rPr>
                <w:webHidden/>
              </w:rPr>
            </w:r>
            <w:r>
              <w:rPr>
                <w:webHidden/>
              </w:rPr>
              <w:fldChar w:fldCharType="separate"/>
            </w:r>
            <w:r w:rsidR="00BC382C">
              <w:rPr>
                <w:webHidden/>
              </w:rPr>
              <w:t>15</w:t>
            </w:r>
            <w:r>
              <w:rPr>
                <w:webHidden/>
              </w:rPr>
              <w:fldChar w:fldCharType="end"/>
            </w:r>
          </w:hyperlink>
        </w:p>
        <w:p w14:paraId="656A3563" w14:textId="41633412" w:rsidR="000B0C3C" w:rsidRDefault="000B0C3C">
          <w:pPr>
            <w:pStyle w:val="TOC3"/>
            <w:rPr>
              <w:rFonts w:eastAsiaTheme="minorEastAsia"/>
              <w:kern w:val="2"/>
              <w:sz w:val="24"/>
              <w:szCs w:val="24"/>
              <w:lang w:val="en-AU" w:eastAsia="en-AU"/>
              <w14:ligatures w14:val="standardContextual"/>
            </w:rPr>
          </w:pPr>
          <w:hyperlink w:anchor="_Toc230939476" w:history="1">
            <w:r w:rsidRPr="00211C40">
              <w:rPr>
                <w:rStyle w:val="Hyperlink"/>
              </w:rPr>
              <w:t>Report 15, dated 17 February 2026</w:t>
            </w:r>
            <w:r>
              <w:rPr>
                <w:webHidden/>
              </w:rPr>
              <w:tab/>
            </w:r>
            <w:r>
              <w:rPr>
                <w:webHidden/>
              </w:rPr>
              <w:fldChar w:fldCharType="begin"/>
            </w:r>
            <w:r>
              <w:rPr>
                <w:webHidden/>
              </w:rPr>
              <w:instrText xml:space="preserve"> PAGEREF _Toc230939476 \h </w:instrText>
            </w:r>
            <w:r>
              <w:rPr>
                <w:webHidden/>
              </w:rPr>
            </w:r>
            <w:r>
              <w:rPr>
                <w:webHidden/>
              </w:rPr>
              <w:fldChar w:fldCharType="separate"/>
            </w:r>
            <w:r w:rsidR="00BC382C">
              <w:rPr>
                <w:webHidden/>
              </w:rPr>
              <w:t>15</w:t>
            </w:r>
            <w:r>
              <w:rPr>
                <w:webHidden/>
              </w:rPr>
              <w:fldChar w:fldCharType="end"/>
            </w:r>
          </w:hyperlink>
        </w:p>
        <w:p w14:paraId="2A0E4314" w14:textId="1BE2CCAB" w:rsidR="000B0C3C" w:rsidRDefault="000B0C3C">
          <w:pPr>
            <w:pStyle w:val="TOC3"/>
            <w:rPr>
              <w:rFonts w:eastAsiaTheme="minorEastAsia"/>
              <w:kern w:val="2"/>
              <w:sz w:val="24"/>
              <w:szCs w:val="24"/>
              <w:lang w:val="en-AU" w:eastAsia="en-AU"/>
              <w14:ligatures w14:val="standardContextual"/>
            </w:rPr>
          </w:pPr>
          <w:hyperlink w:anchor="_Toc230939478" w:history="1">
            <w:r w:rsidRPr="00211C40">
              <w:rPr>
                <w:rStyle w:val="Hyperlink"/>
              </w:rPr>
              <w:t>Report 16, dated 10 March 2026</w:t>
            </w:r>
            <w:r>
              <w:rPr>
                <w:webHidden/>
              </w:rPr>
              <w:tab/>
            </w:r>
            <w:r>
              <w:rPr>
                <w:webHidden/>
              </w:rPr>
              <w:fldChar w:fldCharType="begin"/>
            </w:r>
            <w:r>
              <w:rPr>
                <w:webHidden/>
              </w:rPr>
              <w:instrText xml:space="preserve"> PAGEREF _Toc230939478 \h </w:instrText>
            </w:r>
            <w:r>
              <w:rPr>
                <w:webHidden/>
              </w:rPr>
            </w:r>
            <w:r>
              <w:rPr>
                <w:webHidden/>
              </w:rPr>
              <w:fldChar w:fldCharType="separate"/>
            </w:r>
            <w:r w:rsidR="00BC382C">
              <w:rPr>
                <w:webHidden/>
              </w:rPr>
              <w:t>15</w:t>
            </w:r>
            <w:r>
              <w:rPr>
                <w:webHidden/>
              </w:rPr>
              <w:fldChar w:fldCharType="end"/>
            </w:r>
          </w:hyperlink>
        </w:p>
        <w:p w14:paraId="537BAFF0" w14:textId="32357093" w:rsidR="000B0C3C" w:rsidRDefault="000B0C3C">
          <w:pPr>
            <w:pStyle w:val="TOC3"/>
            <w:rPr>
              <w:rFonts w:eastAsiaTheme="minorEastAsia"/>
              <w:kern w:val="2"/>
              <w:sz w:val="24"/>
              <w:szCs w:val="24"/>
              <w:lang w:val="en-AU" w:eastAsia="en-AU"/>
              <w14:ligatures w14:val="standardContextual"/>
            </w:rPr>
          </w:pPr>
          <w:hyperlink w:anchor="_Toc230939480" w:history="1">
            <w:r w:rsidRPr="00211C40">
              <w:rPr>
                <w:rStyle w:val="Hyperlink"/>
              </w:rPr>
              <w:t>Report 18, dated 28 April 2026</w:t>
            </w:r>
            <w:r>
              <w:rPr>
                <w:webHidden/>
              </w:rPr>
              <w:tab/>
            </w:r>
            <w:r>
              <w:rPr>
                <w:webHidden/>
              </w:rPr>
              <w:fldChar w:fldCharType="begin"/>
            </w:r>
            <w:r>
              <w:rPr>
                <w:webHidden/>
              </w:rPr>
              <w:instrText xml:space="preserve"> PAGEREF _Toc230939480 \h </w:instrText>
            </w:r>
            <w:r>
              <w:rPr>
                <w:webHidden/>
              </w:rPr>
            </w:r>
            <w:r>
              <w:rPr>
                <w:webHidden/>
              </w:rPr>
              <w:fldChar w:fldCharType="separate"/>
            </w:r>
            <w:r w:rsidR="00BC382C">
              <w:rPr>
                <w:webHidden/>
              </w:rPr>
              <w:t>15</w:t>
            </w:r>
            <w:r>
              <w:rPr>
                <w:webHidden/>
              </w:rPr>
              <w:fldChar w:fldCharType="end"/>
            </w:r>
          </w:hyperlink>
        </w:p>
        <w:p w14:paraId="284A5EAA" w14:textId="1174043A" w:rsidR="000B0C3C" w:rsidRDefault="000B0C3C">
          <w:pPr>
            <w:pStyle w:val="TOC3"/>
            <w:rPr>
              <w:rFonts w:eastAsiaTheme="minorEastAsia"/>
              <w:kern w:val="2"/>
              <w:sz w:val="24"/>
              <w:szCs w:val="24"/>
              <w:lang w:val="en-AU" w:eastAsia="en-AU"/>
              <w14:ligatures w14:val="standardContextual"/>
            </w:rPr>
          </w:pPr>
          <w:hyperlink w:anchor="_Toc230939482" w:history="1">
            <w:r w:rsidRPr="00211C40">
              <w:rPr>
                <w:rStyle w:val="Hyperlink"/>
              </w:rPr>
              <w:t>Report 19, dated 19 May 2026</w:t>
            </w:r>
            <w:r>
              <w:rPr>
                <w:webHidden/>
              </w:rPr>
              <w:tab/>
            </w:r>
            <w:r>
              <w:rPr>
                <w:webHidden/>
              </w:rPr>
              <w:fldChar w:fldCharType="begin"/>
            </w:r>
            <w:r>
              <w:rPr>
                <w:webHidden/>
              </w:rPr>
              <w:instrText xml:space="preserve"> PAGEREF _Toc230939482 \h </w:instrText>
            </w:r>
            <w:r>
              <w:rPr>
                <w:webHidden/>
              </w:rPr>
            </w:r>
            <w:r>
              <w:rPr>
                <w:webHidden/>
              </w:rPr>
              <w:fldChar w:fldCharType="separate"/>
            </w:r>
            <w:r w:rsidR="00BC382C">
              <w:rPr>
                <w:webHidden/>
              </w:rPr>
              <w:t>15</w:t>
            </w:r>
            <w:r>
              <w:rPr>
                <w:webHidden/>
              </w:rPr>
              <w:fldChar w:fldCharType="end"/>
            </w:r>
          </w:hyperlink>
        </w:p>
        <w:p w14:paraId="3D31C645" w14:textId="4FDEC5C9" w:rsidR="009F5A83" w:rsidRPr="0057740E" w:rsidRDefault="00B02BB7" w:rsidP="0057740E">
          <w:r>
            <w:rPr>
              <w:rFonts w:ascii="Montserrat" w:hAnsi="Montserrat"/>
              <w:noProof/>
              <w:color w:val="2F5496"/>
              <w:w w:val="90"/>
              <w:sz w:val="23"/>
            </w:rPr>
            <w:fldChar w:fldCharType="end"/>
          </w:r>
        </w:p>
      </w:sdtContent>
    </w:sdt>
    <w:bookmarkEnd w:id="0" w:displacedByCustomXml="prev"/>
    <w:bookmarkStart w:id="97" w:name="_Hlk79475490" w:displacedByCustomXml="prev"/>
    <w:bookmarkStart w:id="98" w:name="_Toc79133347" w:displacedByCustomXml="prev"/>
    <w:p w14:paraId="0DA4981F" w14:textId="77777777" w:rsidR="00B7541C" w:rsidRDefault="00B7541C" w:rsidP="00B7541C"/>
    <w:p w14:paraId="505B3C38" w14:textId="77777777" w:rsidR="00E724C8" w:rsidRPr="00E724C8" w:rsidRDefault="00E724C8" w:rsidP="00E724C8"/>
    <w:p w14:paraId="4ED3CB6B" w14:textId="77777777" w:rsidR="00E724C8" w:rsidRPr="00E724C8" w:rsidRDefault="00E724C8" w:rsidP="00E724C8"/>
    <w:p w14:paraId="0EC40713" w14:textId="57D4FA8E" w:rsidR="00E724C8" w:rsidRDefault="00276284" w:rsidP="00276284">
      <w:pPr>
        <w:tabs>
          <w:tab w:val="left" w:pos="3405"/>
        </w:tabs>
      </w:pPr>
      <w:r>
        <w:tab/>
      </w:r>
    </w:p>
    <w:p w14:paraId="344C4F63" w14:textId="64CA60AB" w:rsidR="00E724C8" w:rsidRPr="00E724C8" w:rsidRDefault="00E724C8" w:rsidP="00E724C8">
      <w:pPr>
        <w:tabs>
          <w:tab w:val="center" w:pos="4513"/>
        </w:tabs>
        <w:sectPr w:rsidR="00E724C8" w:rsidRPr="00E724C8" w:rsidSect="003C3E0B">
          <w:footerReference w:type="default" r:id="rId15"/>
          <w:pgSz w:w="11906" w:h="16838"/>
          <w:pgMar w:top="1288" w:right="1440" w:bottom="1440" w:left="1440" w:header="708" w:footer="708" w:gutter="0"/>
          <w:pgNumType w:fmt="lowerRoman" w:start="1"/>
          <w:cols w:space="708"/>
          <w:docGrid w:linePitch="360"/>
        </w:sectPr>
      </w:pPr>
      <w:r>
        <w:tab/>
      </w:r>
    </w:p>
    <w:p w14:paraId="7EE9116A" w14:textId="15189760" w:rsidR="009F3FB5" w:rsidRDefault="007A58DB" w:rsidP="00746850">
      <w:pPr>
        <w:pStyle w:val="Heading1"/>
        <w:numPr>
          <w:ilvl w:val="0"/>
          <w:numId w:val="4"/>
        </w:numPr>
        <w:ind w:left="426" w:hanging="426"/>
      </w:pPr>
      <w:bookmarkStart w:id="99" w:name="_Toc108788084"/>
      <w:bookmarkStart w:id="100" w:name="_Toc196313907"/>
      <w:bookmarkStart w:id="101" w:name="_Toc207975641"/>
      <w:bookmarkStart w:id="102" w:name="_Toc230939457"/>
      <w:bookmarkStart w:id="103" w:name="_Hlk159184171"/>
      <w:bookmarkStart w:id="104" w:name="_Hlk150688924"/>
      <w:bookmarkEnd w:id="98"/>
      <w:bookmarkEnd w:id="97"/>
      <w:r>
        <w:lastRenderedPageBreak/>
        <w:t>Bills</w:t>
      </w:r>
      <w:bookmarkEnd w:id="99"/>
      <w:bookmarkEnd w:id="100"/>
      <w:bookmarkEnd w:id="101"/>
      <w:bookmarkEnd w:id="102"/>
    </w:p>
    <w:p w14:paraId="57176F79" w14:textId="79D33954" w:rsidR="0016238D" w:rsidRDefault="0016238D" w:rsidP="00514770">
      <w:pPr>
        <w:pStyle w:val="Heading20"/>
      </w:pPr>
      <w:bookmarkStart w:id="105" w:name="_Toc230939458"/>
      <w:r w:rsidRPr="00D8444D">
        <w:t>Bills</w:t>
      </w:r>
      <w:r w:rsidR="006339E6">
        <w:t>—</w:t>
      </w:r>
      <w:r w:rsidRPr="00D8444D">
        <w:t>Comment</w:t>
      </w:r>
      <w:bookmarkEnd w:id="105"/>
    </w:p>
    <w:p w14:paraId="3C9CBED1" w14:textId="6E051AC8" w:rsidR="000C793E" w:rsidRDefault="000C793E" w:rsidP="00514770">
      <w:pPr>
        <w:pStyle w:val="Heading3"/>
      </w:pPr>
      <w:bookmarkStart w:id="106" w:name="_Toc230939459"/>
      <w:r>
        <w:t>Crimes (Coercive Control) Amendment Bill 2026</w:t>
      </w:r>
      <w:bookmarkEnd w:id="106"/>
    </w:p>
    <w:p w14:paraId="761062E4" w14:textId="52980135" w:rsidR="000C793E" w:rsidRDefault="000C793E" w:rsidP="000C793E">
      <w:pPr>
        <w:pStyle w:val="ListNumber2"/>
        <w:spacing w:after="0"/>
        <w:ind w:left="851" w:hanging="851"/>
      </w:pPr>
      <w:r>
        <w:t>1.1</w:t>
      </w:r>
      <w:r>
        <w:tab/>
      </w:r>
      <w:r w:rsidRPr="00F519B8">
        <w:rPr>
          <w:spacing w:val="-4"/>
        </w:rPr>
        <w:t xml:space="preserve">The Committee notes that </w:t>
      </w:r>
      <w:r w:rsidR="00F519B8" w:rsidRPr="00F519B8">
        <w:rPr>
          <w:spacing w:val="-4"/>
        </w:rPr>
        <w:t xml:space="preserve">the </w:t>
      </w:r>
      <w:r w:rsidRPr="00F519B8">
        <w:rPr>
          <w:spacing w:val="-4"/>
        </w:rPr>
        <w:t xml:space="preserve">Crimes (Coercive Control) Amendment Bill 2026 was presented </w:t>
      </w:r>
      <w:r w:rsidRPr="00F519B8">
        <w:t>to the Assembly on 28 May 2026, which was not in time for the Committee to scrutinise for this report. Th</w:t>
      </w:r>
      <w:r w:rsidR="00F519B8">
        <w:t>is</w:t>
      </w:r>
      <w:r w:rsidRPr="00F519B8">
        <w:t xml:space="preserve"> Bill will be the subject of scrutiny in the Committee’s next report</w:t>
      </w:r>
      <w:r w:rsidRPr="00F519B8">
        <w:rPr>
          <w:spacing w:val="-4"/>
        </w:rPr>
        <w:t>.</w:t>
      </w:r>
    </w:p>
    <w:p w14:paraId="6DAEC195" w14:textId="16429FA9" w:rsidR="000C793E" w:rsidRDefault="000C793E" w:rsidP="00514770">
      <w:pPr>
        <w:pStyle w:val="Heading20"/>
      </w:pPr>
      <w:bookmarkStart w:id="107" w:name="_Toc230939460"/>
      <w:r>
        <w:t>Government response—</w:t>
      </w:r>
      <w:r w:rsidRPr="00D8444D">
        <w:t>Comment</w:t>
      </w:r>
      <w:bookmarkEnd w:id="107"/>
    </w:p>
    <w:p w14:paraId="3F48F257" w14:textId="622FAAAD" w:rsidR="000C793E" w:rsidRDefault="000C793E" w:rsidP="00514770">
      <w:pPr>
        <w:pStyle w:val="Heading3"/>
      </w:pPr>
      <w:bookmarkStart w:id="108" w:name="_Toc230939461"/>
      <w:r>
        <w:t>City and Environment Legislation Amendment Bill 2026</w:t>
      </w:r>
      <w:bookmarkEnd w:id="108"/>
    </w:p>
    <w:p w14:paraId="64455B9A" w14:textId="52AC7EB4" w:rsidR="000C793E" w:rsidRDefault="000C793E" w:rsidP="00514770">
      <w:pPr>
        <w:pStyle w:val="ListNumber2"/>
        <w:spacing w:after="0"/>
        <w:ind w:left="851" w:hanging="851"/>
      </w:pPr>
      <w:r>
        <w:t>1.2</w:t>
      </w:r>
      <w:r>
        <w:tab/>
        <w:t xml:space="preserve">The Committee has received a letter from the Minister for City and Government Services dated 21 May 2026 in relation to comments made by the Committee in </w:t>
      </w:r>
      <w:r w:rsidRPr="000C793E">
        <w:rPr>
          <w:i/>
          <w:iCs/>
        </w:rPr>
        <w:t>Scrutiny Report 18</w:t>
      </w:r>
      <w:r>
        <w:t xml:space="preserve"> (April 2026) about the City and Environment Legislation Amendment Bill 2026. The Committee had requested the attention of the Minister in relation to two matters. </w:t>
      </w:r>
    </w:p>
    <w:p w14:paraId="53D80121" w14:textId="2C787B61" w:rsidR="000C793E" w:rsidRDefault="000C793E" w:rsidP="000C793E">
      <w:pPr>
        <w:pStyle w:val="ListNumber2"/>
        <w:spacing w:before="120" w:after="0"/>
        <w:ind w:left="851" w:hanging="851"/>
      </w:pPr>
      <w:r>
        <w:t>1.3</w:t>
      </w:r>
      <w:r>
        <w:tab/>
        <w:t xml:space="preserve">The first was to request the Minister to address the impact of the removal of the mistake of fact defence under the </w:t>
      </w:r>
      <w:r w:rsidRPr="000C793E">
        <w:rPr>
          <w:i/>
          <w:iCs/>
        </w:rPr>
        <w:t>Heavy Vehicle National Law (ACT) Act 2013</w:t>
      </w:r>
      <w:r>
        <w:t xml:space="preserve"> (“HVNL ACT Act”) (clause 12 and 13) on an individual’s rights in criminal proceedings. The second was to request the Minister to explain how the amendment made by clause 13 of the Bill to the penalty calculation in section 6 of the </w:t>
      </w:r>
      <w:r w:rsidRPr="000C793E">
        <w:rPr>
          <w:i/>
          <w:iCs/>
        </w:rPr>
        <w:t>Road Transport (Offences) Regulation 2005</w:t>
      </w:r>
      <w:r>
        <w:t xml:space="preserve"> (“the Regulation”) allows for technological advances in traffic offence detection (as asserted by the explanatory statement to the Bill).</w:t>
      </w:r>
    </w:p>
    <w:p w14:paraId="20B03531" w14:textId="03D37A14" w:rsidR="000C793E" w:rsidRDefault="000C793E" w:rsidP="000C793E">
      <w:pPr>
        <w:pStyle w:val="ListNumber2"/>
        <w:spacing w:before="120" w:after="0"/>
        <w:ind w:left="851" w:hanging="851"/>
      </w:pPr>
      <w:r>
        <w:t>1.4</w:t>
      </w:r>
      <w:r>
        <w:tab/>
      </w:r>
      <w:r w:rsidRPr="000C793E">
        <w:rPr>
          <w:spacing w:val="-4"/>
        </w:rPr>
        <w:t xml:space="preserve">In relation to the first matter, the Minister has explained how the amendment has no practical </w:t>
      </w:r>
      <w:r w:rsidRPr="000C793E">
        <w:t xml:space="preserve">effect on an offence under the HVNL ACT </w:t>
      </w:r>
      <w:proofErr w:type="spellStart"/>
      <w:r w:rsidRPr="000C793E">
        <w:t>Act</w:t>
      </w:r>
      <w:proofErr w:type="spellEnd"/>
      <w:r w:rsidRPr="000C793E">
        <w:t xml:space="preserve"> as it removes the prohibition on using the mistake of fact defence for a repealed provision. Section 21 of the HVNL ACT </w:t>
      </w:r>
      <w:proofErr w:type="spellStart"/>
      <w:r w:rsidRPr="000C793E">
        <w:t>Act</w:t>
      </w:r>
      <w:proofErr w:type="spellEnd"/>
      <w:r w:rsidRPr="000C793E">
        <w:t xml:space="preserve"> contained a reference to a section of the Heavy Vehicle National Law that was repealed in 2016. </w:t>
      </w:r>
    </w:p>
    <w:p w14:paraId="22F5695A" w14:textId="1D99C506" w:rsidR="000C793E" w:rsidRDefault="000C793E" w:rsidP="000C793E">
      <w:pPr>
        <w:pStyle w:val="ListNumber2"/>
        <w:spacing w:before="120" w:after="0"/>
        <w:ind w:left="851" w:hanging="851"/>
      </w:pPr>
      <w:r>
        <w:t>1.5</w:t>
      </w:r>
      <w:r>
        <w:tab/>
        <w:t>Consequently, although not expressly stated by the Minister, the implication from the explanation is that the amendment has no impact on an individual’s rights in criminal proceedings. As the revised statement explains:</w:t>
      </w:r>
    </w:p>
    <w:p w14:paraId="3BD75F49" w14:textId="1452DD6E" w:rsidR="000C793E" w:rsidRDefault="000C793E" w:rsidP="000C793E">
      <w:pPr>
        <w:pStyle w:val="Quote"/>
        <w:spacing w:before="120" w:after="0"/>
      </w:pPr>
      <w:r>
        <w:t xml:space="preserve">To clarify, the bill does not remove the mistake of fact defence for an offence under the HVNL ACT </w:t>
      </w:r>
      <w:proofErr w:type="spellStart"/>
      <w:r>
        <w:t>Act</w:t>
      </w:r>
      <w:proofErr w:type="spellEnd"/>
      <w:r>
        <w:t>; rather it removes the prohibition on using the mistake of fact defence for a repealed section of the Act and thus has no practical effect and only serves to tidy the statute book.</w:t>
      </w:r>
    </w:p>
    <w:p w14:paraId="506F5932" w14:textId="64F4C675" w:rsidR="000C793E" w:rsidRDefault="000C793E" w:rsidP="000C793E">
      <w:pPr>
        <w:pStyle w:val="ListNumber2"/>
        <w:spacing w:before="120" w:after="0"/>
        <w:ind w:left="851" w:hanging="851"/>
      </w:pPr>
      <w:r>
        <w:t>1.7</w:t>
      </w:r>
      <w:r>
        <w:tab/>
      </w:r>
      <w:r w:rsidRPr="00514770">
        <w:rPr>
          <w:spacing w:val="-4"/>
        </w:rPr>
        <w:t xml:space="preserve">In relation to the second matter, the Minister has explained that the current wording in section </w:t>
      </w:r>
      <w:r w:rsidRPr="00514770">
        <w:rPr>
          <w:spacing w:val="-2"/>
        </w:rPr>
        <w:t>6(2) of the Regulation, by referring to an offence detected by a “traffic offence detection device” does not permit the penalty calculation in section 6 for corporations to capture offences detected by other mechanisms such as a dashboard camera or mobile phone footage. The amendment made by clause 13 of the Bill removes the reference to “traffic offence detection device” and so allows the penalty calculation for corporations in section 6(2) to be used for other technological (existing or future) mechanisms. The Committee thanks the Minister for the clear explanation provided in the revised explanatory statement</w:t>
      </w:r>
      <w:r>
        <w:t>.</w:t>
      </w:r>
    </w:p>
    <w:p w14:paraId="1828C768" w14:textId="1D4EA98E" w:rsidR="0032265E" w:rsidRPr="0032265E" w:rsidRDefault="000C793E" w:rsidP="000C793E">
      <w:pPr>
        <w:pStyle w:val="ListNumber2"/>
        <w:spacing w:before="120" w:after="0"/>
        <w:ind w:left="851" w:hanging="851"/>
      </w:pPr>
      <w:r>
        <w:t>1.8</w:t>
      </w:r>
      <w:r>
        <w:tab/>
        <w:t>The Committee thanks the Minister for their response and the revised explanatory statement noting that the Bill was passed by the Assembly on 27 May 2026.</w:t>
      </w:r>
    </w:p>
    <w:p w14:paraId="2B9C71A7" w14:textId="79DDD0A7" w:rsidR="004277E2" w:rsidRDefault="004277E2" w:rsidP="00746850">
      <w:pPr>
        <w:pStyle w:val="Heading1"/>
        <w:numPr>
          <w:ilvl w:val="0"/>
          <w:numId w:val="4"/>
        </w:numPr>
        <w:ind w:left="567" w:hanging="501"/>
      </w:pPr>
      <w:bookmarkStart w:id="109" w:name="_Toc230939462"/>
      <w:r>
        <w:lastRenderedPageBreak/>
        <w:t>Subordinate Legislation</w:t>
      </w:r>
      <w:bookmarkEnd w:id="109"/>
    </w:p>
    <w:p w14:paraId="0813C7C7" w14:textId="40405347" w:rsidR="00641A18" w:rsidRPr="00641A18" w:rsidRDefault="00641A18" w:rsidP="00514770">
      <w:pPr>
        <w:pStyle w:val="Heading20"/>
      </w:pPr>
      <w:bookmarkStart w:id="110" w:name="_Toc230939463"/>
      <w:bookmarkEnd w:id="103"/>
      <w:r w:rsidRPr="00641A18">
        <w:t>Disallowable Instruments</w:t>
      </w:r>
      <w:r>
        <w:t>—</w:t>
      </w:r>
      <w:r w:rsidRPr="00641A18">
        <w:t>No comment</w:t>
      </w:r>
      <w:bookmarkEnd w:id="110"/>
    </w:p>
    <w:p w14:paraId="4E883FB6" w14:textId="35EF7241" w:rsidR="00207130" w:rsidRPr="009D67E5" w:rsidRDefault="00207130" w:rsidP="009D67E5">
      <w:pPr>
        <w:pStyle w:val="ListNumber2"/>
        <w:numPr>
          <w:ilvl w:val="1"/>
          <w:numId w:val="4"/>
        </w:numPr>
        <w:spacing w:before="120" w:after="0"/>
        <w:ind w:left="851" w:hanging="851"/>
      </w:pPr>
      <w:r w:rsidRPr="009D67E5">
        <w:t>The Committee has examined the following disallowable instruments and has no comments on them:</w:t>
      </w:r>
    </w:p>
    <w:p w14:paraId="11F3B89E" w14:textId="77777777" w:rsidR="00EE2DD3" w:rsidRPr="00842199" w:rsidRDefault="00EE2DD3" w:rsidP="00DD6028">
      <w:pPr>
        <w:numPr>
          <w:ilvl w:val="0"/>
          <w:numId w:val="29"/>
        </w:numPr>
        <w:spacing w:before="160" w:after="0"/>
        <w:ind w:left="1208" w:hanging="357"/>
        <w:rPr>
          <w:b/>
        </w:rPr>
      </w:pPr>
      <w:r>
        <w:rPr>
          <w:b/>
        </w:rPr>
        <w:t>Disallowable Instrument</w:t>
      </w:r>
      <w:r w:rsidRPr="00451C85">
        <w:rPr>
          <w:b/>
        </w:rPr>
        <w:t xml:space="preserve"> </w:t>
      </w:r>
      <w:r>
        <w:rPr>
          <w:b/>
        </w:rPr>
        <w:t>DI2026-34</w:t>
      </w:r>
      <w:r w:rsidRPr="00451C85">
        <w:rPr>
          <w:b/>
        </w:rPr>
        <w:t xml:space="preserve"> being the </w:t>
      </w:r>
      <w:r>
        <w:rPr>
          <w:b/>
        </w:rPr>
        <w:t xml:space="preserve">Race and Sports Bookmaking (Sports Bookmaking Events) Determination 2026 (No 1) made under section 20(1) of the </w:t>
      </w:r>
      <w:r>
        <w:rPr>
          <w:i/>
        </w:rPr>
        <w:t>Race and Sports Bookmaking Act 2001</w:t>
      </w:r>
      <w:r w:rsidRPr="00236BDD">
        <w:rPr>
          <w:b/>
        </w:rPr>
        <w:t xml:space="preserve"> </w:t>
      </w:r>
      <w:r>
        <w:rPr>
          <w:b/>
        </w:rPr>
        <w:t xml:space="preserve">revokes DI2015-104 and details various national and international sporting and other events that a sports bookmaking licence may offer. </w:t>
      </w:r>
    </w:p>
    <w:p w14:paraId="664E9A0C" w14:textId="77777777" w:rsidR="00EE2DD3" w:rsidRPr="00842199" w:rsidRDefault="00EE2DD3" w:rsidP="00DD6028">
      <w:pPr>
        <w:numPr>
          <w:ilvl w:val="0"/>
          <w:numId w:val="29"/>
        </w:numPr>
        <w:spacing w:before="160" w:after="0"/>
        <w:ind w:left="1208" w:hanging="357"/>
        <w:rPr>
          <w:b/>
        </w:rPr>
      </w:pPr>
      <w:r>
        <w:rPr>
          <w:b/>
        </w:rPr>
        <w:t>Disallowable Instrument</w:t>
      </w:r>
      <w:r w:rsidRPr="00451C85">
        <w:rPr>
          <w:b/>
        </w:rPr>
        <w:t xml:space="preserve"> </w:t>
      </w:r>
      <w:r>
        <w:rPr>
          <w:b/>
        </w:rPr>
        <w:t>DI2026-36</w:t>
      </w:r>
      <w:r w:rsidRPr="00451C85">
        <w:rPr>
          <w:b/>
        </w:rPr>
        <w:t xml:space="preserve"> being the </w:t>
      </w:r>
      <w:r>
        <w:rPr>
          <w:b/>
        </w:rPr>
        <w:t xml:space="preserve">Commissioner for Sustainability and the Environment Appointment 2026 made under section 4 of the </w:t>
      </w:r>
      <w:r w:rsidRPr="000F4AF5">
        <w:rPr>
          <w:bCs/>
          <w:i/>
          <w:iCs/>
        </w:rPr>
        <w:t>Commissioner for Sustainability and the Environment Act 1993</w:t>
      </w:r>
      <w:r w:rsidRPr="00236BDD">
        <w:rPr>
          <w:b/>
        </w:rPr>
        <w:t xml:space="preserve"> </w:t>
      </w:r>
      <w:r>
        <w:rPr>
          <w:b/>
        </w:rPr>
        <w:t xml:space="preserve">appoints a specified person as Commissioner for Sustainability and the Environment. </w:t>
      </w:r>
    </w:p>
    <w:p w14:paraId="5EA79D6E" w14:textId="77777777" w:rsidR="00EE2DD3" w:rsidRPr="00842199" w:rsidRDefault="00EE2DD3" w:rsidP="00DD6028">
      <w:pPr>
        <w:numPr>
          <w:ilvl w:val="0"/>
          <w:numId w:val="29"/>
        </w:numPr>
        <w:spacing w:before="160" w:after="0"/>
        <w:ind w:left="1208" w:hanging="357"/>
        <w:rPr>
          <w:b/>
        </w:rPr>
      </w:pPr>
      <w:r>
        <w:rPr>
          <w:b/>
        </w:rPr>
        <w:t>Disallowable Instrument</w:t>
      </w:r>
      <w:r w:rsidRPr="00451C85">
        <w:rPr>
          <w:b/>
        </w:rPr>
        <w:t xml:space="preserve"> </w:t>
      </w:r>
      <w:r>
        <w:rPr>
          <w:b/>
        </w:rPr>
        <w:t>DI2026-37</w:t>
      </w:r>
      <w:r w:rsidRPr="00451C85">
        <w:rPr>
          <w:b/>
        </w:rPr>
        <w:t xml:space="preserve"> being the </w:t>
      </w:r>
      <w:r>
        <w:rPr>
          <w:b/>
        </w:rPr>
        <w:t xml:space="preserve">Major Events (AFL GWS Giants v North Melbourne Kangaroos Match) Notice 2026 made under section 9 of the </w:t>
      </w:r>
      <w:r w:rsidRPr="000F4AF5">
        <w:rPr>
          <w:bCs/>
          <w:i/>
          <w:iCs/>
        </w:rPr>
        <w:t>Major Events Act 2014</w:t>
      </w:r>
      <w:r w:rsidRPr="00236BDD">
        <w:rPr>
          <w:b/>
        </w:rPr>
        <w:t xml:space="preserve"> </w:t>
      </w:r>
      <w:r>
        <w:rPr>
          <w:b/>
        </w:rPr>
        <w:t xml:space="preserve">applies the provisions of the Act to the AFL GWS Giants v North Melbourne Kangaroos match at Manuka Oval on Sunday, 26 April 2026. </w:t>
      </w:r>
    </w:p>
    <w:p w14:paraId="6829D4EC" w14:textId="4656B5D2" w:rsidR="00EE2DD3" w:rsidRPr="00842199" w:rsidRDefault="00EE2DD3" w:rsidP="00DD6028">
      <w:pPr>
        <w:numPr>
          <w:ilvl w:val="0"/>
          <w:numId w:val="29"/>
        </w:numPr>
        <w:spacing w:before="160" w:after="0"/>
        <w:ind w:left="1208" w:hanging="357"/>
        <w:rPr>
          <w:b/>
        </w:rPr>
      </w:pPr>
      <w:r>
        <w:rPr>
          <w:b/>
        </w:rPr>
        <w:t>Disallowable Instrument</w:t>
      </w:r>
      <w:r w:rsidRPr="00451C85">
        <w:rPr>
          <w:b/>
        </w:rPr>
        <w:t xml:space="preserve"> </w:t>
      </w:r>
      <w:r>
        <w:rPr>
          <w:b/>
        </w:rPr>
        <w:t>DI2026-38</w:t>
      </w:r>
      <w:r w:rsidRPr="00451C85">
        <w:rPr>
          <w:b/>
        </w:rPr>
        <w:t xml:space="preserve"> being the </w:t>
      </w:r>
      <w:r>
        <w:rPr>
          <w:b/>
        </w:rPr>
        <w:t xml:space="preserve">Heritage (Council Member) Appointment 2026 (No 1) made under section 17 of the </w:t>
      </w:r>
      <w:r w:rsidRPr="000F4AF5">
        <w:rPr>
          <w:bCs/>
          <w:i/>
          <w:iCs/>
        </w:rPr>
        <w:t>Heritage Act 2004</w:t>
      </w:r>
      <w:r w:rsidRPr="00236BDD">
        <w:rPr>
          <w:b/>
        </w:rPr>
        <w:t xml:space="preserve"> </w:t>
      </w:r>
      <w:r>
        <w:rPr>
          <w:b/>
        </w:rPr>
        <w:t xml:space="preserve">appoints </w:t>
      </w:r>
      <w:r w:rsidR="0021396D">
        <w:rPr>
          <w:b/>
        </w:rPr>
        <w:br/>
      </w:r>
      <w:r>
        <w:rPr>
          <w:b/>
        </w:rPr>
        <w:t xml:space="preserve">a specified person to be an expert member of the ACT Heritage Council. </w:t>
      </w:r>
    </w:p>
    <w:p w14:paraId="27DA5BCB" w14:textId="0E42EC29" w:rsidR="00EE2DD3" w:rsidRPr="00842199" w:rsidRDefault="00EE2DD3" w:rsidP="00DD6028">
      <w:pPr>
        <w:numPr>
          <w:ilvl w:val="0"/>
          <w:numId w:val="29"/>
        </w:numPr>
        <w:spacing w:before="160" w:after="0"/>
        <w:ind w:left="1208" w:hanging="357"/>
        <w:rPr>
          <w:b/>
        </w:rPr>
      </w:pPr>
      <w:r>
        <w:rPr>
          <w:b/>
        </w:rPr>
        <w:t>Disallowable Instrument</w:t>
      </w:r>
      <w:r w:rsidRPr="00451C85">
        <w:rPr>
          <w:b/>
        </w:rPr>
        <w:t xml:space="preserve"> </w:t>
      </w:r>
      <w:r>
        <w:rPr>
          <w:b/>
        </w:rPr>
        <w:t>DI2026-39</w:t>
      </w:r>
      <w:r w:rsidRPr="00451C85">
        <w:rPr>
          <w:b/>
        </w:rPr>
        <w:t xml:space="preserve"> being the </w:t>
      </w:r>
      <w:r>
        <w:rPr>
          <w:b/>
        </w:rPr>
        <w:t xml:space="preserve">Heritage (Council Member) Appointment 2026 (No 2) made under section 17 of the </w:t>
      </w:r>
      <w:r w:rsidRPr="000F4AF5">
        <w:rPr>
          <w:bCs/>
          <w:i/>
          <w:iCs/>
        </w:rPr>
        <w:t>Heritage Act 2004</w:t>
      </w:r>
      <w:r w:rsidRPr="00236BDD">
        <w:rPr>
          <w:b/>
        </w:rPr>
        <w:t xml:space="preserve"> </w:t>
      </w:r>
      <w:r>
        <w:rPr>
          <w:b/>
        </w:rPr>
        <w:t xml:space="preserve">appoints </w:t>
      </w:r>
      <w:r w:rsidR="0021396D">
        <w:rPr>
          <w:b/>
        </w:rPr>
        <w:br/>
      </w:r>
      <w:r>
        <w:rPr>
          <w:b/>
        </w:rPr>
        <w:t xml:space="preserve">a specified person to be an expert member of the ACT Heritage Council. </w:t>
      </w:r>
    </w:p>
    <w:p w14:paraId="7F005076" w14:textId="72924761" w:rsidR="00EE2DD3" w:rsidRPr="00842199" w:rsidRDefault="00EE2DD3" w:rsidP="00DD6028">
      <w:pPr>
        <w:numPr>
          <w:ilvl w:val="0"/>
          <w:numId w:val="29"/>
        </w:numPr>
        <w:spacing w:before="160" w:after="0"/>
        <w:ind w:left="1208" w:hanging="357"/>
        <w:rPr>
          <w:b/>
        </w:rPr>
      </w:pPr>
      <w:r>
        <w:rPr>
          <w:b/>
        </w:rPr>
        <w:t>Disallowable Instrument</w:t>
      </w:r>
      <w:r w:rsidRPr="00451C85">
        <w:rPr>
          <w:b/>
        </w:rPr>
        <w:t xml:space="preserve"> </w:t>
      </w:r>
      <w:r>
        <w:rPr>
          <w:b/>
        </w:rPr>
        <w:t>DI2026-40</w:t>
      </w:r>
      <w:r w:rsidRPr="00451C85">
        <w:rPr>
          <w:b/>
        </w:rPr>
        <w:t xml:space="preserve"> being the </w:t>
      </w:r>
      <w:r>
        <w:rPr>
          <w:b/>
        </w:rPr>
        <w:t xml:space="preserve">Heritage (Council Member) Appointment 2026 (No 3) made under section 17 of the </w:t>
      </w:r>
      <w:r w:rsidRPr="000F4AF5">
        <w:rPr>
          <w:bCs/>
          <w:i/>
          <w:iCs/>
        </w:rPr>
        <w:t>Heritage Act 2004</w:t>
      </w:r>
      <w:r w:rsidRPr="00236BDD">
        <w:rPr>
          <w:b/>
        </w:rPr>
        <w:t xml:space="preserve"> </w:t>
      </w:r>
      <w:r>
        <w:rPr>
          <w:b/>
        </w:rPr>
        <w:t xml:space="preserve">appoints </w:t>
      </w:r>
      <w:r w:rsidR="0021396D">
        <w:rPr>
          <w:b/>
        </w:rPr>
        <w:br/>
      </w:r>
      <w:r>
        <w:rPr>
          <w:b/>
        </w:rPr>
        <w:t xml:space="preserve">a specified person to be a member of the ACT Heritage Council. </w:t>
      </w:r>
    </w:p>
    <w:p w14:paraId="3B2A956A" w14:textId="0C88A38C" w:rsidR="00EE2DD3" w:rsidRPr="000F4AF5" w:rsidRDefault="00EE2DD3" w:rsidP="00DD6028">
      <w:pPr>
        <w:numPr>
          <w:ilvl w:val="0"/>
          <w:numId w:val="29"/>
        </w:numPr>
        <w:spacing w:before="160" w:after="0"/>
        <w:ind w:left="1208" w:hanging="357"/>
        <w:rPr>
          <w:b/>
          <w:spacing w:val="-4"/>
        </w:rPr>
      </w:pPr>
      <w:r w:rsidRPr="000F4AF5">
        <w:rPr>
          <w:b/>
          <w:spacing w:val="-4"/>
        </w:rPr>
        <w:t>Disallowable Instrument DI2026-53 being the Children and Young People (Care and Protection Organisations) Guidelines Revocation 2026 made under section</w:t>
      </w:r>
      <w:r w:rsidR="00F519B8">
        <w:rPr>
          <w:b/>
          <w:spacing w:val="-4"/>
        </w:rPr>
        <w:t>s</w:t>
      </w:r>
      <w:r w:rsidRPr="000F4AF5">
        <w:rPr>
          <w:b/>
          <w:spacing w:val="-4"/>
        </w:rPr>
        <w:t xml:space="preserve"> 62, 352F, </w:t>
      </w:r>
      <w:r w:rsidR="000F4AF5">
        <w:rPr>
          <w:b/>
          <w:spacing w:val="-4"/>
        </w:rPr>
        <w:br/>
      </w:r>
      <w:r w:rsidRPr="000F4AF5">
        <w:rPr>
          <w:b/>
          <w:spacing w:val="-4"/>
        </w:rPr>
        <w:t xml:space="preserve">and 352T of the </w:t>
      </w:r>
      <w:r w:rsidRPr="000F4AF5">
        <w:rPr>
          <w:bCs/>
          <w:i/>
          <w:iCs/>
          <w:spacing w:val="-4"/>
        </w:rPr>
        <w:t>Children and Young People Act 2008</w:t>
      </w:r>
      <w:r w:rsidRPr="000F4AF5">
        <w:rPr>
          <w:b/>
          <w:spacing w:val="-4"/>
        </w:rPr>
        <w:t xml:space="preserve"> revokes DI2019-95, DI2018-96 and DI2018-97 and support</w:t>
      </w:r>
      <w:r w:rsidR="00F519B8">
        <w:rPr>
          <w:b/>
          <w:spacing w:val="-4"/>
        </w:rPr>
        <w:t>s</w:t>
      </w:r>
      <w:r w:rsidRPr="000F4AF5">
        <w:rPr>
          <w:b/>
          <w:spacing w:val="-4"/>
        </w:rPr>
        <w:t xml:space="preserve"> the day-to-day operation of the legislation and articulate</w:t>
      </w:r>
      <w:r w:rsidR="00F519B8">
        <w:rPr>
          <w:b/>
          <w:spacing w:val="-4"/>
        </w:rPr>
        <w:t>s</w:t>
      </w:r>
      <w:r w:rsidRPr="000F4AF5">
        <w:rPr>
          <w:b/>
          <w:spacing w:val="-4"/>
        </w:rPr>
        <w:t xml:space="preserve"> regulatory principles used in the assessment, intervention and monitoring of care and protection organisations. </w:t>
      </w:r>
    </w:p>
    <w:p w14:paraId="09C65564" w14:textId="77777777" w:rsidR="009156A6" w:rsidRDefault="00737F13" w:rsidP="009156A6">
      <w:pPr>
        <w:numPr>
          <w:ilvl w:val="0"/>
          <w:numId w:val="29"/>
        </w:numPr>
        <w:spacing w:before="160" w:after="0"/>
        <w:ind w:left="1208" w:hanging="357"/>
        <w:rPr>
          <w:b/>
        </w:rPr>
      </w:pPr>
      <w:r>
        <w:rPr>
          <w:b/>
        </w:rPr>
        <w:t>Disallowable Instrument</w:t>
      </w:r>
      <w:r w:rsidRPr="00451C85">
        <w:rPr>
          <w:b/>
        </w:rPr>
        <w:t xml:space="preserve"> </w:t>
      </w:r>
      <w:r>
        <w:rPr>
          <w:b/>
        </w:rPr>
        <w:t>DI2026-64</w:t>
      </w:r>
      <w:r w:rsidRPr="00451C85">
        <w:rPr>
          <w:b/>
        </w:rPr>
        <w:t xml:space="preserve"> being the </w:t>
      </w:r>
      <w:r>
        <w:rPr>
          <w:b/>
        </w:rPr>
        <w:t xml:space="preserve">Legal Profession (Bar Council Fees) Determination 2026 made under subsection 84(2) of the </w:t>
      </w:r>
      <w:r w:rsidRPr="000F4AF5">
        <w:rPr>
          <w:bCs/>
          <w:i/>
          <w:iCs/>
        </w:rPr>
        <w:t>Legal Profession Act 2006</w:t>
      </w:r>
      <w:r w:rsidRPr="00236BDD">
        <w:rPr>
          <w:b/>
        </w:rPr>
        <w:t xml:space="preserve"> </w:t>
      </w:r>
      <w:r>
        <w:rPr>
          <w:b/>
        </w:rPr>
        <w:t xml:space="preserve">revokes DI2025-63 and determines fees payable for applications for the grant or renewal of a barrister practising certificate. </w:t>
      </w:r>
    </w:p>
    <w:p w14:paraId="7EC0A88B" w14:textId="1844282F" w:rsidR="009156A6" w:rsidRPr="009156A6" w:rsidRDefault="009156A6" w:rsidP="009156A6">
      <w:pPr>
        <w:numPr>
          <w:ilvl w:val="0"/>
          <w:numId w:val="29"/>
        </w:numPr>
        <w:spacing w:before="160" w:after="0"/>
        <w:ind w:left="1208" w:hanging="357"/>
        <w:rPr>
          <w:b/>
        </w:rPr>
      </w:pPr>
      <w:r w:rsidRPr="009156A6">
        <w:rPr>
          <w:b/>
        </w:rPr>
        <w:t xml:space="preserve">Disallowable Instrument DI2026-58 being the Veterinary Practice (Board) Appointment 2026 (No 1) made under section 93 of the </w:t>
      </w:r>
      <w:r w:rsidRPr="009156A6">
        <w:rPr>
          <w:bCs/>
          <w:i/>
          <w:iCs/>
        </w:rPr>
        <w:t>Veterinary Practice Act 2018</w:t>
      </w:r>
      <w:r w:rsidRPr="009156A6">
        <w:rPr>
          <w:b/>
        </w:rPr>
        <w:t xml:space="preserve"> appoints a specified person to the Veterinary Practitioners Board as a veterinary practitioner member for a period of three years. </w:t>
      </w:r>
    </w:p>
    <w:p w14:paraId="42081762" w14:textId="77777777" w:rsidR="009156A6" w:rsidRPr="00842199" w:rsidRDefault="009156A6" w:rsidP="009156A6">
      <w:pPr>
        <w:spacing w:before="160" w:after="0"/>
        <w:ind w:left="1208"/>
        <w:rPr>
          <w:b/>
        </w:rPr>
      </w:pPr>
    </w:p>
    <w:p w14:paraId="79B42807" w14:textId="3736D856" w:rsidR="00EE2DD3" w:rsidRPr="00EE2DD3" w:rsidRDefault="00EE2DD3" w:rsidP="00514770">
      <w:pPr>
        <w:pStyle w:val="Heading20"/>
        <w:rPr>
          <w:rFonts w:eastAsia="Times New Roman"/>
        </w:rPr>
      </w:pPr>
      <w:bookmarkStart w:id="111" w:name="_Toc230939464"/>
      <w:r w:rsidRPr="00EE2DD3">
        <w:rPr>
          <w:rFonts w:eastAsia="Times New Roman"/>
        </w:rPr>
        <w:lastRenderedPageBreak/>
        <w:t>Disallowable Instruments</w:t>
      </w:r>
      <w:r w:rsidR="00DD6028">
        <w:t>—</w:t>
      </w:r>
      <w:r w:rsidRPr="00EE2DD3">
        <w:rPr>
          <w:rFonts w:eastAsia="Times New Roman"/>
        </w:rPr>
        <w:t>Comment</w:t>
      </w:r>
      <w:bookmarkEnd w:id="111"/>
    </w:p>
    <w:p w14:paraId="0F708816" w14:textId="77777777" w:rsidR="00EE2DD3" w:rsidRPr="00EE2DD3" w:rsidRDefault="00EE2DD3" w:rsidP="00DD6028">
      <w:pPr>
        <w:pStyle w:val="ListNumber2"/>
        <w:keepNext/>
        <w:numPr>
          <w:ilvl w:val="1"/>
          <w:numId w:val="4"/>
        </w:numPr>
        <w:spacing w:before="120" w:after="0"/>
        <w:ind w:left="851" w:hanging="851"/>
        <w:rPr>
          <w:rFonts w:ascii="Calibri" w:eastAsia="Calibri" w:hAnsi="Calibri" w:cs="Times New Roman"/>
        </w:rPr>
      </w:pPr>
      <w:r w:rsidRPr="00EE2DD3">
        <w:rPr>
          <w:rFonts w:ascii="Calibri" w:eastAsia="Calibri" w:hAnsi="Calibri" w:cs="Times New Roman"/>
        </w:rPr>
        <w:t xml:space="preserve">The Committee has examined the </w:t>
      </w:r>
      <w:r w:rsidRPr="00EE2DD3">
        <w:rPr>
          <w:rFonts w:ascii="Calibri" w:eastAsia="Calibri" w:hAnsi="Calibri" w:cs="Calibri"/>
          <w:color w:val="000000"/>
          <w:lang w:eastAsia="en-AU"/>
        </w:rPr>
        <w:t>following</w:t>
      </w:r>
      <w:r w:rsidRPr="00EE2DD3">
        <w:rPr>
          <w:rFonts w:ascii="Calibri" w:eastAsia="Calibri" w:hAnsi="Calibri" w:cs="Times New Roman"/>
        </w:rPr>
        <w:t xml:space="preserve"> disallowable instruments and offers these comments on them:</w:t>
      </w:r>
    </w:p>
    <w:p w14:paraId="6B216B10" w14:textId="77777777" w:rsidR="00EE2DD3" w:rsidRPr="00EE2DD3" w:rsidRDefault="00EE2DD3" w:rsidP="00514770">
      <w:pPr>
        <w:pStyle w:val="Heading3"/>
        <w:rPr>
          <w:rFonts w:eastAsia="Times New Roman"/>
        </w:rPr>
      </w:pPr>
      <w:bookmarkStart w:id="112" w:name="_Toc230939465"/>
      <w:r w:rsidRPr="00EE2DD3">
        <w:rPr>
          <w:rFonts w:eastAsia="Times New Roman"/>
        </w:rPr>
        <w:t>Fees determinations</w:t>
      </w:r>
      <w:bookmarkEnd w:id="112"/>
    </w:p>
    <w:p w14:paraId="30379A81" w14:textId="77777777" w:rsidR="00EE2DD3" w:rsidRPr="00D1572E" w:rsidRDefault="00EE2DD3" w:rsidP="009156A6">
      <w:pPr>
        <w:numPr>
          <w:ilvl w:val="0"/>
          <w:numId w:val="30"/>
        </w:numPr>
        <w:spacing w:before="120" w:after="0"/>
        <w:ind w:left="1211"/>
        <w:rPr>
          <w:b/>
          <w:spacing w:val="-4"/>
        </w:rPr>
      </w:pPr>
      <w:r w:rsidRPr="00D1572E">
        <w:rPr>
          <w:b/>
          <w:spacing w:val="-4"/>
        </w:rPr>
        <w:t xml:space="preserve">Disallowable Instrument DI2026-35 being the Road Transport (Public Passenger Services) Maximum Fares for Taxi Services Determination 2026 (No 1) made under section 60 of the </w:t>
      </w:r>
      <w:r w:rsidRPr="00D1572E">
        <w:rPr>
          <w:i/>
          <w:spacing w:val="-4"/>
        </w:rPr>
        <w:t>Road Transport (Public Passenger Services) Act 2001</w:t>
      </w:r>
      <w:r w:rsidRPr="00D1572E">
        <w:rPr>
          <w:b/>
          <w:spacing w:val="-4"/>
        </w:rPr>
        <w:t xml:space="preserve"> revokes DI2025-214 and determines the maximum fares relating to the hiring or use of a taxi. </w:t>
      </w:r>
    </w:p>
    <w:p w14:paraId="40D73167" w14:textId="77777777" w:rsidR="00737F13" w:rsidRPr="00842199" w:rsidRDefault="00737F13" w:rsidP="009156A6">
      <w:pPr>
        <w:numPr>
          <w:ilvl w:val="0"/>
          <w:numId w:val="30"/>
        </w:numPr>
        <w:spacing w:before="120" w:after="0"/>
        <w:ind w:left="1211"/>
        <w:rPr>
          <w:b/>
        </w:rPr>
      </w:pPr>
      <w:r>
        <w:rPr>
          <w:b/>
        </w:rPr>
        <w:t>Disallowable Instrument</w:t>
      </w:r>
      <w:r w:rsidRPr="00451C85">
        <w:rPr>
          <w:b/>
        </w:rPr>
        <w:t xml:space="preserve"> </w:t>
      </w:r>
      <w:r>
        <w:rPr>
          <w:b/>
        </w:rPr>
        <w:t>DI2026-44</w:t>
      </w:r>
      <w:r w:rsidRPr="00451C85">
        <w:rPr>
          <w:b/>
        </w:rPr>
        <w:t xml:space="preserve"> being the </w:t>
      </w:r>
      <w:r>
        <w:rPr>
          <w:b/>
        </w:rPr>
        <w:t xml:space="preserve">Road Transport (General) (Driver Licence and Related Fees) Determination 2026 (No 1) made under section 96 of the </w:t>
      </w:r>
      <w:r w:rsidRPr="000F4AF5">
        <w:rPr>
          <w:bCs/>
          <w:i/>
          <w:iCs/>
        </w:rPr>
        <w:t>Road Transport (General) Act 1999</w:t>
      </w:r>
      <w:r w:rsidRPr="00236BDD">
        <w:rPr>
          <w:b/>
        </w:rPr>
        <w:t xml:space="preserve"> </w:t>
      </w:r>
      <w:r>
        <w:rPr>
          <w:b/>
        </w:rPr>
        <w:t xml:space="preserve">revokes DI2025-224 and determines fees payable for the purposes of the Act. </w:t>
      </w:r>
    </w:p>
    <w:p w14:paraId="4F2600A7" w14:textId="77777777" w:rsidR="00737F13" w:rsidRPr="00842199" w:rsidRDefault="00737F13" w:rsidP="009156A6">
      <w:pPr>
        <w:numPr>
          <w:ilvl w:val="0"/>
          <w:numId w:val="30"/>
        </w:numPr>
        <w:spacing w:before="120" w:after="0"/>
        <w:ind w:left="1211"/>
        <w:rPr>
          <w:b/>
        </w:rPr>
      </w:pPr>
      <w:r>
        <w:rPr>
          <w:b/>
        </w:rPr>
        <w:t>Disallowable Instrument</w:t>
      </w:r>
      <w:r w:rsidRPr="00451C85">
        <w:rPr>
          <w:b/>
        </w:rPr>
        <w:t xml:space="preserve"> </w:t>
      </w:r>
      <w:r>
        <w:rPr>
          <w:b/>
        </w:rPr>
        <w:t>DI2026-45</w:t>
      </w:r>
      <w:r w:rsidRPr="00451C85">
        <w:rPr>
          <w:b/>
        </w:rPr>
        <w:t xml:space="preserve"> being the </w:t>
      </w:r>
      <w:r>
        <w:rPr>
          <w:b/>
        </w:rPr>
        <w:t xml:space="preserve">Road Transport (General) (Fees for Publications) Determination 2026 (No 1) made under section 96 of the </w:t>
      </w:r>
      <w:r w:rsidRPr="000F4AF5">
        <w:rPr>
          <w:bCs/>
          <w:i/>
          <w:iCs/>
        </w:rPr>
        <w:t>Road Transport (General) Act 1999</w:t>
      </w:r>
      <w:r w:rsidRPr="00236BDD">
        <w:rPr>
          <w:b/>
        </w:rPr>
        <w:t xml:space="preserve"> </w:t>
      </w:r>
      <w:r>
        <w:rPr>
          <w:b/>
        </w:rPr>
        <w:t xml:space="preserve">revokes DI2025-62 and determines fees payable for the purposes of the Act. </w:t>
      </w:r>
    </w:p>
    <w:p w14:paraId="7FF3E227" w14:textId="77777777" w:rsidR="00737F13" w:rsidRPr="00842199" w:rsidRDefault="00737F13" w:rsidP="009156A6">
      <w:pPr>
        <w:numPr>
          <w:ilvl w:val="0"/>
          <w:numId w:val="30"/>
        </w:numPr>
        <w:spacing w:before="120" w:after="0"/>
        <w:ind w:left="1211"/>
        <w:rPr>
          <w:b/>
        </w:rPr>
      </w:pPr>
      <w:r>
        <w:rPr>
          <w:b/>
        </w:rPr>
        <w:t>Disallowable Instrument</w:t>
      </w:r>
      <w:r w:rsidRPr="00451C85">
        <w:rPr>
          <w:b/>
        </w:rPr>
        <w:t xml:space="preserve"> </w:t>
      </w:r>
      <w:r>
        <w:rPr>
          <w:b/>
        </w:rPr>
        <w:t>DI2026-46</w:t>
      </w:r>
      <w:r w:rsidRPr="00451C85">
        <w:rPr>
          <w:b/>
        </w:rPr>
        <w:t xml:space="preserve"> being the </w:t>
      </w:r>
      <w:r>
        <w:rPr>
          <w:b/>
        </w:rPr>
        <w:t xml:space="preserve">Road Transport (General) (Numberplate Fees) Determination 2026 (No 1) made under section 96 of the </w:t>
      </w:r>
      <w:r w:rsidRPr="000F4AF5">
        <w:rPr>
          <w:bCs/>
          <w:i/>
          <w:iCs/>
        </w:rPr>
        <w:t>Road Transport (General) Act 1999</w:t>
      </w:r>
      <w:r w:rsidRPr="00236BDD">
        <w:rPr>
          <w:b/>
        </w:rPr>
        <w:t xml:space="preserve"> </w:t>
      </w:r>
      <w:r>
        <w:rPr>
          <w:b/>
        </w:rPr>
        <w:t xml:space="preserve">revokes DI2025-303 and determines fees payable for the purposes of the Act. </w:t>
      </w:r>
    </w:p>
    <w:p w14:paraId="4A37EA0E" w14:textId="77777777" w:rsidR="00737F13" w:rsidRPr="00842199" w:rsidRDefault="00737F13" w:rsidP="009156A6">
      <w:pPr>
        <w:numPr>
          <w:ilvl w:val="0"/>
          <w:numId w:val="30"/>
        </w:numPr>
        <w:spacing w:before="120" w:after="0"/>
        <w:ind w:left="1208" w:hanging="357"/>
        <w:rPr>
          <w:b/>
        </w:rPr>
      </w:pPr>
      <w:r>
        <w:rPr>
          <w:b/>
        </w:rPr>
        <w:t>Disallowable Instrument</w:t>
      </w:r>
      <w:r w:rsidRPr="00451C85">
        <w:rPr>
          <w:b/>
        </w:rPr>
        <w:t xml:space="preserve"> </w:t>
      </w:r>
      <w:r>
        <w:rPr>
          <w:b/>
        </w:rPr>
        <w:t>DI2026-47</w:t>
      </w:r>
      <w:r w:rsidRPr="00451C85">
        <w:rPr>
          <w:b/>
        </w:rPr>
        <w:t xml:space="preserve"> being the </w:t>
      </w:r>
      <w:r>
        <w:rPr>
          <w:b/>
        </w:rPr>
        <w:t xml:space="preserve">Road Transport (General) (Parking Permit Fees) Determination 2026 (No 1) made under section 96 of the </w:t>
      </w:r>
      <w:r w:rsidRPr="000F4AF5">
        <w:rPr>
          <w:bCs/>
          <w:i/>
          <w:iCs/>
        </w:rPr>
        <w:t>Road Transport (General) Act 1999</w:t>
      </w:r>
      <w:r w:rsidRPr="00236BDD">
        <w:rPr>
          <w:b/>
        </w:rPr>
        <w:t xml:space="preserve"> </w:t>
      </w:r>
      <w:r>
        <w:rPr>
          <w:b/>
        </w:rPr>
        <w:t xml:space="preserve">revokes DI2025-188 and determines fees payable in accordance with the Act. </w:t>
      </w:r>
    </w:p>
    <w:p w14:paraId="5E1AE68A" w14:textId="77777777" w:rsidR="00737F13" w:rsidRPr="00842199" w:rsidRDefault="00737F13" w:rsidP="009156A6">
      <w:pPr>
        <w:numPr>
          <w:ilvl w:val="0"/>
          <w:numId w:val="30"/>
        </w:numPr>
        <w:spacing w:before="120" w:after="0"/>
        <w:ind w:left="1211"/>
        <w:rPr>
          <w:b/>
        </w:rPr>
      </w:pPr>
      <w:r>
        <w:rPr>
          <w:b/>
        </w:rPr>
        <w:t>Disallowable Instrument</w:t>
      </w:r>
      <w:r w:rsidRPr="00451C85">
        <w:rPr>
          <w:b/>
        </w:rPr>
        <w:t xml:space="preserve"> </w:t>
      </w:r>
      <w:r>
        <w:rPr>
          <w:b/>
        </w:rPr>
        <w:t>DI2026-48</w:t>
      </w:r>
      <w:r w:rsidRPr="00451C85">
        <w:rPr>
          <w:b/>
        </w:rPr>
        <w:t xml:space="preserve"> being the </w:t>
      </w:r>
      <w:r>
        <w:rPr>
          <w:b/>
        </w:rPr>
        <w:t xml:space="preserve">Road Transport (General) (Pay Parking Area Fees) Determination 2026 (No 1) made under section 96 of the </w:t>
      </w:r>
      <w:r w:rsidRPr="000F4AF5">
        <w:rPr>
          <w:bCs/>
          <w:i/>
          <w:iCs/>
        </w:rPr>
        <w:t>Road Transport (General) Act 1999</w:t>
      </w:r>
      <w:r w:rsidRPr="00236BDD">
        <w:rPr>
          <w:b/>
        </w:rPr>
        <w:t xml:space="preserve"> </w:t>
      </w:r>
      <w:r>
        <w:rPr>
          <w:b/>
        </w:rPr>
        <w:t xml:space="preserve">revokes DI2025-263 and determines fees payable in accordance with the Act. </w:t>
      </w:r>
    </w:p>
    <w:p w14:paraId="490B129A" w14:textId="77777777" w:rsidR="00737F13" w:rsidRPr="00842199" w:rsidRDefault="00737F13" w:rsidP="009156A6">
      <w:pPr>
        <w:numPr>
          <w:ilvl w:val="0"/>
          <w:numId w:val="30"/>
        </w:numPr>
        <w:spacing w:before="120" w:after="0"/>
        <w:ind w:left="1211"/>
        <w:rPr>
          <w:b/>
        </w:rPr>
      </w:pPr>
      <w:r>
        <w:rPr>
          <w:b/>
        </w:rPr>
        <w:t>Disallowable Instrument</w:t>
      </w:r>
      <w:r w:rsidRPr="00451C85">
        <w:rPr>
          <w:b/>
        </w:rPr>
        <w:t xml:space="preserve"> </w:t>
      </w:r>
      <w:r>
        <w:rPr>
          <w:b/>
        </w:rPr>
        <w:t>DI2026-49</w:t>
      </w:r>
      <w:r w:rsidRPr="00451C85">
        <w:rPr>
          <w:b/>
        </w:rPr>
        <w:t xml:space="preserve"> being the </w:t>
      </w:r>
      <w:r>
        <w:rPr>
          <w:b/>
        </w:rPr>
        <w:t xml:space="preserve">Road Transport (General) (Refund and Dishonoured Payments Fees) Determination 2026 (No 1) made under section 96 of the </w:t>
      </w:r>
      <w:r w:rsidRPr="000F4AF5">
        <w:rPr>
          <w:bCs/>
          <w:i/>
          <w:iCs/>
        </w:rPr>
        <w:t>Road Transport (General) Act 1999</w:t>
      </w:r>
      <w:r w:rsidRPr="00236BDD">
        <w:rPr>
          <w:b/>
        </w:rPr>
        <w:t xml:space="preserve"> </w:t>
      </w:r>
      <w:r>
        <w:rPr>
          <w:b/>
        </w:rPr>
        <w:t xml:space="preserve">revokes DI2025-187 and determines fees payable for transactions relating to refunds and the handling of dishonoured cheque and credit cards. </w:t>
      </w:r>
    </w:p>
    <w:p w14:paraId="48D568F3" w14:textId="78898026" w:rsidR="00737F13" w:rsidRPr="00842199" w:rsidRDefault="00737F13" w:rsidP="009156A6">
      <w:pPr>
        <w:numPr>
          <w:ilvl w:val="0"/>
          <w:numId w:val="30"/>
        </w:numPr>
        <w:spacing w:before="120" w:after="0"/>
        <w:ind w:left="1211"/>
        <w:rPr>
          <w:b/>
        </w:rPr>
      </w:pPr>
      <w:r>
        <w:rPr>
          <w:b/>
        </w:rPr>
        <w:t>Disallowable Instrument</w:t>
      </w:r>
      <w:r w:rsidRPr="00451C85">
        <w:rPr>
          <w:b/>
        </w:rPr>
        <w:t xml:space="preserve"> </w:t>
      </w:r>
      <w:r>
        <w:rPr>
          <w:b/>
        </w:rPr>
        <w:t>DI2026-50</w:t>
      </w:r>
      <w:r w:rsidRPr="00451C85">
        <w:rPr>
          <w:b/>
        </w:rPr>
        <w:t xml:space="preserve"> being the </w:t>
      </w:r>
      <w:r>
        <w:rPr>
          <w:b/>
        </w:rPr>
        <w:t xml:space="preserve">Road Transport (General) (Road Safety Contribution) Determination 2026 (No 1) made under section 96 of the </w:t>
      </w:r>
      <w:r w:rsidRPr="000B0C3C">
        <w:rPr>
          <w:bCs/>
          <w:i/>
          <w:iCs/>
        </w:rPr>
        <w:t>Road Transport (General) Act 1999</w:t>
      </w:r>
      <w:r w:rsidRPr="00236BDD">
        <w:rPr>
          <w:b/>
        </w:rPr>
        <w:t xml:space="preserve"> </w:t>
      </w:r>
      <w:r>
        <w:rPr>
          <w:b/>
        </w:rPr>
        <w:t xml:space="preserve">revokes DI2025-182 and determines the road safety contribution payable with the registration of all vehicles, other than a trailer, or for the issue of a trader's plate. </w:t>
      </w:r>
    </w:p>
    <w:p w14:paraId="3E28054C" w14:textId="77777777" w:rsidR="00737F13" w:rsidRPr="00842199" w:rsidRDefault="00737F13" w:rsidP="009156A6">
      <w:pPr>
        <w:numPr>
          <w:ilvl w:val="0"/>
          <w:numId w:val="30"/>
        </w:numPr>
        <w:spacing w:before="120" w:after="0"/>
        <w:ind w:left="1211"/>
        <w:rPr>
          <w:b/>
        </w:rPr>
      </w:pPr>
      <w:r>
        <w:rPr>
          <w:b/>
        </w:rPr>
        <w:t>Disallowable Instrument</w:t>
      </w:r>
      <w:r w:rsidRPr="00451C85">
        <w:rPr>
          <w:b/>
        </w:rPr>
        <w:t xml:space="preserve"> </w:t>
      </w:r>
      <w:r>
        <w:rPr>
          <w:b/>
        </w:rPr>
        <w:t>DI2026-51</w:t>
      </w:r>
      <w:r w:rsidRPr="00451C85">
        <w:rPr>
          <w:b/>
        </w:rPr>
        <w:t xml:space="preserve"> being the </w:t>
      </w:r>
      <w:r>
        <w:rPr>
          <w:b/>
        </w:rPr>
        <w:t xml:space="preserve">Road Transport (General) (Vehicle Impounding and Seizure/Speed Trial Fees Determination 2026 (No 1) made under section 96 of the </w:t>
      </w:r>
      <w:r w:rsidRPr="000B0C3C">
        <w:rPr>
          <w:bCs/>
          <w:i/>
          <w:iCs/>
        </w:rPr>
        <w:t>Road Transport (General) Act 1999</w:t>
      </w:r>
      <w:r w:rsidRPr="00236BDD">
        <w:rPr>
          <w:b/>
        </w:rPr>
        <w:t xml:space="preserve"> </w:t>
      </w:r>
      <w:r>
        <w:rPr>
          <w:b/>
        </w:rPr>
        <w:t xml:space="preserve">revokes DI2025-304 and determines fees payable for the purposes of the Act. </w:t>
      </w:r>
    </w:p>
    <w:p w14:paraId="20601857" w14:textId="77777777" w:rsidR="00737F13" w:rsidRPr="00842199" w:rsidRDefault="00737F13" w:rsidP="009156A6">
      <w:pPr>
        <w:numPr>
          <w:ilvl w:val="0"/>
          <w:numId w:val="30"/>
        </w:numPr>
        <w:spacing w:before="120" w:after="0"/>
        <w:ind w:left="1208" w:hanging="357"/>
        <w:rPr>
          <w:b/>
        </w:rPr>
      </w:pPr>
      <w:r>
        <w:rPr>
          <w:b/>
        </w:rPr>
        <w:lastRenderedPageBreak/>
        <w:t>Disallowable Instrument</w:t>
      </w:r>
      <w:r w:rsidRPr="00451C85">
        <w:rPr>
          <w:b/>
        </w:rPr>
        <w:t xml:space="preserve"> </w:t>
      </w:r>
      <w:r>
        <w:rPr>
          <w:b/>
        </w:rPr>
        <w:t>DI2026-52</w:t>
      </w:r>
      <w:r w:rsidRPr="00451C85">
        <w:rPr>
          <w:b/>
        </w:rPr>
        <w:t xml:space="preserve"> being the </w:t>
      </w:r>
      <w:r>
        <w:rPr>
          <w:b/>
        </w:rPr>
        <w:t xml:space="preserve">Road Transport (General) (Vehicle Registration and Related Fees) Determination 2026 (No 1) made under section 96 of the </w:t>
      </w:r>
      <w:r w:rsidRPr="000B0C3C">
        <w:rPr>
          <w:bCs/>
          <w:i/>
          <w:iCs/>
        </w:rPr>
        <w:t>Road Transport (General) Act 1999</w:t>
      </w:r>
      <w:r w:rsidRPr="00236BDD">
        <w:rPr>
          <w:b/>
        </w:rPr>
        <w:t xml:space="preserve"> </w:t>
      </w:r>
      <w:r>
        <w:rPr>
          <w:b/>
        </w:rPr>
        <w:t xml:space="preserve">revokes DI2025-254 and determines fees payable for transactions relating to vehicle registration. </w:t>
      </w:r>
    </w:p>
    <w:p w14:paraId="4EB6EAAD" w14:textId="45E10FED" w:rsidR="00737F13" w:rsidRPr="00842199" w:rsidRDefault="00737F13" w:rsidP="009156A6">
      <w:pPr>
        <w:numPr>
          <w:ilvl w:val="0"/>
          <w:numId w:val="30"/>
        </w:numPr>
        <w:spacing w:before="120" w:after="0"/>
        <w:ind w:left="1208" w:hanging="357"/>
        <w:rPr>
          <w:b/>
        </w:rPr>
      </w:pPr>
      <w:r>
        <w:rPr>
          <w:b/>
        </w:rPr>
        <w:t>Disallowable Instrument</w:t>
      </w:r>
      <w:r w:rsidRPr="00451C85">
        <w:rPr>
          <w:b/>
        </w:rPr>
        <w:t xml:space="preserve"> </w:t>
      </w:r>
      <w:r>
        <w:rPr>
          <w:b/>
        </w:rPr>
        <w:t>DI2026-54</w:t>
      </w:r>
      <w:r w:rsidRPr="00451C85">
        <w:rPr>
          <w:b/>
        </w:rPr>
        <w:t xml:space="preserve"> being the </w:t>
      </w:r>
      <w:r>
        <w:rPr>
          <w:b/>
        </w:rPr>
        <w:t xml:space="preserve">Veterinary Practice (Fees) Determination 2026 (No 1) made under section 144 of the </w:t>
      </w:r>
      <w:r w:rsidRPr="000B0C3C">
        <w:rPr>
          <w:bCs/>
          <w:i/>
          <w:iCs/>
        </w:rPr>
        <w:t xml:space="preserve">Veterinary Practice Act 2018 </w:t>
      </w:r>
      <w:r>
        <w:rPr>
          <w:b/>
        </w:rPr>
        <w:t>revokes DI2025-40 and determines fees payable for the purposes of the Act</w:t>
      </w:r>
      <w:r w:rsidR="00455605">
        <w:rPr>
          <w:b/>
        </w:rPr>
        <w:t>.</w:t>
      </w:r>
      <w:r>
        <w:rPr>
          <w:b/>
        </w:rPr>
        <w:t xml:space="preserve"> </w:t>
      </w:r>
    </w:p>
    <w:p w14:paraId="67D0CFBE" w14:textId="77777777" w:rsidR="00EE2DD3" w:rsidRPr="00EE2DD3" w:rsidRDefault="00EE2DD3" w:rsidP="00737F13">
      <w:pPr>
        <w:pStyle w:val="ListNumber2"/>
        <w:numPr>
          <w:ilvl w:val="1"/>
          <w:numId w:val="4"/>
        </w:numPr>
        <w:spacing w:before="120" w:after="0"/>
        <w:ind w:left="851" w:hanging="851"/>
        <w:rPr>
          <w:rFonts w:ascii="Calibri" w:eastAsia="Times New Roman" w:hAnsi="Calibri" w:cs="Calibri"/>
          <w:color w:val="000000"/>
          <w:lang w:eastAsia="en-AU"/>
        </w:rPr>
      </w:pPr>
      <w:r w:rsidRPr="00EE2DD3">
        <w:rPr>
          <w:rFonts w:ascii="Calibri" w:eastAsia="Times New Roman" w:hAnsi="Calibri" w:cs="Calibri"/>
          <w:color w:val="000000"/>
          <w:lang w:eastAsia="en-AU"/>
        </w:rPr>
        <w:t>These instruments determine fees, for various Acts.  They are early examples of numerous instruments that the Committee expects to see at this time of the year, determining fees and charges for various Acts.</w:t>
      </w:r>
    </w:p>
    <w:p w14:paraId="50BEA050" w14:textId="77777777" w:rsidR="00EE2DD3" w:rsidRPr="00EE2DD3" w:rsidRDefault="00EE2DD3" w:rsidP="00737F13">
      <w:pPr>
        <w:pStyle w:val="ListNumber2"/>
        <w:numPr>
          <w:ilvl w:val="1"/>
          <w:numId w:val="4"/>
        </w:numPr>
        <w:spacing w:before="120" w:after="0"/>
        <w:ind w:left="851" w:hanging="851"/>
        <w:rPr>
          <w:rFonts w:ascii="Calibri" w:eastAsia="Calibri" w:hAnsi="Calibri" w:cs="Calibri"/>
          <w:color w:val="000000"/>
          <w:spacing w:val="-4"/>
        </w:rPr>
      </w:pPr>
      <w:r w:rsidRPr="00EE2DD3">
        <w:rPr>
          <w:rFonts w:ascii="Calibri" w:eastAsia="Calibri" w:hAnsi="Calibri" w:cs="Calibri"/>
          <w:color w:val="000000"/>
          <w:spacing w:val="-4"/>
        </w:rPr>
        <w:t xml:space="preserve">The Committee notes its long-held expectations in relation to fees determination instruments – as set out in its document titled </w:t>
      </w:r>
      <w:hyperlink r:id="rId16" w:history="1">
        <w:r w:rsidRPr="00EE2DD3">
          <w:rPr>
            <w:rFonts w:ascii="Calibri" w:eastAsia="Calibri" w:hAnsi="Calibri" w:cs="Calibri"/>
            <w:i/>
            <w:color w:val="0563C1"/>
            <w:spacing w:val="-4"/>
            <w:u w:val="single"/>
          </w:rPr>
          <w:t>Subordinate legislation—Technical and stylistic standards—Tips/Traps</w:t>
        </w:r>
      </w:hyperlink>
      <w:r w:rsidRPr="00EE2DD3">
        <w:rPr>
          <w:rFonts w:ascii="Calibri" w:eastAsia="Calibri" w:hAnsi="Calibri" w:cs="Calibri"/>
          <w:color w:val="000000"/>
          <w:spacing w:val="-4"/>
          <w:vertAlign w:val="superscript"/>
        </w:rPr>
        <w:footnoteReference w:id="2"/>
      </w:r>
      <w:r w:rsidRPr="00EE2DD3">
        <w:rPr>
          <w:rFonts w:ascii="Calibri" w:eastAsia="Calibri" w:hAnsi="Calibri" w:cs="Calibri"/>
          <w:color w:val="000000"/>
          <w:spacing w:val="-4"/>
        </w:rPr>
        <w:t xml:space="preserve"> – in that the “old” and “new” fees should be identified, together with the magnitude of the increases and the reasons for the increases. </w:t>
      </w:r>
    </w:p>
    <w:p w14:paraId="3C18F34E" w14:textId="77777777" w:rsidR="00EE2DD3" w:rsidRPr="00EE2DD3" w:rsidRDefault="00EE2DD3" w:rsidP="00737F13">
      <w:pPr>
        <w:pStyle w:val="ListNumber2"/>
        <w:numPr>
          <w:ilvl w:val="1"/>
          <w:numId w:val="4"/>
        </w:numPr>
        <w:spacing w:before="120" w:after="0"/>
        <w:ind w:left="851" w:hanging="851"/>
        <w:rPr>
          <w:rFonts w:ascii="Calibri" w:eastAsia="Calibri" w:hAnsi="Calibri" w:cs="Calibri"/>
          <w:color w:val="000000"/>
          <w:spacing w:val="-4"/>
        </w:rPr>
      </w:pPr>
      <w:r w:rsidRPr="00EE2DD3">
        <w:rPr>
          <w:rFonts w:ascii="Calibri" w:eastAsia="Calibri" w:hAnsi="Calibri" w:cs="Calibri"/>
          <w:color w:val="000000"/>
          <w:spacing w:val="-4"/>
        </w:rPr>
        <w:t>The Committee notes, with approval, that all the instruments mentioned above set out the “old” and “new” fees, etc.</w:t>
      </w:r>
    </w:p>
    <w:p w14:paraId="243AD3CD" w14:textId="77777777" w:rsidR="00EE2DD3" w:rsidRPr="00EE2DD3" w:rsidRDefault="00EE2DD3" w:rsidP="00737F13">
      <w:pPr>
        <w:pStyle w:val="ListNumber2"/>
        <w:numPr>
          <w:ilvl w:val="1"/>
          <w:numId w:val="4"/>
        </w:numPr>
        <w:spacing w:before="120" w:after="0"/>
        <w:ind w:left="851" w:hanging="851"/>
        <w:rPr>
          <w:rFonts w:ascii="Calibri" w:eastAsia="Calibri" w:hAnsi="Calibri" w:cs="Calibri"/>
          <w:color w:val="000000"/>
          <w:spacing w:val="-4"/>
          <w:lang w:eastAsia="en-AU"/>
        </w:rPr>
      </w:pPr>
      <w:r w:rsidRPr="00EE2DD3">
        <w:rPr>
          <w:rFonts w:ascii="Calibri" w:eastAsia="Times New Roman" w:hAnsi="Calibri" w:cs="Calibri"/>
          <w:color w:val="000000"/>
          <w:lang w:eastAsia="en-AU"/>
        </w:rPr>
        <w:t xml:space="preserve">The first instrument mentioned above, made under section 60 of the </w:t>
      </w:r>
      <w:r w:rsidRPr="00EE2DD3">
        <w:rPr>
          <w:rFonts w:ascii="Calibri" w:eastAsia="Times New Roman" w:hAnsi="Calibri" w:cs="Calibri"/>
          <w:i/>
          <w:iCs/>
          <w:color w:val="000000"/>
          <w:lang w:eastAsia="en-AU"/>
        </w:rPr>
        <w:t>Road Transport (Public Passenger Services) Act 2001</w:t>
      </w:r>
      <w:r w:rsidRPr="00EE2DD3">
        <w:rPr>
          <w:rFonts w:ascii="Calibri" w:eastAsia="Times New Roman" w:hAnsi="Calibri" w:cs="Calibri"/>
          <w:color w:val="000000"/>
          <w:lang w:eastAsia="en-AU"/>
        </w:rPr>
        <w:t xml:space="preserve">, determines maximum taxi fares.  </w:t>
      </w:r>
      <w:r w:rsidRPr="00EE2DD3">
        <w:rPr>
          <w:rFonts w:ascii="Calibri" w:eastAsia="Calibri" w:hAnsi="Calibri" w:cs="Calibri"/>
          <w:color w:val="000000"/>
          <w:spacing w:val="-4"/>
          <w:lang w:eastAsia="en-AU"/>
        </w:rPr>
        <w:t>The Committee notes that the explanatory statement for this instrument states:</w:t>
      </w:r>
    </w:p>
    <w:p w14:paraId="7FDC187D" w14:textId="77777777" w:rsidR="00EE2DD3" w:rsidRPr="00DD6028" w:rsidRDefault="00EE2DD3" w:rsidP="00DD6028">
      <w:pPr>
        <w:pStyle w:val="Quote"/>
        <w:spacing w:before="80" w:after="0"/>
        <w:rPr>
          <w:spacing w:val="-2"/>
        </w:rPr>
      </w:pPr>
      <w:r w:rsidRPr="00DD6028">
        <w:rPr>
          <w:spacing w:val="-2"/>
        </w:rPr>
        <w:t>In the ordinary course of events, maximum taxi fares are increased annually in line with the forecast Consumer Price Index (CPI) for the ACT. However, this instrument provides an additional temporary increase on top of the CPI increase to reflect the rise in fuel prices being experienced in the ACT and nationally. This additional increase recognises the direct impact fuel prices have on the taxi industry.</w:t>
      </w:r>
    </w:p>
    <w:p w14:paraId="39A47C61" w14:textId="77777777" w:rsidR="00EE2DD3" w:rsidRPr="00EE2DD3" w:rsidRDefault="00EE2DD3" w:rsidP="00DD6028">
      <w:pPr>
        <w:pStyle w:val="Quote"/>
        <w:spacing w:before="80" w:after="0"/>
      </w:pPr>
      <w:r w:rsidRPr="00DD6028">
        <w:rPr>
          <w:spacing w:val="-4"/>
        </w:rPr>
        <w:t xml:space="preserve">Forecasted CPI increases of 2.75% for 2026-2027 have been applied beginning the day after notification day of the instrument and apply as normal to </w:t>
      </w:r>
      <w:proofErr w:type="spellStart"/>
      <w:r w:rsidRPr="00DD6028">
        <w:rPr>
          <w:spacing w:val="-4"/>
        </w:rPr>
        <w:t>flagfall</w:t>
      </w:r>
      <w:proofErr w:type="spellEnd"/>
      <w:r w:rsidRPr="00DD6028">
        <w:rPr>
          <w:spacing w:val="-4"/>
        </w:rPr>
        <w:t>, kilometre, and waiting time rates and to the lift fee. While CPI increases generally commence 1 July each year, the 2026 CPI increases have been brought forward to April to account for the rise in fuel prices in addition to further temporary increases outlined below</w:t>
      </w:r>
      <w:r w:rsidRPr="00EE2DD3">
        <w:t xml:space="preserve">. </w:t>
      </w:r>
    </w:p>
    <w:p w14:paraId="76447093" w14:textId="77777777" w:rsidR="00EE2DD3" w:rsidRPr="00EE2DD3" w:rsidRDefault="00EE2DD3" w:rsidP="00DD6028">
      <w:pPr>
        <w:pStyle w:val="Quote"/>
        <w:widowControl w:val="0"/>
        <w:spacing w:before="80" w:after="0"/>
      </w:pPr>
      <w:r w:rsidRPr="00DD6028">
        <w:rPr>
          <w:spacing w:val="-2"/>
        </w:rPr>
        <w:t>Schedule 1 sets out a temporary 3.3% increase to kilometre rates and the waiting time rate for taxis to account for the rise in fuel prices, starting on the day after notification day of the instrument and ending on 30 June 2026. This increase is based on fuel prices rising by 33.33% and an assumption of 10% of the maximum fare covering fuel costs. Fuel consumption of various common taxi models was used in making this assumption based on data from the Green Vehicle Guide published by the Commonwealth Government. The waiting time rate is also increased because fuel is consumed while the taxi is idling. This temporary increase expires after 30 June 2026 and is not rolled into the fare amounts for the 2026-2027 financial year</w:t>
      </w:r>
      <w:r w:rsidRPr="00EE2DD3">
        <w:t xml:space="preserve">. </w:t>
      </w:r>
    </w:p>
    <w:p w14:paraId="3A9FA15A" w14:textId="77777777" w:rsidR="00EE2DD3" w:rsidRPr="00EE2DD3" w:rsidRDefault="00EE2DD3" w:rsidP="00DD6028">
      <w:pPr>
        <w:pStyle w:val="Quote"/>
        <w:spacing w:before="80" w:after="0"/>
      </w:pPr>
      <w:r w:rsidRPr="00EE2DD3">
        <w:t xml:space="preserve">Any increase in maximum regulated fares in this instrument is rounded off to the nearest five cents. The increases are made to the original amounts, not the rounded amounts, before the final fare is rounded to the nearest five cents in the instrument. </w:t>
      </w:r>
    </w:p>
    <w:p w14:paraId="18FDCD8B" w14:textId="0604725E" w:rsidR="00EE2DD3" w:rsidRPr="00EE2DD3" w:rsidRDefault="00EE2DD3" w:rsidP="00737F13">
      <w:pPr>
        <w:pStyle w:val="ListNumber2"/>
        <w:numPr>
          <w:ilvl w:val="1"/>
          <w:numId w:val="4"/>
        </w:numPr>
        <w:spacing w:before="120" w:after="0"/>
        <w:ind w:left="851" w:hanging="851"/>
        <w:rPr>
          <w:rFonts w:ascii="Calibri" w:eastAsia="Calibri" w:hAnsi="Calibri" w:cs="Calibri"/>
          <w:color w:val="000000"/>
          <w:spacing w:val="-4"/>
        </w:rPr>
      </w:pPr>
      <w:r w:rsidRPr="00EE2DD3">
        <w:rPr>
          <w:rFonts w:ascii="Calibri" w:eastAsia="Calibri" w:hAnsi="Calibri" w:cs="Calibri"/>
          <w:color w:val="000000"/>
          <w:spacing w:val="-4"/>
        </w:rPr>
        <w:lastRenderedPageBreak/>
        <w:t xml:space="preserve">The second instrument mentioned above, made under section 96 of the </w:t>
      </w:r>
      <w:r w:rsidRPr="00EE2DD3">
        <w:rPr>
          <w:rFonts w:ascii="Calibri" w:eastAsia="Calibri" w:hAnsi="Calibri" w:cs="Calibri"/>
          <w:i/>
          <w:iCs/>
          <w:color w:val="000000"/>
          <w:spacing w:val="-4"/>
        </w:rPr>
        <w:t>Road Transport (General) Act 1999</w:t>
      </w:r>
      <w:r w:rsidRPr="00EE2DD3">
        <w:rPr>
          <w:rFonts w:ascii="Calibri" w:eastAsia="Calibri" w:hAnsi="Calibri" w:cs="Calibri"/>
          <w:color w:val="000000"/>
          <w:spacing w:val="-4"/>
        </w:rPr>
        <w:t xml:space="preserve">, determines fees or </w:t>
      </w:r>
      <w:proofErr w:type="gramStart"/>
      <w:r w:rsidRPr="00EE2DD3">
        <w:rPr>
          <w:rFonts w:ascii="Calibri" w:eastAsia="Calibri" w:hAnsi="Calibri" w:cs="Calibri"/>
          <w:color w:val="000000"/>
          <w:spacing w:val="-4"/>
        </w:rPr>
        <w:t>drivers</w:t>
      </w:r>
      <w:proofErr w:type="gramEnd"/>
      <w:r w:rsidRPr="00EE2DD3">
        <w:rPr>
          <w:rFonts w:ascii="Calibri" w:eastAsia="Calibri" w:hAnsi="Calibri" w:cs="Calibri"/>
          <w:color w:val="000000"/>
          <w:spacing w:val="-4"/>
        </w:rPr>
        <w:t xml:space="preserve"> licences.  The explanatory statement for the instrument states:</w:t>
      </w:r>
    </w:p>
    <w:p w14:paraId="5BC30AC9" w14:textId="77777777" w:rsidR="00EE2DD3" w:rsidRPr="00EE2DD3" w:rsidRDefault="00EE2DD3" w:rsidP="009156A6">
      <w:pPr>
        <w:pStyle w:val="Quote"/>
        <w:spacing w:before="120" w:after="0"/>
      </w:pPr>
      <w:r w:rsidRPr="00EE2DD3">
        <w:t>The fees for driver licences and have been increased by the estimated 2025-26 wage price index of 3.5% in accordance with rates published in Budget Memo 2025/32. Related fees have been indexed by 3.85% incorporating WPI of 3.5% and 0.35% additional indexation as per budget memo 2014/14. Fees have been rounded down to the nearest ten cents.</w:t>
      </w:r>
    </w:p>
    <w:p w14:paraId="6481B12F" w14:textId="558FDCE8" w:rsidR="00EE2DD3" w:rsidRPr="00EE2DD3" w:rsidRDefault="00EE2DD3" w:rsidP="00737F13">
      <w:pPr>
        <w:pStyle w:val="ListNumber2"/>
        <w:numPr>
          <w:ilvl w:val="1"/>
          <w:numId w:val="4"/>
        </w:numPr>
        <w:spacing w:before="120" w:after="0"/>
        <w:ind w:left="851" w:hanging="851"/>
        <w:rPr>
          <w:rFonts w:ascii="Calibri" w:eastAsia="Calibri" w:hAnsi="Calibri" w:cs="Calibri"/>
          <w:color w:val="000000"/>
          <w:spacing w:val="-4"/>
        </w:rPr>
      </w:pPr>
      <w:r w:rsidRPr="00EE2DD3">
        <w:rPr>
          <w:rFonts w:ascii="Calibri" w:eastAsia="Calibri" w:hAnsi="Calibri" w:cs="Calibri"/>
          <w:color w:val="000000"/>
          <w:spacing w:val="-4"/>
        </w:rPr>
        <w:t>The third instrument mentioned above is also made under section 96 of the Road Transport (General) Act.  It determines fees for various transport-related publications.  The explanatory statement for the instrument states:</w:t>
      </w:r>
    </w:p>
    <w:p w14:paraId="5E77550E" w14:textId="77777777" w:rsidR="00EE2DD3" w:rsidRPr="00EE2DD3" w:rsidRDefault="00EE2DD3" w:rsidP="009156A6">
      <w:pPr>
        <w:pStyle w:val="Quote"/>
        <w:spacing w:before="120" w:after="0"/>
      </w:pPr>
      <w:r w:rsidRPr="00EE2DD3">
        <w:t xml:space="preserve">The fees for ACT publications, except for the Canberra and Queanbeyan cycling and walking map, have been indexed by 3.85% incorporating WPI of 3.5% as per Budget Memo 2025/32 and 0.35% additional indexation as per budget memo 2014/14. The Canberra and Queanbeyan cycling and walking map has been increased by the estimated 2025-26 wage price index of (WPI) 3.5% in accordance with </w:t>
      </w:r>
      <w:bookmarkStart w:id="113" w:name="_Hlk99974487"/>
      <w:r w:rsidRPr="00EE2DD3">
        <w:t xml:space="preserve">rates published in </w:t>
      </w:r>
      <w:bookmarkEnd w:id="113"/>
      <w:r w:rsidRPr="00EE2DD3">
        <w:t xml:space="preserve">Budget Memo 2025/32. Fees have been rounded down to the nearest ten cents. The fee for the National Heavy Vehicle driver work diary has been increased from $30.00 to $31.00 based on advice from the National Heavy Vehicle Regulator. </w:t>
      </w:r>
    </w:p>
    <w:p w14:paraId="2306D307" w14:textId="77777777" w:rsidR="00EE2DD3" w:rsidRPr="00EE2DD3" w:rsidRDefault="00EE2DD3" w:rsidP="009156A6">
      <w:pPr>
        <w:pStyle w:val="Quote"/>
        <w:spacing w:before="120" w:after="0"/>
      </w:pPr>
      <w:r w:rsidRPr="00EE2DD3">
        <w:t>Indexing fees and charges annually maintains the cost of the product or service being provided.</w:t>
      </w:r>
    </w:p>
    <w:p w14:paraId="57DA7E52" w14:textId="77FB7CB7" w:rsidR="00EE2DD3" w:rsidRPr="00EE2DD3" w:rsidRDefault="00EE2DD3" w:rsidP="00737F13">
      <w:pPr>
        <w:pStyle w:val="ListNumber2"/>
        <w:numPr>
          <w:ilvl w:val="1"/>
          <w:numId w:val="4"/>
        </w:numPr>
        <w:spacing w:before="120" w:after="0"/>
        <w:ind w:left="851" w:hanging="851"/>
        <w:rPr>
          <w:rFonts w:ascii="Calibri" w:eastAsia="Calibri" w:hAnsi="Calibri" w:cs="Calibri"/>
          <w:color w:val="000000"/>
          <w:spacing w:val="-4"/>
        </w:rPr>
      </w:pPr>
      <w:r w:rsidRPr="00EE2DD3">
        <w:rPr>
          <w:rFonts w:ascii="Calibri" w:eastAsia="Calibri" w:hAnsi="Calibri" w:cs="Calibri"/>
          <w:color w:val="000000"/>
          <w:spacing w:val="-4"/>
        </w:rPr>
        <w:t xml:space="preserve">The fourth to eighth instruments mentioned above are also made under the Road Transport (General) Act.  They determine fees for various transport-related purposes.  In each case the explanation provided in the explanatory statement for the fees increases provided for in the instrument </w:t>
      </w:r>
      <w:r w:rsidR="00F519B8">
        <w:rPr>
          <w:rFonts w:ascii="Calibri" w:eastAsia="Calibri" w:hAnsi="Calibri" w:cs="Calibri"/>
          <w:color w:val="000000"/>
          <w:spacing w:val="-4"/>
        </w:rPr>
        <w:t>is</w:t>
      </w:r>
      <w:r w:rsidRPr="00EE2DD3">
        <w:rPr>
          <w:rFonts w:ascii="Calibri" w:eastAsia="Calibri" w:hAnsi="Calibri" w:cs="Calibri"/>
          <w:color w:val="000000"/>
          <w:spacing w:val="-4"/>
        </w:rPr>
        <w:t xml:space="preserve"> </w:t>
      </w:r>
      <w:proofErr w:type="gramStart"/>
      <w:r w:rsidRPr="00EE2DD3">
        <w:rPr>
          <w:rFonts w:ascii="Calibri" w:eastAsia="Calibri" w:hAnsi="Calibri" w:cs="Calibri"/>
          <w:color w:val="000000"/>
          <w:spacing w:val="-4"/>
        </w:rPr>
        <w:t>similar to</w:t>
      </w:r>
      <w:proofErr w:type="gramEnd"/>
      <w:r w:rsidRPr="00EE2DD3">
        <w:rPr>
          <w:rFonts w:ascii="Calibri" w:eastAsia="Calibri" w:hAnsi="Calibri" w:cs="Calibri"/>
          <w:color w:val="000000"/>
          <w:spacing w:val="-4"/>
        </w:rPr>
        <w:t xml:space="preserve"> the explanation provided in relation to the second instrument mentioned above.</w:t>
      </w:r>
    </w:p>
    <w:p w14:paraId="742CF444" w14:textId="0743D4FC" w:rsidR="00EE2DD3" w:rsidRPr="00EE2DD3" w:rsidRDefault="00EE2DD3" w:rsidP="00737F13">
      <w:pPr>
        <w:pStyle w:val="ListNumber2"/>
        <w:numPr>
          <w:ilvl w:val="1"/>
          <w:numId w:val="4"/>
        </w:numPr>
        <w:spacing w:before="120" w:after="0"/>
        <w:ind w:left="851" w:hanging="851"/>
        <w:rPr>
          <w:rFonts w:ascii="Calibri" w:eastAsia="Calibri" w:hAnsi="Calibri" w:cs="Calibri"/>
          <w:color w:val="000000"/>
          <w:spacing w:val="-4"/>
        </w:rPr>
      </w:pPr>
      <w:r w:rsidRPr="00EE2DD3">
        <w:rPr>
          <w:rFonts w:ascii="Calibri" w:eastAsia="Calibri" w:hAnsi="Calibri" w:cs="Calibri"/>
          <w:color w:val="000000"/>
          <w:spacing w:val="-4"/>
        </w:rPr>
        <w:t>The ninth instrument mentioned above (i</w:t>
      </w:r>
      <w:r w:rsidR="00DD6028">
        <w:rPr>
          <w:rFonts w:ascii="Calibri" w:eastAsia="Calibri" w:hAnsi="Calibri" w:cs="Calibri"/>
          <w:color w:val="000000"/>
          <w:spacing w:val="-4"/>
        </w:rPr>
        <w:t>.</w:t>
      </w:r>
      <w:r w:rsidRPr="00EE2DD3">
        <w:rPr>
          <w:rFonts w:ascii="Calibri" w:eastAsia="Calibri" w:hAnsi="Calibri" w:cs="Calibri"/>
          <w:color w:val="000000"/>
          <w:spacing w:val="-4"/>
        </w:rPr>
        <w:t>e</w:t>
      </w:r>
      <w:r w:rsidR="00DD6028">
        <w:rPr>
          <w:rFonts w:ascii="Calibri" w:eastAsia="Calibri" w:hAnsi="Calibri" w:cs="Calibri"/>
          <w:color w:val="000000"/>
          <w:spacing w:val="-4"/>
        </w:rPr>
        <w:t>.</w:t>
      </w:r>
      <w:r w:rsidRPr="00EE2DD3">
        <w:rPr>
          <w:rFonts w:ascii="Calibri" w:eastAsia="Calibri" w:hAnsi="Calibri" w:cs="Calibri"/>
          <w:color w:val="000000"/>
          <w:spacing w:val="-4"/>
        </w:rPr>
        <w:t xml:space="preserve"> DI2026-52), is also made under section 96 of the Road Transport (General) Act.  It determines fees in relation to vehicle registration and similar purposes.  The explanatory statement for the instrument states:</w:t>
      </w:r>
    </w:p>
    <w:p w14:paraId="7BA3C4CB" w14:textId="77777777" w:rsidR="00EE2DD3" w:rsidRPr="00EE2DD3" w:rsidRDefault="00EE2DD3" w:rsidP="00DD6028">
      <w:pPr>
        <w:pStyle w:val="Quote"/>
        <w:spacing w:before="120" w:after="0"/>
      </w:pPr>
      <w:r w:rsidRPr="00EE2DD3">
        <w:t xml:space="preserve">This instrument determines fees, payable for transactions relating to vehicle registration and related fees under the road transport legislation. </w:t>
      </w:r>
    </w:p>
    <w:p w14:paraId="54C195C2" w14:textId="77777777" w:rsidR="00EE2DD3" w:rsidRPr="00EE2DD3" w:rsidRDefault="00EE2DD3" w:rsidP="00DD6028">
      <w:pPr>
        <w:pStyle w:val="Quote"/>
        <w:spacing w:before="120" w:after="0"/>
      </w:pPr>
      <w:r w:rsidRPr="00EE2DD3">
        <w:t>To prevent delays to implementing other registration fee changes, this instrument was notified without amendment to the Regulatory Component of heavy vehicle registration charges. This was due to the Regulatory Component of heavy vehicle registration charges having not been finalised at the time of notification of that instrument. The Regulatory Component of heavy vehicle registration charges in items 16.1 to 20.3 in Schedule 1 of the Instrument will be amended in line with advice from the National Transport Commission following agreement of the fees by the Infrastructure and Transport Ministers’ Meeting through a later instrument.</w:t>
      </w:r>
    </w:p>
    <w:p w14:paraId="219B109D" w14:textId="77777777" w:rsidR="00EE2DD3" w:rsidRPr="00EE2DD3" w:rsidRDefault="00EE2DD3" w:rsidP="00737F13">
      <w:pPr>
        <w:pStyle w:val="Quote"/>
      </w:pPr>
      <w:r w:rsidRPr="00EE2DD3">
        <w:t>Emission-Based Registration charges in Items 1, 2, 7, 1A and 2A of Schedule 1 have been increased in line with decisions of the Expenditure Review Committee.</w:t>
      </w:r>
    </w:p>
    <w:p w14:paraId="54D92868" w14:textId="77777777" w:rsidR="00EE2DD3" w:rsidRPr="00EE2DD3" w:rsidRDefault="00EE2DD3" w:rsidP="00737F13">
      <w:pPr>
        <w:pStyle w:val="Quote"/>
      </w:pPr>
      <w:r w:rsidRPr="00EE2DD3">
        <w:lastRenderedPageBreak/>
        <w:t xml:space="preserve">Other fees are indexed by 3.85%, incorporating the estimated 2025/26 WPI of 3.5% in line with budget memo 2025/32 and an additional 0.35% as per Budget Memo 2024/14. </w:t>
      </w:r>
    </w:p>
    <w:p w14:paraId="29F001AA" w14:textId="77777777" w:rsidR="00EE2DD3" w:rsidRPr="00EE2DD3" w:rsidRDefault="00EE2DD3" w:rsidP="00737F13">
      <w:pPr>
        <w:pStyle w:val="Quote"/>
      </w:pPr>
      <w:r w:rsidRPr="00EE2DD3">
        <w:t xml:space="preserve">The surcharge for short-term registration periods has not been increased. </w:t>
      </w:r>
    </w:p>
    <w:p w14:paraId="777C8F1A" w14:textId="77777777" w:rsidR="00EE2DD3" w:rsidRPr="00EE2DD3" w:rsidRDefault="00EE2DD3" w:rsidP="00737F13">
      <w:pPr>
        <w:pStyle w:val="Quote"/>
      </w:pPr>
      <w:r w:rsidRPr="00EE2DD3">
        <w:t xml:space="preserve"> Fees are rounded down to the nearest ten cents. </w:t>
      </w:r>
    </w:p>
    <w:p w14:paraId="008AC911" w14:textId="1BB4BFF0" w:rsidR="00EE2DD3" w:rsidRPr="00EE2DD3" w:rsidRDefault="00EE2DD3" w:rsidP="00737F13">
      <w:pPr>
        <w:pStyle w:val="ListNumber2"/>
        <w:numPr>
          <w:ilvl w:val="1"/>
          <w:numId w:val="4"/>
        </w:numPr>
        <w:spacing w:before="120" w:after="0"/>
        <w:ind w:left="851" w:hanging="851"/>
        <w:rPr>
          <w:rFonts w:ascii="Calibri" w:eastAsia="Calibri" w:hAnsi="Calibri" w:cs="Calibri"/>
          <w:color w:val="000000"/>
          <w:spacing w:val="-4"/>
        </w:rPr>
      </w:pPr>
      <w:r w:rsidRPr="00EE2DD3">
        <w:rPr>
          <w:rFonts w:ascii="Calibri" w:eastAsia="Calibri" w:hAnsi="Calibri" w:cs="Calibri"/>
          <w:color w:val="000000"/>
          <w:spacing w:val="-4"/>
        </w:rPr>
        <w:t>The tenth instrument mentioned above (i</w:t>
      </w:r>
      <w:r w:rsidR="000B0C3C">
        <w:rPr>
          <w:rFonts w:ascii="Calibri" w:eastAsia="Calibri" w:hAnsi="Calibri" w:cs="Calibri"/>
          <w:color w:val="000000"/>
          <w:spacing w:val="-4"/>
        </w:rPr>
        <w:t>.</w:t>
      </w:r>
      <w:r w:rsidRPr="00EE2DD3">
        <w:rPr>
          <w:rFonts w:ascii="Calibri" w:eastAsia="Calibri" w:hAnsi="Calibri" w:cs="Calibri"/>
          <w:color w:val="000000"/>
          <w:spacing w:val="-4"/>
        </w:rPr>
        <w:t>e</w:t>
      </w:r>
      <w:r w:rsidR="000B0C3C">
        <w:rPr>
          <w:rFonts w:ascii="Calibri" w:eastAsia="Calibri" w:hAnsi="Calibri" w:cs="Calibri"/>
          <w:color w:val="000000"/>
          <w:spacing w:val="-4"/>
        </w:rPr>
        <w:t>.</w:t>
      </w:r>
      <w:r w:rsidRPr="00EE2DD3">
        <w:rPr>
          <w:rFonts w:ascii="Calibri" w:eastAsia="Calibri" w:hAnsi="Calibri" w:cs="Calibri"/>
          <w:color w:val="000000"/>
          <w:spacing w:val="-4"/>
        </w:rPr>
        <w:t xml:space="preserve"> DI2026-54), made under section 144 of the </w:t>
      </w:r>
      <w:r w:rsidRPr="00EE2DD3">
        <w:rPr>
          <w:rFonts w:ascii="Calibri" w:eastAsia="Calibri" w:hAnsi="Calibri" w:cs="Calibri"/>
          <w:i/>
          <w:iCs/>
          <w:color w:val="000000"/>
          <w:spacing w:val="-4"/>
        </w:rPr>
        <w:t>Veterinary Practice Act 2018</w:t>
      </w:r>
      <w:r w:rsidRPr="00EE2DD3">
        <w:rPr>
          <w:rFonts w:ascii="Calibri" w:eastAsia="Calibri" w:hAnsi="Calibri" w:cs="Calibri"/>
          <w:color w:val="000000"/>
          <w:spacing w:val="-4"/>
        </w:rPr>
        <w:t>, determines fees for that Act.  The explanatory statement for the instrument states:</w:t>
      </w:r>
    </w:p>
    <w:p w14:paraId="675044F3" w14:textId="77777777" w:rsidR="00EE2DD3" w:rsidRPr="00EE2DD3" w:rsidRDefault="00EE2DD3" w:rsidP="00737F13">
      <w:pPr>
        <w:pStyle w:val="Quote"/>
      </w:pPr>
      <w:r w:rsidRPr="00EE2DD3">
        <w:t>All fees have been increased by 3.25%. These increases are deemed to be reasonable and in line with the WPI rate.</w:t>
      </w:r>
    </w:p>
    <w:p w14:paraId="0D720BD4" w14:textId="77777777" w:rsidR="00EE2DD3" w:rsidRPr="00EE2DD3" w:rsidRDefault="00EE2DD3" w:rsidP="00737F13">
      <w:pPr>
        <w:pStyle w:val="Quote"/>
      </w:pPr>
      <w:r w:rsidRPr="00EE2DD3">
        <w:t>Fees have been rounded to the nearest whole dollar for cash handling purposes.</w:t>
      </w:r>
    </w:p>
    <w:p w14:paraId="08EF17E4" w14:textId="4B6D4E0C" w:rsidR="00EE2DD3" w:rsidRPr="00EE4967" w:rsidRDefault="00EE2DD3" w:rsidP="00EE4967">
      <w:pPr>
        <w:pStyle w:val="ListNumber2"/>
        <w:numPr>
          <w:ilvl w:val="1"/>
          <w:numId w:val="4"/>
        </w:numPr>
        <w:spacing w:before="120" w:after="0"/>
        <w:ind w:left="851" w:hanging="851"/>
        <w:rPr>
          <w:rFonts w:ascii="Calibri" w:eastAsia="Calibri" w:hAnsi="Calibri" w:cs="Calibri"/>
          <w:b/>
          <w:color w:val="000000"/>
          <w:spacing w:val="-4"/>
        </w:rPr>
      </w:pPr>
      <w:r w:rsidRPr="00EE2DD3">
        <w:rPr>
          <w:rFonts w:ascii="Calibri" w:eastAsia="Calibri" w:hAnsi="Calibri" w:cs="Calibri"/>
          <w:b/>
          <w:color w:val="000000"/>
          <w:spacing w:val="-4"/>
        </w:rPr>
        <w:t>This comment does not require a response from the relevant Ministers.</w:t>
      </w:r>
    </w:p>
    <w:p w14:paraId="577432DC" w14:textId="6F622BE4" w:rsidR="00EE2DD3" w:rsidRPr="00EE2DD3" w:rsidRDefault="00EE2DD3" w:rsidP="00514770">
      <w:pPr>
        <w:pStyle w:val="Heading3"/>
        <w:rPr>
          <w:rFonts w:eastAsia="Times New Roman"/>
        </w:rPr>
      </w:pPr>
      <w:bookmarkStart w:id="114" w:name="_Toc230939466"/>
      <w:r w:rsidRPr="00EE2DD3">
        <w:rPr>
          <w:rFonts w:eastAsia="Times New Roman"/>
        </w:rPr>
        <w:t xml:space="preserve">Human </w:t>
      </w:r>
      <w:r w:rsidR="00DD6028">
        <w:rPr>
          <w:rFonts w:eastAsia="Times New Roman"/>
        </w:rPr>
        <w:t>r</w:t>
      </w:r>
      <w:r w:rsidRPr="00EE2DD3">
        <w:rPr>
          <w:rFonts w:eastAsia="Times New Roman"/>
        </w:rPr>
        <w:t xml:space="preserve">ights </w:t>
      </w:r>
      <w:r w:rsidR="00DD6028">
        <w:rPr>
          <w:rFonts w:eastAsia="Times New Roman"/>
        </w:rPr>
        <w:t>i</w:t>
      </w:r>
      <w:r w:rsidRPr="00EE2DD3">
        <w:rPr>
          <w:rFonts w:eastAsia="Times New Roman"/>
        </w:rPr>
        <w:t>ssues</w:t>
      </w:r>
      <w:bookmarkEnd w:id="114"/>
    </w:p>
    <w:p w14:paraId="5EBBF18C" w14:textId="77777777" w:rsidR="00737F13" w:rsidRPr="00842199" w:rsidRDefault="00737F13" w:rsidP="00737F13">
      <w:pPr>
        <w:numPr>
          <w:ilvl w:val="0"/>
          <w:numId w:val="31"/>
        </w:numPr>
        <w:spacing w:before="120" w:after="0"/>
        <w:ind w:left="1211"/>
        <w:rPr>
          <w:b/>
        </w:rPr>
      </w:pPr>
      <w:r>
        <w:rPr>
          <w:b/>
        </w:rPr>
        <w:t>Disallowable Instrument</w:t>
      </w:r>
      <w:r w:rsidRPr="00451C85">
        <w:rPr>
          <w:b/>
        </w:rPr>
        <w:t xml:space="preserve"> </w:t>
      </w:r>
      <w:r>
        <w:rPr>
          <w:b/>
        </w:rPr>
        <w:t>DI2026-41</w:t>
      </w:r>
      <w:r w:rsidRPr="00451C85">
        <w:rPr>
          <w:b/>
        </w:rPr>
        <w:t xml:space="preserve"> being the </w:t>
      </w:r>
      <w:r>
        <w:rPr>
          <w:b/>
        </w:rPr>
        <w:t xml:space="preserve">Road Transport (General) Application of Road Transport Legislation (Corroboree Group Oval Manuka) Declaration 2026 (No 1) made under section 12 of the </w:t>
      </w:r>
      <w:r>
        <w:rPr>
          <w:i/>
        </w:rPr>
        <w:t>Road Transport (General) Act 1999</w:t>
      </w:r>
      <w:r w:rsidRPr="00236BDD">
        <w:rPr>
          <w:b/>
        </w:rPr>
        <w:t xml:space="preserve"> </w:t>
      </w:r>
      <w:r>
        <w:rPr>
          <w:b/>
        </w:rPr>
        <w:t xml:space="preserve">empowers the Minister to declare that a provision of the road transport legislation does not apply to a road or road related area. </w:t>
      </w:r>
    </w:p>
    <w:p w14:paraId="6B2E5E40" w14:textId="1024B172" w:rsidR="00737F13" w:rsidRPr="00842199" w:rsidRDefault="00737F13" w:rsidP="00737F13">
      <w:pPr>
        <w:numPr>
          <w:ilvl w:val="0"/>
          <w:numId w:val="31"/>
        </w:numPr>
        <w:spacing w:before="120" w:after="0"/>
        <w:ind w:left="1211"/>
        <w:rPr>
          <w:b/>
        </w:rPr>
      </w:pPr>
      <w:r>
        <w:rPr>
          <w:b/>
        </w:rPr>
        <w:t>Disallowable Instrument</w:t>
      </w:r>
      <w:r w:rsidRPr="00451C85">
        <w:rPr>
          <w:b/>
        </w:rPr>
        <w:t xml:space="preserve"> </w:t>
      </w:r>
      <w:r>
        <w:rPr>
          <w:b/>
        </w:rPr>
        <w:t>DI2026-42</w:t>
      </w:r>
      <w:r w:rsidRPr="00451C85">
        <w:rPr>
          <w:b/>
        </w:rPr>
        <w:t xml:space="preserve"> being the </w:t>
      </w:r>
      <w:proofErr w:type="gramStart"/>
      <w:r>
        <w:rPr>
          <w:b/>
        </w:rPr>
        <w:t>Building</w:t>
      </w:r>
      <w:proofErr w:type="gramEnd"/>
      <w:r>
        <w:rPr>
          <w:b/>
        </w:rPr>
        <w:t xml:space="preserve"> (ACT Appendix to the Building Code) Determination 2026 made under subsection 136(3) of the </w:t>
      </w:r>
      <w:r w:rsidRPr="00F60230">
        <w:rPr>
          <w:bCs/>
          <w:i/>
          <w:iCs/>
        </w:rPr>
        <w:t>Building Act 2004</w:t>
      </w:r>
      <w:r w:rsidRPr="00236BDD">
        <w:rPr>
          <w:b/>
        </w:rPr>
        <w:t xml:space="preserve"> </w:t>
      </w:r>
      <w:r>
        <w:rPr>
          <w:b/>
        </w:rPr>
        <w:t xml:space="preserve">revokes DI2023-304 and makes ACT appendix to the Building Code of Australia. </w:t>
      </w:r>
    </w:p>
    <w:p w14:paraId="6CE2A7A5" w14:textId="77777777" w:rsidR="00737F13" w:rsidRPr="00842199" w:rsidRDefault="00737F13" w:rsidP="00737F13">
      <w:pPr>
        <w:numPr>
          <w:ilvl w:val="0"/>
          <w:numId w:val="31"/>
        </w:numPr>
        <w:spacing w:before="120" w:after="0"/>
        <w:ind w:left="1211"/>
        <w:rPr>
          <w:b/>
        </w:rPr>
      </w:pPr>
      <w:r>
        <w:rPr>
          <w:b/>
        </w:rPr>
        <w:t>Disallowable Instrument</w:t>
      </w:r>
      <w:r w:rsidRPr="00451C85">
        <w:rPr>
          <w:b/>
        </w:rPr>
        <w:t xml:space="preserve"> </w:t>
      </w:r>
      <w:r>
        <w:rPr>
          <w:b/>
        </w:rPr>
        <w:t>DI2026-43</w:t>
      </w:r>
      <w:r w:rsidRPr="00451C85">
        <w:rPr>
          <w:b/>
        </w:rPr>
        <w:t xml:space="preserve"> being the </w:t>
      </w:r>
      <w:proofErr w:type="gramStart"/>
      <w:r>
        <w:rPr>
          <w:b/>
        </w:rPr>
        <w:t>Building</w:t>
      </w:r>
      <w:proofErr w:type="gramEnd"/>
      <w:r>
        <w:rPr>
          <w:b/>
        </w:rPr>
        <w:t xml:space="preserve"> (General) (Alternative requirements for unaltered parts) Determination 2026 made under section 24 of the </w:t>
      </w:r>
      <w:proofErr w:type="gramStart"/>
      <w:r w:rsidRPr="00F60230">
        <w:rPr>
          <w:bCs/>
          <w:i/>
          <w:iCs/>
        </w:rPr>
        <w:t>Building</w:t>
      </w:r>
      <w:proofErr w:type="gramEnd"/>
      <w:r w:rsidRPr="00F60230">
        <w:rPr>
          <w:bCs/>
          <w:i/>
          <w:iCs/>
        </w:rPr>
        <w:t xml:space="preserve"> (General) Regulation 2008</w:t>
      </w:r>
      <w:r w:rsidRPr="00236BDD">
        <w:rPr>
          <w:b/>
        </w:rPr>
        <w:t xml:space="preserve"> </w:t>
      </w:r>
      <w:r>
        <w:rPr>
          <w:b/>
        </w:rPr>
        <w:t xml:space="preserve">revokes DI2024-83 and contains provisions relating to alternative requirements to the Building Code of Australia that apply to unaltered parts of substantially altered class 1, 10a or 10b buildings. </w:t>
      </w:r>
    </w:p>
    <w:p w14:paraId="771362DA" w14:textId="40E9EDB5" w:rsidR="00737F13" w:rsidRPr="00842199" w:rsidRDefault="00737F13" w:rsidP="00737F13">
      <w:pPr>
        <w:numPr>
          <w:ilvl w:val="0"/>
          <w:numId w:val="31"/>
        </w:numPr>
        <w:spacing w:before="120" w:after="0"/>
        <w:ind w:left="1211"/>
        <w:rPr>
          <w:b/>
        </w:rPr>
      </w:pPr>
      <w:r>
        <w:rPr>
          <w:b/>
        </w:rPr>
        <w:t>Disallowable Instrument</w:t>
      </w:r>
      <w:r w:rsidRPr="00451C85">
        <w:rPr>
          <w:b/>
        </w:rPr>
        <w:t xml:space="preserve"> </w:t>
      </w:r>
      <w:r>
        <w:rPr>
          <w:b/>
        </w:rPr>
        <w:t>DI2026-57</w:t>
      </w:r>
      <w:r w:rsidRPr="00451C85">
        <w:rPr>
          <w:b/>
        </w:rPr>
        <w:t xml:space="preserve"> being the </w:t>
      </w:r>
      <w:r>
        <w:rPr>
          <w:b/>
        </w:rPr>
        <w:t xml:space="preserve">Planning (Protected Matters) Declaration Revocation 2026 made under section 221 of the </w:t>
      </w:r>
      <w:r w:rsidRPr="00F60230">
        <w:rPr>
          <w:bCs/>
          <w:i/>
          <w:iCs/>
        </w:rPr>
        <w:t>Planning Act 2023</w:t>
      </w:r>
      <w:r w:rsidRPr="00236BDD">
        <w:rPr>
          <w:b/>
        </w:rPr>
        <w:t xml:space="preserve"> </w:t>
      </w:r>
      <w:r>
        <w:rPr>
          <w:b/>
        </w:rPr>
        <w:t xml:space="preserve">revokes DI2023-268 and provides that the Minister may declare a matter to be </w:t>
      </w:r>
      <w:r w:rsidR="00F60230">
        <w:rPr>
          <w:b/>
        </w:rPr>
        <w:br/>
      </w:r>
      <w:r>
        <w:rPr>
          <w:b/>
        </w:rPr>
        <w:t xml:space="preserve">a protected matter. </w:t>
      </w:r>
    </w:p>
    <w:p w14:paraId="1CB3D044" w14:textId="77777777" w:rsidR="00EE2DD3" w:rsidRPr="00EE2DD3" w:rsidRDefault="00EE2DD3" w:rsidP="00737F13">
      <w:pPr>
        <w:pStyle w:val="ListNumber2"/>
        <w:numPr>
          <w:ilvl w:val="1"/>
          <w:numId w:val="4"/>
        </w:numPr>
        <w:spacing w:before="120" w:after="0"/>
        <w:ind w:left="851" w:hanging="851"/>
        <w:rPr>
          <w:rFonts w:ascii="Calibri" w:eastAsia="Times New Roman" w:hAnsi="Calibri" w:cs="Calibri"/>
          <w:color w:val="000000"/>
          <w:lang w:eastAsia="en-AU"/>
        </w:rPr>
      </w:pPr>
      <w:r w:rsidRPr="00EE2DD3">
        <w:rPr>
          <w:rFonts w:ascii="Calibri" w:eastAsia="Times New Roman" w:hAnsi="Calibri" w:cs="Calibri"/>
          <w:color w:val="000000"/>
          <w:lang w:eastAsia="en-AU"/>
        </w:rPr>
        <w:t xml:space="preserve">The Committee notes that the explanatory statement for each of the instruments mentioned above contains a statement that the instrument does </w:t>
      </w:r>
      <w:r w:rsidRPr="00EE2DD3">
        <w:rPr>
          <w:rFonts w:ascii="Calibri" w:eastAsia="Times New Roman" w:hAnsi="Calibri" w:cs="Calibri"/>
          <w:color w:val="000000"/>
          <w:u w:val="single"/>
          <w:lang w:eastAsia="en-AU"/>
        </w:rPr>
        <w:t>not</w:t>
      </w:r>
      <w:r w:rsidRPr="00EE2DD3">
        <w:rPr>
          <w:rFonts w:ascii="Calibri" w:eastAsia="Times New Roman" w:hAnsi="Calibri" w:cs="Calibri"/>
          <w:color w:val="000000"/>
          <w:lang w:eastAsia="en-AU"/>
        </w:rPr>
        <w:t xml:space="preserve"> engage human rights.</w:t>
      </w:r>
    </w:p>
    <w:p w14:paraId="39497395" w14:textId="77777777" w:rsidR="00EE2DD3" w:rsidRPr="00EE2DD3" w:rsidRDefault="00EE2DD3" w:rsidP="00737F13">
      <w:pPr>
        <w:pStyle w:val="ListNumber2"/>
        <w:numPr>
          <w:ilvl w:val="1"/>
          <w:numId w:val="4"/>
        </w:numPr>
        <w:spacing w:before="120" w:after="0"/>
        <w:ind w:left="851" w:hanging="851"/>
        <w:rPr>
          <w:rFonts w:ascii="Calibri" w:eastAsia="Times New Roman" w:hAnsi="Calibri" w:cs="Calibri"/>
          <w:b/>
          <w:lang w:eastAsia="en-AU"/>
        </w:rPr>
      </w:pPr>
      <w:r w:rsidRPr="00EE2DD3">
        <w:rPr>
          <w:rFonts w:ascii="Calibri" w:eastAsia="Times New Roman" w:hAnsi="Calibri" w:cs="Calibri"/>
          <w:b/>
          <w:lang w:eastAsia="en-AU"/>
        </w:rPr>
        <w:t>The Committee draws the attention of the Legislative Assembly to the discussion of human rights issues in the explanatory statements for these instruments.</w:t>
      </w:r>
    </w:p>
    <w:p w14:paraId="51E3DB6B" w14:textId="77777777" w:rsidR="00EE2DD3" w:rsidRPr="00EE2DD3" w:rsidRDefault="00EE2DD3" w:rsidP="00737F13">
      <w:pPr>
        <w:pStyle w:val="ListNumber2"/>
        <w:numPr>
          <w:ilvl w:val="1"/>
          <w:numId w:val="4"/>
        </w:numPr>
        <w:spacing w:before="120" w:after="0"/>
        <w:ind w:left="851" w:hanging="851"/>
        <w:rPr>
          <w:rFonts w:ascii="Calibri" w:eastAsia="Times New Roman" w:hAnsi="Calibri" w:cs="Calibri"/>
          <w:b/>
          <w:lang w:eastAsia="en-AU"/>
        </w:rPr>
      </w:pPr>
      <w:r w:rsidRPr="00EE2DD3">
        <w:rPr>
          <w:rFonts w:ascii="Calibri" w:eastAsia="Times New Roman" w:hAnsi="Calibri" w:cs="Calibri"/>
          <w:b/>
          <w:lang w:eastAsia="en-AU"/>
        </w:rPr>
        <w:t>This comment does not require a response from the relevant Ministers.</w:t>
      </w:r>
    </w:p>
    <w:p w14:paraId="2D656BDE" w14:textId="612E99B5" w:rsidR="00EE2DD3" w:rsidRPr="00EE2DD3" w:rsidRDefault="00EE2DD3" w:rsidP="009156A6">
      <w:pPr>
        <w:pStyle w:val="Heading4"/>
        <w:rPr>
          <w:rFonts w:eastAsia="Times New Roman"/>
        </w:rPr>
      </w:pPr>
      <w:bookmarkStart w:id="115" w:name="_Toc230939467"/>
      <w:r w:rsidRPr="00EE2DD3">
        <w:rPr>
          <w:rFonts w:eastAsia="Times New Roman"/>
        </w:rPr>
        <w:lastRenderedPageBreak/>
        <w:t xml:space="preserve">Disapplication of subsection 47(6) of the </w:t>
      </w:r>
      <w:r w:rsidRPr="00737F13">
        <w:rPr>
          <w:rFonts w:eastAsia="Times New Roman"/>
          <w:i/>
        </w:rPr>
        <w:t>Legislation Act 2001</w:t>
      </w:r>
      <w:r w:rsidRPr="00EE2DD3">
        <w:rPr>
          <w:rFonts w:eastAsia="Times New Roman"/>
        </w:rPr>
        <w:t xml:space="preserve"> / Human </w:t>
      </w:r>
      <w:r w:rsidR="0069272A">
        <w:rPr>
          <w:rFonts w:eastAsia="Times New Roman"/>
        </w:rPr>
        <w:t>r</w:t>
      </w:r>
      <w:r w:rsidRPr="00EE2DD3">
        <w:rPr>
          <w:rFonts w:eastAsia="Times New Roman"/>
        </w:rPr>
        <w:t xml:space="preserve">ights </w:t>
      </w:r>
      <w:r w:rsidR="0069272A">
        <w:rPr>
          <w:rFonts w:eastAsia="Times New Roman"/>
        </w:rPr>
        <w:t>i</w:t>
      </w:r>
      <w:r w:rsidRPr="00EE2DD3">
        <w:rPr>
          <w:rFonts w:eastAsia="Times New Roman"/>
        </w:rPr>
        <w:t>ssues</w:t>
      </w:r>
      <w:bookmarkEnd w:id="115"/>
    </w:p>
    <w:p w14:paraId="5AA15A7B" w14:textId="77777777" w:rsidR="00737F13" w:rsidRPr="00842199" w:rsidRDefault="00737F13" w:rsidP="009156A6">
      <w:pPr>
        <w:keepNext/>
        <w:keepLines/>
        <w:numPr>
          <w:ilvl w:val="0"/>
          <w:numId w:val="31"/>
        </w:numPr>
        <w:spacing w:before="120" w:after="0"/>
        <w:ind w:left="1211"/>
        <w:rPr>
          <w:b/>
        </w:rPr>
      </w:pPr>
      <w:r>
        <w:rPr>
          <w:b/>
        </w:rPr>
        <w:t>Disallowable Instrument</w:t>
      </w:r>
      <w:r w:rsidRPr="00451C85">
        <w:rPr>
          <w:b/>
        </w:rPr>
        <w:t xml:space="preserve"> </w:t>
      </w:r>
      <w:r>
        <w:rPr>
          <w:b/>
        </w:rPr>
        <w:t>DI2026-55</w:t>
      </w:r>
      <w:r w:rsidRPr="00451C85">
        <w:rPr>
          <w:b/>
        </w:rPr>
        <w:t xml:space="preserve"> being the </w:t>
      </w:r>
      <w:r>
        <w:rPr>
          <w:b/>
        </w:rPr>
        <w:t xml:space="preserve">Water and Sewerage (ACT Appendix to the Plumbing Code) Determination 2026 made under subsection 44C of the </w:t>
      </w:r>
      <w:r w:rsidRPr="00F60230">
        <w:rPr>
          <w:bCs/>
          <w:i/>
          <w:iCs/>
        </w:rPr>
        <w:t>Water and Sewerage Act 2000</w:t>
      </w:r>
      <w:r w:rsidRPr="00236BDD">
        <w:rPr>
          <w:b/>
        </w:rPr>
        <w:t xml:space="preserve"> </w:t>
      </w:r>
      <w:r>
        <w:rPr>
          <w:b/>
        </w:rPr>
        <w:t xml:space="preserve">revokes DI2023-68 and makes the ACT appendix to the Plumbing Code of Australia. </w:t>
      </w:r>
    </w:p>
    <w:p w14:paraId="7B1910EC" w14:textId="77777777" w:rsidR="00737F13" w:rsidRPr="00842199" w:rsidRDefault="00737F13" w:rsidP="00737F13">
      <w:pPr>
        <w:numPr>
          <w:ilvl w:val="0"/>
          <w:numId w:val="31"/>
        </w:numPr>
        <w:spacing w:before="120" w:after="0"/>
        <w:ind w:left="1211"/>
        <w:rPr>
          <w:b/>
        </w:rPr>
      </w:pPr>
      <w:r>
        <w:rPr>
          <w:b/>
        </w:rPr>
        <w:t>Disallowable Instrument</w:t>
      </w:r>
      <w:r w:rsidRPr="00451C85">
        <w:rPr>
          <w:b/>
        </w:rPr>
        <w:t xml:space="preserve"> </w:t>
      </w:r>
      <w:r>
        <w:rPr>
          <w:b/>
        </w:rPr>
        <w:t>DI2026-56</w:t>
      </w:r>
      <w:r w:rsidRPr="00451C85">
        <w:rPr>
          <w:b/>
        </w:rPr>
        <w:t xml:space="preserve"> being the </w:t>
      </w:r>
      <w:proofErr w:type="gramStart"/>
      <w:r>
        <w:rPr>
          <w:b/>
        </w:rPr>
        <w:t>Building</w:t>
      </w:r>
      <w:proofErr w:type="gramEnd"/>
      <w:r>
        <w:rPr>
          <w:b/>
        </w:rPr>
        <w:t xml:space="preserve"> (ACT Appendix to the Building Code) Determination 2026 (No 2) made under subsection 136 of the </w:t>
      </w:r>
      <w:r w:rsidRPr="00F60230">
        <w:rPr>
          <w:bCs/>
          <w:i/>
          <w:iCs/>
        </w:rPr>
        <w:t>Building Act 2004</w:t>
      </w:r>
      <w:r w:rsidRPr="00236BDD">
        <w:rPr>
          <w:b/>
        </w:rPr>
        <w:t xml:space="preserve"> </w:t>
      </w:r>
      <w:r>
        <w:rPr>
          <w:b/>
        </w:rPr>
        <w:t xml:space="preserve">revokes DI2026-42 and makes the ACT appendix to the Building Code of Australia. </w:t>
      </w:r>
    </w:p>
    <w:p w14:paraId="39C03457" w14:textId="77777777" w:rsidR="00EE2DD3" w:rsidRPr="00EE2DD3" w:rsidRDefault="00EE2DD3" w:rsidP="00737F13">
      <w:pPr>
        <w:pStyle w:val="ListNumber2"/>
        <w:numPr>
          <w:ilvl w:val="1"/>
          <w:numId w:val="4"/>
        </w:numPr>
        <w:spacing w:before="120" w:after="0"/>
        <w:ind w:left="851" w:hanging="851"/>
        <w:rPr>
          <w:rFonts w:ascii="Calibri" w:eastAsia="Times New Roman" w:hAnsi="Calibri" w:cs="Calibri"/>
          <w:color w:val="000000"/>
          <w:lang w:eastAsia="en-AU"/>
        </w:rPr>
      </w:pPr>
      <w:r w:rsidRPr="00EE2DD3">
        <w:rPr>
          <w:rFonts w:ascii="Calibri" w:eastAsia="Times New Roman" w:hAnsi="Calibri" w:cs="Calibri"/>
          <w:color w:val="000000"/>
          <w:lang w:eastAsia="en-AU"/>
        </w:rPr>
        <w:t xml:space="preserve">The first instrument mentioned above, made under section 44C of the </w:t>
      </w:r>
      <w:r w:rsidRPr="00EE2DD3">
        <w:rPr>
          <w:rFonts w:ascii="Calibri" w:eastAsia="Times New Roman" w:hAnsi="Calibri" w:cs="Calibri"/>
          <w:i/>
          <w:iCs/>
          <w:color w:val="000000"/>
          <w:lang w:eastAsia="en-AU"/>
        </w:rPr>
        <w:t>Water and Sewerage Act 2000</w:t>
      </w:r>
      <w:r w:rsidRPr="00EE2DD3">
        <w:rPr>
          <w:rFonts w:ascii="Calibri" w:eastAsia="Times New Roman" w:hAnsi="Calibri" w:cs="Calibri"/>
          <w:color w:val="000000"/>
          <w:lang w:eastAsia="en-AU"/>
        </w:rPr>
        <w:t>, makes an ACT Appendix to the Plumbing Code of Australia.  The Appendix enacts ACT-specific requirements, effectively amending the Plumbing Code of Australia (</w:t>
      </w:r>
      <w:r w:rsidRPr="00EE2DD3">
        <w:rPr>
          <w:rFonts w:ascii="Calibri" w:eastAsia="Times New Roman" w:hAnsi="Calibri" w:cs="Calibri"/>
          <w:b/>
          <w:color w:val="000000"/>
          <w:lang w:eastAsia="en-AU"/>
        </w:rPr>
        <w:t>PCA</w:t>
      </w:r>
      <w:r w:rsidRPr="00EE2DD3">
        <w:rPr>
          <w:rFonts w:ascii="Calibri" w:eastAsia="Times New Roman" w:hAnsi="Calibri" w:cs="Calibri"/>
          <w:color w:val="000000"/>
          <w:lang w:eastAsia="en-AU"/>
        </w:rPr>
        <w:t>), for its application to the ACT.</w:t>
      </w:r>
    </w:p>
    <w:p w14:paraId="1DA4BF81" w14:textId="77777777" w:rsidR="00EE2DD3" w:rsidRPr="00EE2DD3" w:rsidRDefault="00EE2DD3" w:rsidP="00737F13">
      <w:pPr>
        <w:pStyle w:val="ListNumber2"/>
        <w:numPr>
          <w:ilvl w:val="1"/>
          <w:numId w:val="4"/>
        </w:numPr>
        <w:spacing w:before="120" w:after="0"/>
        <w:ind w:left="851" w:hanging="851"/>
        <w:rPr>
          <w:rFonts w:ascii="Calibri" w:eastAsia="Times New Roman" w:hAnsi="Calibri" w:cs="Calibri"/>
          <w:color w:val="000000"/>
          <w:lang w:eastAsia="en-AU"/>
        </w:rPr>
      </w:pPr>
      <w:r w:rsidRPr="00EE2DD3">
        <w:rPr>
          <w:rFonts w:ascii="Calibri" w:eastAsia="Times New Roman" w:hAnsi="Calibri" w:cs="Calibri"/>
          <w:color w:val="000000"/>
          <w:lang w:eastAsia="en-AU"/>
        </w:rPr>
        <w:t>Section 5 of the instrument provides:</w:t>
      </w:r>
    </w:p>
    <w:p w14:paraId="54537FCB" w14:textId="77777777" w:rsidR="00EE2DD3" w:rsidRPr="00737F13" w:rsidRDefault="00EE2DD3" w:rsidP="00DD6028">
      <w:pPr>
        <w:pStyle w:val="Quote"/>
        <w:spacing w:before="120" w:after="0"/>
        <w:rPr>
          <w:b/>
          <w:bCs/>
        </w:rPr>
      </w:pPr>
      <w:r w:rsidRPr="00EE2DD3">
        <w:t>5</w:t>
      </w:r>
      <w:r w:rsidRPr="00EE2DD3">
        <w:tab/>
      </w:r>
      <w:r w:rsidRPr="00737F13">
        <w:rPr>
          <w:b/>
          <w:bCs/>
        </w:rPr>
        <w:t>Disapplication of notification requirement</w:t>
      </w:r>
    </w:p>
    <w:p w14:paraId="225A76F9" w14:textId="77777777" w:rsidR="00EE2DD3" w:rsidRPr="00EE2DD3" w:rsidRDefault="00EE2DD3" w:rsidP="00DD6028">
      <w:pPr>
        <w:pStyle w:val="Quote"/>
        <w:spacing w:before="120" w:after="0"/>
        <w:rPr>
          <w:bCs/>
        </w:rPr>
      </w:pPr>
      <w:r w:rsidRPr="00EE2DD3">
        <w:rPr>
          <w:bCs/>
        </w:rPr>
        <w:t xml:space="preserve">The </w:t>
      </w:r>
      <w:r w:rsidRPr="00EE2DD3">
        <w:rPr>
          <w:bCs/>
          <w:i/>
          <w:iCs/>
        </w:rPr>
        <w:t>Legislation Act 2001</w:t>
      </w:r>
      <w:r w:rsidRPr="00EE2DD3">
        <w:rPr>
          <w:bCs/>
        </w:rPr>
        <w:t>, section 47(6), does not apply to this instrument.</w:t>
      </w:r>
    </w:p>
    <w:p w14:paraId="0392FB56" w14:textId="77777777" w:rsidR="00EE2DD3" w:rsidRPr="00EE2DD3" w:rsidRDefault="00EE2DD3" w:rsidP="00DD6028">
      <w:pPr>
        <w:pStyle w:val="Quote"/>
        <w:spacing w:before="120" w:after="0"/>
        <w:rPr>
          <w:bCs/>
        </w:rPr>
      </w:pPr>
      <w:r w:rsidRPr="00EE2DD3">
        <w:rPr>
          <w:bCs/>
        </w:rPr>
        <w:t>Note 1</w:t>
      </w:r>
      <w:r w:rsidRPr="00EE2DD3">
        <w:rPr>
          <w:bCs/>
        </w:rPr>
        <w:tab/>
        <w:t xml:space="preserve">Australian Standards are available for purchase at </w:t>
      </w:r>
      <w:hyperlink r:id="rId17" w:tgtFrame="_blank" w:tooltip="http://www.standards.org.au/" w:history="1">
        <w:r w:rsidRPr="00EE2DD3">
          <w:rPr>
            <w:bCs/>
            <w:u w:val="single"/>
          </w:rPr>
          <w:t>www.standards.org.au</w:t>
        </w:r>
      </w:hyperlink>
      <w:r w:rsidRPr="00EE2DD3">
        <w:rPr>
          <w:bCs/>
        </w:rPr>
        <w:t xml:space="preserve">. </w:t>
      </w:r>
      <w:r w:rsidRPr="00EE2DD3">
        <w:rPr>
          <w:bCs/>
        </w:rPr>
        <w:br/>
        <w:t xml:space="preserve">There is also limited, free access to the Australian Standards catalogue for non- commercial purposes at </w:t>
      </w:r>
      <w:hyperlink r:id="rId18" w:history="1">
        <w:r w:rsidRPr="00EE2DD3">
          <w:rPr>
            <w:bCs/>
            <w:u w:val="single"/>
          </w:rPr>
          <w:t>https://readerroom.standards.org.au/</w:t>
        </w:r>
      </w:hyperlink>
      <w:r w:rsidRPr="00EE2DD3">
        <w:rPr>
          <w:bCs/>
        </w:rPr>
        <w:t>.</w:t>
      </w:r>
    </w:p>
    <w:p w14:paraId="38C0D3A8" w14:textId="77777777" w:rsidR="00EE2DD3" w:rsidRPr="00EE2DD3" w:rsidRDefault="00EE2DD3" w:rsidP="00DD6028">
      <w:pPr>
        <w:pStyle w:val="Quote"/>
        <w:spacing w:before="120" w:after="0"/>
        <w:rPr>
          <w:bCs/>
        </w:rPr>
      </w:pPr>
      <w:r w:rsidRPr="00EE2DD3">
        <w:rPr>
          <w:bCs/>
        </w:rPr>
        <w:t>Note 2</w:t>
      </w:r>
      <w:r w:rsidRPr="00EE2DD3">
        <w:rPr>
          <w:bCs/>
        </w:rPr>
        <w:tab/>
        <w:t xml:space="preserve">Free copies of the National Construction Code, which incorporates the Plumbing Code of Australia, are available at </w:t>
      </w:r>
      <w:hyperlink r:id="rId19" w:tgtFrame="_blank" w:tooltip="http://www.abcb.gov.au/" w:history="1">
        <w:r w:rsidRPr="00EE2DD3">
          <w:rPr>
            <w:bCs/>
            <w:u w:val="single"/>
          </w:rPr>
          <w:t>www.abcb.gov.au</w:t>
        </w:r>
      </w:hyperlink>
      <w:r w:rsidRPr="00EE2DD3">
        <w:rPr>
          <w:bCs/>
        </w:rPr>
        <w:t>.</w:t>
      </w:r>
    </w:p>
    <w:p w14:paraId="58849D76" w14:textId="77777777" w:rsidR="00EE2DD3" w:rsidRPr="00EE2DD3" w:rsidRDefault="00EE2DD3" w:rsidP="00737F13">
      <w:pPr>
        <w:pStyle w:val="ListNumber2"/>
        <w:numPr>
          <w:ilvl w:val="1"/>
          <w:numId w:val="4"/>
        </w:numPr>
        <w:spacing w:before="120" w:after="0"/>
        <w:ind w:left="851" w:hanging="851"/>
        <w:rPr>
          <w:rFonts w:ascii="Calibri" w:eastAsia="Times New Roman" w:hAnsi="Calibri" w:cs="Calibri"/>
          <w:color w:val="000000"/>
          <w:lang w:eastAsia="en-AU"/>
        </w:rPr>
      </w:pPr>
      <w:r w:rsidRPr="00EE2DD3">
        <w:rPr>
          <w:rFonts w:ascii="Calibri" w:eastAsia="Times New Roman" w:hAnsi="Calibri" w:cs="Calibri"/>
          <w:color w:val="000000"/>
          <w:lang w:eastAsia="en-AU"/>
        </w:rPr>
        <w:t xml:space="preserve">The disapplication of subsection 47(6) of the </w:t>
      </w:r>
      <w:r w:rsidRPr="00EE2DD3">
        <w:rPr>
          <w:rFonts w:ascii="Calibri" w:eastAsia="Times New Roman" w:hAnsi="Calibri" w:cs="Calibri"/>
          <w:i/>
          <w:iCs/>
          <w:color w:val="000000"/>
          <w:lang w:eastAsia="en-AU"/>
        </w:rPr>
        <w:t xml:space="preserve">Legislation Act 2001 </w:t>
      </w:r>
      <w:r w:rsidRPr="00EE2DD3">
        <w:rPr>
          <w:rFonts w:ascii="Calibri" w:eastAsia="Times New Roman" w:hAnsi="Calibri" w:cs="Calibri"/>
          <w:color w:val="000000"/>
          <w:lang w:eastAsia="en-AU"/>
        </w:rPr>
        <w:t>means that external documents relied on by the instrument – including Australian Standards – are not required to be published on the ACT Legislation Register, as “notifiable instruments”, for section 10 of the Legislation Act.  The Committee has always looked closely at the disapplication of section 47(6), as the Committee considers that it is important that everything relevant to the operative content of legislation is freely available to the public.  The requirement to publish on the ACT Legislation Register external material relied upon, as a notifiable instrument, is a key element of this.</w:t>
      </w:r>
    </w:p>
    <w:p w14:paraId="72999201" w14:textId="77777777" w:rsidR="00EE2DD3" w:rsidRPr="00EE2DD3" w:rsidRDefault="00EE2DD3" w:rsidP="00737F13">
      <w:pPr>
        <w:pStyle w:val="ListNumber2"/>
        <w:numPr>
          <w:ilvl w:val="1"/>
          <w:numId w:val="4"/>
        </w:numPr>
        <w:spacing w:before="120" w:after="0"/>
        <w:ind w:left="851" w:hanging="851"/>
        <w:rPr>
          <w:rFonts w:ascii="Calibri" w:eastAsia="Times New Roman" w:hAnsi="Calibri" w:cs="Calibri"/>
          <w:color w:val="000000"/>
          <w:lang w:eastAsia="en-AU"/>
        </w:rPr>
      </w:pPr>
      <w:r w:rsidRPr="00EE2DD3">
        <w:rPr>
          <w:rFonts w:ascii="Calibri" w:eastAsia="Times New Roman" w:hAnsi="Calibri" w:cs="Calibri"/>
          <w:color w:val="000000"/>
          <w:lang w:eastAsia="en-AU"/>
        </w:rPr>
        <w:t>The explanatory statement for the first instrument mentioned above states:</w:t>
      </w:r>
    </w:p>
    <w:p w14:paraId="08831DEA" w14:textId="77777777" w:rsidR="00EE2DD3" w:rsidRPr="00EE2DD3" w:rsidRDefault="00EE2DD3" w:rsidP="00DD6028">
      <w:pPr>
        <w:pStyle w:val="Quote"/>
        <w:spacing w:before="120" w:after="0"/>
      </w:pPr>
      <w:r w:rsidRPr="00EE2DD3">
        <w:t xml:space="preserve">Section 5 of the instrument displaces the requirement in the </w:t>
      </w:r>
      <w:r w:rsidRPr="00EE2DD3">
        <w:rPr>
          <w:i/>
          <w:iCs/>
        </w:rPr>
        <w:t>Legislation Act 2001</w:t>
      </w:r>
      <w:r w:rsidRPr="00EE2DD3">
        <w:t xml:space="preserve"> (the </w:t>
      </w:r>
      <w:r w:rsidRPr="00EE2DD3">
        <w:rPr>
          <w:b/>
          <w:i/>
          <w:iCs/>
        </w:rPr>
        <w:t>Legislation Act</w:t>
      </w:r>
      <w:r w:rsidRPr="00EE2DD3">
        <w:t>), section 47 (5). Section 47 (5) provides that the text of an instrument applied as in force at a particular time is taken to be a notifiable instrument made under the relevant instrument, and therefore, must be published on the Legislation Register. Copyright to the PCA is collectively owned by the Commonwealth, States and Territories.</w:t>
      </w:r>
    </w:p>
    <w:p w14:paraId="291F3CB4" w14:textId="77777777" w:rsidR="00EE2DD3" w:rsidRPr="00EE2DD3" w:rsidRDefault="00EE2DD3" w:rsidP="00DD6028">
      <w:pPr>
        <w:pStyle w:val="Quote"/>
        <w:spacing w:before="120" w:after="0"/>
      </w:pPr>
      <w:r w:rsidRPr="00EE2DD3">
        <w:t>The arrangement between jurisdictions is that the PCA will be published on behalf of the jurisdictions in a single place by the ABCB. It would not be appropriate to publicly notify the PCA on an ACT Government website. The notes to section 5 of the instrument describe alternative access to the PCA, as it is not being notified on the Legislation Register.</w:t>
      </w:r>
    </w:p>
    <w:p w14:paraId="2E687CB0" w14:textId="77777777" w:rsidR="00EE2DD3" w:rsidRPr="00EE2DD3" w:rsidRDefault="00EE2DD3" w:rsidP="00DD6028">
      <w:pPr>
        <w:pStyle w:val="Quote"/>
        <w:spacing w:before="120" w:after="0"/>
      </w:pPr>
      <w:r w:rsidRPr="00EE2DD3">
        <w:t>…………….</w:t>
      </w:r>
    </w:p>
    <w:p w14:paraId="798447B9" w14:textId="77777777" w:rsidR="00EE2DD3" w:rsidRPr="00EE2DD3" w:rsidRDefault="00EE2DD3" w:rsidP="00DD6028">
      <w:pPr>
        <w:pStyle w:val="Quote"/>
        <w:spacing w:before="120" w:after="0"/>
      </w:pPr>
      <w:r w:rsidRPr="00EE2DD3">
        <w:lastRenderedPageBreak/>
        <w:t xml:space="preserve">Clause 5 displaces the requirement in the Legislation Act, section 47 (5). Section 47 (5) provides that the text of an instrument applied as in force at a particular time is taken to be a notifiable instrument made under the relevant instrument, and therefore, must be published on the Legislation Register. </w:t>
      </w:r>
    </w:p>
    <w:p w14:paraId="62C0719A" w14:textId="77777777" w:rsidR="00EE2DD3" w:rsidRPr="00EE2DD3" w:rsidRDefault="00EE2DD3" w:rsidP="00DD6028">
      <w:pPr>
        <w:pStyle w:val="Quote"/>
        <w:spacing w:before="120" w:after="0"/>
      </w:pPr>
      <w:r w:rsidRPr="00EE2DD3">
        <w:t>Copyright to the PCA is collectively owned by the Australian Government and the States and Territories. The arrangement between jurisdictions is that the PCA will be published on behalf of the jurisdictions in a single place by the [Australian Building Codes Board]. It would not be appropriate to publicly notify the code on an ACT Government website. The notes to section 5 of the instrument describe alternative access to the PCA as it is not being notified on the Legislation Register.</w:t>
      </w:r>
    </w:p>
    <w:p w14:paraId="0BD30248" w14:textId="77777777" w:rsidR="00EE2DD3" w:rsidRPr="00EE2DD3" w:rsidRDefault="00EE2DD3" w:rsidP="00DD6028">
      <w:pPr>
        <w:pStyle w:val="Quote"/>
        <w:spacing w:before="120" w:after="0"/>
      </w:pPr>
      <w:r w:rsidRPr="00EE2DD3">
        <w:t xml:space="preserve">The PCA incorporates </w:t>
      </w:r>
      <w:proofErr w:type="gramStart"/>
      <w:r w:rsidRPr="00EE2DD3">
        <w:t>a number of</w:t>
      </w:r>
      <w:proofErr w:type="gramEnd"/>
      <w:r w:rsidRPr="00EE2DD3">
        <w:t xml:space="preserve"> Australian Standards, Australian/New Zealand Standards and International Standards. The standards are technical standards used by the building and construction sector to meet regulatory requirements across jurisdictions. The sector is generally expected to have knowledge of the standards relevant to undertaking their professional services. It is noted that there are often two or more versions of the Plumbing Code applicable to plumbing and drainage work at any one time and as such there are a significant number of Australian Standards and versions of Australian Standards that industry and regulators require access to.</w:t>
      </w:r>
    </w:p>
    <w:p w14:paraId="390B35C2" w14:textId="77777777" w:rsidR="00EE2DD3" w:rsidRPr="00EE2DD3" w:rsidRDefault="00EE2DD3" w:rsidP="00DD6028">
      <w:pPr>
        <w:pStyle w:val="Quote"/>
        <w:spacing w:before="120" w:after="0"/>
      </w:pPr>
      <w:r w:rsidRPr="00EE2DD3">
        <w:t>The standards referenced in the PCA are available for purchase from www.standards.org.au. There are challenges relating to the ability to provide public access to Australian Standards due to copyright issues.</w:t>
      </w:r>
    </w:p>
    <w:p w14:paraId="7E1A36C1" w14:textId="77777777" w:rsidR="00EE2DD3" w:rsidRPr="00EE2DD3" w:rsidRDefault="00EE2DD3" w:rsidP="00DD6028">
      <w:pPr>
        <w:pStyle w:val="Quote"/>
        <w:spacing w:before="120" w:after="0"/>
      </w:pPr>
      <w:r w:rsidRPr="00EE2DD3">
        <w:t>Standards Australia has recently released an initiative (</w:t>
      </w:r>
      <w:r w:rsidRPr="00EE2DD3">
        <w:rPr>
          <w:b/>
          <w:i/>
          <w:iCs/>
        </w:rPr>
        <w:t>Reader Room</w:t>
      </w:r>
      <w:r w:rsidRPr="00EE2DD3">
        <w:t>) that provides limited, no-fee access to the entire catalogue of Australian Standards for non- commercial purposes, that is for personal, domestic or household use. This initiative provides access for free to a maximum of three standards every 12 months, with access for 24 hours at a time. The Reader Room is available at https://readerroom.standards.org.au/.</w:t>
      </w:r>
    </w:p>
    <w:p w14:paraId="4EB37DCD" w14:textId="77777777" w:rsidR="00EE2DD3" w:rsidRPr="00EE2DD3" w:rsidRDefault="00EE2DD3" w:rsidP="00737F13">
      <w:pPr>
        <w:pStyle w:val="ListNumber2"/>
        <w:numPr>
          <w:ilvl w:val="1"/>
          <w:numId w:val="4"/>
        </w:numPr>
        <w:spacing w:before="120" w:after="0"/>
        <w:ind w:left="851" w:hanging="851"/>
        <w:rPr>
          <w:rFonts w:ascii="Calibri" w:eastAsia="Times New Roman" w:hAnsi="Calibri" w:cs="Calibri"/>
          <w:color w:val="000000"/>
          <w:lang w:eastAsia="en-AU"/>
        </w:rPr>
      </w:pPr>
      <w:r w:rsidRPr="00EE2DD3">
        <w:rPr>
          <w:rFonts w:ascii="Calibri" w:eastAsia="Times New Roman" w:hAnsi="Calibri" w:cs="Calibri"/>
          <w:color w:val="000000"/>
          <w:lang w:eastAsia="en-AU"/>
        </w:rPr>
        <w:t>The reference in the instrument to subsection 47(6), while the explanatory statement refers to subsection 47(5) – which is the provision that makes external material a notifiable instrument – is confusing.  Nevertheless, the Committee understands the argument.</w:t>
      </w:r>
    </w:p>
    <w:p w14:paraId="56EE0CB2" w14:textId="77777777" w:rsidR="00EE2DD3" w:rsidRPr="00EE2DD3" w:rsidRDefault="00EE2DD3" w:rsidP="00737F13">
      <w:pPr>
        <w:pStyle w:val="ListNumber2"/>
        <w:numPr>
          <w:ilvl w:val="1"/>
          <w:numId w:val="4"/>
        </w:numPr>
        <w:spacing w:before="120" w:after="0"/>
        <w:ind w:left="851" w:hanging="851"/>
        <w:rPr>
          <w:rFonts w:ascii="Calibri" w:eastAsia="Times New Roman" w:hAnsi="Calibri" w:cs="Calibri"/>
          <w:color w:val="000000"/>
          <w:lang w:eastAsia="en-AU"/>
        </w:rPr>
      </w:pPr>
      <w:r w:rsidRPr="00EE2DD3">
        <w:rPr>
          <w:rFonts w:ascii="Calibri" w:eastAsia="Times New Roman" w:hAnsi="Calibri" w:cs="Calibri"/>
          <w:color w:val="000000"/>
          <w:lang w:eastAsia="en-AU"/>
        </w:rPr>
        <w:t>The Committee notes what the instrument states about free access to the external documents relied upon.</w:t>
      </w:r>
    </w:p>
    <w:p w14:paraId="0569DFBC" w14:textId="77777777" w:rsidR="00EE2DD3" w:rsidRPr="00EE2DD3" w:rsidRDefault="00EE2DD3" w:rsidP="00737F13">
      <w:pPr>
        <w:pStyle w:val="ListNumber2"/>
        <w:numPr>
          <w:ilvl w:val="1"/>
          <w:numId w:val="4"/>
        </w:numPr>
        <w:spacing w:before="120" w:after="0"/>
        <w:ind w:left="851" w:hanging="851"/>
        <w:rPr>
          <w:rFonts w:ascii="Calibri" w:eastAsia="Times New Roman" w:hAnsi="Calibri" w:cs="Calibri"/>
          <w:color w:val="000000"/>
          <w:lang w:eastAsia="en-AU"/>
        </w:rPr>
      </w:pPr>
      <w:r w:rsidRPr="00EE2DD3">
        <w:rPr>
          <w:rFonts w:ascii="Calibri" w:eastAsia="Times New Roman" w:hAnsi="Calibri" w:cs="Calibri"/>
          <w:color w:val="000000"/>
          <w:lang w:eastAsia="en-AU"/>
        </w:rPr>
        <w:t xml:space="preserve">A similar issue arises in relation to the second instrument mentioned above.  It is made under section 136 of the </w:t>
      </w:r>
      <w:r w:rsidRPr="00EE2DD3">
        <w:rPr>
          <w:rFonts w:ascii="Calibri" w:eastAsia="Times New Roman" w:hAnsi="Calibri" w:cs="Calibri"/>
          <w:i/>
          <w:iCs/>
          <w:color w:val="000000"/>
          <w:lang w:eastAsia="en-AU"/>
        </w:rPr>
        <w:t xml:space="preserve">Building Act 2004.  </w:t>
      </w:r>
      <w:r w:rsidRPr="00EE2DD3">
        <w:rPr>
          <w:rFonts w:ascii="Calibri" w:eastAsia="Times New Roman" w:hAnsi="Calibri" w:cs="Calibri"/>
          <w:color w:val="000000"/>
          <w:lang w:eastAsia="en-AU"/>
        </w:rPr>
        <w:t>It makes an ACT Appendix to the Building Code of Australia (</w:t>
      </w:r>
      <w:r w:rsidRPr="00EE2DD3">
        <w:rPr>
          <w:rFonts w:ascii="Calibri" w:eastAsia="Times New Roman" w:hAnsi="Calibri" w:cs="Calibri"/>
          <w:b/>
          <w:color w:val="000000"/>
          <w:lang w:eastAsia="en-AU"/>
        </w:rPr>
        <w:t>BCA</w:t>
      </w:r>
      <w:r w:rsidRPr="00EE2DD3">
        <w:rPr>
          <w:rFonts w:ascii="Calibri" w:eastAsia="Times New Roman" w:hAnsi="Calibri" w:cs="Calibri"/>
          <w:color w:val="000000"/>
          <w:lang w:eastAsia="en-AU"/>
        </w:rPr>
        <w:t xml:space="preserve">).  Section 5 of the instrument is </w:t>
      </w:r>
      <w:proofErr w:type="gramStart"/>
      <w:r w:rsidRPr="00EE2DD3">
        <w:rPr>
          <w:rFonts w:ascii="Calibri" w:eastAsia="Times New Roman" w:hAnsi="Calibri" w:cs="Calibri"/>
          <w:color w:val="000000"/>
          <w:lang w:eastAsia="en-AU"/>
        </w:rPr>
        <w:t>similar to</w:t>
      </w:r>
      <w:proofErr w:type="gramEnd"/>
      <w:r w:rsidRPr="00EE2DD3">
        <w:rPr>
          <w:rFonts w:ascii="Calibri" w:eastAsia="Times New Roman" w:hAnsi="Calibri" w:cs="Calibri"/>
          <w:color w:val="000000"/>
          <w:lang w:eastAsia="en-AU"/>
        </w:rPr>
        <w:t xml:space="preserve"> section 5 of the first instrument.  A similar justification for section 5 is provided in the explanatory statement.</w:t>
      </w:r>
    </w:p>
    <w:p w14:paraId="49B8E552" w14:textId="77777777" w:rsidR="00EE2DD3" w:rsidRPr="00DD6028" w:rsidRDefault="00EE2DD3" w:rsidP="00737F13">
      <w:pPr>
        <w:pStyle w:val="ListNumber2"/>
        <w:numPr>
          <w:ilvl w:val="1"/>
          <w:numId w:val="4"/>
        </w:numPr>
        <w:spacing w:before="120" w:after="0"/>
        <w:ind w:left="851" w:hanging="851"/>
        <w:rPr>
          <w:rFonts w:ascii="Calibri" w:eastAsia="Times New Roman" w:hAnsi="Calibri" w:cs="Calibri"/>
          <w:color w:val="000000"/>
          <w:spacing w:val="-2"/>
          <w:lang w:eastAsia="en-AU"/>
        </w:rPr>
      </w:pPr>
      <w:r w:rsidRPr="00DD6028">
        <w:rPr>
          <w:rFonts w:ascii="Calibri" w:eastAsia="Times New Roman" w:hAnsi="Calibri" w:cs="Calibri"/>
          <w:color w:val="000000"/>
          <w:spacing w:val="-2"/>
          <w:lang w:eastAsia="en-AU"/>
        </w:rPr>
        <w:t>The Committee notes that the explanatory statements for both instruments discuss human rights issues.  The explanatory statement for the second instrument mentioned above states:</w:t>
      </w:r>
    </w:p>
    <w:p w14:paraId="55425334" w14:textId="77777777" w:rsidR="00EE2DD3" w:rsidRPr="00737F13" w:rsidRDefault="00EE2DD3" w:rsidP="00DD6028">
      <w:pPr>
        <w:pStyle w:val="Quote"/>
        <w:spacing w:before="120" w:after="0"/>
        <w:rPr>
          <w:b/>
          <w:bCs/>
        </w:rPr>
      </w:pPr>
      <w:r w:rsidRPr="00737F13">
        <w:rPr>
          <w:b/>
          <w:bCs/>
        </w:rPr>
        <w:t>Human Rights Impacts</w:t>
      </w:r>
    </w:p>
    <w:p w14:paraId="6C7ED89D" w14:textId="77777777" w:rsidR="00EE2DD3" w:rsidRPr="00EE2DD3" w:rsidRDefault="00EE2DD3" w:rsidP="00DD6028">
      <w:pPr>
        <w:pStyle w:val="Quote"/>
        <w:spacing w:before="120" w:after="0"/>
        <w:rPr>
          <w:bCs/>
        </w:rPr>
      </w:pPr>
      <w:r w:rsidRPr="00EE2DD3">
        <w:rPr>
          <w:bCs/>
        </w:rPr>
        <w:t xml:space="preserve">During the development of the instrument, due regard was given to its engagement with human rights under the </w:t>
      </w:r>
      <w:r w:rsidRPr="00EE2DD3">
        <w:rPr>
          <w:bCs/>
          <w:i/>
          <w:iCs/>
        </w:rPr>
        <w:t>Human Rights Act 2004</w:t>
      </w:r>
      <w:r w:rsidRPr="00EE2DD3">
        <w:rPr>
          <w:bCs/>
        </w:rPr>
        <w:t xml:space="preserve"> (the </w:t>
      </w:r>
      <w:r w:rsidRPr="00EE2DD3">
        <w:rPr>
          <w:i/>
          <w:iCs/>
        </w:rPr>
        <w:t>HR Act</w:t>
      </w:r>
      <w:r w:rsidRPr="00EE2DD3">
        <w:rPr>
          <w:bCs/>
        </w:rPr>
        <w:t xml:space="preserve">). This instrument engages with an individual’s right to a healthy environment, under section 27C of the HR Act. </w:t>
      </w:r>
    </w:p>
    <w:p w14:paraId="5949005C" w14:textId="77777777" w:rsidR="00EE2DD3" w:rsidRPr="00EE2DD3" w:rsidRDefault="00EE2DD3" w:rsidP="00737F13">
      <w:pPr>
        <w:pStyle w:val="Quote"/>
        <w:rPr>
          <w:bCs/>
        </w:rPr>
      </w:pPr>
      <w:r w:rsidRPr="00EE2DD3">
        <w:rPr>
          <w:bCs/>
        </w:rPr>
        <w:lastRenderedPageBreak/>
        <w:t xml:space="preserve">The proposed provisions in BCA 2025 support reductions in building emissions from energy efficiency and improve air quality in our city, both inside and outside our buildings from reducing the consumption of fossil fuels.  </w:t>
      </w:r>
    </w:p>
    <w:p w14:paraId="609FB70A" w14:textId="77777777" w:rsidR="00EE2DD3" w:rsidRPr="00EE2DD3" w:rsidRDefault="00EE2DD3" w:rsidP="00737F13">
      <w:pPr>
        <w:pStyle w:val="ListNumber2"/>
        <w:numPr>
          <w:ilvl w:val="1"/>
          <w:numId w:val="4"/>
        </w:numPr>
        <w:spacing w:before="120" w:after="0"/>
        <w:ind w:left="851" w:hanging="851"/>
        <w:rPr>
          <w:rFonts w:ascii="Calibri" w:eastAsia="Times New Roman" w:hAnsi="Calibri" w:cs="Calibri"/>
          <w:color w:val="000000"/>
          <w:lang w:eastAsia="en-AU"/>
        </w:rPr>
      </w:pPr>
      <w:r w:rsidRPr="00EE2DD3">
        <w:rPr>
          <w:rFonts w:ascii="Calibri" w:eastAsia="Times New Roman" w:hAnsi="Calibri" w:cs="Calibri"/>
          <w:color w:val="000000"/>
          <w:lang w:eastAsia="en-AU"/>
        </w:rPr>
        <w:t>A similar statement appears in the explanatory statement for the first instrument mentioned above.</w:t>
      </w:r>
    </w:p>
    <w:p w14:paraId="6A3DF0DE" w14:textId="77777777" w:rsidR="00EE2DD3" w:rsidRPr="00EE2DD3" w:rsidRDefault="00EE2DD3" w:rsidP="00EE4967">
      <w:pPr>
        <w:pStyle w:val="ListNumber2"/>
        <w:numPr>
          <w:ilvl w:val="1"/>
          <w:numId w:val="4"/>
        </w:numPr>
        <w:spacing w:before="120" w:after="0"/>
        <w:ind w:left="851" w:hanging="851"/>
        <w:rPr>
          <w:rFonts w:ascii="Calibri" w:eastAsia="Times New Roman" w:hAnsi="Calibri" w:cs="Calibri"/>
          <w:b/>
          <w:lang w:eastAsia="en-AU"/>
        </w:rPr>
      </w:pPr>
      <w:r w:rsidRPr="00EE2DD3">
        <w:rPr>
          <w:rFonts w:ascii="Calibri" w:eastAsia="Times New Roman" w:hAnsi="Calibri" w:cs="Calibri"/>
          <w:b/>
          <w:lang w:eastAsia="en-AU"/>
        </w:rPr>
        <w:t>The Committee draws the attention of the Legislative Assembly to the discussion of human rights issues in the explanatory statements for these instruments.</w:t>
      </w:r>
    </w:p>
    <w:p w14:paraId="654E669D" w14:textId="77777777" w:rsidR="00EE2DD3" w:rsidRPr="00EE2DD3" w:rsidRDefault="00EE2DD3" w:rsidP="00EE4967">
      <w:pPr>
        <w:pStyle w:val="ListNumber2"/>
        <w:numPr>
          <w:ilvl w:val="1"/>
          <w:numId w:val="4"/>
        </w:numPr>
        <w:spacing w:before="120" w:after="0"/>
        <w:ind w:left="851" w:hanging="851"/>
        <w:rPr>
          <w:rFonts w:ascii="Calibri" w:eastAsia="Times New Roman" w:hAnsi="Calibri" w:cs="Calibri"/>
          <w:b/>
          <w:lang w:eastAsia="en-AU"/>
        </w:rPr>
      </w:pPr>
      <w:r w:rsidRPr="00EE2DD3">
        <w:rPr>
          <w:rFonts w:ascii="Calibri" w:eastAsia="Times New Roman" w:hAnsi="Calibri" w:cs="Calibri"/>
          <w:b/>
          <w:lang w:eastAsia="en-AU"/>
        </w:rPr>
        <w:t>This comment does not require a response from the Minister.</w:t>
      </w:r>
    </w:p>
    <w:p w14:paraId="0BC37971" w14:textId="77777777" w:rsidR="00EE2DD3" w:rsidRPr="00EE2DD3" w:rsidRDefault="00EE2DD3" w:rsidP="00514770">
      <w:pPr>
        <w:pStyle w:val="Heading3"/>
        <w:rPr>
          <w:rFonts w:eastAsia="Times New Roman"/>
        </w:rPr>
      </w:pPr>
      <w:bookmarkStart w:id="116" w:name="_Toc230939468"/>
      <w:r w:rsidRPr="00EE2DD3">
        <w:rPr>
          <w:rFonts w:eastAsia="Times New Roman"/>
        </w:rPr>
        <w:t>Retrospectivity</w:t>
      </w:r>
      <w:bookmarkEnd w:id="116"/>
    </w:p>
    <w:p w14:paraId="175E9340" w14:textId="77777777" w:rsidR="00EE4967" w:rsidRPr="00842199" w:rsidRDefault="00EE4967" w:rsidP="00EE4967">
      <w:pPr>
        <w:numPr>
          <w:ilvl w:val="0"/>
          <w:numId w:val="31"/>
        </w:numPr>
        <w:spacing w:before="120" w:after="0"/>
        <w:ind w:left="1211"/>
        <w:rPr>
          <w:b/>
        </w:rPr>
      </w:pPr>
      <w:r>
        <w:rPr>
          <w:b/>
        </w:rPr>
        <w:t>Disallowable Instrument</w:t>
      </w:r>
      <w:r w:rsidRPr="00451C85">
        <w:rPr>
          <w:b/>
        </w:rPr>
        <w:t xml:space="preserve"> </w:t>
      </w:r>
      <w:r>
        <w:rPr>
          <w:b/>
        </w:rPr>
        <w:t>DI2026-58</w:t>
      </w:r>
      <w:r w:rsidRPr="00451C85">
        <w:rPr>
          <w:b/>
        </w:rPr>
        <w:t xml:space="preserve"> being the </w:t>
      </w:r>
      <w:r>
        <w:rPr>
          <w:b/>
        </w:rPr>
        <w:t xml:space="preserve">Veterinary Practice (Board) Appointment 2026 (No 1) made under section 93 of the </w:t>
      </w:r>
      <w:r>
        <w:rPr>
          <w:i/>
        </w:rPr>
        <w:t>Veterinary Practice Act 2018</w:t>
      </w:r>
      <w:r w:rsidRPr="00236BDD">
        <w:rPr>
          <w:b/>
        </w:rPr>
        <w:t xml:space="preserve"> </w:t>
      </w:r>
      <w:r>
        <w:rPr>
          <w:b/>
        </w:rPr>
        <w:t xml:space="preserve">appoints a specified person to the Veterinary Practitioners Board as a veterinary practitioner member for a period of three years. </w:t>
      </w:r>
    </w:p>
    <w:p w14:paraId="310A4D55" w14:textId="77777777" w:rsidR="00EE2DD3" w:rsidRPr="00EE2DD3" w:rsidRDefault="00EE2DD3" w:rsidP="00EE4967">
      <w:pPr>
        <w:pStyle w:val="ListNumber2"/>
        <w:numPr>
          <w:ilvl w:val="1"/>
          <w:numId w:val="4"/>
        </w:numPr>
        <w:spacing w:before="120" w:after="0"/>
        <w:ind w:left="851" w:hanging="851"/>
        <w:rPr>
          <w:rFonts w:ascii="Calibri" w:eastAsia="Times New Roman" w:hAnsi="Calibri" w:cs="Calibri"/>
          <w:color w:val="000000"/>
          <w:lang w:eastAsia="en-AU"/>
        </w:rPr>
      </w:pPr>
      <w:r w:rsidRPr="00EE2DD3">
        <w:rPr>
          <w:rFonts w:ascii="Calibri" w:eastAsia="Times New Roman" w:hAnsi="Calibri" w:cs="Calibri"/>
          <w:color w:val="000000"/>
          <w:lang w:eastAsia="en-AU"/>
        </w:rPr>
        <w:t>This instrument is made under subsection 13</w:t>
      </w:r>
      <w:proofErr w:type="gramStart"/>
      <w:r w:rsidRPr="00EE2DD3">
        <w:rPr>
          <w:rFonts w:ascii="Calibri" w:eastAsia="Times New Roman" w:hAnsi="Calibri" w:cs="Calibri"/>
          <w:color w:val="000000"/>
          <w:lang w:eastAsia="en-AU"/>
        </w:rPr>
        <w:t>A(</w:t>
      </w:r>
      <w:proofErr w:type="gramEnd"/>
      <w:r w:rsidRPr="00EE2DD3">
        <w:rPr>
          <w:rFonts w:ascii="Calibri" w:eastAsia="Times New Roman" w:hAnsi="Calibri" w:cs="Calibri"/>
          <w:color w:val="000000"/>
          <w:lang w:eastAsia="en-AU"/>
        </w:rPr>
        <w:t xml:space="preserve">5) of the </w:t>
      </w:r>
      <w:r w:rsidRPr="00EE2DD3">
        <w:rPr>
          <w:rFonts w:ascii="Calibri" w:eastAsia="Times New Roman" w:hAnsi="Calibri" w:cs="Calibri"/>
          <w:i/>
          <w:iCs/>
          <w:color w:val="000000"/>
          <w:lang w:eastAsia="en-AU"/>
        </w:rPr>
        <w:t>Land Tax Act 2004</w:t>
      </w:r>
      <w:r w:rsidRPr="00EE2DD3">
        <w:rPr>
          <w:rFonts w:ascii="Calibri" w:eastAsia="Times New Roman" w:hAnsi="Calibri" w:cs="Calibri"/>
          <w:color w:val="000000"/>
          <w:lang w:eastAsia="en-AU"/>
        </w:rPr>
        <w:t>.  It provides an exemption from land tax in relation to “affordable community housing”, in certain circumstances.</w:t>
      </w:r>
    </w:p>
    <w:p w14:paraId="73459290" w14:textId="77777777" w:rsidR="00EE2DD3" w:rsidRPr="00EE2DD3" w:rsidRDefault="00EE2DD3" w:rsidP="00EE4967">
      <w:pPr>
        <w:pStyle w:val="ListNumber2"/>
        <w:numPr>
          <w:ilvl w:val="1"/>
          <w:numId w:val="4"/>
        </w:numPr>
        <w:spacing w:before="120" w:after="0"/>
        <w:ind w:left="851" w:hanging="851"/>
        <w:rPr>
          <w:rFonts w:ascii="Calibri" w:eastAsia="Times New Roman" w:hAnsi="Calibri" w:cs="Calibri"/>
          <w:color w:val="000000"/>
          <w:lang w:eastAsia="en-AU"/>
        </w:rPr>
      </w:pPr>
      <w:r w:rsidRPr="00EE2DD3">
        <w:rPr>
          <w:rFonts w:ascii="Calibri" w:eastAsia="Times New Roman" w:hAnsi="Calibri" w:cs="Calibri"/>
          <w:color w:val="000000"/>
          <w:lang w:eastAsia="en-AU"/>
        </w:rPr>
        <w:t xml:space="preserve">Section 2 of the instrument provides that the instrument is “taken to have commenced” on 1 May 2026.  Given that the instrument was not notified on the ACT Legislation Register until 11 May 2026, this means that it is retrospective in effect.  Section 76 of the </w:t>
      </w:r>
      <w:r w:rsidRPr="00EE2DD3">
        <w:rPr>
          <w:rFonts w:ascii="Calibri" w:eastAsia="Times New Roman" w:hAnsi="Calibri" w:cs="Calibri"/>
          <w:i/>
          <w:iCs/>
          <w:color w:val="000000"/>
          <w:lang w:eastAsia="en-AU"/>
        </w:rPr>
        <w:t>Legislation Act 2000</w:t>
      </w:r>
      <w:r w:rsidRPr="00EE2DD3">
        <w:rPr>
          <w:rFonts w:ascii="Calibri" w:eastAsia="Times New Roman" w:hAnsi="Calibri" w:cs="Calibri"/>
          <w:color w:val="000000"/>
          <w:lang w:eastAsia="en-AU"/>
        </w:rPr>
        <w:t xml:space="preserve"> limits retrospective operation in instruments to “non-prejudicial” operation.</w:t>
      </w:r>
    </w:p>
    <w:p w14:paraId="4F14929A" w14:textId="77777777" w:rsidR="00EE2DD3" w:rsidRPr="00EE2DD3" w:rsidRDefault="00EE2DD3" w:rsidP="00EE4967">
      <w:pPr>
        <w:pStyle w:val="ListNumber2"/>
        <w:numPr>
          <w:ilvl w:val="1"/>
          <w:numId w:val="4"/>
        </w:numPr>
        <w:spacing w:before="120" w:after="0"/>
        <w:ind w:left="851" w:hanging="851"/>
        <w:rPr>
          <w:rFonts w:ascii="Calibri" w:eastAsia="Times New Roman" w:hAnsi="Calibri" w:cs="Calibri"/>
          <w:color w:val="000000"/>
          <w:lang w:eastAsia="en-AU"/>
        </w:rPr>
      </w:pPr>
      <w:r w:rsidRPr="00EE2DD3">
        <w:rPr>
          <w:rFonts w:ascii="Calibri" w:eastAsia="Times New Roman" w:hAnsi="Calibri" w:cs="Calibri"/>
          <w:color w:val="000000"/>
          <w:lang w:eastAsia="en-AU"/>
        </w:rPr>
        <w:t>The Committee notes, with approval, that the explanatory statement for the instrument states:</w:t>
      </w:r>
    </w:p>
    <w:p w14:paraId="6348F430" w14:textId="77777777" w:rsidR="00EE2DD3" w:rsidRPr="00EE4967" w:rsidRDefault="00EE2DD3" w:rsidP="00EE4967">
      <w:pPr>
        <w:pStyle w:val="Quote"/>
        <w:rPr>
          <w:b/>
          <w:bCs/>
        </w:rPr>
      </w:pPr>
      <w:r w:rsidRPr="00EE4967">
        <w:rPr>
          <w:b/>
          <w:bCs/>
        </w:rPr>
        <w:t>Retrospectivity</w:t>
      </w:r>
    </w:p>
    <w:p w14:paraId="00CCB1E7" w14:textId="77777777" w:rsidR="00EE2DD3" w:rsidRPr="00EE2DD3" w:rsidRDefault="00EE2DD3" w:rsidP="00EE4967">
      <w:pPr>
        <w:pStyle w:val="Quote"/>
        <w:rPr>
          <w:bCs/>
        </w:rPr>
      </w:pPr>
      <w:r w:rsidRPr="00EE2DD3">
        <w:rPr>
          <w:bCs/>
        </w:rPr>
        <w:t>This instrument commences retrospectively on 1 May 2026.</w:t>
      </w:r>
    </w:p>
    <w:p w14:paraId="47D1A3F0" w14:textId="77777777" w:rsidR="00EE2DD3" w:rsidRPr="00EE2DD3" w:rsidRDefault="00EE2DD3" w:rsidP="00EE4967">
      <w:pPr>
        <w:pStyle w:val="Quote"/>
        <w:rPr>
          <w:bCs/>
        </w:rPr>
      </w:pPr>
      <w:r w:rsidRPr="00EE2DD3">
        <w:rPr>
          <w:bCs/>
        </w:rPr>
        <w:t>Pursuant to Section 76(1) of the </w:t>
      </w:r>
      <w:r w:rsidRPr="00EE2DD3">
        <w:rPr>
          <w:bCs/>
          <w:i/>
          <w:iCs/>
        </w:rPr>
        <w:t>Legislation Act 2001</w:t>
      </w:r>
      <w:r w:rsidRPr="00EE2DD3">
        <w:rPr>
          <w:bCs/>
        </w:rPr>
        <w:t xml:space="preserve">, a statutory instrument may provide that a ‘non-prejudicial provision’ of the instrument commences retrospectively. </w:t>
      </w:r>
    </w:p>
    <w:p w14:paraId="508B10CB" w14:textId="068B722A" w:rsidR="00EE2DD3" w:rsidRPr="00EE2DD3" w:rsidRDefault="00EE2DD3" w:rsidP="00EE4967">
      <w:pPr>
        <w:pStyle w:val="Quote"/>
        <w:rPr>
          <w:bCs/>
        </w:rPr>
      </w:pPr>
      <w:r w:rsidRPr="00EE2DD3">
        <w:rPr>
          <w:bCs/>
        </w:rPr>
        <w:t>A ‘non-prejudicial provision’ means a provision that is not a ‘prejudicial provision’. A ‘prejudicial provision’ means a provision that operates to the disadvantage of a</w:t>
      </w:r>
      <w:r w:rsidR="000B0C3C">
        <w:rPr>
          <w:bCs/>
        </w:rPr>
        <w:t> </w:t>
      </w:r>
      <w:r w:rsidRPr="00EE2DD3">
        <w:rPr>
          <w:bCs/>
        </w:rPr>
        <w:t xml:space="preserve">person by adversely affecting the person’s rights or imposing liabilities on the person. </w:t>
      </w:r>
    </w:p>
    <w:p w14:paraId="0210228D" w14:textId="77777777" w:rsidR="00EE2DD3" w:rsidRPr="00EE2DD3" w:rsidRDefault="00EE2DD3" w:rsidP="00EE4967">
      <w:pPr>
        <w:pStyle w:val="Quote"/>
        <w:rPr>
          <w:bCs/>
        </w:rPr>
      </w:pPr>
      <w:r w:rsidRPr="00EE2DD3">
        <w:rPr>
          <w:bCs/>
        </w:rPr>
        <w:t>The instrument provides a land tax exemption for a parcel of land provided for affordable community housing. The update expands (not limits) the availability of the exemption by lifting the combined annual gross income limits in the eligibility criteria. This is beneficial to individuals whose income exceeded the previous income limit but is now equal to, or lower than, the increased income limit.</w:t>
      </w:r>
    </w:p>
    <w:p w14:paraId="400A36CA" w14:textId="77777777" w:rsidR="00EE2DD3" w:rsidRPr="00EE2DD3" w:rsidRDefault="00EE2DD3" w:rsidP="00EE4967">
      <w:pPr>
        <w:pStyle w:val="Quote"/>
        <w:rPr>
          <w:bCs/>
        </w:rPr>
      </w:pPr>
      <w:r w:rsidRPr="00EE2DD3">
        <w:rPr>
          <w:bCs/>
        </w:rPr>
        <w:t>The retrospective commencement date of 1 May 2026 is non-prejudicial (see sections 13</w:t>
      </w:r>
      <w:proofErr w:type="gramStart"/>
      <w:r w:rsidRPr="00EE2DD3">
        <w:rPr>
          <w:bCs/>
        </w:rPr>
        <w:t>A(</w:t>
      </w:r>
      <w:proofErr w:type="gramEnd"/>
      <w:r w:rsidRPr="00EE2DD3">
        <w:rPr>
          <w:bCs/>
        </w:rPr>
        <w:t>1) and (2)).</w:t>
      </w:r>
    </w:p>
    <w:p w14:paraId="62E4CCBC" w14:textId="77777777" w:rsidR="00EE2DD3" w:rsidRPr="00EE2DD3" w:rsidRDefault="00EE2DD3" w:rsidP="00EE4967">
      <w:pPr>
        <w:pStyle w:val="ListNumber2"/>
        <w:numPr>
          <w:ilvl w:val="1"/>
          <w:numId w:val="4"/>
        </w:numPr>
        <w:spacing w:before="120" w:after="0"/>
        <w:ind w:left="851" w:hanging="851"/>
        <w:rPr>
          <w:rFonts w:ascii="Calibri" w:eastAsia="Times New Roman" w:hAnsi="Calibri" w:cs="Calibri"/>
          <w:b/>
          <w:color w:val="000000"/>
          <w:lang w:eastAsia="en-AU"/>
        </w:rPr>
      </w:pPr>
      <w:r w:rsidRPr="00EE2DD3">
        <w:rPr>
          <w:rFonts w:ascii="Calibri" w:eastAsia="Times New Roman" w:hAnsi="Calibri" w:cs="Calibri"/>
          <w:b/>
          <w:color w:val="000000"/>
          <w:lang w:eastAsia="en-AU"/>
        </w:rPr>
        <w:t>This comment does not require a response from the Minister.</w:t>
      </w:r>
    </w:p>
    <w:p w14:paraId="7E8F219C" w14:textId="3C3D0C1E" w:rsidR="00EE2DD3" w:rsidRPr="00EE2DD3" w:rsidRDefault="00EE2DD3" w:rsidP="00514770">
      <w:pPr>
        <w:pStyle w:val="Heading20"/>
        <w:rPr>
          <w:rFonts w:eastAsia="Times New Roman"/>
        </w:rPr>
      </w:pPr>
      <w:bookmarkStart w:id="117" w:name="_Toc230939469"/>
      <w:r w:rsidRPr="00EE2DD3">
        <w:rPr>
          <w:rFonts w:eastAsia="Times New Roman"/>
        </w:rPr>
        <w:lastRenderedPageBreak/>
        <w:t>Subordinate Laws</w:t>
      </w:r>
      <w:r w:rsidR="00F60230">
        <w:rPr>
          <w:rFonts w:eastAsia="Times New Roman"/>
        </w:rPr>
        <w:t>—</w:t>
      </w:r>
      <w:r w:rsidRPr="00EE2DD3">
        <w:rPr>
          <w:rFonts w:eastAsia="Times New Roman"/>
        </w:rPr>
        <w:t>Comment</w:t>
      </w:r>
      <w:bookmarkEnd w:id="117"/>
    </w:p>
    <w:p w14:paraId="54094B4B" w14:textId="01D2E08D" w:rsidR="00EE2DD3" w:rsidRPr="00EE2DD3" w:rsidRDefault="00EE2DD3" w:rsidP="00EE4967">
      <w:pPr>
        <w:pStyle w:val="ListNumber2"/>
        <w:numPr>
          <w:ilvl w:val="1"/>
          <w:numId w:val="4"/>
        </w:numPr>
        <w:spacing w:before="120" w:after="0"/>
        <w:ind w:left="851" w:hanging="851"/>
        <w:rPr>
          <w:rFonts w:ascii="Calibri" w:eastAsia="Calibri" w:hAnsi="Calibri" w:cs="Calibri"/>
        </w:rPr>
      </w:pPr>
      <w:r w:rsidRPr="00EE2DD3">
        <w:rPr>
          <w:rFonts w:ascii="Calibri" w:eastAsia="Calibri" w:hAnsi="Calibri" w:cs="Calibri"/>
        </w:rPr>
        <w:t>The Committee has examined the following subordinate law</w:t>
      </w:r>
      <w:r w:rsidR="00F519B8">
        <w:rPr>
          <w:rFonts w:ascii="Calibri" w:eastAsia="Calibri" w:hAnsi="Calibri" w:cs="Calibri"/>
        </w:rPr>
        <w:t>s</w:t>
      </w:r>
      <w:r w:rsidRPr="00EE2DD3">
        <w:rPr>
          <w:rFonts w:ascii="Calibri" w:eastAsia="Calibri" w:hAnsi="Calibri" w:cs="Calibri"/>
        </w:rPr>
        <w:t xml:space="preserve"> and offers these comments on them:</w:t>
      </w:r>
    </w:p>
    <w:p w14:paraId="00108115" w14:textId="77777777" w:rsidR="00EE4967" w:rsidRPr="00842199" w:rsidRDefault="00EE4967" w:rsidP="00EE4967">
      <w:pPr>
        <w:numPr>
          <w:ilvl w:val="0"/>
          <w:numId w:val="31"/>
        </w:numPr>
        <w:spacing w:before="120" w:after="0"/>
        <w:ind w:left="1211"/>
        <w:rPr>
          <w:b/>
        </w:rPr>
      </w:pPr>
      <w:bookmarkStart w:id="118" w:name="_Toc188275137"/>
      <w:bookmarkStart w:id="119" w:name="_Toc188286627"/>
      <w:r>
        <w:rPr>
          <w:b/>
        </w:rPr>
        <w:t>Subordinate Law</w:t>
      </w:r>
      <w:r w:rsidRPr="00451C85">
        <w:rPr>
          <w:b/>
        </w:rPr>
        <w:t xml:space="preserve"> </w:t>
      </w:r>
      <w:r>
        <w:rPr>
          <w:b/>
        </w:rPr>
        <w:t>SL2026-2</w:t>
      </w:r>
      <w:r w:rsidRPr="00451C85">
        <w:rPr>
          <w:b/>
        </w:rPr>
        <w:t xml:space="preserve"> being the </w:t>
      </w:r>
      <w:r>
        <w:rPr>
          <w:b/>
        </w:rPr>
        <w:t xml:space="preserve">Water and Sewerage Amendment Regulation 2026 (No 1) made under the </w:t>
      </w:r>
      <w:r>
        <w:rPr>
          <w:i/>
        </w:rPr>
        <w:t>Water and Sewerage Act 2000</w:t>
      </w:r>
      <w:r w:rsidRPr="00236BDD">
        <w:rPr>
          <w:b/>
        </w:rPr>
        <w:t xml:space="preserve"> </w:t>
      </w:r>
      <w:r>
        <w:rPr>
          <w:b/>
        </w:rPr>
        <w:t xml:space="preserve">the regulation makes amendments to the Water and Sewerage Regulation 2001 to remove the mandatory requirement for installing separated grey water piping in a new house or an extension to an existing house. </w:t>
      </w:r>
    </w:p>
    <w:p w14:paraId="5169ECBC" w14:textId="77777777" w:rsidR="00EE2DD3" w:rsidRPr="00EE2DD3" w:rsidRDefault="00EE2DD3" w:rsidP="00514770">
      <w:pPr>
        <w:pStyle w:val="Heading4"/>
        <w:rPr>
          <w:rFonts w:eastAsia="Calibri"/>
          <w:i/>
          <w:lang w:eastAsia="en-AU"/>
        </w:rPr>
      </w:pPr>
      <w:bookmarkStart w:id="120" w:name="_Toc230939470"/>
      <w:r w:rsidRPr="00EE2DD3">
        <w:rPr>
          <w:rFonts w:eastAsia="Calibri"/>
          <w:lang w:eastAsia="en-AU"/>
        </w:rPr>
        <w:t xml:space="preserve">Report under section 38 of the </w:t>
      </w:r>
      <w:r w:rsidRPr="00EE2DD3">
        <w:rPr>
          <w:rFonts w:eastAsia="Calibri"/>
          <w:i/>
          <w:lang w:eastAsia="en-AU"/>
        </w:rPr>
        <w:t xml:space="preserve">Human Rights Act 2004 </w:t>
      </w:r>
      <w:r w:rsidRPr="00EE2DD3">
        <w:rPr>
          <w:rFonts w:eastAsia="Calibri"/>
          <w:lang w:eastAsia="en-AU"/>
        </w:rPr>
        <w:t>(HRA)</w:t>
      </w:r>
      <w:bookmarkEnd w:id="118"/>
      <w:bookmarkEnd w:id="119"/>
      <w:bookmarkEnd w:id="120"/>
    </w:p>
    <w:p w14:paraId="443ABF44" w14:textId="456C4FCE" w:rsidR="00EE2DD3" w:rsidRPr="00DD6028" w:rsidRDefault="00EE2DD3" w:rsidP="00514770">
      <w:pPr>
        <w:pStyle w:val="Heading5"/>
        <w:rPr>
          <w:rFonts w:eastAsia="Times New Roman"/>
        </w:rPr>
      </w:pPr>
      <w:r w:rsidRPr="00EE2DD3">
        <w:rPr>
          <w:rFonts w:eastAsia="Times New Roman"/>
        </w:rPr>
        <w:t>Right to a healthy environment (section 27C HRA)</w:t>
      </w:r>
    </w:p>
    <w:p w14:paraId="1CC863F4" w14:textId="4289FCDB" w:rsidR="00EE2DD3" w:rsidRPr="00EE2DD3" w:rsidRDefault="00EE2DD3" w:rsidP="00EE4967">
      <w:pPr>
        <w:pStyle w:val="ListNumber2"/>
        <w:numPr>
          <w:ilvl w:val="1"/>
          <w:numId w:val="4"/>
        </w:numPr>
        <w:spacing w:before="120" w:after="0"/>
        <w:ind w:left="851" w:hanging="851"/>
        <w:rPr>
          <w:rFonts w:ascii="Calibri" w:eastAsia="Times New Roman" w:hAnsi="Calibri" w:cs="Calibri"/>
        </w:rPr>
      </w:pPr>
      <w:r w:rsidRPr="00EE2DD3">
        <w:rPr>
          <w:rFonts w:ascii="Calibri" w:eastAsia="Times New Roman" w:hAnsi="Calibri" w:cs="Calibri"/>
        </w:rPr>
        <w:t xml:space="preserve">This subordinate law, made under section 49 of the </w:t>
      </w:r>
      <w:r w:rsidRPr="00EE2DD3">
        <w:rPr>
          <w:rFonts w:ascii="Calibri" w:eastAsia="Times New Roman" w:hAnsi="Calibri" w:cs="Calibri"/>
          <w:i/>
          <w:iCs/>
        </w:rPr>
        <w:t>Water and Sewerage Act 2000</w:t>
      </w:r>
      <w:r w:rsidRPr="00EE2DD3">
        <w:rPr>
          <w:rFonts w:ascii="Calibri" w:eastAsia="Times New Roman" w:hAnsi="Calibri" w:cs="Calibri"/>
        </w:rPr>
        <w:t xml:space="preserve">, makes amendments to the </w:t>
      </w:r>
      <w:r w:rsidRPr="00EE2DD3">
        <w:rPr>
          <w:rFonts w:ascii="Calibri" w:eastAsia="Times New Roman" w:hAnsi="Calibri" w:cs="Calibri"/>
          <w:i/>
          <w:iCs/>
        </w:rPr>
        <w:t>Water and Sewerage Regulation 2001,</w:t>
      </w:r>
      <w:r w:rsidRPr="00EE2DD3">
        <w:rPr>
          <w:rFonts w:ascii="Calibri" w:eastAsia="Times New Roman" w:hAnsi="Calibri" w:cs="Calibri"/>
        </w:rPr>
        <w:t xml:space="preserve"> to remove the mandatory requirement for installing separated grey water piping in a new house or an extension to an existing house.</w:t>
      </w:r>
    </w:p>
    <w:p w14:paraId="4EAF4FB9" w14:textId="77777777" w:rsidR="00EE2DD3" w:rsidRPr="00EE2DD3" w:rsidRDefault="00EE2DD3" w:rsidP="00EE4967">
      <w:pPr>
        <w:pStyle w:val="ListNumber2"/>
        <w:numPr>
          <w:ilvl w:val="1"/>
          <w:numId w:val="4"/>
        </w:numPr>
        <w:spacing w:before="120" w:after="0"/>
        <w:ind w:left="851" w:hanging="851"/>
        <w:rPr>
          <w:rFonts w:ascii="Calibri" w:eastAsia="Times New Roman" w:hAnsi="Calibri" w:cs="Calibri"/>
        </w:rPr>
      </w:pPr>
      <w:r w:rsidRPr="00EE2DD3">
        <w:rPr>
          <w:rFonts w:ascii="Calibri" w:eastAsia="Times New Roman" w:hAnsi="Calibri" w:cs="Calibri"/>
        </w:rPr>
        <w:t xml:space="preserve">The explanatory statement for the subordinate law contains a detailed (7-page) discussion of human rights issues, by reference to the right to a healthy environment, protected by section 27C of the </w:t>
      </w:r>
      <w:r w:rsidRPr="00EE2DD3">
        <w:rPr>
          <w:rFonts w:ascii="Calibri" w:eastAsia="Times New Roman" w:hAnsi="Calibri" w:cs="Calibri"/>
          <w:i/>
          <w:iCs/>
        </w:rPr>
        <w:t>Human Rights Act 2004</w:t>
      </w:r>
      <w:r w:rsidRPr="00EE2DD3">
        <w:rPr>
          <w:rFonts w:ascii="Calibri" w:eastAsia="Times New Roman" w:hAnsi="Calibri" w:cs="Calibri"/>
        </w:rPr>
        <w:t>.</w:t>
      </w:r>
    </w:p>
    <w:p w14:paraId="36923C02" w14:textId="77777777" w:rsidR="00EE2DD3" w:rsidRPr="00EE2DD3" w:rsidRDefault="00EE2DD3" w:rsidP="00EE4967">
      <w:pPr>
        <w:pStyle w:val="ListNumber2"/>
        <w:numPr>
          <w:ilvl w:val="1"/>
          <w:numId w:val="4"/>
        </w:numPr>
        <w:spacing w:before="120" w:after="0"/>
        <w:ind w:left="851" w:hanging="851"/>
        <w:rPr>
          <w:rFonts w:ascii="Calibri" w:eastAsia="Times New Roman" w:hAnsi="Calibri" w:cs="Calibri"/>
        </w:rPr>
      </w:pPr>
      <w:r w:rsidRPr="00EE2DD3">
        <w:rPr>
          <w:rFonts w:ascii="Calibri" w:eastAsia="Times New Roman" w:hAnsi="Calibri" w:cs="Calibri"/>
        </w:rPr>
        <w:t>The explanatory statement states:</w:t>
      </w:r>
    </w:p>
    <w:p w14:paraId="2314DD5D" w14:textId="77777777" w:rsidR="00EE2DD3" w:rsidRPr="00EE4967" w:rsidRDefault="00EE2DD3" w:rsidP="00DD6028">
      <w:pPr>
        <w:pStyle w:val="Quote"/>
        <w:spacing w:before="120" w:after="0"/>
        <w:rPr>
          <w:b/>
          <w:bCs/>
        </w:rPr>
      </w:pPr>
      <w:r w:rsidRPr="00EE4967">
        <w:rPr>
          <w:b/>
          <w:bCs/>
        </w:rPr>
        <w:t>Rights engaged</w:t>
      </w:r>
    </w:p>
    <w:p w14:paraId="727CFAF2" w14:textId="77777777" w:rsidR="00EE2DD3" w:rsidRPr="00EE2DD3" w:rsidRDefault="00EE2DD3" w:rsidP="00DD6028">
      <w:pPr>
        <w:pStyle w:val="Quote"/>
        <w:spacing w:before="120" w:after="0"/>
        <w:rPr>
          <w:bCs/>
        </w:rPr>
      </w:pPr>
      <w:r w:rsidRPr="00EE2DD3">
        <w:rPr>
          <w:bCs/>
        </w:rPr>
        <w:t>This regulation removes the mandatory requirement to install separated grey water piping in new houses. As such, it may be considered a retrogressive step that engages and limits the following human right under the HRA:</w:t>
      </w:r>
    </w:p>
    <w:p w14:paraId="3FB3FEAA" w14:textId="77777777" w:rsidR="00EE2DD3" w:rsidRPr="00EE2DD3" w:rsidRDefault="00EE2DD3" w:rsidP="00DD6028">
      <w:pPr>
        <w:pStyle w:val="Quote"/>
        <w:spacing w:before="120" w:after="0"/>
        <w:rPr>
          <w:bCs/>
          <w:u w:val="single"/>
        </w:rPr>
      </w:pPr>
      <w:r w:rsidRPr="00EE2DD3">
        <w:rPr>
          <w:bCs/>
          <w:u w:val="single"/>
        </w:rPr>
        <w:t xml:space="preserve">Section 27C – Right to a Healthy Environment. </w:t>
      </w:r>
    </w:p>
    <w:p w14:paraId="773D9732" w14:textId="77777777" w:rsidR="00EE2DD3" w:rsidRPr="00EE4967" w:rsidRDefault="00EE2DD3" w:rsidP="00DD6028">
      <w:pPr>
        <w:pStyle w:val="Quote"/>
        <w:spacing w:before="120" w:after="0"/>
        <w:rPr>
          <w:b/>
          <w:bCs/>
          <w:i/>
          <w:iCs/>
        </w:rPr>
      </w:pPr>
      <w:r w:rsidRPr="00EE4967">
        <w:rPr>
          <w:b/>
          <w:bCs/>
          <w:i/>
          <w:iCs/>
        </w:rPr>
        <w:t>Nature of the right and the limitation (s28 (2) (a) and (c))</w:t>
      </w:r>
    </w:p>
    <w:p w14:paraId="10DE5865" w14:textId="77777777" w:rsidR="00EE2DD3" w:rsidRPr="00EE2DD3" w:rsidRDefault="00EE2DD3" w:rsidP="00DD6028">
      <w:pPr>
        <w:pStyle w:val="Quote"/>
        <w:spacing w:before="120" w:after="0"/>
        <w:rPr>
          <w:bCs/>
        </w:rPr>
      </w:pPr>
      <w:r w:rsidRPr="00EE2DD3">
        <w:rPr>
          <w:bCs/>
        </w:rPr>
        <w:t xml:space="preserve">Clause 5 removes the mandatory installation of separated grey water piping in new houses and in extensions to existing houses. This was originally intended to support water security and sustainability by providing infrastructure that allows homeowners to easily install grey water use systems. While grey water readiness can reduce potable water demand, wastewater loads, and supports long-term sustainability; removing the mandate only indirectly affects immediate uptake and future water security. </w:t>
      </w:r>
      <w:proofErr w:type="gramStart"/>
      <w:r w:rsidRPr="00EE2DD3">
        <w:rPr>
          <w:bCs/>
        </w:rPr>
        <w:t>Therefore</w:t>
      </w:r>
      <w:proofErr w:type="gramEnd"/>
      <w:r w:rsidRPr="00EE2DD3">
        <w:rPr>
          <w:bCs/>
        </w:rPr>
        <w:t xml:space="preserve"> this measure amounts to a minimal limitation on section 27C of the HRA for the following reasons:</w:t>
      </w:r>
    </w:p>
    <w:p w14:paraId="3CF1DEA7" w14:textId="77777777" w:rsidR="00EE2DD3" w:rsidRPr="00EE2DD3" w:rsidRDefault="00EE2DD3" w:rsidP="00DD6028">
      <w:pPr>
        <w:pStyle w:val="Quote"/>
        <w:spacing w:before="120" w:after="0"/>
      </w:pPr>
      <w:r w:rsidRPr="00EE2DD3">
        <w:t>The amendment does not prohibit the use of separated grey water piping or grey water systems. A voluntary pathway remains available to allow homeowners and industry to install such systems where they consider them appropriate.</w:t>
      </w:r>
    </w:p>
    <w:p w14:paraId="25F77CD8" w14:textId="77777777" w:rsidR="00EE2DD3" w:rsidRPr="00EE2DD3" w:rsidRDefault="00EE2DD3" w:rsidP="00DD6028">
      <w:pPr>
        <w:pStyle w:val="Quote"/>
        <w:spacing w:before="120" w:after="0"/>
      </w:pPr>
      <w:r w:rsidRPr="00EE2DD3">
        <w:t>Households retain the capacity to achieve water-efficiency outcomes through alternative means such as voluntary grey water systems, albeit at much greater expense if needing to retrofit, and other existing measures (for example, installing rainwater tanks or diverting washing machine water for garden use via a hose).</w:t>
      </w:r>
    </w:p>
    <w:p w14:paraId="227D2B95" w14:textId="77777777" w:rsidR="00EE2DD3" w:rsidRPr="00EE2DD3" w:rsidRDefault="00EE2DD3" w:rsidP="00DD6028">
      <w:pPr>
        <w:pStyle w:val="Quote"/>
        <w:spacing w:before="120" w:after="0"/>
      </w:pPr>
      <w:r w:rsidRPr="00EE2DD3">
        <w:t>The regulation removes compulsion but preserves choice without removing the ability, therefore any impact on environmental outcomes is indirect, diffuse, and limited in extent when assessed against section 28 (2) (c) of the HRA.</w:t>
      </w:r>
    </w:p>
    <w:p w14:paraId="40CA01FC" w14:textId="50A3B4E0" w:rsidR="00EE2DD3" w:rsidRPr="00DD6028" w:rsidRDefault="00EE2DD3" w:rsidP="00DD6028">
      <w:pPr>
        <w:pStyle w:val="Quote"/>
        <w:spacing w:before="80" w:after="0" w:line="274" w:lineRule="auto"/>
      </w:pPr>
      <w:r w:rsidRPr="00EE2DD3">
        <w:lastRenderedPageBreak/>
        <w:t>The amendment identified in clause 5 only provides a sustainability benefit if the homeowner installs a grey water system.</w:t>
      </w:r>
    </w:p>
    <w:p w14:paraId="20BAE63C" w14:textId="77777777" w:rsidR="00EE2DD3" w:rsidRPr="00DD6028" w:rsidRDefault="00EE2DD3" w:rsidP="00DD6028">
      <w:pPr>
        <w:pStyle w:val="Quote"/>
        <w:spacing w:before="80" w:after="0" w:line="274" w:lineRule="auto"/>
        <w:rPr>
          <w:rFonts w:ascii="Calibri" w:eastAsia="Calibri" w:hAnsi="Calibri"/>
          <w:spacing w:val="-2"/>
        </w:rPr>
      </w:pPr>
      <w:r w:rsidRPr="00DD6028">
        <w:rPr>
          <w:rFonts w:ascii="Calibri" w:eastAsia="Calibri" w:hAnsi="Calibri"/>
          <w:spacing w:val="-2"/>
        </w:rPr>
        <w:t xml:space="preserve">The right to a healthy environment includes multiple substantive elements, including a safe climate and access to clean water. This right is necessary for the enjoyment of other human rights, including the right to life and the right to health. It requires safeguarding environmental conditions for the present generation while also ensuring ecological sustainability and stability for future generations. </w:t>
      </w:r>
    </w:p>
    <w:p w14:paraId="3D1F3C6D" w14:textId="77777777" w:rsidR="00EE2DD3" w:rsidRPr="00EE2DD3" w:rsidRDefault="00EE2DD3" w:rsidP="00DD6028">
      <w:pPr>
        <w:pStyle w:val="Quote"/>
        <w:spacing w:before="80" w:after="0" w:line="274" w:lineRule="auto"/>
        <w:rPr>
          <w:rFonts w:ascii="Calibri" w:eastAsia="Calibri" w:hAnsi="Calibri"/>
        </w:rPr>
      </w:pPr>
      <w:r w:rsidRPr="00EE2DD3">
        <w:rPr>
          <w:rFonts w:ascii="Calibri" w:eastAsia="Calibri" w:hAnsi="Calibri"/>
        </w:rPr>
        <w:t>Removing the mandatory measure removes one method that supports long</w:t>
      </w:r>
      <w:r w:rsidRPr="00EE2DD3">
        <w:rPr>
          <w:rFonts w:ascii="Calibri" w:eastAsia="Calibri" w:hAnsi="Calibri"/>
        </w:rPr>
        <w:noBreakHyphen/>
        <w:t xml:space="preserve">term sustainable water management and in doing so may be considered a retrogressive step. The nature and extent of this retrogressive step </w:t>
      </w:r>
      <w:proofErr w:type="gramStart"/>
      <w:r w:rsidRPr="00EE2DD3">
        <w:rPr>
          <w:rFonts w:ascii="Calibri" w:eastAsia="Calibri" w:hAnsi="Calibri"/>
        </w:rPr>
        <w:t>removes</w:t>
      </w:r>
      <w:proofErr w:type="gramEnd"/>
      <w:r w:rsidRPr="00EE2DD3">
        <w:rPr>
          <w:rFonts w:ascii="Calibri" w:eastAsia="Calibri" w:hAnsi="Calibri"/>
        </w:rPr>
        <w:t xml:space="preserve"> the ability for owners of future new houses to easily and cost effectively install a grey water system as water scarcity becomes more pressing and droughts become more often and longer lasting. However, this measure is necessary despite being seen as retrogressive due to the following reasons:</w:t>
      </w:r>
    </w:p>
    <w:p w14:paraId="725DF703" w14:textId="77777777" w:rsidR="00EE2DD3" w:rsidRPr="00EE2DD3" w:rsidRDefault="00EE2DD3" w:rsidP="009156A6">
      <w:pPr>
        <w:pStyle w:val="Quote"/>
        <w:numPr>
          <w:ilvl w:val="0"/>
          <w:numId w:val="31"/>
        </w:numPr>
        <w:spacing w:before="80" w:after="0" w:line="274" w:lineRule="auto"/>
        <w:ind w:left="1418" w:hanging="284"/>
      </w:pPr>
      <w:r w:rsidRPr="00EE2DD3">
        <w:t>Although the introduction of the mandatory requirement was to help incentivise the uptake of grey water use systems, this policy objective has not been realised and thereby created a cost that outweighs the benefits.</w:t>
      </w:r>
    </w:p>
    <w:p w14:paraId="19DA30FE" w14:textId="77777777" w:rsidR="00EE2DD3" w:rsidRPr="00EE2DD3" w:rsidRDefault="00EE2DD3" w:rsidP="009156A6">
      <w:pPr>
        <w:pStyle w:val="Quote"/>
        <w:numPr>
          <w:ilvl w:val="0"/>
          <w:numId w:val="31"/>
        </w:numPr>
        <w:spacing w:before="80" w:after="0" w:line="274" w:lineRule="auto"/>
        <w:ind w:left="1418" w:hanging="284"/>
      </w:pPr>
      <w:r w:rsidRPr="00EE2DD3">
        <w:t>an environmental sustainability benefit is only enlivened if the homeowner chooses to install the grey water system itself, and evidence shows that this uptake has been very low.</w:t>
      </w:r>
    </w:p>
    <w:p w14:paraId="62964056" w14:textId="52078064" w:rsidR="00EE2DD3" w:rsidRPr="00EE2DD3" w:rsidRDefault="00EE2DD3" w:rsidP="009156A6">
      <w:pPr>
        <w:pStyle w:val="Quote"/>
        <w:numPr>
          <w:ilvl w:val="0"/>
          <w:numId w:val="31"/>
        </w:numPr>
        <w:spacing w:before="80" w:after="0" w:line="274" w:lineRule="auto"/>
        <w:ind w:left="1418" w:hanging="284"/>
      </w:pPr>
      <w:r w:rsidRPr="00EE2DD3">
        <w:t>there are more efficient and lower-cost measures available that homeowners can implement to use greywater regardless of a separate grey water piping being installed (e.g</w:t>
      </w:r>
      <w:r w:rsidR="00DD6028">
        <w:t>.</w:t>
      </w:r>
      <w:r w:rsidRPr="00EE2DD3">
        <w:t xml:space="preserve"> draining laundry water by a hose into the garden). </w:t>
      </w:r>
    </w:p>
    <w:p w14:paraId="392F08B2" w14:textId="77777777" w:rsidR="00EE2DD3" w:rsidRPr="00DD6028" w:rsidRDefault="00EE2DD3" w:rsidP="00DD6028">
      <w:pPr>
        <w:pStyle w:val="Quote"/>
        <w:spacing w:before="80" w:after="0" w:line="274" w:lineRule="auto"/>
        <w:rPr>
          <w:rFonts w:ascii="Calibri" w:eastAsia="Calibri" w:hAnsi="Calibri"/>
          <w:spacing w:val="-6"/>
        </w:rPr>
      </w:pPr>
      <w:r w:rsidRPr="00DD6028">
        <w:rPr>
          <w:rFonts w:ascii="Calibri" w:eastAsia="Calibri" w:hAnsi="Calibri"/>
          <w:spacing w:val="-6"/>
        </w:rPr>
        <w:t>Although this measure will likely lead to less protection of the right to a healthy environment, it is considered very minor considering the uptake of grey water systems has been limited to 0.2-1% of new homes. There is little evidence to suggest that uptake will be any different with the removal of the piping duplication requirement. Anecdotally, only very environmentally conscious homeowners install grey water recycling systems, so they are likely to continue to install them at the same rate.</w:t>
      </w:r>
    </w:p>
    <w:p w14:paraId="5C6D6C41" w14:textId="77777777" w:rsidR="00EE2DD3" w:rsidRPr="00EE2DD3" w:rsidRDefault="00EE2DD3" w:rsidP="00EE4967">
      <w:pPr>
        <w:pStyle w:val="ListNumber2"/>
        <w:numPr>
          <w:ilvl w:val="1"/>
          <w:numId w:val="4"/>
        </w:numPr>
        <w:spacing w:before="120" w:after="0"/>
        <w:ind w:left="851" w:hanging="851"/>
        <w:rPr>
          <w:rFonts w:ascii="Calibri" w:eastAsia="Times New Roman" w:hAnsi="Calibri" w:cs="Calibri"/>
        </w:rPr>
      </w:pPr>
      <w:r w:rsidRPr="00EE2DD3">
        <w:rPr>
          <w:rFonts w:ascii="Calibri" w:eastAsia="Times New Roman" w:hAnsi="Calibri" w:cs="Calibri"/>
        </w:rPr>
        <w:t>After lengthy discussion, the explanatory statement concludes:</w:t>
      </w:r>
    </w:p>
    <w:p w14:paraId="6CDEE06A" w14:textId="77777777" w:rsidR="00EE2DD3" w:rsidRPr="00EE4967" w:rsidRDefault="00EE2DD3" w:rsidP="00DD6028">
      <w:pPr>
        <w:pStyle w:val="Quote"/>
        <w:spacing w:before="80" w:after="0" w:line="274" w:lineRule="auto"/>
        <w:rPr>
          <w:b/>
          <w:bCs/>
        </w:rPr>
      </w:pPr>
      <w:r w:rsidRPr="00EE4967">
        <w:rPr>
          <w:b/>
          <w:bCs/>
        </w:rPr>
        <w:t>Proportionality (s 28 (2) (e)) </w:t>
      </w:r>
    </w:p>
    <w:p w14:paraId="3D542471" w14:textId="77777777" w:rsidR="00EE2DD3" w:rsidRPr="00EE2DD3" w:rsidRDefault="00EE2DD3" w:rsidP="00DD6028">
      <w:pPr>
        <w:pStyle w:val="Quote"/>
        <w:spacing w:before="80" w:after="0" w:line="274" w:lineRule="auto"/>
        <w:rPr>
          <w:bCs/>
        </w:rPr>
      </w:pPr>
      <w:r w:rsidRPr="00EE2DD3">
        <w:rPr>
          <w:bCs/>
        </w:rPr>
        <w:t xml:space="preserve">The reform does not prohibit the use of grey water, nor does it remove other environmental management tools available to government or industry. </w:t>
      </w:r>
    </w:p>
    <w:p w14:paraId="6006C61C" w14:textId="77777777" w:rsidR="00EE2DD3" w:rsidRPr="00EE2DD3" w:rsidRDefault="00EE2DD3" w:rsidP="00DD6028">
      <w:pPr>
        <w:pStyle w:val="Quote"/>
        <w:spacing w:before="80" w:after="0" w:line="274" w:lineRule="auto"/>
        <w:rPr>
          <w:bCs/>
        </w:rPr>
      </w:pPr>
      <w:r w:rsidRPr="00EE2DD3">
        <w:rPr>
          <w:bCs/>
        </w:rPr>
        <w:t xml:space="preserve">The purpose of this measure is to remove the mandatory grey water piping requirement due to its low uptake and high costs since the mandatory requirement was introduced. Evidence shows that despite the requirement being in place for nearly two decades, only a small number of households have activated their greywater systems with the majority remaining unused and effectively redundant. In considering alternatives, the Government examined whether increased public awareness such as highlighting water scarcity issues or promoting the potential cost benefits of grey water reuse could improve uptake. The Government considered that awareness alone would be ineffective due to the underlying practical and financial barriers to activation. Other alternatives included removing the grey water provisions entirely however this risked undermining the ACT’s long term water resilience strategy. The removal of the mandatory requirement whilst maintaining voluntary pathway to encourage grey water use is the least restrictive means reasonably available to achieve the purpose of this measure. </w:t>
      </w:r>
    </w:p>
    <w:p w14:paraId="7EEB0FD0" w14:textId="77777777" w:rsidR="00EE2DD3" w:rsidRPr="00EE2DD3" w:rsidRDefault="00EE2DD3" w:rsidP="000B0C3C">
      <w:pPr>
        <w:pStyle w:val="Quote"/>
        <w:spacing w:before="80" w:after="0" w:line="274" w:lineRule="auto"/>
        <w:rPr>
          <w:bCs/>
        </w:rPr>
      </w:pPr>
      <w:r w:rsidRPr="000B0C3C">
        <w:rPr>
          <w:bCs/>
          <w:spacing w:val="-4"/>
        </w:rPr>
        <w:lastRenderedPageBreak/>
        <w:t>This reform represents a proportionate and evidence</w:t>
      </w:r>
      <w:r w:rsidRPr="000B0C3C">
        <w:rPr>
          <w:rFonts w:ascii="Cambria Math" w:hAnsi="Cambria Math" w:cs="Cambria Math"/>
          <w:bCs/>
          <w:spacing w:val="-4"/>
        </w:rPr>
        <w:noBreakHyphen/>
      </w:r>
      <w:r w:rsidRPr="000B0C3C">
        <w:rPr>
          <w:bCs/>
          <w:spacing w:val="-4"/>
        </w:rPr>
        <w:t>based response to the very low uptake and limited practical utilisation of grey water systems in new homes. It forms part of a broader tranche of measures intended to streamline development processes and support more efficient and affordable housing delivery. By removing an under</w:t>
      </w:r>
      <w:r w:rsidRPr="000B0C3C">
        <w:rPr>
          <w:rFonts w:ascii="Cambria Math" w:hAnsi="Cambria Math" w:cs="Cambria Math"/>
          <w:bCs/>
          <w:spacing w:val="-4"/>
        </w:rPr>
        <w:noBreakHyphen/>
      </w:r>
      <w:r w:rsidRPr="000B0C3C">
        <w:rPr>
          <w:bCs/>
          <w:spacing w:val="-4"/>
        </w:rPr>
        <w:t>used and costly mandatory requirement, the reform supports the government’s objective of facilitating increased housing supply and lowering construction costs for the community. The Office of Water who is responsible for managing water wisely in the ACT, has indicated its support for the proposed change</w:t>
      </w:r>
      <w:r w:rsidRPr="00EE2DD3">
        <w:rPr>
          <w:bCs/>
        </w:rPr>
        <w:t>.</w:t>
      </w:r>
    </w:p>
    <w:p w14:paraId="1ACA9121" w14:textId="77777777" w:rsidR="00EE2DD3" w:rsidRPr="00EE2DD3" w:rsidRDefault="00EE2DD3" w:rsidP="000B0C3C">
      <w:pPr>
        <w:pStyle w:val="Quote"/>
        <w:spacing w:before="80" w:after="0" w:line="274" w:lineRule="auto"/>
        <w:rPr>
          <w:bCs/>
        </w:rPr>
      </w:pPr>
      <w:r w:rsidRPr="00EE2DD3">
        <w:rPr>
          <w:bCs/>
        </w:rPr>
        <w:t>Under section 28 of the HRA, human rights may only be subject to reasonable limits that can be demonstrably justified in a free and democratic society. Applied here, the purpose of the limitation, the reduction of unnecessary construction costs, improved efficiency in development, and avoidance of technological lock</w:t>
      </w:r>
      <w:r w:rsidRPr="00EE2DD3">
        <w:rPr>
          <w:rFonts w:ascii="Cambria Math" w:hAnsi="Cambria Math" w:cs="Cambria Math"/>
          <w:bCs/>
        </w:rPr>
        <w:noBreakHyphen/>
      </w:r>
      <w:r w:rsidRPr="00EE2DD3">
        <w:rPr>
          <w:bCs/>
        </w:rPr>
        <w:t xml:space="preserve">in, and thereby advancing housing affordability is of substantial importance in the current housing affordability and supply context. Moderating build costs and enabling compliance flexibility are legitimate public interests that support the delivery of more affordable housing. </w:t>
      </w:r>
    </w:p>
    <w:p w14:paraId="682E6E7C" w14:textId="77777777" w:rsidR="00EE2DD3" w:rsidRPr="00DD6028" w:rsidRDefault="00EE2DD3" w:rsidP="000B0C3C">
      <w:pPr>
        <w:pStyle w:val="Quote"/>
        <w:spacing w:before="80" w:after="0" w:line="274" w:lineRule="auto"/>
        <w:rPr>
          <w:bCs/>
          <w:spacing w:val="-4"/>
        </w:rPr>
      </w:pPr>
      <w:r w:rsidRPr="00DD6028">
        <w:rPr>
          <w:bCs/>
          <w:spacing w:val="-4"/>
        </w:rPr>
        <w:t>The nature and extent of the immediate limitation on section 27C (right to a clean, healthy and sustainable environment) is comparatively modest. The reform does not prohibit the use of grey water, nor does it remove other environmental management tools available to government or industry. In the longer term, the limitation means that there will be fewer homes that can more easily retrofit grey water recycling systems. However, the likelihood of this becoming a significant limitation is considered low, due to the same reasons that low retrofit is occurring now.</w:t>
      </w:r>
    </w:p>
    <w:p w14:paraId="58518089" w14:textId="77777777" w:rsidR="00EE2DD3" w:rsidRPr="00EE2DD3" w:rsidRDefault="00EE2DD3" w:rsidP="000B0C3C">
      <w:pPr>
        <w:pStyle w:val="Quote"/>
        <w:spacing w:before="80" w:after="0" w:line="274" w:lineRule="auto"/>
        <w:rPr>
          <w:bCs/>
        </w:rPr>
      </w:pPr>
      <w:r w:rsidRPr="00EE2DD3">
        <w:rPr>
          <w:bCs/>
        </w:rPr>
        <w:t>Taken together, the importance of the objectives, the narrow scope of the limitation, and the retention of alternative pathways to support environmental outcomes indicate that the measure is a proportionate and reasonable limit on the right to a healthy environment and is necessary despite being retrogressive.</w:t>
      </w:r>
    </w:p>
    <w:p w14:paraId="49BCDA6A" w14:textId="77777777" w:rsidR="00EE2DD3" w:rsidRPr="00EE2DD3" w:rsidRDefault="00EE2DD3" w:rsidP="00EE4967">
      <w:pPr>
        <w:pStyle w:val="ListNumber2"/>
        <w:numPr>
          <w:ilvl w:val="1"/>
          <w:numId w:val="4"/>
        </w:numPr>
        <w:spacing w:before="120" w:after="0"/>
        <w:ind w:left="851" w:hanging="851"/>
        <w:rPr>
          <w:rFonts w:ascii="Calibri" w:eastAsia="Times New Roman" w:hAnsi="Calibri" w:cs="Calibri"/>
          <w:b/>
          <w:lang w:eastAsia="en-AU"/>
        </w:rPr>
      </w:pPr>
      <w:r w:rsidRPr="00EE2DD3">
        <w:rPr>
          <w:rFonts w:ascii="Calibri" w:eastAsia="Times New Roman" w:hAnsi="Calibri" w:cs="Calibri"/>
          <w:b/>
          <w:lang w:eastAsia="en-AU"/>
        </w:rPr>
        <w:t>The Committee draws the attention of the Legislative Assembly to the discussion of human rights issues in the explanatory statement for this subordinate law.</w:t>
      </w:r>
    </w:p>
    <w:p w14:paraId="6D13FBC2" w14:textId="77777777" w:rsidR="00EE2DD3" w:rsidRPr="00EE2DD3" w:rsidRDefault="00EE2DD3" w:rsidP="00EE4967">
      <w:pPr>
        <w:pStyle w:val="ListNumber2"/>
        <w:numPr>
          <w:ilvl w:val="1"/>
          <w:numId w:val="4"/>
        </w:numPr>
        <w:spacing w:before="120" w:after="0"/>
        <w:ind w:left="851" w:hanging="851"/>
        <w:rPr>
          <w:rFonts w:ascii="Calibri" w:eastAsia="Times New Roman" w:hAnsi="Calibri" w:cs="Calibri"/>
          <w:b/>
          <w:lang w:eastAsia="en-AU"/>
        </w:rPr>
      </w:pPr>
      <w:r w:rsidRPr="00EE2DD3">
        <w:rPr>
          <w:rFonts w:ascii="Calibri" w:eastAsia="Times New Roman" w:hAnsi="Calibri" w:cs="Calibri"/>
          <w:b/>
          <w:lang w:eastAsia="en-AU"/>
        </w:rPr>
        <w:t>This comment does not require a response from the Minister.</w:t>
      </w:r>
    </w:p>
    <w:p w14:paraId="4E1AB43D" w14:textId="77777777" w:rsidR="00EE4967" w:rsidRPr="00842199" w:rsidRDefault="00EE4967" w:rsidP="000B0C3C">
      <w:pPr>
        <w:numPr>
          <w:ilvl w:val="0"/>
          <w:numId w:val="31"/>
        </w:numPr>
        <w:spacing w:before="200" w:after="0"/>
        <w:ind w:left="1208" w:hanging="357"/>
        <w:rPr>
          <w:b/>
        </w:rPr>
      </w:pPr>
      <w:r>
        <w:rPr>
          <w:b/>
        </w:rPr>
        <w:t>Subordinate Law</w:t>
      </w:r>
      <w:r w:rsidRPr="00451C85">
        <w:rPr>
          <w:b/>
        </w:rPr>
        <w:t xml:space="preserve"> </w:t>
      </w:r>
      <w:r>
        <w:rPr>
          <w:b/>
        </w:rPr>
        <w:t>SL2026-3</w:t>
      </w:r>
      <w:r w:rsidRPr="00451C85">
        <w:rPr>
          <w:b/>
        </w:rPr>
        <w:t xml:space="preserve"> being the </w:t>
      </w:r>
      <w:r>
        <w:rPr>
          <w:b/>
        </w:rPr>
        <w:t xml:space="preserve">Firearms Amendment Regulation 2026 (No 1) made under the </w:t>
      </w:r>
      <w:r>
        <w:rPr>
          <w:i/>
        </w:rPr>
        <w:t>Firearms Act 1996</w:t>
      </w:r>
      <w:r w:rsidRPr="00236BDD">
        <w:rPr>
          <w:b/>
        </w:rPr>
        <w:t xml:space="preserve"> </w:t>
      </w:r>
      <w:r>
        <w:rPr>
          <w:b/>
        </w:rPr>
        <w:t xml:space="preserve">amends the Firearms Regulation 2008 (Firearms Regulation) to provide that orders under the Workplace Protection Orders Act 2025 (Cwlth) (CWPO Act) must be considered in determining a person’s suitability to hold a firearms licence. </w:t>
      </w:r>
    </w:p>
    <w:p w14:paraId="5E157041" w14:textId="77777777" w:rsidR="00EE2DD3" w:rsidRPr="00EE2DD3" w:rsidRDefault="00EE2DD3" w:rsidP="00514770">
      <w:pPr>
        <w:pStyle w:val="Heading4"/>
        <w:rPr>
          <w:rFonts w:eastAsia="Calibri"/>
          <w:i/>
          <w:lang w:eastAsia="en-AU"/>
        </w:rPr>
      </w:pPr>
      <w:bookmarkStart w:id="121" w:name="_Toc230939471"/>
      <w:r w:rsidRPr="00EE2DD3">
        <w:rPr>
          <w:rFonts w:eastAsia="Calibri"/>
          <w:lang w:eastAsia="en-AU"/>
        </w:rPr>
        <w:t xml:space="preserve">Report under section 38 of the </w:t>
      </w:r>
      <w:r w:rsidRPr="00EE2DD3">
        <w:rPr>
          <w:rFonts w:eastAsia="Calibri"/>
          <w:i/>
          <w:lang w:eastAsia="en-AU"/>
        </w:rPr>
        <w:t xml:space="preserve">Human Rights Act 2004 </w:t>
      </w:r>
      <w:r w:rsidRPr="00EE2DD3">
        <w:rPr>
          <w:rFonts w:eastAsia="Calibri"/>
          <w:lang w:eastAsia="en-AU"/>
        </w:rPr>
        <w:t>(HRA)</w:t>
      </w:r>
      <w:bookmarkEnd w:id="121"/>
    </w:p>
    <w:p w14:paraId="77805F80" w14:textId="77777777" w:rsidR="00EE2DD3" w:rsidRPr="00EE2DD3" w:rsidRDefault="00EE2DD3" w:rsidP="00514770">
      <w:pPr>
        <w:pStyle w:val="Heading5"/>
        <w:rPr>
          <w:rFonts w:eastAsia="Times New Roman"/>
        </w:rPr>
      </w:pPr>
      <w:r w:rsidRPr="00EE2DD3">
        <w:rPr>
          <w:rFonts w:eastAsia="Times New Roman"/>
        </w:rPr>
        <w:t>Right to life (section 9 HRA)</w:t>
      </w:r>
    </w:p>
    <w:p w14:paraId="12DCB54D" w14:textId="77777777" w:rsidR="00EE2DD3" w:rsidRPr="00EE2DD3" w:rsidRDefault="00EE2DD3" w:rsidP="00514770">
      <w:pPr>
        <w:pStyle w:val="Heading5"/>
        <w:rPr>
          <w:rFonts w:eastAsia="Times New Roman"/>
        </w:rPr>
      </w:pPr>
      <w:r w:rsidRPr="00EE2DD3">
        <w:rPr>
          <w:rFonts w:eastAsia="Times New Roman"/>
        </w:rPr>
        <w:t>Right to a fair trial (section 22 HRA)</w:t>
      </w:r>
    </w:p>
    <w:p w14:paraId="382411EE" w14:textId="77777777" w:rsidR="00EE2DD3" w:rsidRPr="00514770" w:rsidRDefault="00EE2DD3" w:rsidP="00514770">
      <w:pPr>
        <w:pStyle w:val="Heading5"/>
        <w:rPr>
          <w:rFonts w:eastAsia="Times New Roman"/>
          <w:spacing w:val="-2"/>
        </w:rPr>
      </w:pPr>
      <w:r w:rsidRPr="00514770">
        <w:rPr>
          <w:rFonts w:eastAsia="Times New Roman"/>
          <w:spacing w:val="-2"/>
        </w:rPr>
        <w:t>Cultural and other rights of Aboriginal and Torres Strait Islander peoples (section 27 HRA)</w:t>
      </w:r>
    </w:p>
    <w:p w14:paraId="5AD0B1D3" w14:textId="77777777" w:rsidR="00EE2DD3" w:rsidRPr="00EE2DD3" w:rsidRDefault="00EE2DD3" w:rsidP="00514770">
      <w:pPr>
        <w:pStyle w:val="Heading5"/>
        <w:rPr>
          <w:rFonts w:eastAsia="Times New Roman"/>
        </w:rPr>
      </w:pPr>
      <w:r w:rsidRPr="00EE2DD3">
        <w:rPr>
          <w:rFonts w:eastAsia="Times New Roman"/>
        </w:rPr>
        <w:t>Right to work and work-related rights (section 27B HRA)</w:t>
      </w:r>
    </w:p>
    <w:p w14:paraId="1342C7BE" w14:textId="77777777" w:rsidR="00EE2DD3" w:rsidRPr="00EE2DD3" w:rsidRDefault="00EE2DD3" w:rsidP="00EE4967">
      <w:pPr>
        <w:pStyle w:val="ListNumber2"/>
        <w:numPr>
          <w:ilvl w:val="1"/>
          <w:numId w:val="4"/>
        </w:numPr>
        <w:spacing w:before="120" w:after="0"/>
        <w:ind w:left="851" w:hanging="851"/>
        <w:rPr>
          <w:rFonts w:ascii="Calibri" w:eastAsia="Calibri" w:hAnsi="Calibri" w:cs="Calibri"/>
        </w:rPr>
      </w:pPr>
      <w:r w:rsidRPr="00EE2DD3">
        <w:rPr>
          <w:rFonts w:ascii="Calibri" w:eastAsia="Calibri" w:hAnsi="Calibri" w:cs="Calibri"/>
        </w:rPr>
        <w:t xml:space="preserve">According to the explanatory statement, the purpose of this subordinate law is to amend the </w:t>
      </w:r>
      <w:r w:rsidRPr="00EE2DD3">
        <w:rPr>
          <w:rFonts w:ascii="Calibri" w:eastAsia="Calibri" w:hAnsi="Calibri" w:cs="Calibri"/>
          <w:i/>
          <w:iCs/>
        </w:rPr>
        <w:t>Firearms Regulation 2008</w:t>
      </w:r>
      <w:r w:rsidRPr="00EE2DD3">
        <w:rPr>
          <w:rFonts w:ascii="Calibri" w:eastAsia="Calibri" w:hAnsi="Calibri" w:cs="Calibri"/>
        </w:rPr>
        <w:t xml:space="preserve">, to provide that orders under the </w:t>
      </w:r>
      <w:r w:rsidRPr="00EE2DD3">
        <w:rPr>
          <w:rFonts w:ascii="Calibri" w:eastAsia="Calibri" w:hAnsi="Calibri" w:cs="Calibri"/>
          <w:i/>
          <w:iCs/>
        </w:rPr>
        <w:t>Workplace Protection Orders Act 2025</w:t>
      </w:r>
      <w:r w:rsidRPr="00EE2DD3">
        <w:rPr>
          <w:rFonts w:ascii="Calibri" w:eastAsia="Calibri" w:hAnsi="Calibri" w:cs="Calibri"/>
        </w:rPr>
        <w:t xml:space="preserve"> (</w:t>
      </w:r>
      <w:proofErr w:type="spellStart"/>
      <w:r w:rsidRPr="00EE2DD3">
        <w:rPr>
          <w:rFonts w:ascii="Calibri" w:eastAsia="Calibri" w:hAnsi="Calibri" w:cs="Calibri"/>
        </w:rPr>
        <w:t>Cth</w:t>
      </w:r>
      <w:proofErr w:type="spellEnd"/>
      <w:r w:rsidRPr="00EE2DD3">
        <w:rPr>
          <w:rFonts w:ascii="Calibri" w:eastAsia="Calibri" w:hAnsi="Calibri" w:cs="Calibri"/>
        </w:rPr>
        <w:t>) (</w:t>
      </w:r>
      <w:r w:rsidRPr="00EE2DD3">
        <w:rPr>
          <w:rFonts w:ascii="Calibri" w:eastAsia="Calibri" w:hAnsi="Calibri" w:cs="Calibri"/>
          <w:b/>
        </w:rPr>
        <w:t>CWPO Act</w:t>
      </w:r>
      <w:r w:rsidRPr="00EE2DD3">
        <w:rPr>
          <w:rFonts w:ascii="Calibri" w:eastAsia="Calibri" w:hAnsi="Calibri" w:cs="Calibri"/>
        </w:rPr>
        <w:t>) must be considered in determining a person’s suitability to hold a firearms licence.</w:t>
      </w:r>
    </w:p>
    <w:p w14:paraId="03F58092" w14:textId="4D997E60" w:rsidR="00EE2DD3" w:rsidRPr="00EE2DD3" w:rsidRDefault="00EE2DD3" w:rsidP="00EE4967">
      <w:pPr>
        <w:pStyle w:val="ListNumber2"/>
        <w:numPr>
          <w:ilvl w:val="1"/>
          <w:numId w:val="4"/>
        </w:numPr>
        <w:spacing w:before="120" w:after="0"/>
        <w:ind w:left="851" w:hanging="851"/>
        <w:rPr>
          <w:rFonts w:ascii="Calibri" w:eastAsia="Calibri" w:hAnsi="Calibri" w:cs="Calibri"/>
        </w:rPr>
      </w:pPr>
      <w:r w:rsidRPr="00EE2DD3">
        <w:rPr>
          <w:rFonts w:ascii="Calibri" w:eastAsia="Calibri" w:hAnsi="Calibri" w:cs="Calibri"/>
        </w:rPr>
        <w:lastRenderedPageBreak/>
        <w:t xml:space="preserve">The explanatory statement for the subordinate law contains a discussion of human rights issues, by reference to the right to life and the right to a fair trial, the cultural and other rights of Aboriginal and Torres Strait Islander </w:t>
      </w:r>
      <w:r w:rsidR="00F519B8">
        <w:rPr>
          <w:rFonts w:ascii="Calibri" w:eastAsia="Calibri" w:hAnsi="Calibri" w:cs="Calibri"/>
        </w:rPr>
        <w:t xml:space="preserve">peoples </w:t>
      </w:r>
      <w:r w:rsidRPr="00EE2DD3">
        <w:rPr>
          <w:rFonts w:ascii="Calibri" w:eastAsia="Calibri" w:hAnsi="Calibri" w:cs="Calibri"/>
        </w:rPr>
        <w:t xml:space="preserve">and the right to work and work-related rights, protected by sections 9, 22, 27 and 27B of the </w:t>
      </w:r>
      <w:r w:rsidRPr="00EE2DD3">
        <w:rPr>
          <w:rFonts w:ascii="Calibri" w:eastAsia="Calibri" w:hAnsi="Calibri" w:cs="Calibri"/>
          <w:i/>
          <w:iCs/>
        </w:rPr>
        <w:t>Human Rights Act 2004</w:t>
      </w:r>
      <w:r w:rsidRPr="00EE2DD3">
        <w:rPr>
          <w:rFonts w:ascii="Calibri" w:eastAsia="Calibri" w:hAnsi="Calibri" w:cs="Calibri"/>
        </w:rPr>
        <w:t>, respectively.</w:t>
      </w:r>
    </w:p>
    <w:p w14:paraId="7C520B85" w14:textId="77777777" w:rsidR="00EE2DD3" w:rsidRPr="00EE2DD3" w:rsidRDefault="00EE2DD3" w:rsidP="00EE4967">
      <w:pPr>
        <w:pStyle w:val="ListNumber2"/>
        <w:numPr>
          <w:ilvl w:val="1"/>
          <w:numId w:val="4"/>
        </w:numPr>
        <w:spacing w:before="120" w:after="0"/>
        <w:ind w:left="851" w:hanging="851"/>
        <w:rPr>
          <w:rFonts w:ascii="Calibri" w:eastAsia="Calibri" w:hAnsi="Calibri" w:cs="Calibri"/>
        </w:rPr>
      </w:pPr>
      <w:r w:rsidRPr="00EE2DD3">
        <w:rPr>
          <w:rFonts w:ascii="Calibri" w:eastAsia="Calibri" w:hAnsi="Calibri" w:cs="Calibri"/>
        </w:rPr>
        <w:t>The right to life is promoted.</w:t>
      </w:r>
    </w:p>
    <w:p w14:paraId="7290ED24" w14:textId="77777777" w:rsidR="00EE2DD3" w:rsidRPr="00EE2DD3" w:rsidRDefault="00EE2DD3" w:rsidP="00EE4967">
      <w:pPr>
        <w:pStyle w:val="ListNumber2"/>
        <w:numPr>
          <w:ilvl w:val="1"/>
          <w:numId w:val="4"/>
        </w:numPr>
        <w:spacing w:before="120" w:after="0"/>
        <w:ind w:left="851" w:hanging="851"/>
        <w:rPr>
          <w:rFonts w:ascii="Calibri" w:eastAsia="Calibri" w:hAnsi="Calibri" w:cs="Calibri"/>
        </w:rPr>
      </w:pPr>
      <w:r w:rsidRPr="00EE2DD3">
        <w:rPr>
          <w:rFonts w:ascii="Calibri" w:eastAsia="Calibri" w:hAnsi="Calibri" w:cs="Calibri"/>
        </w:rPr>
        <w:t>In relation to the right to a fair trial (which may be limited), the explanatory statement states:</w:t>
      </w:r>
    </w:p>
    <w:p w14:paraId="3CE679C9" w14:textId="77777777" w:rsidR="00EE2DD3" w:rsidRPr="00EE4967" w:rsidRDefault="00EE2DD3" w:rsidP="00F519B8">
      <w:pPr>
        <w:pStyle w:val="Quote"/>
        <w:spacing w:before="120" w:after="0"/>
        <w:rPr>
          <w:b/>
          <w:bCs/>
          <w:i/>
          <w:iCs/>
        </w:rPr>
      </w:pPr>
      <w:r w:rsidRPr="00EE4967">
        <w:rPr>
          <w:b/>
          <w:bCs/>
          <w:i/>
          <w:iCs/>
        </w:rPr>
        <w:t>Nature of the right and the limitation (s28(a) and (c))</w:t>
      </w:r>
    </w:p>
    <w:p w14:paraId="70DAE9A9" w14:textId="77777777" w:rsidR="00EE2DD3" w:rsidRPr="00EE2DD3" w:rsidRDefault="00EE2DD3" w:rsidP="00F519B8">
      <w:pPr>
        <w:pStyle w:val="Quote"/>
        <w:spacing w:before="120" w:after="0"/>
        <w:rPr>
          <w:bCs/>
        </w:rPr>
      </w:pPr>
      <w:r w:rsidRPr="00EE2DD3">
        <w:rPr>
          <w:bCs/>
        </w:rPr>
        <w:t>The amendments may limit the right to a fair trial (section 22). By providing that a person who is or has been subject to a final CWPO must be assessed as unsuitable to possess a licence (and accordingly be refused a licence or have an existing licence cancelled), the amendments may restrict a person’s ability to challenge key administrative decisions of the Registrar.</w:t>
      </w:r>
    </w:p>
    <w:p w14:paraId="1942E9D7" w14:textId="77777777" w:rsidR="00EE2DD3" w:rsidRPr="00EE2DD3" w:rsidRDefault="00EE2DD3" w:rsidP="00F519B8">
      <w:pPr>
        <w:pStyle w:val="Quote"/>
        <w:spacing w:before="120" w:after="0"/>
        <w:rPr>
          <w:bCs/>
        </w:rPr>
      </w:pPr>
      <w:r w:rsidRPr="00EE2DD3">
        <w:rPr>
          <w:bCs/>
        </w:rPr>
        <w:t xml:space="preserve">The Amending Regulation requires the Registrar to consider CWPOs that have been successfully appealed against as a </w:t>
      </w:r>
      <w:proofErr w:type="gramStart"/>
      <w:r w:rsidRPr="00EE2DD3">
        <w:rPr>
          <w:bCs/>
        </w:rPr>
        <w:t>discretionary criteria</w:t>
      </w:r>
      <w:proofErr w:type="gramEnd"/>
      <w:r w:rsidRPr="00EE2DD3">
        <w:rPr>
          <w:bCs/>
        </w:rPr>
        <w:t xml:space="preserve"> under section 18. This may also limit the right to a fair trial.</w:t>
      </w:r>
    </w:p>
    <w:p w14:paraId="371190E2" w14:textId="77777777" w:rsidR="00EE2DD3" w:rsidRPr="00EE2DD3" w:rsidRDefault="00EE2DD3" w:rsidP="00F519B8">
      <w:pPr>
        <w:pStyle w:val="Quote"/>
        <w:spacing w:before="120" w:after="0"/>
        <w:rPr>
          <w:bCs/>
        </w:rPr>
      </w:pPr>
      <w:r w:rsidRPr="00EE2DD3">
        <w:rPr>
          <w:bCs/>
        </w:rPr>
        <w:t>The Amendment Regulation provides that the registrar must consider an order made under the CWPO even if the relevant order was made before commencement of the Regulation and, for a decision in relation to an application under the Act, the application was made before that day.</w:t>
      </w:r>
    </w:p>
    <w:p w14:paraId="37EFF549" w14:textId="77777777" w:rsidR="00EE2DD3" w:rsidRPr="00EE2DD3" w:rsidRDefault="00EE2DD3" w:rsidP="00F519B8">
      <w:pPr>
        <w:pStyle w:val="Quote"/>
        <w:spacing w:before="120" w:after="0"/>
        <w:rPr>
          <w:bCs/>
        </w:rPr>
      </w:pPr>
      <w:r w:rsidRPr="00EE2DD3">
        <w:rPr>
          <w:bCs/>
        </w:rPr>
        <w:t xml:space="preserve">This may appear to limit the right under section 25 of the Human Rights Act not to be subject to retrospective laws. However, the suitability provisions in ss 17 – 19 of the Firearms Act are not criminal offence provisions and a finding that a person is not suitable cannot be considered a punishment or penalty. Nonetheless, the transitional provision may result in retrospective operation, in that it will mean the Firearms Regulation may operate by reference to a CWPO made before commencement or before a relevant application under the Firearms Act. This is proportionate and justifiable. Further, the alternative is illogical and undermines the underlying policy rationale to ensure public safety. </w:t>
      </w:r>
    </w:p>
    <w:p w14:paraId="0BA1BA6E" w14:textId="77777777" w:rsidR="00EE2DD3" w:rsidRPr="00EE2DD3" w:rsidRDefault="00EE2DD3" w:rsidP="00EE4967">
      <w:pPr>
        <w:pStyle w:val="ListNumber2"/>
        <w:numPr>
          <w:ilvl w:val="1"/>
          <w:numId w:val="4"/>
        </w:numPr>
        <w:spacing w:before="120" w:after="0"/>
        <w:ind w:left="851" w:hanging="851"/>
        <w:rPr>
          <w:rFonts w:ascii="Calibri" w:eastAsia="Calibri" w:hAnsi="Calibri" w:cs="Calibri"/>
        </w:rPr>
      </w:pPr>
      <w:r w:rsidRPr="00EE2DD3">
        <w:rPr>
          <w:rFonts w:ascii="Calibri" w:eastAsia="Calibri" w:hAnsi="Calibri" w:cs="Calibri"/>
        </w:rPr>
        <w:t>In relation to the cultural and other rights of Aboriginal and Torres Strait Islander peoples, the explanatory statement states:</w:t>
      </w:r>
    </w:p>
    <w:p w14:paraId="5679B752" w14:textId="77777777" w:rsidR="00EE2DD3" w:rsidRPr="00EE2DD3" w:rsidRDefault="00EE2DD3" w:rsidP="00EE4967">
      <w:pPr>
        <w:pStyle w:val="Quote"/>
      </w:pPr>
      <w:r w:rsidRPr="00EE2DD3">
        <w:t>The amendments may limit the cultural and other rights of Aboriginal and Torres Strait Islander peoples (section 27). First Nations communities may use firearms to hunt and conduct other activities on traditional lands. If a member of one of those communities is assessed as unsuitable to possess a firearm, their ability to participate in cultural activities may be compromised.</w:t>
      </w:r>
    </w:p>
    <w:p w14:paraId="167AA8D2" w14:textId="30EA05CA" w:rsidR="00EE2DD3" w:rsidRPr="00EE2DD3" w:rsidRDefault="00EE2DD3" w:rsidP="00EE4967">
      <w:pPr>
        <w:pStyle w:val="ListNumber2"/>
        <w:numPr>
          <w:ilvl w:val="1"/>
          <w:numId w:val="4"/>
        </w:numPr>
        <w:spacing w:before="120" w:after="0"/>
        <w:ind w:left="851" w:hanging="851"/>
        <w:rPr>
          <w:rFonts w:ascii="Calibri" w:eastAsia="Calibri" w:hAnsi="Calibri" w:cs="Calibri"/>
        </w:rPr>
      </w:pPr>
      <w:r w:rsidRPr="00EE2DD3">
        <w:rPr>
          <w:rFonts w:ascii="Calibri" w:eastAsia="Calibri" w:hAnsi="Calibri" w:cs="Calibri"/>
        </w:rPr>
        <w:t>In relation to the right to work and work-related right</w:t>
      </w:r>
      <w:r w:rsidR="00F519B8">
        <w:rPr>
          <w:rFonts w:ascii="Calibri" w:eastAsia="Calibri" w:hAnsi="Calibri" w:cs="Calibri"/>
        </w:rPr>
        <w:t>s</w:t>
      </w:r>
      <w:r w:rsidRPr="00EE2DD3">
        <w:rPr>
          <w:rFonts w:ascii="Calibri" w:eastAsia="Calibri" w:hAnsi="Calibri" w:cs="Calibri"/>
        </w:rPr>
        <w:t>, the explanatory statement states:</w:t>
      </w:r>
    </w:p>
    <w:p w14:paraId="7AAB4692" w14:textId="40F4915D" w:rsidR="00EE2DD3" w:rsidRPr="00EE2DD3" w:rsidRDefault="00EE2DD3" w:rsidP="00EE4967">
      <w:pPr>
        <w:pStyle w:val="Quote"/>
      </w:pPr>
      <w:r w:rsidRPr="00EE2DD3">
        <w:t>The amendments may limit the right to work and work-related rights (section 27B). Certain occupations, including primary production and the security industry, may require the use of firearms. If a person is assessed as unsuitable to possess a</w:t>
      </w:r>
      <w:r w:rsidR="000B0C3C">
        <w:t> </w:t>
      </w:r>
      <w:r w:rsidRPr="00EE2DD3">
        <w:t>firearm, their ability to participate in their chosen occupation may be compromised.</w:t>
      </w:r>
    </w:p>
    <w:p w14:paraId="17BF376B" w14:textId="77777777" w:rsidR="00EE2DD3" w:rsidRPr="00EE2DD3" w:rsidRDefault="00EE2DD3" w:rsidP="00EE4967">
      <w:pPr>
        <w:pStyle w:val="ListNumber2"/>
        <w:numPr>
          <w:ilvl w:val="1"/>
          <w:numId w:val="4"/>
        </w:numPr>
        <w:spacing w:before="120" w:after="0"/>
        <w:ind w:left="851" w:hanging="851"/>
        <w:rPr>
          <w:rFonts w:ascii="Calibri" w:eastAsia="Calibri" w:hAnsi="Calibri" w:cs="Calibri"/>
          <w:color w:val="7F7F7F"/>
          <w:sz w:val="21"/>
        </w:rPr>
      </w:pPr>
      <w:r w:rsidRPr="00EE2DD3">
        <w:rPr>
          <w:rFonts w:ascii="Calibri" w:eastAsia="Calibri" w:hAnsi="Calibri" w:cs="Calibri"/>
        </w:rPr>
        <w:lastRenderedPageBreak/>
        <w:t>The discussion goes on:</w:t>
      </w:r>
    </w:p>
    <w:p w14:paraId="1DBDB866" w14:textId="77777777" w:rsidR="00EE2DD3" w:rsidRPr="00EE4967" w:rsidRDefault="00EE2DD3" w:rsidP="00EE4967">
      <w:pPr>
        <w:pStyle w:val="Quote"/>
        <w:rPr>
          <w:b/>
          <w:bCs/>
          <w:i/>
          <w:iCs/>
        </w:rPr>
      </w:pPr>
      <w:r w:rsidRPr="00EE4967">
        <w:rPr>
          <w:b/>
          <w:bCs/>
          <w:i/>
          <w:iCs/>
        </w:rPr>
        <w:t>Legitimate purpose (s28(b))</w:t>
      </w:r>
    </w:p>
    <w:p w14:paraId="1257E132" w14:textId="274750F2" w:rsidR="00EE2DD3" w:rsidRPr="00EE2DD3" w:rsidRDefault="00EE2DD3" w:rsidP="00EE4967">
      <w:pPr>
        <w:pStyle w:val="Quote"/>
        <w:rPr>
          <w:bCs/>
        </w:rPr>
      </w:pPr>
      <w:r w:rsidRPr="00EE2DD3">
        <w:rPr>
          <w:bCs/>
        </w:rPr>
        <w:t>The underlying policy outcome of the Amendment Regulation is to maintain public safety. Specifically, it ensures that the Registrar must consider whether a</w:t>
      </w:r>
      <w:r w:rsidR="000B0C3C">
        <w:rPr>
          <w:bCs/>
        </w:rPr>
        <w:t> </w:t>
      </w:r>
      <w:r w:rsidRPr="00EE2DD3">
        <w:rPr>
          <w:bCs/>
        </w:rPr>
        <w:t>CWPO has been made in relation to an individual to determine their suitability. It does so in a manner consistent with the existing approach in the Firearms Act.</w:t>
      </w:r>
    </w:p>
    <w:p w14:paraId="50670139" w14:textId="77777777" w:rsidR="00EE2DD3" w:rsidRPr="00EE4967" w:rsidRDefault="00EE2DD3" w:rsidP="00EE4967">
      <w:pPr>
        <w:pStyle w:val="Quote"/>
        <w:rPr>
          <w:b/>
          <w:bCs/>
          <w:i/>
          <w:iCs/>
        </w:rPr>
      </w:pPr>
      <w:r w:rsidRPr="00EE4967">
        <w:rPr>
          <w:b/>
          <w:bCs/>
          <w:i/>
          <w:iCs/>
        </w:rPr>
        <w:t>Rational connection between the limitation and the purpose (s28(d))</w:t>
      </w:r>
    </w:p>
    <w:p w14:paraId="1AA6BB2E" w14:textId="4984D1DC" w:rsidR="00EE2DD3" w:rsidRPr="00EE2DD3" w:rsidRDefault="00EE2DD3" w:rsidP="00EE4967">
      <w:pPr>
        <w:pStyle w:val="Quote"/>
        <w:rPr>
          <w:bCs/>
        </w:rPr>
      </w:pPr>
      <w:r w:rsidRPr="00EE2DD3">
        <w:rPr>
          <w:bCs/>
        </w:rPr>
        <w:t>The behaviour and conduct that may constitute the basis for making a CWPO are relevant in determining suitability to hold a firearms licence, and subsequently acquire, possess or use a firearm. There is a direct rational connection between the imposition of stringent requirements on the management of highly regulated property, such as firearms, and the legitimate purpose of promoting public safety. By using evidence of a CWPO to determine a person’s suitability to hold a</w:t>
      </w:r>
      <w:r w:rsidR="000B0C3C">
        <w:rPr>
          <w:bCs/>
        </w:rPr>
        <w:t> </w:t>
      </w:r>
      <w:r w:rsidRPr="00EE2DD3">
        <w:rPr>
          <w:bCs/>
        </w:rPr>
        <w:t xml:space="preserve">firearms licence, the Amendment Regulation reduces the risk of firearms being used in an unlawful way or to cause harm to others. </w:t>
      </w:r>
    </w:p>
    <w:p w14:paraId="09679487" w14:textId="77777777" w:rsidR="00EE2DD3" w:rsidRPr="00EE4967" w:rsidRDefault="00EE2DD3" w:rsidP="00EE4967">
      <w:pPr>
        <w:pStyle w:val="Quote"/>
        <w:rPr>
          <w:b/>
          <w:bCs/>
          <w:i/>
          <w:iCs/>
        </w:rPr>
      </w:pPr>
      <w:r w:rsidRPr="00EE4967">
        <w:rPr>
          <w:b/>
          <w:bCs/>
          <w:i/>
          <w:iCs/>
        </w:rPr>
        <w:t>Proportionality (s28 (e))</w:t>
      </w:r>
    </w:p>
    <w:p w14:paraId="65B9B716" w14:textId="77777777" w:rsidR="00EE2DD3" w:rsidRPr="00EE2DD3" w:rsidRDefault="00EE2DD3" w:rsidP="00EE4967">
      <w:pPr>
        <w:pStyle w:val="Quote"/>
        <w:rPr>
          <w:bCs/>
        </w:rPr>
      </w:pPr>
      <w:r w:rsidRPr="00EE2DD3">
        <w:rPr>
          <w:bCs/>
        </w:rPr>
        <w:t>The approach proposed is the least restrictive approach and is consistent with the existing approach in the Act.</w:t>
      </w:r>
    </w:p>
    <w:p w14:paraId="20B1C21A" w14:textId="77777777" w:rsidR="00EE2DD3" w:rsidRPr="00EE2DD3" w:rsidRDefault="00EE2DD3" w:rsidP="00EE4967">
      <w:pPr>
        <w:pStyle w:val="ListNumber2"/>
        <w:numPr>
          <w:ilvl w:val="1"/>
          <w:numId w:val="4"/>
        </w:numPr>
        <w:spacing w:before="120" w:after="0"/>
        <w:ind w:left="851" w:hanging="851"/>
        <w:rPr>
          <w:rFonts w:ascii="Calibri" w:eastAsia="Times New Roman" w:hAnsi="Calibri" w:cs="Calibri"/>
          <w:b/>
          <w:lang w:eastAsia="en-AU"/>
        </w:rPr>
      </w:pPr>
      <w:r w:rsidRPr="00EE2DD3">
        <w:rPr>
          <w:rFonts w:ascii="Calibri" w:eastAsia="Times New Roman" w:hAnsi="Calibri" w:cs="Calibri"/>
          <w:b/>
          <w:lang w:eastAsia="en-AU"/>
        </w:rPr>
        <w:t>The Committee draws the attention of the Legislative Assembly to the discussion of human rights issues in the explanatory statement for this subordinate law.</w:t>
      </w:r>
    </w:p>
    <w:p w14:paraId="5E7023A1" w14:textId="79512F68" w:rsidR="00EE2DD3" w:rsidRPr="00EE2DD3" w:rsidRDefault="00EE2DD3" w:rsidP="00EE4967">
      <w:pPr>
        <w:pStyle w:val="ListNumber2"/>
        <w:numPr>
          <w:ilvl w:val="1"/>
          <w:numId w:val="4"/>
        </w:numPr>
        <w:spacing w:before="120" w:after="0"/>
        <w:ind w:left="851" w:hanging="851"/>
        <w:rPr>
          <w:rFonts w:ascii="Calibri" w:eastAsia="Times New Roman" w:hAnsi="Calibri" w:cs="Calibri"/>
          <w:b/>
          <w:lang w:eastAsia="en-AU"/>
        </w:rPr>
      </w:pPr>
      <w:r w:rsidRPr="00EE2DD3">
        <w:rPr>
          <w:rFonts w:ascii="Calibri" w:eastAsia="Times New Roman" w:hAnsi="Calibri" w:cs="Calibri"/>
          <w:b/>
          <w:lang w:eastAsia="en-AU"/>
        </w:rPr>
        <w:t>This comment does not require a response from the Minister</w:t>
      </w:r>
      <w:r w:rsidR="006F0773">
        <w:rPr>
          <w:rFonts w:ascii="Calibri" w:eastAsia="Times New Roman" w:hAnsi="Calibri" w:cs="Calibri"/>
          <w:b/>
          <w:lang w:eastAsia="en-AU"/>
        </w:rPr>
        <w:t>.</w:t>
      </w:r>
    </w:p>
    <w:p w14:paraId="0F13BC92" w14:textId="77777777" w:rsidR="00EE2DD3" w:rsidRPr="00EE2DD3" w:rsidRDefault="00EE2DD3" w:rsidP="00EE2DD3">
      <w:pPr>
        <w:widowControl w:val="0"/>
        <w:tabs>
          <w:tab w:val="left" w:pos="1276"/>
        </w:tabs>
        <w:spacing w:before="200" w:after="0" w:line="280" w:lineRule="exact"/>
        <w:rPr>
          <w:rFonts w:ascii="Calibri" w:eastAsia="Times New Roman" w:hAnsi="Calibri" w:cs="Calibri"/>
          <w:b/>
          <w:color w:val="000000"/>
          <w:szCs w:val="20"/>
          <w:lang w:eastAsia="en-AU"/>
        </w:rPr>
      </w:pPr>
    </w:p>
    <w:p w14:paraId="205A77DD" w14:textId="77777777" w:rsidR="00207130" w:rsidRPr="00207130" w:rsidRDefault="00207130" w:rsidP="00207130">
      <w:pPr>
        <w:spacing w:before="80" w:after="120" w:line="280" w:lineRule="auto"/>
        <w:rPr>
          <w:rFonts w:ascii="Calibri" w:eastAsia="Calibri" w:hAnsi="Calibri" w:cs="Calibri"/>
          <w:bCs/>
          <w:color w:val="000000" w:themeColor="text1"/>
          <w:szCs w:val="20"/>
        </w:rPr>
      </w:pPr>
    </w:p>
    <w:p w14:paraId="2C71A9F0" w14:textId="77777777" w:rsidR="00727383" w:rsidRDefault="00727383" w:rsidP="00727383">
      <w:pPr>
        <w:pStyle w:val="ListNumber2"/>
        <w:spacing w:before="120" w:after="0"/>
        <w:rPr>
          <w:rFonts w:ascii="Calibri" w:eastAsia="Calibri" w:hAnsi="Calibri" w:cs="Calibri"/>
          <w:color w:val="000000"/>
        </w:rPr>
      </w:pPr>
    </w:p>
    <w:p w14:paraId="2CFD5F4A" w14:textId="77777777" w:rsidR="00A81B3C" w:rsidRDefault="00A81B3C" w:rsidP="00727383">
      <w:pPr>
        <w:pStyle w:val="ListNumber2"/>
        <w:spacing w:before="120" w:after="0"/>
        <w:rPr>
          <w:rFonts w:ascii="Calibri" w:eastAsia="Calibri" w:hAnsi="Calibri" w:cs="Calibri"/>
          <w:color w:val="000000"/>
        </w:rPr>
      </w:pPr>
    </w:p>
    <w:p w14:paraId="35EBD8AF" w14:textId="77777777" w:rsidR="000B0C3C" w:rsidRDefault="000B0C3C" w:rsidP="00727383">
      <w:pPr>
        <w:pStyle w:val="ListNumber2"/>
        <w:spacing w:before="120" w:after="0"/>
        <w:rPr>
          <w:rFonts w:ascii="Calibri" w:eastAsia="Calibri" w:hAnsi="Calibri" w:cs="Calibri"/>
          <w:color w:val="000000"/>
        </w:rPr>
      </w:pPr>
    </w:p>
    <w:p w14:paraId="42B14AEA" w14:textId="75D37594" w:rsidR="002E768B" w:rsidRPr="00ED62E0" w:rsidRDefault="00555331" w:rsidP="005729A1">
      <w:pPr>
        <w:pStyle w:val="ListNumber2"/>
        <w:spacing w:before="240" w:after="0"/>
        <w:rPr>
          <w:rFonts w:ascii="Calibri" w:eastAsia="Calibri" w:hAnsi="Calibri" w:cs="Calibri"/>
          <w:b/>
          <w:bCs w:val="0"/>
          <w:color w:val="000000"/>
        </w:rPr>
      </w:pPr>
      <w:proofErr w:type="spellStart"/>
      <w:r>
        <w:rPr>
          <w:rFonts w:ascii="Calibri" w:hAnsi="Calibri" w:cs="Calibri"/>
          <w:szCs w:val="22"/>
          <w:lang w:eastAsia="en-AU"/>
        </w:rPr>
        <w:t>Chiaka</w:t>
      </w:r>
      <w:proofErr w:type="spellEnd"/>
      <w:r>
        <w:rPr>
          <w:rFonts w:ascii="Calibri" w:hAnsi="Calibri" w:cs="Calibri"/>
          <w:szCs w:val="22"/>
          <w:lang w:eastAsia="en-AU"/>
        </w:rPr>
        <w:t xml:space="preserve"> Barry MLA</w:t>
      </w:r>
    </w:p>
    <w:p w14:paraId="609255AB" w14:textId="77777777" w:rsidR="00367DE6" w:rsidRDefault="002E768B" w:rsidP="00367DE6">
      <w:pPr>
        <w:pStyle w:val="Paper"/>
        <w:spacing w:line="233" w:lineRule="auto"/>
        <w:rPr>
          <w:rFonts w:ascii="Calibri" w:hAnsi="Calibri" w:cs="Calibri"/>
          <w:sz w:val="22"/>
          <w:szCs w:val="22"/>
          <w:lang w:eastAsia="en-AU"/>
        </w:rPr>
      </w:pPr>
      <w:r>
        <w:rPr>
          <w:rFonts w:ascii="Calibri" w:hAnsi="Calibri" w:cs="Calibri"/>
          <w:sz w:val="22"/>
          <w:szCs w:val="22"/>
          <w:lang w:eastAsia="en-AU"/>
        </w:rPr>
        <w:t>Chair</w:t>
      </w:r>
      <w:bookmarkEnd w:id="104"/>
    </w:p>
    <w:p w14:paraId="11D0FB30" w14:textId="1BE99FA0" w:rsidR="00DC7216" w:rsidRDefault="006F0773" w:rsidP="005729A1">
      <w:pPr>
        <w:pStyle w:val="Paper"/>
        <w:spacing w:after="0" w:line="233" w:lineRule="auto"/>
        <w:rPr>
          <w:rFonts w:ascii="Calibri" w:eastAsia="Calibri" w:hAnsi="Calibri" w:cs="Calibri"/>
          <w:sz w:val="22"/>
          <w:szCs w:val="22"/>
        </w:rPr>
      </w:pPr>
      <w:r>
        <w:rPr>
          <w:rFonts w:ascii="Calibri" w:hAnsi="Calibri" w:cs="Calibri"/>
          <w:sz w:val="22"/>
          <w:szCs w:val="22"/>
          <w:lang w:eastAsia="en-AU"/>
        </w:rPr>
        <w:t xml:space="preserve">2 </w:t>
      </w:r>
      <w:r w:rsidR="004B2CA1">
        <w:rPr>
          <w:rFonts w:ascii="Calibri" w:hAnsi="Calibri" w:cs="Calibri"/>
          <w:sz w:val="22"/>
          <w:szCs w:val="22"/>
          <w:lang w:eastAsia="en-AU"/>
        </w:rPr>
        <w:t xml:space="preserve">June </w:t>
      </w:r>
      <w:r w:rsidR="00746850" w:rsidRPr="005729A1">
        <w:rPr>
          <w:rFonts w:ascii="Calibri" w:eastAsia="Calibri" w:hAnsi="Calibri" w:cs="Calibri"/>
          <w:sz w:val="22"/>
          <w:szCs w:val="22"/>
        </w:rPr>
        <w:t>2026</w:t>
      </w:r>
    </w:p>
    <w:p w14:paraId="04EC5774" w14:textId="6A6B47C5" w:rsidR="00EE4967" w:rsidRDefault="00EE4967">
      <w:pPr>
        <w:spacing w:line="259" w:lineRule="auto"/>
        <w:rPr>
          <w:rFonts w:ascii="Calibri" w:eastAsia="Calibri" w:hAnsi="Calibri" w:cs="Calibri"/>
        </w:rPr>
      </w:pPr>
      <w:r>
        <w:rPr>
          <w:rFonts w:ascii="Calibri" w:eastAsia="Calibri" w:hAnsi="Calibri" w:cs="Calibri"/>
        </w:rPr>
        <w:br w:type="page"/>
      </w:r>
    </w:p>
    <w:p w14:paraId="368C7C28" w14:textId="410E13DC" w:rsidR="00643199" w:rsidRPr="00727383" w:rsidRDefault="00643199" w:rsidP="00727383">
      <w:pPr>
        <w:pStyle w:val="Heading1"/>
        <w:rPr>
          <w:rFonts w:eastAsia="Calibri"/>
        </w:rPr>
      </w:pPr>
      <w:bookmarkStart w:id="122" w:name="_Toc210851275"/>
      <w:bookmarkStart w:id="123" w:name="_Toc230939472"/>
      <w:r>
        <w:rPr>
          <w:rFonts w:eastAsia="Calibri"/>
        </w:rPr>
        <w:lastRenderedPageBreak/>
        <w:t>Outstanding responses</w:t>
      </w:r>
      <w:bookmarkEnd w:id="122"/>
      <w:bookmarkEnd w:id="123"/>
    </w:p>
    <w:p w14:paraId="08784BCE" w14:textId="597447DD" w:rsidR="00EF7C6C" w:rsidRDefault="00EF7C6C" w:rsidP="00514770">
      <w:pPr>
        <w:pStyle w:val="Heading20"/>
      </w:pPr>
      <w:bookmarkStart w:id="124" w:name="_Toc167305550"/>
      <w:bookmarkStart w:id="125" w:name="_Toc210851276"/>
      <w:bookmarkStart w:id="126" w:name="_Toc230939473"/>
      <w:r>
        <w:t>Bills/Subordinate Legislation</w:t>
      </w:r>
      <w:bookmarkEnd w:id="124"/>
      <w:bookmarkEnd w:id="125"/>
      <w:r w:rsidR="00BB5F98">
        <w:t>/National Law</w:t>
      </w:r>
      <w:r w:rsidR="00465BDA">
        <w:t>s</w:t>
      </w:r>
      <w:bookmarkEnd w:id="126"/>
    </w:p>
    <w:p w14:paraId="79B072CB" w14:textId="2BDABFAF" w:rsidR="00613EB5" w:rsidRDefault="00613EB5" w:rsidP="00514770">
      <w:pPr>
        <w:pStyle w:val="Heading3"/>
      </w:pPr>
      <w:bookmarkStart w:id="127" w:name="_Toc230939474"/>
      <w:r>
        <w:t>Report 14, dated 27 January 2026</w:t>
      </w:r>
      <w:bookmarkEnd w:id="127"/>
    </w:p>
    <w:p w14:paraId="6E813678" w14:textId="7A5D4708" w:rsidR="00613EB5" w:rsidRPr="00613EB5" w:rsidRDefault="00613EB5" w:rsidP="00613EB5">
      <w:pPr>
        <w:keepNext/>
        <w:keepLines/>
        <w:spacing w:before="120" w:after="120"/>
        <w:outlineLvl w:val="3"/>
        <w:rPr>
          <w:rFonts w:ascii="Montserrat SemiBold" w:eastAsiaTheme="majorEastAsia" w:hAnsi="Montserrat SemiBold" w:cstheme="majorBidi"/>
          <w:iCs/>
          <w:color w:val="2F5496"/>
          <w:w w:val="90"/>
          <w:sz w:val="24"/>
          <w:szCs w:val="24"/>
        </w:rPr>
      </w:pPr>
      <w:bookmarkStart w:id="128" w:name="_Toc224743474"/>
      <w:bookmarkStart w:id="129" w:name="_Toc227838187"/>
      <w:bookmarkStart w:id="130" w:name="_Toc227841497"/>
      <w:bookmarkStart w:id="131" w:name="_Toc229611180"/>
      <w:bookmarkStart w:id="132" w:name="_Toc230939475"/>
      <w:r w:rsidRPr="00613EB5">
        <w:rPr>
          <w:rFonts w:ascii="Montserrat SemiBold" w:eastAsiaTheme="majorEastAsia" w:hAnsi="Montserrat SemiBold" w:cstheme="majorBidi"/>
          <w:iCs/>
          <w:color w:val="2F5496"/>
          <w:w w:val="90"/>
          <w:sz w:val="24"/>
          <w:szCs w:val="24"/>
        </w:rPr>
        <w:t>Bill</w:t>
      </w:r>
      <w:bookmarkEnd w:id="128"/>
      <w:bookmarkEnd w:id="129"/>
      <w:bookmarkEnd w:id="130"/>
      <w:bookmarkEnd w:id="131"/>
      <w:bookmarkEnd w:id="132"/>
    </w:p>
    <w:p w14:paraId="19792823" w14:textId="102910B2" w:rsidR="00613EB5" w:rsidRPr="00613EB5" w:rsidRDefault="00613EB5" w:rsidP="00815E5A">
      <w:pPr>
        <w:pStyle w:val="ListNumber2"/>
        <w:numPr>
          <w:ilvl w:val="0"/>
          <w:numId w:val="5"/>
        </w:numPr>
        <w:spacing w:after="240"/>
        <w:ind w:left="714" w:hanging="357"/>
      </w:pPr>
      <w:r w:rsidRPr="00613EB5">
        <w:t>Family, Personal and Sexual Violence Amendment Bill 2025 (</w:t>
      </w:r>
      <w:r>
        <w:t xml:space="preserve">an </w:t>
      </w:r>
      <w:r w:rsidRPr="00613EB5">
        <w:t>interim response was received on 5 March 2026).</w:t>
      </w:r>
    </w:p>
    <w:p w14:paraId="081A81F7" w14:textId="50BCE52B" w:rsidR="001C2CCD" w:rsidRDefault="001C2CCD" w:rsidP="00514770">
      <w:pPr>
        <w:pStyle w:val="Heading3"/>
      </w:pPr>
      <w:bookmarkStart w:id="133" w:name="_Toc230939476"/>
      <w:r>
        <w:t xml:space="preserve">Report 15, </w:t>
      </w:r>
      <w:r w:rsidRPr="00FD5031">
        <w:rPr>
          <w:kern w:val="0"/>
        </w:rPr>
        <w:t>dated</w:t>
      </w:r>
      <w:r>
        <w:t xml:space="preserve"> 17 February 2026</w:t>
      </w:r>
      <w:bookmarkEnd w:id="133"/>
    </w:p>
    <w:p w14:paraId="00A6E3A9" w14:textId="0C7F3E43" w:rsidR="001C2CCD" w:rsidRPr="00EF7C6C" w:rsidRDefault="001C2CCD" w:rsidP="001C2CCD">
      <w:pPr>
        <w:keepNext/>
        <w:keepLines/>
        <w:spacing w:before="120" w:after="120"/>
        <w:outlineLvl w:val="3"/>
        <w:rPr>
          <w:rFonts w:ascii="Montserrat SemiBold" w:eastAsiaTheme="majorEastAsia" w:hAnsi="Montserrat SemiBold" w:cstheme="majorBidi"/>
          <w:iCs/>
          <w:color w:val="2F5496"/>
          <w:w w:val="90"/>
          <w:sz w:val="24"/>
          <w:szCs w:val="24"/>
        </w:rPr>
      </w:pPr>
      <w:bookmarkStart w:id="134" w:name="_Toc223550585"/>
      <w:bookmarkStart w:id="135" w:name="_Toc223589173"/>
      <w:bookmarkStart w:id="136" w:name="_Toc223611543"/>
      <w:bookmarkStart w:id="137" w:name="_Toc224729276"/>
      <w:bookmarkStart w:id="138" w:name="_Toc224731361"/>
      <w:bookmarkStart w:id="139" w:name="_Toc224743476"/>
      <w:bookmarkStart w:id="140" w:name="_Toc227838189"/>
      <w:bookmarkStart w:id="141" w:name="_Toc227841499"/>
      <w:bookmarkStart w:id="142" w:name="_Toc229611182"/>
      <w:bookmarkStart w:id="143" w:name="_Toc230939477"/>
      <w:r w:rsidRPr="00C618BF">
        <w:rPr>
          <w:rFonts w:ascii="Montserrat SemiBold" w:eastAsiaTheme="majorEastAsia" w:hAnsi="Montserrat SemiBold" w:cstheme="majorBidi"/>
          <w:iCs/>
          <w:color w:val="2F5496"/>
          <w:w w:val="90"/>
          <w:sz w:val="24"/>
          <w:szCs w:val="24"/>
        </w:rPr>
        <w:t>Bill</w:t>
      </w:r>
      <w:bookmarkEnd w:id="134"/>
      <w:bookmarkEnd w:id="135"/>
      <w:bookmarkEnd w:id="136"/>
      <w:bookmarkEnd w:id="137"/>
      <w:bookmarkEnd w:id="138"/>
      <w:bookmarkEnd w:id="139"/>
      <w:bookmarkEnd w:id="140"/>
      <w:bookmarkEnd w:id="141"/>
      <w:bookmarkEnd w:id="142"/>
      <w:bookmarkEnd w:id="143"/>
    </w:p>
    <w:p w14:paraId="142CAAD6" w14:textId="390FD43C" w:rsidR="001C2CCD" w:rsidRDefault="001C2CCD" w:rsidP="00815E5A">
      <w:pPr>
        <w:pStyle w:val="ListNumber2"/>
        <w:numPr>
          <w:ilvl w:val="0"/>
          <w:numId w:val="5"/>
        </w:numPr>
        <w:spacing w:after="240"/>
        <w:ind w:left="714" w:hanging="357"/>
      </w:pPr>
      <w:r>
        <w:t>Firearms (Public Safety) Amendment Bill 2026.</w:t>
      </w:r>
    </w:p>
    <w:p w14:paraId="43D243B1" w14:textId="12846001" w:rsidR="00D95F16" w:rsidRDefault="00D95F16" w:rsidP="00514770">
      <w:pPr>
        <w:pStyle w:val="Heading3"/>
      </w:pPr>
      <w:bookmarkStart w:id="144" w:name="_Toc230939478"/>
      <w:r>
        <w:t xml:space="preserve">Report 16, </w:t>
      </w:r>
      <w:r w:rsidRPr="00FD5031">
        <w:rPr>
          <w:kern w:val="0"/>
        </w:rPr>
        <w:t>dated</w:t>
      </w:r>
      <w:r>
        <w:t xml:space="preserve"> 10 March 2026</w:t>
      </w:r>
      <w:bookmarkEnd w:id="144"/>
    </w:p>
    <w:p w14:paraId="747BC812" w14:textId="77777777" w:rsidR="00D95F16" w:rsidRPr="00EF7C6C" w:rsidRDefault="00D95F16" w:rsidP="00D95F16">
      <w:pPr>
        <w:keepNext/>
        <w:keepLines/>
        <w:spacing w:before="120" w:after="120"/>
        <w:outlineLvl w:val="3"/>
        <w:rPr>
          <w:rFonts w:ascii="Montserrat SemiBold" w:eastAsiaTheme="majorEastAsia" w:hAnsi="Montserrat SemiBold" w:cstheme="majorBidi"/>
          <w:iCs/>
          <w:color w:val="2F5496"/>
          <w:w w:val="90"/>
          <w:sz w:val="24"/>
          <w:szCs w:val="24"/>
        </w:rPr>
      </w:pPr>
      <w:bookmarkStart w:id="145" w:name="_Toc224731363"/>
      <w:bookmarkStart w:id="146" w:name="_Toc224743478"/>
      <w:bookmarkStart w:id="147" w:name="_Toc227838191"/>
      <w:bookmarkStart w:id="148" w:name="_Toc227841501"/>
      <w:bookmarkStart w:id="149" w:name="_Toc229611184"/>
      <w:bookmarkStart w:id="150" w:name="_Toc230939479"/>
      <w:r w:rsidRPr="00C618BF">
        <w:rPr>
          <w:rFonts w:ascii="Montserrat SemiBold" w:eastAsiaTheme="majorEastAsia" w:hAnsi="Montserrat SemiBold" w:cstheme="majorBidi"/>
          <w:iCs/>
          <w:color w:val="2F5496"/>
          <w:w w:val="90"/>
          <w:sz w:val="24"/>
          <w:szCs w:val="24"/>
        </w:rPr>
        <w:t>Bill</w:t>
      </w:r>
      <w:bookmarkEnd w:id="145"/>
      <w:bookmarkEnd w:id="146"/>
      <w:bookmarkEnd w:id="147"/>
      <w:bookmarkEnd w:id="148"/>
      <w:bookmarkEnd w:id="149"/>
      <w:bookmarkEnd w:id="150"/>
    </w:p>
    <w:p w14:paraId="525C98DF" w14:textId="41B9A1F0" w:rsidR="00D95F16" w:rsidRDefault="00D95F16" w:rsidP="00815E5A">
      <w:pPr>
        <w:pStyle w:val="ListNumber2"/>
        <w:numPr>
          <w:ilvl w:val="0"/>
          <w:numId w:val="5"/>
        </w:numPr>
        <w:spacing w:after="240"/>
        <w:ind w:left="714" w:hanging="357"/>
      </w:pPr>
      <w:r>
        <w:t xml:space="preserve">Firearms </w:t>
      </w:r>
      <w:r w:rsidRPr="00D95F16">
        <w:t>(Firearm Prohibition Orders)</w:t>
      </w:r>
      <w:r>
        <w:t xml:space="preserve"> Amendment Bill 2026.</w:t>
      </w:r>
    </w:p>
    <w:p w14:paraId="127F6A9B" w14:textId="37F54270" w:rsidR="00382ED0" w:rsidRDefault="00382ED0" w:rsidP="00514770">
      <w:pPr>
        <w:pStyle w:val="Heading3"/>
      </w:pPr>
      <w:bookmarkStart w:id="151" w:name="_Toc230939480"/>
      <w:r>
        <w:t xml:space="preserve">Report 18, </w:t>
      </w:r>
      <w:r w:rsidRPr="00FD5031">
        <w:rPr>
          <w:kern w:val="0"/>
        </w:rPr>
        <w:t>dated</w:t>
      </w:r>
      <w:r>
        <w:t xml:space="preserve"> 28 April 2026</w:t>
      </w:r>
      <w:bookmarkEnd w:id="151"/>
    </w:p>
    <w:p w14:paraId="3D29739B" w14:textId="0CB24DFA" w:rsidR="00382ED0" w:rsidRPr="00EF7C6C" w:rsidRDefault="00382ED0" w:rsidP="00382ED0">
      <w:pPr>
        <w:keepNext/>
        <w:keepLines/>
        <w:spacing w:before="120" w:after="120"/>
        <w:outlineLvl w:val="3"/>
        <w:rPr>
          <w:rFonts w:ascii="Montserrat SemiBold" w:eastAsiaTheme="majorEastAsia" w:hAnsi="Montserrat SemiBold" w:cstheme="majorBidi"/>
          <w:iCs/>
          <w:color w:val="2F5496"/>
          <w:w w:val="90"/>
          <w:sz w:val="24"/>
          <w:szCs w:val="24"/>
        </w:rPr>
      </w:pPr>
      <w:bookmarkStart w:id="152" w:name="_Toc229611186"/>
      <w:bookmarkStart w:id="153" w:name="_Toc230939481"/>
      <w:r w:rsidRPr="00C618BF">
        <w:rPr>
          <w:rFonts w:ascii="Montserrat SemiBold" w:eastAsiaTheme="majorEastAsia" w:hAnsi="Montserrat SemiBold" w:cstheme="majorBidi"/>
          <w:iCs/>
          <w:color w:val="2F5496"/>
          <w:w w:val="90"/>
          <w:sz w:val="24"/>
          <w:szCs w:val="24"/>
        </w:rPr>
        <w:t>Bill</w:t>
      </w:r>
      <w:bookmarkEnd w:id="152"/>
      <w:bookmarkEnd w:id="153"/>
    </w:p>
    <w:p w14:paraId="3DFA2682" w14:textId="37F25010" w:rsidR="00382ED0" w:rsidRDefault="00382ED0" w:rsidP="00382ED0">
      <w:pPr>
        <w:pStyle w:val="ListNumber2"/>
        <w:numPr>
          <w:ilvl w:val="0"/>
          <w:numId w:val="5"/>
        </w:numPr>
        <w:spacing w:after="240"/>
      </w:pPr>
      <w:r>
        <w:t>Planning (Missing Middle Housing) Amendment Bill 2026.</w:t>
      </w:r>
    </w:p>
    <w:p w14:paraId="29021DE1" w14:textId="350DE4CC" w:rsidR="004726A9" w:rsidRDefault="004726A9" w:rsidP="00514770">
      <w:pPr>
        <w:pStyle w:val="Heading3"/>
      </w:pPr>
      <w:bookmarkStart w:id="154" w:name="_Toc230939482"/>
      <w:r>
        <w:t xml:space="preserve">Report 19, </w:t>
      </w:r>
      <w:r w:rsidRPr="00FD5031">
        <w:rPr>
          <w:kern w:val="0"/>
        </w:rPr>
        <w:t>dated</w:t>
      </w:r>
      <w:r>
        <w:t xml:space="preserve"> 19 May 2026</w:t>
      </w:r>
      <w:bookmarkEnd w:id="154"/>
    </w:p>
    <w:p w14:paraId="4EAA2226" w14:textId="186EC2DA" w:rsidR="004726A9" w:rsidRPr="004726A9" w:rsidRDefault="004726A9" w:rsidP="004726A9">
      <w:pPr>
        <w:keepNext/>
        <w:keepLines/>
        <w:spacing w:before="120" w:after="120"/>
        <w:outlineLvl w:val="3"/>
        <w:rPr>
          <w:rFonts w:ascii="Montserrat SemiBold" w:eastAsiaTheme="majorEastAsia" w:hAnsi="Montserrat SemiBold" w:cstheme="majorBidi"/>
          <w:iCs/>
          <w:color w:val="2F5496"/>
          <w:w w:val="90"/>
          <w:sz w:val="24"/>
          <w:szCs w:val="24"/>
        </w:rPr>
      </w:pPr>
      <w:bookmarkStart w:id="155" w:name="_Toc230939483"/>
      <w:r w:rsidRPr="00C618BF">
        <w:rPr>
          <w:rFonts w:ascii="Montserrat SemiBold" w:eastAsiaTheme="majorEastAsia" w:hAnsi="Montserrat SemiBold" w:cstheme="majorBidi"/>
          <w:iCs/>
          <w:color w:val="2F5496"/>
          <w:w w:val="90"/>
          <w:sz w:val="24"/>
          <w:szCs w:val="24"/>
        </w:rPr>
        <w:t>Bill</w:t>
      </w:r>
      <w:r>
        <w:rPr>
          <w:rFonts w:ascii="Montserrat SemiBold" w:eastAsiaTheme="majorEastAsia" w:hAnsi="Montserrat SemiBold" w:cstheme="majorBidi"/>
          <w:iCs/>
          <w:color w:val="2F5496"/>
          <w:w w:val="90"/>
          <w:sz w:val="24"/>
          <w:szCs w:val="24"/>
        </w:rPr>
        <w:t>s</w:t>
      </w:r>
      <w:bookmarkEnd w:id="155"/>
    </w:p>
    <w:p w14:paraId="78903012" w14:textId="36C39B6B" w:rsidR="00806548" w:rsidRDefault="00806548" w:rsidP="001A7BB9">
      <w:pPr>
        <w:pStyle w:val="ListNumber2"/>
        <w:numPr>
          <w:ilvl w:val="0"/>
          <w:numId w:val="5"/>
        </w:numPr>
      </w:pPr>
      <w:r>
        <w:t>Better Regulation Legislation Amendment Bill 2026.</w:t>
      </w:r>
    </w:p>
    <w:p w14:paraId="0C68565D" w14:textId="47A3F8E4" w:rsidR="004726A9" w:rsidRDefault="004726A9" w:rsidP="001A7BB9">
      <w:pPr>
        <w:pStyle w:val="ListNumber2"/>
        <w:numPr>
          <w:ilvl w:val="0"/>
          <w:numId w:val="5"/>
        </w:numPr>
      </w:pPr>
      <w:r>
        <w:t>Fuel Legislation Amendment Bill 2026</w:t>
      </w:r>
      <w:r w:rsidR="00D92A2C">
        <w:t>.</w:t>
      </w:r>
    </w:p>
    <w:p w14:paraId="52FBF53F" w14:textId="6C965C86" w:rsidR="004726A9" w:rsidRDefault="004726A9" w:rsidP="004726A9">
      <w:pPr>
        <w:pStyle w:val="ListNumber2"/>
        <w:numPr>
          <w:ilvl w:val="0"/>
          <w:numId w:val="5"/>
        </w:numPr>
      </w:pPr>
      <w:r>
        <w:t>Justice and Community Safety Legislation Amendment Bill 2026</w:t>
      </w:r>
      <w:r w:rsidR="00D92A2C">
        <w:t>.</w:t>
      </w:r>
    </w:p>
    <w:p w14:paraId="5AA6FD31" w14:textId="11BE7740" w:rsidR="00806548" w:rsidRDefault="00806548" w:rsidP="004726A9">
      <w:pPr>
        <w:pStyle w:val="ListNumber2"/>
        <w:numPr>
          <w:ilvl w:val="0"/>
          <w:numId w:val="5"/>
        </w:numPr>
      </w:pPr>
      <w:r>
        <w:t>Long Service Leave (Portable Schemes) Amendment Bill 2026.</w:t>
      </w:r>
    </w:p>
    <w:sectPr w:rsidR="00806548" w:rsidSect="003D21AE">
      <w:footerReference w:type="even" r:id="rId20"/>
      <w:footerReference w:type="default" r:id="rId21"/>
      <w:pgSz w:w="11906" w:h="16838"/>
      <w:pgMar w:top="993" w:right="1440" w:bottom="567" w:left="1440" w:header="708" w:footer="59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6E229" w14:textId="77777777" w:rsidR="00A158E0" w:rsidRDefault="00A158E0" w:rsidP="00D376C4">
      <w:pPr>
        <w:spacing w:after="0" w:line="240" w:lineRule="auto"/>
      </w:pPr>
      <w:r>
        <w:separator/>
      </w:r>
    </w:p>
  </w:endnote>
  <w:endnote w:type="continuationSeparator" w:id="0">
    <w:p w14:paraId="31F89F27" w14:textId="77777777" w:rsidR="00A158E0" w:rsidRDefault="00A158E0"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Body)">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0371086D-90E8-4088-B7CF-307B33E2FC6F}"/>
    <w:embedBold r:id="rId2" w:fontKey="{12525A3B-0808-4B9D-80BC-47DE03B3A3A2}"/>
    <w:embedItalic r:id="rId3" w:fontKey="{B4E2C7C4-B596-48C3-BB17-EF9952DE512F}"/>
    <w:embedBoldItalic r:id="rId4" w:fontKey="{B7283836-58E5-46A0-8B07-260222648A1A}"/>
  </w:font>
  <w:font w:name="Montserrat">
    <w:altName w:val="﷽﷽﷽﷽﷽﷽﷽﷽at"/>
    <w:panose1 w:val="00000500000000000000"/>
    <w:charset w:val="00"/>
    <w:family w:val="auto"/>
    <w:pitch w:val="variable"/>
    <w:sig w:usb0="2000020F" w:usb1="00000003" w:usb2="00000000" w:usb3="00000000" w:csb0="00000197" w:csb1="00000000"/>
    <w:embedRegular r:id="rId5" w:fontKey="{60076A34-B17F-4AA0-A3C8-3E6C6713203F}"/>
    <w:embedBold r:id="rId6" w:fontKey="{092C07E4-DB88-456A-B7E0-239A439FF06D}"/>
  </w:font>
  <w:font w:name="Montserrat SemiBold">
    <w:panose1 w:val="00000700000000000000"/>
    <w:charset w:val="00"/>
    <w:family w:val="auto"/>
    <w:pitch w:val="variable"/>
    <w:sig w:usb0="2000020F" w:usb1="00000003" w:usb2="00000000" w:usb3="00000000" w:csb0="00000197" w:csb1="00000000"/>
    <w:embedRegular r:id="rId7" w:fontKey="{0A7AFF58-D335-4E1F-B075-CE359DEF0B05}"/>
    <w:embedItalic r:id="rId8" w:fontKey="{0F5663DD-B387-4E73-B801-7E50211ECEC8}"/>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DB9C9A7A-7703-44D2-A444-2FC204041387}"/>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10" w:fontKey="{15876074-7359-4465-A145-CEB819C0A25A}"/>
    <w:embedBold r:id="rId11" w:fontKey="{19C72630-62F5-4D50-96B2-A6F99D93E6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A57A" w14:textId="29F6F176"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BC382C">
      <w:rPr>
        <w:rFonts w:ascii="Montserrat SemiBold" w:hAnsi="Montserrat SemiBold" w:cstheme="majorHAnsi"/>
        <w:noProof/>
        <w:color w:val="2F5496"/>
        <w:w w:val="90"/>
        <w:sz w:val="18"/>
        <w:szCs w:val="18"/>
      </w:rPr>
      <w:t>Scrutiny Report 20</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B878" w14:textId="09C49A14"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C382C">
      <w:rPr>
        <w:rFonts w:ascii="Montserrat SemiBold" w:hAnsi="Montserrat SemiBold" w:cstheme="majorHAnsi"/>
        <w:noProof/>
        <w:color w:val="2F5496"/>
        <w:w w:val="90"/>
        <w:sz w:val="18"/>
        <w:szCs w:val="18"/>
      </w:rPr>
      <w:t>Scrutiny Report 20</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0ADBD96F"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BC382C">
      <w:rPr>
        <w:rFonts w:cstheme="minorHAnsi"/>
        <w:noProof/>
        <w:color w:val="404040" w:themeColor="text1" w:themeTint="BF"/>
      </w:rPr>
      <w:t>Standing Committee on Legal Affairs (Legislative Scrutiny Role)</w:t>
    </w:r>
    <w:r w:rsidR="00BC382C">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79E07EE0" w:rsidR="00836FFE" w:rsidRPr="00C8358A" w:rsidRDefault="003B6DD4"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765405D7" w14:textId="085DC8A2" w:rsidR="00836FFE" w:rsidRDefault="005078C2" w:rsidP="00B83B66">
    <w:pPr>
      <w:pStyle w:val="Footer"/>
      <w:tabs>
        <w:tab w:val="clear" w:pos="4513"/>
        <w:tab w:val="clear" w:pos="9026"/>
      </w:tabs>
      <w:rPr>
        <w:rFonts w:cstheme="minorHAnsi"/>
        <w:color w:val="404040" w:themeColor="text1" w:themeTint="BF"/>
      </w:rPr>
    </w:pPr>
    <w:r>
      <w:rPr>
        <w:rFonts w:cstheme="minorHAnsi"/>
        <w:color w:val="404040" w:themeColor="text1" w:themeTint="BF"/>
      </w:rPr>
      <w:t>11</w:t>
    </w:r>
    <w:r w:rsidR="00836FFE" w:rsidRPr="00C8358A">
      <w:rPr>
        <w:rFonts w:cstheme="minorHAnsi"/>
        <w:color w:val="404040" w:themeColor="text1" w:themeTint="BF"/>
      </w:rPr>
      <w:t>th Assembly</w:t>
    </w:r>
  </w:p>
  <w:p w14:paraId="6E9808B3" w14:textId="31A60D2E" w:rsidR="00B83B66" w:rsidRPr="00C8358A" w:rsidRDefault="004540EA" w:rsidP="00B83B66">
    <w:pPr>
      <w:pStyle w:val="Footer"/>
      <w:tabs>
        <w:tab w:val="clear" w:pos="4513"/>
        <w:tab w:val="clear" w:pos="9026"/>
      </w:tabs>
      <w:rPr>
        <w:rFonts w:cstheme="minorHAnsi"/>
        <w:color w:val="404040" w:themeColor="text1" w:themeTint="BF"/>
      </w:rPr>
    </w:pPr>
    <w:r>
      <w:rPr>
        <w:rFonts w:cstheme="minorHAnsi"/>
        <w:color w:val="404040" w:themeColor="text1" w:themeTint="BF"/>
      </w:rPr>
      <w:t>June</w:t>
    </w:r>
    <w:r w:rsidR="00641A18">
      <w:rPr>
        <w:rFonts w:cstheme="minorHAnsi"/>
        <w:color w:val="404040" w:themeColor="text1" w:themeTint="BF"/>
      </w:rPr>
      <w:t xml:space="preserve"> </w:t>
    </w:r>
    <w:r w:rsidR="00FE4158">
      <w:rPr>
        <w:rFonts w:cstheme="minorHAnsi"/>
        <w:color w:val="404040" w:themeColor="text1" w:themeTint="BF"/>
      </w:rPr>
      <w:t>2026</w:t>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59A0D" w14:textId="2C105D34" w:rsidR="00603367" w:rsidRPr="007A6EB9" w:rsidRDefault="00603367" w:rsidP="005430F9">
    <w:pPr>
      <w:pStyle w:val="Footer"/>
      <w:tabs>
        <w:tab w:val="clear" w:pos="4513"/>
        <w:tab w:val="clear" w:pos="9026"/>
        <w:tab w:val="right" w:pos="5103"/>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C382C">
      <w:rPr>
        <w:rFonts w:ascii="Montserrat SemiBold" w:hAnsi="Montserrat SemiBold" w:cstheme="majorHAnsi"/>
        <w:noProof/>
        <w:color w:val="2F5496"/>
        <w:w w:val="90"/>
        <w:sz w:val="18"/>
        <w:szCs w:val="18"/>
      </w:rPr>
      <w:t>Scrutiny Report 20</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B23A" w14:textId="6244CD3D" w:rsidR="00877A94" w:rsidRPr="00EE5B62" w:rsidRDefault="00877A94" w:rsidP="00117296">
    <w:pPr>
      <w:pStyle w:val="Footer"/>
      <w:tabs>
        <w:tab w:val="clear" w:pos="4513"/>
        <w:tab w:val="clear" w:pos="9026"/>
        <w:tab w:val="left" w:pos="3686"/>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00117296">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BC382C">
      <w:rPr>
        <w:rFonts w:ascii="Montserrat SemiBold" w:hAnsi="Montserrat SemiBold" w:cstheme="majorHAnsi"/>
        <w:noProof/>
        <w:color w:val="2F5496"/>
        <w:w w:val="90"/>
        <w:sz w:val="18"/>
        <w:szCs w:val="18"/>
      </w:rPr>
      <w:t>Scrutiny Report 20</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73ABD" w14:textId="17D6D102"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C382C">
      <w:rPr>
        <w:rFonts w:ascii="Montserrat SemiBold" w:hAnsi="Montserrat SemiBold" w:cstheme="majorHAnsi"/>
        <w:noProof/>
        <w:color w:val="2F5496"/>
        <w:w w:val="90"/>
        <w:sz w:val="18"/>
        <w:szCs w:val="18"/>
      </w:rPr>
      <w:t>Scrutiny Report 20</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24CAA" w14:textId="77777777" w:rsidR="00A158E0" w:rsidRDefault="00A158E0" w:rsidP="00D376C4">
      <w:pPr>
        <w:spacing w:after="0" w:line="240" w:lineRule="auto"/>
      </w:pPr>
      <w:r>
        <w:separator/>
      </w:r>
    </w:p>
  </w:footnote>
  <w:footnote w:type="continuationSeparator" w:id="0">
    <w:p w14:paraId="2D3E064D" w14:textId="77777777" w:rsidR="00A158E0" w:rsidRDefault="00A158E0" w:rsidP="00D376C4">
      <w:pPr>
        <w:spacing w:after="0" w:line="240" w:lineRule="auto"/>
      </w:pPr>
      <w:r>
        <w:continuationSeparator/>
      </w:r>
    </w:p>
  </w:footnote>
  <w:footnote w:id="1">
    <w:p w14:paraId="1F1568B6" w14:textId="2D46F0A2" w:rsidR="00BA149C" w:rsidRPr="00BA149C" w:rsidRDefault="00BA149C">
      <w:pPr>
        <w:pStyle w:val="FootnoteText"/>
        <w:rPr>
          <w:lang w:val="en-US"/>
        </w:rPr>
      </w:pPr>
      <w:r>
        <w:rPr>
          <w:rStyle w:val="FootnoteReference"/>
        </w:rPr>
        <w:footnoteRef/>
      </w:r>
      <w:r>
        <w:t xml:space="preserve"> </w:t>
      </w:r>
      <w:hyperlink r:id="rId1" w:history="1">
        <w:r w:rsidRPr="002F741F">
          <w:rPr>
            <w:rStyle w:val="Hyperlink"/>
          </w:rPr>
          <w:t>https://www.parliament.act.gov.au/parliamentary-business/in-committees/committees-11th-assembly/LA_Scrutiny</w:t>
        </w:r>
      </w:hyperlink>
      <w:r w:rsidR="008E5AFB">
        <w:t>.</w:t>
      </w:r>
    </w:p>
  </w:footnote>
  <w:footnote w:id="2">
    <w:p w14:paraId="0335E1CB" w14:textId="77777777" w:rsidR="00EE2DD3" w:rsidRDefault="00EE2DD3" w:rsidP="00EE2DD3">
      <w:pPr>
        <w:pStyle w:val="FootnoteText"/>
        <w:spacing w:before="120"/>
      </w:pPr>
      <w:r>
        <w:rPr>
          <w:rStyle w:val="FootnoteReference"/>
        </w:rPr>
        <w:footnoteRef/>
      </w:r>
      <w:r>
        <w:t xml:space="preserve"> </w:t>
      </w:r>
      <w:hyperlink r:id="rId2" w:history="1">
        <w:r>
          <w:rPr>
            <w:rStyle w:val="Hyperlink"/>
          </w:rPr>
          <w:t>https://www.parliament.act.gov.au/__data/assets/pdf_file/0007/434347/Subordinate-Legislation-Technical-and-Stylistic-Standards-Revised-March-2022.pdf</w:t>
        </w:r>
      </w:hyperlink>
      <w:r>
        <w:rPr>
          <w:color w:val="000000"/>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0464" w14:textId="58ACFC3E"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2082498471" name="Picture 2082498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F1675"/>
    <w:multiLevelType w:val="multilevel"/>
    <w:tmpl w:val="D4ECE9FE"/>
    <w:lvl w:ilvl="0">
      <w:start w:val="1"/>
      <w:numFmt w:val="decimal"/>
      <w:lvlText w:val="%1."/>
      <w:lvlJc w:val="left"/>
      <w:pPr>
        <w:ind w:left="644"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854" w:hanging="360"/>
      </w:pPr>
      <w:rPr>
        <w:rFonts w:ascii="Symbol" w:hAnsi="Symbol"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 w15:restartNumberingAfterBreak="0">
    <w:nsid w:val="06F05F2C"/>
    <w:multiLevelType w:val="hybridMultilevel"/>
    <w:tmpl w:val="DE725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F0153"/>
    <w:multiLevelType w:val="hybridMultilevel"/>
    <w:tmpl w:val="E8B4F180"/>
    <w:lvl w:ilvl="0" w:tplc="4DAC1F9C">
      <w:start w:val="1"/>
      <w:numFmt w:val="lowerRoman"/>
      <w:lvlText w:val="(%1)"/>
      <w:lvlJc w:val="left"/>
      <w:pPr>
        <w:ind w:left="720" w:hanging="360"/>
      </w:pPr>
      <w:rPr>
        <w:rFonts w:ascii="Aptos" w:eastAsia="Aptos" w:hAnsi="Aptos" w:cs="Times New Roman"/>
        <w:i w:val="0"/>
        <w:iCs w:val="0"/>
      </w:rPr>
    </w:lvl>
    <w:lvl w:ilvl="1" w:tplc="0680DDA6">
      <w:numFmt w:val="bullet"/>
      <w:lvlText w:val="•"/>
      <w:lvlJc w:val="left"/>
      <w:pPr>
        <w:ind w:left="1800" w:hanging="720"/>
      </w:pPr>
      <w:rPr>
        <w:rFonts w:ascii="Aptos" w:eastAsia="Aptos" w:hAnsi="Aptos" w:cs="Times New Roman"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142339"/>
    <w:multiLevelType w:val="hybridMultilevel"/>
    <w:tmpl w:val="E9562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4B13F3"/>
    <w:multiLevelType w:val="hybridMultilevel"/>
    <w:tmpl w:val="EE584980"/>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start w:val="1"/>
      <w:numFmt w:val="bullet"/>
      <w:lvlText w:val=""/>
      <w:lvlJc w:val="left"/>
      <w:pPr>
        <w:ind w:left="2651" w:hanging="360"/>
      </w:pPr>
      <w:rPr>
        <w:rFonts w:ascii="Wingdings" w:hAnsi="Wingdings" w:hint="default"/>
      </w:rPr>
    </w:lvl>
    <w:lvl w:ilvl="3" w:tplc="0C090001">
      <w:start w:val="1"/>
      <w:numFmt w:val="bullet"/>
      <w:lvlText w:val=""/>
      <w:lvlJc w:val="left"/>
      <w:pPr>
        <w:ind w:left="3371" w:hanging="360"/>
      </w:pPr>
      <w:rPr>
        <w:rFonts w:ascii="Symbol" w:hAnsi="Symbol" w:hint="default"/>
      </w:rPr>
    </w:lvl>
    <w:lvl w:ilvl="4" w:tplc="0C090003">
      <w:start w:val="1"/>
      <w:numFmt w:val="bullet"/>
      <w:lvlText w:val="o"/>
      <w:lvlJc w:val="left"/>
      <w:pPr>
        <w:ind w:left="4091" w:hanging="360"/>
      </w:pPr>
      <w:rPr>
        <w:rFonts w:ascii="Courier New" w:hAnsi="Courier New" w:cs="Courier New" w:hint="default"/>
      </w:rPr>
    </w:lvl>
    <w:lvl w:ilvl="5" w:tplc="0C090005">
      <w:start w:val="1"/>
      <w:numFmt w:val="bullet"/>
      <w:lvlText w:val=""/>
      <w:lvlJc w:val="left"/>
      <w:pPr>
        <w:ind w:left="4811" w:hanging="360"/>
      </w:pPr>
      <w:rPr>
        <w:rFonts w:ascii="Wingdings" w:hAnsi="Wingdings" w:hint="default"/>
      </w:rPr>
    </w:lvl>
    <w:lvl w:ilvl="6" w:tplc="0C090001">
      <w:start w:val="1"/>
      <w:numFmt w:val="bullet"/>
      <w:lvlText w:val=""/>
      <w:lvlJc w:val="left"/>
      <w:pPr>
        <w:ind w:left="5531" w:hanging="360"/>
      </w:pPr>
      <w:rPr>
        <w:rFonts w:ascii="Symbol" w:hAnsi="Symbol" w:hint="default"/>
      </w:rPr>
    </w:lvl>
    <w:lvl w:ilvl="7" w:tplc="0C090003">
      <w:start w:val="1"/>
      <w:numFmt w:val="bullet"/>
      <w:lvlText w:val="o"/>
      <w:lvlJc w:val="left"/>
      <w:pPr>
        <w:ind w:left="6251" w:hanging="360"/>
      </w:pPr>
      <w:rPr>
        <w:rFonts w:ascii="Courier New" w:hAnsi="Courier New" w:cs="Courier New" w:hint="default"/>
      </w:rPr>
    </w:lvl>
    <w:lvl w:ilvl="8" w:tplc="0C090005">
      <w:start w:val="1"/>
      <w:numFmt w:val="bullet"/>
      <w:lvlText w:val=""/>
      <w:lvlJc w:val="left"/>
      <w:pPr>
        <w:ind w:left="6971" w:hanging="360"/>
      </w:pPr>
      <w:rPr>
        <w:rFonts w:ascii="Wingdings" w:hAnsi="Wingdings" w:hint="default"/>
      </w:rPr>
    </w:lvl>
  </w:abstractNum>
  <w:abstractNum w:abstractNumId="6" w15:restartNumberingAfterBreak="0">
    <w:nsid w:val="158B256B"/>
    <w:multiLevelType w:val="multilevel"/>
    <w:tmpl w:val="47CA9D22"/>
    <w:lvl w:ilvl="0">
      <w:start w:val="1"/>
      <w:numFmt w:val="decimal"/>
      <w:lvlText w:val="%1."/>
      <w:lvlJc w:val="left"/>
      <w:pPr>
        <w:ind w:left="644"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1494" w:hanging="720"/>
      </w:pPr>
      <w:rPr>
        <w:rFonts w:hint="default"/>
      </w:rPr>
    </w:lvl>
    <w:lvl w:ilvl="3">
      <w:start w:val="1"/>
      <w:numFmt w:val="bullet"/>
      <w:lvlText w:val=""/>
      <w:lvlJc w:val="left"/>
      <w:pPr>
        <w:ind w:left="1854" w:hanging="360"/>
      </w:pPr>
      <w:rPr>
        <w:rFonts w:ascii="Symbol" w:hAnsi="Symbol"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7" w15:restartNumberingAfterBreak="0">
    <w:nsid w:val="1A653FCE"/>
    <w:multiLevelType w:val="multilevel"/>
    <w:tmpl w:val="A984A514"/>
    <w:lvl w:ilvl="0">
      <w:start w:val="1"/>
      <w:numFmt w:val="decimal"/>
      <w:lvlText w:val="%1."/>
      <w:lvlJc w:val="left"/>
      <w:pPr>
        <w:ind w:left="644" w:hanging="360"/>
      </w:pPr>
      <w:rPr>
        <w:rFonts w:hint="default"/>
      </w:rPr>
    </w:lvl>
    <w:lvl w:ilvl="1">
      <w:start w:val="1"/>
      <w:numFmt w:val="decimal"/>
      <w:isLgl/>
      <w:lvlText w:val="%1.%2"/>
      <w:lvlJc w:val="left"/>
      <w:pPr>
        <w:ind w:left="567" w:hanging="567"/>
      </w:pPr>
      <w:rPr>
        <w:rFonts w:ascii="Calibri (Body)" w:hAnsi="Calibri (Body)" w:hint="default"/>
        <w:b w:val="0"/>
        <w:bCs/>
        <w:i w:val="0"/>
        <w:iCs w:val="0"/>
        <w:color w:val="auto"/>
        <w:sz w:val="22"/>
        <w:szCs w:val="22"/>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8" w15:restartNumberingAfterBreak="0">
    <w:nsid w:val="22D75B47"/>
    <w:multiLevelType w:val="multilevel"/>
    <w:tmpl w:val="1B2CD9FE"/>
    <w:lvl w:ilvl="0">
      <w:start w:val="1"/>
      <w:numFmt w:val="decimal"/>
      <w:lvlText w:val="%1."/>
      <w:lvlJc w:val="left"/>
      <w:pPr>
        <w:ind w:left="644"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9" w15:restartNumberingAfterBreak="0">
    <w:nsid w:val="24FD3300"/>
    <w:multiLevelType w:val="hybridMultilevel"/>
    <w:tmpl w:val="763C39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B54F62"/>
    <w:multiLevelType w:val="hybridMultilevel"/>
    <w:tmpl w:val="A08A68BE"/>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1" w15:restartNumberingAfterBreak="0">
    <w:nsid w:val="2F6A3DA0"/>
    <w:multiLevelType w:val="multilevel"/>
    <w:tmpl w:val="D4ECE9FE"/>
    <w:lvl w:ilvl="0">
      <w:start w:val="1"/>
      <w:numFmt w:val="decimal"/>
      <w:lvlText w:val="%1."/>
      <w:lvlJc w:val="left"/>
      <w:pPr>
        <w:ind w:left="644"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854" w:hanging="360"/>
      </w:pPr>
      <w:rPr>
        <w:rFonts w:ascii="Symbol" w:hAnsi="Symbol"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2" w15:restartNumberingAfterBreak="0">
    <w:nsid w:val="3224504C"/>
    <w:multiLevelType w:val="multilevel"/>
    <w:tmpl w:val="64CA3994"/>
    <w:lvl w:ilvl="0">
      <w:start w:val="1"/>
      <w:numFmt w:val="bullet"/>
      <w:lvlText w:val=""/>
      <w:lvlJc w:val="left"/>
      <w:pPr>
        <w:ind w:left="1004"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214" w:hanging="360"/>
      </w:pPr>
      <w:rPr>
        <w:rFonts w:ascii="Symbol" w:hAnsi="Symbol" w:hint="default"/>
      </w:rPr>
    </w:lvl>
    <w:lvl w:ilvl="3">
      <w:start w:val="1"/>
      <w:numFmt w:val="decimal"/>
      <w:isLgl/>
      <w:lvlText w:val="%1.%2.%3.%4"/>
      <w:lvlJc w:val="left"/>
      <w:pPr>
        <w:ind w:left="2061" w:hanging="720"/>
      </w:pPr>
      <w:rPr>
        <w:rFonts w:hint="default"/>
      </w:rPr>
    </w:lvl>
    <w:lvl w:ilvl="4">
      <w:start w:val="1"/>
      <w:numFmt w:val="decimal"/>
      <w:isLgl/>
      <w:lvlText w:val="%1.%2.%3.%4.%5"/>
      <w:lvlJc w:val="left"/>
      <w:pPr>
        <w:ind w:left="2628" w:hanging="1080"/>
      </w:pPr>
      <w:rPr>
        <w:rFonts w:hint="default"/>
      </w:rPr>
    </w:lvl>
    <w:lvl w:ilvl="5">
      <w:start w:val="1"/>
      <w:numFmt w:val="decimal"/>
      <w:isLgl/>
      <w:lvlText w:val="%1.%2.%3.%4.%5.%6"/>
      <w:lvlJc w:val="left"/>
      <w:pPr>
        <w:ind w:left="2835" w:hanging="1080"/>
      </w:pPr>
      <w:rPr>
        <w:rFonts w:hint="default"/>
      </w:rPr>
    </w:lvl>
    <w:lvl w:ilvl="6">
      <w:start w:val="1"/>
      <w:numFmt w:val="decimal"/>
      <w:isLgl/>
      <w:lvlText w:val="%1.%2.%3.%4.%5.%6.%7"/>
      <w:lvlJc w:val="left"/>
      <w:pPr>
        <w:ind w:left="3402" w:hanging="1440"/>
      </w:pPr>
      <w:rPr>
        <w:rFonts w:hint="default"/>
      </w:rPr>
    </w:lvl>
    <w:lvl w:ilvl="7">
      <w:start w:val="1"/>
      <w:numFmt w:val="decimal"/>
      <w:isLgl/>
      <w:lvlText w:val="%1.%2.%3.%4.%5.%6.%7.%8"/>
      <w:lvlJc w:val="left"/>
      <w:pPr>
        <w:ind w:left="3609" w:hanging="1440"/>
      </w:pPr>
      <w:rPr>
        <w:rFonts w:hint="default"/>
      </w:rPr>
    </w:lvl>
    <w:lvl w:ilvl="8">
      <w:start w:val="1"/>
      <w:numFmt w:val="decimal"/>
      <w:isLgl/>
      <w:lvlText w:val="%1.%2.%3.%4.%5.%6.%7.%8.%9"/>
      <w:lvlJc w:val="left"/>
      <w:pPr>
        <w:ind w:left="3816" w:hanging="1440"/>
      </w:pPr>
      <w:rPr>
        <w:rFonts w:hint="default"/>
      </w:rPr>
    </w:lvl>
  </w:abstractNum>
  <w:abstractNum w:abstractNumId="13" w15:restartNumberingAfterBreak="0">
    <w:nsid w:val="332B4028"/>
    <w:multiLevelType w:val="hybridMultilevel"/>
    <w:tmpl w:val="2202EFBA"/>
    <w:lvl w:ilvl="0" w:tplc="4FBA278E">
      <w:start w:val="1"/>
      <w:numFmt w:val="lowerLetter"/>
      <w:lvlText w:val="(%1)"/>
      <w:lvlJc w:val="left"/>
      <w:pPr>
        <w:ind w:left="1287" w:hanging="360"/>
      </w:pPr>
      <w:rPr>
        <w:rFonts w:hint="default"/>
        <w:i w:val="0"/>
        <w:iCs w:val="0"/>
        <w:color w:val="2F5496" w:themeColor="accent1" w:themeShade="BF"/>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6367D8"/>
    <w:multiLevelType w:val="hybridMultilevel"/>
    <w:tmpl w:val="1EB66CD2"/>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15:restartNumberingAfterBreak="0">
    <w:nsid w:val="3A010734"/>
    <w:multiLevelType w:val="multilevel"/>
    <w:tmpl w:val="A75CE3B6"/>
    <w:lvl w:ilvl="0">
      <w:start w:val="1"/>
      <w:numFmt w:val="decimal"/>
      <w:pStyle w:val="Heading2"/>
      <w:lvlText w:val="%1."/>
      <w:lvlJc w:val="left"/>
      <w:pPr>
        <w:ind w:left="45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FC82713"/>
    <w:multiLevelType w:val="multilevel"/>
    <w:tmpl w:val="B4ACCFCE"/>
    <w:lvl w:ilvl="0">
      <w:start w:val="1"/>
      <w:numFmt w:val="decimal"/>
      <w:lvlText w:val="%1."/>
      <w:lvlJc w:val="left"/>
      <w:pPr>
        <w:ind w:left="644"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8" w15:restartNumberingAfterBreak="0">
    <w:nsid w:val="41981C33"/>
    <w:multiLevelType w:val="hybridMultilevel"/>
    <w:tmpl w:val="E86860D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9" w15:restartNumberingAfterBreak="0">
    <w:nsid w:val="48454AD2"/>
    <w:multiLevelType w:val="hybridMultilevel"/>
    <w:tmpl w:val="27A8C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065EB2"/>
    <w:multiLevelType w:val="hybridMultilevel"/>
    <w:tmpl w:val="2FC89C1C"/>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cs="Courier New" w:hint="default"/>
      </w:rPr>
    </w:lvl>
    <w:lvl w:ilvl="5" w:tplc="0C090005">
      <w:start w:val="1"/>
      <w:numFmt w:val="bullet"/>
      <w:lvlText w:val=""/>
      <w:lvlJc w:val="left"/>
      <w:pPr>
        <w:ind w:left="5454" w:hanging="360"/>
      </w:pPr>
      <w:rPr>
        <w:rFonts w:ascii="Wingdings" w:hAnsi="Wingdings" w:hint="default"/>
      </w:rPr>
    </w:lvl>
    <w:lvl w:ilvl="6" w:tplc="0C090001">
      <w:start w:val="1"/>
      <w:numFmt w:val="bullet"/>
      <w:lvlText w:val=""/>
      <w:lvlJc w:val="left"/>
      <w:pPr>
        <w:ind w:left="6174" w:hanging="360"/>
      </w:pPr>
      <w:rPr>
        <w:rFonts w:ascii="Symbol" w:hAnsi="Symbol" w:hint="default"/>
      </w:rPr>
    </w:lvl>
    <w:lvl w:ilvl="7" w:tplc="0C090003">
      <w:start w:val="1"/>
      <w:numFmt w:val="bullet"/>
      <w:lvlText w:val="o"/>
      <w:lvlJc w:val="left"/>
      <w:pPr>
        <w:ind w:left="6894" w:hanging="360"/>
      </w:pPr>
      <w:rPr>
        <w:rFonts w:ascii="Courier New" w:hAnsi="Courier New" w:cs="Courier New" w:hint="default"/>
      </w:rPr>
    </w:lvl>
    <w:lvl w:ilvl="8" w:tplc="0C090005">
      <w:start w:val="1"/>
      <w:numFmt w:val="bullet"/>
      <w:lvlText w:val=""/>
      <w:lvlJc w:val="left"/>
      <w:pPr>
        <w:ind w:left="7614" w:hanging="360"/>
      </w:pPr>
      <w:rPr>
        <w:rFonts w:ascii="Wingdings" w:hAnsi="Wingdings" w:hint="default"/>
      </w:rPr>
    </w:lvl>
  </w:abstractNum>
  <w:abstractNum w:abstractNumId="21" w15:restartNumberingAfterBreak="0">
    <w:nsid w:val="4DB56737"/>
    <w:multiLevelType w:val="hybridMultilevel"/>
    <w:tmpl w:val="E9922CE8"/>
    <w:lvl w:ilvl="0" w:tplc="0C090017">
      <w:start w:val="1"/>
      <w:numFmt w:val="lowerLetter"/>
      <w:lvlText w:val="%1)"/>
      <w:lvlJc w:val="lef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2" w15:restartNumberingAfterBreak="0">
    <w:nsid w:val="4E596814"/>
    <w:multiLevelType w:val="hybridMultilevel"/>
    <w:tmpl w:val="1B2CC9FC"/>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cs="Courier New" w:hint="default"/>
      </w:rPr>
    </w:lvl>
    <w:lvl w:ilvl="5" w:tplc="0C090005">
      <w:start w:val="1"/>
      <w:numFmt w:val="bullet"/>
      <w:lvlText w:val=""/>
      <w:lvlJc w:val="left"/>
      <w:pPr>
        <w:ind w:left="5454" w:hanging="360"/>
      </w:pPr>
      <w:rPr>
        <w:rFonts w:ascii="Wingdings" w:hAnsi="Wingdings" w:hint="default"/>
      </w:rPr>
    </w:lvl>
    <w:lvl w:ilvl="6" w:tplc="0C090001">
      <w:start w:val="1"/>
      <w:numFmt w:val="bullet"/>
      <w:lvlText w:val=""/>
      <w:lvlJc w:val="left"/>
      <w:pPr>
        <w:ind w:left="6174" w:hanging="360"/>
      </w:pPr>
      <w:rPr>
        <w:rFonts w:ascii="Symbol" w:hAnsi="Symbol" w:hint="default"/>
      </w:rPr>
    </w:lvl>
    <w:lvl w:ilvl="7" w:tplc="0C090003">
      <w:start w:val="1"/>
      <w:numFmt w:val="bullet"/>
      <w:lvlText w:val="o"/>
      <w:lvlJc w:val="left"/>
      <w:pPr>
        <w:ind w:left="6894" w:hanging="360"/>
      </w:pPr>
      <w:rPr>
        <w:rFonts w:ascii="Courier New" w:hAnsi="Courier New" w:cs="Courier New" w:hint="default"/>
      </w:rPr>
    </w:lvl>
    <w:lvl w:ilvl="8" w:tplc="0C090005">
      <w:start w:val="1"/>
      <w:numFmt w:val="bullet"/>
      <w:lvlText w:val=""/>
      <w:lvlJc w:val="left"/>
      <w:pPr>
        <w:ind w:left="7614" w:hanging="360"/>
      </w:pPr>
      <w:rPr>
        <w:rFonts w:ascii="Wingdings" w:hAnsi="Wingdings" w:hint="default"/>
      </w:rPr>
    </w:lvl>
  </w:abstractNum>
  <w:abstractNum w:abstractNumId="23" w15:restartNumberingAfterBreak="0">
    <w:nsid w:val="52844965"/>
    <w:multiLevelType w:val="hybridMultilevel"/>
    <w:tmpl w:val="B3F2D4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EF185C"/>
    <w:multiLevelType w:val="hybridMultilevel"/>
    <w:tmpl w:val="28B05CC8"/>
    <w:lvl w:ilvl="0" w:tplc="0C090001">
      <w:start w:val="1"/>
      <w:numFmt w:val="bullet"/>
      <w:lvlText w:val=""/>
      <w:lvlJc w:val="left"/>
      <w:pPr>
        <w:ind w:left="1211" w:hanging="360"/>
      </w:pPr>
      <w:rPr>
        <w:rFonts w:ascii="Symbol" w:hAnsi="Symbol" w:hint="default"/>
      </w:rPr>
    </w:lvl>
    <w:lvl w:ilvl="1" w:tplc="F60A8DC8">
      <w:numFmt w:val="bullet"/>
      <w:lvlText w:val="•"/>
      <w:lvlJc w:val="left"/>
      <w:pPr>
        <w:ind w:left="1931" w:hanging="360"/>
      </w:pPr>
      <w:rPr>
        <w:rFonts w:ascii="Calibri" w:eastAsia="Aptos" w:hAnsi="Calibri" w:cs="Calibri"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5" w15:restartNumberingAfterBreak="0">
    <w:nsid w:val="5915439C"/>
    <w:multiLevelType w:val="multilevel"/>
    <w:tmpl w:val="0978874E"/>
    <w:lvl w:ilvl="0">
      <w:start w:val="1"/>
      <w:numFmt w:val="decimal"/>
      <w:lvlText w:val="%1."/>
      <w:lvlJc w:val="left"/>
      <w:pPr>
        <w:ind w:left="644" w:hanging="360"/>
      </w:pPr>
      <w:rPr>
        <w:rFonts w:hint="default"/>
      </w:rPr>
    </w:lvl>
    <w:lvl w:ilvl="1">
      <w:start w:val="1"/>
      <w:numFmt w:val="lowerLetter"/>
      <w:lvlText w:val="%2)"/>
      <w:lvlJc w:val="left"/>
      <w:pPr>
        <w:ind w:left="360" w:hanging="360"/>
      </w:p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6" w15:restartNumberingAfterBreak="0">
    <w:nsid w:val="5BB273F0"/>
    <w:multiLevelType w:val="hybridMultilevel"/>
    <w:tmpl w:val="0C047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F32272"/>
    <w:multiLevelType w:val="hybridMultilevel"/>
    <w:tmpl w:val="9AC285A8"/>
    <w:lvl w:ilvl="0" w:tplc="DA1CF9E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D9C6159"/>
    <w:multiLevelType w:val="multilevel"/>
    <w:tmpl w:val="E918C5FE"/>
    <w:lvl w:ilvl="0">
      <w:start w:val="1"/>
      <w:numFmt w:val="decimal"/>
      <w:lvlText w:val="%1."/>
      <w:lvlJc w:val="left"/>
      <w:pPr>
        <w:ind w:left="644" w:hanging="360"/>
      </w:pPr>
      <w:rPr>
        <w:rFonts w:hint="default"/>
      </w:rPr>
    </w:lvl>
    <w:lvl w:ilvl="1">
      <w:start w:val="1"/>
      <w:numFmt w:val="lowerLetter"/>
      <w:lvlText w:val="%2)"/>
      <w:lvlJc w:val="left"/>
      <w:pPr>
        <w:ind w:left="360" w:hanging="360"/>
      </w:pPr>
    </w:lvl>
    <w:lvl w:ilvl="2">
      <w:start w:val="1"/>
      <w:numFmt w:val="decimal"/>
      <w:isLgl/>
      <w:lvlText w:val="%1.%2.%3"/>
      <w:lvlJc w:val="left"/>
      <w:pPr>
        <w:ind w:left="1494" w:hanging="720"/>
      </w:pPr>
      <w:rPr>
        <w:rFonts w:hint="default"/>
      </w:rPr>
    </w:lvl>
    <w:lvl w:ilvl="3">
      <w:start w:val="1"/>
      <w:numFmt w:val="lowerLetter"/>
      <w:lvlText w:val="%4)"/>
      <w:lvlJc w:val="left"/>
      <w:pPr>
        <w:ind w:left="1211" w:hanging="360"/>
      </w:p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9"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1012B07"/>
    <w:multiLevelType w:val="hybridMultilevel"/>
    <w:tmpl w:val="9C96B2FA"/>
    <w:lvl w:ilvl="0" w:tplc="AC26D63C">
      <w:start w:val="1"/>
      <w:numFmt w:val="decimal"/>
      <w:pStyle w:val="Nor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1" w15:restartNumberingAfterBreak="0">
    <w:nsid w:val="62A361B3"/>
    <w:multiLevelType w:val="multilevel"/>
    <w:tmpl w:val="D4ECE9FE"/>
    <w:lvl w:ilvl="0">
      <w:start w:val="1"/>
      <w:numFmt w:val="decimal"/>
      <w:lvlText w:val="%1."/>
      <w:lvlJc w:val="left"/>
      <w:pPr>
        <w:ind w:left="644"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854" w:hanging="360"/>
      </w:pPr>
      <w:rPr>
        <w:rFonts w:ascii="Symbol" w:hAnsi="Symbol"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32" w15:restartNumberingAfterBreak="0">
    <w:nsid w:val="6612063F"/>
    <w:multiLevelType w:val="hybridMultilevel"/>
    <w:tmpl w:val="9C54C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B36C60"/>
    <w:multiLevelType w:val="multilevel"/>
    <w:tmpl w:val="D4ECE9FE"/>
    <w:lvl w:ilvl="0">
      <w:start w:val="1"/>
      <w:numFmt w:val="decimal"/>
      <w:lvlText w:val="%1."/>
      <w:lvlJc w:val="left"/>
      <w:pPr>
        <w:ind w:left="644"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854" w:hanging="360"/>
      </w:pPr>
      <w:rPr>
        <w:rFonts w:ascii="Symbol" w:hAnsi="Symbol"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num w:numId="1" w16cid:durableId="1348370003">
    <w:abstractNumId w:val="14"/>
  </w:num>
  <w:num w:numId="2" w16cid:durableId="734426583">
    <w:abstractNumId w:val="16"/>
  </w:num>
  <w:num w:numId="3" w16cid:durableId="164395069">
    <w:abstractNumId w:val="30"/>
  </w:num>
  <w:num w:numId="4" w16cid:durableId="1506280939">
    <w:abstractNumId w:val="7"/>
  </w:num>
  <w:num w:numId="5" w16cid:durableId="947274905">
    <w:abstractNumId w:val="32"/>
  </w:num>
  <w:num w:numId="6" w16cid:durableId="1571111024">
    <w:abstractNumId w:val="5"/>
  </w:num>
  <w:num w:numId="7" w16cid:durableId="282344260">
    <w:abstractNumId w:val="23"/>
  </w:num>
  <w:num w:numId="8" w16cid:durableId="1754664707">
    <w:abstractNumId w:val="10"/>
  </w:num>
  <w:num w:numId="9" w16cid:durableId="846213223">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027029">
    <w:abstractNumId w:val="24"/>
  </w:num>
  <w:num w:numId="11" w16cid:durableId="452988616">
    <w:abstractNumId w:val="18"/>
  </w:num>
  <w:num w:numId="12" w16cid:durableId="1595356237">
    <w:abstractNumId w:val="15"/>
  </w:num>
  <w:num w:numId="13" w16cid:durableId="533808224">
    <w:abstractNumId w:val="21"/>
  </w:num>
  <w:num w:numId="14" w16cid:durableId="436758642">
    <w:abstractNumId w:val="2"/>
  </w:num>
  <w:num w:numId="15" w16cid:durableId="1954625349">
    <w:abstractNumId w:val="8"/>
  </w:num>
  <w:num w:numId="16" w16cid:durableId="586236449">
    <w:abstractNumId w:val="6"/>
  </w:num>
  <w:num w:numId="17" w16cid:durableId="43408449">
    <w:abstractNumId w:val="25"/>
  </w:num>
  <w:num w:numId="18" w16cid:durableId="1772434094">
    <w:abstractNumId w:val="28"/>
  </w:num>
  <w:num w:numId="19" w16cid:durableId="1227574702">
    <w:abstractNumId w:val="17"/>
  </w:num>
  <w:num w:numId="20" w16cid:durableId="1693145383">
    <w:abstractNumId w:val="31"/>
  </w:num>
  <w:num w:numId="21" w16cid:durableId="224340348">
    <w:abstractNumId w:val="13"/>
  </w:num>
  <w:num w:numId="22" w16cid:durableId="437676699">
    <w:abstractNumId w:val="0"/>
  </w:num>
  <w:num w:numId="23" w16cid:durableId="1824395414">
    <w:abstractNumId w:val="33"/>
  </w:num>
  <w:num w:numId="24" w16cid:durableId="1574267865">
    <w:abstractNumId w:val="27"/>
  </w:num>
  <w:num w:numId="25" w16cid:durableId="1134104327">
    <w:abstractNumId w:val="11"/>
  </w:num>
  <w:num w:numId="26" w16cid:durableId="993338097">
    <w:abstractNumId w:val="12"/>
  </w:num>
  <w:num w:numId="27" w16cid:durableId="2057653989">
    <w:abstractNumId w:val="20"/>
  </w:num>
  <w:num w:numId="28" w16cid:durableId="959923449">
    <w:abstractNumId w:val="22"/>
  </w:num>
  <w:num w:numId="29" w16cid:durableId="2143570842">
    <w:abstractNumId w:val="1"/>
  </w:num>
  <w:num w:numId="30" w16cid:durableId="1249539675">
    <w:abstractNumId w:val="19"/>
  </w:num>
  <w:num w:numId="31" w16cid:durableId="1105030308">
    <w:abstractNumId w:val="9"/>
  </w:num>
  <w:num w:numId="32" w16cid:durableId="1476951265">
    <w:abstractNumId w:val="4"/>
  </w:num>
  <w:num w:numId="33" w16cid:durableId="1849326889">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0FDE"/>
    <w:rsid w:val="0000302D"/>
    <w:rsid w:val="000030B4"/>
    <w:rsid w:val="000056BC"/>
    <w:rsid w:val="0001082A"/>
    <w:rsid w:val="00013602"/>
    <w:rsid w:val="00013877"/>
    <w:rsid w:val="00014BDE"/>
    <w:rsid w:val="000150AA"/>
    <w:rsid w:val="000157E0"/>
    <w:rsid w:val="00020C79"/>
    <w:rsid w:val="000211DC"/>
    <w:rsid w:val="00021A11"/>
    <w:rsid w:val="00021C1A"/>
    <w:rsid w:val="00022BC5"/>
    <w:rsid w:val="00024F1A"/>
    <w:rsid w:val="000257F7"/>
    <w:rsid w:val="000258B6"/>
    <w:rsid w:val="00026854"/>
    <w:rsid w:val="000268F2"/>
    <w:rsid w:val="00030DA7"/>
    <w:rsid w:val="00030FBC"/>
    <w:rsid w:val="00032D3D"/>
    <w:rsid w:val="00034056"/>
    <w:rsid w:val="00034EE4"/>
    <w:rsid w:val="00041ABB"/>
    <w:rsid w:val="00042420"/>
    <w:rsid w:val="0004686C"/>
    <w:rsid w:val="00047DD3"/>
    <w:rsid w:val="0005053E"/>
    <w:rsid w:val="000508B2"/>
    <w:rsid w:val="000508DA"/>
    <w:rsid w:val="00051748"/>
    <w:rsid w:val="00051C47"/>
    <w:rsid w:val="000523B7"/>
    <w:rsid w:val="00052624"/>
    <w:rsid w:val="00052AAE"/>
    <w:rsid w:val="00054268"/>
    <w:rsid w:val="00056797"/>
    <w:rsid w:val="00062340"/>
    <w:rsid w:val="00064DFF"/>
    <w:rsid w:val="0006592F"/>
    <w:rsid w:val="00065B71"/>
    <w:rsid w:val="00066CB4"/>
    <w:rsid w:val="00066FEB"/>
    <w:rsid w:val="0006752F"/>
    <w:rsid w:val="000675C8"/>
    <w:rsid w:val="00070B35"/>
    <w:rsid w:val="00070E76"/>
    <w:rsid w:val="000713A5"/>
    <w:rsid w:val="00073FC9"/>
    <w:rsid w:val="000744CE"/>
    <w:rsid w:val="00075F93"/>
    <w:rsid w:val="00082D9E"/>
    <w:rsid w:val="00084E6C"/>
    <w:rsid w:val="000854B7"/>
    <w:rsid w:val="00090A05"/>
    <w:rsid w:val="00090DE7"/>
    <w:rsid w:val="0009251E"/>
    <w:rsid w:val="00093075"/>
    <w:rsid w:val="00094B01"/>
    <w:rsid w:val="00097BEC"/>
    <w:rsid w:val="000A1AB6"/>
    <w:rsid w:val="000A285B"/>
    <w:rsid w:val="000A315D"/>
    <w:rsid w:val="000A3713"/>
    <w:rsid w:val="000A4F2A"/>
    <w:rsid w:val="000A556E"/>
    <w:rsid w:val="000A66B9"/>
    <w:rsid w:val="000B0C3C"/>
    <w:rsid w:val="000B3E1D"/>
    <w:rsid w:val="000B5DAD"/>
    <w:rsid w:val="000C0A42"/>
    <w:rsid w:val="000C142E"/>
    <w:rsid w:val="000C328F"/>
    <w:rsid w:val="000C4FC1"/>
    <w:rsid w:val="000C63B0"/>
    <w:rsid w:val="000C6B9B"/>
    <w:rsid w:val="000C793E"/>
    <w:rsid w:val="000D032A"/>
    <w:rsid w:val="000D1C04"/>
    <w:rsid w:val="000D5BCA"/>
    <w:rsid w:val="000D5E20"/>
    <w:rsid w:val="000D70A2"/>
    <w:rsid w:val="000E556C"/>
    <w:rsid w:val="000E5592"/>
    <w:rsid w:val="000E560A"/>
    <w:rsid w:val="000E793D"/>
    <w:rsid w:val="000E7A2F"/>
    <w:rsid w:val="000F17AD"/>
    <w:rsid w:val="000F42DF"/>
    <w:rsid w:val="000F4AF5"/>
    <w:rsid w:val="000F56E3"/>
    <w:rsid w:val="000F7958"/>
    <w:rsid w:val="001028F2"/>
    <w:rsid w:val="0010380E"/>
    <w:rsid w:val="00103965"/>
    <w:rsid w:val="00103A28"/>
    <w:rsid w:val="00106AB9"/>
    <w:rsid w:val="00107165"/>
    <w:rsid w:val="001101A5"/>
    <w:rsid w:val="00110EAD"/>
    <w:rsid w:val="00111154"/>
    <w:rsid w:val="001131F5"/>
    <w:rsid w:val="00114061"/>
    <w:rsid w:val="00117296"/>
    <w:rsid w:val="00117821"/>
    <w:rsid w:val="00121E7E"/>
    <w:rsid w:val="00122290"/>
    <w:rsid w:val="00122931"/>
    <w:rsid w:val="00122A5C"/>
    <w:rsid w:val="00123781"/>
    <w:rsid w:val="00124C5A"/>
    <w:rsid w:val="00126BE8"/>
    <w:rsid w:val="0013051B"/>
    <w:rsid w:val="0013363D"/>
    <w:rsid w:val="0013514A"/>
    <w:rsid w:val="00136FD6"/>
    <w:rsid w:val="00137399"/>
    <w:rsid w:val="00137926"/>
    <w:rsid w:val="00137AEE"/>
    <w:rsid w:val="001400C8"/>
    <w:rsid w:val="001404A0"/>
    <w:rsid w:val="00141190"/>
    <w:rsid w:val="00145C66"/>
    <w:rsid w:val="00146BB2"/>
    <w:rsid w:val="00146F46"/>
    <w:rsid w:val="0014714E"/>
    <w:rsid w:val="0014773D"/>
    <w:rsid w:val="001532AA"/>
    <w:rsid w:val="00153659"/>
    <w:rsid w:val="001541FE"/>
    <w:rsid w:val="00155869"/>
    <w:rsid w:val="00156E52"/>
    <w:rsid w:val="00161597"/>
    <w:rsid w:val="00161D96"/>
    <w:rsid w:val="0016238D"/>
    <w:rsid w:val="00162D2E"/>
    <w:rsid w:val="00165010"/>
    <w:rsid w:val="001676CF"/>
    <w:rsid w:val="0017094C"/>
    <w:rsid w:val="00170E82"/>
    <w:rsid w:val="001738A0"/>
    <w:rsid w:val="001745BD"/>
    <w:rsid w:val="0017525C"/>
    <w:rsid w:val="00176019"/>
    <w:rsid w:val="00180A5A"/>
    <w:rsid w:val="0018105F"/>
    <w:rsid w:val="00181A84"/>
    <w:rsid w:val="00181C26"/>
    <w:rsid w:val="00181EEF"/>
    <w:rsid w:val="001825E5"/>
    <w:rsid w:val="00182F50"/>
    <w:rsid w:val="00183EE2"/>
    <w:rsid w:val="00184790"/>
    <w:rsid w:val="00184D9D"/>
    <w:rsid w:val="001853D2"/>
    <w:rsid w:val="00186961"/>
    <w:rsid w:val="0018767F"/>
    <w:rsid w:val="00192862"/>
    <w:rsid w:val="0019298A"/>
    <w:rsid w:val="0019545D"/>
    <w:rsid w:val="00195F90"/>
    <w:rsid w:val="0019673C"/>
    <w:rsid w:val="001A1AF9"/>
    <w:rsid w:val="001A2E8F"/>
    <w:rsid w:val="001A2EDD"/>
    <w:rsid w:val="001A63CE"/>
    <w:rsid w:val="001A7A73"/>
    <w:rsid w:val="001B13A0"/>
    <w:rsid w:val="001B17AE"/>
    <w:rsid w:val="001B2622"/>
    <w:rsid w:val="001B3C02"/>
    <w:rsid w:val="001B401C"/>
    <w:rsid w:val="001B5599"/>
    <w:rsid w:val="001B60A2"/>
    <w:rsid w:val="001B692B"/>
    <w:rsid w:val="001C2CCD"/>
    <w:rsid w:val="001C320E"/>
    <w:rsid w:val="001C381F"/>
    <w:rsid w:val="001C4746"/>
    <w:rsid w:val="001C7708"/>
    <w:rsid w:val="001C7A12"/>
    <w:rsid w:val="001C7BE2"/>
    <w:rsid w:val="001D0583"/>
    <w:rsid w:val="001D074D"/>
    <w:rsid w:val="001D10CD"/>
    <w:rsid w:val="001D154B"/>
    <w:rsid w:val="001D2063"/>
    <w:rsid w:val="001D2275"/>
    <w:rsid w:val="001D22FC"/>
    <w:rsid w:val="001D3A47"/>
    <w:rsid w:val="001D4B4E"/>
    <w:rsid w:val="001D627D"/>
    <w:rsid w:val="001D6F2F"/>
    <w:rsid w:val="001E1304"/>
    <w:rsid w:val="001E1E2B"/>
    <w:rsid w:val="001E27ED"/>
    <w:rsid w:val="001E2DF1"/>
    <w:rsid w:val="001E4E75"/>
    <w:rsid w:val="001E5A79"/>
    <w:rsid w:val="001E61EC"/>
    <w:rsid w:val="001E65B9"/>
    <w:rsid w:val="001E6AA1"/>
    <w:rsid w:val="001F253D"/>
    <w:rsid w:val="001F30D0"/>
    <w:rsid w:val="001F3C5A"/>
    <w:rsid w:val="001F3EC3"/>
    <w:rsid w:val="001F5B67"/>
    <w:rsid w:val="001F5EA1"/>
    <w:rsid w:val="001F7978"/>
    <w:rsid w:val="002012DD"/>
    <w:rsid w:val="00201FCD"/>
    <w:rsid w:val="00202A00"/>
    <w:rsid w:val="00205761"/>
    <w:rsid w:val="00207130"/>
    <w:rsid w:val="002101BE"/>
    <w:rsid w:val="002133BF"/>
    <w:rsid w:val="002138F5"/>
    <w:rsid w:val="0021396D"/>
    <w:rsid w:val="00213ECC"/>
    <w:rsid w:val="00214315"/>
    <w:rsid w:val="0021483E"/>
    <w:rsid w:val="00216003"/>
    <w:rsid w:val="00216B8B"/>
    <w:rsid w:val="00216BB7"/>
    <w:rsid w:val="00216C0B"/>
    <w:rsid w:val="00221E09"/>
    <w:rsid w:val="00222738"/>
    <w:rsid w:val="002231B0"/>
    <w:rsid w:val="00223787"/>
    <w:rsid w:val="00226926"/>
    <w:rsid w:val="002303E6"/>
    <w:rsid w:val="00232128"/>
    <w:rsid w:val="00232882"/>
    <w:rsid w:val="0023468E"/>
    <w:rsid w:val="00235C55"/>
    <w:rsid w:val="002371F5"/>
    <w:rsid w:val="00245529"/>
    <w:rsid w:val="00245811"/>
    <w:rsid w:val="00245B86"/>
    <w:rsid w:val="002467FB"/>
    <w:rsid w:val="00246DE0"/>
    <w:rsid w:val="00250DD6"/>
    <w:rsid w:val="002538FD"/>
    <w:rsid w:val="00260A84"/>
    <w:rsid w:val="002712A3"/>
    <w:rsid w:val="002747B1"/>
    <w:rsid w:val="002750E2"/>
    <w:rsid w:val="002754BA"/>
    <w:rsid w:val="00276284"/>
    <w:rsid w:val="00277678"/>
    <w:rsid w:val="002812AF"/>
    <w:rsid w:val="0028163E"/>
    <w:rsid w:val="00281D46"/>
    <w:rsid w:val="0028590F"/>
    <w:rsid w:val="00285B7A"/>
    <w:rsid w:val="00287231"/>
    <w:rsid w:val="00287732"/>
    <w:rsid w:val="002907EA"/>
    <w:rsid w:val="002909CC"/>
    <w:rsid w:val="00291387"/>
    <w:rsid w:val="002932CA"/>
    <w:rsid w:val="00297A82"/>
    <w:rsid w:val="002A04C9"/>
    <w:rsid w:val="002A11C6"/>
    <w:rsid w:val="002A33D1"/>
    <w:rsid w:val="002A35D2"/>
    <w:rsid w:val="002A475C"/>
    <w:rsid w:val="002A74B3"/>
    <w:rsid w:val="002B04B1"/>
    <w:rsid w:val="002B1016"/>
    <w:rsid w:val="002B36D3"/>
    <w:rsid w:val="002B376C"/>
    <w:rsid w:val="002B43FB"/>
    <w:rsid w:val="002B471B"/>
    <w:rsid w:val="002C0BBA"/>
    <w:rsid w:val="002C12B6"/>
    <w:rsid w:val="002C19AA"/>
    <w:rsid w:val="002C2F3D"/>
    <w:rsid w:val="002C5C1C"/>
    <w:rsid w:val="002C7107"/>
    <w:rsid w:val="002D13CB"/>
    <w:rsid w:val="002D1679"/>
    <w:rsid w:val="002D1F64"/>
    <w:rsid w:val="002D409E"/>
    <w:rsid w:val="002D57A2"/>
    <w:rsid w:val="002D741A"/>
    <w:rsid w:val="002E0D9E"/>
    <w:rsid w:val="002E1262"/>
    <w:rsid w:val="002E158B"/>
    <w:rsid w:val="002E3FE4"/>
    <w:rsid w:val="002E40C7"/>
    <w:rsid w:val="002E4AA8"/>
    <w:rsid w:val="002E768B"/>
    <w:rsid w:val="002F013B"/>
    <w:rsid w:val="002F04C6"/>
    <w:rsid w:val="002F0650"/>
    <w:rsid w:val="002F1004"/>
    <w:rsid w:val="002F374E"/>
    <w:rsid w:val="002F46AB"/>
    <w:rsid w:val="00306115"/>
    <w:rsid w:val="00310DB0"/>
    <w:rsid w:val="00311CC5"/>
    <w:rsid w:val="00314606"/>
    <w:rsid w:val="00314D4E"/>
    <w:rsid w:val="00316000"/>
    <w:rsid w:val="003173D4"/>
    <w:rsid w:val="00320782"/>
    <w:rsid w:val="00321063"/>
    <w:rsid w:val="00322195"/>
    <w:rsid w:val="003221FB"/>
    <w:rsid w:val="0032265E"/>
    <w:rsid w:val="00324605"/>
    <w:rsid w:val="0032470A"/>
    <w:rsid w:val="00331580"/>
    <w:rsid w:val="00332CC1"/>
    <w:rsid w:val="003360D8"/>
    <w:rsid w:val="00336EDC"/>
    <w:rsid w:val="003374C0"/>
    <w:rsid w:val="00341B54"/>
    <w:rsid w:val="00343EFF"/>
    <w:rsid w:val="00344DF6"/>
    <w:rsid w:val="00345D13"/>
    <w:rsid w:val="00346138"/>
    <w:rsid w:val="00346249"/>
    <w:rsid w:val="003465FB"/>
    <w:rsid w:val="00346C40"/>
    <w:rsid w:val="00351638"/>
    <w:rsid w:val="00351ED5"/>
    <w:rsid w:val="0035254E"/>
    <w:rsid w:val="00352718"/>
    <w:rsid w:val="00354391"/>
    <w:rsid w:val="0035482C"/>
    <w:rsid w:val="0035581D"/>
    <w:rsid w:val="00356712"/>
    <w:rsid w:val="003568AB"/>
    <w:rsid w:val="003569E4"/>
    <w:rsid w:val="0036134D"/>
    <w:rsid w:val="00362801"/>
    <w:rsid w:val="003634B3"/>
    <w:rsid w:val="003656D9"/>
    <w:rsid w:val="003658F4"/>
    <w:rsid w:val="00366284"/>
    <w:rsid w:val="0036775A"/>
    <w:rsid w:val="00367DE6"/>
    <w:rsid w:val="00371AE6"/>
    <w:rsid w:val="003720F9"/>
    <w:rsid w:val="00372132"/>
    <w:rsid w:val="003723F1"/>
    <w:rsid w:val="00372D80"/>
    <w:rsid w:val="0037448D"/>
    <w:rsid w:val="00375B9D"/>
    <w:rsid w:val="00375E11"/>
    <w:rsid w:val="00376EB5"/>
    <w:rsid w:val="00380369"/>
    <w:rsid w:val="00382631"/>
    <w:rsid w:val="00382ED0"/>
    <w:rsid w:val="00383D46"/>
    <w:rsid w:val="00384662"/>
    <w:rsid w:val="00384DC8"/>
    <w:rsid w:val="003860C5"/>
    <w:rsid w:val="003862F2"/>
    <w:rsid w:val="003871FB"/>
    <w:rsid w:val="00387938"/>
    <w:rsid w:val="003916EC"/>
    <w:rsid w:val="00392330"/>
    <w:rsid w:val="00392376"/>
    <w:rsid w:val="00392A68"/>
    <w:rsid w:val="0039584B"/>
    <w:rsid w:val="00396862"/>
    <w:rsid w:val="00396B92"/>
    <w:rsid w:val="00397D2C"/>
    <w:rsid w:val="003A10BC"/>
    <w:rsid w:val="003A4A44"/>
    <w:rsid w:val="003A5873"/>
    <w:rsid w:val="003A6064"/>
    <w:rsid w:val="003B1D1C"/>
    <w:rsid w:val="003B26DC"/>
    <w:rsid w:val="003B2E19"/>
    <w:rsid w:val="003B5735"/>
    <w:rsid w:val="003B5945"/>
    <w:rsid w:val="003B5AA8"/>
    <w:rsid w:val="003B6DD4"/>
    <w:rsid w:val="003C221A"/>
    <w:rsid w:val="003C33AC"/>
    <w:rsid w:val="003C3CF9"/>
    <w:rsid w:val="003C3E0B"/>
    <w:rsid w:val="003C3E54"/>
    <w:rsid w:val="003C5267"/>
    <w:rsid w:val="003D21AE"/>
    <w:rsid w:val="003D3B28"/>
    <w:rsid w:val="003D4084"/>
    <w:rsid w:val="003D410A"/>
    <w:rsid w:val="003D5021"/>
    <w:rsid w:val="003D635C"/>
    <w:rsid w:val="003D67A2"/>
    <w:rsid w:val="003E2C7C"/>
    <w:rsid w:val="003E4A01"/>
    <w:rsid w:val="003E5DE4"/>
    <w:rsid w:val="003F0BCC"/>
    <w:rsid w:val="003F39AA"/>
    <w:rsid w:val="003F47CF"/>
    <w:rsid w:val="003F53A5"/>
    <w:rsid w:val="00400770"/>
    <w:rsid w:val="004011AD"/>
    <w:rsid w:val="00402758"/>
    <w:rsid w:val="00404ABA"/>
    <w:rsid w:val="00404E3D"/>
    <w:rsid w:val="00405835"/>
    <w:rsid w:val="0040595D"/>
    <w:rsid w:val="00405BCB"/>
    <w:rsid w:val="00405C49"/>
    <w:rsid w:val="00405D25"/>
    <w:rsid w:val="00407FD6"/>
    <w:rsid w:val="00407FE9"/>
    <w:rsid w:val="00412E82"/>
    <w:rsid w:val="00414737"/>
    <w:rsid w:val="00414F84"/>
    <w:rsid w:val="00417021"/>
    <w:rsid w:val="00421A2C"/>
    <w:rsid w:val="004222A3"/>
    <w:rsid w:val="00422432"/>
    <w:rsid w:val="00423A7D"/>
    <w:rsid w:val="004277E2"/>
    <w:rsid w:val="00430D7A"/>
    <w:rsid w:val="004314B0"/>
    <w:rsid w:val="00434F62"/>
    <w:rsid w:val="00436FE1"/>
    <w:rsid w:val="00436FED"/>
    <w:rsid w:val="004376ED"/>
    <w:rsid w:val="00437C8B"/>
    <w:rsid w:val="00440E90"/>
    <w:rsid w:val="00443D2B"/>
    <w:rsid w:val="004470D8"/>
    <w:rsid w:val="00447EAD"/>
    <w:rsid w:val="004508E2"/>
    <w:rsid w:val="004508F1"/>
    <w:rsid w:val="00451433"/>
    <w:rsid w:val="00453C62"/>
    <w:rsid w:val="004540EA"/>
    <w:rsid w:val="00455605"/>
    <w:rsid w:val="00456DCF"/>
    <w:rsid w:val="0045759B"/>
    <w:rsid w:val="004608D6"/>
    <w:rsid w:val="0046189E"/>
    <w:rsid w:val="0046234D"/>
    <w:rsid w:val="0046269C"/>
    <w:rsid w:val="0046458B"/>
    <w:rsid w:val="00465BDA"/>
    <w:rsid w:val="00466D2D"/>
    <w:rsid w:val="00471E8B"/>
    <w:rsid w:val="004726A9"/>
    <w:rsid w:val="00473CF5"/>
    <w:rsid w:val="0047494A"/>
    <w:rsid w:val="004750C0"/>
    <w:rsid w:val="00475593"/>
    <w:rsid w:val="0047667F"/>
    <w:rsid w:val="00480A55"/>
    <w:rsid w:val="00481246"/>
    <w:rsid w:val="00481C8A"/>
    <w:rsid w:val="0048298C"/>
    <w:rsid w:val="004829D6"/>
    <w:rsid w:val="00483210"/>
    <w:rsid w:val="00485E01"/>
    <w:rsid w:val="00486315"/>
    <w:rsid w:val="0049572A"/>
    <w:rsid w:val="00495799"/>
    <w:rsid w:val="00495CE8"/>
    <w:rsid w:val="00496EED"/>
    <w:rsid w:val="004A11DC"/>
    <w:rsid w:val="004A298E"/>
    <w:rsid w:val="004A458B"/>
    <w:rsid w:val="004A489E"/>
    <w:rsid w:val="004A4CF9"/>
    <w:rsid w:val="004B2147"/>
    <w:rsid w:val="004B2CA1"/>
    <w:rsid w:val="004B3159"/>
    <w:rsid w:val="004B3E74"/>
    <w:rsid w:val="004B531D"/>
    <w:rsid w:val="004B5383"/>
    <w:rsid w:val="004B6B01"/>
    <w:rsid w:val="004C034E"/>
    <w:rsid w:val="004C234D"/>
    <w:rsid w:val="004C2481"/>
    <w:rsid w:val="004C7012"/>
    <w:rsid w:val="004C75D2"/>
    <w:rsid w:val="004D0797"/>
    <w:rsid w:val="004D1E5B"/>
    <w:rsid w:val="004D2E52"/>
    <w:rsid w:val="004D371F"/>
    <w:rsid w:val="004D4EBD"/>
    <w:rsid w:val="004D6D1E"/>
    <w:rsid w:val="004D6EB4"/>
    <w:rsid w:val="004E16C6"/>
    <w:rsid w:val="004E3974"/>
    <w:rsid w:val="004E3A64"/>
    <w:rsid w:val="004E5149"/>
    <w:rsid w:val="004E6C7F"/>
    <w:rsid w:val="004F0993"/>
    <w:rsid w:val="004F44AC"/>
    <w:rsid w:val="004F6610"/>
    <w:rsid w:val="004F6959"/>
    <w:rsid w:val="004F789E"/>
    <w:rsid w:val="004F7B66"/>
    <w:rsid w:val="005004BB"/>
    <w:rsid w:val="00500930"/>
    <w:rsid w:val="00505337"/>
    <w:rsid w:val="0050715F"/>
    <w:rsid w:val="005078C2"/>
    <w:rsid w:val="00510D89"/>
    <w:rsid w:val="00511818"/>
    <w:rsid w:val="00511B62"/>
    <w:rsid w:val="00513070"/>
    <w:rsid w:val="0051354F"/>
    <w:rsid w:val="005141C3"/>
    <w:rsid w:val="00514770"/>
    <w:rsid w:val="0051686C"/>
    <w:rsid w:val="005204E8"/>
    <w:rsid w:val="00520B34"/>
    <w:rsid w:val="0052148B"/>
    <w:rsid w:val="00523235"/>
    <w:rsid w:val="005254DB"/>
    <w:rsid w:val="00525ED8"/>
    <w:rsid w:val="005269B6"/>
    <w:rsid w:val="00526CC9"/>
    <w:rsid w:val="00527FF1"/>
    <w:rsid w:val="00534B48"/>
    <w:rsid w:val="005379D9"/>
    <w:rsid w:val="00540A22"/>
    <w:rsid w:val="00540DBB"/>
    <w:rsid w:val="005430F9"/>
    <w:rsid w:val="0054639F"/>
    <w:rsid w:val="00547008"/>
    <w:rsid w:val="00552B10"/>
    <w:rsid w:val="0055439A"/>
    <w:rsid w:val="00555331"/>
    <w:rsid w:val="00555665"/>
    <w:rsid w:val="00555AF9"/>
    <w:rsid w:val="00557C78"/>
    <w:rsid w:val="00560DB1"/>
    <w:rsid w:val="00561229"/>
    <w:rsid w:val="00562CC7"/>
    <w:rsid w:val="005660BC"/>
    <w:rsid w:val="00566CB1"/>
    <w:rsid w:val="005676FF"/>
    <w:rsid w:val="00570A7F"/>
    <w:rsid w:val="005729A1"/>
    <w:rsid w:val="00576F6E"/>
    <w:rsid w:val="0057740E"/>
    <w:rsid w:val="00581218"/>
    <w:rsid w:val="00584DCB"/>
    <w:rsid w:val="00585320"/>
    <w:rsid w:val="00587A92"/>
    <w:rsid w:val="00590E96"/>
    <w:rsid w:val="005913EB"/>
    <w:rsid w:val="0059268F"/>
    <w:rsid w:val="00595B29"/>
    <w:rsid w:val="00596BF2"/>
    <w:rsid w:val="005A0D9F"/>
    <w:rsid w:val="005A3C69"/>
    <w:rsid w:val="005B04DC"/>
    <w:rsid w:val="005B0878"/>
    <w:rsid w:val="005B0E41"/>
    <w:rsid w:val="005B150F"/>
    <w:rsid w:val="005B2F75"/>
    <w:rsid w:val="005B7C45"/>
    <w:rsid w:val="005B7E98"/>
    <w:rsid w:val="005C0422"/>
    <w:rsid w:val="005C1ED8"/>
    <w:rsid w:val="005C6A5F"/>
    <w:rsid w:val="005C6B7B"/>
    <w:rsid w:val="005C706E"/>
    <w:rsid w:val="005D0971"/>
    <w:rsid w:val="005D1067"/>
    <w:rsid w:val="005D1D58"/>
    <w:rsid w:val="005D2A71"/>
    <w:rsid w:val="005D2CB8"/>
    <w:rsid w:val="005D3F00"/>
    <w:rsid w:val="005D5548"/>
    <w:rsid w:val="005E18D9"/>
    <w:rsid w:val="005E1974"/>
    <w:rsid w:val="005E778F"/>
    <w:rsid w:val="005F067A"/>
    <w:rsid w:val="005F1B8A"/>
    <w:rsid w:val="005F21CC"/>
    <w:rsid w:val="005F2E8D"/>
    <w:rsid w:val="005F3315"/>
    <w:rsid w:val="005F383A"/>
    <w:rsid w:val="005F7594"/>
    <w:rsid w:val="00600BC4"/>
    <w:rsid w:val="00602501"/>
    <w:rsid w:val="00602DAE"/>
    <w:rsid w:val="00603039"/>
    <w:rsid w:val="00603367"/>
    <w:rsid w:val="006043AE"/>
    <w:rsid w:val="006046DA"/>
    <w:rsid w:val="00605726"/>
    <w:rsid w:val="00605773"/>
    <w:rsid w:val="00606D24"/>
    <w:rsid w:val="00611397"/>
    <w:rsid w:val="00611D9C"/>
    <w:rsid w:val="00613EB5"/>
    <w:rsid w:val="00615CC7"/>
    <w:rsid w:val="00616B73"/>
    <w:rsid w:val="00616E0A"/>
    <w:rsid w:val="00617EB9"/>
    <w:rsid w:val="006225F0"/>
    <w:rsid w:val="00622D37"/>
    <w:rsid w:val="00623288"/>
    <w:rsid w:val="00623507"/>
    <w:rsid w:val="00624316"/>
    <w:rsid w:val="006243AA"/>
    <w:rsid w:val="00625C18"/>
    <w:rsid w:val="0062680D"/>
    <w:rsid w:val="006278AF"/>
    <w:rsid w:val="006323F8"/>
    <w:rsid w:val="006325D2"/>
    <w:rsid w:val="00632D37"/>
    <w:rsid w:val="006339E6"/>
    <w:rsid w:val="00633B89"/>
    <w:rsid w:val="0063404F"/>
    <w:rsid w:val="0063643B"/>
    <w:rsid w:val="00640C3D"/>
    <w:rsid w:val="00640D6F"/>
    <w:rsid w:val="00641A18"/>
    <w:rsid w:val="006420CB"/>
    <w:rsid w:val="006426A1"/>
    <w:rsid w:val="00643199"/>
    <w:rsid w:val="0064341D"/>
    <w:rsid w:val="00644BE6"/>
    <w:rsid w:val="0064512C"/>
    <w:rsid w:val="00645240"/>
    <w:rsid w:val="00646782"/>
    <w:rsid w:val="006472C8"/>
    <w:rsid w:val="00647E8B"/>
    <w:rsid w:val="006510D3"/>
    <w:rsid w:val="006526F5"/>
    <w:rsid w:val="006531D6"/>
    <w:rsid w:val="00655DAB"/>
    <w:rsid w:val="006612F0"/>
    <w:rsid w:val="00661A56"/>
    <w:rsid w:val="00663715"/>
    <w:rsid w:val="006651B6"/>
    <w:rsid w:val="006673AB"/>
    <w:rsid w:val="006718E3"/>
    <w:rsid w:val="00671DF4"/>
    <w:rsid w:val="00671E19"/>
    <w:rsid w:val="00672C95"/>
    <w:rsid w:val="00677FBF"/>
    <w:rsid w:val="0068014A"/>
    <w:rsid w:val="006817CA"/>
    <w:rsid w:val="00681FAC"/>
    <w:rsid w:val="00683DED"/>
    <w:rsid w:val="00684448"/>
    <w:rsid w:val="00684467"/>
    <w:rsid w:val="00684F07"/>
    <w:rsid w:val="00685005"/>
    <w:rsid w:val="00686BE0"/>
    <w:rsid w:val="006917C0"/>
    <w:rsid w:val="00692013"/>
    <w:rsid w:val="0069272A"/>
    <w:rsid w:val="00692CCF"/>
    <w:rsid w:val="00694A4E"/>
    <w:rsid w:val="00694D93"/>
    <w:rsid w:val="006957A9"/>
    <w:rsid w:val="00696168"/>
    <w:rsid w:val="006963F3"/>
    <w:rsid w:val="00697622"/>
    <w:rsid w:val="00697D93"/>
    <w:rsid w:val="006A3885"/>
    <w:rsid w:val="006A48F8"/>
    <w:rsid w:val="006A532E"/>
    <w:rsid w:val="006A579C"/>
    <w:rsid w:val="006A718E"/>
    <w:rsid w:val="006A7A61"/>
    <w:rsid w:val="006A7E35"/>
    <w:rsid w:val="006B2132"/>
    <w:rsid w:val="006B2534"/>
    <w:rsid w:val="006B28A8"/>
    <w:rsid w:val="006B4599"/>
    <w:rsid w:val="006B48BE"/>
    <w:rsid w:val="006B5C30"/>
    <w:rsid w:val="006B6108"/>
    <w:rsid w:val="006C15B9"/>
    <w:rsid w:val="006C194B"/>
    <w:rsid w:val="006C1A70"/>
    <w:rsid w:val="006C1D02"/>
    <w:rsid w:val="006C2A82"/>
    <w:rsid w:val="006C63AE"/>
    <w:rsid w:val="006D0DBD"/>
    <w:rsid w:val="006D10C8"/>
    <w:rsid w:val="006D1243"/>
    <w:rsid w:val="006D15FB"/>
    <w:rsid w:val="006D227A"/>
    <w:rsid w:val="006D363A"/>
    <w:rsid w:val="006D7518"/>
    <w:rsid w:val="006D7D0B"/>
    <w:rsid w:val="006E0108"/>
    <w:rsid w:val="006E13DC"/>
    <w:rsid w:val="006E1B8A"/>
    <w:rsid w:val="006E1CF3"/>
    <w:rsid w:val="006E210E"/>
    <w:rsid w:val="006E4D9C"/>
    <w:rsid w:val="006E54B5"/>
    <w:rsid w:val="006E6789"/>
    <w:rsid w:val="006E7A95"/>
    <w:rsid w:val="006F04A2"/>
    <w:rsid w:val="006F061C"/>
    <w:rsid w:val="006F0773"/>
    <w:rsid w:val="006F0D2E"/>
    <w:rsid w:val="006F1212"/>
    <w:rsid w:val="006F1A93"/>
    <w:rsid w:val="006F3A94"/>
    <w:rsid w:val="006F5925"/>
    <w:rsid w:val="006F5FA3"/>
    <w:rsid w:val="006F678C"/>
    <w:rsid w:val="006F7562"/>
    <w:rsid w:val="00700A3A"/>
    <w:rsid w:val="00700E75"/>
    <w:rsid w:val="007014F7"/>
    <w:rsid w:val="00702212"/>
    <w:rsid w:val="00705857"/>
    <w:rsid w:val="00706E10"/>
    <w:rsid w:val="00706FF2"/>
    <w:rsid w:val="00707154"/>
    <w:rsid w:val="0071195D"/>
    <w:rsid w:val="00713B50"/>
    <w:rsid w:val="00714F6B"/>
    <w:rsid w:val="0071654A"/>
    <w:rsid w:val="00716DC9"/>
    <w:rsid w:val="00716E75"/>
    <w:rsid w:val="007203B5"/>
    <w:rsid w:val="007224B9"/>
    <w:rsid w:val="007246C5"/>
    <w:rsid w:val="00724E68"/>
    <w:rsid w:val="00724EC9"/>
    <w:rsid w:val="00727383"/>
    <w:rsid w:val="0072770D"/>
    <w:rsid w:val="0072783D"/>
    <w:rsid w:val="00727B8C"/>
    <w:rsid w:val="00730402"/>
    <w:rsid w:val="007311C8"/>
    <w:rsid w:val="00731CE4"/>
    <w:rsid w:val="00731EF9"/>
    <w:rsid w:val="0073294A"/>
    <w:rsid w:val="0073300E"/>
    <w:rsid w:val="00737F13"/>
    <w:rsid w:val="0074008F"/>
    <w:rsid w:val="0074096D"/>
    <w:rsid w:val="00742B15"/>
    <w:rsid w:val="007438C5"/>
    <w:rsid w:val="00744361"/>
    <w:rsid w:val="0074595F"/>
    <w:rsid w:val="007459A7"/>
    <w:rsid w:val="00746850"/>
    <w:rsid w:val="007469DE"/>
    <w:rsid w:val="00753C25"/>
    <w:rsid w:val="00753DDA"/>
    <w:rsid w:val="00754C91"/>
    <w:rsid w:val="00754DA5"/>
    <w:rsid w:val="00754F98"/>
    <w:rsid w:val="00757C24"/>
    <w:rsid w:val="007617C5"/>
    <w:rsid w:val="007634E9"/>
    <w:rsid w:val="00763671"/>
    <w:rsid w:val="00765059"/>
    <w:rsid w:val="00765756"/>
    <w:rsid w:val="007661BA"/>
    <w:rsid w:val="00770A26"/>
    <w:rsid w:val="00771607"/>
    <w:rsid w:val="007718F5"/>
    <w:rsid w:val="00777CC8"/>
    <w:rsid w:val="00780955"/>
    <w:rsid w:val="00780CBA"/>
    <w:rsid w:val="007810C9"/>
    <w:rsid w:val="0078151A"/>
    <w:rsid w:val="00781D9B"/>
    <w:rsid w:val="007825E1"/>
    <w:rsid w:val="00783B5C"/>
    <w:rsid w:val="00784319"/>
    <w:rsid w:val="0078567D"/>
    <w:rsid w:val="00786397"/>
    <w:rsid w:val="00786912"/>
    <w:rsid w:val="00791689"/>
    <w:rsid w:val="00791839"/>
    <w:rsid w:val="00791E32"/>
    <w:rsid w:val="00792238"/>
    <w:rsid w:val="00792CC2"/>
    <w:rsid w:val="00793041"/>
    <w:rsid w:val="007959F7"/>
    <w:rsid w:val="00795A34"/>
    <w:rsid w:val="00796204"/>
    <w:rsid w:val="00797128"/>
    <w:rsid w:val="007A00D9"/>
    <w:rsid w:val="007A1F2C"/>
    <w:rsid w:val="007A58DB"/>
    <w:rsid w:val="007A5F65"/>
    <w:rsid w:val="007A6874"/>
    <w:rsid w:val="007A6EB9"/>
    <w:rsid w:val="007A7A8B"/>
    <w:rsid w:val="007B0517"/>
    <w:rsid w:val="007B25CD"/>
    <w:rsid w:val="007B2EEF"/>
    <w:rsid w:val="007B3124"/>
    <w:rsid w:val="007B4BD7"/>
    <w:rsid w:val="007B60E0"/>
    <w:rsid w:val="007C040E"/>
    <w:rsid w:val="007C1747"/>
    <w:rsid w:val="007C1D03"/>
    <w:rsid w:val="007C3664"/>
    <w:rsid w:val="007C371D"/>
    <w:rsid w:val="007C3F24"/>
    <w:rsid w:val="007C54CE"/>
    <w:rsid w:val="007C622B"/>
    <w:rsid w:val="007D0758"/>
    <w:rsid w:val="007D0A3F"/>
    <w:rsid w:val="007D141A"/>
    <w:rsid w:val="007D29D1"/>
    <w:rsid w:val="007D429E"/>
    <w:rsid w:val="007D613E"/>
    <w:rsid w:val="007E2BE2"/>
    <w:rsid w:val="007E3130"/>
    <w:rsid w:val="007E58DE"/>
    <w:rsid w:val="007E62A9"/>
    <w:rsid w:val="007F0C11"/>
    <w:rsid w:val="007F2064"/>
    <w:rsid w:val="007F2A12"/>
    <w:rsid w:val="007F2EC2"/>
    <w:rsid w:val="007F48B6"/>
    <w:rsid w:val="007F4C62"/>
    <w:rsid w:val="007F52B4"/>
    <w:rsid w:val="007F763E"/>
    <w:rsid w:val="00804756"/>
    <w:rsid w:val="0080490A"/>
    <w:rsid w:val="00805618"/>
    <w:rsid w:val="00806548"/>
    <w:rsid w:val="008068F5"/>
    <w:rsid w:val="00807916"/>
    <w:rsid w:val="00807CB1"/>
    <w:rsid w:val="00812A50"/>
    <w:rsid w:val="00812C08"/>
    <w:rsid w:val="00815504"/>
    <w:rsid w:val="00815E21"/>
    <w:rsid w:val="00815E5A"/>
    <w:rsid w:val="008167FC"/>
    <w:rsid w:val="00816A02"/>
    <w:rsid w:val="00817793"/>
    <w:rsid w:val="00821ABD"/>
    <w:rsid w:val="00824ED1"/>
    <w:rsid w:val="008275FF"/>
    <w:rsid w:val="008300AF"/>
    <w:rsid w:val="008319F6"/>
    <w:rsid w:val="008359E2"/>
    <w:rsid w:val="008361AC"/>
    <w:rsid w:val="00836654"/>
    <w:rsid w:val="00836D94"/>
    <w:rsid w:val="00836FFE"/>
    <w:rsid w:val="008379EB"/>
    <w:rsid w:val="00840604"/>
    <w:rsid w:val="00840729"/>
    <w:rsid w:val="00840DF7"/>
    <w:rsid w:val="008468D6"/>
    <w:rsid w:val="00847624"/>
    <w:rsid w:val="0085326E"/>
    <w:rsid w:val="00853E99"/>
    <w:rsid w:val="00855871"/>
    <w:rsid w:val="00857307"/>
    <w:rsid w:val="008600DC"/>
    <w:rsid w:val="00863D34"/>
    <w:rsid w:val="00867574"/>
    <w:rsid w:val="00870D43"/>
    <w:rsid w:val="00872235"/>
    <w:rsid w:val="008730FA"/>
    <w:rsid w:val="00877A94"/>
    <w:rsid w:val="008808A7"/>
    <w:rsid w:val="00880E55"/>
    <w:rsid w:val="00881DF0"/>
    <w:rsid w:val="00881F0A"/>
    <w:rsid w:val="0088239E"/>
    <w:rsid w:val="008842EB"/>
    <w:rsid w:val="008866AB"/>
    <w:rsid w:val="00887CCB"/>
    <w:rsid w:val="008942F3"/>
    <w:rsid w:val="00894EFE"/>
    <w:rsid w:val="00895C59"/>
    <w:rsid w:val="00897B84"/>
    <w:rsid w:val="008A0201"/>
    <w:rsid w:val="008A1966"/>
    <w:rsid w:val="008A2824"/>
    <w:rsid w:val="008A2C56"/>
    <w:rsid w:val="008A2DE9"/>
    <w:rsid w:val="008A4BB8"/>
    <w:rsid w:val="008A4E88"/>
    <w:rsid w:val="008A4F44"/>
    <w:rsid w:val="008A5C65"/>
    <w:rsid w:val="008A6130"/>
    <w:rsid w:val="008A7402"/>
    <w:rsid w:val="008B0267"/>
    <w:rsid w:val="008B07D6"/>
    <w:rsid w:val="008B350E"/>
    <w:rsid w:val="008B3839"/>
    <w:rsid w:val="008B5A0B"/>
    <w:rsid w:val="008B6A2F"/>
    <w:rsid w:val="008C491C"/>
    <w:rsid w:val="008C646A"/>
    <w:rsid w:val="008C7C7C"/>
    <w:rsid w:val="008C7DDC"/>
    <w:rsid w:val="008C7E9A"/>
    <w:rsid w:val="008D0771"/>
    <w:rsid w:val="008D102D"/>
    <w:rsid w:val="008D2249"/>
    <w:rsid w:val="008D2A94"/>
    <w:rsid w:val="008D331F"/>
    <w:rsid w:val="008D63A1"/>
    <w:rsid w:val="008D72C9"/>
    <w:rsid w:val="008E03B1"/>
    <w:rsid w:val="008E24E1"/>
    <w:rsid w:val="008E3B22"/>
    <w:rsid w:val="008E42F4"/>
    <w:rsid w:val="008E4D91"/>
    <w:rsid w:val="008E5AFB"/>
    <w:rsid w:val="008E635C"/>
    <w:rsid w:val="008E750D"/>
    <w:rsid w:val="008F02FB"/>
    <w:rsid w:val="008F1676"/>
    <w:rsid w:val="008F269F"/>
    <w:rsid w:val="008F2EA9"/>
    <w:rsid w:val="008F3939"/>
    <w:rsid w:val="008F546F"/>
    <w:rsid w:val="00904B2C"/>
    <w:rsid w:val="009060CD"/>
    <w:rsid w:val="00906EE7"/>
    <w:rsid w:val="0091121F"/>
    <w:rsid w:val="00911F03"/>
    <w:rsid w:val="009141A8"/>
    <w:rsid w:val="009155A0"/>
    <w:rsid w:val="009156A6"/>
    <w:rsid w:val="0091634F"/>
    <w:rsid w:val="00917B49"/>
    <w:rsid w:val="00924726"/>
    <w:rsid w:val="009255DE"/>
    <w:rsid w:val="00925CD6"/>
    <w:rsid w:val="00925EE7"/>
    <w:rsid w:val="009265E1"/>
    <w:rsid w:val="009267E9"/>
    <w:rsid w:val="009275ED"/>
    <w:rsid w:val="009276CD"/>
    <w:rsid w:val="009276E2"/>
    <w:rsid w:val="0093250F"/>
    <w:rsid w:val="0093427A"/>
    <w:rsid w:val="00934359"/>
    <w:rsid w:val="0093530E"/>
    <w:rsid w:val="00936602"/>
    <w:rsid w:val="0094276C"/>
    <w:rsid w:val="00943409"/>
    <w:rsid w:val="00946033"/>
    <w:rsid w:val="009503FE"/>
    <w:rsid w:val="0095201C"/>
    <w:rsid w:val="00953672"/>
    <w:rsid w:val="0095480B"/>
    <w:rsid w:val="009552FD"/>
    <w:rsid w:val="0095540D"/>
    <w:rsid w:val="009613DB"/>
    <w:rsid w:val="009613F8"/>
    <w:rsid w:val="00962644"/>
    <w:rsid w:val="009653DC"/>
    <w:rsid w:val="00965E05"/>
    <w:rsid w:val="00966148"/>
    <w:rsid w:val="009661FD"/>
    <w:rsid w:val="00966BB8"/>
    <w:rsid w:val="0097061D"/>
    <w:rsid w:val="00970C24"/>
    <w:rsid w:val="009750B1"/>
    <w:rsid w:val="009765CA"/>
    <w:rsid w:val="00976637"/>
    <w:rsid w:val="009773FB"/>
    <w:rsid w:val="00980098"/>
    <w:rsid w:val="0098200A"/>
    <w:rsid w:val="0098373B"/>
    <w:rsid w:val="009847E4"/>
    <w:rsid w:val="00984AD0"/>
    <w:rsid w:val="00987601"/>
    <w:rsid w:val="00987D38"/>
    <w:rsid w:val="0099057C"/>
    <w:rsid w:val="0099088C"/>
    <w:rsid w:val="009950A0"/>
    <w:rsid w:val="009958FC"/>
    <w:rsid w:val="00995E50"/>
    <w:rsid w:val="00997957"/>
    <w:rsid w:val="009A0B11"/>
    <w:rsid w:val="009A15B5"/>
    <w:rsid w:val="009A267E"/>
    <w:rsid w:val="009A2D4F"/>
    <w:rsid w:val="009A2EDC"/>
    <w:rsid w:val="009A369B"/>
    <w:rsid w:val="009A7AD8"/>
    <w:rsid w:val="009B002F"/>
    <w:rsid w:val="009B3529"/>
    <w:rsid w:val="009B3D43"/>
    <w:rsid w:val="009B4EFF"/>
    <w:rsid w:val="009B5D22"/>
    <w:rsid w:val="009B774E"/>
    <w:rsid w:val="009C0564"/>
    <w:rsid w:val="009C1CB1"/>
    <w:rsid w:val="009C2830"/>
    <w:rsid w:val="009C5013"/>
    <w:rsid w:val="009C5275"/>
    <w:rsid w:val="009C54F5"/>
    <w:rsid w:val="009C6B01"/>
    <w:rsid w:val="009C7D41"/>
    <w:rsid w:val="009D04DC"/>
    <w:rsid w:val="009D0B74"/>
    <w:rsid w:val="009D108C"/>
    <w:rsid w:val="009D251E"/>
    <w:rsid w:val="009D331A"/>
    <w:rsid w:val="009D3320"/>
    <w:rsid w:val="009D4E7C"/>
    <w:rsid w:val="009D66BC"/>
    <w:rsid w:val="009D67E5"/>
    <w:rsid w:val="009D7033"/>
    <w:rsid w:val="009D77FC"/>
    <w:rsid w:val="009D7C3B"/>
    <w:rsid w:val="009E0486"/>
    <w:rsid w:val="009E049C"/>
    <w:rsid w:val="009E088A"/>
    <w:rsid w:val="009E08A7"/>
    <w:rsid w:val="009E19D2"/>
    <w:rsid w:val="009E2A99"/>
    <w:rsid w:val="009E4425"/>
    <w:rsid w:val="009E4DCF"/>
    <w:rsid w:val="009F1080"/>
    <w:rsid w:val="009F1A22"/>
    <w:rsid w:val="009F2823"/>
    <w:rsid w:val="009F2A1F"/>
    <w:rsid w:val="009F2A2D"/>
    <w:rsid w:val="009F2C86"/>
    <w:rsid w:val="009F3FB5"/>
    <w:rsid w:val="009F40CC"/>
    <w:rsid w:val="009F5A83"/>
    <w:rsid w:val="009F718E"/>
    <w:rsid w:val="009F7199"/>
    <w:rsid w:val="009F760C"/>
    <w:rsid w:val="009F7BFC"/>
    <w:rsid w:val="00A02B88"/>
    <w:rsid w:val="00A032E5"/>
    <w:rsid w:val="00A03EB4"/>
    <w:rsid w:val="00A06697"/>
    <w:rsid w:val="00A066A3"/>
    <w:rsid w:val="00A06920"/>
    <w:rsid w:val="00A070D4"/>
    <w:rsid w:val="00A07F73"/>
    <w:rsid w:val="00A10E2D"/>
    <w:rsid w:val="00A1103E"/>
    <w:rsid w:val="00A11162"/>
    <w:rsid w:val="00A11F05"/>
    <w:rsid w:val="00A120B4"/>
    <w:rsid w:val="00A12E3D"/>
    <w:rsid w:val="00A1382F"/>
    <w:rsid w:val="00A146A0"/>
    <w:rsid w:val="00A14B2F"/>
    <w:rsid w:val="00A158E0"/>
    <w:rsid w:val="00A1600A"/>
    <w:rsid w:val="00A165D6"/>
    <w:rsid w:val="00A1687B"/>
    <w:rsid w:val="00A16C6D"/>
    <w:rsid w:val="00A20A3B"/>
    <w:rsid w:val="00A22118"/>
    <w:rsid w:val="00A22811"/>
    <w:rsid w:val="00A22D91"/>
    <w:rsid w:val="00A23A3E"/>
    <w:rsid w:val="00A24AAE"/>
    <w:rsid w:val="00A24DA1"/>
    <w:rsid w:val="00A26828"/>
    <w:rsid w:val="00A301AA"/>
    <w:rsid w:val="00A32BB8"/>
    <w:rsid w:val="00A34C5B"/>
    <w:rsid w:val="00A350BB"/>
    <w:rsid w:val="00A40A69"/>
    <w:rsid w:val="00A41D49"/>
    <w:rsid w:val="00A427C4"/>
    <w:rsid w:val="00A4425A"/>
    <w:rsid w:val="00A44B38"/>
    <w:rsid w:val="00A47A78"/>
    <w:rsid w:val="00A50011"/>
    <w:rsid w:val="00A504EC"/>
    <w:rsid w:val="00A50E6B"/>
    <w:rsid w:val="00A51856"/>
    <w:rsid w:val="00A51DD4"/>
    <w:rsid w:val="00A53703"/>
    <w:rsid w:val="00A61515"/>
    <w:rsid w:val="00A620E2"/>
    <w:rsid w:val="00A622E6"/>
    <w:rsid w:val="00A6597B"/>
    <w:rsid w:val="00A67677"/>
    <w:rsid w:val="00A701B9"/>
    <w:rsid w:val="00A710EE"/>
    <w:rsid w:val="00A71946"/>
    <w:rsid w:val="00A71EFF"/>
    <w:rsid w:val="00A7323E"/>
    <w:rsid w:val="00A75411"/>
    <w:rsid w:val="00A77A71"/>
    <w:rsid w:val="00A803E5"/>
    <w:rsid w:val="00A804F9"/>
    <w:rsid w:val="00A80B6C"/>
    <w:rsid w:val="00A81B3C"/>
    <w:rsid w:val="00A83B31"/>
    <w:rsid w:val="00A845DA"/>
    <w:rsid w:val="00A850DA"/>
    <w:rsid w:val="00A8563A"/>
    <w:rsid w:val="00A903A4"/>
    <w:rsid w:val="00A90592"/>
    <w:rsid w:val="00A958C8"/>
    <w:rsid w:val="00A95A1E"/>
    <w:rsid w:val="00A95E65"/>
    <w:rsid w:val="00AA3491"/>
    <w:rsid w:val="00AA34C6"/>
    <w:rsid w:val="00AA6C17"/>
    <w:rsid w:val="00AA719E"/>
    <w:rsid w:val="00AB06DB"/>
    <w:rsid w:val="00AB3CFA"/>
    <w:rsid w:val="00AC3070"/>
    <w:rsid w:val="00AC34F4"/>
    <w:rsid w:val="00AC5875"/>
    <w:rsid w:val="00AC6D9D"/>
    <w:rsid w:val="00AC7253"/>
    <w:rsid w:val="00AD01D5"/>
    <w:rsid w:val="00AD125D"/>
    <w:rsid w:val="00AD218C"/>
    <w:rsid w:val="00AD25DE"/>
    <w:rsid w:val="00AD278F"/>
    <w:rsid w:val="00AD3CDA"/>
    <w:rsid w:val="00AD52DB"/>
    <w:rsid w:val="00AD5C05"/>
    <w:rsid w:val="00AE1896"/>
    <w:rsid w:val="00AE1E06"/>
    <w:rsid w:val="00AE6B19"/>
    <w:rsid w:val="00AE6E38"/>
    <w:rsid w:val="00AF0F99"/>
    <w:rsid w:val="00AF3CB4"/>
    <w:rsid w:val="00AF41D3"/>
    <w:rsid w:val="00AF7746"/>
    <w:rsid w:val="00B008FE"/>
    <w:rsid w:val="00B0149E"/>
    <w:rsid w:val="00B01774"/>
    <w:rsid w:val="00B02669"/>
    <w:rsid w:val="00B02BB7"/>
    <w:rsid w:val="00B0392E"/>
    <w:rsid w:val="00B053AB"/>
    <w:rsid w:val="00B05B71"/>
    <w:rsid w:val="00B0627D"/>
    <w:rsid w:val="00B070CD"/>
    <w:rsid w:val="00B0794E"/>
    <w:rsid w:val="00B07B85"/>
    <w:rsid w:val="00B07E5A"/>
    <w:rsid w:val="00B10274"/>
    <w:rsid w:val="00B10A8A"/>
    <w:rsid w:val="00B11C51"/>
    <w:rsid w:val="00B129AA"/>
    <w:rsid w:val="00B12D71"/>
    <w:rsid w:val="00B12EE6"/>
    <w:rsid w:val="00B13310"/>
    <w:rsid w:val="00B137FF"/>
    <w:rsid w:val="00B13C0F"/>
    <w:rsid w:val="00B15292"/>
    <w:rsid w:val="00B17FE0"/>
    <w:rsid w:val="00B2093C"/>
    <w:rsid w:val="00B2102C"/>
    <w:rsid w:val="00B21A37"/>
    <w:rsid w:val="00B2296D"/>
    <w:rsid w:val="00B244BA"/>
    <w:rsid w:val="00B26FC0"/>
    <w:rsid w:val="00B30CCF"/>
    <w:rsid w:val="00B3323C"/>
    <w:rsid w:val="00B35111"/>
    <w:rsid w:val="00B36C0F"/>
    <w:rsid w:val="00B37B7D"/>
    <w:rsid w:val="00B4025E"/>
    <w:rsid w:val="00B449C4"/>
    <w:rsid w:val="00B44FBB"/>
    <w:rsid w:val="00B451E8"/>
    <w:rsid w:val="00B46BE9"/>
    <w:rsid w:val="00B54AB2"/>
    <w:rsid w:val="00B54DC6"/>
    <w:rsid w:val="00B555E8"/>
    <w:rsid w:val="00B55B76"/>
    <w:rsid w:val="00B55D25"/>
    <w:rsid w:val="00B6016D"/>
    <w:rsid w:val="00B60EE2"/>
    <w:rsid w:val="00B6165C"/>
    <w:rsid w:val="00B616B5"/>
    <w:rsid w:val="00B61AE9"/>
    <w:rsid w:val="00B62005"/>
    <w:rsid w:val="00B63516"/>
    <w:rsid w:val="00B63B09"/>
    <w:rsid w:val="00B64D4D"/>
    <w:rsid w:val="00B679A7"/>
    <w:rsid w:val="00B70F50"/>
    <w:rsid w:val="00B736F7"/>
    <w:rsid w:val="00B73DA7"/>
    <w:rsid w:val="00B7515B"/>
    <w:rsid w:val="00B7541C"/>
    <w:rsid w:val="00B77CE4"/>
    <w:rsid w:val="00B806BF"/>
    <w:rsid w:val="00B826FD"/>
    <w:rsid w:val="00B83B66"/>
    <w:rsid w:val="00B84173"/>
    <w:rsid w:val="00B871DC"/>
    <w:rsid w:val="00B87FAC"/>
    <w:rsid w:val="00B91000"/>
    <w:rsid w:val="00B91ABE"/>
    <w:rsid w:val="00B949D1"/>
    <w:rsid w:val="00B94E90"/>
    <w:rsid w:val="00B97AC7"/>
    <w:rsid w:val="00B97C07"/>
    <w:rsid w:val="00BA082C"/>
    <w:rsid w:val="00BA149C"/>
    <w:rsid w:val="00BA14B1"/>
    <w:rsid w:val="00BA15C5"/>
    <w:rsid w:val="00BA2287"/>
    <w:rsid w:val="00BA25D5"/>
    <w:rsid w:val="00BA39BB"/>
    <w:rsid w:val="00BA5711"/>
    <w:rsid w:val="00BA622A"/>
    <w:rsid w:val="00BA74AA"/>
    <w:rsid w:val="00BB2892"/>
    <w:rsid w:val="00BB4E1E"/>
    <w:rsid w:val="00BB5F98"/>
    <w:rsid w:val="00BB61C8"/>
    <w:rsid w:val="00BB6D52"/>
    <w:rsid w:val="00BB70C3"/>
    <w:rsid w:val="00BC0651"/>
    <w:rsid w:val="00BC0F7F"/>
    <w:rsid w:val="00BC35B6"/>
    <w:rsid w:val="00BC3626"/>
    <w:rsid w:val="00BC382C"/>
    <w:rsid w:val="00BC5EBB"/>
    <w:rsid w:val="00BC7A7D"/>
    <w:rsid w:val="00BD071D"/>
    <w:rsid w:val="00BD5CBC"/>
    <w:rsid w:val="00BD6317"/>
    <w:rsid w:val="00BE0AB2"/>
    <w:rsid w:val="00BE1329"/>
    <w:rsid w:val="00BE43B4"/>
    <w:rsid w:val="00BE4C88"/>
    <w:rsid w:val="00BE5ABC"/>
    <w:rsid w:val="00BE5EF8"/>
    <w:rsid w:val="00BE6FE0"/>
    <w:rsid w:val="00BF0851"/>
    <w:rsid w:val="00BF2EB2"/>
    <w:rsid w:val="00BF3890"/>
    <w:rsid w:val="00BF5906"/>
    <w:rsid w:val="00BF72B9"/>
    <w:rsid w:val="00BF7864"/>
    <w:rsid w:val="00BF7A11"/>
    <w:rsid w:val="00C02124"/>
    <w:rsid w:val="00C02510"/>
    <w:rsid w:val="00C02C65"/>
    <w:rsid w:val="00C032BE"/>
    <w:rsid w:val="00C034BE"/>
    <w:rsid w:val="00C035F1"/>
    <w:rsid w:val="00C04008"/>
    <w:rsid w:val="00C1016B"/>
    <w:rsid w:val="00C10EFA"/>
    <w:rsid w:val="00C11939"/>
    <w:rsid w:val="00C11F21"/>
    <w:rsid w:val="00C12A4B"/>
    <w:rsid w:val="00C137F6"/>
    <w:rsid w:val="00C13BC4"/>
    <w:rsid w:val="00C148F6"/>
    <w:rsid w:val="00C16DCB"/>
    <w:rsid w:val="00C17BC9"/>
    <w:rsid w:val="00C20AFE"/>
    <w:rsid w:val="00C21E49"/>
    <w:rsid w:val="00C21FEE"/>
    <w:rsid w:val="00C24037"/>
    <w:rsid w:val="00C30954"/>
    <w:rsid w:val="00C30B02"/>
    <w:rsid w:val="00C30C5C"/>
    <w:rsid w:val="00C31994"/>
    <w:rsid w:val="00C31C58"/>
    <w:rsid w:val="00C32E57"/>
    <w:rsid w:val="00C33C28"/>
    <w:rsid w:val="00C3426A"/>
    <w:rsid w:val="00C36086"/>
    <w:rsid w:val="00C36B29"/>
    <w:rsid w:val="00C37FDB"/>
    <w:rsid w:val="00C421E4"/>
    <w:rsid w:val="00C42307"/>
    <w:rsid w:val="00C43E61"/>
    <w:rsid w:val="00C4415F"/>
    <w:rsid w:val="00C45724"/>
    <w:rsid w:val="00C46535"/>
    <w:rsid w:val="00C46E40"/>
    <w:rsid w:val="00C50315"/>
    <w:rsid w:val="00C50818"/>
    <w:rsid w:val="00C53CC1"/>
    <w:rsid w:val="00C53DB8"/>
    <w:rsid w:val="00C57B76"/>
    <w:rsid w:val="00C604FD"/>
    <w:rsid w:val="00C63113"/>
    <w:rsid w:val="00C64221"/>
    <w:rsid w:val="00C651A1"/>
    <w:rsid w:val="00C65340"/>
    <w:rsid w:val="00C6536F"/>
    <w:rsid w:val="00C657E6"/>
    <w:rsid w:val="00C667A0"/>
    <w:rsid w:val="00C703FB"/>
    <w:rsid w:val="00C71B10"/>
    <w:rsid w:val="00C75344"/>
    <w:rsid w:val="00C75735"/>
    <w:rsid w:val="00C77ACF"/>
    <w:rsid w:val="00C807E0"/>
    <w:rsid w:val="00C816E4"/>
    <w:rsid w:val="00C8358A"/>
    <w:rsid w:val="00C837A0"/>
    <w:rsid w:val="00C849F6"/>
    <w:rsid w:val="00C86703"/>
    <w:rsid w:val="00C86D50"/>
    <w:rsid w:val="00C86F02"/>
    <w:rsid w:val="00C92447"/>
    <w:rsid w:val="00C924CE"/>
    <w:rsid w:val="00C92DEC"/>
    <w:rsid w:val="00C945E1"/>
    <w:rsid w:val="00C957FB"/>
    <w:rsid w:val="00C967A5"/>
    <w:rsid w:val="00CA137F"/>
    <w:rsid w:val="00CA3CB7"/>
    <w:rsid w:val="00CA41EF"/>
    <w:rsid w:val="00CA6AA3"/>
    <w:rsid w:val="00CA6C45"/>
    <w:rsid w:val="00CA7F06"/>
    <w:rsid w:val="00CB3031"/>
    <w:rsid w:val="00CB3B63"/>
    <w:rsid w:val="00CB3C16"/>
    <w:rsid w:val="00CB4959"/>
    <w:rsid w:val="00CC4400"/>
    <w:rsid w:val="00CC463F"/>
    <w:rsid w:val="00CC4BE7"/>
    <w:rsid w:val="00CC5715"/>
    <w:rsid w:val="00CC7D3E"/>
    <w:rsid w:val="00CD4B43"/>
    <w:rsid w:val="00CD73BC"/>
    <w:rsid w:val="00CD7AFC"/>
    <w:rsid w:val="00CE02FD"/>
    <w:rsid w:val="00CE5924"/>
    <w:rsid w:val="00CE5D26"/>
    <w:rsid w:val="00CF1E39"/>
    <w:rsid w:val="00CF74F2"/>
    <w:rsid w:val="00CF75DF"/>
    <w:rsid w:val="00CF7D3C"/>
    <w:rsid w:val="00D02036"/>
    <w:rsid w:val="00D02644"/>
    <w:rsid w:val="00D036AD"/>
    <w:rsid w:val="00D039DD"/>
    <w:rsid w:val="00D0627D"/>
    <w:rsid w:val="00D065AA"/>
    <w:rsid w:val="00D11181"/>
    <w:rsid w:val="00D1197C"/>
    <w:rsid w:val="00D12D1A"/>
    <w:rsid w:val="00D1572E"/>
    <w:rsid w:val="00D207EE"/>
    <w:rsid w:val="00D20E75"/>
    <w:rsid w:val="00D2359D"/>
    <w:rsid w:val="00D23E3A"/>
    <w:rsid w:val="00D242DB"/>
    <w:rsid w:val="00D279F3"/>
    <w:rsid w:val="00D31456"/>
    <w:rsid w:val="00D35642"/>
    <w:rsid w:val="00D376C4"/>
    <w:rsid w:val="00D404C3"/>
    <w:rsid w:val="00D41C2C"/>
    <w:rsid w:val="00D458AF"/>
    <w:rsid w:val="00D46650"/>
    <w:rsid w:val="00D46D30"/>
    <w:rsid w:val="00D47A07"/>
    <w:rsid w:val="00D51464"/>
    <w:rsid w:val="00D51A39"/>
    <w:rsid w:val="00D5228B"/>
    <w:rsid w:val="00D556BF"/>
    <w:rsid w:val="00D63A90"/>
    <w:rsid w:val="00D63CE2"/>
    <w:rsid w:val="00D65CED"/>
    <w:rsid w:val="00D66C2E"/>
    <w:rsid w:val="00D66DD2"/>
    <w:rsid w:val="00D7092E"/>
    <w:rsid w:val="00D7159D"/>
    <w:rsid w:val="00D729CE"/>
    <w:rsid w:val="00D73665"/>
    <w:rsid w:val="00D745D7"/>
    <w:rsid w:val="00D74687"/>
    <w:rsid w:val="00D7491C"/>
    <w:rsid w:val="00D76D4D"/>
    <w:rsid w:val="00D776BD"/>
    <w:rsid w:val="00D8444D"/>
    <w:rsid w:val="00D8583D"/>
    <w:rsid w:val="00D86353"/>
    <w:rsid w:val="00D86F7E"/>
    <w:rsid w:val="00D90770"/>
    <w:rsid w:val="00D90E56"/>
    <w:rsid w:val="00D92A2C"/>
    <w:rsid w:val="00D93F6E"/>
    <w:rsid w:val="00D9519E"/>
    <w:rsid w:val="00D95F16"/>
    <w:rsid w:val="00D96EC6"/>
    <w:rsid w:val="00D97152"/>
    <w:rsid w:val="00DA023E"/>
    <w:rsid w:val="00DA0EEC"/>
    <w:rsid w:val="00DA1170"/>
    <w:rsid w:val="00DA138A"/>
    <w:rsid w:val="00DA45F6"/>
    <w:rsid w:val="00DA4C95"/>
    <w:rsid w:val="00DA55ED"/>
    <w:rsid w:val="00DA7289"/>
    <w:rsid w:val="00DB0F91"/>
    <w:rsid w:val="00DB2C95"/>
    <w:rsid w:val="00DB4DAE"/>
    <w:rsid w:val="00DB6B84"/>
    <w:rsid w:val="00DC3D7F"/>
    <w:rsid w:val="00DC7216"/>
    <w:rsid w:val="00DD0188"/>
    <w:rsid w:val="00DD1B5F"/>
    <w:rsid w:val="00DD2555"/>
    <w:rsid w:val="00DD4221"/>
    <w:rsid w:val="00DD49A9"/>
    <w:rsid w:val="00DD6028"/>
    <w:rsid w:val="00DD6F10"/>
    <w:rsid w:val="00DE0647"/>
    <w:rsid w:val="00DE0BE2"/>
    <w:rsid w:val="00DE211D"/>
    <w:rsid w:val="00DE2430"/>
    <w:rsid w:val="00DE441E"/>
    <w:rsid w:val="00DE56A4"/>
    <w:rsid w:val="00DE5B0A"/>
    <w:rsid w:val="00DE714C"/>
    <w:rsid w:val="00DF041E"/>
    <w:rsid w:val="00DF5370"/>
    <w:rsid w:val="00DF6D07"/>
    <w:rsid w:val="00E0054C"/>
    <w:rsid w:val="00E01458"/>
    <w:rsid w:val="00E01C44"/>
    <w:rsid w:val="00E023B4"/>
    <w:rsid w:val="00E025D3"/>
    <w:rsid w:val="00E06E58"/>
    <w:rsid w:val="00E12092"/>
    <w:rsid w:val="00E120D4"/>
    <w:rsid w:val="00E126A4"/>
    <w:rsid w:val="00E12E39"/>
    <w:rsid w:val="00E1597B"/>
    <w:rsid w:val="00E17645"/>
    <w:rsid w:val="00E20929"/>
    <w:rsid w:val="00E2109B"/>
    <w:rsid w:val="00E221A7"/>
    <w:rsid w:val="00E22398"/>
    <w:rsid w:val="00E232A1"/>
    <w:rsid w:val="00E23340"/>
    <w:rsid w:val="00E24228"/>
    <w:rsid w:val="00E26635"/>
    <w:rsid w:val="00E27B6D"/>
    <w:rsid w:val="00E30B82"/>
    <w:rsid w:val="00E31783"/>
    <w:rsid w:val="00E32F27"/>
    <w:rsid w:val="00E34587"/>
    <w:rsid w:val="00E34A48"/>
    <w:rsid w:val="00E36BD9"/>
    <w:rsid w:val="00E42E8B"/>
    <w:rsid w:val="00E463C3"/>
    <w:rsid w:val="00E4679F"/>
    <w:rsid w:val="00E479EA"/>
    <w:rsid w:val="00E50BFE"/>
    <w:rsid w:val="00E510A9"/>
    <w:rsid w:val="00E53E0B"/>
    <w:rsid w:val="00E53E60"/>
    <w:rsid w:val="00E553F8"/>
    <w:rsid w:val="00E56AC8"/>
    <w:rsid w:val="00E57069"/>
    <w:rsid w:val="00E61533"/>
    <w:rsid w:val="00E6168D"/>
    <w:rsid w:val="00E61F5C"/>
    <w:rsid w:val="00E63BE5"/>
    <w:rsid w:val="00E64B9D"/>
    <w:rsid w:val="00E64FB5"/>
    <w:rsid w:val="00E656B4"/>
    <w:rsid w:val="00E6761A"/>
    <w:rsid w:val="00E67B81"/>
    <w:rsid w:val="00E706F0"/>
    <w:rsid w:val="00E708EE"/>
    <w:rsid w:val="00E71138"/>
    <w:rsid w:val="00E724C8"/>
    <w:rsid w:val="00E73A48"/>
    <w:rsid w:val="00E73F66"/>
    <w:rsid w:val="00E76247"/>
    <w:rsid w:val="00E77259"/>
    <w:rsid w:val="00E77895"/>
    <w:rsid w:val="00E84638"/>
    <w:rsid w:val="00E8595B"/>
    <w:rsid w:val="00E86598"/>
    <w:rsid w:val="00E879B9"/>
    <w:rsid w:val="00E917D2"/>
    <w:rsid w:val="00E93618"/>
    <w:rsid w:val="00E94962"/>
    <w:rsid w:val="00E97482"/>
    <w:rsid w:val="00E978C1"/>
    <w:rsid w:val="00EA46BE"/>
    <w:rsid w:val="00EA7E5E"/>
    <w:rsid w:val="00EB00DE"/>
    <w:rsid w:val="00EB0922"/>
    <w:rsid w:val="00EB0B93"/>
    <w:rsid w:val="00EB179D"/>
    <w:rsid w:val="00EB1F6E"/>
    <w:rsid w:val="00EB223E"/>
    <w:rsid w:val="00EB2E14"/>
    <w:rsid w:val="00EB3179"/>
    <w:rsid w:val="00EB41B3"/>
    <w:rsid w:val="00EB4366"/>
    <w:rsid w:val="00EB7140"/>
    <w:rsid w:val="00EC1F20"/>
    <w:rsid w:val="00EC3429"/>
    <w:rsid w:val="00EC5581"/>
    <w:rsid w:val="00EC698A"/>
    <w:rsid w:val="00EC7AD3"/>
    <w:rsid w:val="00ED1750"/>
    <w:rsid w:val="00ED2558"/>
    <w:rsid w:val="00ED2984"/>
    <w:rsid w:val="00ED3906"/>
    <w:rsid w:val="00ED62E0"/>
    <w:rsid w:val="00ED77BC"/>
    <w:rsid w:val="00EE261C"/>
    <w:rsid w:val="00EE2DD3"/>
    <w:rsid w:val="00EE4967"/>
    <w:rsid w:val="00EE51E1"/>
    <w:rsid w:val="00EE5867"/>
    <w:rsid w:val="00EE5AEE"/>
    <w:rsid w:val="00EE5B62"/>
    <w:rsid w:val="00EE6EBC"/>
    <w:rsid w:val="00EF0E8D"/>
    <w:rsid w:val="00EF13C6"/>
    <w:rsid w:val="00EF4BD8"/>
    <w:rsid w:val="00EF567E"/>
    <w:rsid w:val="00EF64D1"/>
    <w:rsid w:val="00EF663E"/>
    <w:rsid w:val="00EF7C6C"/>
    <w:rsid w:val="00F01DE8"/>
    <w:rsid w:val="00F01E2E"/>
    <w:rsid w:val="00F0227A"/>
    <w:rsid w:val="00F04E03"/>
    <w:rsid w:val="00F0616E"/>
    <w:rsid w:val="00F06436"/>
    <w:rsid w:val="00F101AB"/>
    <w:rsid w:val="00F11957"/>
    <w:rsid w:val="00F13E73"/>
    <w:rsid w:val="00F14373"/>
    <w:rsid w:val="00F1584D"/>
    <w:rsid w:val="00F1796D"/>
    <w:rsid w:val="00F17BEF"/>
    <w:rsid w:val="00F20C1B"/>
    <w:rsid w:val="00F30B83"/>
    <w:rsid w:val="00F32AC7"/>
    <w:rsid w:val="00F333AC"/>
    <w:rsid w:val="00F335D1"/>
    <w:rsid w:val="00F335D3"/>
    <w:rsid w:val="00F3495E"/>
    <w:rsid w:val="00F3648F"/>
    <w:rsid w:val="00F36B8A"/>
    <w:rsid w:val="00F4029A"/>
    <w:rsid w:val="00F4296C"/>
    <w:rsid w:val="00F4391C"/>
    <w:rsid w:val="00F44123"/>
    <w:rsid w:val="00F4432A"/>
    <w:rsid w:val="00F45C2C"/>
    <w:rsid w:val="00F45D02"/>
    <w:rsid w:val="00F4685A"/>
    <w:rsid w:val="00F46A7D"/>
    <w:rsid w:val="00F504BD"/>
    <w:rsid w:val="00F5059E"/>
    <w:rsid w:val="00F519B8"/>
    <w:rsid w:val="00F53F47"/>
    <w:rsid w:val="00F5433C"/>
    <w:rsid w:val="00F551A8"/>
    <w:rsid w:val="00F557CD"/>
    <w:rsid w:val="00F55EC1"/>
    <w:rsid w:val="00F56340"/>
    <w:rsid w:val="00F60230"/>
    <w:rsid w:val="00F64542"/>
    <w:rsid w:val="00F7050A"/>
    <w:rsid w:val="00F7135D"/>
    <w:rsid w:val="00F72C8D"/>
    <w:rsid w:val="00F746ED"/>
    <w:rsid w:val="00F74F6B"/>
    <w:rsid w:val="00F75397"/>
    <w:rsid w:val="00F75955"/>
    <w:rsid w:val="00F7656C"/>
    <w:rsid w:val="00F76793"/>
    <w:rsid w:val="00F76D80"/>
    <w:rsid w:val="00F80DDD"/>
    <w:rsid w:val="00F82F18"/>
    <w:rsid w:val="00F84562"/>
    <w:rsid w:val="00F848C3"/>
    <w:rsid w:val="00F84B78"/>
    <w:rsid w:val="00F84DF3"/>
    <w:rsid w:val="00F873F4"/>
    <w:rsid w:val="00F91A78"/>
    <w:rsid w:val="00F9280D"/>
    <w:rsid w:val="00F93EE4"/>
    <w:rsid w:val="00F9748C"/>
    <w:rsid w:val="00FA0299"/>
    <w:rsid w:val="00FA443F"/>
    <w:rsid w:val="00FA4FE6"/>
    <w:rsid w:val="00FA76F2"/>
    <w:rsid w:val="00FA78F1"/>
    <w:rsid w:val="00FB0E98"/>
    <w:rsid w:val="00FB10B0"/>
    <w:rsid w:val="00FB3F4C"/>
    <w:rsid w:val="00FB72F9"/>
    <w:rsid w:val="00FB732D"/>
    <w:rsid w:val="00FB7FB7"/>
    <w:rsid w:val="00FC2277"/>
    <w:rsid w:val="00FC2ECC"/>
    <w:rsid w:val="00FC307C"/>
    <w:rsid w:val="00FC5E9E"/>
    <w:rsid w:val="00FC7098"/>
    <w:rsid w:val="00FD081E"/>
    <w:rsid w:val="00FD3648"/>
    <w:rsid w:val="00FD5031"/>
    <w:rsid w:val="00FD6464"/>
    <w:rsid w:val="00FE0009"/>
    <w:rsid w:val="00FE1806"/>
    <w:rsid w:val="00FE3043"/>
    <w:rsid w:val="00FE3A8A"/>
    <w:rsid w:val="00FE3FA6"/>
    <w:rsid w:val="00FE4158"/>
    <w:rsid w:val="00FE46F2"/>
    <w:rsid w:val="00FF1465"/>
    <w:rsid w:val="00FF173A"/>
    <w:rsid w:val="00FF1AE3"/>
    <w:rsid w:val="00FF1DD7"/>
    <w:rsid w:val="00FF2043"/>
    <w:rsid w:val="00FF3387"/>
    <w:rsid w:val="00FF4217"/>
    <w:rsid w:val="00FF51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0">
    <w:name w:val="Normal"/>
    <w:qFormat/>
    <w:rsid w:val="008A2DE9"/>
    <w:pPr>
      <w:spacing w:line="283" w:lineRule="auto"/>
    </w:pPr>
  </w:style>
  <w:style w:type="paragraph" w:styleId="Heading1">
    <w:name w:val="heading 1"/>
    <w:next w:val="ListNumber2"/>
    <w:link w:val="Heading1Char"/>
    <w:uiPriority w:val="9"/>
    <w:qFormat/>
    <w:rsid w:val="009F5A83"/>
    <w:pPr>
      <w:keepNext/>
      <w:keepLines/>
      <w:spacing w:before="240" w:after="240"/>
      <w:outlineLvl w:val="0"/>
    </w:pPr>
    <w:rPr>
      <w:rFonts w:ascii="Montserrat" w:eastAsiaTheme="majorEastAsia" w:hAnsi="Montserrat" w:cstheme="majorBidi"/>
      <w:b/>
      <w:color w:val="1A234C"/>
      <w:w w:val="90"/>
      <w:kern w:val="2"/>
      <w:sz w:val="36"/>
      <w:szCs w:val="32"/>
    </w:rPr>
  </w:style>
  <w:style w:type="paragraph" w:styleId="Heading20">
    <w:name w:val="heading 2"/>
    <w:basedOn w:val="Heading1"/>
    <w:next w:val="ListNumber2"/>
    <w:link w:val="Heading2Char"/>
    <w:autoRedefine/>
    <w:uiPriority w:val="9"/>
    <w:unhideWhenUsed/>
    <w:qFormat/>
    <w:rsid w:val="00514770"/>
    <w:pPr>
      <w:spacing w:before="160" w:after="120"/>
      <w:outlineLvl w:val="1"/>
    </w:pPr>
    <w:rPr>
      <w:color w:val="2F5496"/>
      <w:sz w:val="32"/>
      <w:szCs w:val="26"/>
    </w:rPr>
  </w:style>
  <w:style w:type="paragraph" w:styleId="Heading3">
    <w:name w:val="heading 3"/>
    <w:basedOn w:val="Heading20"/>
    <w:next w:val="ListNumber2"/>
    <w:link w:val="Heading3Char"/>
    <w:uiPriority w:val="9"/>
    <w:unhideWhenUsed/>
    <w:qFormat/>
    <w:rsid w:val="00A23A3E"/>
    <w:pPr>
      <w:outlineLvl w:val="2"/>
    </w:pPr>
    <w:rPr>
      <w:color w:val="7492CD"/>
      <w:sz w:val="28"/>
      <w:szCs w:val="24"/>
    </w:rPr>
  </w:style>
  <w:style w:type="paragraph" w:styleId="Heading4">
    <w:name w:val="heading 4"/>
    <w:basedOn w:val="Heading3"/>
    <w:next w:val="Normal0"/>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0"/>
    <w:next w:val="Normal0"/>
    <w:link w:val="Heading6Char"/>
    <w:uiPriority w:val="9"/>
    <w:semiHidden/>
    <w:unhideWhenUsed/>
    <w:rsid w:val="0050715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0"/>
    <w:next w:val="Normal0"/>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0"/>
    <w:next w:val="Normal0"/>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0"/>
    <w:uiPriority w:val="39"/>
    <w:unhideWhenUsed/>
    <w:qFormat/>
    <w:rsid w:val="009F5A83"/>
    <w:p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0"/>
    <w:uiPriority w:val="9"/>
    <w:rsid w:val="00514770"/>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0"/>
    <w:next w:val="Normal0"/>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0"/>
    <w:next w:val="Normal0"/>
    <w:autoRedefine/>
    <w:uiPriority w:val="39"/>
    <w:unhideWhenUsed/>
    <w:rsid w:val="00605773"/>
    <w:pPr>
      <w:tabs>
        <w:tab w:val="right" w:pos="9016"/>
      </w:tabs>
      <w:spacing w:before="60" w:after="60"/>
      <w:ind w:left="425"/>
    </w:pPr>
    <w:rPr>
      <w:rFonts w:eastAsiaTheme="majorEastAsia" w:cstheme="minorHAnsi"/>
      <w:noProof/>
    </w:rPr>
  </w:style>
  <w:style w:type="paragraph" w:styleId="TOC3">
    <w:name w:val="toc 3"/>
    <w:basedOn w:val="Normal0"/>
    <w:next w:val="Normal0"/>
    <w:autoRedefine/>
    <w:uiPriority w:val="39"/>
    <w:unhideWhenUsed/>
    <w:rsid w:val="00414737"/>
    <w:pPr>
      <w:tabs>
        <w:tab w:val="right" w:pos="9016"/>
      </w:tabs>
      <w:spacing w:before="60" w:after="60"/>
      <w:ind w:left="709"/>
    </w:pPr>
    <w:rPr>
      <w:rFonts w:eastAsia="Aptos"/>
      <w:noProof/>
      <w:lang w:val="en-US"/>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0"/>
    <w:uiPriority w:val="99"/>
    <w:unhideWhenUsed/>
    <w:qFormat/>
    <w:rsid w:val="00A23A3E"/>
    <w:pPr>
      <w:spacing w:after="40"/>
    </w:pPr>
  </w:style>
  <w:style w:type="paragraph" w:styleId="Header">
    <w:name w:val="header"/>
    <w:basedOn w:val="Normal0"/>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0"/>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uiPriority w:val="99"/>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0"/>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5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0"/>
    <w:uiPriority w:val="99"/>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0"/>
    <w:link w:val="Heading1nonumberChar"/>
    <w:autoRedefine/>
    <w:qFormat/>
    <w:rsid w:val="009F5A83"/>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numbere"/>
    <w:basedOn w:val="Normal0"/>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uiPriority w:val="99"/>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qFormat/>
    <w:rsid w:val="00F873F4"/>
    <w:pPr>
      <w:spacing w:after="0" w:line="240" w:lineRule="auto"/>
    </w:pPr>
  </w:style>
  <w:style w:type="paragraph" w:styleId="ListNumber2">
    <w:name w:val="List Number 2"/>
    <w:basedOn w:val="Normal0"/>
    <w:uiPriority w:val="99"/>
    <w:unhideWhenUsed/>
    <w:qFormat/>
    <w:rsid w:val="00DE56A4"/>
    <w:p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0"/>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uiPriority w:val="99"/>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uiPriority w:val="99"/>
    <w:qFormat/>
    <w:rsid w:val="001C7708"/>
    <w:pPr>
      <w:adjustRightInd w:val="0"/>
      <w:spacing w:after="80" w:line="240" w:lineRule="auto"/>
    </w:pPr>
    <w:rPr>
      <w:sz w:val="20"/>
    </w:rPr>
  </w:style>
  <w:style w:type="paragraph" w:styleId="Caption">
    <w:name w:val="caption"/>
    <w:basedOn w:val="Normal0"/>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0"/>
    <w:uiPriority w:val="99"/>
    <w:rsid w:val="00B7541C"/>
  </w:style>
  <w:style w:type="paragraph" w:customStyle="1" w:styleId="FrontmatterRecommendationlistbody">
    <w:name w:val="Front matter (Recommendation list body)"/>
    <w:basedOn w:val="Normal0"/>
    <w:uiPriority w:val="99"/>
    <w:rsid w:val="00976637"/>
    <w:pPr>
      <w:spacing w:before="120" w:after="120" w:line="252" w:lineRule="auto"/>
    </w:pPr>
    <w:rPr>
      <w:color w:val="000000" w:themeColor="text1"/>
    </w:rPr>
  </w:style>
  <w:style w:type="paragraph" w:customStyle="1" w:styleId="Recommendationbody">
    <w:name w:val="Recommendation body"/>
    <w:basedOn w:val="Normal0"/>
    <w:next w:val="ListNumber2"/>
    <w:uiPriority w:val="99"/>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0"/>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0"/>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character" w:customStyle="1" w:styleId="Heading6Char">
    <w:name w:val="Heading 6 Char"/>
    <w:basedOn w:val="DefaultParagraphFont"/>
    <w:link w:val="Heading6"/>
    <w:uiPriority w:val="9"/>
    <w:semiHidden/>
    <w:rsid w:val="0050715F"/>
    <w:rPr>
      <w:rFonts w:asciiTheme="majorHAnsi" w:eastAsiaTheme="majorEastAsia" w:hAnsiTheme="majorHAnsi" w:cstheme="majorBidi"/>
      <w:color w:val="1F3763" w:themeColor="accent1" w:themeShade="7F"/>
    </w:rPr>
  </w:style>
  <w:style w:type="paragraph" w:customStyle="1" w:styleId="Bodycopy">
    <w:name w:val="Body copy"/>
    <w:qFormat/>
    <w:rsid w:val="0050715F"/>
    <w:pPr>
      <w:widowControl w:val="0"/>
      <w:tabs>
        <w:tab w:val="left" w:pos="1276"/>
      </w:tabs>
      <w:spacing w:before="240" w:after="240" w:line="300" w:lineRule="exact"/>
    </w:pPr>
    <w:rPr>
      <w:rFonts w:ascii="Calibri" w:eastAsia="Calibri" w:hAnsi="Calibri" w:cs="Calibri"/>
      <w:color w:val="000000"/>
      <w:szCs w:val="20"/>
      <w:lang w:eastAsia="en-AU"/>
    </w:rPr>
  </w:style>
  <w:style w:type="paragraph" w:customStyle="1" w:styleId="Paper">
    <w:name w:val="Paper"/>
    <w:uiPriority w:val="99"/>
    <w:rsid w:val="00716E75"/>
    <w:pPr>
      <w:spacing w:after="120" w:line="240" w:lineRule="auto"/>
    </w:pPr>
    <w:rPr>
      <w:rFonts w:ascii="Times New Roman" w:eastAsia="Times New Roman" w:hAnsi="Times New Roman" w:cs="Times New Roman"/>
      <w:sz w:val="24"/>
      <w:szCs w:val="20"/>
    </w:rPr>
  </w:style>
  <w:style w:type="paragraph" w:styleId="EndnoteText">
    <w:name w:val="endnote text"/>
    <w:basedOn w:val="Normal0"/>
    <w:link w:val="EndnoteTextChar"/>
    <w:uiPriority w:val="99"/>
    <w:semiHidden/>
    <w:unhideWhenUsed/>
    <w:rsid w:val="00E479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79EA"/>
    <w:rPr>
      <w:sz w:val="20"/>
      <w:szCs w:val="20"/>
    </w:rPr>
  </w:style>
  <w:style w:type="character" w:styleId="EndnoteReference">
    <w:name w:val="endnote reference"/>
    <w:basedOn w:val="DefaultParagraphFont"/>
    <w:uiPriority w:val="99"/>
    <w:semiHidden/>
    <w:unhideWhenUsed/>
    <w:rsid w:val="00E479EA"/>
    <w:rPr>
      <w:vertAlign w:val="superscript"/>
    </w:rPr>
  </w:style>
  <w:style w:type="paragraph" w:styleId="PlainText">
    <w:name w:val="Plain Text"/>
    <w:basedOn w:val="Normal0"/>
    <w:link w:val="PlainTextChar"/>
    <w:uiPriority w:val="99"/>
    <w:unhideWhenUsed/>
    <w:rsid w:val="00552B10"/>
    <w:pPr>
      <w:spacing w:before="22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552B10"/>
    <w:rPr>
      <w:rFonts w:ascii="Consolas" w:hAnsi="Consolas" w:cs="Consolas"/>
      <w:sz w:val="21"/>
      <w:szCs w:val="21"/>
    </w:rPr>
  </w:style>
  <w:style w:type="paragraph" w:customStyle="1" w:styleId="LongTitle">
    <w:name w:val="LongTitle"/>
    <w:basedOn w:val="Normal0"/>
    <w:uiPriority w:val="99"/>
    <w:rsid w:val="00552B10"/>
    <w:pPr>
      <w:spacing w:before="240" w:after="60" w:line="240" w:lineRule="auto"/>
      <w:jc w:val="both"/>
    </w:pPr>
    <w:rPr>
      <w:rFonts w:ascii="Times New Roman" w:eastAsia="Times New Roman" w:hAnsi="Times New Roman" w:cs="Times New Roman"/>
      <w:sz w:val="24"/>
      <w:szCs w:val="24"/>
    </w:rPr>
  </w:style>
  <w:style w:type="paragraph" w:styleId="NormalWeb">
    <w:name w:val="Normal (Web)"/>
    <w:basedOn w:val="Normal0"/>
    <w:uiPriority w:val="99"/>
    <w:unhideWhenUsed/>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Header1">
    <w:name w:val="Header1"/>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MSCBodyChar">
    <w:name w:val="MSC Body Char"/>
    <w:basedOn w:val="DefaultParagraphFont"/>
    <w:link w:val="MSCBody"/>
    <w:locked/>
    <w:rsid w:val="00552B10"/>
    <w:rPr>
      <w:rFonts w:ascii="Calibri Light" w:eastAsiaTheme="majorEastAsia" w:hAnsi="Calibri Light" w:cs="Calibri Light"/>
      <w:szCs w:val="24"/>
    </w:rPr>
  </w:style>
  <w:style w:type="paragraph" w:customStyle="1" w:styleId="MSCBody">
    <w:name w:val="MSC Body"/>
    <w:link w:val="MSCBodyChar"/>
    <w:qFormat/>
    <w:rsid w:val="00552B10"/>
    <w:pPr>
      <w:spacing w:before="120" w:after="120" w:line="276" w:lineRule="auto"/>
    </w:pPr>
    <w:rPr>
      <w:rFonts w:ascii="Calibri Light" w:eastAsiaTheme="majorEastAsia" w:hAnsi="Calibri Light" w:cs="Calibri Light"/>
      <w:szCs w:val="24"/>
    </w:rPr>
  </w:style>
  <w:style w:type="paragraph" w:customStyle="1" w:styleId="CS-Paragraphnumbering">
    <w:name w:val="CS - Paragraph numbering"/>
    <w:basedOn w:val="Normal0"/>
    <w:uiPriority w:val="99"/>
    <w:rsid w:val="00552B10"/>
    <w:pPr>
      <w:numPr>
        <w:numId w:val="1"/>
      </w:numPr>
      <w:spacing w:after="120" w:line="276" w:lineRule="auto"/>
      <w:ind w:right="-45"/>
    </w:pPr>
    <w:rPr>
      <w:sz w:val="24"/>
      <w:szCs w:val="24"/>
    </w:rPr>
  </w:style>
  <w:style w:type="paragraph" w:customStyle="1" w:styleId="Asubpara">
    <w:name w:val="A subpara"/>
    <w:basedOn w:val="Normal0"/>
    <w:uiPriority w:val="99"/>
    <w:rsid w:val="00552B10"/>
    <w:pPr>
      <w:tabs>
        <w:tab w:val="num" w:pos="2140"/>
      </w:tabs>
      <w:spacing w:before="140" w:after="0" w:line="240" w:lineRule="auto"/>
      <w:ind w:left="2140" w:hanging="200"/>
      <w:jc w:val="both"/>
      <w:outlineLvl w:val="7"/>
    </w:pPr>
    <w:rPr>
      <w:rFonts w:ascii="Times New Roman" w:eastAsia="Times New Roman" w:hAnsi="Times New Roman" w:cs="Times New Roman"/>
      <w:sz w:val="24"/>
      <w:szCs w:val="20"/>
    </w:rPr>
  </w:style>
  <w:style w:type="paragraph" w:customStyle="1" w:styleId="Amain">
    <w:name w:val="A main"/>
    <w:basedOn w:val="Normal0"/>
    <w:link w:val="AmainChar"/>
    <w:rsid w:val="00552B10"/>
    <w:pPr>
      <w:tabs>
        <w:tab w:val="right" w:pos="900"/>
        <w:tab w:val="left" w:pos="1100"/>
      </w:tabs>
      <w:spacing w:before="140" w:after="0" w:line="240" w:lineRule="auto"/>
      <w:ind w:left="1100" w:hanging="1100"/>
      <w:jc w:val="both"/>
      <w:outlineLvl w:val="5"/>
    </w:pPr>
    <w:rPr>
      <w:rFonts w:ascii="Times New Roman" w:eastAsia="Times New Roman" w:hAnsi="Times New Roman" w:cs="Times New Roman"/>
      <w:sz w:val="24"/>
      <w:szCs w:val="20"/>
    </w:rPr>
  </w:style>
  <w:style w:type="paragraph" w:customStyle="1" w:styleId="Apara">
    <w:name w:val="A para"/>
    <w:basedOn w:val="Normal0"/>
    <w:link w:val="AparaChar"/>
    <w:rsid w:val="00552B10"/>
    <w:pPr>
      <w:tabs>
        <w:tab w:val="right" w:pos="1400"/>
        <w:tab w:val="left" w:pos="1600"/>
      </w:tabs>
      <w:spacing w:before="140" w:after="0" w:line="240" w:lineRule="auto"/>
      <w:ind w:left="1600" w:hanging="1600"/>
      <w:jc w:val="both"/>
      <w:outlineLvl w:val="6"/>
    </w:pPr>
    <w:rPr>
      <w:rFonts w:ascii="Times New Roman" w:eastAsia="Times New Roman" w:hAnsi="Times New Roman" w:cs="Times New Roman"/>
      <w:sz w:val="24"/>
      <w:szCs w:val="20"/>
    </w:rPr>
  </w:style>
  <w:style w:type="paragraph" w:customStyle="1" w:styleId="AH5Sec">
    <w:name w:val="A H5 Sec"/>
    <w:basedOn w:val="Normal0"/>
    <w:next w:val="Amain"/>
    <w:link w:val="AH5SecChar"/>
    <w:rsid w:val="00552B10"/>
    <w:pPr>
      <w:keepNext/>
      <w:tabs>
        <w:tab w:val="left" w:pos="1100"/>
      </w:tabs>
      <w:spacing w:before="240" w:after="0" w:line="240" w:lineRule="auto"/>
      <w:ind w:left="1100" w:hanging="1100"/>
      <w:outlineLvl w:val="4"/>
    </w:pPr>
    <w:rPr>
      <w:rFonts w:ascii="Arial" w:eastAsia="Times New Roman" w:hAnsi="Arial" w:cs="Times New Roman"/>
      <w:b/>
      <w:sz w:val="24"/>
      <w:szCs w:val="20"/>
    </w:rPr>
  </w:style>
  <w:style w:type="character" w:customStyle="1" w:styleId="CharSectNo">
    <w:name w:val="CharSectNo"/>
    <w:basedOn w:val="DefaultParagraphFont"/>
    <w:rsid w:val="00552B10"/>
  </w:style>
  <w:style w:type="character" w:customStyle="1" w:styleId="charBoldItals">
    <w:name w:val="charBoldItals"/>
    <w:basedOn w:val="DefaultParagraphFont"/>
    <w:rsid w:val="00552B10"/>
    <w:rPr>
      <w:b/>
      <w:i/>
    </w:rPr>
  </w:style>
  <w:style w:type="character" w:customStyle="1" w:styleId="AH5SecChar">
    <w:name w:val="A H5 Sec Char"/>
    <w:basedOn w:val="DefaultParagraphFont"/>
    <w:link w:val="AH5Sec"/>
    <w:locked/>
    <w:rsid w:val="00552B10"/>
    <w:rPr>
      <w:rFonts w:ascii="Arial" w:eastAsia="Times New Roman" w:hAnsi="Arial" w:cs="Times New Roman"/>
      <w:b/>
      <w:sz w:val="24"/>
      <w:szCs w:val="20"/>
    </w:rPr>
  </w:style>
  <w:style w:type="paragraph" w:customStyle="1" w:styleId="normalweb0">
    <w:name w:val="normalweb"/>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2">
    <w:name w:val="Heading 2 #"/>
    <w:basedOn w:val="Heading20"/>
    <w:uiPriority w:val="99"/>
    <w:qFormat/>
    <w:rsid w:val="00552B10"/>
    <w:pPr>
      <w:keepLines w:val="0"/>
      <w:numPr>
        <w:numId w:val="2"/>
      </w:numPr>
      <w:autoSpaceDE w:val="0"/>
      <w:autoSpaceDN w:val="0"/>
      <w:adjustRightInd w:val="0"/>
      <w:spacing w:after="200" w:line="312" w:lineRule="auto"/>
      <w:ind w:left="709" w:hanging="709"/>
      <w:textAlignment w:val="center"/>
    </w:pPr>
    <w:rPr>
      <w:rFonts w:ascii="Calibri" w:eastAsiaTheme="minorHAnsi" w:hAnsi="Calibri" w:cs="Calibri"/>
      <w:color w:val="004A8B"/>
      <w:w w:val="100"/>
      <w:kern w:val="0"/>
      <w:sz w:val="40"/>
      <w:szCs w:val="48"/>
      <w:lang w:val="en-US"/>
    </w:rPr>
  </w:style>
  <w:style w:type="paragraph" w:customStyle="1" w:styleId="Normal">
    <w:name w:val="Normal #"/>
    <w:basedOn w:val="Normal0"/>
    <w:uiPriority w:val="99"/>
    <w:qFormat/>
    <w:rsid w:val="00552B10"/>
    <w:pPr>
      <w:numPr>
        <w:numId w:val="3"/>
      </w:numPr>
      <w:autoSpaceDE w:val="0"/>
      <w:autoSpaceDN w:val="0"/>
      <w:adjustRightInd w:val="0"/>
      <w:spacing w:before="60" w:after="60" w:line="276" w:lineRule="auto"/>
      <w:textAlignment w:val="center"/>
    </w:pPr>
    <w:rPr>
      <w:rFonts w:ascii="Calibri" w:hAnsi="Calibri" w:cs="Calibri"/>
      <w:color w:val="000000"/>
      <w:sz w:val="24"/>
      <w:szCs w:val="24"/>
    </w:rPr>
  </w:style>
  <w:style w:type="paragraph" w:styleId="BodyText">
    <w:name w:val="Body Text"/>
    <w:basedOn w:val="Normal0"/>
    <w:link w:val="BodyTextChar"/>
    <w:uiPriority w:val="1"/>
    <w:qFormat/>
    <w:rsid w:val="00552B10"/>
    <w:pPr>
      <w:widowControl w:val="0"/>
      <w:autoSpaceDE w:val="0"/>
      <w:autoSpaceDN w:val="0"/>
      <w:adjustRightInd w:val="0"/>
      <w:spacing w:after="0" w:line="240" w:lineRule="auto"/>
    </w:pPr>
    <w:rPr>
      <w:rFonts w:ascii="Montserrat" w:eastAsiaTheme="minorEastAsia" w:hAnsi="Montserrat" w:cs="Montserrat"/>
      <w:sz w:val="15"/>
      <w:szCs w:val="15"/>
      <w:lang w:eastAsia="en-AU"/>
    </w:rPr>
  </w:style>
  <w:style w:type="character" w:customStyle="1" w:styleId="BodyTextChar">
    <w:name w:val="Body Text Char"/>
    <w:basedOn w:val="DefaultParagraphFont"/>
    <w:link w:val="BodyText"/>
    <w:uiPriority w:val="1"/>
    <w:rsid w:val="00552B10"/>
    <w:rPr>
      <w:rFonts w:ascii="Montserrat" w:eastAsiaTheme="minorEastAsia" w:hAnsi="Montserrat" w:cs="Montserrat"/>
      <w:sz w:val="15"/>
      <w:szCs w:val="15"/>
      <w:lang w:eastAsia="en-AU"/>
    </w:rPr>
  </w:style>
  <w:style w:type="paragraph" w:customStyle="1" w:styleId="Ipara">
    <w:name w:val="I para"/>
    <w:basedOn w:val="Apara"/>
    <w:uiPriority w:val="99"/>
    <w:rsid w:val="00552B10"/>
    <w:pPr>
      <w:outlineLvl w:val="9"/>
    </w:pPr>
  </w:style>
  <w:style w:type="paragraph" w:customStyle="1" w:styleId="Amainreturn">
    <w:name w:val="A main return"/>
    <w:basedOn w:val="Normal0"/>
    <w:link w:val="AmainreturnChar"/>
    <w:uiPriority w:val="99"/>
    <w:rsid w:val="00552B10"/>
    <w:pPr>
      <w:spacing w:before="140" w:after="0" w:line="240" w:lineRule="auto"/>
      <w:ind w:left="1100"/>
      <w:jc w:val="both"/>
    </w:pPr>
    <w:rPr>
      <w:rFonts w:ascii="Times New Roman" w:eastAsia="Times New Roman" w:hAnsi="Times New Roman" w:cs="Times New Roman"/>
      <w:sz w:val="24"/>
      <w:szCs w:val="20"/>
    </w:rPr>
  </w:style>
  <w:style w:type="paragraph" w:customStyle="1" w:styleId="aNote">
    <w:name w:val="aNote"/>
    <w:basedOn w:val="Normal0"/>
    <w:link w:val="aNoteChar"/>
    <w:rsid w:val="00552B10"/>
    <w:pPr>
      <w:spacing w:before="140" w:after="0" w:line="240" w:lineRule="auto"/>
      <w:ind w:left="1900" w:hanging="800"/>
      <w:jc w:val="both"/>
    </w:pPr>
    <w:rPr>
      <w:rFonts w:ascii="Times New Roman" w:eastAsia="Times New Roman" w:hAnsi="Times New Roman" w:cs="Times New Roman"/>
      <w:sz w:val="20"/>
      <w:szCs w:val="20"/>
    </w:rPr>
  </w:style>
  <w:style w:type="paragraph" w:customStyle="1" w:styleId="IH5Sec">
    <w:name w:val="I H5 Sec"/>
    <w:basedOn w:val="Normal0"/>
    <w:next w:val="Normal0"/>
    <w:uiPriority w:val="99"/>
    <w:rsid w:val="00552B10"/>
    <w:pPr>
      <w:keepNext/>
      <w:tabs>
        <w:tab w:val="left" w:pos="1100"/>
      </w:tabs>
      <w:spacing w:before="240" w:after="0" w:line="240" w:lineRule="auto"/>
      <w:ind w:left="1100" w:hanging="1100"/>
    </w:pPr>
    <w:rPr>
      <w:rFonts w:ascii="Arial" w:eastAsia="Times New Roman" w:hAnsi="Arial" w:cs="Times New Roman"/>
      <w:b/>
      <w:sz w:val="24"/>
      <w:szCs w:val="20"/>
    </w:rPr>
  </w:style>
  <w:style w:type="character" w:customStyle="1" w:styleId="charItals">
    <w:name w:val="charItals"/>
    <w:basedOn w:val="DefaultParagraphFont"/>
    <w:rsid w:val="00552B10"/>
    <w:rPr>
      <w:i/>
    </w:rPr>
  </w:style>
  <w:style w:type="character" w:customStyle="1" w:styleId="aNoteChar">
    <w:name w:val="aNote Char"/>
    <w:basedOn w:val="DefaultParagraphFont"/>
    <w:link w:val="aNote"/>
    <w:locked/>
    <w:rsid w:val="00552B10"/>
    <w:rPr>
      <w:rFonts w:ascii="Times New Roman" w:eastAsia="Times New Roman" w:hAnsi="Times New Roman" w:cs="Times New Roman"/>
      <w:sz w:val="20"/>
      <w:szCs w:val="20"/>
    </w:rPr>
  </w:style>
  <w:style w:type="character" w:customStyle="1" w:styleId="charCitHyperlinkAbbrev">
    <w:name w:val="charCitHyperlinkAbbrev"/>
    <w:basedOn w:val="Hyperlink"/>
    <w:uiPriority w:val="1"/>
    <w:rsid w:val="00552B10"/>
    <w:rPr>
      <w:color w:val="0563C1" w:themeColor="hyperlink"/>
      <w:u w:val="none"/>
    </w:rPr>
  </w:style>
  <w:style w:type="paragraph" w:customStyle="1" w:styleId="tablenormal0">
    <w:name w:val="table normal"/>
    <w:basedOn w:val="Normal0"/>
    <w:uiPriority w:val="99"/>
    <w:rsid w:val="00552B10"/>
    <w:pPr>
      <w:spacing w:before="80" w:after="80" w:line="240" w:lineRule="auto"/>
    </w:pPr>
    <w:rPr>
      <w:rFonts w:ascii="Times New Roman" w:eastAsia="Times New Roman" w:hAnsi="Times New Roman" w:cs="Times New Roman"/>
    </w:rPr>
  </w:style>
  <w:style w:type="paragraph" w:styleId="BodyTextIndent2">
    <w:name w:val="Body Text Indent 2"/>
    <w:basedOn w:val="Normal0"/>
    <w:link w:val="BodyTextIndent2Char"/>
    <w:uiPriority w:val="99"/>
    <w:semiHidden/>
    <w:unhideWhenUsed/>
    <w:rsid w:val="00552B10"/>
    <w:pPr>
      <w:spacing w:after="120" w:line="480" w:lineRule="auto"/>
      <w:ind w:left="283"/>
    </w:pPr>
  </w:style>
  <w:style w:type="character" w:customStyle="1" w:styleId="BodyTextIndent2Char">
    <w:name w:val="Body Text Indent 2 Char"/>
    <w:basedOn w:val="DefaultParagraphFont"/>
    <w:link w:val="BodyTextIndent2"/>
    <w:uiPriority w:val="99"/>
    <w:semiHidden/>
    <w:rsid w:val="00552B10"/>
  </w:style>
  <w:style w:type="paragraph" w:customStyle="1" w:styleId="default">
    <w:name w:val="default"/>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4nonumber">
    <w:name w:val="Heading 4 no number"/>
    <w:next w:val="Normal0"/>
    <w:uiPriority w:val="99"/>
    <w:rsid w:val="00552B10"/>
    <w:pPr>
      <w:keepNext/>
      <w:widowControl w:val="0"/>
      <w:spacing w:after="0" w:line="240" w:lineRule="auto"/>
    </w:pPr>
    <w:rPr>
      <w:rFonts w:ascii="Arial Narrow" w:eastAsia="Calibri" w:hAnsi="Arial Narrow" w:cs="Arial Narrow"/>
      <w:smallCaps/>
      <w:sz w:val="26"/>
      <w:szCs w:val="26"/>
    </w:rPr>
  </w:style>
  <w:style w:type="paragraph" w:customStyle="1" w:styleId="Default0">
    <w:name w:val="Default"/>
    <w:uiPriority w:val="99"/>
    <w:rsid w:val="00552B10"/>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 w:type="paragraph" w:customStyle="1" w:styleId="normalweb00">
    <w:name w:val="normalweb0"/>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paragraph0">
    <w:name w:val="listparagraph"/>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01Contents">
    <w:name w:val="01Contents"/>
    <w:basedOn w:val="Normal0"/>
    <w:uiPriority w:val="99"/>
    <w:rsid w:val="00552B10"/>
    <w:pPr>
      <w:tabs>
        <w:tab w:val="left" w:pos="2880"/>
      </w:tabs>
      <w:overflowPunct w:val="0"/>
      <w:autoSpaceDE w:val="0"/>
      <w:autoSpaceDN w:val="0"/>
      <w:adjustRightInd w:val="0"/>
      <w:spacing w:after="0" w:line="240" w:lineRule="auto"/>
      <w:textAlignment w:val="baseline"/>
    </w:pPr>
    <w:rPr>
      <w:rFonts w:ascii="Arial" w:eastAsia="Times New Roman" w:hAnsi="Arial" w:cs="Times New Roman"/>
      <w:sz w:val="24"/>
      <w:szCs w:val="24"/>
    </w:rPr>
  </w:style>
  <w:style w:type="paragraph" w:customStyle="1" w:styleId="pf0">
    <w:name w:val="pf0"/>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0"/>
    <w:uiPriority w:val="99"/>
    <w:rsid w:val="00552B10"/>
    <w:pPr>
      <w:widowControl w:val="0"/>
      <w:suppressAutoHyphens/>
      <w:autoSpaceDE w:val="0"/>
      <w:autoSpaceDN w:val="0"/>
      <w:adjustRightInd w:val="0"/>
      <w:spacing w:before="90" w:after="0" w:line="250" w:lineRule="atLeast"/>
      <w:ind w:firstLine="220"/>
      <w:jc w:val="both"/>
      <w:textAlignment w:val="center"/>
    </w:pPr>
    <w:rPr>
      <w:rFonts w:ascii="Garamond MT Std" w:eastAsia="Times New Roman" w:hAnsi="Garamond MT Std" w:cs="Garamond MT Std"/>
      <w:color w:val="000000"/>
      <w:lang w:val="en-US"/>
    </w:rPr>
  </w:style>
  <w:style w:type="paragraph" w:customStyle="1" w:styleId="Ext">
    <w:name w:val="Ext"/>
    <w:basedOn w:val="Normal0"/>
    <w:uiPriority w:val="99"/>
    <w:rsid w:val="00552B10"/>
    <w:pPr>
      <w:widowControl w:val="0"/>
      <w:suppressAutoHyphens/>
      <w:autoSpaceDE w:val="0"/>
      <w:autoSpaceDN w:val="0"/>
      <w:adjustRightInd w:val="0"/>
      <w:spacing w:before="110" w:after="0" w:line="230" w:lineRule="atLeast"/>
      <w:ind w:left="280" w:right="280"/>
      <w:jc w:val="both"/>
      <w:textAlignment w:val="center"/>
    </w:pPr>
    <w:rPr>
      <w:rFonts w:ascii="Garamond MT Std" w:eastAsia="Times New Roman" w:hAnsi="Garamond MT Std" w:cs="Garamond MT Std"/>
      <w:color w:val="000000"/>
      <w:sz w:val="20"/>
      <w:szCs w:val="20"/>
      <w:lang w:val="en-US"/>
    </w:rPr>
  </w:style>
  <w:style w:type="paragraph" w:customStyle="1" w:styleId="Textflushhead">
    <w:name w:val="Text flush (head)"/>
    <w:basedOn w:val="Normal0"/>
    <w:next w:val="Normal0"/>
    <w:uiPriority w:val="99"/>
    <w:rsid w:val="00552B10"/>
    <w:pPr>
      <w:widowControl w:val="0"/>
      <w:suppressAutoHyphens/>
      <w:autoSpaceDE w:val="0"/>
      <w:autoSpaceDN w:val="0"/>
      <w:adjustRightInd w:val="0"/>
      <w:spacing w:after="0" w:line="250" w:lineRule="atLeast"/>
      <w:jc w:val="both"/>
      <w:textAlignment w:val="center"/>
    </w:pPr>
    <w:rPr>
      <w:rFonts w:ascii="Garamond MT Std" w:eastAsia="Times New Roman" w:hAnsi="Garamond MT Std" w:cs="Garamond MT Std"/>
      <w:color w:val="000000"/>
      <w:lang w:val="en-US"/>
    </w:rPr>
  </w:style>
  <w:style w:type="paragraph" w:customStyle="1" w:styleId="2hd">
    <w:name w:val="2 hd"/>
    <w:basedOn w:val="Normal0"/>
    <w:uiPriority w:val="99"/>
    <w:rsid w:val="00552B10"/>
    <w:pPr>
      <w:keepNext/>
      <w:widowControl w:val="0"/>
      <w:suppressAutoHyphens/>
      <w:autoSpaceDE w:val="0"/>
      <w:autoSpaceDN w:val="0"/>
      <w:adjustRightInd w:val="0"/>
      <w:spacing w:before="100" w:after="90" w:line="260" w:lineRule="atLeast"/>
      <w:textAlignment w:val="center"/>
    </w:pPr>
    <w:rPr>
      <w:rFonts w:ascii="Garamond MT Std" w:eastAsia="Times New Roman" w:hAnsi="Garamond MT Std" w:cs="Garamond MT Std"/>
      <w:b/>
      <w:bCs/>
      <w:color w:val="000000"/>
      <w:lang w:val="en-US"/>
    </w:rPr>
  </w:style>
  <w:style w:type="paragraph" w:customStyle="1" w:styleId="Ftnote">
    <w:name w:val="Ftnote"/>
    <w:basedOn w:val="Normal0"/>
    <w:uiPriority w:val="99"/>
    <w:rsid w:val="00552B10"/>
    <w:pPr>
      <w:widowControl w:val="0"/>
      <w:suppressAutoHyphens/>
      <w:autoSpaceDE w:val="0"/>
      <w:autoSpaceDN w:val="0"/>
      <w:adjustRightInd w:val="0"/>
      <w:spacing w:after="0" w:line="210" w:lineRule="atLeast"/>
      <w:ind w:left="340" w:hanging="340"/>
      <w:jc w:val="both"/>
      <w:textAlignment w:val="center"/>
    </w:pPr>
    <w:rPr>
      <w:rFonts w:ascii="Garamond MT Std" w:eastAsia="Times New Roman" w:hAnsi="Garamond MT Std" w:cs="Garamond MT Std"/>
      <w:color w:val="000000"/>
      <w:sz w:val="19"/>
      <w:szCs w:val="19"/>
      <w:lang w:val="en-US"/>
    </w:rPr>
  </w:style>
  <w:style w:type="character" w:customStyle="1" w:styleId="Bold">
    <w:name w:val="Bold"/>
    <w:uiPriority w:val="99"/>
    <w:rsid w:val="00552B10"/>
    <w:rPr>
      <w:b/>
    </w:rPr>
  </w:style>
  <w:style w:type="character" w:customStyle="1" w:styleId="Superscript">
    <w:name w:val="Superscript"/>
    <w:uiPriority w:val="99"/>
    <w:rsid w:val="00552B10"/>
    <w:rPr>
      <w:vertAlign w:val="superscript"/>
    </w:rPr>
  </w:style>
  <w:style w:type="character" w:customStyle="1" w:styleId="Italic">
    <w:name w:val="Italic"/>
    <w:uiPriority w:val="99"/>
    <w:rsid w:val="00552B10"/>
    <w:rPr>
      <w:i/>
    </w:rPr>
  </w:style>
  <w:style w:type="character" w:customStyle="1" w:styleId="ftnotex-ref">
    <w:name w:val="ftnote x-ref"/>
    <w:uiPriority w:val="99"/>
    <w:rsid w:val="00552B10"/>
    <w:rPr>
      <w:rFonts w:ascii="Garamond MT Std" w:hAnsi="Garamond MT Std"/>
      <w:b/>
      <w:color w:val="000000"/>
      <w:sz w:val="17"/>
    </w:rPr>
  </w:style>
  <w:style w:type="paragraph" w:customStyle="1" w:styleId="Extnumlist">
    <w:name w:val="Ext num list"/>
    <w:basedOn w:val="Ext"/>
    <w:uiPriority w:val="99"/>
    <w:rsid w:val="00552B10"/>
    <w:pPr>
      <w:spacing w:before="30"/>
      <w:ind w:left="680" w:hanging="400"/>
    </w:pPr>
  </w:style>
  <w:style w:type="paragraph" w:customStyle="1" w:styleId="ExtnumlistTop">
    <w:name w:val="Ext num list (Top)"/>
    <w:basedOn w:val="Ext"/>
    <w:uiPriority w:val="99"/>
    <w:rsid w:val="00552B10"/>
    <w:pPr>
      <w:ind w:left="680" w:hanging="400"/>
    </w:pPr>
  </w:style>
  <w:style w:type="character" w:customStyle="1" w:styleId="charitals0">
    <w:name w:val="charitals"/>
    <w:basedOn w:val="DefaultParagraphFont"/>
    <w:rsid w:val="00552B10"/>
  </w:style>
  <w:style w:type="character" w:customStyle="1" w:styleId="ui-provider">
    <w:name w:val="ui-provider"/>
    <w:basedOn w:val="DefaultParagraphFont"/>
    <w:rsid w:val="00552B10"/>
  </w:style>
  <w:style w:type="paragraph" w:customStyle="1" w:styleId="EEISSectionHeading">
    <w:name w:val="EEIS Section Heading"/>
    <w:next w:val="Normal0"/>
    <w:uiPriority w:val="99"/>
    <w:rsid w:val="00552B10"/>
    <w:pPr>
      <w:spacing w:before="240" w:after="240" w:line="240" w:lineRule="auto"/>
      <w:ind w:left="567" w:hanging="567"/>
    </w:pPr>
    <w:rPr>
      <w:rFonts w:ascii="Arial" w:eastAsia="SimSun" w:hAnsi="Arial" w:cs="Arial"/>
      <w:b/>
      <w:sz w:val="34"/>
      <w:szCs w:val="20"/>
      <w:lang w:eastAsia="zh-CN"/>
    </w:rPr>
  </w:style>
  <w:style w:type="paragraph" w:styleId="TOC4">
    <w:name w:val="toc 4"/>
    <w:basedOn w:val="Normal0"/>
    <w:next w:val="Normal0"/>
    <w:autoRedefine/>
    <w:uiPriority w:val="39"/>
    <w:unhideWhenUsed/>
    <w:rsid w:val="00B02BB7"/>
    <w:pPr>
      <w:spacing w:after="100"/>
      <w:ind w:left="660"/>
    </w:pPr>
  </w:style>
  <w:style w:type="paragraph" w:styleId="Revision">
    <w:name w:val="Revision"/>
    <w:hidden/>
    <w:uiPriority w:val="99"/>
    <w:semiHidden/>
    <w:rsid w:val="00FB732D"/>
    <w:pPr>
      <w:spacing w:after="0" w:line="240" w:lineRule="auto"/>
    </w:pPr>
  </w:style>
  <w:style w:type="paragraph" w:customStyle="1" w:styleId="msonormal0">
    <w:name w:val="msonormal"/>
    <w:basedOn w:val="Normal0"/>
    <w:uiPriority w:val="99"/>
    <w:rsid w:val="00126BE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mainChar">
    <w:name w:val="A main Char"/>
    <w:basedOn w:val="DefaultParagraphFont"/>
    <w:link w:val="Amain"/>
    <w:locked/>
    <w:rsid w:val="00126BE8"/>
    <w:rPr>
      <w:rFonts w:ascii="Times New Roman" w:eastAsia="Times New Roman" w:hAnsi="Times New Roman" w:cs="Times New Roman"/>
      <w:sz w:val="24"/>
      <w:szCs w:val="20"/>
    </w:rPr>
  </w:style>
  <w:style w:type="character" w:customStyle="1" w:styleId="AparaChar">
    <w:name w:val="A para Char"/>
    <w:basedOn w:val="DefaultParagraphFont"/>
    <w:link w:val="Apara"/>
    <w:locked/>
    <w:rsid w:val="00126BE8"/>
    <w:rPr>
      <w:rFonts w:ascii="Times New Roman" w:eastAsia="Times New Roman" w:hAnsi="Times New Roman" w:cs="Times New Roman"/>
      <w:sz w:val="24"/>
      <w:szCs w:val="20"/>
    </w:rPr>
  </w:style>
  <w:style w:type="character" w:customStyle="1" w:styleId="AmainreturnChar">
    <w:name w:val="A main return Char"/>
    <w:basedOn w:val="DefaultParagraphFont"/>
    <w:link w:val="Amainreturn"/>
    <w:locked/>
    <w:rsid w:val="00126BE8"/>
    <w:rPr>
      <w:rFonts w:ascii="Times New Roman" w:eastAsia="Times New Roman" w:hAnsi="Times New Roman" w:cs="Times New Roman"/>
      <w:sz w:val="24"/>
      <w:szCs w:val="20"/>
    </w:rPr>
  </w:style>
  <w:style w:type="paragraph" w:customStyle="1" w:styleId="CoverActName">
    <w:name w:val="CoverActName"/>
    <w:basedOn w:val="Normal0"/>
    <w:uiPriority w:val="99"/>
    <w:rsid w:val="00126BE8"/>
    <w:pPr>
      <w:tabs>
        <w:tab w:val="left" w:pos="2600"/>
      </w:tabs>
      <w:overflowPunct w:val="0"/>
      <w:autoSpaceDE w:val="0"/>
      <w:autoSpaceDN w:val="0"/>
      <w:adjustRightInd w:val="0"/>
      <w:spacing w:before="200" w:after="60" w:line="240" w:lineRule="auto"/>
      <w:jc w:val="both"/>
    </w:pPr>
    <w:rPr>
      <w:rFonts w:ascii="Arial" w:eastAsia="Times New Roman" w:hAnsi="Arial" w:cs="Arial"/>
      <w:b/>
      <w:bCs/>
      <w:sz w:val="24"/>
      <w:szCs w:val="24"/>
    </w:rPr>
  </w:style>
  <w:style w:type="character" w:customStyle="1" w:styleId="aDefChar">
    <w:name w:val="aDef Char"/>
    <w:basedOn w:val="DefaultParagraphFont"/>
    <w:link w:val="aDef"/>
    <w:locked/>
    <w:rsid w:val="00126BE8"/>
    <w:rPr>
      <w:rFonts w:ascii="Times New Roman" w:eastAsia="Times New Roman" w:hAnsi="Times New Roman" w:cs="Times New Roman"/>
      <w:sz w:val="24"/>
      <w:szCs w:val="20"/>
    </w:rPr>
  </w:style>
  <w:style w:type="paragraph" w:customStyle="1" w:styleId="aDef">
    <w:name w:val="aDef"/>
    <w:basedOn w:val="Normal0"/>
    <w:link w:val="aDefChar"/>
    <w:uiPriority w:val="99"/>
    <w:rsid w:val="00126BE8"/>
    <w:pPr>
      <w:spacing w:before="140" w:after="0" w:line="240" w:lineRule="auto"/>
      <w:ind w:left="1100"/>
      <w:jc w:val="both"/>
    </w:pPr>
    <w:rPr>
      <w:rFonts w:ascii="Times New Roman" w:eastAsia="Times New Roman" w:hAnsi="Times New Roman" w:cs="Times New Roman"/>
      <w:sz w:val="24"/>
      <w:szCs w:val="20"/>
    </w:rPr>
  </w:style>
  <w:style w:type="paragraph" w:customStyle="1" w:styleId="aDefpara">
    <w:name w:val="aDef para"/>
    <w:basedOn w:val="Apara"/>
    <w:uiPriority w:val="99"/>
    <w:rsid w:val="00126BE8"/>
  </w:style>
  <w:style w:type="paragraph" w:customStyle="1" w:styleId="aDefsubpara">
    <w:name w:val="aDef subpara"/>
    <w:basedOn w:val="Asubpara"/>
    <w:uiPriority w:val="99"/>
    <w:rsid w:val="00126BE8"/>
    <w:pPr>
      <w:tabs>
        <w:tab w:val="clear" w:pos="2140"/>
        <w:tab w:val="right" w:pos="1900"/>
        <w:tab w:val="left" w:pos="2100"/>
      </w:tabs>
      <w:ind w:left="2100" w:hanging="2100"/>
    </w:pPr>
  </w:style>
  <w:style w:type="paragraph" w:customStyle="1" w:styleId="aNotepar">
    <w:name w:val="aNotepar"/>
    <w:basedOn w:val="Normal0"/>
    <w:next w:val="Normal0"/>
    <w:uiPriority w:val="99"/>
    <w:rsid w:val="00126BE8"/>
    <w:pPr>
      <w:spacing w:before="140" w:after="0" w:line="240" w:lineRule="auto"/>
      <w:ind w:left="2400" w:hanging="800"/>
      <w:jc w:val="both"/>
    </w:pPr>
    <w:rPr>
      <w:rFonts w:ascii="Times New Roman" w:eastAsia="Times New Roman" w:hAnsi="Times New Roman" w:cs="Times New Roman"/>
      <w:sz w:val="20"/>
      <w:szCs w:val="20"/>
    </w:rPr>
  </w:style>
  <w:style w:type="paragraph" w:customStyle="1" w:styleId="Penalty">
    <w:name w:val="Penalty"/>
    <w:basedOn w:val="Amainreturn"/>
    <w:uiPriority w:val="99"/>
    <w:rsid w:val="00126BE8"/>
  </w:style>
  <w:style w:type="character" w:customStyle="1" w:styleId="Hyperlink1">
    <w:name w:val="Hyperlink1"/>
    <w:basedOn w:val="DefaultParagraphFont"/>
    <w:rsid w:val="00126BE8"/>
  </w:style>
  <w:style w:type="character" w:customStyle="1" w:styleId="charcithyperlinkital">
    <w:name w:val="charcithyperlinkital"/>
    <w:basedOn w:val="DefaultParagraphFont"/>
    <w:rsid w:val="00126BE8"/>
  </w:style>
  <w:style w:type="character" w:customStyle="1" w:styleId="Calibri12">
    <w:name w:val="Calibri 12"/>
    <w:basedOn w:val="DefaultParagraphFont"/>
    <w:uiPriority w:val="1"/>
    <w:qFormat/>
    <w:rsid w:val="00126BE8"/>
    <w:rPr>
      <w:rFonts w:ascii="Calibri" w:hAnsi="Calibri" w:cs="Calibri" w:hint="default"/>
      <w:sz w:val="24"/>
    </w:rPr>
  </w:style>
  <w:style w:type="character" w:customStyle="1" w:styleId="charCitHyperlinkItal0">
    <w:name w:val="charCitHyperlinkItal"/>
    <w:basedOn w:val="Hyperlink"/>
    <w:uiPriority w:val="1"/>
    <w:rsid w:val="00126BE8"/>
    <w:rPr>
      <w:i/>
      <w:iCs w:val="0"/>
      <w:strike w:val="0"/>
      <w:dstrike w:val="0"/>
      <w:color w:val="0563C1" w:themeColor="hyperlink"/>
      <w:u w:val="none"/>
      <w:effect w:val="none"/>
    </w:rPr>
  </w:style>
  <w:style w:type="numbering" w:customStyle="1" w:styleId="NoList1">
    <w:name w:val="No List1"/>
    <w:next w:val="NoList"/>
    <w:uiPriority w:val="99"/>
    <w:semiHidden/>
    <w:unhideWhenUsed/>
    <w:rsid w:val="005078C2"/>
  </w:style>
  <w:style w:type="paragraph" w:customStyle="1" w:styleId="apara0">
    <w:name w:val="apara"/>
    <w:basedOn w:val="Normal0"/>
    <w:uiPriority w:val="99"/>
    <w:rsid w:val="005078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yperlink10">
    <w:name w:val="hyperlink1"/>
    <w:basedOn w:val="DefaultParagraphFont"/>
    <w:rsid w:val="005078C2"/>
  </w:style>
  <w:style w:type="table" w:customStyle="1" w:styleId="TableGrid1">
    <w:name w:val="Table Grid1"/>
    <w:basedOn w:val="TableNormal"/>
    <w:next w:val="TableGrid"/>
    <w:uiPriority w:val="39"/>
    <w:rsid w:val="005078C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semblystyletable1">
    <w:name w:val="Assembly style table1"/>
    <w:basedOn w:val="TableNormal"/>
    <w:uiPriority w:val="99"/>
    <w:rsid w:val="005078C2"/>
    <w:pPr>
      <w:adjustRightInd w:val="0"/>
      <w:spacing w:before="80" w:after="80" w:line="240" w:lineRule="auto"/>
    </w:pPr>
    <w:rPr>
      <w:rFonts w:ascii="Calibri" w:eastAsia="Calibri" w:hAnsi="Calibri" w:cs="Times New Roman"/>
      <w:sz w:val="20"/>
    </w:rPr>
    <w:tblPr>
      <w:tblStyleRowBandSize w:val="1"/>
      <w:tblInd w:w="0" w:type="nil"/>
      <w:tblBorders>
        <w:top w:val="single" w:sz="4" w:space="0" w:color="2F5496"/>
        <w:bottom w:val="single" w:sz="12" w:space="0" w:color="2F5496"/>
      </w:tblBorders>
    </w:tblPr>
    <w:tcPr>
      <w:vAlign w:val="center"/>
    </w:tcPr>
    <w:tblStylePr w:type="firstRow">
      <w:pPr>
        <w:jc w:val="left"/>
      </w:pPr>
      <w:rPr>
        <w:rFonts w:ascii="Calibri" w:hAnsi="Calibri" w:cs="Calibri" w:hint="default"/>
        <w:b w:val="0"/>
        <w:color w:val="2F5496"/>
        <w:sz w:val="20"/>
        <w:szCs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table" w:customStyle="1" w:styleId="Recommendationbox1">
    <w:name w:val="Recommendation box1"/>
    <w:basedOn w:val="TableNormal"/>
    <w:uiPriority w:val="99"/>
    <w:rsid w:val="005078C2"/>
    <w:pPr>
      <w:spacing w:after="0" w:line="240" w:lineRule="auto"/>
    </w:pPr>
    <w:rPr>
      <w:rFonts w:ascii="Calibri" w:eastAsia="Calibri" w:hAnsi="Calibri" w:cs="Times New Roman"/>
    </w:rPr>
    <w:tblPr>
      <w:tblCellSpacing w:w="71" w:type="dxa"/>
      <w:tblInd w:w="0" w:type="nil"/>
    </w:tblPr>
    <w:trPr>
      <w:tblCellSpacing w:w="71" w:type="dxa"/>
    </w:trPr>
    <w:tcPr>
      <w:shd w:val="clear" w:color="auto" w:fill="D5DEF0"/>
      <w:vAlign w:val="center"/>
    </w:tcPr>
  </w:style>
  <w:style w:type="character" w:customStyle="1" w:styleId="normaltextrun">
    <w:name w:val="normaltextrun"/>
    <w:basedOn w:val="DefaultParagraphFont"/>
    <w:rsid w:val="00145C66"/>
  </w:style>
  <w:style w:type="character" w:customStyle="1" w:styleId="eop">
    <w:name w:val="eop"/>
    <w:basedOn w:val="DefaultParagraphFont"/>
    <w:rsid w:val="00145C66"/>
  </w:style>
  <w:style w:type="character" w:styleId="Strong">
    <w:name w:val="Strong"/>
    <w:basedOn w:val="DefaultParagraphFont"/>
    <w:uiPriority w:val="22"/>
    <w:qFormat/>
    <w:rsid w:val="00B2102C"/>
    <w:rPr>
      <w:b/>
      <w:bCs/>
      <w:color w:val="0070C0"/>
    </w:rPr>
  </w:style>
  <w:style w:type="paragraph" w:customStyle="1" w:styleId="TableColHd">
    <w:name w:val="TableColHd"/>
    <w:basedOn w:val="Normal0"/>
    <w:rsid w:val="003F39AA"/>
    <w:pPr>
      <w:keepNext/>
      <w:spacing w:after="60" w:line="240" w:lineRule="auto"/>
    </w:pPr>
    <w:rPr>
      <w:rFonts w:ascii="Arial" w:eastAsia="Times New Roman" w:hAnsi="Arial" w:cs="Times New Roman"/>
      <w:b/>
      <w:sz w:val="18"/>
      <w:szCs w:val="20"/>
    </w:rPr>
  </w:style>
  <w:style w:type="paragraph" w:customStyle="1" w:styleId="TableHd">
    <w:name w:val="TableHd"/>
    <w:basedOn w:val="Normal0"/>
    <w:rsid w:val="003F39AA"/>
    <w:pPr>
      <w:keepNext/>
      <w:spacing w:before="300" w:after="0" w:line="240" w:lineRule="auto"/>
      <w:ind w:left="1200" w:hanging="1200"/>
    </w:pPr>
    <w:rPr>
      <w:rFonts w:ascii="Arial" w:eastAsia="Times New Roman" w:hAnsi="Arial" w:cs="Times New Roman"/>
      <w:b/>
      <w:sz w:val="20"/>
      <w:szCs w:val="20"/>
    </w:rPr>
  </w:style>
  <w:style w:type="paragraph" w:customStyle="1" w:styleId="TablePara10">
    <w:name w:val="TablePara10"/>
    <w:basedOn w:val="Normal0"/>
    <w:rsid w:val="003F39AA"/>
    <w:pPr>
      <w:tabs>
        <w:tab w:val="right" w:pos="400"/>
        <w:tab w:val="left" w:pos="700"/>
      </w:tabs>
      <w:spacing w:before="80" w:after="60" w:line="240" w:lineRule="auto"/>
      <w:ind w:left="700" w:hanging="700"/>
    </w:pPr>
    <w:rPr>
      <w:rFonts w:ascii="Times New Roman" w:eastAsia="Times New Roman" w:hAnsi="Times New Roman" w:cs="Times New Roman"/>
      <w:sz w:val="20"/>
      <w:szCs w:val="20"/>
    </w:rPr>
  </w:style>
  <w:style w:type="paragraph" w:customStyle="1" w:styleId="TableText10">
    <w:name w:val="TableText10"/>
    <w:basedOn w:val="Normal0"/>
    <w:rsid w:val="003F39AA"/>
    <w:pPr>
      <w:spacing w:before="60" w:after="6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959">
      <w:bodyDiv w:val="1"/>
      <w:marLeft w:val="0"/>
      <w:marRight w:val="0"/>
      <w:marTop w:val="0"/>
      <w:marBottom w:val="0"/>
      <w:divBdr>
        <w:top w:val="none" w:sz="0" w:space="0" w:color="auto"/>
        <w:left w:val="none" w:sz="0" w:space="0" w:color="auto"/>
        <w:bottom w:val="none" w:sz="0" w:space="0" w:color="auto"/>
        <w:right w:val="none" w:sz="0" w:space="0" w:color="auto"/>
      </w:divBdr>
    </w:div>
    <w:div w:id="35005912">
      <w:bodyDiv w:val="1"/>
      <w:marLeft w:val="0"/>
      <w:marRight w:val="0"/>
      <w:marTop w:val="0"/>
      <w:marBottom w:val="0"/>
      <w:divBdr>
        <w:top w:val="none" w:sz="0" w:space="0" w:color="auto"/>
        <w:left w:val="none" w:sz="0" w:space="0" w:color="auto"/>
        <w:bottom w:val="none" w:sz="0" w:space="0" w:color="auto"/>
        <w:right w:val="none" w:sz="0" w:space="0" w:color="auto"/>
      </w:divBdr>
    </w:div>
    <w:div w:id="50273394">
      <w:bodyDiv w:val="1"/>
      <w:marLeft w:val="0"/>
      <w:marRight w:val="0"/>
      <w:marTop w:val="0"/>
      <w:marBottom w:val="0"/>
      <w:divBdr>
        <w:top w:val="none" w:sz="0" w:space="0" w:color="auto"/>
        <w:left w:val="none" w:sz="0" w:space="0" w:color="auto"/>
        <w:bottom w:val="none" w:sz="0" w:space="0" w:color="auto"/>
        <w:right w:val="none" w:sz="0" w:space="0" w:color="auto"/>
      </w:divBdr>
    </w:div>
    <w:div w:id="77144808">
      <w:bodyDiv w:val="1"/>
      <w:marLeft w:val="0"/>
      <w:marRight w:val="0"/>
      <w:marTop w:val="0"/>
      <w:marBottom w:val="0"/>
      <w:divBdr>
        <w:top w:val="none" w:sz="0" w:space="0" w:color="auto"/>
        <w:left w:val="none" w:sz="0" w:space="0" w:color="auto"/>
        <w:bottom w:val="none" w:sz="0" w:space="0" w:color="auto"/>
        <w:right w:val="none" w:sz="0" w:space="0" w:color="auto"/>
      </w:divBdr>
    </w:div>
    <w:div w:id="101077589">
      <w:bodyDiv w:val="1"/>
      <w:marLeft w:val="0"/>
      <w:marRight w:val="0"/>
      <w:marTop w:val="0"/>
      <w:marBottom w:val="0"/>
      <w:divBdr>
        <w:top w:val="none" w:sz="0" w:space="0" w:color="auto"/>
        <w:left w:val="none" w:sz="0" w:space="0" w:color="auto"/>
        <w:bottom w:val="none" w:sz="0" w:space="0" w:color="auto"/>
        <w:right w:val="none" w:sz="0" w:space="0" w:color="auto"/>
      </w:divBdr>
    </w:div>
    <w:div w:id="112988980">
      <w:bodyDiv w:val="1"/>
      <w:marLeft w:val="0"/>
      <w:marRight w:val="0"/>
      <w:marTop w:val="0"/>
      <w:marBottom w:val="0"/>
      <w:divBdr>
        <w:top w:val="none" w:sz="0" w:space="0" w:color="auto"/>
        <w:left w:val="none" w:sz="0" w:space="0" w:color="auto"/>
        <w:bottom w:val="none" w:sz="0" w:space="0" w:color="auto"/>
        <w:right w:val="none" w:sz="0" w:space="0" w:color="auto"/>
      </w:divBdr>
    </w:div>
    <w:div w:id="125895097">
      <w:bodyDiv w:val="1"/>
      <w:marLeft w:val="0"/>
      <w:marRight w:val="0"/>
      <w:marTop w:val="0"/>
      <w:marBottom w:val="0"/>
      <w:divBdr>
        <w:top w:val="none" w:sz="0" w:space="0" w:color="auto"/>
        <w:left w:val="none" w:sz="0" w:space="0" w:color="auto"/>
        <w:bottom w:val="none" w:sz="0" w:space="0" w:color="auto"/>
        <w:right w:val="none" w:sz="0" w:space="0" w:color="auto"/>
      </w:divBdr>
    </w:div>
    <w:div w:id="147795360">
      <w:bodyDiv w:val="1"/>
      <w:marLeft w:val="0"/>
      <w:marRight w:val="0"/>
      <w:marTop w:val="0"/>
      <w:marBottom w:val="0"/>
      <w:divBdr>
        <w:top w:val="none" w:sz="0" w:space="0" w:color="auto"/>
        <w:left w:val="none" w:sz="0" w:space="0" w:color="auto"/>
        <w:bottom w:val="none" w:sz="0" w:space="0" w:color="auto"/>
        <w:right w:val="none" w:sz="0" w:space="0" w:color="auto"/>
      </w:divBdr>
    </w:div>
    <w:div w:id="190337333">
      <w:bodyDiv w:val="1"/>
      <w:marLeft w:val="0"/>
      <w:marRight w:val="0"/>
      <w:marTop w:val="0"/>
      <w:marBottom w:val="0"/>
      <w:divBdr>
        <w:top w:val="none" w:sz="0" w:space="0" w:color="auto"/>
        <w:left w:val="none" w:sz="0" w:space="0" w:color="auto"/>
        <w:bottom w:val="none" w:sz="0" w:space="0" w:color="auto"/>
        <w:right w:val="none" w:sz="0" w:space="0" w:color="auto"/>
      </w:divBdr>
    </w:div>
    <w:div w:id="219637400">
      <w:bodyDiv w:val="1"/>
      <w:marLeft w:val="0"/>
      <w:marRight w:val="0"/>
      <w:marTop w:val="0"/>
      <w:marBottom w:val="0"/>
      <w:divBdr>
        <w:top w:val="none" w:sz="0" w:space="0" w:color="auto"/>
        <w:left w:val="none" w:sz="0" w:space="0" w:color="auto"/>
        <w:bottom w:val="none" w:sz="0" w:space="0" w:color="auto"/>
        <w:right w:val="none" w:sz="0" w:space="0" w:color="auto"/>
      </w:divBdr>
    </w:div>
    <w:div w:id="248664424">
      <w:bodyDiv w:val="1"/>
      <w:marLeft w:val="0"/>
      <w:marRight w:val="0"/>
      <w:marTop w:val="0"/>
      <w:marBottom w:val="0"/>
      <w:divBdr>
        <w:top w:val="none" w:sz="0" w:space="0" w:color="auto"/>
        <w:left w:val="none" w:sz="0" w:space="0" w:color="auto"/>
        <w:bottom w:val="none" w:sz="0" w:space="0" w:color="auto"/>
        <w:right w:val="none" w:sz="0" w:space="0" w:color="auto"/>
      </w:divBdr>
    </w:div>
    <w:div w:id="250627034">
      <w:bodyDiv w:val="1"/>
      <w:marLeft w:val="0"/>
      <w:marRight w:val="0"/>
      <w:marTop w:val="0"/>
      <w:marBottom w:val="0"/>
      <w:divBdr>
        <w:top w:val="none" w:sz="0" w:space="0" w:color="auto"/>
        <w:left w:val="none" w:sz="0" w:space="0" w:color="auto"/>
        <w:bottom w:val="none" w:sz="0" w:space="0" w:color="auto"/>
        <w:right w:val="none" w:sz="0" w:space="0" w:color="auto"/>
      </w:divBdr>
    </w:div>
    <w:div w:id="407767872">
      <w:bodyDiv w:val="1"/>
      <w:marLeft w:val="0"/>
      <w:marRight w:val="0"/>
      <w:marTop w:val="0"/>
      <w:marBottom w:val="0"/>
      <w:divBdr>
        <w:top w:val="none" w:sz="0" w:space="0" w:color="auto"/>
        <w:left w:val="none" w:sz="0" w:space="0" w:color="auto"/>
        <w:bottom w:val="none" w:sz="0" w:space="0" w:color="auto"/>
        <w:right w:val="none" w:sz="0" w:space="0" w:color="auto"/>
      </w:divBdr>
    </w:div>
    <w:div w:id="408309431">
      <w:bodyDiv w:val="1"/>
      <w:marLeft w:val="0"/>
      <w:marRight w:val="0"/>
      <w:marTop w:val="0"/>
      <w:marBottom w:val="0"/>
      <w:divBdr>
        <w:top w:val="none" w:sz="0" w:space="0" w:color="auto"/>
        <w:left w:val="none" w:sz="0" w:space="0" w:color="auto"/>
        <w:bottom w:val="none" w:sz="0" w:space="0" w:color="auto"/>
        <w:right w:val="none" w:sz="0" w:space="0" w:color="auto"/>
      </w:divBdr>
    </w:div>
    <w:div w:id="431124283">
      <w:bodyDiv w:val="1"/>
      <w:marLeft w:val="0"/>
      <w:marRight w:val="0"/>
      <w:marTop w:val="0"/>
      <w:marBottom w:val="0"/>
      <w:divBdr>
        <w:top w:val="none" w:sz="0" w:space="0" w:color="auto"/>
        <w:left w:val="none" w:sz="0" w:space="0" w:color="auto"/>
        <w:bottom w:val="none" w:sz="0" w:space="0" w:color="auto"/>
        <w:right w:val="none" w:sz="0" w:space="0" w:color="auto"/>
      </w:divBdr>
    </w:div>
    <w:div w:id="432670291">
      <w:bodyDiv w:val="1"/>
      <w:marLeft w:val="0"/>
      <w:marRight w:val="0"/>
      <w:marTop w:val="0"/>
      <w:marBottom w:val="0"/>
      <w:divBdr>
        <w:top w:val="none" w:sz="0" w:space="0" w:color="auto"/>
        <w:left w:val="none" w:sz="0" w:space="0" w:color="auto"/>
        <w:bottom w:val="none" w:sz="0" w:space="0" w:color="auto"/>
        <w:right w:val="none" w:sz="0" w:space="0" w:color="auto"/>
      </w:divBdr>
    </w:div>
    <w:div w:id="446001442">
      <w:bodyDiv w:val="1"/>
      <w:marLeft w:val="0"/>
      <w:marRight w:val="0"/>
      <w:marTop w:val="0"/>
      <w:marBottom w:val="0"/>
      <w:divBdr>
        <w:top w:val="none" w:sz="0" w:space="0" w:color="auto"/>
        <w:left w:val="none" w:sz="0" w:space="0" w:color="auto"/>
        <w:bottom w:val="none" w:sz="0" w:space="0" w:color="auto"/>
        <w:right w:val="none" w:sz="0" w:space="0" w:color="auto"/>
      </w:divBdr>
    </w:div>
    <w:div w:id="464204466">
      <w:bodyDiv w:val="1"/>
      <w:marLeft w:val="0"/>
      <w:marRight w:val="0"/>
      <w:marTop w:val="0"/>
      <w:marBottom w:val="0"/>
      <w:divBdr>
        <w:top w:val="none" w:sz="0" w:space="0" w:color="auto"/>
        <w:left w:val="none" w:sz="0" w:space="0" w:color="auto"/>
        <w:bottom w:val="none" w:sz="0" w:space="0" w:color="auto"/>
        <w:right w:val="none" w:sz="0" w:space="0" w:color="auto"/>
      </w:divBdr>
    </w:div>
    <w:div w:id="492991455">
      <w:bodyDiv w:val="1"/>
      <w:marLeft w:val="0"/>
      <w:marRight w:val="0"/>
      <w:marTop w:val="0"/>
      <w:marBottom w:val="0"/>
      <w:divBdr>
        <w:top w:val="none" w:sz="0" w:space="0" w:color="auto"/>
        <w:left w:val="none" w:sz="0" w:space="0" w:color="auto"/>
        <w:bottom w:val="none" w:sz="0" w:space="0" w:color="auto"/>
        <w:right w:val="none" w:sz="0" w:space="0" w:color="auto"/>
      </w:divBdr>
    </w:div>
    <w:div w:id="504394191">
      <w:bodyDiv w:val="1"/>
      <w:marLeft w:val="0"/>
      <w:marRight w:val="0"/>
      <w:marTop w:val="0"/>
      <w:marBottom w:val="0"/>
      <w:divBdr>
        <w:top w:val="none" w:sz="0" w:space="0" w:color="auto"/>
        <w:left w:val="none" w:sz="0" w:space="0" w:color="auto"/>
        <w:bottom w:val="none" w:sz="0" w:space="0" w:color="auto"/>
        <w:right w:val="none" w:sz="0" w:space="0" w:color="auto"/>
      </w:divBdr>
    </w:div>
    <w:div w:id="521289440">
      <w:bodyDiv w:val="1"/>
      <w:marLeft w:val="0"/>
      <w:marRight w:val="0"/>
      <w:marTop w:val="0"/>
      <w:marBottom w:val="0"/>
      <w:divBdr>
        <w:top w:val="none" w:sz="0" w:space="0" w:color="auto"/>
        <w:left w:val="none" w:sz="0" w:space="0" w:color="auto"/>
        <w:bottom w:val="none" w:sz="0" w:space="0" w:color="auto"/>
        <w:right w:val="none" w:sz="0" w:space="0" w:color="auto"/>
      </w:divBdr>
    </w:div>
    <w:div w:id="544372327">
      <w:bodyDiv w:val="1"/>
      <w:marLeft w:val="0"/>
      <w:marRight w:val="0"/>
      <w:marTop w:val="0"/>
      <w:marBottom w:val="0"/>
      <w:divBdr>
        <w:top w:val="none" w:sz="0" w:space="0" w:color="auto"/>
        <w:left w:val="none" w:sz="0" w:space="0" w:color="auto"/>
        <w:bottom w:val="none" w:sz="0" w:space="0" w:color="auto"/>
        <w:right w:val="none" w:sz="0" w:space="0" w:color="auto"/>
      </w:divBdr>
    </w:div>
    <w:div w:id="546986195">
      <w:bodyDiv w:val="1"/>
      <w:marLeft w:val="0"/>
      <w:marRight w:val="0"/>
      <w:marTop w:val="0"/>
      <w:marBottom w:val="0"/>
      <w:divBdr>
        <w:top w:val="none" w:sz="0" w:space="0" w:color="auto"/>
        <w:left w:val="none" w:sz="0" w:space="0" w:color="auto"/>
        <w:bottom w:val="none" w:sz="0" w:space="0" w:color="auto"/>
        <w:right w:val="none" w:sz="0" w:space="0" w:color="auto"/>
      </w:divBdr>
    </w:div>
    <w:div w:id="583495548">
      <w:bodyDiv w:val="1"/>
      <w:marLeft w:val="0"/>
      <w:marRight w:val="0"/>
      <w:marTop w:val="0"/>
      <w:marBottom w:val="0"/>
      <w:divBdr>
        <w:top w:val="none" w:sz="0" w:space="0" w:color="auto"/>
        <w:left w:val="none" w:sz="0" w:space="0" w:color="auto"/>
        <w:bottom w:val="none" w:sz="0" w:space="0" w:color="auto"/>
        <w:right w:val="none" w:sz="0" w:space="0" w:color="auto"/>
      </w:divBdr>
    </w:div>
    <w:div w:id="589048888">
      <w:bodyDiv w:val="1"/>
      <w:marLeft w:val="0"/>
      <w:marRight w:val="0"/>
      <w:marTop w:val="0"/>
      <w:marBottom w:val="0"/>
      <w:divBdr>
        <w:top w:val="none" w:sz="0" w:space="0" w:color="auto"/>
        <w:left w:val="none" w:sz="0" w:space="0" w:color="auto"/>
        <w:bottom w:val="none" w:sz="0" w:space="0" w:color="auto"/>
        <w:right w:val="none" w:sz="0" w:space="0" w:color="auto"/>
      </w:divBdr>
    </w:div>
    <w:div w:id="603077279">
      <w:bodyDiv w:val="1"/>
      <w:marLeft w:val="0"/>
      <w:marRight w:val="0"/>
      <w:marTop w:val="0"/>
      <w:marBottom w:val="0"/>
      <w:divBdr>
        <w:top w:val="none" w:sz="0" w:space="0" w:color="auto"/>
        <w:left w:val="none" w:sz="0" w:space="0" w:color="auto"/>
        <w:bottom w:val="none" w:sz="0" w:space="0" w:color="auto"/>
        <w:right w:val="none" w:sz="0" w:space="0" w:color="auto"/>
      </w:divBdr>
    </w:div>
    <w:div w:id="630211080">
      <w:bodyDiv w:val="1"/>
      <w:marLeft w:val="0"/>
      <w:marRight w:val="0"/>
      <w:marTop w:val="0"/>
      <w:marBottom w:val="0"/>
      <w:divBdr>
        <w:top w:val="none" w:sz="0" w:space="0" w:color="auto"/>
        <w:left w:val="none" w:sz="0" w:space="0" w:color="auto"/>
        <w:bottom w:val="none" w:sz="0" w:space="0" w:color="auto"/>
        <w:right w:val="none" w:sz="0" w:space="0" w:color="auto"/>
      </w:divBdr>
    </w:div>
    <w:div w:id="651565887">
      <w:bodyDiv w:val="1"/>
      <w:marLeft w:val="0"/>
      <w:marRight w:val="0"/>
      <w:marTop w:val="0"/>
      <w:marBottom w:val="0"/>
      <w:divBdr>
        <w:top w:val="none" w:sz="0" w:space="0" w:color="auto"/>
        <w:left w:val="none" w:sz="0" w:space="0" w:color="auto"/>
        <w:bottom w:val="none" w:sz="0" w:space="0" w:color="auto"/>
        <w:right w:val="none" w:sz="0" w:space="0" w:color="auto"/>
      </w:divBdr>
    </w:div>
    <w:div w:id="671881166">
      <w:bodyDiv w:val="1"/>
      <w:marLeft w:val="0"/>
      <w:marRight w:val="0"/>
      <w:marTop w:val="0"/>
      <w:marBottom w:val="0"/>
      <w:divBdr>
        <w:top w:val="none" w:sz="0" w:space="0" w:color="auto"/>
        <w:left w:val="none" w:sz="0" w:space="0" w:color="auto"/>
        <w:bottom w:val="none" w:sz="0" w:space="0" w:color="auto"/>
        <w:right w:val="none" w:sz="0" w:space="0" w:color="auto"/>
      </w:divBdr>
    </w:div>
    <w:div w:id="710039348">
      <w:bodyDiv w:val="1"/>
      <w:marLeft w:val="0"/>
      <w:marRight w:val="0"/>
      <w:marTop w:val="0"/>
      <w:marBottom w:val="0"/>
      <w:divBdr>
        <w:top w:val="none" w:sz="0" w:space="0" w:color="auto"/>
        <w:left w:val="none" w:sz="0" w:space="0" w:color="auto"/>
        <w:bottom w:val="none" w:sz="0" w:space="0" w:color="auto"/>
        <w:right w:val="none" w:sz="0" w:space="0" w:color="auto"/>
      </w:divBdr>
    </w:div>
    <w:div w:id="713891740">
      <w:bodyDiv w:val="1"/>
      <w:marLeft w:val="0"/>
      <w:marRight w:val="0"/>
      <w:marTop w:val="0"/>
      <w:marBottom w:val="0"/>
      <w:divBdr>
        <w:top w:val="none" w:sz="0" w:space="0" w:color="auto"/>
        <w:left w:val="none" w:sz="0" w:space="0" w:color="auto"/>
        <w:bottom w:val="none" w:sz="0" w:space="0" w:color="auto"/>
        <w:right w:val="none" w:sz="0" w:space="0" w:color="auto"/>
      </w:divBdr>
    </w:div>
    <w:div w:id="715813361">
      <w:bodyDiv w:val="1"/>
      <w:marLeft w:val="0"/>
      <w:marRight w:val="0"/>
      <w:marTop w:val="0"/>
      <w:marBottom w:val="0"/>
      <w:divBdr>
        <w:top w:val="none" w:sz="0" w:space="0" w:color="auto"/>
        <w:left w:val="none" w:sz="0" w:space="0" w:color="auto"/>
        <w:bottom w:val="none" w:sz="0" w:space="0" w:color="auto"/>
        <w:right w:val="none" w:sz="0" w:space="0" w:color="auto"/>
      </w:divBdr>
    </w:div>
    <w:div w:id="843862259">
      <w:bodyDiv w:val="1"/>
      <w:marLeft w:val="0"/>
      <w:marRight w:val="0"/>
      <w:marTop w:val="0"/>
      <w:marBottom w:val="0"/>
      <w:divBdr>
        <w:top w:val="none" w:sz="0" w:space="0" w:color="auto"/>
        <w:left w:val="none" w:sz="0" w:space="0" w:color="auto"/>
        <w:bottom w:val="none" w:sz="0" w:space="0" w:color="auto"/>
        <w:right w:val="none" w:sz="0" w:space="0" w:color="auto"/>
      </w:divBdr>
    </w:div>
    <w:div w:id="847982078">
      <w:bodyDiv w:val="1"/>
      <w:marLeft w:val="0"/>
      <w:marRight w:val="0"/>
      <w:marTop w:val="0"/>
      <w:marBottom w:val="0"/>
      <w:divBdr>
        <w:top w:val="none" w:sz="0" w:space="0" w:color="auto"/>
        <w:left w:val="none" w:sz="0" w:space="0" w:color="auto"/>
        <w:bottom w:val="none" w:sz="0" w:space="0" w:color="auto"/>
        <w:right w:val="none" w:sz="0" w:space="0" w:color="auto"/>
      </w:divBdr>
    </w:div>
    <w:div w:id="879324365">
      <w:bodyDiv w:val="1"/>
      <w:marLeft w:val="0"/>
      <w:marRight w:val="0"/>
      <w:marTop w:val="0"/>
      <w:marBottom w:val="0"/>
      <w:divBdr>
        <w:top w:val="none" w:sz="0" w:space="0" w:color="auto"/>
        <w:left w:val="none" w:sz="0" w:space="0" w:color="auto"/>
        <w:bottom w:val="none" w:sz="0" w:space="0" w:color="auto"/>
        <w:right w:val="none" w:sz="0" w:space="0" w:color="auto"/>
      </w:divBdr>
    </w:div>
    <w:div w:id="882785512">
      <w:bodyDiv w:val="1"/>
      <w:marLeft w:val="0"/>
      <w:marRight w:val="0"/>
      <w:marTop w:val="0"/>
      <w:marBottom w:val="0"/>
      <w:divBdr>
        <w:top w:val="none" w:sz="0" w:space="0" w:color="auto"/>
        <w:left w:val="none" w:sz="0" w:space="0" w:color="auto"/>
        <w:bottom w:val="none" w:sz="0" w:space="0" w:color="auto"/>
        <w:right w:val="none" w:sz="0" w:space="0" w:color="auto"/>
      </w:divBdr>
    </w:div>
    <w:div w:id="948195568">
      <w:bodyDiv w:val="1"/>
      <w:marLeft w:val="0"/>
      <w:marRight w:val="0"/>
      <w:marTop w:val="0"/>
      <w:marBottom w:val="0"/>
      <w:divBdr>
        <w:top w:val="none" w:sz="0" w:space="0" w:color="auto"/>
        <w:left w:val="none" w:sz="0" w:space="0" w:color="auto"/>
        <w:bottom w:val="none" w:sz="0" w:space="0" w:color="auto"/>
        <w:right w:val="none" w:sz="0" w:space="0" w:color="auto"/>
      </w:divBdr>
    </w:div>
    <w:div w:id="966664397">
      <w:bodyDiv w:val="1"/>
      <w:marLeft w:val="0"/>
      <w:marRight w:val="0"/>
      <w:marTop w:val="0"/>
      <w:marBottom w:val="0"/>
      <w:divBdr>
        <w:top w:val="none" w:sz="0" w:space="0" w:color="auto"/>
        <w:left w:val="none" w:sz="0" w:space="0" w:color="auto"/>
        <w:bottom w:val="none" w:sz="0" w:space="0" w:color="auto"/>
        <w:right w:val="none" w:sz="0" w:space="0" w:color="auto"/>
      </w:divBdr>
    </w:div>
    <w:div w:id="998536735">
      <w:bodyDiv w:val="1"/>
      <w:marLeft w:val="0"/>
      <w:marRight w:val="0"/>
      <w:marTop w:val="0"/>
      <w:marBottom w:val="0"/>
      <w:divBdr>
        <w:top w:val="none" w:sz="0" w:space="0" w:color="auto"/>
        <w:left w:val="none" w:sz="0" w:space="0" w:color="auto"/>
        <w:bottom w:val="none" w:sz="0" w:space="0" w:color="auto"/>
        <w:right w:val="none" w:sz="0" w:space="0" w:color="auto"/>
      </w:divBdr>
    </w:div>
    <w:div w:id="1026760046">
      <w:bodyDiv w:val="1"/>
      <w:marLeft w:val="0"/>
      <w:marRight w:val="0"/>
      <w:marTop w:val="0"/>
      <w:marBottom w:val="0"/>
      <w:divBdr>
        <w:top w:val="none" w:sz="0" w:space="0" w:color="auto"/>
        <w:left w:val="none" w:sz="0" w:space="0" w:color="auto"/>
        <w:bottom w:val="none" w:sz="0" w:space="0" w:color="auto"/>
        <w:right w:val="none" w:sz="0" w:space="0" w:color="auto"/>
      </w:divBdr>
    </w:div>
    <w:div w:id="1029530615">
      <w:bodyDiv w:val="1"/>
      <w:marLeft w:val="0"/>
      <w:marRight w:val="0"/>
      <w:marTop w:val="0"/>
      <w:marBottom w:val="0"/>
      <w:divBdr>
        <w:top w:val="none" w:sz="0" w:space="0" w:color="auto"/>
        <w:left w:val="none" w:sz="0" w:space="0" w:color="auto"/>
        <w:bottom w:val="none" w:sz="0" w:space="0" w:color="auto"/>
        <w:right w:val="none" w:sz="0" w:space="0" w:color="auto"/>
      </w:divBdr>
    </w:div>
    <w:div w:id="1079903725">
      <w:bodyDiv w:val="1"/>
      <w:marLeft w:val="0"/>
      <w:marRight w:val="0"/>
      <w:marTop w:val="0"/>
      <w:marBottom w:val="0"/>
      <w:divBdr>
        <w:top w:val="none" w:sz="0" w:space="0" w:color="auto"/>
        <w:left w:val="none" w:sz="0" w:space="0" w:color="auto"/>
        <w:bottom w:val="none" w:sz="0" w:space="0" w:color="auto"/>
        <w:right w:val="none" w:sz="0" w:space="0" w:color="auto"/>
      </w:divBdr>
    </w:div>
    <w:div w:id="1098872928">
      <w:bodyDiv w:val="1"/>
      <w:marLeft w:val="0"/>
      <w:marRight w:val="0"/>
      <w:marTop w:val="0"/>
      <w:marBottom w:val="0"/>
      <w:divBdr>
        <w:top w:val="none" w:sz="0" w:space="0" w:color="auto"/>
        <w:left w:val="none" w:sz="0" w:space="0" w:color="auto"/>
        <w:bottom w:val="none" w:sz="0" w:space="0" w:color="auto"/>
        <w:right w:val="none" w:sz="0" w:space="0" w:color="auto"/>
      </w:divBdr>
    </w:div>
    <w:div w:id="1101684843">
      <w:bodyDiv w:val="1"/>
      <w:marLeft w:val="0"/>
      <w:marRight w:val="0"/>
      <w:marTop w:val="0"/>
      <w:marBottom w:val="0"/>
      <w:divBdr>
        <w:top w:val="none" w:sz="0" w:space="0" w:color="auto"/>
        <w:left w:val="none" w:sz="0" w:space="0" w:color="auto"/>
        <w:bottom w:val="none" w:sz="0" w:space="0" w:color="auto"/>
        <w:right w:val="none" w:sz="0" w:space="0" w:color="auto"/>
      </w:divBdr>
    </w:div>
    <w:div w:id="1142652912">
      <w:bodyDiv w:val="1"/>
      <w:marLeft w:val="0"/>
      <w:marRight w:val="0"/>
      <w:marTop w:val="0"/>
      <w:marBottom w:val="0"/>
      <w:divBdr>
        <w:top w:val="none" w:sz="0" w:space="0" w:color="auto"/>
        <w:left w:val="none" w:sz="0" w:space="0" w:color="auto"/>
        <w:bottom w:val="none" w:sz="0" w:space="0" w:color="auto"/>
        <w:right w:val="none" w:sz="0" w:space="0" w:color="auto"/>
      </w:divBdr>
    </w:div>
    <w:div w:id="1148129262">
      <w:bodyDiv w:val="1"/>
      <w:marLeft w:val="0"/>
      <w:marRight w:val="0"/>
      <w:marTop w:val="0"/>
      <w:marBottom w:val="0"/>
      <w:divBdr>
        <w:top w:val="none" w:sz="0" w:space="0" w:color="auto"/>
        <w:left w:val="none" w:sz="0" w:space="0" w:color="auto"/>
        <w:bottom w:val="none" w:sz="0" w:space="0" w:color="auto"/>
        <w:right w:val="none" w:sz="0" w:space="0" w:color="auto"/>
      </w:divBdr>
    </w:div>
    <w:div w:id="1150363652">
      <w:bodyDiv w:val="1"/>
      <w:marLeft w:val="0"/>
      <w:marRight w:val="0"/>
      <w:marTop w:val="0"/>
      <w:marBottom w:val="0"/>
      <w:divBdr>
        <w:top w:val="none" w:sz="0" w:space="0" w:color="auto"/>
        <w:left w:val="none" w:sz="0" w:space="0" w:color="auto"/>
        <w:bottom w:val="none" w:sz="0" w:space="0" w:color="auto"/>
        <w:right w:val="none" w:sz="0" w:space="0" w:color="auto"/>
      </w:divBdr>
    </w:div>
    <w:div w:id="1156721710">
      <w:bodyDiv w:val="1"/>
      <w:marLeft w:val="0"/>
      <w:marRight w:val="0"/>
      <w:marTop w:val="0"/>
      <w:marBottom w:val="0"/>
      <w:divBdr>
        <w:top w:val="none" w:sz="0" w:space="0" w:color="auto"/>
        <w:left w:val="none" w:sz="0" w:space="0" w:color="auto"/>
        <w:bottom w:val="none" w:sz="0" w:space="0" w:color="auto"/>
        <w:right w:val="none" w:sz="0" w:space="0" w:color="auto"/>
      </w:divBdr>
    </w:div>
    <w:div w:id="1163861392">
      <w:bodyDiv w:val="1"/>
      <w:marLeft w:val="0"/>
      <w:marRight w:val="0"/>
      <w:marTop w:val="0"/>
      <w:marBottom w:val="0"/>
      <w:divBdr>
        <w:top w:val="none" w:sz="0" w:space="0" w:color="auto"/>
        <w:left w:val="none" w:sz="0" w:space="0" w:color="auto"/>
        <w:bottom w:val="none" w:sz="0" w:space="0" w:color="auto"/>
        <w:right w:val="none" w:sz="0" w:space="0" w:color="auto"/>
      </w:divBdr>
    </w:div>
    <w:div w:id="1184175825">
      <w:bodyDiv w:val="1"/>
      <w:marLeft w:val="0"/>
      <w:marRight w:val="0"/>
      <w:marTop w:val="0"/>
      <w:marBottom w:val="0"/>
      <w:divBdr>
        <w:top w:val="none" w:sz="0" w:space="0" w:color="auto"/>
        <w:left w:val="none" w:sz="0" w:space="0" w:color="auto"/>
        <w:bottom w:val="none" w:sz="0" w:space="0" w:color="auto"/>
        <w:right w:val="none" w:sz="0" w:space="0" w:color="auto"/>
      </w:divBdr>
    </w:div>
    <w:div w:id="1236933935">
      <w:bodyDiv w:val="1"/>
      <w:marLeft w:val="0"/>
      <w:marRight w:val="0"/>
      <w:marTop w:val="0"/>
      <w:marBottom w:val="0"/>
      <w:divBdr>
        <w:top w:val="none" w:sz="0" w:space="0" w:color="auto"/>
        <w:left w:val="none" w:sz="0" w:space="0" w:color="auto"/>
        <w:bottom w:val="none" w:sz="0" w:space="0" w:color="auto"/>
        <w:right w:val="none" w:sz="0" w:space="0" w:color="auto"/>
      </w:divBdr>
    </w:div>
    <w:div w:id="1271821749">
      <w:bodyDiv w:val="1"/>
      <w:marLeft w:val="0"/>
      <w:marRight w:val="0"/>
      <w:marTop w:val="0"/>
      <w:marBottom w:val="0"/>
      <w:divBdr>
        <w:top w:val="none" w:sz="0" w:space="0" w:color="auto"/>
        <w:left w:val="none" w:sz="0" w:space="0" w:color="auto"/>
        <w:bottom w:val="none" w:sz="0" w:space="0" w:color="auto"/>
        <w:right w:val="none" w:sz="0" w:space="0" w:color="auto"/>
      </w:divBdr>
    </w:div>
    <w:div w:id="1316835175">
      <w:bodyDiv w:val="1"/>
      <w:marLeft w:val="0"/>
      <w:marRight w:val="0"/>
      <w:marTop w:val="0"/>
      <w:marBottom w:val="0"/>
      <w:divBdr>
        <w:top w:val="none" w:sz="0" w:space="0" w:color="auto"/>
        <w:left w:val="none" w:sz="0" w:space="0" w:color="auto"/>
        <w:bottom w:val="none" w:sz="0" w:space="0" w:color="auto"/>
        <w:right w:val="none" w:sz="0" w:space="0" w:color="auto"/>
      </w:divBdr>
    </w:div>
    <w:div w:id="1337145695">
      <w:bodyDiv w:val="1"/>
      <w:marLeft w:val="0"/>
      <w:marRight w:val="0"/>
      <w:marTop w:val="0"/>
      <w:marBottom w:val="0"/>
      <w:divBdr>
        <w:top w:val="none" w:sz="0" w:space="0" w:color="auto"/>
        <w:left w:val="none" w:sz="0" w:space="0" w:color="auto"/>
        <w:bottom w:val="none" w:sz="0" w:space="0" w:color="auto"/>
        <w:right w:val="none" w:sz="0" w:space="0" w:color="auto"/>
      </w:divBdr>
    </w:div>
    <w:div w:id="1359818822">
      <w:bodyDiv w:val="1"/>
      <w:marLeft w:val="0"/>
      <w:marRight w:val="0"/>
      <w:marTop w:val="0"/>
      <w:marBottom w:val="0"/>
      <w:divBdr>
        <w:top w:val="none" w:sz="0" w:space="0" w:color="auto"/>
        <w:left w:val="none" w:sz="0" w:space="0" w:color="auto"/>
        <w:bottom w:val="none" w:sz="0" w:space="0" w:color="auto"/>
        <w:right w:val="none" w:sz="0" w:space="0" w:color="auto"/>
      </w:divBdr>
    </w:div>
    <w:div w:id="1403408105">
      <w:bodyDiv w:val="1"/>
      <w:marLeft w:val="0"/>
      <w:marRight w:val="0"/>
      <w:marTop w:val="0"/>
      <w:marBottom w:val="0"/>
      <w:divBdr>
        <w:top w:val="none" w:sz="0" w:space="0" w:color="auto"/>
        <w:left w:val="none" w:sz="0" w:space="0" w:color="auto"/>
        <w:bottom w:val="none" w:sz="0" w:space="0" w:color="auto"/>
        <w:right w:val="none" w:sz="0" w:space="0" w:color="auto"/>
      </w:divBdr>
    </w:div>
    <w:div w:id="1404445874">
      <w:bodyDiv w:val="1"/>
      <w:marLeft w:val="0"/>
      <w:marRight w:val="0"/>
      <w:marTop w:val="0"/>
      <w:marBottom w:val="0"/>
      <w:divBdr>
        <w:top w:val="none" w:sz="0" w:space="0" w:color="auto"/>
        <w:left w:val="none" w:sz="0" w:space="0" w:color="auto"/>
        <w:bottom w:val="none" w:sz="0" w:space="0" w:color="auto"/>
        <w:right w:val="none" w:sz="0" w:space="0" w:color="auto"/>
      </w:divBdr>
    </w:div>
    <w:div w:id="1420520525">
      <w:bodyDiv w:val="1"/>
      <w:marLeft w:val="0"/>
      <w:marRight w:val="0"/>
      <w:marTop w:val="0"/>
      <w:marBottom w:val="0"/>
      <w:divBdr>
        <w:top w:val="none" w:sz="0" w:space="0" w:color="auto"/>
        <w:left w:val="none" w:sz="0" w:space="0" w:color="auto"/>
        <w:bottom w:val="none" w:sz="0" w:space="0" w:color="auto"/>
        <w:right w:val="none" w:sz="0" w:space="0" w:color="auto"/>
      </w:divBdr>
    </w:div>
    <w:div w:id="1436708604">
      <w:bodyDiv w:val="1"/>
      <w:marLeft w:val="0"/>
      <w:marRight w:val="0"/>
      <w:marTop w:val="0"/>
      <w:marBottom w:val="0"/>
      <w:divBdr>
        <w:top w:val="none" w:sz="0" w:space="0" w:color="auto"/>
        <w:left w:val="none" w:sz="0" w:space="0" w:color="auto"/>
        <w:bottom w:val="none" w:sz="0" w:space="0" w:color="auto"/>
        <w:right w:val="none" w:sz="0" w:space="0" w:color="auto"/>
      </w:divBdr>
    </w:div>
    <w:div w:id="1453135501">
      <w:bodyDiv w:val="1"/>
      <w:marLeft w:val="0"/>
      <w:marRight w:val="0"/>
      <w:marTop w:val="0"/>
      <w:marBottom w:val="0"/>
      <w:divBdr>
        <w:top w:val="none" w:sz="0" w:space="0" w:color="auto"/>
        <w:left w:val="none" w:sz="0" w:space="0" w:color="auto"/>
        <w:bottom w:val="none" w:sz="0" w:space="0" w:color="auto"/>
        <w:right w:val="none" w:sz="0" w:space="0" w:color="auto"/>
      </w:divBdr>
    </w:div>
    <w:div w:id="1461149617">
      <w:bodyDiv w:val="1"/>
      <w:marLeft w:val="0"/>
      <w:marRight w:val="0"/>
      <w:marTop w:val="0"/>
      <w:marBottom w:val="0"/>
      <w:divBdr>
        <w:top w:val="none" w:sz="0" w:space="0" w:color="auto"/>
        <w:left w:val="none" w:sz="0" w:space="0" w:color="auto"/>
        <w:bottom w:val="none" w:sz="0" w:space="0" w:color="auto"/>
        <w:right w:val="none" w:sz="0" w:space="0" w:color="auto"/>
      </w:divBdr>
    </w:div>
    <w:div w:id="1462068488">
      <w:bodyDiv w:val="1"/>
      <w:marLeft w:val="0"/>
      <w:marRight w:val="0"/>
      <w:marTop w:val="0"/>
      <w:marBottom w:val="0"/>
      <w:divBdr>
        <w:top w:val="none" w:sz="0" w:space="0" w:color="auto"/>
        <w:left w:val="none" w:sz="0" w:space="0" w:color="auto"/>
        <w:bottom w:val="none" w:sz="0" w:space="0" w:color="auto"/>
        <w:right w:val="none" w:sz="0" w:space="0" w:color="auto"/>
      </w:divBdr>
    </w:div>
    <w:div w:id="1465125229">
      <w:bodyDiv w:val="1"/>
      <w:marLeft w:val="0"/>
      <w:marRight w:val="0"/>
      <w:marTop w:val="0"/>
      <w:marBottom w:val="0"/>
      <w:divBdr>
        <w:top w:val="none" w:sz="0" w:space="0" w:color="auto"/>
        <w:left w:val="none" w:sz="0" w:space="0" w:color="auto"/>
        <w:bottom w:val="none" w:sz="0" w:space="0" w:color="auto"/>
        <w:right w:val="none" w:sz="0" w:space="0" w:color="auto"/>
      </w:divBdr>
    </w:div>
    <w:div w:id="1491408592">
      <w:bodyDiv w:val="1"/>
      <w:marLeft w:val="0"/>
      <w:marRight w:val="0"/>
      <w:marTop w:val="0"/>
      <w:marBottom w:val="0"/>
      <w:divBdr>
        <w:top w:val="none" w:sz="0" w:space="0" w:color="auto"/>
        <w:left w:val="none" w:sz="0" w:space="0" w:color="auto"/>
        <w:bottom w:val="none" w:sz="0" w:space="0" w:color="auto"/>
        <w:right w:val="none" w:sz="0" w:space="0" w:color="auto"/>
      </w:divBdr>
    </w:div>
    <w:div w:id="1494103853">
      <w:bodyDiv w:val="1"/>
      <w:marLeft w:val="0"/>
      <w:marRight w:val="0"/>
      <w:marTop w:val="0"/>
      <w:marBottom w:val="0"/>
      <w:divBdr>
        <w:top w:val="none" w:sz="0" w:space="0" w:color="auto"/>
        <w:left w:val="none" w:sz="0" w:space="0" w:color="auto"/>
        <w:bottom w:val="none" w:sz="0" w:space="0" w:color="auto"/>
        <w:right w:val="none" w:sz="0" w:space="0" w:color="auto"/>
      </w:divBdr>
    </w:div>
    <w:div w:id="1497645345">
      <w:bodyDiv w:val="1"/>
      <w:marLeft w:val="0"/>
      <w:marRight w:val="0"/>
      <w:marTop w:val="0"/>
      <w:marBottom w:val="0"/>
      <w:divBdr>
        <w:top w:val="none" w:sz="0" w:space="0" w:color="auto"/>
        <w:left w:val="none" w:sz="0" w:space="0" w:color="auto"/>
        <w:bottom w:val="none" w:sz="0" w:space="0" w:color="auto"/>
        <w:right w:val="none" w:sz="0" w:space="0" w:color="auto"/>
      </w:divBdr>
    </w:div>
    <w:div w:id="1531183293">
      <w:bodyDiv w:val="1"/>
      <w:marLeft w:val="0"/>
      <w:marRight w:val="0"/>
      <w:marTop w:val="0"/>
      <w:marBottom w:val="0"/>
      <w:divBdr>
        <w:top w:val="none" w:sz="0" w:space="0" w:color="auto"/>
        <w:left w:val="none" w:sz="0" w:space="0" w:color="auto"/>
        <w:bottom w:val="none" w:sz="0" w:space="0" w:color="auto"/>
        <w:right w:val="none" w:sz="0" w:space="0" w:color="auto"/>
      </w:divBdr>
    </w:div>
    <w:div w:id="1591573909">
      <w:bodyDiv w:val="1"/>
      <w:marLeft w:val="0"/>
      <w:marRight w:val="0"/>
      <w:marTop w:val="0"/>
      <w:marBottom w:val="0"/>
      <w:divBdr>
        <w:top w:val="none" w:sz="0" w:space="0" w:color="auto"/>
        <w:left w:val="none" w:sz="0" w:space="0" w:color="auto"/>
        <w:bottom w:val="none" w:sz="0" w:space="0" w:color="auto"/>
        <w:right w:val="none" w:sz="0" w:space="0" w:color="auto"/>
      </w:divBdr>
    </w:div>
    <w:div w:id="1595239004">
      <w:bodyDiv w:val="1"/>
      <w:marLeft w:val="0"/>
      <w:marRight w:val="0"/>
      <w:marTop w:val="0"/>
      <w:marBottom w:val="0"/>
      <w:divBdr>
        <w:top w:val="none" w:sz="0" w:space="0" w:color="auto"/>
        <w:left w:val="none" w:sz="0" w:space="0" w:color="auto"/>
        <w:bottom w:val="none" w:sz="0" w:space="0" w:color="auto"/>
        <w:right w:val="none" w:sz="0" w:space="0" w:color="auto"/>
      </w:divBdr>
    </w:div>
    <w:div w:id="1596747978">
      <w:bodyDiv w:val="1"/>
      <w:marLeft w:val="0"/>
      <w:marRight w:val="0"/>
      <w:marTop w:val="0"/>
      <w:marBottom w:val="0"/>
      <w:divBdr>
        <w:top w:val="none" w:sz="0" w:space="0" w:color="auto"/>
        <w:left w:val="none" w:sz="0" w:space="0" w:color="auto"/>
        <w:bottom w:val="none" w:sz="0" w:space="0" w:color="auto"/>
        <w:right w:val="none" w:sz="0" w:space="0" w:color="auto"/>
      </w:divBdr>
    </w:div>
    <w:div w:id="1614050347">
      <w:bodyDiv w:val="1"/>
      <w:marLeft w:val="0"/>
      <w:marRight w:val="0"/>
      <w:marTop w:val="0"/>
      <w:marBottom w:val="0"/>
      <w:divBdr>
        <w:top w:val="none" w:sz="0" w:space="0" w:color="auto"/>
        <w:left w:val="none" w:sz="0" w:space="0" w:color="auto"/>
        <w:bottom w:val="none" w:sz="0" w:space="0" w:color="auto"/>
        <w:right w:val="none" w:sz="0" w:space="0" w:color="auto"/>
      </w:divBdr>
    </w:div>
    <w:div w:id="1644651903">
      <w:bodyDiv w:val="1"/>
      <w:marLeft w:val="0"/>
      <w:marRight w:val="0"/>
      <w:marTop w:val="0"/>
      <w:marBottom w:val="0"/>
      <w:divBdr>
        <w:top w:val="none" w:sz="0" w:space="0" w:color="auto"/>
        <w:left w:val="none" w:sz="0" w:space="0" w:color="auto"/>
        <w:bottom w:val="none" w:sz="0" w:space="0" w:color="auto"/>
        <w:right w:val="none" w:sz="0" w:space="0" w:color="auto"/>
      </w:divBdr>
    </w:div>
    <w:div w:id="1674453865">
      <w:bodyDiv w:val="1"/>
      <w:marLeft w:val="0"/>
      <w:marRight w:val="0"/>
      <w:marTop w:val="0"/>
      <w:marBottom w:val="0"/>
      <w:divBdr>
        <w:top w:val="none" w:sz="0" w:space="0" w:color="auto"/>
        <w:left w:val="none" w:sz="0" w:space="0" w:color="auto"/>
        <w:bottom w:val="none" w:sz="0" w:space="0" w:color="auto"/>
        <w:right w:val="none" w:sz="0" w:space="0" w:color="auto"/>
      </w:divBdr>
    </w:div>
    <w:div w:id="1697073221">
      <w:bodyDiv w:val="1"/>
      <w:marLeft w:val="0"/>
      <w:marRight w:val="0"/>
      <w:marTop w:val="0"/>
      <w:marBottom w:val="0"/>
      <w:divBdr>
        <w:top w:val="none" w:sz="0" w:space="0" w:color="auto"/>
        <w:left w:val="none" w:sz="0" w:space="0" w:color="auto"/>
        <w:bottom w:val="none" w:sz="0" w:space="0" w:color="auto"/>
        <w:right w:val="none" w:sz="0" w:space="0" w:color="auto"/>
      </w:divBdr>
    </w:div>
    <w:div w:id="1719091530">
      <w:bodyDiv w:val="1"/>
      <w:marLeft w:val="0"/>
      <w:marRight w:val="0"/>
      <w:marTop w:val="0"/>
      <w:marBottom w:val="0"/>
      <w:divBdr>
        <w:top w:val="none" w:sz="0" w:space="0" w:color="auto"/>
        <w:left w:val="none" w:sz="0" w:space="0" w:color="auto"/>
        <w:bottom w:val="none" w:sz="0" w:space="0" w:color="auto"/>
        <w:right w:val="none" w:sz="0" w:space="0" w:color="auto"/>
      </w:divBdr>
    </w:div>
    <w:div w:id="1732725496">
      <w:bodyDiv w:val="1"/>
      <w:marLeft w:val="0"/>
      <w:marRight w:val="0"/>
      <w:marTop w:val="0"/>
      <w:marBottom w:val="0"/>
      <w:divBdr>
        <w:top w:val="none" w:sz="0" w:space="0" w:color="auto"/>
        <w:left w:val="none" w:sz="0" w:space="0" w:color="auto"/>
        <w:bottom w:val="none" w:sz="0" w:space="0" w:color="auto"/>
        <w:right w:val="none" w:sz="0" w:space="0" w:color="auto"/>
      </w:divBdr>
    </w:div>
    <w:div w:id="1737897511">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77358666">
      <w:bodyDiv w:val="1"/>
      <w:marLeft w:val="0"/>
      <w:marRight w:val="0"/>
      <w:marTop w:val="0"/>
      <w:marBottom w:val="0"/>
      <w:divBdr>
        <w:top w:val="none" w:sz="0" w:space="0" w:color="auto"/>
        <w:left w:val="none" w:sz="0" w:space="0" w:color="auto"/>
        <w:bottom w:val="none" w:sz="0" w:space="0" w:color="auto"/>
        <w:right w:val="none" w:sz="0" w:space="0" w:color="auto"/>
      </w:divBdr>
    </w:div>
    <w:div w:id="1808162870">
      <w:bodyDiv w:val="1"/>
      <w:marLeft w:val="0"/>
      <w:marRight w:val="0"/>
      <w:marTop w:val="0"/>
      <w:marBottom w:val="0"/>
      <w:divBdr>
        <w:top w:val="none" w:sz="0" w:space="0" w:color="auto"/>
        <w:left w:val="none" w:sz="0" w:space="0" w:color="auto"/>
        <w:bottom w:val="none" w:sz="0" w:space="0" w:color="auto"/>
        <w:right w:val="none" w:sz="0" w:space="0" w:color="auto"/>
      </w:divBdr>
    </w:div>
    <w:div w:id="1875727409">
      <w:bodyDiv w:val="1"/>
      <w:marLeft w:val="0"/>
      <w:marRight w:val="0"/>
      <w:marTop w:val="0"/>
      <w:marBottom w:val="0"/>
      <w:divBdr>
        <w:top w:val="none" w:sz="0" w:space="0" w:color="auto"/>
        <w:left w:val="none" w:sz="0" w:space="0" w:color="auto"/>
        <w:bottom w:val="none" w:sz="0" w:space="0" w:color="auto"/>
        <w:right w:val="none" w:sz="0" w:space="0" w:color="auto"/>
      </w:divBdr>
    </w:div>
    <w:div w:id="1879587798">
      <w:bodyDiv w:val="1"/>
      <w:marLeft w:val="0"/>
      <w:marRight w:val="0"/>
      <w:marTop w:val="0"/>
      <w:marBottom w:val="0"/>
      <w:divBdr>
        <w:top w:val="none" w:sz="0" w:space="0" w:color="auto"/>
        <w:left w:val="none" w:sz="0" w:space="0" w:color="auto"/>
        <w:bottom w:val="none" w:sz="0" w:space="0" w:color="auto"/>
        <w:right w:val="none" w:sz="0" w:space="0" w:color="auto"/>
      </w:divBdr>
    </w:div>
    <w:div w:id="1948194824">
      <w:bodyDiv w:val="1"/>
      <w:marLeft w:val="0"/>
      <w:marRight w:val="0"/>
      <w:marTop w:val="0"/>
      <w:marBottom w:val="0"/>
      <w:divBdr>
        <w:top w:val="none" w:sz="0" w:space="0" w:color="auto"/>
        <w:left w:val="none" w:sz="0" w:space="0" w:color="auto"/>
        <w:bottom w:val="none" w:sz="0" w:space="0" w:color="auto"/>
        <w:right w:val="none" w:sz="0" w:space="0" w:color="auto"/>
      </w:divBdr>
    </w:div>
    <w:div w:id="1973362578">
      <w:bodyDiv w:val="1"/>
      <w:marLeft w:val="0"/>
      <w:marRight w:val="0"/>
      <w:marTop w:val="0"/>
      <w:marBottom w:val="0"/>
      <w:divBdr>
        <w:top w:val="none" w:sz="0" w:space="0" w:color="auto"/>
        <w:left w:val="none" w:sz="0" w:space="0" w:color="auto"/>
        <w:bottom w:val="none" w:sz="0" w:space="0" w:color="auto"/>
        <w:right w:val="none" w:sz="0" w:space="0" w:color="auto"/>
      </w:divBdr>
    </w:div>
    <w:div w:id="1991790990">
      <w:bodyDiv w:val="1"/>
      <w:marLeft w:val="0"/>
      <w:marRight w:val="0"/>
      <w:marTop w:val="0"/>
      <w:marBottom w:val="0"/>
      <w:divBdr>
        <w:top w:val="none" w:sz="0" w:space="0" w:color="auto"/>
        <w:left w:val="none" w:sz="0" w:space="0" w:color="auto"/>
        <w:bottom w:val="none" w:sz="0" w:space="0" w:color="auto"/>
        <w:right w:val="none" w:sz="0" w:space="0" w:color="auto"/>
      </w:divBdr>
    </w:div>
    <w:div w:id="2037658824">
      <w:bodyDiv w:val="1"/>
      <w:marLeft w:val="0"/>
      <w:marRight w:val="0"/>
      <w:marTop w:val="0"/>
      <w:marBottom w:val="0"/>
      <w:divBdr>
        <w:top w:val="none" w:sz="0" w:space="0" w:color="auto"/>
        <w:left w:val="none" w:sz="0" w:space="0" w:color="auto"/>
        <w:bottom w:val="none" w:sz="0" w:space="0" w:color="auto"/>
        <w:right w:val="none" w:sz="0" w:space="0" w:color="auto"/>
      </w:divBdr>
    </w:div>
    <w:div w:id="213779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crutiny@parliament.act.gov.au" TargetMode="External"/><Relationship Id="rId18" Type="http://schemas.openxmlformats.org/officeDocument/2006/relationships/hyperlink" Target="https://readerroom.standards.org.au/"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s://www.parliament.act.gov.au/parliamentary-business/in-committees/committees-11th-assembly/LA_Scrutiny" TargetMode="External"/><Relationship Id="rId17" Type="http://schemas.openxmlformats.org/officeDocument/2006/relationships/hyperlink" Target="http://www.standards.org.au/" TargetMode="External"/><Relationship Id="rId2" Type="http://schemas.openxmlformats.org/officeDocument/2006/relationships/numbering" Target="numbering.xml"/><Relationship Id="rId16" Type="http://schemas.openxmlformats.org/officeDocument/2006/relationships/hyperlink" Target="https://www.parliament.act.gov.au/__data/assets/pdf_file/0007/434347/Subordinate-Legislation-Technical-and-Stylistic-Standards.pd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http://www.abcb.gov.a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parliament.act.gov.au/parliamentary-business/in-committe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parliament.act.gov.au/__data/assets/pdf_file/0007/434347/Subordinate-Legislation-Technical-and-Stylistic-Standards-Revised-March-2022.pdf" TargetMode="External"/><Relationship Id="rId1" Type="http://schemas.openxmlformats.org/officeDocument/2006/relationships/hyperlink" Target="https://www.parliament.act.gov.au/parliamentary-business/in-committees/committees-11th-assembly/LA_Scrutin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Body)">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ontserrat">
    <w:altName w:val="﷽﷽﷽﷽﷽﷽﷽﷽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211DC"/>
    <w:rsid w:val="00035633"/>
    <w:rsid w:val="00052624"/>
    <w:rsid w:val="000666B8"/>
    <w:rsid w:val="000744CE"/>
    <w:rsid w:val="000B3BD1"/>
    <w:rsid w:val="000C142E"/>
    <w:rsid w:val="000C63B0"/>
    <w:rsid w:val="00111154"/>
    <w:rsid w:val="0013070F"/>
    <w:rsid w:val="0013514A"/>
    <w:rsid w:val="00136AD7"/>
    <w:rsid w:val="00153659"/>
    <w:rsid w:val="00175F31"/>
    <w:rsid w:val="0018767F"/>
    <w:rsid w:val="00195F90"/>
    <w:rsid w:val="001C320E"/>
    <w:rsid w:val="001C6AE0"/>
    <w:rsid w:val="001D0583"/>
    <w:rsid w:val="001D2275"/>
    <w:rsid w:val="001F253D"/>
    <w:rsid w:val="001F5B67"/>
    <w:rsid w:val="00202A00"/>
    <w:rsid w:val="00216C0B"/>
    <w:rsid w:val="002254CE"/>
    <w:rsid w:val="002278A4"/>
    <w:rsid w:val="00243009"/>
    <w:rsid w:val="00277678"/>
    <w:rsid w:val="0028163E"/>
    <w:rsid w:val="0028238F"/>
    <w:rsid w:val="0028590F"/>
    <w:rsid w:val="002D57A2"/>
    <w:rsid w:val="002E0418"/>
    <w:rsid w:val="002E7791"/>
    <w:rsid w:val="002F374E"/>
    <w:rsid w:val="002F6146"/>
    <w:rsid w:val="00310DB0"/>
    <w:rsid w:val="00332344"/>
    <w:rsid w:val="0033305A"/>
    <w:rsid w:val="00337B79"/>
    <w:rsid w:val="0038322B"/>
    <w:rsid w:val="003C221A"/>
    <w:rsid w:val="003C3B8F"/>
    <w:rsid w:val="003C5267"/>
    <w:rsid w:val="003D4084"/>
    <w:rsid w:val="003D5F1D"/>
    <w:rsid w:val="004011AD"/>
    <w:rsid w:val="00405C49"/>
    <w:rsid w:val="00407E18"/>
    <w:rsid w:val="00437C8B"/>
    <w:rsid w:val="00453C62"/>
    <w:rsid w:val="00455D15"/>
    <w:rsid w:val="00465034"/>
    <w:rsid w:val="0047394C"/>
    <w:rsid w:val="0049572A"/>
    <w:rsid w:val="004A1015"/>
    <w:rsid w:val="004B24F4"/>
    <w:rsid w:val="004C034E"/>
    <w:rsid w:val="004C2481"/>
    <w:rsid w:val="004C6E5F"/>
    <w:rsid w:val="004D1E5B"/>
    <w:rsid w:val="004F727A"/>
    <w:rsid w:val="0051376E"/>
    <w:rsid w:val="00546E8A"/>
    <w:rsid w:val="00555AF9"/>
    <w:rsid w:val="00557C78"/>
    <w:rsid w:val="00561229"/>
    <w:rsid w:val="00562CC7"/>
    <w:rsid w:val="005913EB"/>
    <w:rsid w:val="00591AF2"/>
    <w:rsid w:val="005A13F8"/>
    <w:rsid w:val="005A1920"/>
    <w:rsid w:val="005B04DC"/>
    <w:rsid w:val="005B3140"/>
    <w:rsid w:val="005B7C45"/>
    <w:rsid w:val="005B7E98"/>
    <w:rsid w:val="005E06B9"/>
    <w:rsid w:val="005F0866"/>
    <w:rsid w:val="0063557D"/>
    <w:rsid w:val="00646782"/>
    <w:rsid w:val="006548F9"/>
    <w:rsid w:val="00661A56"/>
    <w:rsid w:val="006673AB"/>
    <w:rsid w:val="00671DF4"/>
    <w:rsid w:val="00684448"/>
    <w:rsid w:val="00694A4E"/>
    <w:rsid w:val="00695922"/>
    <w:rsid w:val="0069732C"/>
    <w:rsid w:val="006A3B5E"/>
    <w:rsid w:val="006A3B6D"/>
    <w:rsid w:val="006A579C"/>
    <w:rsid w:val="006C0818"/>
    <w:rsid w:val="006D2E2B"/>
    <w:rsid w:val="006F3A94"/>
    <w:rsid w:val="007376EF"/>
    <w:rsid w:val="00744361"/>
    <w:rsid w:val="0077148B"/>
    <w:rsid w:val="00777BAF"/>
    <w:rsid w:val="00782EDE"/>
    <w:rsid w:val="0078567D"/>
    <w:rsid w:val="00791E32"/>
    <w:rsid w:val="007B5A2E"/>
    <w:rsid w:val="007B60E0"/>
    <w:rsid w:val="007C040E"/>
    <w:rsid w:val="007C3664"/>
    <w:rsid w:val="007C54CE"/>
    <w:rsid w:val="007F2EC2"/>
    <w:rsid w:val="00807916"/>
    <w:rsid w:val="00807CB1"/>
    <w:rsid w:val="008170C4"/>
    <w:rsid w:val="0083543A"/>
    <w:rsid w:val="00876FDA"/>
    <w:rsid w:val="008927B5"/>
    <w:rsid w:val="008A2010"/>
    <w:rsid w:val="008A7D0C"/>
    <w:rsid w:val="008E2807"/>
    <w:rsid w:val="008E42F4"/>
    <w:rsid w:val="008F75D9"/>
    <w:rsid w:val="00901613"/>
    <w:rsid w:val="009276E2"/>
    <w:rsid w:val="0093479E"/>
    <w:rsid w:val="0093583E"/>
    <w:rsid w:val="00943409"/>
    <w:rsid w:val="009552FD"/>
    <w:rsid w:val="009613F8"/>
    <w:rsid w:val="0096205D"/>
    <w:rsid w:val="00970294"/>
    <w:rsid w:val="009773FB"/>
    <w:rsid w:val="00994AFF"/>
    <w:rsid w:val="009B774E"/>
    <w:rsid w:val="009D4E7C"/>
    <w:rsid w:val="009D77FC"/>
    <w:rsid w:val="009D7C3B"/>
    <w:rsid w:val="009F6D59"/>
    <w:rsid w:val="00A1382F"/>
    <w:rsid w:val="00A427C4"/>
    <w:rsid w:val="00A437AA"/>
    <w:rsid w:val="00A57072"/>
    <w:rsid w:val="00A72746"/>
    <w:rsid w:val="00A80B6C"/>
    <w:rsid w:val="00A903A4"/>
    <w:rsid w:val="00A92CA9"/>
    <w:rsid w:val="00AD1F91"/>
    <w:rsid w:val="00AD2F42"/>
    <w:rsid w:val="00AD52DB"/>
    <w:rsid w:val="00AD5C05"/>
    <w:rsid w:val="00B01774"/>
    <w:rsid w:val="00B02770"/>
    <w:rsid w:val="00B13C0F"/>
    <w:rsid w:val="00B37B7D"/>
    <w:rsid w:val="00B54AB2"/>
    <w:rsid w:val="00B551B6"/>
    <w:rsid w:val="00B555E8"/>
    <w:rsid w:val="00B61AE9"/>
    <w:rsid w:val="00B71C7C"/>
    <w:rsid w:val="00B7316A"/>
    <w:rsid w:val="00B736F7"/>
    <w:rsid w:val="00BB3353"/>
    <w:rsid w:val="00BD31E4"/>
    <w:rsid w:val="00BD5812"/>
    <w:rsid w:val="00C035F1"/>
    <w:rsid w:val="00C11939"/>
    <w:rsid w:val="00C1299A"/>
    <w:rsid w:val="00C20AFE"/>
    <w:rsid w:val="00C33C28"/>
    <w:rsid w:val="00C576AC"/>
    <w:rsid w:val="00C657E6"/>
    <w:rsid w:val="00C667A0"/>
    <w:rsid w:val="00C83312"/>
    <w:rsid w:val="00C8550A"/>
    <w:rsid w:val="00C87409"/>
    <w:rsid w:val="00C92906"/>
    <w:rsid w:val="00CB3C16"/>
    <w:rsid w:val="00CD0E01"/>
    <w:rsid w:val="00CE7815"/>
    <w:rsid w:val="00D02036"/>
    <w:rsid w:val="00D05E85"/>
    <w:rsid w:val="00D203BD"/>
    <w:rsid w:val="00D25468"/>
    <w:rsid w:val="00D3077E"/>
    <w:rsid w:val="00D35E35"/>
    <w:rsid w:val="00D46D30"/>
    <w:rsid w:val="00D4737F"/>
    <w:rsid w:val="00D47A07"/>
    <w:rsid w:val="00D50F77"/>
    <w:rsid w:val="00D729CE"/>
    <w:rsid w:val="00DA0A3B"/>
    <w:rsid w:val="00DC17BA"/>
    <w:rsid w:val="00E06E58"/>
    <w:rsid w:val="00E1597B"/>
    <w:rsid w:val="00E221A7"/>
    <w:rsid w:val="00E23340"/>
    <w:rsid w:val="00E270AE"/>
    <w:rsid w:val="00E311A1"/>
    <w:rsid w:val="00E6168D"/>
    <w:rsid w:val="00E64FB5"/>
    <w:rsid w:val="00EA46BE"/>
    <w:rsid w:val="00EA643D"/>
    <w:rsid w:val="00EB2CFB"/>
    <w:rsid w:val="00EB41B3"/>
    <w:rsid w:val="00ED5EF4"/>
    <w:rsid w:val="00ED77BC"/>
    <w:rsid w:val="00EF567E"/>
    <w:rsid w:val="00F14373"/>
    <w:rsid w:val="00F272EA"/>
    <w:rsid w:val="00F4175F"/>
    <w:rsid w:val="00F44123"/>
    <w:rsid w:val="00F45D02"/>
    <w:rsid w:val="00F46A7D"/>
    <w:rsid w:val="00F52AD3"/>
    <w:rsid w:val="00F67D98"/>
    <w:rsid w:val="00F72C8D"/>
    <w:rsid w:val="00F74F6B"/>
    <w:rsid w:val="00F84DF3"/>
    <w:rsid w:val="00F91A78"/>
    <w:rsid w:val="00F93EE4"/>
    <w:rsid w:val="00FA443F"/>
    <w:rsid w:val="00FE77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21</Pages>
  <Words>6883</Words>
  <Characters>38198</Characters>
  <Application>Microsoft Office Word</Application>
  <DocSecurity>0</DocSecurity>
  <Lines>691</Lines>
  <Paragraphs>258</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44947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Scott, Frieda</cp:lastModifiedBy>
  <cp:revision>10</cp:revision>
  <cp:lastPrinted>2026-06-02T06:18:00Z</cp:lastPrinted>
  <dcterms:created xsi:type="dcterms:W3CDTF">2026-06-02T01:32:00Z</dcterms:created>
  <dcterms:modified xsi:type="dcterms:W3CDTF">2026-06-02T06:26:00Z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2024-01-25T00:41:27Z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30da32b1-e2e3-4067-89f2-a4d980909a95</vt:lpwstr>
  </property>
  <property fmtid="{D5CDD505-2E9C-101B-9397-08002B2CF9AE}" pid="8" name="MSIP_Label_69af8531-eb46-4968-8cb3-105d2f5ea87e_ContentBits">
    <vt:lpwstr>0</vt:lpwstr>
  </property>
</Properties>
</file>