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6B0FF7CC" w:rsidR="00A23A3E" w:rsidRDefault="00FE46F2" w:rsidP="00C8358A">
      <w:pPr>
        <w:pStyle w:val="Title"/>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5004BB">
        <w:t>4</w:t>
      </w:r>
      <w:r w:rsidR="00A24AAE">
        <w:t>5</w:t>
      </w:r>
    </w:p>
    <w:p w14:paraId="348D1164" w14:textId="2A8AD5BC" w:rsidR="00A23A3E" w:rsidRDefault="00123781" w:rsidP="009F5A83">
      <w:pPr>
        <w:pStyle w:val="Heading1nonumber"/>
      </w:pPr>
      <w:bookmarkStart w:id="1" w:name="_Toc176175525"/>
      <w:r>
        <w:lastRenderedPageBreak/>
        <w:t>About the</w:t>
      </w:r>
      <w:r w:rsidR="00A23A3E">
        <w:t xml:space="preserve"> committee</w:t>
      </w:r>
      <w:bookmarkEnd w:id="1"/>
    </w:p>
    <w:p w14:paraId="5F0FD841" w14:textId="4E43C4A1" w:rsidR="00123781" w:rsidRDefault="00D23E3A" w:rsidP="007825E1">
      <w:pPr>
        <w:pStyle w:val="Heading20"/>
      </w:pPr>
      <w:bookmarkStart w:id="2" w:name="_Toc176175526"/>
      <w:r>
        <w:t>Establishing resolution</w:t>
      </w:r>
      <w:bookmarkEnd w:id="2"/>
    </w:p>
    <w:p w14:paraId="12BE434B" w14:textId="243B1BA5" w:rsidR="00024F1A" w:rsidRDefault="00123781" w:rsidP="00123781">
      <w:r>
        <w:t xml:space="preserve">The Assembly established </w:t>
      </w:r>
      <w:r w:rsidR="00024F1A">
        <w:t>the</w:t>
      </w:r>
      <w:r>
        <w:t xml:space="preserve"> </w:t>
      </w:r>
      <w:fldSimple w:instr=" STYLEREF  &quot;Cover - Committee name&quot;  \* MERGEFORMAT ">
        <w:r w:rsidR="002133BF">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0F5099D9" w:rsidR="00FB72F9" w:rsidRPr="00697120" w:rsidRDefault="0001360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 xml:space="preserve">regulation, </w:t>
      </w:r>
      <w:proofErr w:type="gramStart"/>
      <w:r w:rsidRPr="00697120">
        <w:rPr>
          <w:rFonts w:ascii="Calibri" w:hAnsi="Calibri"/>
        </w:rPr>
        <w:t>rule</w:t>
      </w:r>
      <w:proofErr w:type="gramEnd"/>
      <w:r w:rsidRPr="00697120">
        <w:rPr>
          <w:rFonts w:ascii="Calibri" w:hAnsi="Calibri"/>
        </w:rPr>
        <w:t xml:space="preserv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62579BBC"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013602">
        <w:rPr>
          <w:rFonts w:ascii="Calibri" w:hAnsi="Calibri"/>
        </w:rPr>
        <w:t>”</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2"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7825E1">
      <w:pPr>
        <w:pStyle w:val="Heading20"/>
      </w:pPr>
      <w:bookmarkStart w:id="3" w:name="_Toc148444489"/>
      <w:bookmarkStart w:id="4" w:name="_Toc176175527"/>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7825E1">
      <w:pPr>
        <w:pStyle w:val="Heading20"/>
      </w:pPr>
      <w:bookmarkStart w:id="5" w:name="_Toc148444490"/>
      <w:bookmarkStart w:id="6" w:name="_Toc176175528"/>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7825E1">
      <w:pPr>
        <w:pStyle w:val="Heading20"/>
      </w:pPr>
      <w:bookmarkStart w:id="7" w:name="_Toc148444491"/>
      <w:bookmarkStart w:id="8" w:name="_Toc176175529"/>
      <w:r>
        <w:t xml:space="preserve">Contact </w:t>
      </w:r>
      <w:proofErr w:type="gramStart"/>
      <w:r>
        <w:t>us</w:t>
      </w:r>
      <w:bookmarkEnd w:id="7"/>
      <w:bookmarkEnd w:id="8"/>
      <w:proofErr w:type="gramEnd"/>
    </w:p>
    <w:p w14:paraId="41AE1649" w14:textId="42A4AABD" w:rsidR="008D102D" w:rsidRDefault="008D102D" w:rsidP="008D102D">
      <w:pPr>
        <w:ind w:left="1134" w:hanging="1134"/>
      </w:pPr>
      <w:r>
        <w:rPr>
          <w:b/>
          <w:bCs/>
        </w:rPr>
        <w:t>Mail</w:t>
      </w:r>
      <w:r>
        <w:tab/>
      </w:r>
      <w:r w:rsidR="00CF1E39">
        <w:fldChar w:fldCharType="begin"/>
      </w:r>
      <w:r w:rsidR="00CF1E39">
        <w:instrText xml:space="preserve"> STYLEREF  "Cover - Committee name"  \* MERGEFORMAT </w:instrText>
      </w:r>
      <w:r w:rsidR="00CF1E39">
        <w:fldChar w:fldCharType="separate"/>
      </w:r>
      <w:r w:rsidR="002133BF">
        <w:rPr>
          <w:noProof/>
        </w:rPr>
        <w:t>Standing Committee on Justice and Community Safety (Legislative Scrutiny Role)</w:t>
      </w:r>
      <w:r w:rsidR="00CF1E39">
        <w:rPr>
          <w:noProof/>
        </w:rPr>
        <w:fldChar w:fldCharType="end"/>
      </w:r>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7825E1">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76175530"/>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728364BD" w14:textId="450971A9" w:rsidR="00FA4FE6"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76175525" w:history="1">
            <w:r w:rsidR="00FA4FE6" w:rsidRPr="00A74648">
              <w:rPr>
                <w:rStyle w:val="Hyperlink"/>
              </w:rPr>
              <w:t>About the committee</w:t>
            </w:r>
            <w:r w:rsidR="00FA4FE6">
              <w:rPr>
                <w:webHidden/>
              </w:rPr>
              <w:tab/>
            </w:r>
            <w:r w:rsidR="00FA4FE6">
              <w:rPr>
                <w:webHidden/>
              </w:rPr>
              <w:fldChar w:fldCharType="begin"/>
            </w:r>
            <w:r w:rsidR="00FA4FE6">
              <w:rPr>
                <w:webHidden/>
              </w:rPr>
              <w:instrText xml:space="preserve"> PAGEREF _Toc176175525 \h </w:instrText>
            </w:r>
            <w:r w:rsidR="00FA4FE6">
              <w:rPr>
                <w:webHidden/>
              </w:rPr>
            </w:r>
            <w:r w:rsidR="00FA4FE6">
              <w:rPr>
                <w:webHidden/>
              </w:rPr>
              <w:fldChar w:fldCharType="separate"/>
            </w:r>
            <w:r w:rsidR="002133BF">
              <w:rPr>
                <w:webHidden/>
              </w:rPr>
              <w:t>i</w:t>
            </w:r>
            <w:r w:rsidR="00FA4FE6">
              <w:rPr>
                <w:webHidden/>
              </w:rPr>
              <w:fldChar w:fldCharType="end"/>
            </w:r>
          </w:hyperlink>
        </w:p>
        <w:p w14:paraId="35BCA9A3" w14:textId="20CBE6B3" w:rsidR="00FA4FE6" w:rsidRDefault="00CF1E39">
          <w:pPr>
            <w:pStyle w:val="TOC2"/>
            <w:rPr>
              <w:rFonts w:eastAsiaTheme="minorEastAsia"/>
              <w:kern w:val="2"/>
              <w:lang w:eastAsia="en-AU"/>
              <w14:ligatures w14:val="standardContextual"/>
            </w:rPr>
          </w:pPr>
          <w:hyperlink w:anchor="_Toc176175526" w:history="1">
            <w:r w:rsidR="00FA4FE6" w:rsidRPr="00A74648">
              <w:rPr>
                <w:rStyle w:val="Hyperlink"/>
              </w:rPr>
              <w:t>Establishing resolution</w:t>
            </w:r>
            <w:r w:rsidR="00FA4FE6">
              <w:rPr>
                <w:webHidden/>
              </w:rPr>
              <w:tab/>
            </w:r>
            <w:r w:rsidR="00FA4FE6">
              <w:rPr>
                <w:webHidden/>
              </w:rPr>
              <w:fldChar w:fldCharType="begin"/>
            </w:r>
            <w:r w:rsidR="00FA4FE6">
              <w:rPr>
                <w:webHidden/>
              </w:rPr>
              <w:instrText xml:space="preserve"> PAGEREF _Toc176175526 \h </w:instrText>
            </w:r>
            <w:r w:rsidR="00FA4FE6">
              <w:rPr>
                <w:webHidden/>
              </w:rPr>
            </w:r>
            <w:r w:rsidR="00FA4FE6">
              <w:rPr>
                <w:webHidden/>
              </w:rPr>
              <w:fldChar w:fldCharType="separate"/>
            </w:r>
            <w:r w:rsidR="002133BF">
              <w:rPr>
                <w:webHidden/>
              </w:rPr>
              <w:t>i</w:t>
            </w:r>
            <w:r w:rsidR="00FA4FE6">
              <w:rPr>
                <w:webHidden/>
              </w:rPr>
              <w:fldChar w:fldCharType="end"/>
            </w:r>
          </w:hyperlink>
        </w:p>
        <w:p w14:paraId="21C4992D" w14:textId="3D9818BF" w:rsidR="00FA4FE6" w:rsidRDefault="00CF1E39">
          <w:pPr>
            <w:pStyle w:val="TOC2"/>
            <w:rPr>
              <w:rFonts w:eastAsiaTheme="minorEastAsia"/>
              <w:kern w:val="2"/>
              <w:lang w:eastAsia="en-AU"/>
              <w14:ligatures w14:val="standardContextual"/>
            </w:rPr>
          </w:pPr>
          <w:hyperlink w:anchor="_Toc176175527" w:history="1">
            <w:r w:rsidR="00FA4FE6" w:rsidRPr="00A74648">
              <w:rPr>
                <w:rStyle w:val="Hyperlink"/>
              </w:rPr>
              <w:t>Committee members</w:t>
            </w:r>
            <w:r w:rsidR="00FA4FE6">
              <w:rPr>
                <w:webHidden/>
              </w:rPr>
              <w:tab/>
            </w:r>
            <w:r w:rsidR="00FA4FE6">
              <w:rPr>
                <w:webHidden/>
              </w:rPr>
              <w:fldChar w:fldCharType="begin"/>
            </w:r>
            <w:r w:rsidR="00FA4FE6">
              <w:rPr>
                <w:webHidden/>
              </w:rPr>
              <w:instrText xml:space="preserve"> PAGEREF _Toc176175527 \h </w:instrText>
            </w:r>
            <w:r w:rsidR="00FA4FE6">
              <w:rPr>
                <w:webHidden/>
              </w:rPr>
            </w:r>
            <w:r w:rsidR="00FA4FE6">
              <w:rPr>
                <w:webHidden/>
              </w:rPr>
              <w:fldChar w:fldCharType="separate"/>
            </w:r>
            <w:r w:rsidR="002133BF">
              <w:rPr>
                <w:webHidden/>
              </w:rPr>
              <w:t>ii</w:t>
            </w:r>
            <w:r w:rsidR="00FA4FE6">
              <w:rPr>
                <w:webHidden/>
              </w:rPr>
              <w:fldChar w:fldCharType="end"/>
            </w:r>
          </w:hyperlink>
        </w:p>
        <w:p w14:paraId="0E35075A" w14:textId="2D200830" w:rsidR="00FA4FE6" w:rsidRDefault="00CF1E39">
          <w:pPr>
            <w:pStyle w:val="TOC2"/>
            <w:rPr>
              <w:rFonts w:eastAsiaTheme="minorEastAsia"/>
              <w:kern w:val="2"/>
              <w:lang w:eastAsia="en-AU"/>
              <w14:ligatures w14:val="standardContextual"/>
            </w:rPr>
          </w:pPr>
          <w:hyperlink w:anchor="_Toc176175528" w:history="1">
            <w:r w:rsidR="00FA4FE6" w:rsidRPr="00A74648">
              <w:rPr>
                <w:rStyle w:val="Hyperlink"/>
              </w:rPr>
              <w:t>Secretariat</w:t>
            </w:r>
            <w:r w:rsidR="00FA4FE6">
              <w:rPr>
                <w:webHidden/>
              </w:rPr>
              <w:tab/>
            </w:r>
            <w:r w:rsidR="00FA4FE6">
              <w:rPr>
                <w:webHidden/>
              </w:rPr>
              <w:fldChar w:fldCharType="begin"/>
            </w:r>
            <w:r w:rsidR="00FA4FE6">
              <w:rPr>
                <w:webHidden/>
              </w:rPr>
              <w:instrText xml:space="preserve"> PAGEREF _Toc176175528 \h </w:instrText>
            </w:r>
            <w:r w:rsidR="00FA4FE6">
              <w:rPr>
                <w:webHidden/>
              </w:rPr>
            </w:r>
            <w:r w:rsidR="00FA4FE6">
              <w:rPr>
                <w:webHidden/>
              </w:rPr>
              <w:fldChar w:fldCharType="separate"/>
            </w:r>
            <w:r w:rsidR="002133BF">
              <w:rPr>
                <w:webHidden/>
              </w:rPr>
              <w:t>ii</w:t>
            </w:r>
            <w:r w:rsidR="00FA4FE6">
              <w:rPr>
                <w:webHidden/>
              </w:rPr>
              <w:fldChar w:fldCharType="end"/>
            </w:r>
          </w:hyperlink>
        </w:p>
        <w:p w14:paraId="2367BD6C" w14:textId="72FC4B68" w:rsidR="00FA4FE6" w:rsidRDefault="00CF1E39">
          <w:pPr>
            <w:pStyle w:val="TOC2"/>
            <w:rPr>
              <w:rFonts w:eastAsiaTheme="minorEastAsia"/>
              <w:kern w:val="2"/>
              <w:lang w:eastAsia="en-AU"/>
              <w14:ligatures w14:val="standardContextual"/>
            </w:rPr>
          </w:pPr>
          <w:hyperlink w:anchor="_Toc176175529" w:history="1">
            <w:r w:rsidR="00FA4FE6" w:rsidRPr="00A74648">
              <w:rPr>
                <w:rStyle w:val="Hyperlink"/>
              </w:rPr>
              <w:t>Contact us</w:t>
            </w:r>
            <w:r w:rsidR="00FA4FE6">
              <w:rPr>
                <w:webHidden/>
              </w:rPr>
              <w:tab/>
            </w:r>
            <w:r w:rsidR="00FA4FE6">
              <w:rPr>
                <w:webHidden/>
              </w:rPr>
              <w:fldChar w:fldCharType="begin"/>
            </w:r>
            <w:r w:rsidR="00FA4FE6">
              <w:rPr>
                <w:webHidden/>
              </w:rPr>
              <w:instrText xml:space="preserve"> PAGEREF _Toc176175529 \h </w:instrText>
            </w:r>
            <w:r w:rsidR="00FA4FE6">
              <w:rPr>
                <w:webHidden/>
              </w:rPr>
            </w:r>
            <w:r w:rsidR="00FA4FE6">
              <w:rPr>
                <w:webHidden/>
              </w:rPr>
              <w:fldChar w:fldCharType="separate"/>
            </w:r>
            <w:r w:rsidR="002133BF">
              <w:rPr>
                <w:webHidden/>
              </w:rPr>
              <w:t>ii</w:t>
            </w:r>
            <w:r w:rsidR="00FA4FE6">
              <w:rPr>
                <w:webHidden/>
              </w:rPr>
              <w:fldChar w:fldCharType="end"/>
            </w:r>
          </w:hyperlink>
        </w:p>
        <w:p w14:paraId="5DDA94C6" w14:textId="330EBA89" w:rsidR="00FA4FE6" w:rsidRDefault="00CF1E39">
          <w:pPr>
            <w:pStyle w:val="TOC2"/>
            <w:rPr>
              <w:rFonts w:eastAsiaTheme="minorEastAsia"/>
              <w:kern w:val="2"/>
              <w:lang w:eastAsia="en-AU"/>
              <w14:ligatures w14:val="standardContextual"/>
            </w:rPr>
          </w:pPr>
          <w:hyperlink w:anchor="_Toc176175530" w:history="1">
            <w:r w:rsidR="00FA4FE6" w:rsidRPr="00A74648">
              <w:rPr>
                <w:rStyle w:val="Hyperlink"/>
              </w:rPr>
              <w:t>Role of Committee</w:t>
            </w:r>
            <w:r w:rsidR="00FA4FE6">
              <w:rPr>
                <w:webHidden/>
              </w:rPr>
              <w:tab/>
            </w:r>
            <w:r w:rsidR="00FA4FE6">
              <w:rPr>
                <w:webHidden/>
              </w:rPr>
              <w:fldChar w:fldCharType="begin"/>
            </w:r>
            <w:r w:rsidR="00FA4FE6">
              <w:rPr>
                <w:webHidden/>
              </w:rPr>
              <w:instrText xml:space="preserve"> PAGEREF _Toc176175530 \h </w:instrText>
            </w:r>
            <w:r w:rsidR="00FA4FE6">
              <w:rPr>
                <w:webHidden/>
              </w:rPr>
            </w:r>
            <w:r w:rsidR="00FA4FE6">
              <w:rPr>
                <w:webHidden/>
              </w:rPr>
              <w:fldChar w:fldCharType="separate"/>
            </w:r>
            <w:r w:rsidR="002133BF">
              <w:rPr>
                <w:webHidden/>
              </w:rPr>
              <w:t>ii</w:t>
            </w:r>
            <w:r w:rsidR="00FA4FE6">
              <w:rPr>
                <w:webHidden/>
              </w:rPr>
              <w:fldChar w:fldCharType="end"/>
            </w:r>
          </w:hyperlink>
        </w:p>
        <w:p w14:paraId="258A6724" w14:textId="22A1467B" w:rsidR="00FA4FE6" w:rsidRDefault="00CF1E39">
          <w:pPr>
            <w:pStyle w:val="TOC1"/>
            <w:rPr>
              <w:rFonts w:asciiTheme="minorHAnsi" w:eastAsiaTheme="minorEastAsia" w:hAnsiTheme="minorHAnsi"/>
              <w:b w:val="0"/>
              <w:bCs w:val="0"/>
              <w:color w:val="auto"/>
              <w:w w:val="100"/>
              <w:kern w:val="2"/>
              <w:sz w:val="22"/>
              <w:lang w:eastAsia="en-AU"/>
              <w14:ligatures w14:val="standardContextual"/>
            </w:rPr>
          </w:pPr>
          <w:hyperlink w:anchor="_Toc176175531" w:history="1">
            <w:r w:rsidR="00FA4FE6" w:rsidRPr="00A74648">
              <w:rPr>
                <w:rStyle w:val="Hyperlink"/>
              </w:rPr>
              <w:t>1.</w:t>
            </w:r>
            <w:r w:rsidR="00FA4FE6">
              <w:rPr>
                <w:rFonts w:asciiTheme="minorHAnsi" w:eastAsiaTheme="minorEastAsia" w:hAnsiTheme="minorHAnsi"/>
                <w:b w:val="0"/>
                <w:bCs w:val="0"/>
                <w:color w:val="auto"/>
                <w:w w:val="100"/>
                <w:kern w:val="2"/>
                <w:sz w:val="22"/>
                <w:lang w:eastAsia="en-AU"/>
                <w14:ligatures w14:val="standardContextual"/>
              </w:rPr>
              <w:tab/>
            </w:r>
            <w:r w:rsidR="00FA4FE6" w:rsidRPr="00A74648">
              <w:rPr>
                <w:rStyle w:val="Hyperlink"/>
              </w:rPr>
              <w:t>Bills</w:t>
            </w:r>
            <w:r w:rsidR="00FA4FE6">
              <w:rPr>
                <w:webHidden/>
              </w:rPr>
              <w:tab/>
            </w:r>
            <w:r w:rsidR="00FA4FE6">
              <w:rPr>
                <w:webHidden/>
              </w:rPr>
              <w:fldChar w:fldCharType="begin"/>
            </w:r>
            <w:r w:rsidR="00FA4FE6">
              <w:rPr>
                <w:webHidden/>
              </w:rPr>
              <w:instrText xml:space="preserve"> PAGEREF _Toc176175531 \h </w:instrText>
            </w:r>
            <w:r w:rsidR="00FA4FE6">
              <w:rPr>
                <w:webHidden/>
              </w:rPr>
            </w:r>
            <w:r w:rsidR="00FA4FE6">
              <w:rPr>
                <w:webHidden/>
              </w:rPr>
              <w:fldChar w:fldCharType="separate"/>
            </w:r>
            <w:r w:rsidR="002133BF">
              <w:rPr>
                <w:webHidden/>
              </w:rPr>
              <w:t>1</w:t>
            </w:r>
            <w:r w:rsidR="00FA4FE6">
              <w:rPr>
                <w:webHidden/>
              </w:rPr>
              <w:fldChar w:fldCharType="end"/>
            </w:r>
          </w:hyperlink>
        </w:p>
        <w:p w14:paraId="49A3A98B" w14:textId="127C86E2" w:rsidR="00FA4FE6" w:rsidRDefault="00CF1E39">
          <w:pPr>
            <w:pStyle w:val="TOC2"/>
            <w:rPr>
              <w:rFonts w:eastAsiaTheme="minorEastAsia"/>
              <w:kern w:val="2"/>
              <w:lang w:eastAsia="en-AU"/>
              <w14:ligatures w14:val="standardContextual"/>
            </w:rPr>
          </w:pPr>
          <w:hyperlink w:anchor="_Toc176175532" w:history="1">
            <w:r w:rsidR="00FA4FE6" w:rsidRPr="00A74648">
              <w:rPr>
                <w:rStyle w:val="Hyperlink"/>
              </w:rPr>
              <w:t>Bills—Comment</w:t>
            </w:r>
            <w:r w:rsidR="00FA4FE6">
              <w:rPr>
                <w:webHidden/>
              </w:rPr>
              <w:tab/>
            </w:r>
            <w:r w:rsidR="00FA4FE6">
              <w:rPr>
                <w:webHidden/>
              </w:rPr>
              <w:fldChar w:fldCharType="begin"/>
            </w:r>
            <w:r w:rsidR="00FA4FE6">
              <w:rPr>
                <w:webHidden/>
              </w:rPr>
              <w:instrText xml:space="preserve"> PAGEREF _Toc176175532 \h </w:instrText>
            </w:r>
            <w:r w:rsidR="00FA4FE6">
              <w:rPr>
                <w:webHidden/>
              </w:rPr>
            </w:r>
            <w:r w:rsidR="00FA4FE6">
              <w:rPr>
                <w:webHidden/>
              </w:rPr>
              <w:fldChar w:fldCharType="separate"/>
            </w:r>
            <w:r w:rsidR="002133BF">
              <w:rPr>
                <w:webHidden/>
              </w:rPr>
              <w:t>1</w:t>
            </w:r>
            <w:r w:rsidR="00FA4FE6">
              <w:rPr>
                <w:webHidden/>
              </w:rPr>
              <w:fldChar w:fldCharType="end"/>
            </w:r>
          </w:hyperlink>
        </w:p>
        <w:p w14:paraId="26AC0EB1" w14:textId="5520D614" w:rsidR="00FA4FE6" w:rsidRDefault="00CF1E39">
          <w:pPr>
            <w:pStyle w:val="TOC3"/>
            <w:rPr>
              <w:rFonts w:eastAsiaTheme="minorEastAsia"/>
              <w:kern w:val="2"/>
              <w:lang w:eastAsia="en-AU"/>
              <w14:ligatures w14:val="standardContextual"/>
            </w:rPr>
          </w:pPr>
          <w:hyperlink w:anchor="_Toc176175533" w:history="1">
            <w:r w:rsidR="00FA4FE6" w:rsidRPr="00A74648">
              <w:rPr>
                <w:rStyle w:val="Hyperlink"/>
              </w:rPr>
              <w:t>Crimes (Anti-Consorting) Amendment Bill 2024</w:t>
            </w:r>
            <w:r w:rsidR="00FA4FE6">
              <w:rPr>
                <w:webHidden/>
              </w:rPr>
              <w:tab/>
            </w:r>
            <w:r w:rsidR="00FA4FE6">
              <w:rPr>
                <w:webHidden/>
              </w:rPr>
              <w:fldChar w:fldCharType="begin"/>
            </w:r>
            <w:r w:rsidR="00FA4FE6">
              <w:rPr>
                <w:webHidden/>
              </w:rPr>
              <w:instrText xml:space="preserve"> PAGEREF _Toc176175533 \h </w:instrText>
            </w:r>
            <w:r w:rsidR="00FA4FE6">
              <w:rPr>
                <w:webHidden/>
              </w:rPr>
            </w:r>
            <w:r w:rsidR="00FA4FE6">
              <w:rPr>
                <w:webHidden/>
              </w:rPr>
              <w:fldChar w:fldCharType="separate"/>
            </w:r>
            <w:r w:rsidR="002133BF">
              <w:rPr>
                <w:webHidden/>
              </w:rPr>
              <w:t>1</w:t>
            </w:r>
            <w:r w:rsidR="00FA4FE6">
              <w:rPr>
                <w:webHidden/>
              </w:rPr>
              <w:fldChar w:fldCharType="end"/>
            </w:r>
          </w:hyperlink>
        </w:p>
        <w:p w14:paraId="320B5FB6" w14:textId="09A08F0B" w:rsidR="00FA4FE6" w:rsidRDefault="00CF1E39">
          <w:pPr>
            <w:pStyle w:val="TOC3"/>
            <w:rPr>
              <w:rFonts w:eastAsiaTheme="minorEastAsia"/>
              <w:kern w:val="2"/>
              <w:lang w:eastAsia="en-AU"/>
              <w14:ligatures w14:val="standardContextual"/>
            </w:rPr>
          </w:pPr>
          <w:hyperlink w:anchor="_Toc176175536" w:history="1">
            <w:r w:rsidR="00FA4FE6" w:rsidRPr="00A74648">
              <w:rPr>
                <w:rStyle w:val="Hyperlink"/>
              </w:rPr>
              <w:t>Evidence (Miscellaneous Provisions) Amendment Bill 2024</w:t>
            </w:r>
            <w:r w:rsidR="00FA4FE6">
              <w:rPr>
                <w:webHidden/>
              </w:rPr>
              <w:tab/>
            </w:r>
            <w:r w:rsidR="00FA4FE6">
              <w:rPr>
                <w:webHidden/>
              </w:rPr>
              <w:fldChar w:fldCharType="begin"/>
            </w:r>
            <w:r w:rsidR="00FA4FE6">
              <w:rPr>
                <w:webHidden/>
              </w:rPr>
              <w:instrText xml:space="preserve"> PAGEREF _Toc176175536 \h </w:instrText>
            </w:r>
            <w:r w:rsidR="00FA4FE6">
              <w:rPr>
                <w:webHidden/>
              </w:rPr>
            </w:r>
            <w:r w:rsidR="00FA4FE6">
              <w:rPr>
                <w:webHidden/>
              </w:rPr>
              <w:fldChar w:fldCharType="separate"/>
            </w:r>
            <w:r w:rsidR="002133BF">
              <w:rPr>
                <w:webHidden/>
              </w:rPr>
              <w:t>5</w:t>
            </w:r>
            <w:r w:rsidR="00FA4FE6">
              <w:rPr>
                <w:webHidden/>
              </w:rPr>
              <w:fldChar w:fldCharType="end"/>
            </w:r>
          </w:hyperlink>
        </w:p>
        <w:p w14:paraId="06FE4212" w14:textId="5B0625EE" w:rsidR="00FA4FE6" w:rsidRDefault="00CF1E39">
          <w:pPr>
            <w:pStyle w:val="TOC2"/>
            <w:rPr>
              <w:rFonts w:eastAsiaTheme="minorEastAsia"/>
              <w:kern w:val="2"/>
              <w:lang w:eastAsia="en-AU"/>
              <w14:ligatures w14:val="standardContextual"/>
            </w:rPr>
          </w:pPr>
          <w:hyperlink w:anchor="_Toc176175539" w:history="1">
            <w:r w:rsidR="00FA4FE6" w:rsidRPr="00A74648">
              <w:rPr>
                <w:rStyle w:val="Hyperlink"/>
              </w:rPr>
              <w:t>Proposed Amendments—Comment</w:t>
            </w:r>
            <w:r w:rsidR="00FA4FE6">
              <w:rPr>
                <w:webHidden/>
              </w:rPr>
              <w:tab/>
            </w:r>
            <w:r w:rsidR="00FA4FE6">
              <w:rPr>
                <w:webHidden/>
              </w:rPr>
              <w:fldChar w:fldCharType="begin"/>
            </w:r>
            <w:r w:rsidR="00FA4FE6">
              <w:rPr>
                <w:webHidden/>
              </w:rPr>
              <w:instrText xml:space="preserve"> PAGEREF _Toc176175539 \h </w:instrText>
            </w:r>
            <w:r w:rsidR="00FA4FE6">
              <w:rPr>
                <w:webHidden/>
              </w:rPr>
            </w:r>
            <w:r w:rsidR="00FA4FE6">
              <w:rPr>
                <w:webHidden/>
              </w:rPr>
              <w:fldChar w:fldCharType="separate"/>
            </w:r>
            <w:r w:rsidR="002133BF">
              <w:rPr>
                <w:webHidden/>
              </w:rPr>
              <w:t>7</w:t>
            </w:r>
            <w:r w:rsidR="00FA4FE6">
              <w:rPr>
                <w:webHidden/>
              </w:rPr>
              <w:fldChar w:fldCharType="end"/>
            </w:r>
          </w:hyperlink>
        </w:p>
        <w:p w14:paraId="63396C4D" w14:textId="4B12A10B" w:rsidR="00FA4FE6" w:rsidRDefault="00CF1E39">
          <w:pPr>
            <w:pStyle w:val="TOC3"/>
            <w:rPr>
              <w:rFonts w:eastAsiaTheme="minorEastAsia"/>
              <w:kern w:val="2"/>
              <w:lang w:eastAsia="en-AU"/>
              <w14:ligatures w14:val="standardContextual"/>
            </w:rPr>
          </w:pPr>
          <w:hyperlink w:anchor="_Toc176175540" w:history="1">
            <w:r w:rsidR="00FA4FE6" w:rsidRPr="00A74648">
              <w:rPr>
                <w:rStyle w:val="Hyperlink"/>
              </w:rPr>
              <w:t>Justice and Community Safety Legislation Amendment Bill 2024</w:t>
            </w:r>
            <w:r w:rsidR="00FA4FE6">
              <w:rPr>
                <w:webHidden/>
              </w:rPr>
              <w:tab/>
            </w:r>
            <w:r w:rsidR="00FA4FE6">
              <w:rPr>
                <w:webHidden/>
              </w:rPr>
              <w:fldChar w:fldCharType="begin"/>
            </w:r>
            <w:r w:rsidR="00FA4FE6">
              <w:rPr>
                <w:webHidden/>
              </w:rPr>
              <w:instrText xml:space="preserve"> PAGEREF _Toc176175540 \h </w:instrText>
            </w:r>
            <w:r w:rsidR="00FA4FE6">
              <w:rPr>
                <w:webHidden/>
              </w:rPr>
            </w:r>
            <w:r w:rsidR="00FA4FE6">
              <w:rPr>
                <w:webHidden/>
              </w:rPr>
              <w:fldChar w:fldCharType="separate"/>
            </w:r>
            <w:r w:rsidR="002133BF">
              <w:rPr>
                <w:webHidden/>
              </w:rPr>
              <w:t>7</w:t>
            </w:r>
            <w:r w:rsidR="00FA4FE6">
              <w:rPr>
                <w:webHidden/>
              </w:rPr>
              <w:fldChar w:fldCharType="end"/>
            </w:r>
          </w:hyperlink>
        </w:p>
        <w:p w14:paraId="097E9CF0" w14:textId="65B78735" w:rsidR="00FA4FE6" w:rsidRDefault="00CF1E39">
          <w:pPr>
            <w:pStyle w:val="TOC2"/>
            <w:rPr>
              <w:rFonts w:eastAsiaTheme="minorEastAsia"/>
              <w:kern w:val="2"/>
              <w:lang w:eastAsia="en-AU"/>
              <w14:ligatures w14:val="standardContextual"/>
            </w:rPr>
          </w:pPr>
          <w:hyperlink w:anchor="_Toc176175543" w:history="1">
            <w:r w:rsidR="00FA4FE6" w:rsidRPr="00A74648">
              <w:rPr>
                <w:rStyle w:val="Hyperlink"/>
              </w:rPr>
              <w:t>Responses—Comment</w:t>
            </w:r>
            <w:r w:rsidR="00FA4FE6">
              <w:rPr>
                <w:webHidden/>
              </w:rPr>
              <w:tab/>
            </w:r>
            <w:r w:rsidR="00FA4FE6">
              <w:rPr>
                <w:webHidden/>
              </w:rPr>
              <w:fldChar w:fldCharType="begin"/>
            </w:r>
            <w:r w:rsidR="00FA4FE6">
              <w:rPr>
                <w:webHidden/>
              </w:rPr>
              <w:instrText xml:space="preserve"> PAGEREF _Toc176175543 \h </w:instrText>
            </w:r>
            <w:r w:rsidR="00FA4FE6">
              <w:rPr>
                <w:webHidden/>
              </w:rPr>
            </w:r>
            <w:r w:rsidR="00FA4FE6">
              <w:rPr>
                <w:webHidden/>
              </w:rPr>
              <w:fldChar w:fldCharType="separate"/>
            </w:r>
            <w:r w:rsidR="002133BF">
              <w:rPr>
                <w:webHidden/>
              </w:rPr>
              <w:t>7</w:t>
            </w:r>
            <w:r w:rsidR="00FA4FE6">
              <w:rPr>
                <w:webHidden/>
              </w:rPr>
              <w:fldChar w:fldCharType="end"/>
            </w:r>
          </w:hyperlink>
        </w:p>
        <w:p w14:paraId="5957467A" w14:textId="20D9B679" w:rsidR="00FA4FE6" w:rsidRDefault="00CF1E39">
          <w:pPr>
            <w:pStyle w:val="TOC3"/>
            <w:rPr>
              <w:rFonts w:eastAsiaTheme="minorEastAsia"/>
              <w:kern w:val="2"/>
              <w:lang w:eastAsia="en-AU"/>
              <w14:ligatures w14:val="standardContextual"/>
            </w:rPr>
          </w:pPr>
          <w:hyperlink w:anchor="_Toc176175544" w:history="1">
            <w:r w:rsidR="00FA4FE6" w:rsidRPr="00A74648">
              <w:rPr>
                <w:rStyle w:val="Hyperlink"/>
              </w:rPr>
              <w:t>Gaming Machine (Compulsory Surrender) Amendment Bill 2024</w:t>
            </w:r>
            <w:r w:rsidR="00FA4FE6">
              <w:rPr>
                <w:webHidden/>
              </w:rPr>
              <w:tab/>
            </w:r>
            <w:r w:rsidR="00FA4FE6">
              <w:rPr>
                <w:webHidden/>
              </w:rPr>
              <w:fldChar w:fldCharType="begin"/>
            </w:r>
            <w:r w:rsidR="00FA4FE6">
              <w:rPr>
                <w:webHidden/>
              </w:rPr>
              <w:instrText xml:space="preserve"> PAGEREF _Toc176175544 \h </w:instrText>
            </w:r>
            <w:r w:rsidR="00FA4FE6">
              <w:rPr>
                <w:webHidden/>
              </w:rPr>
            </w:r>
            <w:r w:rsidR="00FA4FE6">
              <w:rPr>
                <w:webHidden/>
              </w:rPr>
              <w:fldChar w:fldCharType="separate"/>
            </w:r>
            <w:r w:rsidR="002133BF">
              <w:rPr>
                <w:webHidden/>
              </w:rPr>
              <w:t>7</w:t>
            </w:r>
            <w:r w:rsidR="00FA4FE6">
              <w:rPr>
                <w:webHidden/>
              </w:rPr>
              <w:fldChar w:fldCharType="end"/>
            </w:r>
          </w:hyperlink>
        </w:p>
        <w:p w14:paraId="6E51111F" w14:textId="5C3F1856" w:rsidR="00FA4FE6" w:rsidRDefault="00CF1E39">
          <w:pPr>
            <w:pStyle w:val="TOC2"/>
            <w:rPr>
              <w:rFonts w:eastAsiaTheme="minorEastAsia"/>
              <w:kern w:val="2"/>
              <w:lang w:eastAsia="en-AU"/>
              <w14:ligatures w14:val="standardContextual"/>
            </w:rPr>
          </w:pPr>
          <w:hyperlink w:anchor="_Toc176175547" w:history="1">
            <w:r w:rsidR="00FA4FE6" w:rsidRPr="00A74648">
              <w:rPr>
                <w:rStyle w:val="Hyperlink"/>
              </w:rPr>
              <w:t>Responses—No comment</w:t>
            </w:r>
            <w:r w:rsidR="00FA4FE6">
              <w:rPr>
                <w:webHidden/>
              </w:rPr>
              <w:tab/>
            </w:r>
            <w:r w:rsidR="00FA4FE6">
              <w:rPr>
                <w:webHidden/>
              </w:rPr>
              <w:fldChar w:fldCharType="begin"/>
            </w:r>
            <w:r w:rsidR="00FA4FE6">
              <w:rPr>
                <w:webHidden/>
              </w:rPr>
              <w:instrText xml:space="preserve"> PAGEREF _Toc176175547 \h </w:instrText>
            </w:r>
            <w:r w:rsidR="00FA4FE6">
              <w:rPr>
                <w:webHidden/>
              </w:rPr>
            </w:r>
            <w:r w:rsidR="00FA4FE6">
              <w:rPr>
                <w:webHidden/>
              </w:rPr>
              <w:fldChar w:fldCharType="separate"/>
            </w:r>
            <w:r w:rsidR="002133BF">
              <w:rPr>
                <w:webHidden/>
              </w:rPr>
              <w:t>9</w:t>
            </w:r>
            <w:r w:rsidR="00FA4FE6">
              <w:rPr>
                <w:webHidden/>
              </w:rPr>
              <w:fldChar w:fldCharType="end"/>
            </w:r>
          </w:hyperlink>
        </w:p>
        <w:p w14:paraId="370ABDC9" w14:textId="30DEAB1C" w:rsidR="00FA4FE6" w:rsidRDefault="00CF1E39">
          <w:pPr>
            <w:pStyle w:val="TOC1"/>
            <w:rPr>
              <w:rFonts w:asciiTheme="minorHAnsi" w:eastAsiaTheme="minorEastAsia" w:hAnsiTheme="minorHAnsi"/>
              <w:b w:val="0"/>
              <w:bCs w:val="0"/>
              <w:color w:val="auto"/>
              <w:w w:val="100"/>
              <w:kern w:val="2"/>
              <w:sz w:val="22"/>
              <w:lang w:eastAsia="en-AU"/>
              <w14:ligatures w14:val="standardContextual"/>
            </w:rPr>
          </w:pPr>
          <w:hyperlink w:anchor="_Toc176175548" w:history="1">
            <w:r w:rsidR="00FA4FE6" w:rsidRPr="00A74648">
              <w:rPr>
                <w:rStyle w:val="Hyperlink"/>
              </w:rPr>
              <w:t>2.</w:t>
            </w:r>
            <w:r w:rsidR="00FA4FE6">
              <w:rPr>
                <w:rFonts w:asciiTheme="minorHAnsi" w:eastAsiaTheme="minorEastAsia" w:hAnsiTheme="minorHAnsi"/>
                <w:b w:val="0"/>
                <w:bCs w:val="0"/>
                <w:color w:val="auto"/>
                <w:w w:val="100"/>
                <w:kern w:val="2"/>
                <w:sz w:val="22"/>
                <w:lang w:eastAsia="en-AU"/>
                <w14:ligatures w14:val="standardContextual"/>
              </w:rPr>
              <w:tab/>
            </w:r>
            <w:r w:rsidR="00FA4FE6" w:rsidRPr="00A74648">
              <w:rPr>
                <w:rStyle w:val="Hyperlink"/>
              </w:rPr>
              <w:t>Subordinate Legislation</w:t>
            </w:r>
            <w:r w:rsidR="00FA4FE6">
              <w:rPr>
                <w:webHidden/>
              </w:rPr>
              <w:tab/>
            </w:r>
            <w:r w:rsidR="00FA4FE6">
              <w:rPr>
                <w:webHidden/>
              </w:rPr>
              <w:fldChar w:fldCharType="begin"/>
            </w:r>
            <w:r w:rsidR="00FA4FE6">
              <w:rPr>
                <w:webHidden/>
              </w:rPr>
              <w:instrText xml:space="preserve"> PAGEREF _Toc176175548 \h </w:instrText>
            </w:r>
            <w:r w:rsidR="00FA4FE6">
              <w:rPr>
                <w:webHidden/>
              </w:rPr>
            </w:r>
            <w:r w:rsidR="00FA4FE6">
              <w:rPr>
                <w:webHidden/>
              </w:rPr>
              <w:fldChar w:fldCharType="separate"/>
            </w:r>
            <w:r w:rsidR="002133BF">
              <w:rPr>
                <w:webHidden/>
              </w:rPr>
              <w:t>10</w:t>
            </w:r>
            <w:r w:rsidR="00FA4FE6">
              <w:rPr>
                <w:webHidden/>
              </w:rPr>
              <w:fldChar w:fldCharType="end"/>
            </w:r>
          </w:hyperlink>
        </w:p>
        <w:p w14:paraId="321F94AC" w14:textId="5047E1B1" w:rsidR="00FA4FE6" w:rsidRDefault="00CF1E39">
          <w:pPr>
            <w:pStyle w:val="TOC2"/>
            <w:rPr>
              <w:rFonts w:eastAsiaTheme="minorEastAsia"/>
              <w:kern w:val="2"/>
              <w:lang w:eastAsia="en-AU"/>
              <w14:ligatures w14:val="standardContextual"/>
            </w:rPr>
          </w:pPr>
          <w:hyperlink w:anchor="_Toc176175549" w:history="1">
            <w:r w:rsidR="00FA4FE6" w:rsidRPr="00A74648">
              <w:rPr>
                <w:rStyle w:val="Hyperlink"/>
              </w:rPr>
              <w:t>Disallowable Instruments—No comment</w:t>
            </w:r>
            <w:r w:rsidR="00FA4FE6">
              <w:rPr>
                <w:webHidden/>
              </w:rPr>
              <w:tab/>
            </w:r>
            <w:r w:rsidR="00FA4FE6">
              <w:rPr>
                <w:webHidden/>
              </w:rPr>
              <w:fldChar w:fldCharType="begin"/>
            </w:r>
            <w:r w:rsidR="00FA4FE6">
              <w:rPr>
                <w:webHidden/>
              </w:rPr>
              <w:instrText xml:space="preserve"> PAGEREF _Toc176175549 \h </w:instrText>
            </w:r>
            <w:r w:rsidR="00FA4FE6">
              <w:rPr>
                <w:webHidden/>
              </w:rPr>
            </w:r>
            <w:r w:rsidR="00FA4FE6">
              <w:rPr>
                <w:webHidden/>
              </w:rPr>
              <w:fldChar w:fldCharType="separate"/>
            </w:r>
            <w:r w:rsidR="002133BF">
              <w:rPr>
                <w:webHidden/>
              </w:rPr>
              <w:t>10</w:t>
            </w:r>
            <w:r w:rsidR="00FA4FE6">
              <w:rPr>
                <w:webHidden/>
              </w:rPr>
              <w:fldChar w:fldCharType="end"/>
            </w:r>
          </w:hyperlink>
        </w:p>
        <w:p w14:paraId="00975D5C" w14:textId="4AB96DE7" w:rsidR="00FA4FE6" w:rsidRDefault="00CF1E39">
          <w:pPr>
            <w:pStyle w:val="TOC2"/>
            <w:rPr>
              <w:rFonts w:eastAsiaTheme="minorEastAsia"/>
              <w:kern w:val="2"/>
              <w:lang w:eastAsia="en-AU"/>
              <w14:ligatures w14:val="standardContextual"/>
            </w:rPr>
          </w:pPr>
          <w:hyperlink w:anchor="_Toc176175550" w:history="1">
            <w:r w:rsidR="00FA4FE6" w:rsidRPr="00A74648">
              <w:rPr>
                <w:rStyle w:val="Hyperlink"/>
              </w:rPr>
              <w:t>Disallowable Instruments—Comment</w:t>
            </w:r>
            <w:r w:rsidR="00FA4FE6">
              <w:rPr>
                <w:webHidden/>
              </w:rPr>
              <w:tab/>
            </w:r>
            <w:r w:rsidR="00FA4FE6">
              <w:rPr>
                <w:webHidden/>
              </w:rPr>
              <w:fldChar w:fldCharType="begin"/>
            </w:r>
            <w:r w:rsidR="00FA4FE6">
              <w:rPr>
                <w:webHidden/>
              </w:rPr>
              <w:instrText xml:space="preserve"> PAGEREF _Toc176175550 \h </w:instrText>
            </w:r>
            <w:r w:rsidR="00FA4FE6">
              <w:rPr>
                <w:webHidden/>
              </w:rPr>
            </w:r>
            <w:r w:rsidR="00FA4FE6">
              <w:rPr>
                <w:webHidden/>
              </w:rPr>
              <w:fldChar w:fldCharType="separate"/>
            </w:r>
            <w:r w:rsidR="002133BF">
              <w:rPr>
                <w:webHidden/>
              </w:rPr>
              <w:t>15</w:t>
            </w:r>
            <w:r w:rsidR="00FA4FE6">
              <w:rPr>
                <w:webHidden/>
              </w:rPr>
              <w:fldChar w:fldCharType="end"/>
            </w:r>
          </w:hyperlink>
        </w:p>
        <w:p w14:paraId="73BE8480" w14:textId="6C132948" w:rsidR="00FA4FE6" w:rsidRDefault="00CF1E39">
          <w:pPr>
            <w:pStyle w:val="TOC2"/>
            <w:rPr>
              <w:rFonts w:eastAsiaTheme="minorEastAsia"/>
              <w:kern w:val="2"/>
              <w:lang w:eastAsia="en-AU"/>
              <w14:ligatures w14:val="standardContextual"/>
            </w:rPr>
          </w:pPr>
          <w:hyperlink w:anchor="_Toc176175565" w:history="1">
            <w:r w:rsidR="00FA4FE6" w:rsidRPr="00A74648">
              <w:rPr>
                <w:rStyle w:val="Hyperlink"/>
              </w:rPr>
              <w:t>Subordinate Laws—Comment</w:t>
            </w:r>
            <w:r w:rsidR="00FA4FE6">
              <w:rPr>
                <w:webHidden/>
              </w:rPr>
              <w:tab/>
            </w:r>
            <w:r w:rsidR="00FA4FE6">
              <w:rPr>
                <w:webHidden/>
              </w:rPr>
              <w:fldChar w:fldCharType="begin"/>
            </w:r>
            <w:r w:rsidR="00FA4FE6">
              <w:rPr>
                <w:webHidden/>
              </w:rPr>
              <w:instrText xml:space="preserve"> PAGEREF _Toc176175565 \h </w:instrText>
            </w:r>
            <w:r w:rsidR="00FA4FE6">
              <w:rPr>
                <w:webHidden/>
              </w:rPr>
            </w:r>
            <w:r w:rsidR="00FA4FE6">
              <w:rPr>
                <w:webHidden/>
              </w:rPr>
              <w:fldChar w:fldCharType="separate"/>
            </w:r>
            <w:r w:rsidR="002133BF">
              <w:rPr>
                <w:webHidden/>
              </w:rPr>
              <w:t>43</w:t>
            </w:r>
            <w:r w:rsidR="00FA4FE6">
              <w:rPr>
                <w:webHidden/>
              </w:rPr>
              <w:fldChar w:fldCharType="end"/>
            </w:r>
          </w:hyperlink>
        </w:p>
        <w:p w14:paraId="5DC66F6F" w14:textId="11D77080" w:rsidR="00FA4FE6" w:rsidRDefault="00CF1E39">
          <w:pPr>
            <w:pStyle w:val="TOC2"/>
            <w:rPr>
              <w:rFonts w:eastAsiaTheme="minorEastAsia"/>
              <w:kern w:val="2"/>
              <w:lang w:eastAsia="en-AU"/>
              <w14:ligatures w14:val="standardContextual"/>
            </w:rPr>
          </w:pPr>
          <w:hyperlink w:anchor="_Toc176175577" w:history="1">
            <w:r w:rsidR="00FA4FE6" w:rsidRPr="00A74648">
              <w:rPr>
                <w:rStyle w:val="Hyperlink"/>
              </w:rPr>
              <w:t>Regulatory Impact Statements—Comment</w:t>
            </w:r>
            <w:r w:rsidR="00FA4FE6">
              <w:rPr>
                <w:webHidden/>
              </w:rPr>
              <w:tab/>
            </w:r>
            <w:r w:rsidR="00FA4FE6">
              <w:rPr>
                <w:webHidden/>
              </w:rPr>
              <w:fldChar w:fldCharType="begin"/>
            </w:r>
            <w:r w:rsidR="00FA4FE6">
              <w:rPr>
                <w:webHidden/>
              </w:rPr>
              <w:instrText xml:space="preserve"> PAGEREF _Toc176175577 \h </w:instrText>
            </w:r>
            <w:r w:rsidR="00FA4FE6">
              <w:rPr>
                <w:webHidden/>
              </w:rPr>
            </w:r>
            <w:r w:rsidR="00FA4FE6">
              <w:rPr>
                <w:webHidden/>
              </w:rPr>
              <w:fldChar w:fldCharType="separate"/>
            </w:r>
            <w:r w:rsidR="002133BF">
              <w:rPr>
                <w:webHidden/>
              </w:rPr>
              <w:t>57</w:t>
            </w:r>
            <w:r w:rsidR="00FA4FE6">
              <w:rPr>
                <w:webHidden/>
              </w:rPr>
              <w:fldChar w:fldCharType="end"/>
            </w:r>
          </w:hyperlink>
        </w:p>
        <w:p w14:paraId="20ADDBAE" w14:textId="519C4EA3" w:rsidR="00FA4FE6" w:rsidRDefault="00CF1E39">
          <w:pPr>
            <w:pStyle w:val="TOC1"/>
            <w:rPr>
              <w:rFonts w:asciiTheme="minorHAnsi" w:eastAsiaTheme="minorEastAsia" w:hAnsiTheme="minorHAnsi"/>
              <w:b w:val="0"/>
              <w:bCs w:val="0"/>
              <w:color w:val="auto"/>
              <w:w w:val="100"/>
              <w:kern w:val="2"/>
              <w:sz w:val="22"/>
              <w:lang w:eastAsia="en-AU"/>
              <w14:ligatures w14:val="standardContextual"/>
            </w:rPr>
          </w:pPr>
          <w:hyperlink w:anchor="_Toc176175578" w:history="1">
            <w:r w:rsidR="00FA4FE6" w:rsidRPr="00A74648">
              <w:rPr>
                <w:rStyle w:val="Hyperlink"/>
                <w:rFonts w:eastAsiaTheme="majorEastAsia" w:cstheme="majorBidi"/>
              </w:rPr>
              <w:t>Outstanding responses</w:t>
            </w:r>
            <w:r w:rsidR="00FA4FE6">
              <w:rPr>
                <w:webHidden/>
              </w:rPr>
              <w:tab/>
            </w:r>
            <w:r w:rsidR="00FA4FE6">
              <w:rPr>
                <w:webHidden/>
              </w:rPr>
              <w:fldChar w:fldCharType="begin"/>
            </w:r>
            <w:r w:rsidR="00FA4FE6">
              <w:rPr>
                <w:webHidden/>
              </w:rPr>
              <w:instrText xml:space="preserve"> PAGEREF _Toc176175578 \h </w:instrText>
            </w:r>
            <w:r w:rsidR="00FA4FE6">
              <w:rPr>
                <w:webHidden/>
              </w:rPr>
            </w:r>
            <w:r w:rsidR="00FA4FE6">
              <w:rPr>
                <w:webHidden/>
              </w:rPr>
              <w:fldChar w:fldCharType="separate"/>
            </w:r>
            <w:r w:rsidR="002133BF">
              <w:rPr>
                <w:webHidden/>
              </w:rPr>
              <w:t>59</w:t>
            </w:r>
            <w:r w:rsidR="00FA4FE6">
              <w:rPr>
                <w:webHidden/>
              </w:rPr>
              <w:fldChar w:fldCharType="end"/>
            </w:r>
          </w:hyperlink>
        </w:p>
        <w:p w14:paraId="48D15A55" w14:textId="2D25003B" w:rsidR="00FA4FE6" w:rsidRDefault="00CF1E39">
          <w:pPr>
            <w:pStyle w:val="TOC2"/>
            <w:rPr>
              <w:rFonts w:eastAsiaTheme="minorEastAsia"/>
              <w:kern w:val="2"/>
              <w:lang w:eastAsia="en-AU"/>
              <w14:ligatures w14:val="standardContextual"/>
            </w:rPr>
          </w:pPr>
          <w:hyperlink w:anchor="_Toc176175579" w:history="1">
            <w:r w:rsidR="00FA4FE6" w:rsidRPr="00A74648">
              <w:rPr>
                <w:rStyle w:val="Hyperlink"/>
              </w:rPr>
              <w:t>Bills/Subordinate Legislation</w:t>
            </w:r>
            <w:r w:rsidR="00FA4FE6">
              <w:rPr>
                <w:webHidden/>
              </w:rPr>
              <w:tab/>
            </w:r>
            <w:r w:rsidR="00FA4FE6">
              <w:rPr>
                <w:webHidden/>
              </w:rPr>
              <w:fldChar w:fldCharType="begin"/>
            </w:r>
            <w:r w:rsidR="00FA4FE6">
              <w:rPr>
                <w:webHidden/>
              </w:rPr>
              <w:instrText xml:space="preserve"> PAGEREF _Toc176175579 \h </w:instrText>
            </w:r>
            <w:r w:rsidR="00FA4FE6">
              <w:rPr>
                <w:webHidden/>
              </w:rPr>
            </w:r>
            <w:r w:rsidR="00FA4FE6">
              <w:rPr>
                <w:webHidden/>
              </w:rPr>
              <w:fldChar w:fldCharType="separate"/>
            </w:r>
            <w:r w:rsidR="002133BF">
              <w:rPr>
                <w:webHidden/>
              </w:rPr>
              <w:t>59</w:t>
            </w:r>
            <w:r w:rsidR="00FA4FE6">
              <w:rPr>
                <w:webHidden/>
              </w:rPr>
              <w:fldChar w:fldCharType="end"/>
            </w:r>
          </w:hyperlink>
        </w:p>
        <w:p w14:paraId="22834A98" w14:textId="6BF86B5C" w:rsidR="00FA4FE6" w:rsidRDefault="00CF1E39">
          <w:pPr>
            <w:pStyle w:val="TOC3"/>
            <w:rPr>
              <w:rFonts w:eastAsiaTheme="minorEastAsia"/>
              <w:kern w:val="2"/>
              <w:lang w:eastAsia="en-AU"/>
              <w14:ligatures w14:val="standardContextual"/>
            </w:rPr>
          </w:pPr>
          <w:hyperlink w:anchor="_Toc176175580" w:history="1">
            <w:r w:rsidR="00FA4FE6" w:rsidRPr="00A74648">
              <w:rPr>
                <w:rStyle w:val="Hyperlink"/>
              </w:rPr>
              <w:t>Report 28, dated 3 May 2023</w:t>
            </w:r>
            <w:r w:rsidR="00FA4FE6">
              <w:rPr>
                <w:webHidden/>
              </w:rPr>
              <w:tab/>
            </w:r>
            <w:r w:rsidR="00FA4FE6">
              <w:rPr>
                <w:webHidden/>
              </w:rPr>
              <w:fldChar w:fldCharType="begin"/>
            </w:r>
            <w:r w:rsidR="00FA4FE6">
              <w:rPr>
                <w:webHidden/>
              </w:rPr>
              <w:instrText xml:space="preserve"> PAGEREF _Toc176175580 \h </w:instrText>
            </w:r>
            <w:r w:rsidR="00FA4FE6">
              <w:rPr>
                <w:webHidden/>
              </w:rPr>
            </w:r>
            <w:r w:rsidR="00FA4FE6">
              <w:rPr>
                <w:webHidden/>
              </w:rPr>
              <w:fldChar w:fldCharType="separate"/>
            </w:r>
            <w:r w:rsidR="002133BF">
              <w:rPr>
                <w:webHidden/>
              </w:rPr>
              <w:t>59</w:t>
            </w:r>
            <w:r w:rsidR="00FA4FE6">
              <w:rPr>
                <w:webHidden/>
              </w:rPr>
              <w:fldChar w:fldCharType="end"/>
            </w:r>
          </w:hyperlink>
        </w:p>
        <w:p w14:paraId="79C0D49B" w14:textId="6DD26A1D" w:rsidR="00FA4FE6" w:rsidRDefault="00CF1E39">
          <w:pPr>
            <w:pStyle w:val="TOC3"/>
            <w:rPr>
              <w:rFonts w:eastAsiaTheme="minorEastAsia"/>
              <w:kern w:val="2"/>
              <w:lang w:eastAsia="en-AU"/>
              <w14:ligatures w14:val="standardContextual"/>
            </w:rPr>
          </w:pPr>
          <w:hyperlink w:anchor="_Toc176175582" w:history="1">
            <w:r w:rsidR="00FA4FE6" w:rsidRPr="00A74648">
              <w:rPr>
                <w:rStyle w:val="Hyperlink"/>
              </w:rPr>
              <w:t>Report 39, dated 12 March 2024</w:t>
            </w:r>
            <w:r w:rsidR="00FA4FE6">
              <w:rPr>
                <w:webHidden/>
              </w:rPr>
              <w:tab/>
            </w:r>
            <w:r w:rsidR="00FA4FE6">
              <w:rPr>
                <w:webHidden/>
              </w:rPr>
              <w:fldChar w:fldCharType="begin"/>
            </w:r>
            <w:r w:rsidR="00FA4FE6">
              <w:rPr>
                <w:webHidden/>
              </w:rPr>
              <w:instrText xml:space="preserve"> PAGEREF _Toc176175582 \h </w:instrText>
            </w:r>
            <w:r w:rsidR="00FA4FE6">
              <w:rPr>
                <w:webHidden/>
              </w:rPr>
            </w:r>
            <w:r w:rsidR="00FA4FE6">
              <w:rPr>
                <w:webHidden/>
              </w:rPr>
              <w:fldChar w:fldCharType="separate"/>
            </w:r>
            <w:r w:rsidR="002133BF">
              <w:rPr>
                <w:webHidden/>
              </w:rPr>
              <w:t>59</w:t>
            </w:r>
            <w:r w:rsidR="00FA4FE6">
              <w:rPr>
                <w:webHidden/>
              </w:rPr>
              <w:fldChar w:fldCharType="end"/>
            </w:r>
          </w:hyperlink>
        </w:p>
        <w:p w14:paraId="3D31C645" w14:textId="7879BD37"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344C4F63" w14:textId="5C49D60C" w:rsidR="00B7541C" w:rsidRPr="00B7541C" w:rsidRDefault="00B7541C" w:rsidP="00B7541C">
      <w:pPr>
        <w:sectPr w:rsidR="00B7541C" w:rsidRPr="00B7541C" w:rsidSect="003C3E0B">
          <w:footerReference w:type="default" r:id="rId15"/>
          <w:pgSz w:w="11906" w:h="16838"/>
          <w:pgMar w:top="1288" w:right="1440" w:bottom="1440" w:left="1440" w:header="708" w:footer="708" w:gutter="0"/>
          <w:pgNumType w:fmt="lowerRoman" w:start="1"/>
          <w:cols w:space="708"/>
          <w:docGrid w:linePitch="360"/>
        </w:sectPr>
      </w:pPr>
    </w:p>
    <w:p w14:paraId="53852A67" w14:textId="7ACE7FB4" w:rsidR="0036775A" w:rsidRDefault="00BF3890" w:rsidP="00EE5867">
      <w:pPr>
        <w:pStyle w:val="Heading1"/>
        <w:numPr>
          <w:ilvl w:val="0"/>
          <w:numId w:val="6"/>
        </w:numPr>
        <w:ind w:left="851" w:hanging="851"/>
      </w:pPr>
      <w:bookmarkStart w:id="99" w:name="_Toc176175531"/>
      <w:bookmarkEnd w:id="97"/>
      <w:r>
        <w:lastRenderedPageBreak/>
        <w:t>Bills</w:t>
      </w:r>
      <w:bookmarkEnd w:id="99"/>
    </w:p>
    <w:p w14:paraId="0C76717E" w14:textId="77777777" w:rsidR="00E27B6D" w:rsidRDefault="00E27B6D" w:rsidP="007825E1">
      <w:pPr>
        <w:pStyle w:val="Heading20"/>
      </w:pPr>
      <w:bookmarkStart w:id="100" w:name="_Toc176175532"/>
      <w:bookmarkStart w:id="101" w:name="_Hlk79571513"/>
      <w:bookmarkStart w:id="102" w:name="_Toc157516915"/>
      <w:r>
        <w:t>Bills—Comment</w:t>
      </w:r>
      <w:bookmarkEnd w:id="100"/>
    </w:p>
    <w:p w14:paraId="36ECB069" w14:textId="77777777" w:rsidR="00E27B6D" w:rsidRDefault="00E27B6D" w:rsidP="007825E1">
      <w:pPr>
        <w:pStyle w:val="Heading3"/>
      </w:pPr>
      <w:bookmarkStart w:id="103" w:name="_Toc176175533"/>
      <w:r>
        <w:t>Crimes (Anti-Consorting) Amendment Bill 2024</w:t>
      </w:r>
      <w:bookmarkEnd w:id="103"/>
    </w:p>
    <w:p w14:paraId="31388A7B" w14:textId="5F726AC4" w:rsidR="00E27B6D" w:rsidRDefault="00E27B6D" w:rsidP="00E27B6D">
      <w:pPr>
        <w:pStyle w:val="ListNumber2"/>
        <w:numPr>
          <w:ilvl w:val="1"/>
          <w:numId w:val="6"/>
        </w:numPr>
      </w:pPr>
      <w:r>
        <w:t xml:space="preserve">This Private Member’s Bill will introduce a new Part 5A into the </w:t>
      </w:r>
      <w:r>
        <w:rPr>
          <w:i/>
          <w:iCs/>
        </w:rPr>
        <w:t>Crimes Act 1900</w:t>
      </w:r>
      <w:r>
        <w:t xml:space="preserve"> to make it an offence to habitually consort with convicted offenders. A review by the Ombudsman must be carried out as soon as practicable after two years of the Bill’s operation.</w:t>
      </w:r>
    </w:p>
    <w:p w14:paraId="61255E75" w14:textId="2713A668" w:rsidR="00E27B6D" w:rsidRDefault="00E27B6D" w:rsidP="007825E1">
      <w:pPr>
        <w:pStyle w:val="Heading4"/>
        <w:rPr>
          <w:rFonts w:eastAsia="Calibri"/>
          <w:lang w:eastAsia="en-AU"/>
        </w:rPr>
      </w:pPr>
      <w:bookmarkStart w:id="104" w:name="_Toc176162846"/>
      <w:bookmarkStart w:id="105" w:name="_Toc176175534"/>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04"/>
      <w:bookmarkEnd w:id="105"/>
      <w:r>
        <w:rPr>
          <w:lang w:val="en-US"/>
        </w:rPr>
        <w:t xml:space="preserve">  </w:t>
      </w:r>
    </w:p>
    <w:p w14:paraId="71A59D2C" w14:textId="77777777" w:rsidR="00E27B6D" w:rsidRDefault="00E27B6D" w:rsidP="007825E1">
      <w:pPr>
        <w:pStyle w:val="Heading4"/>
        <w:rPr>
          <w:rFonts w:eastAsia="Calibri"/>
          <w:i/>
          <w:lang w:eastAsia="en-AU"/>
        </w:rPr>
      </w:pPr>
      <w:bookmarkStart w:id="106" w:name="_Toc176162847"/>
      <w:bookmarkStart w:id="107" w:name="_Toc176175535"/>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06"/>
      <w:bookmarkEnd w:id="107"/>
    </w:p>
    <w:p w14:paraId="798B85AF" w14:textId="77777777" w:rsidR="00E27B6D" w:rsidRDefault="00E27B6D" w:rsidP="007825E1">
      <w:pPr>
        <w:pStyle w:val="Heading5"/>
      </w:pPr>
      <w:r>
        <w:t>Right to recognition and equality before the law (section 8 HRA)</w:t>
      </w:r>
    </w:p>
    <w:p w14:paraId="78948F92" w14:textId="77777777" w:rsidR="00E27B6D" w:rsidRDefault="00E27B6D" w:rsidP="007825E1">
      <w:pPr>
        <w:pStyle w:val="Heading5"/>
      </w:pPr>
      <w:r>
        <w:t>Peaceful assembly and freedom of association (HRA 15)</w:t>
      </w:r>
    </w:p>
    <w:p w14:paraId="7654BDC3" w14:textId="77777777" w:rsidR="00E27B6D" w:rsidRDefault="00E27B6D" w:rsidP="007825E1">
      <w:pPr>
        <w:pStyle w:val="Heading5"/>
      </w:pPr>
      <w:r>
        <w:t>Freedom of expression (section 16 HRA)</w:t>
      </w:r>
    </w:p>
    <w:p w14:paraId="2C00C712" w14:textId="4910BBD5" w:rsidR="00E27B6D" w:rsidRDefault="00E27B6D" w:rsidP="00E27B6D">
      <w:pPr>
        <w:pStyle w:val="ListNumber2"/>
        <w:numPr>
          <w:ilvl w:val="1"/>
          <w:numId w:val="6"/>
        </w:numPr>
        <w:ind w:hanging="720"/>
      </w:pPr>
      <w:r w:rsidRPr="007825E1">
        <w:rPr>
          <w:spacing w:val="-2"/>
        </w:rPr>
        <w:t>The Bill will make it an offence for a person over the age of 14, after receiving an official warning, to habitually consort with convicted offenders. A convicted offender is defined as offenders convicted of other indictable offences, including offences committed in other jurisdictions which would be indictable offences if committed in the Territory. There is no restriction on when the conviction occurred or the relationship, if any, between the conviction and consorting. Habitually consort refers to consorting with each of at least 2 convicted offenders on at least 2 occasions. An official warning consists of a warning, given orally or in writing, that a stated person is a convicted offender and habitually consorting with convicted offenders is an offence. An official warning will be in effect for up to 2 years, or 6 months when given to a person under 18. There is no limitation in the Bill on the circumstances in which an official warning can be given or provision for withdrawal of an official warning</w:t>
      </w:r>
      <w:r>
        <w:t xml:space="preserve">. </w:t>
      </w:r>
    </w:p>
    <w:p w14:paraId="34E1C04D" w14:textId="1FFC3DFB" w:rsidR="00E27B6D" w:rsidRDefault="00E27B6D" w:rsidP="00E27B6D">
      <w:pPr>
        <w:pStyle w:val="ListNumber2"/>
        <w:numPr>
          <w:ilvl w:val="1"/>
          <w:numId w:val="6"/>
        </w:numPr>
        <w:ind w:hanging="720"/>
      </w:pPr>
      <w:r>
        <w:t xml:space="preserve">Consort is defined in the Bill to mean consort in person or by any other means, including electronic or other forms of communication. In </w:t>
      </w:r>
      <w:proofErr w:type="spellStart"/>
      <w:r>
        <w:rPr>
          <w:i/>
          <w:iCs/>
        </w:rPr>
        <w:t>Tajjour</w:t>
      </w:r>
      <w:proofErr w:type="spellEnd"/>
      <w:r>
        <w:rPr>
          <w:i/>
          <w:iCs/>
        </w:rPr>
        <w:t xml:space="preserve"> v New South Wales</w:t>
      </w:r>
      <w:r>
        <w:rPr>
          <w:rStyle w:val="FootnoteReference"/>
          <w:i/>
          <w:iCs/>
        </w:rPr>
        <w:footnoteReference w:id="1"/>
      </w:r>
      <w:r>
        <w:t xml:space="preserve"> the various judges of the High Court, when discussing a similar definition in the Crimes Act 1900 (NSW), accepted that this definition did not suggest that any form of communication would be a</w:t>
      </w:r>
      <w:r w:rsidR="007825E1">
        <w:t> </w:t>
      </w:r>
      <w:r>
        <w:t xml:space="preserve">form of consorting. Instead, the judgements accepted the common law meaning of consort as involving the intentional and accepted association with or keeping company of someone. Consorting does not require an unlawful or criminal purpose. </w:t>
      </w:r>
    </w:p>
    <w:p w14:paraId="539B1DBE" w14:textId="77777777" w:rsidR="00E27B6D" w:rsidRDefault="00E27B6D" w:rsidP="007825E1">
      <w:pPr>
        <w:pStyle w:val="ListNumber2"/>
        <w:numPr>
          <w:ilvl w:val="1"/>
          <w:numId w:val="6"/>
        </w:numPr>
        <w:spacing w:before="60"/>
        <w:ind w:hanging="720"/>
      </w:pPr>
      <w:r>
        <w:t xml:space="preserve">The Bill provides for exceptions to the offence for consorting with family members, while in lawful custody, or in the course of employment, operating a business, </w:t>
      </w:r>
      <w:proofErr w:type="gramStart"/>
      <w:r>
        <w:t>training</w:t>
      </w:r>
      <w:proofErr w:type="gramEnd"/>
      <w:r>
        <w:t xml:space="preserve"> or education, providing a health or welfare service, providing legal advice or complying with the sentence administration board or corrections officer. Family member includes, for a defendant who is an Aboriginal or Torres Strait Islander person, “a person who is or has been part of the defendant’s extended family kin according to the indigenous kinship system of the defendant’s culture”. To come within these exceptions, the consorting must be reasonable in the circumstances. </w:t>
      </w:r>
    </w:p>
    <w:p w14:paraId="00D0DEB7" w14:textId="77777777" w:rsidR="00E27B6D" w:rsidRDefault="00E27B6D" w:rsidP="00E27B6D">
      <w:pPr>
        <w:pStyle w:val="ListNumber2"/>
        <w:numPr>
          <w:ilvl w:val="1"/>
          <w:numId w:val="6"/>
        </w:numPr>
        <w:ind w:hanging="720"/>
      </w:pPr>
      <w:r>
        <w:lastRenderedPageBreak/>
        <w:t>By restricting who a person can associate with, either through being issued with or the subject of an official warning, the Bill may limit the right to freedom of association in section 15 of the HRA. By allowing restrictions based on whether a person is a convicted offender the Bill may limit the right to equality in section 8 of the HRA. By restricting associations that include or are for the purpose of communication, including for political purposes, the Bill may limit the right to freedom of expression in section 12 of the HRA.</w:t>
      </w:r>
    </w:p>
    <w:p w14:paraId="67FCBA0A" w14:textId="77777777" w:rsidR="00E27B6D" w:rsidRDefault="00E27B6D" w:rsidP="00E27B6D">
      <w:pPr>
        <w:pStyle w:val="ListNumber2"/>
        <w:numPr>
          <w:ilvl w:val="1"/>
          <w:numId w:val="6"/>
        </w:numPr>
        <w:ind w:hanging="720"/>
      </w:pPr>
      <w:r>
        <w:t xml:space="preserve">The explanatory statement accompanying the Bill recognises these potential limitations and sets out why, taken together, they should be considered reasonable using the framework in section 28 of the HRA. The Committee refers that statement to the Assembly and makes the following comments. </w:t>
      </w:r>
    </w:p>
    <w:p w14:paraId="657A0E3D" w14:textId="77777777" w:rsidR="00E27B6D" w:rsidRDefault="00E27B6D" w:rsidP="00E27B6D">
      <w:pPr>
        <w:pStyle w:val="ListNumber2"/>
        <w:numPr>
          <w:ilvl w:val="1"/>
          <w:numId w:val="6"/>
        </w:numPr>
        <w:ind w:hanging="720"/>
      </w:pPr>
      <w:r>
        <w:t xml:space="preserve">The explanatory statement describes the intent of the Bill as to prevent and de-escalate acts of violence and intimidation, with </w:t>
      </w:r>
      <w:proofErr w:type="gramStart"/>
      <w:r>
        <w:t>particular reference</w:t>
      </w:r>
      <w:proofErr w:type="gramEnd"/>
      <w:r>
        <w:t xml:space="preserve"> to the activities of outlaw motorcycle gangs. However, the Bill is not limited to associations likely to lead to violent, or any, criminal behaviour other than that possibly correlated with associating with convicted offenders. The statement provides a general statement rather than setting out how each of the recognised limitations may be restricted by the Bill. It mistakenly refers to “a general exemption for contact which is, in the view of the court, ‘reasonable in the circumstances’”</w:t>
      </w:r>
      <w:r>
        <w:rPr>
          <w:rStyle w:val="FootnoteReference"/>
        </w:rPr>
        <w:footnoteReference w:id="2"/>
      </w:r>
      <w:r>
        <w:t xml:space="preserve"> and that the Bill does “not apply to young persons at all”</w:t>
      </w:r>
      <w:r>
        <w:rPr>
          <w:rStyle w:val="FootnoteReference"/>
        </w:rPr>
        <w:footnoteReference w:id="3"/>
      </w:r>
      <w:r>
        <w:t>. The statement also unclearly suggests that the operation of the “entire Act will be subject to Ombudsman’s oversight”</w:t>
      </w:r>
      <w:r>
        <w:rPr>
          <w:rStyle w:val="FootnoteReference"/>
        </w:rPr>
        <w:footnoteReference w:id="4"/>
      </w:r>
      <w:r>
        <w:t>.</w:t>
      </w:r>
    </w:p>
    <w:p w14:paraId="16812217" w14:textId="77777777" w:rsidR="00E27B6D" w:rsidRDefault="00E27B6D" w:rsidP="00E27B6D">
      <w:pPr>
        <w:pStyle w:val="ListNumber2"/>
        <w:numPr>
          <w:ilvl w:val="1"/>
          <w:numId w:val="6"/>
        </w:numPr>
        <w:ind w:hanging="720"/>
      </w:pPr>
      <w:r>
        <w:t>The explanatory statement, in discussing why there are no less restrictive means reasonably available to achieve the Bill’s purpose, states:</w:t>
      </w:r>
    </w:p>
    <w:p w14:paraId="73057D5B" w14:textId="77777777" w:rsidR="00E27B6D" w:rsidRDefault="00E27B6D" w:rsidP="00E27B6D">
      <w:pPr>
        <w:pStyle w:val="Quote"/>
        <w:ind w:left="720"/>
      </w:pPr>
      <w:r>
        <w:t xml:space="preserve">The Bill is designed to protect members of the community in a manner that limits rights of some individuals to the minimum extent possible to achieve its purpose. </w:t>
      </w:r>
    </w:p>
    <w:p w14:paraId="34A70452" w14:textId="77777777" w:rsidR="00E27B6D" w:rsidRDefault="00E27B6D" w:rsidP="00E27B6D">
      <w:pPr>
        <w:pStyle w:val="Quote"/>
        <w:ind w:left="720"/>
      </w:pPr>
      <w:r>
        <w:t xml:space="preserve">In this instance, that recognises the fact that NSW, a jurisdiction which </w:t>
      </w:r>
      <w:proofErr w:type="gramStart"/>
      <w:r>
        <w:t>completely surrounds</w:t>
      </w:r>
      <w:proofErr w:type="gramEnd"/>
      <w:r>
        <w:t xml:space="preserve"> the ACT, has identical laws in place which were re-affirmed with tri-party support late in 2018. </w:t>
      </w:r>
    </w:p>
    <w:p w14:paraId="065D85CD" w14:textId="77777777" w:rsidR="00E27B6D" w:rsidRDefault="00E27B6D" w:rsidP="00E27B6D">
      <w:pPr>
        <w:pStyle w:val="Quote"/>
        <w:ind w:left="720"/>
      </w:pPr>
      <w:r>
        <w:t xml:space="preserve">It is the disparity in protections between the jurisdictions that has caused the attraction of more criminal gangs to the ACT and the escalation in violence. It follows that nothing less than parity with NSW will address this problem. </w:t>
      </w:r>
    </w:p>
    <w:p w14:paraId="4CE2ABF0" w14:textId="77777777" w:rsidR="00E27B6D" w:rsidRDefault="00E27B6D" w:rsidP="00E27B6D">
      <w:pPr>
        <w:pStyle w:val="Quote"/>
        <w:ind w:left="720"/>
      </w:pPr>
      <w:r>
        <w:t>There have been calls for nationally consistent laws to deal with organised criminal gang activity for some time. However, in the absence of those laws, the very minimum standard that will be effective in achieving the stated purpose of community safety is to mimic as closely as possible the laws in NSW.</w:t>
      </w:r>
    </w:p>
    <w:p w14:paraId="2EEB054F" w14:textId="77777777" w:rsidR="00E27B6D" w:rsidRDefault="00E27B6D" w:rsidP="00E24228">
      <w:pPr>
        <w:pStyle w:val="ListNumber2"/>
        <w:numPr>
          <w:ilvl w:val="1"/>
          <w:numId w:val="6"/>
        </w:numPr>
        <w:spacing w:after="0" w:line="269" w:lineRule="auto"/>
        <w:ind w:hanging="720"/>
      </w:pPr>
      <w:r>
        <w:lastRenderedPageBreak/>
        <w:t xml:space="preserve">The Committee notes that there are some differences between the Bill and the NSW legislation on which it is modelled. Section 93Y of the NSW Crimes Act includes an exception for consorting that occurs “in the course of providing transitional, crisis or emergency accommodation.” The NSW Crimes Act also does not require consorting to be reasonable in the circumstances before it can fall into one of the exceptions to the offence. </w:t>
      </w:r>
    </w:p>
    <w:p w14:paraId="0937697D" w14:textId="77777777" w:rsidR="00E27B6D" w:rsidRDefault="00E27B6D" w:rsidP="00E24228">
      <w:pPr>
        <w:pStyle w:val="ListNumber2"/>
        <w:numPr>
          <w:ilvl w:val="1"/>
          <w:numId w:val="6"/>
        </w:numPr>
        <w:spacing w:after="0" w:line="269" w:lineRule="auto"/>
        <w:ind w:hanging="720"/>
      </w:pPr>
      <w:r>
        <w:t xml:space="preserve">The Committee is also concerned that the justification in the explanatory statement suggests adoption of NSW legislation without sufficient regard to its compatibility with the rights protected under the HRA. </w:t>
      </w:r>
      <w:proofErr w:type="gramStart"/>
      <w:r>
        <w:t>In particular, it</w:t>
      </w:r>
      <w:proofErr w:type="gramEnd"/>
      <w:r>
        <w:t xml:space="preserve"> is not clear to the Committee why aspects of the Bill which do not directly extend to protection against violent activity could not be amended without affecting its intended prevention and deterrence effects.</w:t>
      </w:r>
    </w:p>
    <w:p w14:paraId="2DD6A652" w14:textId="77777777" w:rsidR="00E27B6D" w:rsidRDefault="00E27B6D" w:rsidP="00E24228">
      <w:pPr>
        <w:pStyle w:val="ListNumber2"/>
        <w:numPr>
          <w:ilvl w:val="1"/>
          <w:numId w:val="6"/>
        </w:numPr>
        <w:spacing w:after="0" w:line="269" w:lineRule="auto"/>
        <w:ind w:hanging="720"/>
      </w:pPr>
      <w:r>
        <w:t xml:space="preserve">For example, the </w:t>
      </w:r>
      <w:r>
        <w:rPr>
          <w:i/>
          <w:iCs/>
        </w:rPr>
        <w:t>Criminal Organisations Control Act 2012</w:t>
      </w:r>
      <w:r>
        <w:t xml:space="preserve"> (Vic) includes an offence of unlawfully associating with a convicted offender after having been served with an unlawful association notice. The offence involves associating on 3 or more occasions over 3 months, or 6 or more occasions over 12 months. The notices can only be issued by senior police officers, issued to persons over 18, and only if the police officer reasonably believes that preventing the association is likely to prevent the commission of an offence. Notices must also generally be issued to the convicted offenders. The notices must also include various details, including the issuing officer and the availability of internal review.</w:t>
      </w:r>
    </w:p>
    <w:p w14:paraId="1EB75D53" w14:textId="77777777" w:rsidR="00E27B6D" w:rsidRDefault="00E27B6D" w:rsidP="00E24228">
      <w:pPr>
        <w:pStyle w:val="ListNumber2"/>
        <w:numPr>
          <w:ilvl w:val="1"/>
          <w:numId w:val="6"/>
        </w:numPr>
        <w:spacing w:after="0" w:line="274" w:lineRule="auto"/>
        <w:ind w:hanging="720"/>
      </w:pPr>
      <w:r>
        <w:t xml:space="preserve">The exceptions to the offence include associating for genuine political purposes or in lawful protest or industrial action, in accordance with a lawful association authority issued by the Chief commissioner and granted to the individual, or at a gazetted event or gathering. There is also provision for internal review by a senior police officer of the decision to issue the unlawful association notices. </w:t>
      </w:r>
    </w:p>
    <w:p w14:paraId="7B840234" w14:textId="15F7EE5A" w:rsidR="00E27B6D" w:rsidRDefault="00E27B6D" w:rsidP="00E24228">
      <w:pPr>
        <w:pStyle w:val="ListNumber2"/>
        <w:numPr>
          <w:ilvl w:val="1"/>
          <w:numId w:val="6"/>
        </w:numPr>
        <w:spacing w:after="0" w:line="274" w:lineRule="auto"/>
        <w:ind w:hanging="720"/>
      </w:pPr>
      <w:r>
        <w:t xml:space="preserve">The explanatory statement accompanying the Bill refers to the High Court decision of </w:t>
      </w:r>
      <w:proofErr w:type="spellStart"/>
      <w:r>
        <w:rPr>
          <w:i/>
          <w:iCs/>
        </w:rPr>
        <w:t>Tajjour</w:t>
      </w:r>
      <w:proofErr w:type="spellEnd"/>
      <w:r>
        <w:t xml:space="preserve"> as showing that “laws upon which this Bill was drafted was found to be valid and effective”. The High Court in </w:t>
      </w:r>
      <w:proofErr w:type="spellStart"/>
      <w:r>
        <w:rPr>
          <w:i/>
          <w:iCs/>
        </w:rPr>
        <w:t>Tajjour</w:t>
      </w:r>
      <w:proofErr w:type="spellEnd"/>
      <w:r>
        <w:t xml:space="preserve"> considered whether the consorting offence under Division 7 of Part 3A of the NSW Crimes Act impermissibly burdened the implied constitutional protection of political communication. The Court rejected the submission that the right to association as recognised in the International Covenant on Civil and Political Rights in some way restricted the NSW parliament. The Court did not consider whether the offence should be considered a</w:t>
      </w:r>
      <w:r w:rsidR="00E24228">
        <w:t> </w:t>
      </w:r>
      <w:r>
        <w:t xml:space="preserve">reasonably limitation on the right to association under that covenant or otherwise. </w:t>
      </w:r>
    </w:p>
    <w:p w14:paraId="125588EB" w14:textId="77777777" w:rsidR="00E27B6D" w:rsidRDefault="00E27B6D" w:rsidP="00E24228">
      <w:pPr>
        <w:pStyle w:val="ListNumber2"/>
        <w:numPr>
          <w:ilvl w:val="1"/>
          <w:numId w:val="6"/>
        </w:numPr>
        <w:spacing w:after="0" w:line="269" w:lineRule="auto"/>
        <w:ind w:hanging="720"/>
      </w:pPr>
      <w:r>
        <w:t>The Court’s comments on the protection of political communication may also be of limited application to the question whether the Bill unreasonably limits rights under the HRA. The various judgements generally emphasised the difference between the protection of political communication and possibly more expansive rights to freedom of expression. While the plurality concluded that the offence under the NSW legislation goes no further than is reasonably necessary to achieve its objectives, this was based on the absence of alternatives that significantly reduced the burden on political communication while not adding to legal requirements of proof. They did not consider the extent to which alternatives that may lessen the restriction on other rights, including the right to association, may be reasonably effective.</w:t>
      </w:r>
      <w:r>
        <w:rPr>
          <w:rStyle w:val="FootnoteReference"/>
        </w:rPr>
        <w:footnoteReference w:id="5"/>
      </w:r>
      <w:r>
        <w:t xml:space="preserve"> Only three of the 7 judges considered whether the burden on the protection of political communication could be considered disproportionate, and relied in their conclusions on the incidental effect of the offence on the protection of political communication and did not consider the more extensive effects on freedom of expression and association generally.</w:t>
      </w:r>
      <w:r>
        <w:rPr>
          <w:rStyle w:val="FootnoteReference"/>
        </w:rPr>
        <w:footnoteReference w:id="6"/>
      </w:r>
      <w:r>
        <w:t xml:space="preserve"> </w:t>
      </w:r>
    </w:p>
    <w:p w14:paraId="767254F1" w14:textId="77777777" w:rsidR="00E27B6D" w:rsidRPr="00AA34C6" w:rsidRDefault="00E27B6D" w:rsidP="00E24228">
      <w:pPr>
        <w:pStyle w:val="ListNumber2"/>
        <w:numPr>
          <w:ilvl w:val="1"/>
          <w:numId w:val="6"/>
        </w:numPr>
        <w:spacing w:after="0"/>
        <w:ind w:hanging="720"/>
        <w:rPr>
          <w:b/>
          <w:bCs w:val="0"/>
        </w:rPr>
      </w:pPr>
      <w:r w:rsidRPr="00AA34C6">
        <w:rPr>
          <w:b/>
          <w:bCs w:val="0"/>
        </w:rPr>
        <w:lastRenderedPageBreak/>
        <w:t xml:space="preserve">The Committee therefore requests further information on why further restrictions on the proposed offence, such as that adopted in the Victorian legislation or which otherwise reduce any limitation on the identified rights, may not be considered reasonably available to achieve the purpose of the Bill. The Committee also recommends that the explanatory statement accompanying the Bill be amended to more clearly set out the operation and extent to which the Bill limits the identified rights and to clarify the relevance of the decision of the High Court in </w:t>
      </w:r>
      <w:proofErr w:type="spellStart"/>
      <w:r w:rsidRPr="00AA34C6">
        <w:rPr>
          <w:b/>
          <w:bCs w:val="0"/>
          <w:i/>
          <w:iCs/>
        </w:rPr>
        <w:t>Tajjour</w:t>
      </w:r>
      <w:proofErr w:type="spellEnd"/>
      <w:r w:rsidRPr="00AA34C6">
        <w:rPr>
          <w:b/>
          <w:bCs w:val="0"/>
        </w:rPr>
        <w:t>.</w:t>
      </w:r>
    </w:p>
    <w:tbl>
      <w:tblPr>
        <w:tblStyle w:val="Recommendationbox"/>
        <w:tblW w:w="0" w:type="auto"/>
        <w:tblLook w:val="0600" w:firstRow="0" w:lastRow="0" w:firstColumn="0" w:lastColumn="0" w:noHBand="1" w:noVBand="1"/>
      </w:tblPr>
      <w:tblGrid>
        <w:gridCol w:w="8175"/>
      </w:tblGrid>
      <w:tr w:rsidR="00E27B6D" w14:paraId="595C6357" w14:textId="77777777" w:rsidTr="00E27B6D">
        <w:tc>
          <w:tcPr>
            <w:tcW w:w="7891" w:type="dxa"/>
            <w:hideMark/>
          </w:tcPr>
          <w:p w14:paraId="1B319CE3" w14:textId="77777777" w:rsidR="00E27B6D" w:rsidRDefault="00E27B6D">
            <w:pPr>
              <w:pStyle w:val="ListNumber2"/>
            </w:pPr>
            <w:r>
              <w:t xml:space="preserve">Noting that the Assembly only has one remaining scheduled sitting period and that this Bill is likely to be debated prior to any response being considered by the Committee, the Committee draws this matter to the attention of the Assembly and asks for the Member to respond as soon as possible. </w:t>
            </w:r>
          </w:p>
        </w:tc>
      </w:tr>
    </w:tbl>
    <w:p w14:paraId="485BE742" w14:textId="77777777" w:rsidR="00E27B6D" w:rsidRDefault="00E27B6D" w:rsidP="00E24228">
      <w:pPr>
        <w:pStyle w:val="Heading5"/>
        <w:spacing w:before="200"/>
      </w:pPr>
      <w:r>
        <w:t>Right to recognition and equality before the law (section 8 HRA)</w:t>
      </w:r>
    </w:p>
    <w:p w14:paraId="08C3A2FA" w14:textId="77777777" w:rsidR="00E27B6D" w:rsidRDefault="00E27B6D" w:rsidP="00E24228">
      <w:pPr>
        <w:pStyle w:val="Heading5"/>
        <w:spacing w:before="200"/>
      </w:pPr>
      <w:r>
        <w:t>Right to protection of the family and children (section 11 HRA)</w:t>
      </w:r>
    </w:p>
    <w:p w14:paraId="544FF5AF" w14:textId="77777777" w:rsidR="00E27B6D" w:rsidRDefault="00E27B6D" w:rsidP="00E24228">
      <w:pPr>
        <w:pStyle w:val="Heading5"/>
        <w:spacing w:before="200"/>
      </w:pPr>
      <w:r>
        <w:t xml:space="preserve">Right to privacy and reputation (section 12 HRA) </w:t>
      </w:r>
    </w:p>
    <w:p w14:paraId="1A912281" w14:textId="77777777" w:rsidR="00E27B6D" w:rsidRDefault="00E27B6D" w:rsidP="00E24228">
      <w:pPr>
        <w:pStyle w:val="Heading5"/>
        <w:spacing w:before="200"/>
      </w:pPr>
      <w:r>
        <w:t>Right to freedom of movement (section 13 HRA)</w:t>
      </w:r>
    </w:p>
    <w:p w14:paraId="4CE55FDE" w14:textId="77777777" w:rsidR="00E27B6D" w:rsidRDefault="00E27B6D" w:rsidP="00E24228">
      <w:pPr>
        <w:pStyle w:val="Heading5"/>
        <w:spacing w:before="200"/>
      </w:pPr>
      <w:r>
        <w:t>Rights in criminal proceedings (section 22 HRA)</w:t>
      </w:r>
    </w:p>
    <w:p w14:paraId="169B998C" w14:textId="77777777" w:rsidR="00E27B6D" w:rsidRDefault="00E27B6D" w:rsidP="00E24228">
      <w:pPr>
        <w:pStyle w:val="Heading5"/>
        <w:spacing w:before="200"/>
      </w:pPr>
      <w:r>
        <w:t>Cultural and other rights of Aboriginal and Torres Strait Islander peoples and other minorities (section 27 HRA)</w:t>
      </w:r>
    </w:p>
    <w:p w14:paraId="2DA53933" w14:textId="3541C6AF" w:rsidR="00AA34C6" w:rsidRDefault="00E27B6D" w:rsidP="006526F5">
      <w:pPr>
        <w:pStyle w:val="ListNumber2"/>
        <w:numPr>
          <w:ilvl w:val="1"/>
          <w:numId w:val="6"/>
        </w:numPr>
        <w:ind w:hanging="720"/>
      </w:pPr>
      <w:r>
        <w:t>The explanatory statement accompanying the Bill refers to a report of the NSW Ombudsman which lead to reforms of NSW consorting laws in 2018. That report</w:t>
      </w:r>
      <w:r>
        <w:rPr>
          <w:rStyle w:val="FootnoteReference"/>
        </w:rPr>
        <w:footnoteReference w:id="7"/>
      </w:r>
      <w:r>
        <w:t xml:space="preserve"> indicated that the consorting laws had a disproportionate effect on Aboriginal and Torres Strait Islander people, as well as on other vulnerable groups that may be overrepresented in the criminal justice system such as people experiencing homelessness.</w:t>
      </w:r>
      <w:r>
        <w:rPr>
          <w:rStyle w:val="FootnoteReference"/>
        </w:rPr>
        <w:footnoteReference w:id="8"/>
      </w:r>
      <w:r>
        <w:t xml:space="preserve"> Recommendations to extend the exception for consorting with family to include a broader kinship system, which were included in reforms to the NSW Crimes Act and are reflected in the Bill, are acknowledged as only partially redressing these concerns. These concerns suggest that, to the extent that similar practices may occur in the Territory, the Bill may limit the right to equality before the law in section 8 of the HRA. </w:t>
      </w:r>
    </w:p>
    <w:p w14:paraId="405AC89C" w14:textId="77777777" w:rsidR="00E27B6D" w:rsidRDefault="00E27B6D" w:rsidP="006526F5">
      <w:pPr>
        <w:pStyle w:val="ListNumber2"/>
        <w:numPr>
          <w:ilvl w:val="1"/>
          <w:numId w:val="6"/>
        </w:numPr>
        <w:spacing w:before="120"/>
        <w:ind w:hanging="720"/>
      </w:pPr>
      <w:r>
        <w:t>The Ombudsman’s report also details the use and impact of the consorting laws on children and young people, including its possible incompatibility with aims of diverting young people from the criminal justice system, concerns with privacy protections and prevalence of errors in identifying young offenders. The NSW Ombudsman recommended that the consorting laws not apply to children and young people under 18. These concerns suggest, to the extent similar practices may occur in the Territory, the Bill may limit the protection of children in section 11 of the HRA.</w:t>
      </w:r>
    </w:p>
    <w:p w14:paraId="75CED58C" w14:textId="77777777" w:rsidR="00E27B6D" w:rsidRDefault="00E27B6D" w:rsidP="00E24228">
      <w:pPr>
        <w:pStyle w:val="ListNumber2"/>
        <w:keepLines/>
        <w:numPr>
          <w:ilvl w:val="1"/>
          <w:numId w:val="6"/>
        </w:numPr>
        <w:ind w:hanging="720"/>
      </w:pPr>
      <w:r>
        <w:lastRenderedPageBreak/>
        <w:t xml:space="preserve">The limitations in the Bill for consorting with family members, including with an Aboriginal or Torres Strait Islander person’s extended family kin, only apply where the consorting was reasonable in the circumstances. It is not clear to the Committee when consorting with family would not be reasonable, at least in circumstances which would not otherwise be related to a separate offence. However, to the extent the Bill will prevent otherwise lawful consorting with family the Bill may limit the protection of family in section 11 of the HRA, and the Cultural and other rights of Aboriginal and Torres Strait Islander peoples and other minorities in section 27B of the HRA. </w:t>
      </w:r>
    </w:p>
    <w:p w14:paraId="1AE343A3" w14:textId="77777777" w:rsidR="00E27B6D" w:rsidRDefault="00E27B6D" w:rsidP="00E27B6D">
      <w:pPr>
        <w:pStyle w:val="ListNumber2"/>
        <w:numPr>
          <w:ilvl w:val="1"/>
          <w:numId w:val="6"/>
        </w:numPr>
        <w:ind w:hanging="720"/>
      </w:pPr>
      <w:r>
        <w:t xml:space="preserve">By providing for official warnings to be given which include identifying individuals as convicted offenders, the Bill may limit the protection of privacy and reputation in section 12 of the HRA. This right may also be limited by the provision for the Chief police officer to provide information to the Ombudsman in relation to official warnings, proceedings brought under the new offence, and any documents or other information the ombudsman reasonably requires </w:t>
      </w:r>
      <w:proofErr w:type="gramStart"/>
      <w:r>
        <w:t>to undertake</w:t>
      </w:r>
      <w:proofErr w:type="gramEnd"/>
      <w:r>
        <w:t xml:space="preserve"> the review.</w:t>
      </w:r>
    </w:p>
    <w:p w14:paraId="1BA68DB9" w14:textId="77777777" w:rsidR="00E27B6D" w:rsidRDefault="00E27B6D" w:rsidP="00E27B6D">
      <w:pPr>
        <w:pStyle w:val="ListNumber2"/>
        <w:numPr>
          <w:ilvl w:val="1"/>
          <w:numId w:val="6"/>
        </w:numPr>
        <w:ind w:hanging="720"/>
      </w:pPr>
      <w:r>
        <w:t>The Bill may apply to individuals attending venues, including for social gatherings, where it can be anticipated that they would be in the company of convicted offenders. The Bill may therefore limit the freedom of movement protected by section 13 of the HRA.</w:t>
      </w:r>
    </w:p>
    <w:p w14:paraId="5F97ACF3" w14:textId="77777777" w:rsidR="00E27B6D" w:rsidRDefault="00E27B6D" w:rsidP="00E27B6D">
      <w:pPr>
        <w:pStyle w:val="ListNumber2"/>
        <w:numPr>
          <w:ilvl w:val="1"/>
          <w:numId w:val="6"/>
        </w:numPr>
        <w:ind w:hanging="720"/>
      </w:pPr>
      <w:r>
        <w:t>As the limitations set out in proposed section 85 are expressed as an exception to the proposed consorting offence, the defendant has an evidential burden to establish that the circumstances exist that give rise to the limitation. This may limit the presumption of innocence protected as a right in criminal proceedings under section 22 of the HRA.</w:t>
      </w:r>
    </w:p>
    <w:p w14:paraId="58D2CFB3" w14:textId="77777777" w:rsidR="00E27B6D" w:rsidRDefault="00E27B6D" w:rsidP="00B826FD">
      <w:pPr>
        <w:pStyle w:val="ListNumber2"/>
        <w:numPr>
          <w:ilvl w:val="1"/>
          <w:numId w:val="6"/>
        </w:numPr>
        <w:spacing w:after="0"/>
        <w:ind w:hanging="720"/>
      </w:pPr>
      <w:r>
        <w:t xml:space="preserve">None of these potential limitations are recognised in the explanatory statement accompanying the Bill. </w:t>
      </w:r>
      <w:r>
        <w:rPr>
          <w:b/>
          <w:bCs w:val="0"/>
        </w:rPr>
        <w:t>The Committee therefore requests further information from the Member on why these potential limitations should be considered reasonable using the framework in section 28 of the HRA and recommends that the explanatory statement be amended to include that information.</w:t>
      </w:r>
    </w:p>
    <w:tbl>
      <w:tblPr>
        <w:tblStyle w:val="Recommendationbox"/>
        <w:tblW w:w="0" w:type="auto"/>
        <w:tblLook w:val="0600" w:firstRow="0" w:lastRow="0" w:firstColumn="0" w:lastColumn="0" w:noHBand="1" w:noVBand="1"/>
      </w:tblPr>
      <w:tblGrid>
        <w:gridCol w:w="8175"/>
      </w:tblGrid>
      <w:tr w:rsidR="00E27B6D" w14:paraId="30BB93B0" w14:textId="77777777" w:rsidTr="00E27B6D">
        <w:tc>
          <w:tcPr>
            <w:tcW w:w="7891" w:type="dxa"/>
            <w:hideMark/>
          </w:tcPr>
          <w:p w14:paraId="2A76F5AC" w14:textId="77777777" w:rsidR="00E27B6D" w:rsidRDefault="00E27B6D">
            <w:pPr>
              <w:pStyle w:val="ListNumber2"/>
            </w:pPr>
            <w:r>
              <w:t>Noting that the Assembly only has one remaining scheduled sitting period and that this Bill is likely to be debated prior to any response being considered by the Committee, the Committee draws this matter to the attention of the Assembly and asks for the Member to respond as soon as possible.</w:t>
            </w:r>
          </w:p>
        </w:tc>
      </w:tr>
    </w:tbl>
    <w:p w14:paraId="271D965D" w14:textId="77777777" w:rsidR="00E27B6D" w:rsidRDefault="00E27B6D" w:rsidP="007825E1">
      <w:pPr>
        <w:pStyle w:val="Heading3"/>
      </w:pPr>
      <w:bookmarkStart w:id="108" w:name="_Toc176175536"/>
      <w:r>
        <w:t>Evidence (Miscellaneous Provisions) Amendment Bill 2024</w:t>
      </w:r>
      <w:bookmarkEnd w:id="108"/>
    </w:p>
    <w:p w14:paraId="351E35F1" w14:textId="77777777" w:rsidR="00E27B6D" w:rsidRDefault="00E27B6D" w:rsidP="00E27B6D">
      <w:pPr>
        <w:pStyle w:val="ListNumber2"/>
        <w:numPr>
          <w:ilvl w:val="1"/>
          <w:numId w:val="6"/>
        </w:numPr>
        <w:ind w:hanging="720"/>
      </w:pPr>
      <w:r>
        <w:t xml:space="preserve">This Private Member’s Bill will amend the </w:t>
      </w:r>
      <w:r>
        <w:rPr>
          <w:i/>
          <w:iCs/>
        </w:rPr>
        <w:t>Evidence (Miscellaneous Provisions) Act 1991</w:t>
      </w:r>
      <w:r>
        <w:t xml:space="preserve"> to extend the range of special requirements for the giving and disclosing of evidence to include complainants for offences involving alleged sexual assaults or sexual assault incidents under the </w:t>
      </w:r>
      <w:r>
        <w:rPr>
          <w:i/>
          <w:iCs/>
        </w:rPr>
        <w:t>Work Health and Safety Act 2011</w:t>
      </w:r>
      <w:r>
        <w:t xml:space="preserve"> (WHS Act).</w:t>
      </w:r>
    </w:p>
    <w:p w14:paraId="63083551" w14:textId="62E32A34" w:rsidR="00E27B6D" w:rsidRDefault="00E27B6D" w:rsidP="00B826FD">
      <w:pPr>
        <w:pStyle w:val="Heading4"/>
        <w:keepNext w:val="0"/>
        <w:keepLines w:val="0"/>
        <w:rPr>
          <w:rFonts w:eastAsia="Calibri"/>
          <w:lang w:eastAsia="en-AU"/>
        </w:rPr>
      </w:pPr>
      <w:bookmarkStart w:id="109" w:name="_Toc176162849"/>
      <w:bookmarkStart w:id="110" w:name="_Toc176175537"/>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09"/>
      <w:bookmarkEnd w:id="110"/>
      <w:r>
        <w:rPr>
          <w:lang w:val="en-US"/>
        </w:rPr>
        <w:t xml:space="preserve">  </w:t>
      </w:r>
    </w:p>
    <w:p w14:paraId="4CF24B4D" w14:textId="77777777" w:rsidR="00E27B6D" w:rsidRDefault="00E27B6D" w:rsidP="00B826FD">
      <w:pPr>
        <w:pStyle w:val="Heading4"/>
        <w:keepNext w:val="0"/>
        <w:keepLines w:val="0"/>
        <w:spacing w:before="80"/>
        <w:rPr>
          <w:rFonts w:eastAsia="Calibri"/>
          <w:i/>
          <w:lang w:eastAsia="en-AU"/>
        </w:rPr>
      </w:pPr>
      <w:bookmarkStart w:id="111" w:name="_Toc176162850"/>
      <w:bookmarkStart w:id="112" w:name="_Toc176175538"/>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1"/>
      <w:bookmarkEnd w:id="112"/>
    </w:p>
    <w:p w14:paraId="063FB1E0" w14:textId="77777777" w:rsidR="00E27B6D" w:rsidRDefault="00E27B6D" w:rsidP="00B826FD">
      <w:pPr>
        <w:pStyle w:val="Heading5"/>
        <w:keepNext w:val="0"/>
        <w:keepLines w:val="0"/>
        <w:spacing w:before="80"/>
      </w:pPr>
      <w:r>
        <w:t>Right to a fair trial (section 21 HRA)</w:t>
      </w:r>
    </w:p>
    <w:p w14:paraId="54979D3D" w14:textId="77777777" w:rsidR="00E27B6D" w:rsidRDefault="00E27B6D" w:rsidP="00B826FD">
      <w:pPr>
        <w:pStyle w:val="Heading5"/>
        <w:keepNext w:val="0"/>
        <w:keepLines w:val="0"/>
        <w:spacing w:before="80"/>
      </w:pPr>
      <w:r>
        <w:t xml:space="preserve">Rights in criminal proceedings (section 22 HRA) </w:t>
      </w:r>
    </w:p>
    <w:p w14:paraId="57781635" w14:textId="14EB8715" w:rsidR="00E27B6D" w:rsidRDefault="00E27B6D" w:rsidP="00B826FD">
      <w:pPr>
        <w:pStyle w:val="ListNumber2"/>
        <w:numPr>
          <w:ilvl w:val="1"/>
          <w:numId w:val="6"/>
        </w:numPr>
        <w:spacing w:after="0"/>
        <w:ind w:hanging="720"/>
      </w:pPr>
      <w:r>
        <w:lastRenderedPageBreak/>
        <w:t xml:space="preserve">The Bill will expand the definition of sexual offence proceeding to include proceedings for an offence against various provisions of the WHS Act where the offence involves a suspected or alleged sexual assault or any other act of a sexually offensive, </w:t>
      </w:r>
      <w:proofErr w:type="gramStart"/>
      <w:r>
        <w:t>intimidating</w:t>
      </w:r>
      <w:proofErr w:type="gramEnd"/>
      <w:r>
        <w:t xml:space="preserve"> or humiliating nature. This </w:t>
      </w:r>
      <w:r w:rsidR="00555665">
        <w:t>includes</w:t>
      </w:r>
      <w:r>
        <w:t xml:space="preserve"> offences relating to negligence and failing to comply with work health and safety duties. A sexual offence proceeding will also include disputes about liability for an infringement notice relating to the offence under section 38 of the WHS Act of failing to notify a sexual assault incident. </w:t>
      </w:r>
    </w:p>
    <w:p w14:paraId="34F8E26B" w14:textId="77777777" w:rsidR="00E27B6D" w:rsidRDefault="00E27B6D" w:rsidP="00B826FD">
      <w:pPr>
        <w:pStyle w:val="ListNumber2"/>
        <w:numPr>
          <w:ilvl w:val="1"/>
          <w:numId w:val="6"/>
        </w:numPr>
        <w:spacing w:after="0"/>
        <w:ind w:hanging="720"/>
      </w:pPr>
      <w:r>
        <w:t xml:space="preserve">The Bill will also expand the definition of complainant for sexual offence proceedings to include a person against whom a sexual assault or similar acts are suspected or alleged, or have been found, to have been committed. This extends the current definition of complainant to include circumstances where the offences under the WHS Act include sexual </w:t>
      </w:r>
      <w:proofErr w:type="gramStart"/>
      <w:r>
        <w:t>assault</w:t>
      </w:r>
      <w:proofErr w:type="gramEnd"/>
      <w:r>
        <w:t xml:space="preserve"> but the offence is not necessarily committed against the assaulted person. </w:t>
      </w:r>
    </w:p>
    <w:p w14:paraId="4B1303AE" w14:textId="77777777" w:rsidR="00E27B6D" w:rsidRPr="00B826FD" w:rsidRDefault="00E27B6D" w:rsidP="00B826FD">
      <w:pPr>
        <w:pStyle w:val="ListNumber2"/>
        <w:numPr>
          <w:ilvl w:val="1"/>
          <w:numId w:val="6"/>
        </w:numPr>
        <w:spacing w:after="0"/>
        <w:ind w:hanging="720"/>
        <w:rPr>
          <w:spacing w:val="-2"/>
        </w:rPr>
      </w:pPr>
      <w:r w:rsidRPr="00B826FD">
        <w:rPr>
          <w:spacing w:val="-2"/>
        </w:rPr>
        <w:t xml:space="preserve">The effect of the expansion of sexual offence proceedings is to extend a range of protections relating to the giving of evidence. The Bill refers to the protection in section 74 which prohibits the publication, in relation to a sexual offence proceeding, of the complainant’s name, or references or allusions which may enable the complainant to be reasonably identified. </w:t>
      </w:r>
    </w:p>
    <w:p w14:paraId="3380F7C3" w14:textId="6DABB60C" w:rsidR="00E27B6D" w:rsidRDefault="00E27B6D" w:rsidP="00B826FD">
      <w:pPr>
        <w:pStyle w:val="ListNumber2"/>
        <w:numPr>
          <w:ilvl w:val="1"/>
          <w:numId w:val="6"/>
        </w:numPr>
        <w:spacing w:after="0"/>
        <w:ind w:hanging="720"/>
      </w:pPr>
      <w:r>
        <w:t>However, in the Committee</w:t>
      </w:r>
      <w:r w:rsidR="00555665">
        <w:t>’</w:t>
      </w:r>
      <w:r>
        <w:t>s view a range of other protections will also be available after the amendments. These include preventing the examination of witnesses such as the complainant by the accused if the accused is self-represented (section 48) and for evidence to be given in a closed court (sections 50 and 73). Audio-visual recording of police interviews (Division 4.3.3), pre-trial hearings for vulnerable adults and children (Division 4.3.4) and giving evidence by audio-visual link (Division 4.3.5) are facilitated. Part 4.4 provides for the production and use of evidence relating to the complainant’s sexual reputation and activities and counselling and other protected confidences to be limited.</w:t>
      </w:r>
    </w:p>
    <w:p w14:paraId="75ADCD9A" w14:textId="77777777" w:rsidR="00E27B6D" w:rsidRDefault="00E27B6D" w:rsidP="00B826FD">
      <w:pPr>
        <w:pStyle w:val="ListNumber2"/>
        <w:numPr>
          <w:ilvl w:val="1"/>
          <w:numId w:val="6"/>
        </w:numPr>
        <w:spacing w:after="0"/>
        <w:ind w:hanging="720"/>
      </w:pPr>
      <w:r>
        <w:t>The provisions for hearing evidence in a closed court and restrictions on the publication of details of the evidence may restrict the right to a fair trial in section 21 of the HRA. The Committee notes that there is explicit provision in section 21(2) of the HRA for a closed hearing but would expect the explanatory statement to include reference to why the Bill would fall within that provision. Restricting examination may restrict the right of anyone charged with an offence to defend themselves personally or through chosen representatives which is protected as a right in criminal proceedings in section 22 of the HRA.</w:t>
      </w:r>
    </w:p>
    <w:p w14:paraId="27B57E04" w14:textId="77777777" w:rsidR="00E27B6D" w:rsidRDefault="00E27B6D" w:rsidP="00B826FD">
      <w:pPr>
        <w:pStyle w:val="ListNumber2"/>
        <w:numPr>
          <w:ilvl w:val="1"/>
          <w:numId w:val="6"/>
        </w:numPr>
        <w:spacing w:after="0"/>
        <w:ind w:hanging="720"/>
      </w:pPr>
      <w:r>
        <w:t xml:space="preserve">The explanatory statement accompanying the Bill does not discuss the effect of the Bill beyond the extension of the prohibition against publication in section 74 of the Act. The explanatory statement also does not identify any potential limitations of the HRA or discuss why the provisions of the Bill fall within exceptions to the rights. </w:t>
      </w:r>
    </w:p>
    <w:p w14:paraId="78B016AC" w14:textId="77777777" w:rsidR="00E27B6D" w:rsidRDefault="00E27B6D" w:rsidP="00B826FD">
      <w:pPr>
        <w:pStyle w:val="ListNumber2"/>
        <w:numPr>
          <w:ilvl w:val="1"/>
          <w:numId w:val="6"/>
        </w:numPr>
        <w:spacing w:after="0"/>
        <w:ind w:hanging="720"/>
      </w:pPr>
      <w:r>
        <w:rPr>
          <w:b/>
          <w:bCs w:val="0"/>
        </w:rPr>
        <w:t>The Committee therefore requests further information from the Member on why the Bill does not limit the rights to a fair trial or rights in criminal proceedings, or why any limitations should be considered reasonable using the framework set out in section 28 of the HRA. The Committee requests that the explanatory statement accompanying the Bill be amended to include that information.</w:t>
      </w:r>
    </w:p>
    <w:tbl>
      <w:tblPr>
        <w:tblStyle w:val="Recommendationbox"/>
        <w:tblW w:w="0" w:type="auto"/>
        <w:tblLook w:val="0600" w:firstRow="0" w:lastRow="0" w:firstColumn="0" w:lastColumn="0" w:noHBand="1" w:noVBand="1"/>
      </w:tblPr>
      <w:tblGrid>
        <w:gridCol w:w="8175"/>
      </w:tblGrid>
      <w:tr w:rsidR="00E27B6D" w14:paraId="655FCE46" w14:textId="77777777" w:rsidTr="00E27B6D">
        <w:tc>
          <w:tcPr>
            <w:tcW w:w="7891" w:type="dxa"/>
            <w:hideMark/>
          </w:tcPr>
          <w:p w14:paraId="1662BFAB" w14:textId="77777777" w:rsidR="00E27B6D" w:rsidRDefault="00E27B6D" w:rsidP="00B826FD">
            <w:pPr>
              <w:pStyle w:val="ListNumber2"/>
              <w:spacing w:after="0"/>
            </w:pPr>
            <w:r>
              <w:t>Noting that the Assembly only has one remaining scheduled sitting period and that this Bill is likely to be debated prior to any response being considered by the Committee, the Committee draws this matter to the attention of the Assembly and asks for the Member to respond as soon as possible.</w:t>
            </w:r>
          </w:p>
        </w:tc>
      </w:tr>
    </w:tbl>
    <w:p w14:paraId="6FDB9573" w14:textId="24400DC2" w:rsidR="00E27B6D" w:rsidRDefault="00E27B6D" w:rsidP="007825E1">
      <w:pPr>
        <w:pStyle w:val="Heading20"/>
      </w:pPr>
      <w:bookmarkStart w:id="113" w:name="_Toc176175539"/>
      <w:r>
        <w:lastRenderedPageBreak/>
        <w:t>Proposed Amendments</w:t>
      </w:r>
      <w:r w:rsidR="00B826FD">
        <w:t>—</w:t>
      </w:r>
      <w:r>
        <w:t>Comment</w:t>
      </w:r>
      <w:bookmarkEnd w:id="113"/>
    </w:p>
    <w:p w14:paraId="560154A9" w14:textId="77777777" w:rsidR="00E27B6D" w:rsidRDefault="00E27B6D" w:rsidP="007825E1">
      <w:pPr>
        <w:pStyle w:val="Heading3"/>
      </w:pPr>
      <w:bookmarkStart w:id="114" w:name="_Toc176175540"/>
      <w:r>
        <w:t>Justice and Community Safety Legislation Amendment Bill 2024</w:t>
      </w:r>
      <w:bookmarkEnd w:id="114"/>
    </w:p>
    <w:p w14:paraId="0C19C937" w14:textId="77777777" w:rsidR="00E27B6D" w:rsidRDefault="00E27B6D" w:rsidP="00E24228">
      <w:pPr>
        <w:pStyle w:val="ListNumber2"/>
        <w:numPr>
          <w:ilvl w:val="1"/>
          <w:numId w:val="6"/>
        </w:numPr>
        <w:spacing w:line="264" w:lineRule="auto"/>
        <w:ind w:hanging="720"/>
      </w:pPr>
      <w:r>
        <w:t>On 19 August 2024, the Committee received proposed amendments to the Justice and Community Safety Legislation Amendment Bill 2024. These proposed amendments will:</w:t>
      </w:r>
    </w:p>
    <w:p w14:paraId="5448F315" w14:textId="77777777" w:rsidR="00E27B6D" w:rsidRDefault="00E27B6D" w:rsidP="00E24228">
      <w:pPr>
        <w:pStyle w:val="ListNumber3"/>
        <w:numPr>
          <w:ilvl w:val="0"/>
          <w:numId w:val="16"/>
        </w:numPr>
        <w:spacing w:before="40" w:after="0" w:line="264" w:lineRule="auto"/>
        <w:ind w:left="1134" w:hanging="357"/>
      </w:pPr>
      <w:r>
        <w:t xml:space="preserve">amend the </w:t>
      </w:r>
      <w:r>
        <w:rPr>
          <w:i/>
          <w:iCs/>
        </w:rPr>
        <w:t>Parentage Act 2004</w:t>
      </w:r>
      <w:r>
        <w:t xml:space="preserve"> to remove the requirement that birth parents and intended parents in a surrogacy arrangement receive counselling from separate counsellors; and</w:t>
      </w:r>
    </w:p>
    <w:p w14:paraId="0DA25E00" w14:textId="77777777" w:rsidR="00E27B6D" w:rsidRDefault="00E27B6D" w:rsidP="00E24228">
      <w:pPr>
        <w:pStyle w:val="ListNumber3"/>
        <w:numPr>
          <w:ilvl w:val="0"/>
          <w:numId w:val="16"/>
        </w:numPr>
        <w:spacing w:before="40" w:after="0" w:line="264" w:lineRule="auto"/>
        <w:ind w:left="1134" w:hanging="357"/>
      </w:pPr>
      <w:r>
        <w:t xml:space="preserve">amend the </w:t>
      </w:r>
      <w:r>
        <w:rPr>
          <w:i/>
          <w:iCs/>
        </w:rPr>
        <w:t>Crimes Act 1900</w:t>
      </w:r>
      <w:r>
        <w:t xml:space="preserve"> to remove the requirement that a jury unanimously agree that an unlawful relationship existed as one element of the offence of persistent sexual abuse of child or young person under special care. </w:t>
      </w:r>
    </w:p>
    <w:p w14:paraId="28FCD2A9" w14:textId="3F2F7A14" w:rsidR="00E27B6D" w:rsidRDefault="00E27B6D" w:rsidP="00E24228">
      <w:pPr>
        <w:pStyle w:val="Heading4"/>
        <w:spacing w:before="80" w:after="0"/>
        <w:rPr>
          <w:rFonts w:eastAsia="Calibri"/>
          <w:lang w:eastAsia="en-AU"/>
        </w:rPr>
      </w:pPr>
      <w:bookmarkStart w:id="115" w:name="_Toc176162853"/>
      <w:bookmarkStart w:id="116" w:name="_Toc176175541"/>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15"/>
      <w:bookmarkEnd w:id="116"/>
      <w:r>
        <w:rPr>
          <w:lang w:val="en-US"/>
        </w:rPr>
        <w:t xml:space="preserve">  </w:t>
      </w:r>
    </w:p>
    <w:p w14:paraId="062A5AC4" w14:textId="77777777" w:rsidR="00E27B6D" w:rsidRDefault="00E27B6D" w:rsidP="00E24228">
      <w:pPr>
        <w:pStyle w:val="Heading4"/>
        <w:spacing w:before="80" w:after="0"/>
        <w:rPr>
          <w:rFonts w:eastAsia="Calibri"/>
          <w:i/>
          <w:lang w:eastAsia="en-AU"/>
        </w:rPr>
      </w:pPr>
      <w:bookmarkStart w:id="117" w:name="_Toc176162854"/>
      <w:bookmarkStart w:id="118" w:name="_Toc176175542"/>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7"/>
      <w:bookmarkEnd w:id="118"/>
    </w:p>
    <w:p w14:paraId="21E8BB9D" w14:textId="77777777" w:rsidR="00E27B6D" w:rsidRDefault="00E27B6D" w:rsidP="00E24228">
      <w:pPr>
        <w:pStyle w:val="Heading5"/>
        <w:spacing w:before="80" w:after="0"/>
      </w:pPr>
      <w:r>
        <w:t>Right to a fair trial (section 21 HRA)</w:t>
      </w:r>
    </w:p>
    <w:p w14:paraId="78724887" w14:textId="77777777" w:rsidR="00E27B6D" w:rsidRDefault="00E27B6D" w:rsidP="00E24228">
      <w:pPr>
        <w:pStyle w:val="ListNumber2"/>
        <w:numPr>
          <w:ilvl w:val="1"/>
          <w:numId w:val="6"/>
        </w:numPr>
        <w:spacing w:after="0" w:line="264" w:lineRule="auto"/>
        <w:ind w:hanging="720"/>
      </w:pPr>
      <w:r>
        <w:t xml:space="preserve">Allowing a jury to establish a defendant’s criminal guilt </w:t>
      </w:r>
      <w:proofErr w:type="gramStart"/>
      <w:r>
        <w:t>on the basis of</w:t>
      </w:r>
      <w:proofErr w:type="gramEnd"/>
      <w:r>
        <w:t xml:space="preserve"> a majority verdict may limit the right to a fair trial in section 21 of the HRA. As the supplementary explanatory statement accompanying the proposed amendments suggests, the effect of the amendment is to enable the majority verdict scheme, introduced by the </w:t>
      </w:r>
      <w:r>
        <w:rPr>
          <w:i/>
          <w:iCs/>
        </w:rPr>
        <w:t>Crimes Legislation Amendment Act 2024</w:t>
      </w:r>
      <w:r>
        <w:t xml:space="preserve">, to apply to the offence. The explanatory statement accompanying that legislation recognised the majority verdict scheme’s potential limitation on the right to a fair trial and set out why any limitation should be considered reasonable using the framework in section 28 of the HRA. That discussion is referred to and adopted in the supplementary explanatory statement accompanying these proposed amendments.  </w:t>
      </w:r>
    </w:p>
    <w:p w14:paraId="535562B8" w14:textId="6DE4169B" w:rsidR="00E27B6D" w:rsidRDefault="00E27B6D" w:rsidP="00E24228">
      <w:pPr>
        <w:pStyle w:val="ListNumber2"/>
        <w:numPr>
          <w:ilvl w:val="1"/>
          <w:numId w:val="6"/>
        </w:numPr>
        <w:spacing w:after="0"/>
        <w:ind w:hanging="720"/>
        <w:rPr>
          <w:b/>
          <w:bCs w:val="0"/>
        </w:rPr>
      </w:pPr>
      <w:r>
        <w:rPr>
          <w:b/>
          <w:bCs w:val="0"/>
        </w:rPr>
        <w:t xml:space="preserve">The Committee draws this matter to the attention of the </w:t>
      </w:r>
      <w:proofErr w:type="gramStart"/>
      <w:r>
        <w:rPr>
          <w:b/>
          <w:bCs w:val="0"/>
        </w:rPr>
        <w:t>Assembly, but</w:t>
      </w:r>
      <w:proofErr w:type="gramEnd"/>
      <w:r>
        <w:rPr>
          <w:b/>
          <w:bCs w:val="0"/>
        </w:rPr>
        <w:t xml:space="preserve"> does not require a</w:t>
      </w:r>
      <w:r w:rsidR="00E24228">
        <w:rPr>
          <w:b/>
          <w:bCs w:val="0"/>
        </w:rPr>
        <w:t> </w:t>
      </w:r>
      <w:r>
        <w:rPr>
          <w:b/>
          <w:bCs w:val="0"/>
        </w:rPr>
        <w:t>response from the Minister.</w:t>
      </w:r>
    </w:p>
    <w:p w14:paraId="59D80E76" w14:textId="391A967D" w:rsidR="00E27B6D" w:rsidRDefault="00E27B6D" w:rsidP="007825E1">
      <w:pPr>
        <w:pStyle w:val="Heading20"/>
      </w:pPr>
      <w:bookmarkStart w:id="119" w:name="_Toc176175543"/>
      <w:r>
        <w:t>Responses</w:t>
      </w:r>
      <w:r w:rsidR="00B826FD">
        <w:t>—</w:t>
      </w:r>
      <w:r>
        <w:t>Comment</w:t>
      </w:r>
      <w:bookmarkEnd w:id="119"/>
    </w:p>
    <w:p w14:paraId="50AF9B1C" w14:textId="77777777" w:rsidR="00E27B6D" w:rsidRDefault="00E27B6D" w:rsidP="007825E1">
      <w:pPr>
        <w:pStyle w:val="Heading3"/>
      </w:pPr>
      <w:bookmarkStart w:id="120" w:name="_Toc176175544"/>
      <w:r>
        <w:t>Gaming Machine (Compulsory Surrender) Amendment Bill 2024</w:t>
      </w:r>
      <w:bookmarkEnd w:id="120"/>
    </w:p>
    <w:p w14:paraId="7BDE5DA1" w14:textId="77777777" w:rsidR="00E27B6D" w:rsidRDefault="00E27B6D" w:rsidP="00E24228">
      <w:pPr>
        <w:pStyle w:val="ListNumber2"/>
        <w:numPr>
          <w:ilvl w:val="1"/>
          <w:numId w:val="6"/>
        </w:numPr>
        <w:spacing w:after="0" w:line="264" w:lineRule="auto"/>
        <w:ind w:hanging="720"/>
      </w:pPr>
      <w:r>
        <w:t xml:space="preserve">On 26 August 2024, the Committee received updated explanatory statements relating to the two sets of amendments to the Gaming Machine (Compulsory Surrender) Amendment bill 2024 proposed by Mr Braddock MLA. The updated explanatory statements respond to concerns raised by the Committee in its </w:t>
      </w:r>
      <w:r w:rsidRPr="00E24228">
        <w:rPr>
          <w:i/>
          <w:iCs/>
        </w:rPr>
        <w:t>Scrutiny Report 44</w:t>
      </w:r>
      <w:r>
        <w:t>. The Committee thanks the member for their response and makes the following comments.</w:t>
      </w:r>
    </w:p>
    <w:p w14:paraId="1CBAEF3D" w14:textId="738CC00F" w:rsidR="00E27B6D" w:rsidRDefault="00E27B6D" w:rsidP="00E24228">
      <w:pPr>
        <w:pStyle w:val="Heading4"/>
        <w:spacing w:before="80" w:after="0" w:line="240" w:lineRule="auto"/>
        <w:rPr>
          <w:rFonts w:eastAsia="Calibri"/>
          <w:lang w:eastAsia="en-AU"/>
        </w:rPr>
      </w:pPr>
      <w:bookmarkStart w:id="121" w:name="_Toc176162859"/>
      <w:bookmarkStart w:id="122" w:name="_Toc176175545"/>
      <w:r>
        <w:rPr>
          <w:rFonts w:eastAsia="Calibri"/>
          <w:lang w:eastAsia="en-AU"/>
        </w:rPr>
        <w:t xml:space="preserve">Do any provisions of the Bill amount to an undue trespass on personal rights and </w:t>
      </w:r>
      <w:proofErr w:type="gramStart"/>
      <w:r>
        <w:rPr>
          <w:rFonts w:eastAsia="Calibri"/>
          <w:lang w:eastAsia="en-AU"/>
        </w:rPr>
        <w:t>liberties?—</w:t>
      </w:r>
      <w:proofErr w:type="gramEnd"/>
      <w:r>
        <w:rPr>
          <w:lang w:val="en-US"/>
        </w:rPr>
        <w:t>Committee Resolution of Appointment paragraph (10)(a)(</w:t>
      </w:r>
      <w:proofErr w:type="spellStart"/>
      <w:r>
        <w:rPr>
          <w:lang w:val="en-US"/>
        </w:rPr>
        <w:t>i</w:t>
      </w:r>
      <w:proofErr w:type="spellEnd"/>
      <w:r>
        <w:rPr>
          <w:lang w:val="en-US"/>
        </w:rPr>
        <w:t>)</w:t>
      </w:r>
      <w:bookmarkEnd w:id="121"/>
      <w:bookmarkEnd w:id="122"/>
      <w:r>
        <w:rPr>
          <w:lang w:val="en-US"/>
        </w:rPr>
        <w:t xml:space="preserve">  </w:t>
      </w:r>
    </w:p>
    <w:p w14:paraId="4A78B37A" w14:textId="77777777" w:rsidR="00E27B6D" w:rsidRDefault="00E27B6D" w:rsidP="00E24228">
      <w:pPr>
        <w:pStyle w:val="Heading4"/>
        <w:spacing w:before="80" w:after="0" w:line="240" w:lineRule="auto"/>
        <w:rPr>
          <w:rFonts w:eastAsia="Calibri"/>
          <w:i/>
          <w:lang w:eastAsia="en-AU"/>
        </w:rPr>
      </w:pPr>
      <w:bookmarkStart w:id="123" w:name="_Toc176162860"/>
      <w:bookmarkStart w:id="124" w:name="_Toc176175546"/>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23"/>
      <w:bookmarkEnd w:id="124"/>
    </w:p>
    <w:p w14:paraId="138A31A1" w14:textId="77777777" w:rsidR="00E27B6D" w:rsidRDefault="00E27B6D" w:rsidP="00E24228">
      <w:pPr>
        <w:pStyle w:val="Heading5"/>
        <w:spacing w:before="80" w:after="0" w:line="240" w:lineRule="auto"/>
      </w:pPr>
      <w:r>
        <w:t xml:space="preserve">Right to privacy and reputation (section 12 HRA) </w:t>
      </w:r>
    </w:p>
    <w:p w14:paraId="379EACF4" w14:textId="77777777" w:rsidR="00E27B6D" w:rsidRDefault="00E27B6D" w:rsidP="00555665">
      <w:pPr>
        <w:pStyle w:val="ListNumber2"/>
        <w:numPr>
          <w:ilvl w:val="1"/>
          <w:numId w:val="6"/>
        </w:numPr>
        <w:ind w:hanging="720"/>
      </w:pPr>
      <w:r>
        <w:t xml:space="preserve">The first set of proposed amendments will require electronic gaming machines (EGMs) made available in the Territory to enforce loss and time limits, minimum </w:t>
      </w:r>
      <w:proofErr w:type="gramStart"/>
      <w:r>
        <w:t>breaks</w:t>
      </w:r>
      <w:proofErr w:type="gramEnd"/>
      <w:r>
        <w:t xml:space="preserve"> and self-exclusion. The Committee raised concerns over the possible limitations of the protection of privacy in section 12 of the HRA implied in the implementation of these requirements. The updated explanatory statements confirm that the proposed amendments will require the collection, </w:t>
      </w:r>
      <w:proofErr w:type="gramStart"/>
      <w:r>
        <w:t>storage</w:t>
      </w:r>
      <w:proofErr w:type="gramEnd"/>
      <w:r>
        <w:t xml:space="preserve"> and use of personal information by the Central Monitoring System used to monitor and enforce limits on the use of EGMs.</w:t>
      </w:r>
    </w:p>
    <w:p w14:paraId="5D5DE0B5" w14:textId="3E3603BB" w:rsidR="00E27B6D" w:rsidRDefault="00E27B6D" w:rsidP="00555665">
      <w:pPr>
        <w:pStyle w:val="ListNumber2"/>
        <w:numPr>
          <w:ilvl w:val="1"/>
          <w:numId w:val="6"/>
        </w:numPr>
        <w:ind w:hanging="720"/>
      </w:pPr>
      <w:r>
        <w:lastRenderedPageBreak/>
        <w:t xml:space="preserve">The updated explanatory statement states that a regulation will be made under section 67(2) of the </w:t>
      </w:r>
      <w:r>
        <w:rPr>
          <w:i/>
          <w:iCs/>
        </w:rPr>
        <w:t>Gaming Machine Act 2009</w:t>
      </w:r>
      <w:r>
        <w:t xml:space="preserve"> to include requirements for how the CMS will interact with individual player cards and how data will be stored, secured, and used. It is expected that personal information will be managed centrally by the Gaming and Racing Commission and subject to the Territory Privacy Principles. Procurement of the development of the CMS is expected to specify a high level of privacy protection </w:t>
      </w:r>
      <w:r w:rsidR="00555665">
        <w:t>consistent</w:t>
      </w:r>
      <w:r>
        <w:t xml:space="preserve"> with ACT government data management policies. </w:t>
      </w:r>
    </w:p>
    <w:p w14:paraId="75827850" w14:textId="77777777" w:rsidR="00E27B6D" w:rsidRPr="00B826FD" w:rsidRDefault="00E27B6D" w:rsidP="00555665">
      <w:pPr>
        <w:pStyle w:val="ListNumber2"/>
        <w:numPr>
          <w:ilvl w:val="1"/>
          <w:numId w:val="6"/>
        </w:numPr>
        <w:ind w:hanging="720"/>
        <w:rPr>
          <w:spacing w:val="-2"/>
        </w:rPr>
      </w:pPr>
      <w:r w:rsidRPr="00B826FD">
        <w:rPr>
          <w:spacing w:val="-2"/>
        </w:rPr>
        <w:t xml:space="preserve">The Committee remains concerned, however, that none of the privacy protections discussed in the updated explanatory statement are required by the proposed amendments or existing legislation. There is no requirement that regulations about the CMS be made, or that any regulation include protection of privacy in the way suggested by the updated explanatory statement. Similarly, the application of the Territory Privacy Principles and government data management policies are dependent on the decisions of government in implementing the proposed amendments and not directly subject to scrutiny by this Committee or the Assembly. It is unclear how privacy protections built into the CMS will extend to the handling of personal information by manufacturers of individual EGMs and the licensees who operate them. </w:t>
      </w:r>
    </w:p>
    <w:p w14:paraId="294E78DE" w14:textId="77777777" w:rsidR="00E27B6D" w:rsidRDefault="00E27B6D" w:rsidP="00555665">
      <w:pPr>
        <w:pStyle w:val="ListNumber2"/>
        <w:numPr>
          <w:ilvl w:val="1"/>
          <w:numId w:val="6"/>
        </w:numPr>
        <w:ind w:hanging="720"/>
      </w:pPr>
      <w:r>
        <w:t>The Committee sees no reason why these protections could not be included in the proposed amendments to the Gaming Machine Act. The Committee therefore is not satisfied that the provisions of the Bill provide for the least restrictive means reasonably available to achieve the purpose of the proposed amendments. The limitations by the proposed amendments of the protection of privacy in section 12 of the HRA have not been justified as reasonable.</w:t>
      </w:r>
    </w:p>
    <w:tbl>
      <w:tblPr>
        <w:tblStyle w:val="Recommendationbox"/>
        <w:tblW w:w="0" w:type="auto"/>
        <w:tblLook w:val="0600" w:firstRow="0" w:lastRow="0" w:firstColumn="0" w:lastColumn="0" w:noHBand="1" w:noVBand="1"/>
      </w:tblPr>
      <w:tblGrid>
        <w:gridCol w:w="8175"/>
      </w:tblGrid>
      <w:tr w:rsidR="00E27B6D" w14:paraId="38382EB4" w14:textId="77777777" w:rsidTr="00E27B6D">
        <w:tc>
          <w:tcPr>
            <w:tcW w:w="7891" w:type="dxa"/>
            <w:hideMark/>
          </w:tcPr>
          <w:p w14:paraId="427FB464" w14:textId="77777777" w:rsidR="00E27B6D" w:rsidRDefault="00E27B6D">
            <w:pPr>
              <w:pStyle w:val="ListNumber2"/>
            </w:pPr>
            <w:r>
              <w:t>Noting that the Assembly only has one remaining scheduled sitting period and that this Bill is likely to be debated prior to any response being considered by the Committee, the Committee draws this matter to the attention of the Assembly and asks for the Member to respond as soon as possible.</w:t>
            </w:r>
          </w:p>
        </w:tc>
      </w:tr>
    </w:tbl>
    <w:p w14:paraId="5E648914" w14:textId="77777777" w:rsidR="00E27B6D" w:rsidRDefault="00E27B6D" w:rsidP="007825E1">
      <w:pPr>
        <w:pStyle w:val="Heading5"/>
      </w:pPr>
      <w:r>
        <w:t>Right to peaceful assembly and freedom of association (section 15 HRA)</w:t>
      </w:r>
    </w:p>
    <w:p w14:paraId="51EBAE5D" w14:textId="77777777" w:rsidR="00E27B6D" w:rsidRDefault="00E27B6D" w:rsidP="007825E1">
      <w:pPr>
        <w:pStyle w:val="Heading5"/>
      </w:pPr>
      <w:r>
        <w:t>Freedom of expression (section 16 HRA)</w:t>
      </w:r>
    </w:p>
    <w:p w14:paraId="598D076A" w14:textId="77777777" w:rsidR="00E27B6D" w:rsidRDefault="00E27B6D" w:rsidP="00555665">
      <w:pPr>
        <w:pStyle w:val="ListNumber2"/>
        <w:numPr>
          <w:ilvl w:val="1"/>
          <w:numId w:val="6"/>
        </w:numPr>
        <w:ind w:hanging="720"/>
      </w:pPr>
      <w:r>
        <w:t xml:space="preserve">The second set of proposed amendments will restrict clubs from holding a licence to operate EGMs if their objects, or the way the club is conducted, </w:t>
      </w:r>
      <w:proofErr w:type="gramStart"/>
      <w:r>
        <w:t>furthers</w:t>
      </w:r>
      <w:proofErr w:type="gramEnd"/>
      <w:r>
        <w:t xml:space="preserve"> or promotes only one political grouping or associated entity. The Committee, in its </w:t>
      </w:r>
      <w:r w:rsidRPr="006A718E">
        <w:rPr>
          <w:i/>
          <w:iCs/>
        </w:rPr>
        <w:t>Scrutiny Report 44</w:t>
      </w:r>
      <w:r>
        <w:t>, raised concerns that these proposed amendments, to the extent they were intended to restrict political donations to political parties or actors or otherwise restrict political activity, may limit the right to expression in section 16 of the HRA. To the extent the proposed amendments may restrict the activities or sources of revenue of clubs and hence restrict the choices available to individuals in how they associate, the proposed amendments may limit the right to freedom of association in section 15 of the HRA.</w:t>
      </w:r>
    </w:p>
    <w:p w14:paraId="1262615A" w14:textId="77777777" w:rsidR="00E27B6D" w:rsidRDefault="00E27B6D" w:rsidP="00555665">
      <w:pPr>
        <w:pStyle w:val="ListNumber2"/>
        <w:numPr>
          <w:ilvl w:val="1"/>
          <w:numId w:val="6"/>
        </w:numPr>
        <w:ind w:hanging="720"/>
      </w:pPr>
      <w:r>
        <w:t xml:space="preserve">The updated explanatory statement describes the objectives of the proposed amendments as “removing the conflict of interest between gambling operators and political parties by requiring that direct associations between political parties and gambling licence-holders be severed”.  The statement does not rely on political donations to form the basis for the conflict of interest it seeks to remove. Instead, the proposed amendments seek to sever governance-related ties or connections between politicians and politically affiliated clubs that stand as an obstacle for gambling reforms. </w:t>
      </w:r>
    </w:p>
    <w:p w14:paraId="633D6620" w14:textId="77777777" w:rsidR="00E27B6D" w:rsidRDefault="00E27B6D" w:rsidP="00555665">
      <w:pPr>
        <w:pStyle w:val="ListNumber2"/>
        <w:numPr>
          <w:ilvl w:val="1"/>
          <w:numId w:val="6"/>
        </w:numPr>
        <w:ind w:hanging="720"/>
      </w:pPr>
      <w:r>
        <w:lastRenderedPageBreak/>
        <w:t xml:space="preserve">The Committee notes that the merits or otherwise of gambling reforms is not relevant to establishing the reasonableness of the rights limitations in the proposed amendments nor the consistency of the amendments with the implied constitutional freedom of political communication. The Committee remains concerned that the conflict of interest generated by a club having a licence to operate EGMs while including in its objects or conduct promotion of a political grouping or associated entity remains unclear, particularly where the conduct represents a minor part of the club’s conduct. Recognising the inverse relationship between any conflict and the burden on the respective rights, the Committee leaves to the Assembly the question whether any limitation should be considered reasonable. </w:t>
      </w:r>
    </w:p>
    <w:p w14:paraId="4583CED0" w14:textId="19AF24D1" w:rsidR="00E27B6D" w:rsidRDefault="00E27B6D" w:rsidP="00555665">
      <w:pPr>
        <w:pStyle w:val="ListNumber2"/>
        <w:numPr>
          <w:ilvl w:val="1"/>
          <w:numId w:val="6"/>
        </w:numPr>
        <w:ind w:hanging="720"/>
      </w:pPr>
      <w:r>
        <w:rPr>
          <w:b/>
          <w:bCs w:val="0"/>
        </w:rPr>
        <w:t xml:space="preserve">The Committee draws this matter to the attention of the </w:t>
      </w:r>
      <w:proofErr w:type="gramStart"/>
      <w:r>
        <w:rPr>
          <w:b/>
          <w:bCs w:val="0"/>
        </w:rPr>
        <w:t>Assembly, but</w:t>
      </w:r>
      <w:proofErr w:type="gramEnd"/>
      <w:r>
        <w:rPr>
          <w:b/>
          <w:bCs w:val="0"/>
        </w:rPr>
        <w:t xml:space="preserve"> does not require a</w:t>
      </w:r>
      <w:r w:rsidR="00B826FD">
        <w:rPr>
          <w:b/>
          <w:bCs w:val="0"/>
        </w:rPr>
        <w:t> </w:t>
      </w:r>
      <w:r>
        <w:rPr>
          <w:b/>
          <w:bCs w:val="0"/>
        </w:rPr>
        <w:t>response from the Member.</w:t>
      </w:r>
    </w:p>
    <w:p w14:paraId="6CA1DEB2" w14:textId="153363BE" w:rsidR="00E27B6D" w:rsidRDefault="00E27B6D" w:rsidP="007825E1">
      <w:pPr>
        <w:pStyle w:val="Heading20"/>
      </w:pPr>
      <w:bookmarkStart w:id="125" w:name="_Toc176175547"/>
      <w:r>
        <w:t>Responses</w:t>
      </w:r>
      <w:r w:rsidR="00B826FD">
        <w:t>—</w:t>
      </w:r>
      <w:r>
        <w:t xml:space="preserve">No </w:t>
      </w:r>
      <w:r w:rsidR="00B826FD">
        <w:t>c</w:t>
      </w:r>
      <w:r>
        <w:t>omment</w:t>
      </w:r>
      <w:bookmarkEnd w:id="125"/>
    </w:p>
    <w:p w14:paraId="18E94A67" w14:textId="77777777" w:rsidR="00E27B6D" w:rsidRDefault="00E27B6D" w:rsidP="00555665">
      <w:pPr>
        <w:pStyle w:val="ListNumber2"/>
        <w:numPr>
          <w:ilvl w:val="1"/>
          <w:numId w:val="6"/>
        </w:numPr>
        <w:ind w:hanging="720"/>
      </w:pPr>
      <w:r>
        <w:t>The Committee received responses to the Committee’s comments on the following Bills and has no further comments:</w:t>
      </w:r>
    </w:p>
    <w:p w14:paraId="48D80F15" w14:textId="77777777" w:rsidR="00E27B6D" w:rsidRDefault="00E27B6D" w:rsidP="00555665">
      <w:pPr>
        <w:pStyle w:val="ListNumber3"/>
        <w:numPr>
          <w:ilvl w:val="0"/>
          <w:numId w:val="17"/>
        </w:numPr>
        <w:ind w:hanging="11"/>
        <w:rPr>
          <w:i/>
          <w:iCs/>
        </w:rPr>
      </w:pPr>
      <w:bookmarkStart w:id="126" w:name="_Hlk176167829"/>
      <w:r>
        <w:rPr>
          <w:i/>
          <w:iCs/>
        </w:rPr>
        <w:t xml:space="preserve">Coercive Control Bill </w:t>
      </w:r>
      <w:proofErr w:type="gramStart"/>
      <w:r>
        <w:rPr>
          <w:i/>
          <w:iCs/>
        </w:rPr>
        <w:t>2024;</w:t>
      </w:r>
      <w:proofErr w:type="gramEnd"/>
    </w:p>
    <w:p w14:paraId="23C78547" w14:textId="77777777" w:rsidR="00E27B6D" w:rsidRDefault="00E27B6D" w:rsidP="00555665">
      <w:pPr>
        <w:pStyle w:val="ListNumber3"/>
        <w:numPr>
          <w:ilvl w:val="0"/>
          <w:numId w:val="17"/>
        </w:numPr>
        <w:ind w:hanging="11"/>
        <w:rPr>
          <w:i/>
          <w:iCs/>
        </w:rPr>
      </w:pPr>
      <w:r>
        <w:rPr>
          <w:i/>
          <w:iCs/>
        </w:rPr>
        <w:t>Health Legislation Amendment Bill 2024;</w:t>
      </w:r>
      <w:r>
        <w:t xml:space="preserve"> and</w:t>
      </w:r>
    </w:p>
    <w:p w14:paraId="3850B6CE" w14:textId="3FBE9D55" w:rsidR="00E27B6D" w:rsidRDefault="00E27B6D" w:rsidP="00555665">
      <w:pPr>
        <w:pStyle w:val="ListNumber3"/>
        <w:numPr>
          <w:ilvl w:val="0"/>
          <w:numId w:val="17"/>
        </w:numPr>
        <w:ind w:hanging="11"/>
        <w:rPr>
          <w:i/>
          <w:iCs/>
        </w:rPr>
      </w:pPr>
      <w:r>
        <w:rPr>
          <w:i/>
          <w:iCs/>
        </w:rPr>
        <w:t>Nature Conservation Amendment Bill 2024</w:t>
      </w:r>
      <w:r w:rsidR="00686BE0">
        <w:rPr>
          <w:i/>
          <w:iCs/>
        </w:rPr>
        <w:t>.</w:t>
      </w:r>
    </w:p>
    <w:bookmarkEnd w:id="126"/>
    <w:p w14:paraId="0B81D7A7" w14:textId="353AB081" w:rsidR="00E27B6D" w:rsidRDefault="00E27B6D" w:rsidP="00555665">
      <w:pPr>
        <w:pStyle w:val="ListNumber2"/>
        <w:numPr>
          <w:ilvl w:val="1"/>
          <w:numId w:val="6"/>
        </w:numPr>
        <w:ind w:hanging="720"/>
      </w:pPr>
      <w:r>
        <w:t xml:space="preserve">These responses can be viewed </w:t>
      </w:r>
      <w:hyperlink r:id="rId16" w:history="1">
        <w:r w:rsidRPr="00B826FD">
          <w:rPr>
            <w:rStyle w:val="Hyperlink"/>
          </w:rPr>
          <w:t>online</w:t>
        </w:r>
      </w:hyperlink>
      <w:r w:rsidR="00B826FD">
        <w:rPr>
          <w:rStyle w:val="FootnoteReference"/>
        </w:rPr>
        <w:footnoteReference w:id="9"/>
      </w:r>
      <w:r>
        <w:t>.</w:t>
      </w:r>
    </w:p>
    <w:p w14:paraId="373C44DF" w14:textId="06DF9B08" w:rsidR="0072770D" w:rsidRPr="00B77CE4" w:rsidRDefault="00E27B6D" w:rsidP="00B77CE4">
      <w:pPr>
        <w:pStyle w:val="ListNumber2"/>
        <w:numPr>
          <w:ilvl w:val="1"/>
          <w:numId w:val="6"/>
        </w:numPr>
        <w:ind w:hanging="720"/>
      </w:pPr>
      <w:r>
        <w:t>The Committee wishes to thank the Ministers and Member for their helpful responses.</w:t>
      </w:r>
    </w:p>
    <w:bookmarkEnd w:id="101"/>
    <w:p w14:paraId="1F88F98C" w14:textId="04073137" w:rsidR="00B826FD" w:rsidRDefault="00B826FD">
      <w:pPr>
        <w:spacing w:line="259" w:lineRule="auto"/>
        <w:rPr>
          <w:rFonts w:cstheme="minorHAnsi"/>
          <w:bCs/>
          <w:color w:val="000000" w:themeColor="text1"/>
          <w:szCs w:val="20"/>
        </w:rPr>
      </w:pPr>
      <w:r>
        <w:br w:type="page"/>
      </w:r>
    </w:p>
    <w:p w14:paraId="4E27F9C1" w14:textId="7644E313" w:rsidR="007E2BE2" w:rsidRDefault="007E2BE2" w:rsidP="00EE5867">
      <w:pPr>
        <w:pStyle w:val="Heading1"/>
        <w:numPr>
          <w:ilvl w:val="0"/>
          <w:numId w:val="6"/>
        </w:numPr>
        <w:ind w:left="851" w:hanging="851"/>
      </w:pPr>
      <w:bookmarkStart w:id="127" w:name="_Toc176175548"/>
      <w:bookmarkEnd w:id="102"/>
      <w:bookmarkEnd w:id="98"/>
      <w:r>
        <w:lastRenderedPageBreak/>
        <w:t>Subordinate Legislation</w:t>
      </w:r>
      <w:bookmarkEnd w:id="127"/>
      <w:r>
        <w:t xml:space="preserve"> </w:t>
      </w:r>
    </w:p>
    <w:p w14:paraId="1D5CE20A" w14:textId="7D61360A" w:rsidR="00946033" w:rsidRDefault="00946033" w:rsidP="007825E1">
      <w:pPr>
        <w:pStyle w:val="Heading20"/>
      </w:pPr>
      <w:bookmarkStart w:id="128" w:name="_Toc176175549"/>
      <w:bookmarkStart w:id="129" w:name="_Hlk150688924"/>
      <w:r>
        <w:t>Disallowable Instruments</w:t>
      </w:r>
      <w:r w:rsidR="0072770D">
        <w:t>—</w:t>
      </w:r>
      <w:r>
        <w:t>No comment</w:t>
      </w:r>
      <w:bookmarkEnd w:id="128"/>
    </w:p>
    <w:p w14:paraId="0F5864A4" w14:textId="530AAE7D" w:rsidR="00946033" w:rsidRDefault="00946033" w:rsidP="00EE5867">
      <w:pPr>
        <w:pStyle w:val="ListNumber2"/>
        <w:numPr>
          <w:ilvl w:val="1"/>
          <w:numId w:val="6"/>
        </w:numPr>
        <w:ind w:hanging="720"/>
      </w:pPr>
      <w:r>
        <w:t>The Committee has examined the following disallowable instruments and has no comments on them:</w:t>
      </w:r>
    </w:p>
    <w:p w14:paraId="70FCAC2C" w14:textId="6E912D44"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DI2024-137 being the City Renewal Authority and Suburban Land Agency (Agency Board Member) Appointment 2024 (No 1) made under section 45 of the </w:t>
      </w:r>
      <w:r>
        <w:rPr>
          <w:i/>
        </w:rPr>
        <w:t>City Renewal Authority and Suburban Land Agency Act 2017</w:t>
      </w:r>
      <w:r>
        <w:rPr>
          <w:b/>
        </w:rPr>
        <w:t xml:space="preserve"> appoints a</w:t>
      </w:r>
      <w:r w:rsidR="00216B8B">
        <w:rPr>
          <w:b/>
        </w:rPr>
        <w:t> </w:t>
      </w:r>
      <w:r>
        <w:rPr>
          <w:b/>
        </w:rPr>
        <w:t xml:space="preserve">specified person as an expert member of the Suburban Land Agency Board. </w:t>
      </w:r>
    </w:p>
    <w:p w14:paraId="2865F4B8"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DI2024-141 being the Legislative Assembly (Members' Staff) Members' Salary Cap Determination 2024 (No 2) made under subsections 10(3) and 20(4) of the </w:t>
      </w:r>
      <w:r>
        <w:rPr>
          <w:i/>
        </w:rPr>
        <w:t>Legislative Assembly (Members' Staff) Act 1989</w:t>
      </w:r>
      <w:r>
        <w:rPr>
          <w:b/>
        </w:rPr>
        <w:t xml:space="preserve"> revokes DI2024-3 and provides conditions under which Members may employ staff and engage consultants and contractors, including revised salary allocations, for the 2024-2025 financial year. </w:t>
      </w:r>
    </w:p>
    <w:p w14:paraId="6A69FD80"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DI2024-142 being the Legislative Assembly (Members' Staff) Speaker's Salary Cap Determination 2024 (No 2) made under subsections 5(3) and 17(4) of the </w:t>
      </w:r>
      <w:r>
        <w:rPr>
          <w:i/>
        </w:rPr>
        <w:t>Legislative Assembly (Members' Staff) Act 1989</w:t>
      </w:r>
      <w:r>
        <w:rPr>
          <w:b/>
        </w:rPr>
        <w:t xml:space="preserve"> revokes DI2024-4 and determines the conditions under which the Speaker may, on behalf of the Territory, employ staff and engage consultants or contractors, including revised salary allocations, for the 2024-2025 financial year. </w:t>
      </w:r>
    </w:p>
    <w:p w14:paraId="7F2EFC5A"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DI2024-146 being the Official Visitor (Mental Health) Appointment 2024 (No 1) made under paragraph 10(1)(e) of the </w:t>
      </w:r>
      <w:r>
        <w:rPr>
          <w:i/>
        </w:rPr>
        <w:t>Official Visitor Act 2012</w:t>
      </w:r>
      <w:r>
        <w:rPr>
          <w:b/>
        </w:rPr>
        <w:t xml:space="preserve"> appoints a specified person as an official visitor for the purposes of the Mental Health Act 2015 for a period of three years. </w:t>
      </w:r>
    </w:p>
    <w:p w14:paraId="4893F544"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DI2024-151 being the Magistrates Court (Extension of Time) Guidelines 2024 (No 1) made under section 124A of the </w:t>
      </w:r>
      <w:r>
        <w:rPr>
          <w:i/>
        </w:rPr>
        <w:t>Magistrates Court Act 1930</w:t>
      </w:r>
      <w:r>
        <w:rPr>
          <w:b/>
        </w:rPr>
        <w:t xml:space="preserve"> deciding applications for extension of time in relation to </w:t>
      </w:r>
      <w:proofErr w:type="gramStart"/>
      <w:r>
        <w:rPr>
          <w:b/>
        </w:rPr>
        <w:t>taking action</w:t>
      </w:r>
      <w:proofErr w:type="gramEnd"/>
      <w:r>
        <w:rPr>
          <w:b/>
        </w:rPr>
        <w:t xml:space="preserve"> in response to an infringement notice or reminder notice. </w:t>
      </w:r>
    </w:p>
    <w:p w14:paraId="6F35132F"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DI2024-152 being the Magistrates Court (Waiver of Penalty) Guidelines 2024 (No 1) made under section 131AG of the </w:t>
      </w:r>
      <w:r>
        <w:rPr>
          <w:i/>
        </w:rPr>
        <w:t>Magistrates Court Act 1930</w:t>
      </w:r>
      <w:r>
        <w:rPr>
          <w:b/>
        </w:rPr>
        <w:t xml:space="preserve"> Guideline for the waiver of infringement notice penalties. </w:t>
      </w:r>
    </w:p>
    <w:p w14:paraId="622DD7FA"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DI2024-153 being the Magistrates Court (Withdrawal of Infringement Notice) Guidelines 2024 (No 1) made under section 128 of the </w:t>
      </w:r>
      <w:r>
        <w:rPr>
          <w:i/>
        </w:rPr>
        <w:t>Magistrates Court Act 1930</w:t>
      </w:r>
      <w:r>
        <w:rPr>
          <w:b/>
        </w:rPr>
        <w:t xml:space="preserve"> Guideline for the withdrawal of an infringement notice. </w:t>
      </w:r>
    </w:p>
    <w:p w14:paraId="13C36CDC"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DI2024-172 being the Taxation Administration (Amounts Payable—Rates) Determination 2024 made under section 139 and section 46(2)(f) of the </w:t>
      </w:r>
      <w:r>
        <w:rPr>
          <w:i/>
        </w:rPr>
        <w:t>Taxation Administration Act 1999 and Rates Act 2004</w:t>
      </w:r>
      <w:r>
        <w:rPr>
          <w:b/>
        </w:rPr>
        <w:t xml:space="preserve"> revokes DI2023-160 and determines the amounts and rates applicable for the purposes of the Act. </w:t>
      </w:r>
    </w:p>
    <w:p w14:paraId="4B3401FF"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DI2024-173 being the Taxation Administration (Amounts and Rates Payable—Payroll Tax) Determination 2024 made under section 139 of the </w:t>
      </w:r>
      <w:r>
        <w:rPr>
          <w:i/>
        </w:rPr>
        <w:t>Taxation Administration Act 1999</w:t>
      </w:r>
      <w:r>
        <w:rPr>
          <w:b/>
        </w:rPr>
        <w:t xml:space="preserve"> revokes DI2016-145 and determines the threshold for the payment of ACT Payroll tax and determines the rate for 2024-25. </w:t>
      </w:r>
    </w:p>
    <w:p w14:paraId="253D77D1" w14:textId="77777777" w:rsidR="00F0616E" w:rsidRPr="00216B8B" w:rsidRDefault="00F0616E" w:rsidP="00EE5867">
      <w:pPr>
        <w:pStyle w:val="Bodycopy"/>
        <w:keepLines/>
        <w:numPr>
          <w:ilvl w:val="0"/>
          <w:numId w:val="9"/>
        </w:numPr>
        <w:spacing w:before="120" w:after="0" w:line="283" w:lineRule="auto"/>
        <w:ind w:left="1208" w:hanging="357"/>
        <w:rPr>
          <w:b/>
          <w:spacing w:val="-2"/>
        </w:rPr>
      </w:pPr>
      <w:r w:rsidRPr="00216B8B">
        <w:rPr>
          <w:b/>
          <w:spacing w:val="-2"/>
        </w:rPr>
        <w:lastRenderedPageBreak/>
        <w:t xml:space="preserve">Disallowable Instrument DI2024-174 being the Taxation Administration (Amounts Payable—Duty) Determination 2024 made under section 139 of the </w:t>
      </w:r>
      <w:r w:rsidRPr="00216B8B">
        <w:rPr>
          <w:i/>
          <w:spacing w:val="-2"/>
        </w:rPr>
        <w:t>Taxation Administration Act 1999</w:t>
      </w:r>
      <w:r w:rsidRPr="00216B8B">
        <w:rPr>
          <w:b/>
          <w:spacing w:val="-2"/>
        </w:rPr>
        <w:t xml:space="preserve"> revokes DI2023-286 and determines the rate and differential rates, or the method by which an amount of duty payable for the Purposes of the Act. </w:t>
      </w:r>
    </w:p>
    <w:p w14:paraId="422A6125"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DI2024-175 being the Taxation Administration (Amounts Payable—Home Buyer Concession Scheme) Determination 2024 made under section 139 of the </w:t>
      </w:r>
      <w:r>
        <w:rPr>
          <w:i/>
        </w:rPr>
        <w:t>Taxation Administration Act 1999</w:t>
      </w:r>
      <w:r>
        <w:rPr>
          <w:b/>
        </w:rPr>
        <w:t xml:space="preserve"> revokes DI2023-288 and determines, amounts payable for taxes, duties and licence fees, and the method by which an amount is to be calculated. </w:t>
      </w:r>
    </w:p>
    <w:p w14:paraId="6EDDA892"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DI2024-176 being the Taxation Administration (Amounts Payable—Disability Duty Concession Scheme) Determination 2024 made under section 139 of the </w:t>
      </w:r>
      <w:r>
        <w:rPr>
          <w:i/>
        </w:rPr>
        <w:t>Taxation Administration Act 1999</w:t>
      </w:r>
      <w:r>
        <w:rPr>
          <w:b/>
        </w:rPr>
        <w:t xml:space="preserve"> revokes DI2023-285 and determines, amounts payable for taxes, duties and fees, and the method by which an amount is to be calculated. </w:t>
      </w:r>
    </w:p>
    <w:p w14:paraId="4898EAF7"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DI2024-177 being the Taxation Administration (Amounts Payable—Pensioner Duty Concession Scheme) Determination 2024 made under section 139 of the </w:t>
      </w:r>
      <w:r>
        <w:rPr>
          <w:i/>
        </w:rPr>
        <w:t>Taxation Administration Act 1999</w:t>
      </w:r>
      <w:r>
        <w:rPr>
          <w:b/>
        </w:rPr>
        <w:t xml:space="preserve"> revokes DI2023-287 and determines, for the purposes of the Scheme, the eligibility </w:t>
      </w:r>
      <w:proofErr w:type="gramStart"/>
      <w:r>
        <w:rPr>
          <w:b/>
        </w:rPr>
        <w:t>requirements</w:t>
      </w:r>
      <w:proofErr w:type="gramEnd"/>
      <w:r>
        <w:rPr>
          <w:b/>
        </w:rPr>
        <w:t xml:space="preserve"> and the method of calculation of duty payable under the Duties Act 1999. </w:t>
      </w:r>
    </w:p>
    <w:p w14:paraId="2D7ADE5F"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DI2024-178 being the Taxation Administration (Off the Plan Unit Duty Exemption Scheme) Determination 2024 made under section 137E of the </w:t>
      </w:r>
      <w:r>
        <w:rPr>
          <w:i/>
        </w:rPr>
        <w:t>Taxation Administration Act 1999</w:t>
      </w:r>
      <w:r>
        <w:rPr>
          <w:b/>
        </w:rPr>
        <w:t xml:space="preserve"> revokes DI2023-275 and provides, for the purposes of the scheme, the operation of a duty concession for certain off the plan units. </w:t>
      </w:r>
    </w:p>
    <w:p w14:paraId="5DB1B7C7" w14:textId="571A0006"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DI2024-180 being the Duties (Pensioner Duty Deferral Scheme) Determination 2024 made under section 75AG of the </w:t>
      </w:r>
      <w:r>
        <w:rPr>
          <w:i/>
        </w:rPr>
        <w:t>Duties Act 1999</w:t>
      </w:r>
      <w:r>
        <w:rPr>
          <w:b/>
        </w:rPr>
        <w:t xml:space="preserve"> revokes DI2023-281 and determines a scheme for the deferred payment of duty by a</w:t>
      </w:r>
      <w:r w:rsidR="00216B8B">
        <w:rPr>
          <w:b/>
        </w:rPr>
        <w:t> </w:t>
      </w:r>
      <w:r>
        <w:rPr>
          <w:b/>
        </w:rPr>
        <w:t xml:space="preserve">pensioner and their domestic partner (if any) on an eligible transaction. </w:t>
      </w:r>
    </w:p>
    <w:p w14:paraId="05E44243"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DI2024-181 being the Taxation Administration (Amounts Payable—Land Tax) Determination 2024 made under section 139 of the </w:t>
      </w:r>
      <w:r>
        <w:rPr>
          <w:i/>
        </w:rPr>
        <w:t>Taxation Administration Act 1999</w:t>
      </w:r>
      <w:r>
        <w:rPr>
          <w:b/>
        </w:rPr>
        <w:t xml:space="preserve"> revokes DI2023-168 and determines the fixed charge and percentage rates for land tax and a flat percentage rate for the foreign ownership surcharge. </w:t>
      </w:r>
    </w:p>
    <w:p w14:paraId="20CEA636"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DI2024-182 being the Taxation Administration (Amounts Payable—Land Rent) Determination 2024 made under section 139 of the </w:t>
      </w:r>
      <w:r>
        <w:rPr>
          <w:i/>
        </w:rPr>
        <w:t>Taxation Administration Act 1999</w:t>
      </w:r>
      <w:r>
        <w:rPr>
          <w:b/>
        </w:rPr>
        <w:t xml:space="preserve"> revokes DI2023-170 and determines the percentages and income threshold amounts for the purposes of the </w:t>
      </w:r>
      <w:r>
        <w:rPr>
          <w:b/>
          <w:i/>
          <w:iCs/>
        </w:rPr>
        <w:t>Land Rent Act 2008</w:t>
      </w:r>
      <w:r>
        <w:rPr>
          <w:b/>
        </w:rPr>
        <w:t xml:space="preserve">. </w:t>
      </w:r>
    </w:p>
    <w:p w14:paraId="32CB1CFE"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DI2024-184 being the Planning (Lease Variation Charges) Determination 2024 made under section 331(2) of the </w:t>
      </w:r>
      <w:r>
        <w:rPr>
          <w:i/>
        </w:rPr>
        <w:t>Planning Act 2023</w:t>
      </w:r>
      <w:r>
        <w:rPr>
          <w:b/>
        </w:rPr>
        <w:t xml:space="preserve"> revokes DI2023-278 and DI2023-276 and determines lease variation charges for the purposes of the Act. </w:t>
      </w:r>
    </w:p>
    <w:p w14:paraId="3523F8AB" w14:textId="77777777" w:rsidR="00F0616E" w:rsidRDefault="00F0616E" w:rsidP="00EE5867">
      <w:pPr>
        <w:pStyle w:val="Bodycopy"/>
        <w:keepLines/>
        <w:numPr>
          <w:ilvl w:val="0"/>
          <w:numId w:val="9"/>
        </w:numPr>
        <w:spacing w:before="120" w:after="0" w:line="283" w:lineRule="auto"/>
        <w:ind w:left="1208" w:hanging="357"/>
        <w:rPr>
          <w:b/>
        </w:rPr>
      </w:pPr>
      <w:r>
        <w:rPr>
          <w:b/>
        </w:rPr>
        <w:lastRenderedPageBreak/>
        <w:t xml:space="preserve">Disallowable Instrument DI2024-185 being the Electricity Feed-in (Renewable Energy Premium) (Reporting) Determination 2024 made under section 11B of the </w:t>
      </w:r>
      <w:r>
        <w:rPr>
          <w:i/>
        </w:rPr>
        <w:t>Electricity Feed-in (Renewable Energy Premium) Act 2008</w:t>
      </w:r>
      <w:r>
        <w:rPr>
          <w:b/>
        </w:rPr>
        <w:t xml:space="preserve"> revokes DI2015-263 and determines the information required from NERL Retailers and the electricity distributor to prepare a report under section 11A of the Act. </w:t>
      </w:r>
    </w:p>
    <w:p w14:paraId="40077B08"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DI2024-196 being the Civil Law (Wrongs) Professional Standards Council Appointment 2024 (No 3) made under Schedule 4, section 4.38 of the </w:t>
      </w:r>
      <w:r>
        <w:rPr>
          <w:i/>
        </w:rPr>
        <w:t>Civil Law (Wrongs) Act 2002</w:t>
      </w:r>
      <w:r>
        <w:rPr>
          <w:b/>
        </w:rPr>
        <w:t xml:space="preserve"> appoints a specified person as a member of the Professional Standards Council. </w:t>
      </w:r>
    </w:p>
    <w:p w14:paraId="7A07C39C"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DI2024-198 being the Building and Construction Industry Training Levy (Governing Board) Appointment 2024 (No 1) made under section 6 of the </w:t>
      </w:r>
      <w:r>
        <w:rPr>
          <w:i/>
        </w:rPr>
        <w:t xml:space="preserve">Building and Construction Industry Training Levy Act 1999 </w:t>
      </w:r>
      <w:r>
        <w:rPr>
          <w:b/>
          <w:bCs/>
          <w:iCs/>
        </w:rPr>
        <w:t>and section 78 of the</w:t>
      </w:r>
      <w:r>
        <w:rPr>
          <w:i/>
        </w:rPr>
        <w:t xml:space="preserve"> Financial Management Act 1996</w:t>
      </w:r>
      <w:r>
        <w:rPr>
          <w:b/>
        </w:rPr>
        <w:t xml:space="preserve"> appoints a specified person as a member of the Building and Construction Industry Training Fund Governing Board for a period of three years. </w:t>
      </w:r>
    </w:p>
    <w:p w14:paraId="16E8327B"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DI2024-200 being the Building and Construction Industry Training Levy (Governing Board) Appointment 2024 (No 2) made under section 6 of the </w:t>
      </w:r>
      <w:r>
        <w:rPr>
          <w:i/>
        </w:rPr>
        <w:t xml:space="preserve">Building and Construction Industry Training Levy Act 1999 </w:t>
      </w:r>
      <w:r>
        <w:rPr>
          <w:b/>
          <w:bCs/>
          <w:iCs/>
        </w:rPr>
        <w:t>and section 78 of the</w:t>
      </w:r>
      <w:r>
        <w:rPr>
          <w:i/>
        </w:rPr>
        <w:t xml:space="preserve"> Financial Management Act 1996</w:t>
      </w:r>
      <w:r>
        <w:rPr>
          <w:b/>
        </w:rPr>
        <w:t xml:space="preserve"> appoints a specified person as a member of the Building and Construction Industry Training Fund Governing Board for a period of three years. </w:t>
      </w:r>
    </w:p>
    <w:p w14:paraId="64E5676E"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DI2024-201 being the Building and Construction Industry Training Levy (Governing Board) Appointment 2024 (No 3) made under section 6 of the </w:t>
      </w:r>
      <w:r>
        <w:rPr>
          <w:i/>
        </w:rPr>
        <w:t xml:space="preserve">Building and Construction Industry Training Levy Act 1999 </w:t>
      </w:r>
      <w:r>
        <w:rPr>
          <w:b/>
        </w:rPr>
        <w:t>and section 78 of the</w:t>
      </w:r>
      <w:r>
        <w:rPr>
          <w:i/>
        </w:rPr>
        <w:t xml:space="preserve"> Financial Management Act 1996</w:t>
      </w:r>
      <w:r>
        <w:rPr>
          <w:b/>
        </w:rPr>
        <w:t xml:space="preserve"> appoints a specified person as a member of the Building and Construction Industry Training Fund Governing Board for a period of three years. </w:t>
      </w:r>
    </w:p>
    <w:p w14:paraId="4FBDE37E"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DI2024-202 being the Children and Young People (Death Review Committee) Appointment 2024 (No 4) made under section 727D of the </w:t>
      </w:r>
      <w:r>
        <w:rPr>
          <w:i/>
        </w:rPr>
        <w:t>Children and Young People Act 2008</w:t>
      </w:r>
      <w:r>
        <w:rPr>
          <w:b/>
        </w:rPr>
        <w:t xml:space="preserve"> appoints a specified person as member of the Children and Young People Death Review Committee. </w:t>
      </w:r>
    </w:p>
    <w:p w14:paraId="42CD2E44"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DI2024-211 being the Cultural Facilities Corporation (Governing Board) Appointment 2024 (No 1) made under section 9 of the </w:t>
      </w:r>
      <w:r>
        <w:rPr>
          <w:i/>
        </w:rPr>
        <w:t xml:space="preserve">Cultural Facilities Corporation Act 1997 </w:t>
      </w:r>
      <w:r>
        <w:rPr>
          <w:b/>
        </w:rPr>
        <w:t>and section 78 of the</w:t>
      </w:r>
      <w:r>
        <w:rPr>
          <w:i/>
        </w:rPr>
        <w:t xml:space="preserve"> Financial Management Act 1996</w:t>
      </w:r>
      <w:r>
        <w:rPr>
          <w:b/>
        </w:rPr>
        <w:t xml:space="preserve"> revokes DI2022-</w:t>
      </w:r>
      <w:proofErr w:type="gramStart"/>
      <w:r>
        <w:rPr>
          <w:b/>
        </w:rPr>
        <w:t>166, and</w:t>
      </w:r>
      <w:proofErr w:type="gramEnd"/>
      <w:r>
        <w:rPr>
          <w:b/>
        </w:rPr>
        <w:t xml:space="preserve"> appoints a specified person as a member of the Cultural Facilities Corporation Governing Board. </w:t>
      </w:r>
    </w:p>
    <w:p w14:paraId="5474CA35"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DI2024-212 being the Cultural Facilities Corporation (Governing Board) Appointment 2024 (No 2) made under section 9 of the </w:t>
      </w:r>
      <w:r>
        <w:rPr>
          <w:i/>
        </w:rPr>
        <w:t xml:space="preserve">Cultural Facilities Corporation Act 1997 </w:t>
      </w:r>
      <w:r>
        <w:rPr>
          <w:b/>
        </w:rPr>
        <w:t>and section 78 of the</w:t>
      </w:r>
      <w:r>
        <w:rPr>
          <w:i/>
        </w:rPr>
        <w:t xml:space="preserve"> Financial Management Act 1996</w:t>
      </w:r>
      <w:r>
        <w:rPr>
          <w:b/>
        </w:rPr>
        <w:t xml:space="preserve"> revokes DI2022-</w:t>
      </w:r>
      <w:proofErr w:type="gramStart"/>
      <w:r>
        <w:rPr>
          <w:b/>
        </w:rPr>
        <w:t>165, and</w:t>
      </w:r>
      <w:proofErr w:type="gramEnd"/>
      <w:r>
        <w:rPr>
          <w:b/>
        </w:rPr>
        <w:t xml:space="preserve"> appoints a specified person as a member of the Cultural Facilities Corporation Governing Board. </w:t>
      </w:r>
    </w:p>
    <w:p w14:paraId="1F7E357D" w14:textId="77777777" w:rsidR="00F0616E" w:rsidRDefault="00F0616E" w:rsidP="00EE5867">
      <w:pPr>
        <w:pStyle w:val="Bodycopy"/>
        <w:keepLines/>
        <w:numPr>
          <w:ilvl w:val="0"/>
          <w:numId w:val="9"/>
        </w:numPr>
        <w:spacing w:before="120" w:after="0" w:line="283" w:lineRule="auto"/>
        <w:ind w:left="1208" w:hanging="357"/>
        <w:rPr>
          <w:b/>
        </w:rPr>
      </w:pPr>
      <w:r>
        <w:rPr>
          <w:b/>
        </w:rPr>
        <w:lastRenderedPageBreak/>
        <w:t xml:space="preserve">Disallowable Instrument DI2024-213 being the Official Visitor (Children and Young People) Appointment 2024 (No 1) made under paragraph 10(1)(a) of the </w:t>
      </w:r>
      <w:r>
        <w:rPr>
          <w:i/>
        </w:rPr>
        <w:t>Official Visitor Act 2012</w:t>
      </w:r>
      <w:r>
        <w:rPr>
          <w:b/>
        </w:rPr>
        <w:t xml:space="preserve"> appoints a specified person as official visitor for the purposes of the Children and Young People Act 2008. </w:t>
      </w:r>
    </w:p>
    <w:p w14:paraId="47D6B4E8"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DI2024-215 being the Domestic Animals (Exercise Areas) Declaration 2024 (No 1) made under section 40 of the </w:t>
      </w:r>
      <w:r>
        <w:rPr>
          <w:i/>
        </w:rPr>
        <w:t>Domestic Animals Act 2000</w:t>
      </w:r>
      <w:r>
        <w:rPr>
          <w:b/>
        </w:rPr>
        <w:t xml:space="preserve"> revokes DI2021-230 and declares specified locations as dog exercise areas. </w:t>
      </w:r>
    </w:p>
    <w:p w14:paraId="12E7007A"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DI2024-216 being the Domestic Animals (Prohibited Areas) Declaration 2024 (No 1) made under section 41 of the </w:t>
      </w:r>
      <w:r>
        <w:rPr>
          <w:i/>
        </w:rPr>
        <w:t>Domestic Animals Act 2000</w:t>
      </w:r>
      <w:r>
        <w:rPr>
          <w:b/>
        </w:rPr>
        <w:t xml:space="preserve"> revokes DI2021-231 and declares specified locations to be areas where dogs are prohibited. </w:t>
      </w:r>
    </w:p>
    <w:p w14:paraId="4309F3C7"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DI2024-218 being the Rail Safety National Law (Drug and Alcohol Analysts) Appointment 2024 (No 1) made under section 11 of the </w:t>
      </w:r>
      <w:r>
        <w:rPr>
          <w:i/>
        </w:rPr>
        <w:t>Rail Safety National Law (ACT) Act 2014</w:t>
      </w:r>
      <w:r>
        <w:rPr>
          <w:b/>
        </w:rPr>
        <w:t xml:space="preserve"> revokes DI2019-198 and appoints a specified person as analyst, currently engaged by the Office of the National Rail Safety Regulator (ONRSR) to conduct alcohol and drug testing of interstate rail workers. </w:t>
      </w:r>
    </w:p>
    <w:p w14:paraId="6FDA009E"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DI2024-221 being the Rail Safety National Law (Drug and Alcohol Analysts) Appointment 2024 (No 2) made under section 11 of the </w:t>
      </w:r>
      <w:r>
        <w:rPr>
          <w:i/>
        </w:rPr>
        <w:t>Rail Safety National Law (ACT) Act 2014</w:t>
      </w:r>
      <w:r>
        <w:rPr>
          <w:b/>
        </w:rPr>
        <w:t xml:space="preserve"> appoints a specified person as analyst, currently engaged by the Office of the National Rail Safety Regulator (ONRSR) to conduct alcohol and drug testing of interstate rail workers. </w:t>
      </w:r>
    </w:p>
    <w:p w14:paraId="195699BF"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DI2024-222 being the Rail Safety National Law (Drug and Alcohol Analysts) Appointment 2024 (No 3) made under section 11 of the </w:t>
      </w:r>
      <w:r>
        <w:rPr>
          <w:i/>
        </w:rPr>
        <w:t>Rail Safety National Law (ACT) Act 2014</w:t>
      </w:r>
      <w:r>
        <w:rPr>
          <w:b/>
        </w:rPr>
        <w:t xml:space="preserve"> appoints a specified person as analyst, currently engaged by the Office of the National Rail Safety Regulator (ONRSR) to conduct alcohol and drug testing of interstate rail workers. </w:t>
      </w:r>
    </w:p>
    <w:p w14:paraId="2A55010A"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DI2024-223 being the Urban Forest (Tree Advisory Panel) Appointment 2024 (No 1) made under section 98 of the </w:t>
      </w:r>
      <w:r>
        <w:rPr>
          <w:i/>
        </w:rPr>
        <w:t>Urban Forest Act 2023</w:t>
      </w:r>
      <w:r>
        <w:rPr>
          <w:b/>
        </w:rPr>
        <w:t xml:space="preserve"> appoints a specified person as a member of the Tree Advisory Panel. </w:t>
      </w:r>
    </w:p>
    <w:p w14:paraId="1A15AF82"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DI2024-224 being the Long Service Leave (Portable Schemes) Services Industry Employer Levy Determination 2024 made under section 51 of the </w:t>
      </w:r>
      <w:r>
        <w:rPr>
          <w:i/>
        </w:rPr>
        <w:t>Long Service Leave (Portable Schemes) Act 2009</w:t>
      </w:r>
      <w:r>
        <w:rPr>
          <w:b/>
        </w:rPr>
        <w:t xml:space="preserve"> revokes DI2021-90 and determines the levy payable by employers for each </w:t>
      </w:r>
      <w:proofErr w:type="gramStart"/>
      <w:r>
        <w:rPr>
          <w:b/>
        </w:rPr>
        <w:t>quarter</w:t>
      </w:r>
      <w:proofErr w:type="gramEnd"/>
      <w:r>
        <w:rPr>
          <w:b/>
        </w:rPr>
        <w:t xml:space="preserve"> </w:t>
      </w:r>
    </w:p>
    <w:p w14:paraId="4CFABDA8"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DI2024-225 being the Public Trustee and Guardian (Investment Board) Appointment 2024 (No 1) made under paragraph 48(1)(b) of the </w:t>
      </w:r>
      <w:r>
        <w:rPr>
          <w:i/>
        </w:rPr>
        <w:t>Public Trustee and Guardian Act 1985</w:t>
      </w:r>
      <w:r>
        <w:rPr>
          <w:b/>
        </w:rPr>
        <w:t xml:space="preserve"> appoints specified persons as members of the Public Trustee and Guardian Investment Board. </w:t>
      </w:r>
    </w:p>
    <w:p w14:paraId="4A4AAF0C"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DI2024-226 being the Public Trustee and Guardian (Investment Board) Appointment 2024 (No 2) made under paragraph 48(1)(b) of the </w:t>
      </w:r>
      <w:r>
        <w:rPr>
          <w:i/>
        </w:rPr>
        <w:t>Public Trustee and Guardian Act 1985</w:t>
      </w:r>
      <w:r>
        <w:rPr>
          <w:b/>
        </w:rPr>
        <w:t xml:space="preserve"> appoints specified persons as members of the Public Trustee and Guardian Investment Board. </w:t>
      </w:r>
    </w:p>
    <w:p w14:paraId="2E2A311C" w14:textId="77777777" w:rsidR="00F0616E" w:rsidRDefault="00F0616E" w:rsidP="00EE5867">
      <w:pPr>
        <w:pStyle w:val="Bodycopy"/>
        <w:keepLines/>
        <w:numPr>
          <w:ilvl w:val="0"/>
          <w:numId w:val="9"/>
        </w:numPr>
        <w:spacing w:before="120" w:after="0" w:line="283" w:lineRule="auto"/>
        <w:ind w:left="1208" w:hanging="357"/>
        <w:rPr>
          <w:b/>
        </w:rPr>
      </w:pPr>
      <w:r>
        <w:rPr>
          <w:b/>
        </w:rPr>
        <w:lastRenderedPageBreak/>
        <w:t xml:space="preserve">Disallowable Instrument DI2024-227 being the Public Trustee and Guardian (Investment Board) Appointment 2024 (No 3) made under paragraph 48(1)(b) of the </w:t>
      </w:r>
      <w:r>
        <w:rPr>
          <w:i/>
        </w:rPr>
        <w:t>Public Trustee and Guardian Act 1985</w:t>
      </w:r>
      <w:r>
        <w:rPr>
          <w:b/>
        </w:rPr>
        <w:t xml:space="preserve"> appoints specified persons as members of the Public Trustee and Guardian Investment Board. </w:t>
      </w:r>
    </w:p>
    <w:p w14:paraId="23AAB92B"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DI2024-228 being the Public Trustee and Guardian (Investment Board) Appointment 2024 (No 4) made under paragraph 48(1)(b) of the </w:t>
      </w:r>
      <w:r>
        <w:rPr>
          <w:i/>
        </w:rPr>
        <w:t>Public Trustee and Guardian Act 1985</w:t>
      </w:r>
      <w:r>
        <w:rPr>
          <w:b/>
        </w:rPr>
        <w:t xml:space="preserve"> appoints specified persons as members of the Public Trustee and Guardian Investment Board. </w:t>
      </w:r>
    </w:p>
    <w:p w14:paraId="678E70B9"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DI2024-229 being the Animal Welfare (Keeping and Breeding of Ferrets in the ACT) Mandatory Code of Practice 2024 made under section 23 of the </w:t>
      </w:r>
      <w:r>
        <w:rPr>
          <w:i/>
        </w:rPr>
        <w:t>Animal Welfare Act 1992</w:t>
      </w:r>
      <w:r>
        <w:rPr>
          <w:b/>
        </w:rPr>
        <w:t xml:space="preserve"> approves the Code of Practice for the Keeping and Breeding of Ferrets in the ACT and includes mandatory standards and guidelines that are considered essential for meeting the requirements specified in the Act. </w:t>
      </w:r>
    </w:p>
    <w:p w14:paraId="5E875BB2"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DI2024-230 being the Animal Welfare (Keeping and Breeding of Guinea Pigs in the ACT) Mandatory Code of Practice 2024 made under section 23 of the </w:t>
      </w:r>
      <w:r>
        <w:rPr>
          <w:i/>
        </w:rPr>
        <w:t>Animal Welfare Act 1992</w:t>
      </w:r>
      <w:r>
        <w:rPr>
          <w:b/>
        </w:rPr>
        <w:t xml:space="preserve"> approves the Code of Practice for the Keeping and Breeding of Guinea Pigs in the ACT and includes mandatory standards and guidelines that are considered essential for meeting the requirements specified in the Act. </w:t>
      </w:r>
    </w:p>
    <w:p w14:paraId="09D5AA7D"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DI2024-231 being the Animal Welfare (Keeping and Breeding of Rabbits in the ACT) Mandatory Code of Practice 2024 made under section 23 of the </w:t>
      </w:r>
      <w:r>
        <w:rPr>
          <w:i/>
        </w:rPr>
        <w:t>Animal Welfare Act 1992</w:t>
      </w:r>
      <w:r>
        <w:rPr>
          <w:b/>
        </w:rPr>
        <w:t xml:space="preserve"> approves the Code of Practice for the Keeping and Breeding of Rabbits in the ACT in the ACT and includes mandatory standards and guidelines that are considered essential for meeting the requirements specified in the Act. </w:t>
      </w:r>
    </w:p>
    <w:p w14:paraId="64FA2352"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DI2024-232 being the Animal Welfare (Keeping and Breeding of Rats and Mice in the ACT) Mandatory Code of Practice 2024 made under section 23 of the </w:t>
      </w:r>
      <w:r>
        <w:rPr>
          <w:i/>
        </w:rPr>
        <w:t>Animal Welfare Act 1992</w:t>
      </w:r>
      <w:r>
        <w:rPr>
          <w:b/>
        </w:rPr>
        <w:t xml:space="preserve"> approves the Code of Practice for the Keeping and Breeding of Rats and Mice in the ACT and includes mandatory standards and guidelines that are considered essential for meeting the requirements specified in the Act. </w:t>
      </w:r>
    </w:p>
    <w:p w14:paraId="6B29FD8B"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DI2024-233 being the Veterinary Practice (Board) Appointment 2024 (No 1) made under s 93 of the </w:t>
      </w:r>
      <w:r>
        <w:rPr>
          <w:i/>
        </w:rPr>
        <w:t>Veterinary Practice Act 2018</w:t>
      </w:r>
      <w:r>
        <w:rPr>
          <w:b/>
        </w:rPr>
        <w:t xml:space="preserve"> revokes DI2021-235 and appoints a specified person as a member of the Board. </w:t>
      </w:r>
    </w:p>
    <w:p w14:paraId="44F0A7E5"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DI2024-234 being the Veterinary Practice (Board) Appointment 2024 (No 2) made under s 93 of the </w:t>
      </w:r>
      <w:r>
        <w:rPr>
          <w:i/>
        </w:rPr>
        <w:t>Veterinary Practice Act 2018</w:t>
      </w:r>
      <w:r>
        <w:rPr>
          <w:b/>
        </w:rPr>
        <w:t xml:space="preserve"> appoints a specified person as a member of the Board. </w:t>
      </w:r>
    </w:p>
    <w:p w14:paraId="5F65D355"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DI2024-236 being the Animal Welfare (Advisory Committee Member) Appointment 2024 (No 1) made under section 109 of the </w:t>
      </w:r>
      <w:r>
        <w:rPr>
          <w:i/>
        </w:rPr>
        <w:t>Animal Welfare Act 1992</w:t>
      </w:r>
      <w:r>
        <w:rPr>
          <w:b/>
        </w:rPr>
        <w:t xml:space="preserve"> appoints a specified person to the Animal Welfare Advisory Committee. </w:t>
      </w:r>
    </w:p>
    <w:p w14:paraId="6069473B"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DI2024-237 being the Animal Welfare (Advisory Committee Member) Appointment 2024 (No 2) made under section 109 of the </w:t>
      </w:r>
      <w:r>
        <w:rPr>
          <w:i/>
        </w:rPr>
        <w:t>Animal Welfare Act 1992</w:t>
      </w:r>
      <w:r>
        <w:rPr>
          <w:b/>
        </w:rPr>
        <w:t xml:space="preserve"> appoints a specified person to the Animal Welfare Advisory Committee. </w:t>
      </w:r>
    </w:p>
    <w:p w14:paraId="41DE9D17" w14:textId="77777777" w:rsidR="00F0616E" w:rsidRDefault="00F0616E" w:rsidP="00EE5867">
      <w:pPr>
        <w:pStyle w:val="Bodycopy"/>
        <w:keepLines/>
        <w:numPr>
          <w:ilvl w:val="0"/>
          <w:numId w:val="9"/>
        </w:numPr>
        <w:spacing w:before="120" w:after="0" w:line="283" w:lineRule="auto"/>
        <w:ind w:left="1208" w:hanging="357"/>
        <w:rPr>
          <w:b/>
        </w:rPr>
      </w:pPr>
      <w:r>
        <w:rPr>
          <w:b/>
        </w:rPr>
        <w:lastRenderedPageBreak/>
        <w:t xml:space="preserve">Disallowable Instrument DI2024-238 being the Animal Welfare (Advisory Committee Member) Appointment 2024 (No 3) made under section 109 of the </w:t>
      </w:r>
      <w:r>
        <w:rPr>
          <w:i/>
        </w:rPr>
        <w:t>Animal Welfare Act 1992</w:t>
      </w:r>
      <w:r>
        <w:rPr>
          <w:b/>
        </w:rPr>
        <w:t xml:space="preserve"> revokes DI2022-228 and appoints a specified person to the Animal Welfare Advisory Committee. </w:t>
      </w:r>
    </w:p>
    <w:p w14:paraId="143D6276"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DI2024-239 being the Animal Welfare (Advisory Committee Member) Appointment 2024 (No 4) made under section 109 of the </w:t>
      </w:r>
      <w:r>
        <w:rPr>
          <w:i/>
        </w:rPr>
        <w:t>Animal Welfare Act 1992</w:t>
      </w:r>
      <w:r>
        <w:rPr>
          <w:b/>
        </w:rPr>
        <w:t xml:space="preserve"> appoints a specified person to the Animal Welfare Advisory Committee. </w:t>
      </w:r>
    </w:p>
    <w:p w14:paraId="11F6F9F3"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DI2024-241 being the Board of Senior Secondary Studies Appointment 2024 (No 1) made under section of the </w:t>
      </w:r>
      <w:r>
        <w:rPr>
          <w:i/>
        </w:rPr>
        <w:t>Board of Senior Secondary Studies Act 1997</w:t>
      </w:r>
      <w:r>
        <w:rPr>
          <w:b/>
        </w:rPr>
        <w:t xml:space="preserve"> appoints a specified person as chair of the Board of Senior Secondary Studies for a period of three years. </w:t>
      </w:r>
    </w:p>
    <w:p w14:paraId="4ADF91C7"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DI2024-242 being the Board of Senior Secondary Studies Appointment 2024 (No 2) made under section of the </w:t>
      </w:r>
      <w:r>
        <w:rPr>
          <w:i/>
        </w:rPr>
        <w:t>Board of Senior Secondary Studies Act 1997</w:t>
      </w:r>
      <w:r>
        <w:rPr>
          <w:b/>
        </w:rPr>
        <w:t xml:space="preserve"> appoints a specified person as chair of the Board of Senior Secondary Studies for a period of three years. </w:t>
      </w:r>
    </w:p>
    <w:p w14:paraId="7DE86977"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DI2024-247 being the Territory Records (Advisory Council) Appointment 2024 (No 1) made under section 44 of the </w:t>
      </w:r>
      <w:r>
        <w:rPr>
          <w:i/>
        </w:rPr>
        <w:t>Territory Records Act 2002</w:t>
      </w:r>
      <w:r>
        <w:rPr>
          <w:b/>
        </w:rPr>
        <w:t xml:space="preserve"> appoints a specified person as a member of the Territory Records Advisory Council. </w:t>
      </w:r>
    </w:p>
    <w:p w14:paraId="5822E2D4"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DI2024-248 being the Territory Records (Advisory Council) Appointment 2024 (No 2) made under section 44 of the </w:t>
      </w:r>
      <w:r>
        <w:rPr>
          <w:i/>
        </w:rPr>
        <w:t>Territory Records Act 2002</w:t>
      </w:r>
      <w:r>
        <w:rPr>
          <w:b/>
        </w:rPr>
        <w:t xml:space="preserve"> appoints a specified person as a member of the Territory Records Advisory Council. </w:t>
      </w:r>
    </w:p>
    <w:p w14:paraId="4D64CEBC"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DI2024-249 being the Territory Records (Advisory Council) Appointment 2024 (No 3) made under section 44 of the </w:t>
      </w:r>
      <w:r>
        <w:rPr>
          <w:i/>
        </w:rPr>
        <w:t>Territory Records Act 2002</w:t>
      </w:r>
      <w:r>
        <w:rPr>
          <w:b/>
        </w:rPr>
        <w:t xml:space="preserve"> appoints a specified person as a member of the Territory Records Advisory Council. </w:t>
      </w:r>
    </w:p>
    <w:p w14:paraId="2F5BD578" w14:textId="77777777" w:rsidR="00F0616E" w:rsidRDefault="00F0616E" w:rsidP="00EE5867">
      <w:pPr>
        <w:pStyle w:val="Bodycopy"/>
        <w:keepLines/>
        <w:numPr>
          <w:ilvl w:val="0"/>
          <w:numId w:val="9"/>
        </w:numPr>
        <w:spacing w:before="120" w:after="0" w:line="283" w:lineRule="auto"/>
        <w:ind w:left="1208" w:hanging="357"/>
        <w:rPr>
          <w:b/>
        </w:rPr>
      </w:pPr>
      <w:r>
        <w:rPr>
          <w:b/>
        </w:rPr>
        <w:t xml:space="preserve">Disallowable Instrument DI2024-250 being the Territory Records (Advisory Council) Appointment 2024 (No 4) made under section 44 of the </w:t>
      </w:r>
      <w:r>
        <w:rPr>
          <w:i/>
        </w:rPr>
        <w:t>Territory Records Act 2002</w:t>
      </w:r>
      <w:r>
        <w:rPr>
          <w:b/>
        </w:rPr>
        <w:t xml:space="preserve"> appoints a specified person as chairperson of the Territory Records Advisory Council. </w:t>
      </w:r>
    </w:p>
    <w:p w14:paraId="3D31F88D" w14:textId="353F2DC4" w:rsidR="00946033" w:rsidRDefault="00946033" w:rsidP="007825E1">
      <w:pPr>
        <w:pStyle w:val="Heading20"/>
      </w:pPr>
      <w:bookmarkStart w:id="130" w:name="_Toc176175550"/>
      <w:r>
        <w:t>Disallowable Instruments</w:t>
      </w:r>
      <w:r w:rsidR="0072770D">
        <w:t>—</w:t>
      </w:r>
      <w:r>
        <w:t>Comment</w:t>
      </w:r>
      <w:bookmarkEnd w:id="130"/>
    </w:p>
    <w:p w14:paraId="393933A8" w14:textId="1688BA29" w:rsidR="004B531D" w:rsidRPr="00126BE8" w:rsidRDefault="004B531D" w:rsidP="00EE5867">
      <w:pPr>
        <w:pStyle w:val="ListParagraph"/>
        <w:keepNext/>
        <w:keepLines/>
        <w:numPr>
          <w:ilvl w:val="1"/>
          <w:numId w:val="6"/>
        </w:numPr>
        <w:spacing w:before="120" w:after="0"/>
        <w:outlineLvl w:val="2"/>
        <w:rPr>
          <w:rFonts w:cstheme="minorHAnsi"/>
          <w:bCs/>
          <w:color w:val="000000" w:themeColor="text1"/>
          <w:szCs w:val="20"/>
        </w:rPr>
      </w:pPr>
      <w:bookmarkStart w:id="131" w:name="_Toc169174833"/>
      <w:bookmarkStart w:id="132" w:name="_Toc174548914"/>
      <w:bookmarkStart w:id="133" w:name="_Toc175930208"/>
      <w:bookmarkStart w:id="134" w:name="_Toc176162865"/>
      <w:bookmarkStart w:id="135" w:name="_Toc176175551"/>
      <w:bookmarkStart w:id="136" w:name="_Toc130810355"/>
      <w:r w:rsidRPr="00126BE8">
        <w:rPr>
          <w:rFonts w:cstheme="minorHAnsi"/>
          <w:bCs/>
          <w:color w:val="000000" w:themeColor="text1"/>
          <w:szCs w:val="20"/>
        </w:rPr>
        <w:t>The Committee has examined the following disallowable instruments and offers these comments on them:</w:t>
      </w:r>
      <w:bookmarkEnd w:id="131"/>
      <w:bookmarkEnd w:id="132"/>
      <w:bookmarkEnd w:id="133"/>
      <w:bookmarkEnd w:id="134"/>
      <w:bookmarkEnd w:id="135"/>
    </w:p>
    <w:p w14:paraId="07FDBB9B" w14:textId="77777777" w:rsidR="00126BE8" w:rsidRDefault="00126BE8" w:rsidP="00126BE8">
      <w:pPr>
        <w:keepNext/>
        <w:keepLines/>
        <w:spacing w:before="120" w:after="200"/>
        <w:outlineLvl w:val="2"/>
        <w:rPr>
          <w:rFonts w:ascii="Montserrat" w:eastAsia="Times New Roman" w:hAnsi="Montserrat" w:cs="Times New Roman"/>
          <w:b/>
          <w:color w:val="7492CD"/>
          <w:w w:val="90"/>
          <w:kern w:val="2"/>
          <w:sz w:val="28"/>
          <w:szCs w:val="24"/>
        </w:rPr>
      </w:pPr>
      <w:bookmarkStart w:id="137" w:name="_Toc175930209"/>
      <w:bookmarkStart w:id="138" w:name="_Toc176162866"/>
      <w:bookmarkStart w:id="139" w:name="_Toc176175552"/>
      <w:r>
        <w:rPr>
          <w:rFonts w:ascii="Montserrat" w:eastAsia="Times New Roman" w:hAnsi="Montserrat" w:cs="Times New Roman"/>
          <w:b/>
          <w:color w:val="7492CD"/>
          <w:w w:val="90"/>
          <w:kern w:val="2"/>
          <w:sz w:val="28"/>
          <w:szCs w:val="24"/>
        </w:rPr>
        <w:t>Fees determinations / Human Rights Issues</w:t>
      </w:r>
      <w:bookmarkEnd w:id="137"/>
      <w:bookmarkEnd w:id="138"/>
      <w:bookmarkEnd w:id="139"/>
    </w:p>
    <w:p w14:paraId="2C12ED32" w14:textId="77777777" w:rsidR="00126BE8" w:rsidRPr="00216B8B" w:rsidRDefault="00126BE8" w:rsidP="00EE5867">
      <w:pPr>
        <w:pStyle w:val="Bodycopy"/>
        <w:keepLines/>
        <w:numPr>
          <w:ilvl w:val="0"/>
          <w:numId w:val="10"/>
        </w:numPr>
        <w:spacing w:before="120" w:after="120" w:line="283" w:lineRule="auto"/>
        <w:ind w:left="1208" w:hanging="357"/>
        <w:rPr>
          <w:b/>
          <w:spacing w:val="-2"/>
        </w:rPr>
      </w:pPr>
      <w:r w:rsidRPr="00216B8B">
        <w:rPr>
          <w:b/>
          <w:spacing w:val="-2"/>
        </w:rPr>
        <w:t xml:space="preserve">Disallowable Instrument DI2024-135 being the Cemeteries and Crematoria (Fees) Determination 2024 (No 1) made under section 128 of the </w:t>
      </w:r>
      <w:r w:rsidRPr="00216B8B">
        <w:rPr>
          <w:i/>
          <w:spacing w:val="-2"/>
        </w:rPr>
        <w:t>Cemeteries and Crematoria Act 2020</w:t>
      </w:r>
      <w:r w:rsidRPr="00216B8B">
        <w:rPr>
          <w:b/>
          <w:spacing w:val="-2"/>
        </w:rPr>
        <w:t xml:space="preserve"> revokes DI2023-158 and determines fees payable for the purposes of this Act. </w:t>
      </w:r>
    </w:p>
    <w:p w14:paraId="6D22605E" w14:textId="77777777" w:rsidR="00126BE8" w:rsidRDefault="00126BE8" w:rsidP="00EE5867">
      <w:pPr>
        <w:pStyle w:val="Bodycopy"/>
        <w:keepLines/>
        <w:numPr>
          <w:ilvl w:val="0"/>
          <w:numId w:val="10"/>
        </w:numPr>
        <w:spacing w:before="120" w:after="120" w:line="283" w:lineRule="auto"/>
        <w:ind w:left="1208" w:hanging="357"/>
        <w:rPr>
          <w:rFonts w:eastAsia="Times New Roman"/>
          <w:b/>
        </w:rPr>
      </w:pPr>
      <w:r>
        <w:rPr>
          <w:b/>
        </w:rPr>
        <w:t xml:space="preserve">Disallowable Instrument DI2024-143 being the Race and Sports Bookmaking (Fees) Determination 2024 made under section 97 of the </w:t>
      </w:r>
      <w:r>
        <w:rPr>
          <w:i/>
        </w:rPr>
        <w:t>Race and Sports Bookmaking Act 2001</w:t>
      </w:r>
      <w:r>
        <w:rPr>
          <w:b/>
        </w:rPr>
        <w:t xml:space="preserve"> revokes DI2023-130 and determines fees for the purpose of the Act. </w:t>
      </w:r>
    </w:p>
    <w:p w14:paraId="5AD7E1BF" w14:textId="77777777" w:rsidR="00126BE8" w:rsidRDefault="00126BE8" w:rsidP="00EE5867">
      <w:pPr>
        <w:pStyle w:val="Bodycopy"/>
        <w:keepLines/>
        <w:numPr>
          <w:ilvl w:val="0"/>
          <w:numId w:val="10"/>
        </w:numPr>
        <w:spacing w:before="120" w:after="120" w:line="283" w:lineRule="auto"/>
        <w:ind w:left="1208" w:hanging="357"/>
        <w:rPr>
          <w:b/>
        </w:rPr>
      </w:pPr>
      <w:r>
        <w:rPr>
          <w:b/>
        </w:rPr>
        <w:lastRenderedPageBreak/>
        <w:t xml:space="preserve">Disallowable Instrument DI2024-144 being the Births, </w:t>
      </w:r>
      <w:proofErr w:type="gramStart"/>
      <w:r>
        <w:rPr>
          <w:b/>
        </w:rPr>
        <w:t>Deaths</w:t>
      </w:r>
      <w:proofErr w:type="gramEnd"/>
      <w:r>
        <w:rPr>
          <w:b/>
        </w:rPr>
        <w:t xml:space="preserve"> and Marriages Registration (Fees) Determination 2024 made under section 67 of the </w:t>
      </w:r>
      <w:r>
        <w:rPr>
          <w:i/>
        </w:rPr>
        <w:t>Births, Deaths and Marriages Registration Act 1997</w:t>
      </w:r>
      <w:r>
        <w:rPr>
          <w:b/>
        </w:rPr>
        <w:t xml:space="preserve"> revokes DI2023-147 and determines fees payable for the purposes of the Act. </w:t>
      </w:r>
    </w:p>
    <w:p w14:paraId="26FC2FEF"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DI2024-145 being the Liquor (Fees) Determination 2024 made under section 227 of the </w:t>
      </w:r>
      <w:r>
        <w:rPr>
          <w:i/>
        </w:rPr>
        <w:t>Liquor Act 2010</w:t>
      </w:r>
      <w:r>
        <w:rPr>
          <w:b/>
        </w:rPr>
        <w:t xml:space="preserve"> revokes DI2023-305 and determines fees payable for the purposes of the Act. </w:t>
      </w:r>
    </w:p>
    <w:p w14:paraId="33C7AB9B" w14:textId="77777777" w:rsidR="00126BE8" w:rsidRPr="00216B8B" w:rsidRDefault="00126BE8" w:rsidP="00EE5867">
      <w:pPr>
        <w:pStyle w:val="Bodycopy"/>
        <w:keepLines/>
        <w:numPr>
          <w:ilvl w:val="0"/>
          <w:numId w:val="10"/>
        </w:numPr>
        <w:spacing w:before="120" w:after="120" w:line="283" w:lineRule="auto"/>
        <w:ind w:left="1208" w:hanging="357"/>
        <w:rPr>
          <w:b/>
          <w:spacing w:val="-2"/>
        </w:rPr>
      </w:pPr>
      <w:r w:rsidRPr="00216B8B">
        <w:rPr>
          <w:b/>
          <w:spacing w:val="-2"/>
        </w:rPr>
        <w:t xml:space="preserve">Disallowable Instrument DI2024-147 being the Emergencies, Road Transport (General), Waste Management and Resource Recovery (Embassy and Diplomatic Residence Fees) Determination 2024 made under section 37 of the, section 201 of the, section 96 of the, and section 126 of the </w:t>
      </w:r>
      <w:r w:rsidRPr="00216B8B">
        <w:rPr>
          <w:i/>
          <w:spacing w:val="-2"/>
        </w:rPr>
        <w:t>Emergencies Act 2004, Australian Capital Territory (Self-Government) Act 1988, Road Transport (General) Act 1999 and Waste Management and Resource Recovery Act 2016</w:t>
      </w:r>
      <w:r w:rsidRPr="00216B8B">
        <w:rPr>
          <w:b/>
          <w:spacing w:val="-2"/>
        </w:rPr>
        <w:t xml:space="preserve"> determines fees payable, for the purposes of the Acts, in respect of services provided to an embassy or diplomatic residence. </w:t>
      </w:r>
    </w:p>
    <w:p w14:paraId="0E0F339A"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DI2024-148 being the Emergencies (Fees) Determination 2024 made under section 201 of the </w:t>
      </w:r>
      <w:r>
        <w:rPr>
          <w:i/>
        </w:rPr>
        <w:t>Emergencies Act 2004</w:t>
      </w:r>
      <w:r>
        <w:rPr>
          <w:b/>
        </w:rPr>
        <w:t xml:space="preserve"> revokes DI2023-196 and determines fees payable for the purposes of the Act. </w:t>
      </w:r>
    </w:p>
    <w:p w14:paraId="783B49B3"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DI2024-149 being the Firearms (Fees) Determination 2024 made under section 270 of the </w:t>
      </w:r>
      <w:r>
        <w:rPr>
          <w:i/>
        </w:rPr>
        <w:t>Firearms Act 1996</w:t>
      </w:r>
      <w:r>
        <w:rPr>
          <w:b/>
        </w:rPr>
        <w:t xml:space="preserve"> revokes DI2023-197 and determines fees payable for the purposes of the Act. </w:t>
      </w:r>
    </w:p>
    <w:p w14:paraId="15873F0F"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DI2024-150 being the Waste Management and Resource Recovery (Fees) Determination 2024 (No 1) made under section 126 of the </w:t>
      </w:r>
      <w:r>
        <w:rPr>
          <w:i/>
        </w:rPr>
        <w:t>Waste Management and Resource Recovery Act 2016</w:t>
      </w:r>
      <w:r>
        <w:rPr>
          <w:b/>
        </w:rPr>
        <w:t xml:space="preserve"> revokes DI2023-308 and determines fees payable for the purposes of the Act. </w:t>
      </w:r>
    </w:p>
    <w:p w14:paraId="008ACCA3"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DI2024-154 being the Court Procedures (Fees) Determination 2024 made under section 13 of the </w:t>
      </w:r>
      <w:r>
        <w:rPr>
          <w:i/>
        </w:rPr>
        <w:t>Court Procedures Act 2004</w:t>
      </w:r>
      <w:r>
        <w:rPr>
          <w:b/>
        </w:rPr>
        <w:t xml:space="preserve"> revokes DI2023-176 and determines fees payable for the purposes of the Act. </w:t>
      </w:r>
    </w:p>
    <w:p w14:paraId="67D946CE"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DI2024-155 being the Guardianship and Management of Property (Fees) Determination 2024 made under section 75 of the </w:t>
      </w:r>
      <w:r>
        <w:rPr>
          <w:i/>
        </w:rPr>
        <w:t>Guardianship and Management of Property Act 1991</w:t>
      </w:r>
      <w:r>
        <w:rPr>
          <w:b/>
        </w:rPr>
        <w:t xml:space="preserve"> revokes DI2023-177 and determines fees payable for the purposes of the Act. </w:t>
      </w:r>
    </w:p>
    <w:p w14:paraId="157E3285"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DI2024-156 being the Public Trustee and Guardian (Fees) Determination 2024 made under section 75 of the </w:t>
      </w:r>
      <w:r>
        <w:rPr>
          <w:i/>
        </w:rPr>
        <w:t>Public Trustee and Guardian Act 1985</w:t>
      </w:r>
      <w:r>
        <w:rPr>
          <w:b/>
        </w:rPr>
        <w:t xml:space="preserve"> revokes DI2023-178 and determines fees payable for the purposes of the Act. </w:t>
      </w:r>
    </w:p>
    <w:p w14:paraId="25AECAA5" w14:textId="0446C256" w:rsidR="00126BE8" w:rsidRPr="00405BCB" w:rsidRDefault="00126BE8" w:rsidP="00EE5867">
      <w:pPr>
        <w:pStyle w:val="Bodycopy"/>
        <w:keepLines/>
        <w:numPr>
          <w:ilvl w:val="0"/>
          <w:numId w:val="10"/>
        </w:numPr>
        <w:spacing w:before="120" w:after="120" w:line="283" w:lineRule="auto"/>
        <w:ind w:left="1208" w:hanging="357"/>
        <w:rPr>
          <w:b/>
        </w:rPr>
      </w:pPr>
      <w:r>
        <w:rPr>
          <w:b/>
        </w:rPr>
        <w:t xml:space="preserve">Disallowable Instrument DI2024-157 being the Associations Incorporation (Fees) Determination 2024 made under section 125 of the </w:t>
      </w:r>
      <w:r>
        <w:rPr>
          <w:i/>
        </w:rPr>
        <w:t>Associations Incorporation Act 1991</w:t>
      </w:r>
      <w:r>
        <w:rPr>
          <w:b/>
        </w:rPr>
        <w:t xml:space="preserve"> revokes DI2023-180 and determines fees payable for the purposes of the Act. </w:t>
      </w:r>
    </w:p>
    <w:p w14:paraId="3DA0EE4A"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DI2024-158 being the Casino Control (Fees) Determination 2024 made under section 143 of the </w:t>
      </w:r>
      <w:r>
        <w:rPr>
          <w:i/>
        </w:rPr>
        <w:t>Casino Control Act 2006</w:t>
      </w:r>
      <w:r>
        <w:rPr>
          <w:b/>
        </w:rPr>
        <w:t xml:space="preserve"> revokes DI2023-181 and determines fees payable for the purposes of the Act. </w:t>
      </w:r>
    </w:p>
    <w:p w14:paraId="61E25842" w14:textId="77777777" w:rsidR="00126BE8" w:rsidRDefault="00126BE8" w:rsidP="00EE5867">
      <w:pPr>
        <w:pStyle w:val="Bodycopy"/>
        <w:keepLines/>
        <w:numPr>
          <w:ilvl w:val="0"/>
          <w:numId w:val="10"/>
        </w:numPr>
        <w:spacing w:before="120" w:after="120" w:line="283" w:lineRule="auto"/>
        <w:ind w:left="1208" w:hanging="357"/>
        <w:rPr>
          <w:b/>
        </w:rPr>
      </w:pPr>
      <w:r>
        <w:rPr>
          <w:b/>
        </w:rPr>
        <w:lastRenderedPageBreak/>
        <w:t xml:space="preserve">Disallowable Instrument DI2024-159 being the Classification (Publications, Films and Computer Games) (Enforcement) (Fees) Determination 2024 made under section 67 of the </w:t>
      </w:r>
      <w:r>
        <w:rPr>
          <w:i/>
        </w:rPr>
        <w:t>Classification (Publications, Films and Computer Games) (Enforcement) Act 1995</w:t>
      </w:r>
      <w:r>
        <w:rPr>
          <w:b/>
        </w:rPr>
        <w:t xml:space="preserve"> revokes DI2023-182 and determines fees payable for the purposes of the Act. </w:t>
      </w:r>
    </w:p>
    <w:p w14:paraId="4360D1D7" w14:textId="77777777" w:rsidR="00126BE8" w:rsidRPr="00216B8B" w:rsidRDefault="00126BE8" w:rsidP="00EE5867">
      <w:pPr>
        <w:pStyle w:val="Bodycopy"/>
        <w:keepLines/>
        <w:numPr>
          <w:ilvl w:val="0"/>
          <w:numId w:val="10"/>
        </w:numPr>
        <w:spacing w:before="120" w:after="120" w:line="283" w:lineRule="auto"/>
        <w:ind w:left="1208" w:hanging="357"/>
        <w:rPr>
          <w:b/>
          <w:spacing w:val="-2"/>
        </w:rPr>
      </w:pPr>
      <w:r w:rsidRPr="00216B8B">
        <w:rPr>
          <w:b/>
          <w:spacing w:val="-2"/>
        </w:rPr>
        <w:t xml:space="preserve">Disallowable Instrument DI2024-160 being the Co-operatives National Law (ACT) (Fees) Determination 2024 made under schedule 1 of the </w:t>
      </w:r>
      <w:r w:rsidRPr="00216B8B">
        <w:rPr>
          <w:i/>
          <w:spacing w:val="-2"/>
        </w:rPr>
        <w:t>Co-operatives National Law (ACT) Act 2017</w:t>
      </w:r>
      <w:r w:rsidRPr="00216B8B">
        <w:rPr>
          <w:b/>
          <w:spacing w:val="-2"/>
        </w:rPr>
        <w:t xml:space="preserve"> revokes DI2023-183 and determines fees payable for the purposes of the Act. </w:t>
      </w:r>
    </w:p>
    <w:p w14:paraId="745EF43A"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DI2024-161 being the Gaming Machine (Fees) Determination 2024 made under section 177 of the </w:t>
      </w:r>
      <w:r>
        <w:rPr>
          <w:i/>
        </w:rPr>
        <w:t>Gaming Machine Act 2004</w:t>
      </w:r>
      <w:r>
        <w:rPr>
          <w:b/>
        </w:rPr>
        <w:t xml:space="preserve"> revokes DI2023-184 and determines fees payable for the purposes of the Act. </w:t>
      </w:r>
    </w:p>
    <w:p w14:paraId="79CC4E14"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DI2024-162 being the Land Titles (Fees) Determination 2024 made under section 139 of the </w:t>
      </w:r>
      <w:r>
        <w:rPr>
          <w:i/>
        </w:rPr>
        <w:t>Land Titles Act 1925</w:t>
      </w:r>
      <w:r>
        <w:rPr>
          <w:b/>
        </w:rPr>
        <w:t xml:space="preserve"> revokes DI2023-298 and determines fees payable for the purposes of the Act. </w:t>
      </w:r>
    </w:p>
    <w:p w14:paraId="2DDC3C98"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DI2024-163 being the Lotteries (Fees) Determination 2024 made under section 18A of the </w:t>
      </w:r>
      <w:r>
        <w:rPr>
          <w:i/>
        </w:rPr>
        <w:t>Lotteries Act 1964</w:t>
      </w:r>
      <w:r>
        <w:rPr>
          <w:b/>
        </w:rPr>
        <w:t xml:space="preserve"> revokes DI2023-187 and determines fees payable for the purposes of the Act. </w:t>
      </w:r>
    </w:p>
    <w:p w14:paraId="750D5946"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DI2024-164 being the Partnership (Fees) Determination 2024 made under section 99 of the </w:t>
      </w:r>
      <w:r>
        <w:rPr>
          <w:i/>
        </w:rPr>
        <w:t>Partnership Act 1963</w:t>
      </w:r>
      <w:r>
        <w:rPr>
          <w:b/>
        </w:rPr>
        <w:t xml:space="preserve"> revokes DI2023-188 and determines the fee payable for the purposes of the Act. </w:t>
      </w:r>
    </w:p>
    <w:p w14:paraId="1C26CC44" w14:textId="77777777" w:rsidR="00126BE8" w:rsidRDefault="00126BE8" w:rsidP="00EE5867">
      <w:pPr>
        <w:pStyle w:val="Bodycopy"/>
        <w:keepNext/>
        <w:keepLines/>
        <w:numPr>
          <w:ilvl w:val="0"/>
          <w:numId w:val="10"/>
        </w:numPr>
        <w:spacing w:before="120" w:after="120" w:line="283" w:lineRule="auto"/>
        <w:ind w:left="1208" w:hanging="357"/>
        <w:rPr>
          <w:b/>
        </w:rPr>
      </w:pPr>
      <w:r>
        <w:rPr>
          <w:b/>
        </w:rPr>
        <w:t xml:space="preserve">Disallowable Instrument DI2024-165 being the Registration of Deeds (Fees) Determination 2024 made under section 8 of the </w:t>
      </w:r>
      <w:r>
        <w:rPr>
          <w:i/>
        </w:rPr>
        <w:t>Registration of Deeds Act 1957</w:t>
      </w:r>
      <w:r>
        <w:rPr>
          <w:b/>
        </w:rPr>
        <w:t xml:space="preserve"> revokes DI2023-189 and determines fees payable for the purposes of the Act. </w:t>
      </w:r>
    </w:p>
    <w:p w14:paraId="17770DAB"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DI2024-166 being the Retirement Villages (Fees) Determination 2024 made under section 262 of the </w:t>
      </w:r>
      <w:r>
        <w:rPr>
          <w:i/>
        </w:rPr>
        <w:t>Retirement Villages Act 2012</w:t>
      </w:r>
      <w:r>
        <w:rPr>
          <w:b/>
        </w:rPr>
        <w:t xml:space="preserve"> revokes DI2023-190 and determines fees payable for the purposes of the Act. </w:t>
      </w:r>
    </w:p>
    <w:p w14:paraId="4D541F1B"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DI2024-167 being the Traders (Licensing) (Fees) Determination 2024 made under section 52 of the </w:t>
      </w:r>
      <w:r>
        <w:rPr>
          <w:i/>
        </w:rPr>
        <w:t>Traders (Licensing) Act 2016</w:t>
      </w:r>
      <w:r>
        <w:rPr>
          <w:b/>
        </w:rPr>
        <w:t xml:space="preserve"> revokes DI2023-191 and determines fees payable for the purposes of the Act. </w:t>
      </w:r>
    </w:p>
    <w:p w14:paraId="2F3A1B50"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DI2024-168 being the Security Industry (Fees) Determination 2024 made under section 50 of the </w:t>
      </w:r>
      <w:r>
        <w:rPr>
          <w:i/>
        </w:rPr>
        <w:t>Security Industry Act 2003</w:t>
      </w:r>
      <w:r>
        <w:rPr>
          <w:b/>
        </w:rPr>
        <w:t xml:space="preserve"> revokes DI2023-192 and determines fees payable for the purposes of the Act. </w:t>
      </w:r>
    </w:p>
    <w:p w14:paraId="633690FF"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DI2024-169 being the Sex Work (Fees) Determination 2024 made under section 29 of the </w:t>
      </w:r>
      <w:r>
        <w:rPr>
          <w:i/>
        </w:rPr>
        <w:t>Sex Work Act 1992</w:t>
      </w:r>
      <w:r>
        <w:rPr>
          <w:b/>
        </w:rPr>
        <w:t xml:space="preserve"> revokes DI2023-193 and determines fees payable for the purposes of the Act. </w:t>
      </w:r>
    </w:p>
    <w:p w14:paraId="3F6564AC" w14:textId="7563C3DB"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DI2024-170 being the Unlawful Gambling (Charitable Gaming Application Fees) Determination 2024 made under section 48 of the </w:t>
      </w:r>
      <w:r>
        <w:rPr>
          <w:i/>
        </w:rPr>
        <w:t>Unlawful Gambling Act 2009</w:t>
      </w:r>
      <w:r>
        <w:rPr>
          <w:b/>
        </w:rPr>
        <w:t xml:space="preserve"> revokes DI2023-194 and determines the fee to accompany an</w:t>
      </w:r>
      <w:r w:rsidR="00E24228">
        <w:rPr>
          <w:b/>
        </w:rPr>
        <w:t> </w:t>
      </w:r>
      <w:r>
        <w:rPr>
          <w:b/>
        </w:rPr>
        <w:t xml:space="preserve">application by a charitable organisation to conduct charitable gaming for the purposes of the Act. </w:t>
      </w:r>
    </w:p>
    <w:p w14:paraId="2FD3F2C0"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DI2024-171 being the Agents (Fees) Determination 2024 made under section 176 of the </w:t>
      </w:r>
      <w:r>
        <w:rPr>
          <w:i/>
        </w:rPr>
        <w:t>Agents Act 2003</w:t>
      </w:r>
      <w:r>
        <w:rPr>
          <w:b/>
        </w:rPr>
        <w:t xml:space="preserve"> revokes DI2023-195 and determines fees payable for the purposes of the Act. </w:t>
      </w:r>
    </w:p>
    <w:p w14:paraId="7114888A" w14:textId="77777777" w:rsidR="00126BE8" w:rsidRDefault="00126BE8" w:rsidP="00EE5867">
      <w:pPr>
        <w:pStyle w:val="Bodycopy"/>
        <w:keepLines/>
        <w:numPr>
          <w:ilvl w:val="0"/>
          <w:numId w:val="10"/>
        </w:numPr>
        <w:spacing w:before="120" w:after="120" w:line="283" w:lineRule="auto"/>
        <w:ind w:left="1208" w:hanging="357"/>
        <w:rPr>
          <w:b/>
        </w:rPr>
      </w:pPr>
      <w:r>
        <w:rPr>
          <w:b/>
        </w:rPr>
        <w:lastRenderedPageBreak/>
        <w:t xml:space="preserve">Disallowable Instrument </w:t>
      </w:r>
      <w:bookmarkStart w:id="140" w:name="_Hlk174282662"/>
      <w:r>
        <w:rPr>
          <w:b/>
        </w:rPr>
        <w:t xml:space="preserve">DI2024-183 being the Rates, Land Tax, Land Rent and Duties (Certificate and Statement Fees) Determination 2024 </w:t>
      </w:r>
      <w:bookmarkEnd w:id="140"/>
      <w:r>
        <w:rPr>
          <w:b/>
        </w:rPr>
        <w:t>made under section 252AB of the</w:t>
      </w:r>
      <w:r>
        <w:t xml:space="preserve"> </w:t>
      </w:r>
      <w:r>
        <w:rPr>
          <w:bCs/>
          <w:i/>
          <w:iCs/>
        </w:rPr>
        <w:t>Rates Act 2004</w:t>
      </w:r>
      <w:r>
        <w:rPr>
          <w:b/>
        </w:rPr>
        <w:t>, section 32 of the</w:t>
      </w:r>
      <w:r>
        <w:rPr>
          <w:i/>
        </w:rPr>
        <w:t xml:space="preserve"> Duties Act 1999</w:t>
      </w:r>
      <w:r>
        <w:rPr>
          <w:b/>
        </w:rPr>
        <w:t>, section 43 of the</w:t>
      </w:r>
      <w:r>
        <w:rPr>
          <w:i/>
        </w:rPr>
        <w:t xml:space="preserve"> Land Rent Act 2008 </w:t>
      </w:r>
      <w:r>
        <w:rPr>
          <w:b/>
        </w:rPr>
        <w:t>and section 78 of the</w:t>
      </w:r>
      <w:r>
        <w:rPr>
          <w:i/>
        </w:rPr>
        <w:t xml:space="preserve"> Land Tax Act 2004</w:t>
      </w:r>
      <w:r>
        <w:rPr>
          <w:b/>
        </w:rPr>
        <w:t xml:space="preserve"> revokes DI2023-171 and determines the fee payable to the Commissioner for ACT Revenue to apply for a certificate for the purposes of the Acts.</w:t>
      </w:r>
    </w:p>
    <w:p w14:paraId="3BC6F957"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DI2024-187 being the Juries (Payment) Determination 2024 made under sections 49 and 51 of the </w:t>
      </w:r>
      <w:r>
        <w:rPr>
          <w:i/>
        </w:rPr>
        <w:t>Juries Act 1967</w:t>
      </w:r>
      <w:r>
        <w:rPr>
          <w:b/>
        </w:rPr>
        <w:t xml:space="preserve"> revokes DI2023-175 and determines payments made to jurors for the purposes of the Act. </w:t>
      </w:r>
    </w:p>
    <w:p w14:paraId="5B5844F6"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DI2024-188 being the </w:t>
      </w:r>
      <w:proofErr w:type="gramStart"/>
      <w:r>
        <w:rPr>
          <w:b/>
        </w:rPr>
        <w:t>Health</w:t>
      </w:r>
      <w:proofErr w:type="gramEnd"/>
      <w:r>
        <w:rPr>
          <w:b/>
        </w:rPr>
        <w:t xml:space="preserve"> (Fees) Determination 2024 (No 1) made under section 192 of the </w:t>
      </w:r>
      <w:r>
        <w:rPr>
          <w:i/>
        </w:rPr>
        <w:t>Health Act 1993</w:t>
      </w:r>
      <w:r>
        <w:rPr>
          <w:b/>
        </w:rPr>
        <w:t xml:space="preserve"> revoke DI2023-150 and determines fees payable for the purposes of the Act. </w:t>
      </w:r>
    </w:p>
    <w:p w14:paraId="645A80B5"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DI2024-189 being the Dangerous Goods (Road Transport) Fees and Charges Determination 2024 made under section 194 of the </w:t>
      </w:r>
      <w:r>
        <w:rPr>
          <w:i/>
        </w:rPr>
        <w:t>Dangerous Goods (Road Transport) Act 2009</w:t>
      </w:r>
      <w:r>
        <w:rPr>
          <w:b/>
        </w:rPr>
        <w:t xml:space="preserve"> revokes DI2023-113 and determines fees payable for the purposes of the Act. </w:t>
      </w:r>
    </w:p>
    <w:p w14:paraId="7F089CCE"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DI2024-190 being the Dangerous Substances (Fees) Determination 2024 made under section 221 of the </w:t>
      </w:r>
      <w:r>
        <w:rPr>
          <w:i/>
        </w:rPr>
        <w:t>Dangerous Substances Act 2004</w:t>
      </w:r>
      <w:r>
        <w:rPr>
          <w:b/>
        </w:rPr>
        <w:t xml:space="preserve"> revokes DI2023-114 and determines fees payable for the purposes of the Act. </w:t>
      </w:r>
    </w:p>
    <w:p w14:paraId="0874911C"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DI2024-191 being the Machinery (Fees) Determination 2023 made under section 5 of the </w:t>
      </w:r>
      <w:r>
        <w:rPr>
          <w:i/>
        </w:rPr>
        <w:t>Machinery Act 1949</w:t>
      </w:r>
      <w:r>
        <w:rPr>
          <w:b/>
        </w:rPr>
        <w:t xml:space="preserve"> revokes DI2023-116 and determines fees payable for the purposes of the Act. </w:t>
      </w:r>
    </w:p>
    <w:p w14:paraId="7AEFA5D3"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DI2024-192 being the Scaffolding and Lifts (Fees) Determination 2024 made under section 21 of the </w:t>
      </w:r>
      <w:r>
        <w:rPr>
          <w:i/>
        </w:rPr>
        <w:t>Scaffolding and Lifts Act 1912</w:t>
      </w:r>
      <w:r>
        <w:rPr>
          <w:b/>
        </w:rPr>
        <w:t xml:space="preserve"> revoke DI2023-117 and determines fees payable for the purposes of the Act. </w:t>
      </w:r>
    </w:p>
    <w:p w14:paraId="56B99ADE"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DI2024-193 being the Work Health and Safety (Fees) Determination 2024 made under section 278 of the </w:t>
      </w:r>
      <w:r>
        <w:rPr>
          <w:i/>
        </w:rPr>
        <w:t>Work Health and Safety Act 2011</w:t>
      </w:r>
      <w:r>
        <w:rPr>
          <w:b/>
        </w:rPr>
        <w:t xml:space="preserve"> revokes DI2023-118 and determines fees payable for the purposes of the Act. </w:t>
      </w:r>
    </w:p>
    <w:p w14:paraId="2977235F"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DI2024-194 being the Labour Hire Licensing (Fee) Determination 2024 made under section 75 of the </w:t>
      </w:r>
      <w:r>
        <w:rPr>
          <w:i/>
        </w:rPr>
        <w:t>Labour Hire Licensing Act 2020</w:t>
      </w:r>
      <w:r>
        <w:rPr>
          <w:b/>
        </w:rPr>
        <w:t xml:space="preserve"> revokes DI2023-115 and determines fees payable for the purposes of the Act. </w:t>
      </w:r>
    </w:p>
    <w:p w14:paraId="5A94BC7E"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DI2024-195 being the Victims of Crime (Fees) Determination 2024 (No 1) made under subsection 50(1) of the </w:t>
      </w:r>
      <w:r>
        <w:rPr>
          <w:i/>
        </w:rPr>
        <w:t>Victims of Crime Regulation 2000</w:t>
      </w:r>
      <w:r>
        <w:rPr>
          <w:b/>
        </w:rPr>
        <w:t xml:space="preserve"> revokes DI2023-153 and determines fees payable for services provided to an eligible victim under the regulation by a service provider. </w:t>
      </w:r>
    </w:p>
    <w:p w14:paraId="17100478" w14:textId="77777777" w:rsidR="00126BE8" w:rsidRDefault="00126BE8" w:rsidP="00EE5867">
      <w:pPr>
        <w:pStyle w:val="Bodycopy"/>
        <w:keepLines/>
        <w:numPr>
          <w:ilvl w:val="0"/>
          <w:numId w:val="10"/>
        </w:numPr>
        <w:spacing w:before="120" w:after="120" w:line="283" w:lineRule="auto"/>
        <w:ind w:left="1208" w:hanging="357"/>
        <w:rPr>
          <w:b/>
        </w:rPr>
      </w:pPr>
      <w:r>
        <w:rPr>
          <w:b/>
        </w:rPr>
        <w:t xml:space="preserve">Disallowable Instrument DI2024-199 being the Road Transport (Public Passenger Services) Maximum Fares for Taxi Services Determination 2024 made under section 60 of the </w:t>
      </w:r>
      <w:r>
        <w:rPr>
          <w:i/>
        </w:rPr>
        <w:t>Road Transport (Public Passenger Services) Act 2001</w:t>
      </w:r>
      <w:r>
        <w:rPr>
          <w:b/>
        </w:rPr>
        <w:t xml:space="preserve"> revokes DI2023-303 and determines the maximum fares relating to the hiring or use of a taxi. </w:t>
      </w:r>
    </w:p>
    <w:p w14:paraId="5C882923" w14:textId="77777777" w:rsidR="00126BE8" w:rsidRDefault="00126BE8" w:rsidP="00E24228">
      <w:pPr>
        <w:pStyle w:val="Bodycopy"/>
        <w:keepLines/>
        <w:numPr>
          <w:ilvl w:val="0"/>
          <w:numId w:val="10"/>
        </w:numPr>
        <w:spacing w:before="0" w:after="0" w:line="283" w:lineRule="auto"/>
        <w:ind w:left="1208" w:hanging="357"/>
        <w:rPr>
          <w:b/>
        </w:rPr>
      </w:pPr>
      <w:r>
        <w:rPr>
          <w:b/>
        </w:rPr>
        <w:lastRenderedPageBreak/>
        <w:t xml:space="preserve">Disallowable Instrument DI2024-208 being the </w:t>
      </w:r>
      <w:bookmarkStart w:id="141" w:name="_Hlk175471831"/>
      <w:r>
        <w:rPr>
          <w:b/>
        </w:rPr>
        <w:t>Liquor (Reduction in Annual Licence Fee for Eligible Events) Guidelines 2024 (No 1)</w:t>
      </w:r>
      <w:bookmarkEnd w:id="141"/>
      <w:r>
        <w:rPr>
          <w:b/>
        </w:rPr>
        <w:t xml:space="preserve"> made under section 32B of the </w:t>
      </w:r>
      <w:r>
        <w:rPr>
          <w:i/>
        </w:rPr>
        <w:t>Liquor Act 2010</w:t>
      </w:r>
      <w:r>
        <w:rPr>
          <w:b/>
        </w:rPr>
        <w:t xml:space="preserve"> support and enhance Canberra's night-time economy, and support of local and interstate artists by providing eligible licensees holding events an 80per cent discount on annual liquor licence fees. </w:t>
      </w:r>
    </w:p>
    <w:p w14:paraId="6E9F10BC" w14:textId="77777777" w:rsidR="00126BE8" w:rsidRDefault="00126BE8" w:rsidP="00E24228">
      <w:pPr>
        <w:pStyle w:val="Bodycopy"/>
        <w:keepLines/>
        <w:numPr>
          <w:ilvl w:val="0"/>
          <w:numId w:val="10"/>
        </w:numPr>
        <w:spacing w:before="0" w:after="0" w:line="283" w:lineRule="auto"/>
        <w:ind w:left="1208" w:hanging="357"/>
        <w:rPr>
          <w:b/>
        </w:rPr>
      </w:pPr>
      <w:r>
        <w:rPr>
          <w:b/>
        </w:rPr>
        <w:t xml:space="preserve">Disallowable Instrument DI2024-217 being the Unit Titles (Management) (Fees) Determination 2024 made under section 119 of the </w:t>
      </w:r>
      <w:r>
        <w:rPr>
          <w:i/>
        </w:rPr>
        <w:t>Unit Titles (Management) Act 2011</w:t>
      </w:r>
      <w:r>
        <w:rPr>
          <w:b/>
        </w:rPr>
        <w:t xml:space="preserve"> revokes DI2023-3 and DI2023-179 and determines fees payable for the purposes of the Act. </w:t>
      </w:r>
    </w:p>
    <w:p w14:paraId="6751E126" w14:textId="275B8435" w:rsidR="00126BE8" w:rsidRDefault="00126BE8" w:rsidP="00E24228">
      <w:pPr>
        <w:pStyle w:val="Bodycopy"/>
        <w:keepLines/>
        <w:numPr>
          <w:ilvl w:val="0"/>
          <w:numId w:val="10"/>
        </w:numPr>
        <w:spacing w:before="0" w:after="0" w:line="283" w:lineRule="auto"/>
        <w:ind w:left="1208" w:hanging="357"/>
        <w:rPr>
          <w:b/>
        </w:rPr>
      </w:pPr>
      <w:r>
        <w:rPr>
          <w:b/>
        </w:rPr>
        <w:t>Disallowable Instrument DI2024-243 being the Liquor (Fees) Determination 2024 (No</w:t>
      </w:r>
      <w:r w:rsidR="00216B8B">
        <w:rPr>
          <w:b/>
        </w:rPr>
        <w:t> </w:t>
      </w:r>
      <w:r>
        <w:rPr>
          <w:b/>
        </w:rPr>
        <w:t xml:space="preserve">2) made under section 227 of the </w:t>
      </w:r>
      <w:r>
        <w:rPr>
          <w:i/>
        </w:rPr>
        <w:t>Liquor Act 2010</w:t>
      </w:r>
      <w:r>
        <w:rPr>
          <w:b/>
        </w:rPr>
        <w:t xml:space="preserve"> revokes DI2024-145 and determines fees payable for the purposes of the Act. </w:t>
      </w:r>
    </w:p>
    <w:p w14:paraId="4B375B86" w14:textId="3318E75D" w:rsidR="00126BE8" w:rsidRDefault="00126BE8" w:rsidP="00E24228">
      <w:pPr>
        <w:pStyle w:val="Bodycopy"/>
        <w:keepLines/>
        <w:numPr>
          <w:ilvl w:val="0"/>
          <w:numId w:val="10"/>
        </w:numPr>
        <w:spacing w:before="0" w:after="0" w:line="283" w:lineRule="auto"/>
        <w:ind w:left="1208" w:hanging="357"/>
        <w:rPr>
          <w:b/>
        </w:rPr>
      </w:pPr>
      <w:r>
        <w:rPr>
          <w:b/>
        </w:rPr>
        <w:t>Disallowable Instrument DI2024-246 being the Litter (Fees) Determination 2024 (No</w:t>
      </w:r>
      <w:r w:rsidR="00216B8B">
        <w:rPr>
          <w:b/>
        </w:rPr>
        <w:t> </w:t>
      </w:r>
      <w:r>
        <w:rPr>
          <w:b/>
        </w:rPr>
        <w:t xml:space="preserve">2) made under section 25 of the </w:t>
      </w:r>
      <w:r>
        <w:rPr>
          <w:i/>
        </w:rPr>
        <w:t>Litter Act 2004</w:t>
      </w:r>
      <w:r>
        <w:rPr>
          <w:b/>
        </w:rPr>
        <w:t xml:space="preserve"> revokes DI2024-53 and determines the fees payable for the purposes of the Act. </w:t>
      </w:r>
    </w:p>
    <w:p w14:paraId="25BF1306" w14:textId="7B3D4989" w:rsidR="00126BE8" w:rsidRDefault="00126BE8" w:rsidP="00E24228">
      <w:pPr>
        <w:pStyle w:val="ListNumber2"/>
        <w:numPr>
          <w:ilvl w:val="1"/>
          <w:numId w:val="6"/>
        </w:numPr>
        <w:spacing w:after="0"/>
        <w:ind w:hanging="720"/>
        <w:rPr>
          <w:rFonts w:ascii="Calibri" w:eastAsia="Calibri" w:hAnsi="Calibri" w:cs="Calibri"/>
          <w:color w:val="000000"/>
        </w:rPr>
      </w:pPr>
      <w:r>
        <w:rPr>
          <w:rFonts w:ascii="Calibri" w:eastAsia="Calibri" w:hAnsi="Calibri" w:cs="Calibri"/>
          <w:color w:val="000000"/>
        </w:rPr>
        <w:t xml:space="preserve">Each of the (approximately 40) instruments mentioned above determines fees (or, in one case, jurors’ fees), for various Acts.  As the Committee noted (most recently) in </w:t>
      </w:r>
      <w:r>
        <w:rPr>
          <w:rFonts w:ascii="Calibri" w:eastAsia="Calibri" w:hAnsi="Calibri" w:cs="Calibri"/>
          <w:i/>
          <w:iCs/>
          <w:color w:val="000000"/>
        </w:rPr>
        <w:t>Scrutiny Report 44</w:t>
      </w:r>
      <w:r>
        <w:rPr>
          <w:rFonts w:ascii="Calibri" w:eastAsia="Calibri" w:hAnsi="Calibri" w:cs="Calibri"/>
          <w:color w:val="000000"/>
        </w:rPr>
        <w:t xml:space="preserve"> of the </w:t>
      </w:r>
      <w:r>
        <w:rPr>
          <w:rFonts w:ascii="Calibri" w:eastAsia="Calibri" w:hAnsi="Calibri" w:cs="Calibri"/>
          <w:i/>
          <w:color w:val="000000"/>
        </w:rPr>
        <w:t>10</w:t>
      </w:r>
      <w:r>
        <w:rPr>
          <w:rFonts w:ascii="Calibri" w:eastAsia="Calibri" w:hAnsi="Calibri" w:cs="Calibri"/>
          <w:i/>
          <w:color w:val="000000"/>
          <w:vertAlign w:val="superscript"/>
        </w:rPr>
        <w:t>th</w:t>
      </w:r>
      <w:r>
        <w:rPr>
          <w:rFonts w:ascii="Calibri" w:eastAsia="Calibri" w:hAnsi="Calibri" w:cs="Calibri"/>
          <w:i/>
          <w:color w:val="000000"/>
        </w:rPr>
        <w:t xml:space="preserve"> Assembly</w:t>
      </w:r>
      <w:r>
        <w:rPr>
          <w:rFonts w:ascii="Calibri" w:eastAsia="Calibri" w:hAnsi="Calibri" w:cs="Calibri"/>
          <w:color w:val="000000"/>
        </w:rPr>
        <w:t xml:space="preserve"> (20 August 2024), the Committee expects to consider </w:t>
      </w:r>
      <w:proofErr w:type="gramStart"/>
      <w:r>
        <w:rPr>
          <w:rFonts w:ascii="Calibri" w:eastAsia="Calibri" w:hAnsi="Calibri" w:cs="Calibri"/>
          <w:color w:val="000000"/>
        </w:rPr>
        <w:t>in excess of</w:t>
      </w:r>
      <w:proofErr w:type="gramEnd"/>
      <w:r>
        <w:rPr>
          <w:rFonts w:ascii="Calibri" w:eastAsia="Calibri" w:hAnsi="Calibri" w:cs="Calibri"/>
          <w:color w:val="000000"/>
        </w:rPr>
        <w:t xml:space="preserve"> 100 such instruments at this time of the year, as new fees, etc. are determined for the new financial year.</w:t>
      </w:r>
    </w:p>
    <w:p w14:paraId="2E49A3E0" w14:textId="19108D52" w:rsidR="00126BE8" w:rsidRDefault="00126BE8" w:rsidP="00E24228">
      <w:pPr>
        <w:pStyle w:val="ListNumber2"/>
        <w:keepLines/>
        <w:numPr>
          <w:ilvl w:val="1"/>
          <w:numId w:val="6"/>
        </w:numPr>
        <w:spacing w:after="0"/>
        <w:ind w:hanging="720"/>
        <w:rPr>
          <w:rFonts w:ascii="Calibri" w:eastAsia="Calibri" w:hAnsi="Calibri" w:cs="Calibri"/>
          <w:bCs w:val="0"/>
          <w:color w:val="000000"/>
        </w:rPr>
      </w:pPr>
      <w:r>
        <w:rPr>
          <w:rFonts w:ascii="Calibri" w:eastAsia="Calibri" w:hAnsi="Calibri" w:cs="Calibri"/>
          <w:bCs w:val="0"/>
          <w:color w:val="000000"/>
        </w:rPr>
        <w:t xml:space="preserve">As the Committee also stated in </w:t>
      </w:r>
      <w:r>
        <w:rPr>
          <w:rFonts w:ascii="Calibri" w:eastAsia="Calibri" w:hAnsi="Calibri" w:cs="Calibri"/>
          <w:bCs w:val="0"/>
          <w:i/>
          <w:iCs/>
          <w:color w:val="000000"/>
        </w:rPr>
        <w:t>Scrutiny Report 44</w:t>
      </w:r>
      <w:r>
        <w:rPr>
          <w:rFonts w:ascii="Calibri" w:eastAsia="Calibri" w:hAnsi="Calibri" w:cs="Calibri"/>
          <w:bCs w:val="0"/>
          <w:color w:val="000000"/>
        </w:rPr>
        <w:t>, in recent years, the Committee has been pleased to observe that the standard of fees determinations (and their explanatory statements) is much</w:t>
      </w:r>
      <w:r w:rsidR="00E2109B">
        <w:rPr>
          <w:rFonts w:ascii="Calibri" w:eastAsia="Calibri" w:hAnsi="Calibri" w:cs="Calibri"/>
          <w:bCs w:val="0"/>
          <w:color w:val="000000"/>
        </w:rPr>
        <w:t xml:space="preserve"> </w:t>
      </w:r>
      <w:r>
        <w:rPr>
          <w:rFonts w:ascii="Calibri" w:eastAsia="Calibri" w:hAnsi="Calibri" w:cs="Calibri"/>
          <w:bCs w:val="0"/>
          <w:color w:val="000000"/>
        </w:rPr>
        <w:t>improved (in terms of them meeting the Committee’s long-held views about fees determinations</w:t>
      </w:r>
      <w:r>
        <w:rPr>
          <w:rFonts w:ascii="Calibri" w:eastAsia="Calibri" w:hAnsi="Calibri" w:cs="Calibri"/>
          <w:color w:val="000000"/>
          <w:vertAlign w:val="superscript"/>
        </w:rPr>
        <w:footnoteReference w:id="10"/>
      </w:r>
      <w:r>
        <w:rPr>
          <w:rFonts w:ascii="Calibri" w:eastAsia="Calibri" w:hAnsi="Calibri" w:cs="Calibri"/>
          <w:bCs w:val="0"/>
          <w:color w:val="000000"/>
        </w:rPr>
        <w:t xml:space="preserve">) from, say, ten years ago. This improvement is again evident in this batch of instruments. The Committee notes that the requirement in relation to setting out the “old” and “new” fees has been consistently met. The Committee also notes that, in the batch of instruments mentioned above, there is a high degree of consistency in the explanations provided for the various fees increases. In addition, there are some instruments that provide for different increases/explanations, in the circumstances of </w:t>
      </w:r>
      <w:proofErr w:type="gramStart"/>
      <w:r>
        <w:rPr>
          <w:rFonts w:ascii="Calibri" w:eastAsia="Calibri" w:hAnsi="Calibri" w:cs="Calibri"/>
          <w:bCs w:val="0"/>
          <w:color w:val="000000"/>
        </w:rPr>
        <w:t>particular Acts</w:t>
      </w:r>
      <w:proofErr w:type="gramEnd"/>
      <w:r>
        <w:rPr>
          <w:rFonts w:ascii="Calibri" w:eastAsia="Calibri" w:hAnsi="Calibri" w:cs="Calibri"/>
          <w:bCs w:val="0"/>
          <w:color w:val="000000"/>
        </w:rPr>
        <w:t>. These issues are discussed below.</w:t>
      </w:r>
    </w:p>
    <w:p w14:paraId="5A2081EB" w14:textId="77777777" w:rsidR="00126BE8" w:rsidRPr="00051748" w:rsidRDefault="00126BE8" w:rsidP="007825E1">
      <w:pPr>
        <w:pStyle w:val="Heading5"/>
        <w:rPr>
          <w:rFonts w:eastAsia="Times New Roman"/>
          <w:smallCaps/>
        </w:rPr>
      </w:pPr>
      <w:r w:rsidRPr="00051748">
        <w:rPr>
          <w:rFonts w:eastAsia="Times New Roman"/>
        </w:rPr>
        <w:t>Consistency in explanations for fee increases</w:t>
      </w:r>
    </w:p>
    <w:p w14:paraId="2C250165" w14:textId="77777777"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 xml:space="preserve">The Committee notes that the explanatory statement for the Race and Sports Bookmaking (Fees) Determination 2024 (DI2024-143), which determines fees for section 97 of the </w:t>
      </w:r>
      <w:r>
        <w:rPr>
          <w:rFonts w:ascii="Calibri" w:eastAsia="Calibri" w:hAnsi="Calibri" w:cs="Calibri"/>
          <w:bCs w:val="0"/>
          <w:i/>
          <w:iCs/>
          <w:color w:val="000000"/>
        </w:rPr>
        <w:t>Race and Sports Bookmaking Act 2001</w:t>
      </w:r>
      <w:r>
        <w:rPr>
          <w:rFonts w:ascii="Calibri" w:eastAsia="Calibri" w:hAnsi="Calibri" w:cs="Calibri"/>
          <w:bCs w:val="0"/>
          <w:color w:val="000000"/>
        </w:rPr>
        <w:t>, uses an explanation that is common in this batch of fees determinations:</w:t>
      </w:r>
    </w:p>
    <w:p w14:paraId="22B33E2F" w14:textId="77777777" w:rsidR="00126BE8" w:rsidRDefault="00126BE8" w:rsidP="00E24228">
      <w:pPr>
        <w:pStyle w:val="Quote"/>
        <w:spacing w:before="120" w:after="120"/>
        <w:rPr>
          <w:rFonts w:ascii="Calibri" w:eastAsia="Calibri" w:hAnsi="Calibri" w:cs="Calibri"/>
          <w:bCs/>
          <w:color w:val="7F7F7F"/>
          <w:szCs w:val="20"/>
        </w:rPr>
      </w:pPr>
      <w:r>
        <w:rPr>
          <w:rFonts w:eastAsia="Calibri"/>
          <w:bCs/>
          <w:color w:val="7F7F7F"/>
        </w:rPr>
        <w:t xml:space="preserve">The new determination sets the fees that will apply beginning on 1 July 2024 and repeals the Race and Sports Bookmaking (Fees) Determination 2023 DI2023-130. Fees in the 2024-2025 financial year have been generally increased from fees in the previous financial year by the Wages Price Index (WPI) of 3.50%, plus an additional 0.35%, rounded down to the nearest dollar. Some smaller value fees maybe rounded up to the nearest dollar. This approach also aligns with the 2023 Treasury Guidelines for Fees and Charges. </w:t>
      </w:r>
    </w:p>
    <w:p w14:paraId="51655748" w14:textId="77777777" w:rsidR="00126BE8" w:rsidRDefault="00126BE8" w:rsidP="00EE5867">
      <w:pPr>
        <w:pStyle w:val="ListNumber2"/>
        <w:numPr>
          <w:ilvl w:val="1"/>
          <w:numId w:val="6"/>
        </w:numPr>
        <w:ind w:hanging="720"/>
        <w:rPr>
          <w:rFonts w:ascii="Calibri" w:eastAsia="Times New Roman" w:hAnsi="Calibri" w:cs="Calibri"/>
          <w:bCs w:val="0"/>
          <w:color w:val="000000"/>
        </w:rPr>
      </w:pPr>
      <w:r>
        <w:rPr>
          <w:rFonts w:ascii="Calibri" w:eastAsia="Calibri" w:hAnsi="Calibri" w:cs="Calibri"/>
          <w:bCs w:val="0"/>
          <w:color w:val="000000"/>
        </w:rPr>
        <w:lastRenderedPageBreak/>
        <w:t>A variation on this explanation is set out in the explanatory statement for the</w:t>
      </w:r>
      <w:r>
        <w:t xml:space="preserve"> </w:t>
      </w:r>
      <w:r>
        <w:rPr>
          <w:rFonts w:ascii="Calibri" w:eastAsia="Calibri" w:hAnsi="Calibri" w:cs="Calibri"/>
          <w:bCs w:val="0"/>
          <w:color w:val="000000"/>
        </w:rPr>
        <w:t>Court Procedures (Fees) Determination 2024 (DI2024-1</w:t>
      </w:r>
      <w:bookmarkStart w:id="142" w:name="_Hlk144029403"/>
      <w:r>
        <w:rPr>
          <w:rFonts w:ascii="Calibri" w:eastAsia="Calibri" w:hAnsi="Calibri" w:cs="Calibri"/>
          <w:bCs w:val="0"/>
          <w:color w:val="000000"/>
        </w:rPr>
        <w:t xml:space="preserve">67), </w:t>
      </w:r>
      <w:bookmarkEnd w:id="142"/>
      <w:r>
        <w:rPr>
          <w:rFonts w:ascii="Calibri" w:eastAsia="Calibri" w:hAnsi="Calibri" w:cs="Calibri"/>
          <w:bCs w:val="0"/>
          <w:color w:val="000000"/>
        </w:rPr>
        <w:t xml:space="preserve">which determines fees for section 52 of the </w:t>
      </w:r>
      <w:r>
        <w:rPr>
          <w:rFonts w:ascii="Calibri" w:eastAsia="Calibri" w:hAnsi="Calibri" w:cs="Calibri"/>
          <w:bCs w:val="0"/>
          <w:i/>
          <w:iCs/>
          <w:color w:val="000000"/>
        </w:rPr>
        <w:t>Traders (Licensing) Act 2016</w:t>
      </w:r>
      <w:r>
        <w:rPr>
          <w:rFonts w:ascii="Calibri" w:eastAsia="Calibri" w:hAnsi="Calibri" w:cs="Calibri"/>
          <w:bCs w:val="0"/>
          <w:color w:val="000000"/>
        </w:rPr>
        <w:t>:</w:t>
      </w:r>
    </w:p>
    <w:p w14:paraId="37D24690" w14:textId="77777777" w:rsidR="00126BE8" w:rsidRDefault="00126BE8" w:rsidP="00051748">
      <w:pPr>
        <w:pStyle w:val="Quote"/>
        <w:rPr>
          <w:rFonts w:ascii="Calibri" w:eastAsia="Calibri" w:hAnsi="Calibri" w:cs="Calibri"/>
          <w:bCs/>
          <w:color w:val="7F7F7F"/>
          <w:szCs w:val="20"/>
        </w:rPr>
      </w:pPr>
      <w:r>
        <w:rPr>
          <w:rFonts w:eastAsia="Calibri"/>
          <w:bCs/>
          <w:color w:val="7F7F7F"/>
        </w:rPr>
        <w:t xml:space="preserve">The new determination sets the fees that will apply beginning on 1 July 2024 and repeals the Traders (Licensing) (Fees) Determination 2023 DI2023-191. Fees in the 2024 - 2025 financial year have been generally increased from fees in the previous financial year by the Wages Price Index (WPI) of 3.50%, plus an additional 0.35%, rounded down to the nearest dollar. Some smaller value fees maybe rounded up to the nearest dollar. This approach also aligns with the 2023 Treasury Guidelines for Fees and Charges.  </w:t>
      </w:r>
    </w:p>
    <w:p w14:paraId="18E9E140" w14:textId="77777777" w:rsidR="00126BE8" w:rsidRDefault="00126BE8" w:rsidP="00051748">
      <w:pPr>
        <w:pStyle w:val="Quote"/>
        <w:rPr>
          <w:rFonts w:eastAsia="Calibri"/>
          <w:bCs/>
          <w:color w:val="7F7F7F"/>
        </w:rPr>
      </w:pPr>
      <w:r>
        <w:rPr>
          <w:rFonts w:eastAsia="Calibri"/>
          <w:bCs/>
          <w:color w:val="7F7F7F"/>
        </w:rPr>
        <w:t>Fees must be paid as a lump sum and are no longer payable in instalments.</w:t>
      </w:r>
    </w:p>
    <w:p w14:paraId="5F730D0B" w14:textId="77777777" w:rsidR="00126BE8" w:rsidRDefault="00126BE8" w:rsidP="00EE5867">
      <w:pPr>
        <w:pStyle w:val="ListNumber2"/>
        <w:numPr>
          <w:ilvl w:val="1"/>
          <w:numId w:val="6"/>
        </w:numPr>
        <w:ind w:hanging="720"/>
        <w:rPr>
          <w:rFonts w:ascii="Calibri" w:eastAsia="Times New Roman" w:hAnsi="Calibri" w:cs="Calibri"/>
          <w:bCs w:val="0"/>
          <w:color w:val="000000"/>
        </w:rPr>
      </w:pPr>
      <w:r>
        <w:rPr>
          <w:rFonts w:ascii="Calibri" w:eastAsia="Calibri" w:hAnsi="Calibri" w:cs="Calibri"/>
          <w:bCs w:val="0"/>
          <w:color w:val="000000"/>
        </w:rPr>
        <w:t xml:space="preserve">The Committee notes that the explanatory statements for </w:t>
      </w:r>
      <w:proofErr w:type="gramStart"/>
      <w:r>
        <w:rPr>
          <w:rFonts w:ascii="Calibri" w:eastAsia="Calibri" w:hAnsi="Calibri" w:cs="Calibri"/>
          <w:bCs w:val="0"/>
          <w:color w:val="000000"/>
        </w:rPr>
        <w:t>the majority of</w:t>
      </w:r>
      <w:proofErr w:type="gramEnd"/>
      <w:r>
        <w:rPr>
          <w:rFonts w:ascii="Calibri" w:eastAsia="Calibri" w:hAnsi="Calibri" w:cs="Calibri"/>
          <w:bCs w:val="0"/>
          <w:color w:val="000000"/>
        </w:rPr>
        <w:t xml:space="preserve"> the instruments mentioned above use one of the examples identified above.  Some wider variations on that explanation, for </w:t>
      </w:r>
      <w:proofErr w:type="gramStart"/>
      <w:r>
        <w:rPr>
          <w:rFonts w:ascii="Calibri" w:eastAsia="Calibri" w:hAnsi="Calibri" w:cs="Calibri"/>
          <w:bCs w:val="0"/>
          <w:color w:val="000000"/>
        </w:rPr>
        <w:t>particular Acts</w:t>
      </w:r>
      <w:proofErr w:type="gramEnd"/>
      <w:r>
        <w:rPr>
          <w:rFonts w:ascii="Calibri" w:eastAsia="Calibri" w:hAnsi="Calibri" w:cs="Calibri"/>
          <w:bCs w:val="0"/>
          <w:color w:val="000000"/>
        </w:rPr>
        <w:t xml:space="preserve">, are discussed below.  </w:t>
      </w:r>
    </w:p>
    <w:p w14:paraId="5BC8530F" w14:textId="77777777" w:rsidR="00126BE8" w:rsidRDefault="00126BE8" w:rsidP="00EE5867">
      <w:pPr>
        <w:pStyle w:val="ListNumber2"/>
        <w:keepLines/>
        <w:numPr>
          <w:ilvl w:val="1"/>
          <w:numId w:val="6"/>
        </w:numPr>
        <w:ind w:hanging="720"/>
        <w:rPr>
          <w:rFonts w:ascii="Calibri" w:eastAsia="Calibri" w:hAnsi="Calibri" w:cs="Calibri"/>
          <w:bCs w:val="0"/>
          <w:color w:val="000000"/>
        </w:rPr>
      </w:pPr>
      <w:r>
        <w:rPr>
          <w:rFonts w:ascii="Calibri" w:eastAsia="Calibri" w:hAnsi="Calibri" w:cs="Calibri"/>
          <w:bCs w:val="0"/>
          <w:color w:val="000000"/>
        </w:rPr>
        <w:t xml:space="preserve">In relation to the methodology behind fees increases, the Committee notes the following explanation, provided by the Minister for Transport and City Services, in response to comments made by the Committee in </w:t>
      </w:r>
      <w:r>
        <w:rPr>
          <w:rFonts w:ascii="Calibri" w:eastAsia="Calibri" w:hAnsi="Calibri" w:cs="Calibri"/>
          <w:bCs w:val="0"/>
          <w:i/>
          <w:iCs/>
          <w:color w:val="000000"/>
        </w:rPr>
        <w:t>Scrutiny Report 26</w:t>
      </w:r>
      <w:r>
        <w:rPr>
          <w:rFonts w:ascii="Calibri" w:eastAsia="Calibri" w:hAnsi="Calibri" w:cs="Calibri"/>
          <w:bCs w:val="0"/>
          <w:color w:val="000000"/>
        </w:rPr>
        <w:t xml:space="preserve"> of the 10</w:t>
      </w:r>
      <w:r>
        <w:rPr>
          <w:rFonts w:ascii="Calibri" w:eastAsia="Calibri" w:hAnsi="Calibri" w:cs="Calibri"/>
          <w:bCs w:val="0"/>
          <w:color w:val="000000"/>
          <w:vertAlign w:val="superscript"/>
        </w:rPr>
        <w:t>th</w:t>
      </w:r>
      <w:r>
        <w:rPr>
          <w:rFonts w:ascii="Calibri" w:eastAsia="Calibri" w:hAnsi="Calibri" w:cs="Calibri"/>
          <w:bCs w:val="0"/>
          <w:color w:val="000000"/>
        </w:rPr>
        <w:t xml:space="preserve"> Assembly (14 March 2023):</w:t>
      </w:r>
    </w:p>
    <w:p w14:paraId="2F274E27" w14:textId="77777777" w:rsidR="00126BE8" w:rsidRDefault="00126BE8" w:rsidP="00051748">
      <w:pPr>
        <w:pStyle w:val="Quote"/>
        <w:rPr>
          <w:rFonts w:ascii="Calibri" w:eastAsia="Calibri" w:hAnsi="Calibri" w:cs="Times New Roman"/>
          <w:color w:val="7F7F7F"/>
          <w:szCs w:val="20"/>
        </w:rPr>
      </w:pPr>
      <w:r>
        <w:rPr>
          <w:rFonts w:eastAsia="Calibri"/>
          <w:bCs/>
          <w:color w:val="7F7F7F"/>
        </w:rPr>
        <w:t>Changes to fees and charges, levies and taxes by annual decisions or different indexation arrangements are driven by a range of policy considerations. Indexation is largely linked to growth in wages to cover the cost of Government employees providing services to the community, while ensuring the indexation does not create undue cost of living pressures. Where a different indexation is used, it usually reflects the changes in prices of goods and services acquired by households (i.e., the Consumer Price Index), or seeks to align with the intended policy objectives of the fees and charges.</w:t>
      </w:r>
      <w:r>
        <w:rPr>
          <w:rFonts w:eastAsia="Calibri"/>
          <w:bCs/>
          <w:color w:val="7F7F7F"/>
          <w:sz w:val="20"/>
          <w:vertAlign w:val="superscript"/>
        </w:rPr>
        <w:footnoteReference w:id="11"/>
      </w:r>
    </w:p>
    <w:p w14:paraId="11EDF0A2" w14:textId="77777777" w:rsidR="00126BE8" w:rsidRPr="00051748" w:rsidRDefault="00126BE8" w:rsidP="007825E1">
      <w:pPr>
        <w:pStyle w:val="Heading5"/>
        <w:rPr>
          <w:rFonts w:eastAsia="Times New Roman"/>
          <w:smallCaps/>
        </w:rPr>
      </w:pPr>
      <w:r w:rsidRPr="00051748">
        <w:rPr>
          <w:rFonts w:eastAsia="Times New Roman"/>
        </w:rPr>
        <w:t xml:space="preserve">Act-specific explanations for fees </w:t>
      </w:r>
      <w:proofErr w:type="gramStart"/>
      <w:r w:rsidRPr="00051748">
        <w:rPr>
          <w:rFonts w:eastAsia="Times New Roman"/>
        </w:rPr>
        <w:t>increases</w:t>
      </w:r>
      <w:proofErr w:type="gramEnd"/>
    </w:p>
    <w:p w14:paraId="70352EBF" w14:textId="77777777"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 xml:space="preserve">The explanatory statements for the following determinations indicate that the relevant fees are determined in relation to the </w:t>
      </w:r>
      <w:proofErr w:type="gramStart"/>
      <w:r>
        <w:rPr>
          <w:rFonts w:ascii="Calibri" w:eastAsia="Calibri" w:hAnsi="Calibri" w:cs="Calibri"/>
          <w:bCs w:val="0"/>
          <w:color w:val="000000"/>
        </w:rPr>
        <w:t>particular circumstances</w:t>
      </w:r>
      <w:proofErr w:type="gramEnd"/>
      <w:r>
        <w:rPr>
          <w:rFonts w:ascii="Calibri" w:eastAsia="Calibri" w:hAnsi="Calibri" w:cs="Calibri"/>
          <w:bCs w:val="0"/>
          <w:color w:val="000000"/>
        </w:rPr>
        <w:t xml:space="preserve"> of the relevant Act:</w:t>
      </w:r>
    </w:p>
    <w:p w14:paraId="434F428F" w14:textId="77777777" w:rsidR="00126BE8" w:rsidRPr="00D8583D" w:rsidRDefault="00126BE8" w:rsidP="00216B8B">
      <w:pPr>
        <w:pStyle w:val="Quote"/>
        <w:spacing w:before="120" w:after="120"/>
        <w:rPr>
          <w:rFonts w:ascii="Calibri" w:eastAsia="Times New Roman" w:hAnsi="Calibri" w:cs="Calibri"/>
          <w:bCs/>
          <w:szCs w:val="20"/>
          <w:u w:val="single"/>
          <w:lang w:eastAsia="en-AU"/>
        </w:rPr>
      </w:pPr>
      <w:r w:rsidRPr="00D8583D">
        <w:rPr>
          <w:rFonts w:ascii="Calibri" w:eastAsia="Times New Roman" w:hAnsi="Calibri" w:cs="Calibri"/>
          <w:bCs/>
          <w:szCs w:val="20"/>
          <w:u w:val="single"/>
          <w:lang w:eastAsia="en-AU"/>
        </w:rPr>
        <w:t>Cemeteries and Crematoria (Fees) Determination 2024 (No 1) (DI2024-135)</w:t>
      </w:r>
    </w:p>
    <w:p w14:paraId="52B93473" w14:textId="77777777" w:rsidR="00126BE8" w:rsidRDefault="00126BE8" w:rsidP="00216B8B">
      <w:pPr>
        <w:pStyle w:val="Quote"/>
        <w:spacing w:before="120" w:after="120"/>
        <w:rPr>
          <w:rFonts w:ascii="Calibri" w:eastAsia="Calibri" w:hAnsi="Calibri" w:cs="Calibri"/>
          <w:bCs/>
          <w:color w:val="7F7F7F"/>
          <w:szCs w:val="20"/>
          <w:lang w:eastAsia="en-AU"/>
        </w:rPr>
      </w:pPr>
      <w:r>
        <w:rPr>
          <w:rFonts w:eastAsia="Calibri"/>
          <w:bCs/>
          <w:color w:val="7F7F7F"/>
        </w:rPr>
        <w:t xml:space="preserve">This determination increases fees by approximately 3.85% for </w:t>
      </w:r>
      <w:proofErr w:type="gramStart"/>
      <w:r>
        <w:rPr>
          <w:rFonts w:eastAsia="Calibri"/>
          <w:bCs/>
          <w:color w:val="7F7F7F"/>
        </w:rPr>
        <w:t>the majority of</w:t>
      </w:r>
      <w:proofErr w:type="gramEnd"/>
      <w:r>
        <w:rPr>
          <w:rFonts w:eastAsia="Calibri"/>
          <w:bCs/>
          <w:color w:val="7F7F7F"/>
        </w:rPr>
        <w:t xml:space="preserve"> burial services provided for Wage Price Index (WPI).</w:t>
      </w:r>
    </w:p>
    <w:p w14:paraId="261E0B14" w14:textId="77777777" w:rsidR="00126BE8" w:rsidRDefault="00126BE8" w:rsidP="00216B8B">
      <w:pPr>
        <w:pStyle w:val="Quote"/>
        <w:spacing w:before="120" w:after="120"/>
        <w:rPr>
          <w:rFonts w:eastAsia="Calibri"/>
          <w:bCs/>
          <w:color w:val="7F7F7F"/>
        </w:rPr>
      </w:pPr>
      <w:r>
        <w:rPr>
          <w:rFonts w:eastAsia="Calibri"/>
          <w:bCs/>
          <w:color w:val="7F7F7F"/>
        </w:rPr>
        <w:t>Fees for cremation services will increase by approximately 3.85%. A 20% discount in cremation fees is now offered to funeral directors who are registered as a not-for-profit organisation.</w:t>
      </w:r>
    </w:p>
    <w:p w14:paraId="699BB5EF" w14:textId="77777777" w:rsidR="00126BE8" w:rsidRDefault="00126BE8" w:rsidP="00216B8B">
      <w:pPr>
        <w:pStyle w:val="Quote"/>
        <w:spacing w:before="120" w:after="120"/>
        <w:rPr>
          <w:rFonts w:eastAsia="Calibri"/>
          <w:bCs/>
          <w:color w:val="7F7F7F"/>
        </w:rPr>
      </w:pPr>
      <w:r>
        <w:rPr>
          <w:rFonts w:eastAsia="Calibri"/>
          <w:bCs/>
          <w:color w:val="7F7F7F"/>
        </w:rPr>
        <w:t>Cremations for persons aged under 18 years will now be conducted free of charge.</w:t>
      </w:r>
    </w:p>
    <w:p w14:paraId="159F9075" w14:textId="77777777" w:rsidR="00126BE8" w:rsidRDefault="00126BE8" w:rsidP="00216B8B">
      <w:pPr>
        <w:pStyle w:val="Quote"/>
        <w:spacing w:before="120" w:after="120"/>
        <w:rPr>
          <w:rFonts w:eastAsia="Calibri"/>
          <w:bCs/>
          <w:color w:val="7F7F7F"/>
        </w:rPr>
      </w:pPr>
      <w:r>
        <w:rPr>
          <w:rFonts w:eastAsia="Calibri"/>
          <w:bCs/>
          <w:color w:val="7F7F7F"/>
        </w:rPr>
        <w:t>All fees are rounded for cash handling purposes.</w:t>
      </w:r>
    </w:p>
    <w:p w14:paraId="25758AEF" w14:textId="77777777" w:rsidR="00126BE8" w:rsidRPr="00D8583D" w:rsidRDefault="00126BE8" w:rsidP="00216B8B">
      <w:pPr>
        <w:pStyle w:val="Quote"/>
        <w:spacing w:before="120" w:after="120"/>
        <w:rPr>
          <w:rFonts w:ascii="Calibri" w:eastAsia="Times New Roman" w:hAnsi="Calibri" w:cs="Calibri"/>
          <w:bCs/>
          <w:spacing w:val="-4"/>
          <w:szCs w:val="20"/>
          <w:u w:val="single"/>
          <w:lang w:eastAsia="en-AU"/>
        </w:rPr>
      </w:pPr>
      <w:r w:rsidRPr="00D8583D">
        <w:rPr>
          <w:rFonts w:ascii="Calibri" w:eastAsia="Times New Roman" w:hAnsi="Calibri" w:cs="Calibri"/>
          <w:bCs/>
          <w:spacing w:val="-4"/>
          <w:szCs w:val="20"/>
          <w:u w:val="single"/>
          <w:lang w:eastAsia="en-AU"/>
        </w:rPr>
        <w:lastRenderedPageBreak/>
        <w:t>Emergencies, Road Transport (General), Waste Management and Resource Recovery (Embassy and Diplomatic Residence Fees) Determination 2024 (DI2024-147)</w:t>
      </w:r>
    </w:p>
    <w:p w14:paraId="295FAFAB" w14:textId="77777777" w:rsidR="00126BE8" w:rsidRDefault="00126BE8" w:rsidP="00216B8B">
      <w:pPr>
        <w:pStyle w:val="Quote"/>
        <w:spacing w:before="120" w:after="120"/>
        <w:rPr>
          <w:rFonts w:ascii="Calibri" w:eastAsia="Calibri" w:hAnsi="Calibri" w:cs="Calibri"/>
          <w:bCs/>
          <w:color w:val="7F7F7F"/>
          <w:szCs w:val="20"/>
          <w:lang w:eastAsia="en-AU"/>
        </w:rPr>
      </w:pPr>
      <w:bookmarkStart w:id="143" w:name="_Hlk144045450"/>
      <w:r>
        <w:rPr>
          <w:rFonts w:eastAsia="Calibri"/>
          <w:bCs/>
          <w:color w:val="7F7F7F"/>
        </w:rPr>
        <w:t>The ACT Government has a range of fees for specified services provided to embassies and the residence of the head of an embassy.</w:t>
      </w:r>
    </w:p>
    <w:p w14:paraId="5C89ACAA" w14:textId="11A8338E" w:rsidR="00126BE8" w:rsidRDefault="00126BE8" w:rsidP="00216B8B">
      <w:pPr>
        <w:pStyle w:val="Quote"/>
        <w:spacing w:before="120" w:after="120"/>
        <w:rPr>
          <w:rFonts w:eastAsia="Calibri"/>
          <w:bCs/>
          <w:color w:val="7F7F7F"/>
        </w:rPr>
      </w:pPr>
      <w:r>
        <w:rPr>
          <w:rFonts w:eastAsia="Calibri"/>
          <w:bCs/>
          <w:color w:val="7F7F7F"/>
        </w:rPr>
        <w:t xml:space="preserve">The charging of fees for specific services rendered in relation to the premises of an embassy and residence of the head of an embassy is provided for under the Vienna Convention on Diplomatic Relations (Diplomatic Convention), which is relevantly implemented under s 7 of the </w:t>
      </w:r>
      <w:r>
        <w:rPr>
          <w:rFonts w:eastAsia="Calibri"/>
          <w:bCs/>
          <w:i/>
          <w:iCs/>
          <w:color w:val="7F7F7F"/>
        </w:rPr>
        <w:t>Diplomatic Privileges and Immunities Act 1967</w:t>
      </w:r>
      <w:r>
        <w:rPr>
          <w:rFonts w:eastAsia="Calibri"/>
          <w:bCs/>
          <w:color w:val="7F7F7F"/>
        </w:rPr>
        <w:t xml:space="preserve"> (Cwlth), and the Vienna Convention on Consular Relations (Consular Convention), which is relevantly implemented under section 5 of the </w:t>
      </w:r>
      <w:r>
        <w:rPr>
          <w:rFonts w:eastAsia="Calibri"/>
          <w:bCs/>
          <w:i/>
          <w:iCs/>
          <w:color w:val="7F7F7F"/>
        </w:rPr>
        <w:t>Consular Privileges and Immunities Act 1972</w:t>
      </w:r>
      <w:r>
        <w:rPr>
          <w:rFonts w:eastAsia="Calibri"/>
          <w:bCs/>
          <w:color w:val="7F7F7F"/>
        </w:rPr>
        <w:t xml:space="preserve"> (Cwlth).</w:t>
      </w:r>
    </w:p>
    <w:p w14:paraId="28B1CC74" w14:textId="77777777" w:rsidR="00126BE8" w:rsidRPr="00EE261C" w:rsidRDefault="00126BE8" w:rsidP="00216B8B">
      <w:pPr>
        <w:pStyle w:val="Quote"/>
        <w:spacing w:before="120" w:after="120"/>
        <w:rPr>
          <w:rFonts w:eastAsia="Calibri"/>
          <w:b/>
          <w:color w:val="7F7F7F"/>
        </w:rPr>
      </w:pPr>
      <w:r w:rsidRPr="00EE261C">
        <w:rPr>
          <w:rFonts w:eastAsia="Calibri"/>
          <w:b/>
          <w:color w:val="7F7F7F"/>
        </w:rPr>
        <w:t>Determination of amounts</w:t>
      </w:r>
    </w:p>
    <w:p w14:paraId="47FD37AF" w14:textId="77777777" w:rsidR="00126BE8" w:rsidRDefault="00126BE8" w:rsidP="00D8583D">
      <w:pPr>
        <w:pStyle w:val="Quote"/>
        <w:rPr>
          <w:rFonts w:eastAsia="Calibri"/>
          <w:bCs/>
          <w:color w:val="7F7F7F"/>
        </w:rPr>
      </w:pPr>
      <w:r w:rsidRPr="00D8583D">
        <w:rPr>
          <w:rFonts w:eastAsia="Calibri"/>
          <w:bCs/>
          <w:color w:val="7F7F7F"/>
        </w:rPr>
        <w:t>Fees are charged for provision and availability of the following specific services:</w:t>
      </w:r>
      <w:r>
        <w:rPr>
          <w:rFonts w:eastAsia="Calibri"/>
          <w:bCs/>
          <w:color w:val="7F7F7F"/>
        </w:rPr>
        <w:t xml:space="preserve"> emergency services, ACT Policing, roads and infrastructure, and waste and recycling.</w:t>
      </w:r>
    </w:p>
    <w:p w14:paraId="584E2198" w14:textId="77777777" w:rsidR="00126BE8" w:rsidRDefault="00126BE8" w:rsidP="00D8583D">
      <w:pPr>
        <w:pStyle w:val="Quote"/>
        <w:rPr>
          <w:rFonts w:eastAsia="Calibri"/>
          <w:bCs/>
          <w:color w:val="7F7F7F"/>
        </w:rPr>
      </w:pPr>
      <w:r>
        <w:rPr>
          <w:rFonts w:eastAsia="Calibri"/>
          <w:bCs/>
          <w:color w:val="7F7F7F"/>
        </w:rPr>
        <w:t xml:space="preserve">The fees for specific services are determined based on the cost of delivery of the services as provided in the ACT Government’s 2021-22 Budget and then indexed by forecast Wage Price Index (WPI) for subsequent years’ annual charges. WPI applied for 2024-25 is 3.5 per cent. It is intended annual charges will be subject to a recalculation after 5 years. </w:t>
      </w:r>
    </w:p>
    <w:p w14:paraId="486BA912" w14:textId="77777777" w:rsidR="00126BE8" w:rsidRPr="00D8583D" w:rsidRDefault="00126BE8" w:rsidP="00D8583D">
      <w:pPr>
        <w:pStyle w:val="Quote"/>
        <w:rPr>
          <w:rFonts w:ascii="Calibri" w:eastAsia="Times New Roman" w:hAnsi="Calibri" w:cs="Calibri"/>
          <w:bCs/>
          <w:szCs w:val="20"/>
          <w:u w:val="single"/>
          <w:lang w:eastAsia="en-AU"/>
        </w:rPr>
      </w:pPr>
      <w:r w:rsidRPr="00D8583D">
        <w:rPr>
          <w:rFonts w:ascii="Calibri" w:eastAsia="Times New Roman" w:hAnsi="Calibri" w:cs="Calibri"/>
          <w:bCs/>
          <w:szCs w:val="20"/>
          <w:u w:val="single"/>
          <w:lang w:eastAsia="en-AU"/>
        </w:rPr>
        <w:t>Waste Management and Resource Recovery (Fees) Determination 2024 (No 1) (DI2024-150)</w:t>
      </w:r>
    </w:p>
    <w:bookmarkEnd w:id="143"/>
    <w:p w14:paraId="6542041C" w14:textId="77777777" w:rsidR="00126BE8" w:rsidRDefault="00126BE8" w:rsidP="00D8583D">
      <w:pPr>
        <w:pStyle w:val="Quote"/>
        <w:rPr>
          <w:rFonts w:ascii="Calibri" w:eastAsia="Calibri" w:hAnsi="Calibri" w:cs="Calibri"/>
          <w:bCs/>
          <w:color w:val="7F7F7F"/>
          <w:szCs w:val="20"/>
          <w:lang w:eastAsia="en-AU"/>
        </w:rPr>
      </w:pPr>
      <w:r>
        <w:rPr>
          <w:rFonts w:eastAsia="Calibri"/>
          <w:bCs/>
          <w:color w:val="7F7F7F"/>
        </w:rPr>
        <w:t xml:space="preserve">This determination provides that registered charities and ACT Government agencies may, through ACT </w:t>
      </w:r>
      <w:proofErr w:type="spellStart"/>
      <w:r>
        <w:rPr>
          <w:rFonts w:eastAsia="Calibri"/>
          <w:bCs/>
          <w:color w:val="7F7F7F"/>
        </w:rPr>
        <w:t>NoWaste</w:t>
      </w:r>
      <w:proofErr w:type="spellEnd"/>
      <w:r>
        <w:rPr>
          <w:rFonts w:eastAsia="Calibri"/>
          <w:bCs/>
          <w:color w:val="7F7F7F"/>
        </w:rPr>
        <w:t>, apply to the Minister to waive a fee listed in schedule 1 or schedule 2.  The Minister may waive the fee (completely or partly).</w:t>
      </w:r>
    </w:p>
    <w:p w14:paraId="30A48794" w14:textId="77777777" w:rsidR="00126BE8" w:rsidRDefault="00126BE8" w:rsidP="00D8583D">
      <w:pPr>
        <w:pStyle w:val="Quote"/>
        <w:rPr>
          <w:rFonts w:eastAsia="Calibri"/>
          <w:bCs/>
          <w:color w:val="7F7F7F"/>
        </w:rPr>
      </w:pPr>
      <w:r>
        <w:rPr>
          <w:rFonts w:eastAsia="Calibri"/>
          <w:bCs/>
          <w:color w:val="7F7F7F"/>
        </w:rPr>
        <w:t>This determination provides that a person, having paid a fee listed in schedule 1 or 2, may be entitled to a refund (completely or partly) which reflects the service provided by the Territory.</w:t>
      </w:r>
    </w:p>
    <w:p w14:paraId="32F217B3" w14:textId="77777777" w:rsidR="00126BE8" w:rsidRDefault="00126BE8" w:rsidP="00D8583D">
      <w:pPr>
        <w:pStyle w:val="Quote"/>
        <w:rPr>
          <w:rFonts w:eastAsia="Calibri"/>
          <w:b/>
          <w:i/>
          <w:iCs/>
          <w:color w:val="7F7F7F"/>
        </w:rPr>
      </w:pPr>
      <w:r>
        <w:rPr>
          <w:rFonts w:eastAsia="Calibri"/>
          <w:b/>
          <w:i/>
          <w:iCs/>
          <w:color w:val="7F7F7F"/>
        </w:rPr>
        <w:t>New Fee</w:t>
      </w:r>
    </w:p>
    <w:p w14:paraId="0C840D31" w14:textId="77777777" w:rsidR="00126BE8" w:rsidRDefault="00126BE8" w:rsidP="00D8583D">
      <w:pPr>
        <w:pStyle w:val="Quote"/>
        <w:rPr>
          <w:rFonts w:eastAsia="Calibri"/>
          <w:bCs/>
          <w:color w:val="7F7F7F"/>
        </w:rPr>
      </w:pPr>
      <w:r>
        <w:rPr>
          <w:rFonts w:eastAsia="Calibri"/>
          <w:bCs/>
          <w:color w:val="7F7F7F"/>
        </w:rPr>
        <w:t xml:space="preserve">A new fee ‘Clean Up Australia’ has been added to the instrument which will enable community groups that register under the Clean Up Australia website to receive free waste drop off at the Mitchell and Mugga transfer stations. The service will be provided for free when a voucher is produced at the time of drop off which will be issued by the ACT Government to registered participants of Clean Up Australia. </w:t>
      </w:r>
    </w:p>
    <w:p w14:paraId="3624FBE9" w14:textId="77777777" w:rsidR="00D8583D" w:rsidRDefault="00126BE8" w:rsidP="00D8583D">
      <w:pPr>
        <w:pStyle w:val="Quote"/>
        <w:rPr>
          <w:rFonts w:eastAsia="Calibri"/>
          <w:b/>
          <w:i/>
          <w:iCs/>
          <w:color w:val="7F7F7F"/>
        </w:rPr>
      </w:pPr>
      <w:r>
        <w:rPr>
          <w:rFonts w:eastAsia="Calibri"/>
          <w:b/>
          <w:i/>
          <w:iCs/>
          <w:color w:val="7F7F7F"/>
        </w:rPr>
        <w:t>Indexed Fees</w:t>
      </w:r>
    </w:p>
    <w:p w14:paraId="6D76FE6A" w14:textId="24E9BDD9" w:rsidR="00126BE8" w:rsidRPr="00D8583D" w:rsidRDefault="00126BE8" w:rsidP="00D8583D">
      <w:pPr>
        <w:pStyle w:val="Quote"/>
        <w:rPr>
          <w:rFonts w:eastAsia="Calibri"/>
          <w:b/>
          <w:i/>
          <w:iCs/>
          <w:color w:val="7F7F7F"/>
        </w:rPr>
      </w:pPr>
      <w:r>
        <w:rPr>
          <w:rFonts w:eastAsia="Calibri"/>
          <w:bCs/>
          <w:color w:val="7F7F7F"/>
        </w:rPr>
        <w:t xml:space="preserve">Fees under part 5 of schedule 1 ‘Fees in the event of weighbridge failure’ have been aligned with the household waste fees, items 1.3, 1.4 and 1.5 for small, </w:t>
      </w:r>
      <w:proofErr w:type="gramStart"/>
      <w:r>
        <w:rPr>
          <w:rFonts w:eastAsia="Calibri"/>
          <w:bCs/>
          <w:color w:val="7F7F7F"/>
        </w:rPr>
        <w:t>medium</w:t>
      </w:r>
      <w:proofErr w:type="gramEnd"/>
      <w:r>
        <w:rPr>
          <w:rFonts w:eastAsia="Calibri"/>
          <w:bCs/>
          <w:color w:val="7F7F7F"/>
        </w:rPr>
        <w:t xml:space="preserve"> and large vehicles, to ensure customers are not paying higher fees should a weighbridge fail. </w:t>
      </w:r>
    </w:p>
    <w:p w14:paraId="090B1156" w14:textId="77777777" w:rsidR="00126BE8" w:rsidRDefault="00126BE8" w:rsidP="00D8583D">
      <w:pPr>
        <w:pStyle w:val="Quote"/>
        <w:rPr>
          <w:rFonts w:eastAsia="Calibri"/>
          <w:bCs/>
          <w:color w:val="7F7F7F"/>
        </w:rPr>
      </w:pPr>
      <w:r>
        <w:rPr>
          <w:rFonts w:eastAsia="Calibri"/>
          <w:bCs/>
          <w:color w:val="7F7F7F"/>
        </w:rPr>
        <w:lastRenderedPageBreak/>
        <w:t xml:space="preserve">This determination increases all other fees contained in DI2023-308 by a Wage Price index (WPI) of 3.85% as per advice from ACT Treasury, rounded for cash handling and other purposes. </w:t>
      </w:r>
    </w:p>
    <w:p w14:paraId="08A4C838" w14:textId="77777777" w:rsidR="00126BE8" w:rsidRPr="00D8583D" w:rsidRDefault="00126BE8" w:rsidP="00D8583D">
      <w:pPr>
        <w:pStyle w:val="Quote"/>
        <w:rPr>
          <w:rFonts w:ascii="Calibri" w:eastAsia="Times New Roman" w:hAnsi="Calibri" w:cs="Calibri"/>
          <w:bCs/>
          <w:szCs w:val="20"/>
          <w:u w:val="single"/>
          <w:lang w:eastAsia="en-AU"/>
        </w:rPr>
      </w:pPr>
      <w:r w:rsidRPr="00D8583D">
        <w:rPr>
          <w:rFonts w:ascii="Calibri" w:eastAsia="Times New Roman" w:hAnsi="Calibri" w:cs="Calibri"/>
          <w:bCs/>
          <w:szCs w:val="20"/>
          <w:u w:val="single"/>
          <w:lang w:eastAsia="en-AU"/>
        </w:rPr>
        <w:t>Rates, Land Tax, Land Rent and Duties (Certificate and Statement Fees) Determination 2024</w:t>
      </w:r>
      <w:r w:rsidRPr="00D8583D">
        <w:t xml:space="preserve"> (</w:t>
      </w:r>
      <w:r w:rsidRPr="00D8583D">
        <w:rPr>
          <w:rFonts w:ascii="Calibri" w:eastAsia="Times New Roman" w:hAnsi="Calibri" w:cs="Calibri"/>
          <w:bCs/>
          <w:szCs w:val="20"/>
          <w:u w:val="single"/>
          <w:lang w:eastAsia="en-AU"/>
        </w:rPr>
        <w:t>DI2024-183)</w:t>
      </w:r>
    </w:p>
    <w:p w14:paraId="34A1B3C2" w14:textId="3BD54A55" w:rsidR="00126BE8" w:rsidRDefault="00126BE8" w:rsidP="00D8583D">
      <w:pPr>
        <w:pStyle w:val="Quote"/>
        <w:rPr>
          <w:rFonts w:ascii="Calibri" w:eastAsia="Calibri" w:hAnsi="Calibri" w:cs="Calibri"/>
          <w:bCs/>
          <w:color w:val="7F7F7F"/>
          <w:szCs w:val="20"/>
          <w:lang w:eastAsia="en-AU"/>
        </w:rPr>
      </w:pPr>
      <w:r>
        <w:rPr>
          <w:rFonts w:eastAsia="Calibri"/>
          <w:bCs/>
          <w:color w:val="7F7F7F"/>
        </w:rPr>
        <w:t>This instrument determines the fee payable to the Commissioner to apply for a</w:t>
      </w:r>
      <w:r w:rsidR="00E24228">
        <w:rPr>
          <w:rFonts w:eastAsia="Calibri"/>
          <w:bCs/>
          <w:color w:val="7F7F7F"/>
        </w:rPr>
        <w:t> </w:t>
      </w:r>
      <w:r>
        <w:rPr>
          <w:rFonts w:eastAsia="Calibri"/>
          <w:bCs/>
          <w:color w:val="7F7F7F"/>
        </w:rPr>
        <w:t xml:space="preserve">Certificate (incorporating a statement of amounts payable and payments made) under the above-mentioned provisions. The fee is only payable once per property as a single application for a Certificate may be made under </w:t>
      </w:r>
      <w:proofErr w:type="gramStart"/>
      <w:r>
        <w:rPr>
          <w:rFonts w:eastAsia="Calibri"/>
          <w:bCs/>
          <w:color w:val="7F7F7F"/>
        </w:rPr>
        <w:t>all of</w:t>
      </w:r>
      <w:proofErr w:type="gramEnd"/>
      <w:r>
        <w:rPr>
          <w:rFonts w:eastAsia="Calibri"/>
          <w:bCs/>
          <w:color w:val="7F7F7F"/>
        </w:rPr>
        <w:t xml:space="preserve"> the relevant provisions. </w:t>
      </w:r>
    </w:p>
    <w:p w14:paraId="3A79E1C8" w14:textId="77777777" w:rsidR="00126BE8" w:rsidRDefault="00126BE8" w:rsidP="00D8583D">
      <w:pPr>
        <w:pStyle w:val="Quote"/>
        <w:rPr>
          <w:rFonts w:eastAsia="Calibri"/>
          <w:bCs/>
          <w:color w:val="7F7F7F"/>
        </w:rPr>
      </w:pPr>
      <w:r>
        <w:rPr>
          <w:rFonts w:eastAsia="Calibri"/>
          <w:bCs/>
          <w:color w:val="7F7F7F"/>
        </w:rPr>
        <w:t xml:space="preserve">For 2024-25, regulatory fees and charges are indexed for a Wage Price Index of 3.5 per cent plus an additional indexation of 0.35 per cent. Accordingly, for 2024-25, the fee has been increased from $133 to $138 (rounded to the nearest dollar). </w:t>
      </w:r>
    </w:p>
    <w:p w14:paraId="70D79A5B" w14:textId="77777777" w:rsidR="00126BE8" w:rsidRDefault="00126BE8" w:rsidP="00D8583D">
      <w:pPr>
        <w:pStyle w:val="Quote"/>
        <w:rPr>
          <w:rFonts w:eastAsia="Calibri"/>
          <w:bCs/>
          <w:color w:val="7F7F7F"/>
        </w:rPr>
      </w:pPr>
      <w:r>
        <w:rPr>
          <w:rFonts w:eastAsia="Calibri"/>
          <w:bCs/>
          <w:color w:val="7F7F7F"/>
        </w:rPr>
        <w:t>The fee amount reflects the fact that the Certificate provides information on all ACT Revenue Office charges concerning a parcel of land, including outstanding rates, land tax, land rent and any deferred amounts.</w:t>
      </w:r>
    </w:p>
    <w:p w14:paraId="1A499A0F" w14:textId="77777777" w:rsidR="00126BE8" w:rsidRPr="00D8583D" w:rsidRDefault="00126BE8" w:rsidP="00216B8B">
      <w:pPr>
        <w:pStyle w:val="Quote"/>
        <w:spacing w:before="120" w:after="120"/>
        <w:rPr>
          <w:rFonts w:ascii="Calibri" w:eastAsia="Times New Roman" w:hAnsi="Calibri" w:cs="Calibri"/>
          <w:bCs/>
          <w:szCs w:val="20"/>
          <w:u w:val="single"/>
          <w:lang w:eastAsia="en-AU"/>
        </w:rPr>
      </w:pPr>
      <w:r w:rsidRPr="00D8583D">
        <w:rPr>
          <w:rFonts w:ascii="Calibri" w:eastAsia="Times New Roman" w:hAnsi="Calibri" w:cs="Calibri"/>
          <w:bCs/>
          <w:szCs w:val="20"/>
          <w:u w:val="single"/>
          <w:lang w:eastAsia="en-AU"/>
        </w:rPr>
        <w:t>Juries (Payment) Determination 2024 (DI2024-187)</w:t>
      </w:r>
    </w:p>
    <w:p w14:paraId="14A7F4D0" w14:textId="77777777" w:rsidR="00126BE8" w:rsidRDefault="00126BE8" w:rsidP="00216B8B">
      <w:pPr>
        <w:pStyle w:val="Quote"/>
        <w:spacing w:before="120" w:after="120"/>
        <w:rPr>
          <w:rFonts w:ascii="Calibri" w:eastAsia="Calibri" w:hAnsi="Calibri" w:cs="Calibri"/>
          <w:bCs/>
          <w:color w:val="7F7F7F"/>
          <w:szCs w:val="20"/>
          <w:lang w:eastAsia="en-AU"/>
        </w:rPr>
      </w:pPr>
      <w:r>
        <w:rPr>
          <w:rFonts w:eastAsia="Calibri"/>
          <w:bCs/>
          <w:color w:val="7F7F7F"/>
        </w:rPr>
        <w:t xml:space="preserve">Under section 49 of the </w:t>
      </w:r>
      <w:r>
        <w:rPr>
          <w:rFonts w:eastAsia="Calibri"/>
          <w:bCs/>
          <w:i/>
          <w:iCs/>
          <w:color w:val="7F7F7F"/>
        </w:rPr>
        <w:t>Juries Act 1967</w:t>
      </w:r>
      <w:r>
        <w:rPr>
          <w:rFonts w:eastAsia="Calibri"/>
          <w:bCs/>
          <w:color w:val="7F7F7F"/>
        </w:rPr>
        <w:t xml:space="preserve"> the sheriff may order that each juror be paid the amount determined by the Minister for a meal. The allowance is only payable if the Sheriff orders that each juror be paid the allowance rather than being given refreshments. This meal allowance is listed in Schedule 1 of the instrument. No changes have been made to the payment amount.</w:t>
      </w:r>
    </w:p>
    <w:p w14:paraId="0A678E5B" w14:textId="77777777" w:rsidR="00126BE8" w:rsidRDefault="00126BE8" w:rsidP="00216B8B">
      <w:pPr>
        <w:pStyle w:val="Quote"/>
        <w:spacing w:before="120" w:after="120"/>
        <w:rPr>
          <w:rFonts w:eastAsia="Calibri"/>
          <w:bCs/>
          <w:color w:val="7F7F7F"/>
        </w:rPr>
      </w:pPr>
      <w:r>
        <w:rPr>
          <w:rFonts w:eastAsia="Calibri"/>
          <w:bCs/>
          <w:color w:val="7F7F7F"/>
        </w:rPr>
        <w:t xml:space="preserve">Under section 51 of the </w:t>
      </w:r>
      <w:r>
        <w:rPr>
          <w:rFonts w:eastAsia="Calibri"/>
          <w:bCs/>
          <w:i/>
          <w:iCs/>
          <w:color w:val="7F7F7F"/>
        </w:rPr>
        <w:t>Juries Act 1967</w:t>
      </w:r>
      <w:r>
        <w:rPr>
          <w:rFonts w:eastAsia="Calibri"/>
          <w:bCs/>
          <w:color w:val="7F7F7F"/>
        </w:rPr>
        <w:t xml:space="preserve">, a person summoned or appointed to serve as a juror is entitled to be paid the amount determined by the Minister for the person’s attendance at the court in accordance with the summons or appointment, </w:t>
      </w:r>
      <w:proofErr w:type="gramStart"/>
      <w:r>
        <w:rPr>
          <w:rFonts w:eastAsia="Calibri"/>
          <w:bCs/>
          <w:color w:val="7F7F7F"/>
        </w:rPr>
        <w:t>whether or not</w:t>
      </w:r>
      <w:proofErr w:type="gramEnd"/>
      <w:r>
        <w:rPr>
          <w:rFonts w:eastAsia="Calibri"/>
          <w:bCs/>
          <w:color w:val="7F7F7F"/>
        </w:rPr>
        <w:t xml:space="preserve"> the person serves as a juror. Schedule 2 of the instrument lists the amounts that a juror is to be paid under section 51.</w:t>
      </w:r>
    </w:p>
    <w:p w14:paraId="41CCF4C7" w14:textId="77777777" w:rsidR="00126BE8" w:rsidRDefault="00126BE8" w:rsidP="00216B8B">
      <w:pPr>
        <w:pStyle w:val="Quote"/>
        <w:spacing w:before="120" w:after="120"/>
        <w:rPr>
          <w:rFonts w:eastAsia="Calibri"/>
          <w:bCs/>
          <w:color w:val="7F7F7F"/>
        </w:rPr>
      </w:pPr>
      <w:r>
        <w:rPr>
          <w:rFonts w:eastAsia="Calibri"/>
          <w:bCs/>
          <w:color w:val="7F7F7F"/>
        </w:rPr>
        <w:t>Payments have been increased in Schedule 2 in accordance with the Consumer Price Index (CPI) of 3% for 2024-25. Amounts are generally rounded to the nearest ten cents.</w:t>
      </w:r>
    </w:p>
    <w:p w14:paraId="6ED74737" w14:textId="77777777" w:rsidR="00126BE8" w:rsidRDefault="00126BE8" w:rsidP="00216B8B">
      <w:pPr>
        <w:pStyle w:val="Quote"/>
        <w:spacing w:before="120" w:after="120"/>
        <w:rPr>
          <w:rFonts w:eastAsia="Calibri"/>
          <w:bCs/>
          <w:i/>
          <w:iCs/>
          <w:color w:val="7F7F7F"/>
        </w:rPr>
      </w:pPr>
      <w:r>
        <w:rPr>
          <w:rFonts w:eastAsia="Calibri"/>
          <w:bCs/>
          <w:i/>
          <w:iCs/>
          <w:color w:val="7F7F7F"/>
        </w:rPr>
        <w:t>General Explanatory Note: Payments have been increased as advised by ACT Treasury: Update on Indexation Rates, Consumer Price Index (CPI) of 3% for 2024-25. Payments are generally rounded to the nearest ten cents.</w:t>
      </w:r>
    </w:p>
    <w:p w14:paraId="53D3E96A" w14:textId="77777777" w:rsidR="00126BE8" w:rsidRPr="00D8583D" w:rsidRDefault="00126BE8" w:rsidP="00D8583D">
      <w:pPr>
        <w:pStyle w:val="Quote"/>
        <w:rPr>
          <w:rFonts w:ascii="Calibri" w:eastAsia="Times New Roman" w:hAnsi="Calibri" w:cs="Calibri"/>
          <w:bCs/>
          <w:szCs w:val="20"/>
          <w:u w:val="single"/>
          <w:lang w:eastAsia="en-AU"/>
        </w:rPr>
      </w:pPr>
      <w:r w:rsidRPr="00D8583D">
        <w:rPr>
          <w:rFonts w:ascii="Calibri" w:eastAsia="Times New Roman" w:hAnsi="Calibri" w:cs="Calibri"/>
          <w:bCs/>
          <w:szCs w:val="20"/>
          <w:u w:val="single"/>
          <w:lang w:eastAsia="en-AU"/>
        </w:rPr>
        <w:t>Health (Fees) Determination 2024 (No 1) (DI2024-188)</w:t>
      </w:r>
    </w:p>
    <w:p w14:paraId="03AE58A9" w14:textId="77777777" w:rsidR="00126BE8" w:rsidRDefault="00126BE8" w:rsidP="00216B8B">
      <w:pPr>
        <w:pStyle w:val="Quote"/>
        <w:spacing w:before="120" w:after="120"/>
        <w:rPr>
          <w:rFonts w:ascii="Calibri" w:eastAsia="Calibri" w:hAnsi="Calibri" w:cs="Calibri"/>
          <w:bCs/>
          <w:color w:val="7F7F7F"/>
          <w:szCs w:val="20"/>
          <w:lang w:eastAsia="en-AU"/>
        </w:rPr>
      </w:pPr>
      <w:r>
        <w:rPr>
          <w:rFonts w:eastAsia="Calibri"/>
          <w:bCs/>
          <w:color w:val="7F7F7F"/>
        </w:rPr>
        <w:t>The Determination comes into effect on 1 July 2024 and reproduces Determination DI2023-150 except for:</w:t>
      </w:r>
    </w:p>
    <w:p w14:paraId="528BF401" w14:textId="77777777" w:rsidR="00126BE8" w:rsidRDefault="00126BE8" w:rsidP="00216B8B">
      <w:pPr>
        <w:pStyle w:val="Quote"/>
        <w:spacing w:before="120" w:after="120"/>
        <w:ind w:left="1494" w:hanging="360"/>
        <w:rPr>
          <w:rFonts w:eastAsia="Calibri"/>
          <w:bCs/>
          <w:color w:val="7F7F7F"/>
        </w:rPr>
      </w:pPr>
      <w:r>
        <w:rPr>
          <w:rFonts w:eastAsia="Calibri"/>
          <w:bCs/>
          <w:color w:val="7F7F7F"/>
        </w:rPr>
        <w:t>•</w:t>
      </w:r>
      <w:r>
        <w:rPr>
          <w:rFonts w:eastAsia="Calibri"/>
          <w:bCs/>
          <w:color w:val="7F7F7F"/>
        </w:rPr>
        <w:tab/>
        <w:t>items on Attachment A, which have increased by the Wage Price Index of 3.5% (subject to rounding</w:t>
      </w:r>
      <w:proofErr w:type="gramStart"/>
      <w:r>
        <w:rPr>
          <w:rFonts w:eastAsia="Calibri"/>
          <w:bCs/>
          <w:color w:val="7F7F7F"/>
        </w:rPr>
        <w:t>);</w:t>
      </w:r>
      <w:proofErr w:type="gramEnd"/>
    </w:p>
    <w:p w14:paraId="5E1CB56F" w14:textId="77777777" w:rsidR="00126BE8" w:rsidRDefault="00126BE8" w:rsidP="00216B8B">
      <w:pPr>
        <w:pStyle w:val="Quote"/>
        <w:spacing w:before="120" w:after="120"/>
        <w:ind w:left="1494" w:hanging="360"/>
        <w:rPr>
          <w:rFonts w:eastAsia="Calibri"/>
          <w:bCs/>
          <w:color w:val="7F7F7F"/>
        </w:rPr>
      </w:pPr>
      <w:r>
        <w:rPr>
          <w:rFonts w:eastAsia="Calibri"/>
          <w:bCs/>
          <w:color w:val="7F7F7F"/>
        </w:rPr>
        <w:t>•</w:t>
      </w:r>
      <w:r>
        <w:rPr>
          <w:rFonts w:eastAsia="Calibri"/>
          <w:bCs/>
          <w:color w:val="7F7F7F"/>
        </w:rPr>
        <w:tab/>
        <w:t xml:space="preserve">items on Attachment B, which have increased by indexation rates as advised by the </w:t>
      </w:r>
      <w:proofErr w:type="gramStart"/>
      <w:r>
        <w:rPr>
          <w:rFonts w:eastAsia="Calibri"/>
          <w:bCs/>
          <w:color w:val="7F7F7F"/>
        </w:rPr>
        <w:t>Commonwealth;</w:t>
      </w:r>
      <w:proofErr w:type="gramEnd"/>
    </w:p>
    <w:p w14:paraId="0E6952D2" w14:textId="77777777" w:rsidR="00126BE8" w:rsidRDefault="00126BE8" w:rsidP="00216B8B">
      <w:pPr>
        <w:pStyle w:val="Quote"/>
        <w:spacing w:before="120" w:after="120"/>
        <w:ind w:left="1494" w:hanging="360"/>
        <w:rPr>
          <w:rFonts w:eastAsia="Calibri"/>
          <w:bCs/>
          <w:color w:val="7F7F7F"/>
        </w:rPr>
      </w:pPr>
      <w:r>
        <w:rPr>
          <w:rFonts w:eastAsia="Calibri"/>
          <w:bCs/>
          <w:color w:val="7F7F7F"/>
        </w:rPr>
        <w:lastRenderedPageBreak/>
        <w:t>•</w:t>
      </w:r>
      <w:r>
        <w:rPr>
          <w:rFonts w:eastAsia="Calibri"/>
          <w:bCs/>
          <w:color w:val="7F7F7F"/>
        </w:rPr>
        <w:tab/>
        <w:t xml:space="preserve">items on Attachment C, which have increased or decreased by other factors, such as a review of cost of delivery or alignment with market </w:t>
      </w:r>
      <w:proofErr w:type="gramStart"/>
      <w:r>
        <w:rPr>
          <w:rFonts w:eastAsia="Calibri"/>
          <w:bCs/>
          <w:color w:val="7F7F7F"/>
        </w:rPr>
        <w:t>rates;</w:t>
      </w:r>
      <w:proofErr w:type="gramEnd"/>
    </w:p>
    <w:p w14:paraId="799B008D" w14:textId="77777777" w:rsidR="00126BE8" w:rsidRDefault="00126BE8" w:rsidP="00216B8B">
      <w:pPr>
        <w:pStyle w:val="Quote"/>
        <w:spacing w:before="120" w:after="120"/>
        <w:ind w:left="1494" w:hanging="360"/>
        <w:rPr>
          <w:rFonts w:eastAsia="Calibri"/>
          <w:bCs/>
          <w:color w:val="7F7F7F"/>
        </w:rPr>
      </w:pPr>
      <w:r>
        <w:rPr>
          <w:rFonts w:eastAsia="Calibri"/>
          <w:bCs/>
          <w:color w:val="7F7F7F"/>
        </w:rPr>
        <w:t>•</w:t>
      </w:r>
      <w:r>
        <w:rPr>
          <w:rFonts w:eastAsia="Calibri"/>
          <w:bCs/>
          <w:color w:val="7F7F7F"/>
        </w:rPr>
        <w:tab/>
        <w:t xml:space="preserve">items on Attachment D, which have been removed or added to the fee </w:t>
      </w:r>
      <w:proofErr w:type="gramStart"/>
      <w:r>
        <w:rPr>
          <w:rFonts w:eastAsia="Calibri"/>
          <w:bCs/>
          <w:color w:val="7F7F7F"/>
        </w:rPr>
        <w:t>determination;</w:t>
      </w:r>
      <w:proofErr w:type="gramEnd"/>
    </w:p>
    <w:p w14:paraId="4A711F40" w14:textId="77777777" w:rsidR="00126BE8" w:rsidRDefault="00126BE8" w:rsidP="00216B8B">
      <w:pPr>
        <w:pStyle w:val="Quote"/>
        <w:spacing w:before="120" w:after="120"/>
        <w:ind w:left="1494" w:hanging="360"/>
        <w:rPr>
          <w:rFonts w:eastAsia="Calibri"/>
          <w:bCs/>
          <w:color w:val="7F7F7F"/>
        </w:rPr>
      </w:pPr>
      <w:r w:rsidRPr="006F5FA3">
        <w:rPr>
          <w:rFonts w:eastAsia="Calibri"/>
          <w:bCs/>
          <w:color w:val="7F7F7F"/>
        </w:rPr>
        <w:t>•</w:t>
      </w:r>
      <w:r w:rsidRPr="006F5FA3">
        <w:rPr>
          <w:rFonts w:eastAsia="Calibri"/>
          <w:bCs/>
          <w:color w:val="7F7F7F"/>
        </w:rPr>
        <w:tab/>
        <w:t>the inclusion of a new exemption at (14) Investigation, Treatment and Medication</w:t>
      </w:r>
      <w:r>
        <w:rPr>
          <w:rFonts w:eastAsia="Calibri"/>
          <w:bCs/>
          <w:color w:val="7F7F7F"/>
        </w:rPr>
        <w:t xml:space="preserve"> for Eligible </w:t>
      </w:r>
      <w:proofErr w:type="spellStart"/>
      <w:r>
        <w:rPr>
          <w:rFonts w:eastAsia="Calibri"/>
          <w:bCs/>
          <w:color w:val="7F7F7F"/>
        </w:rPr>
        <w:t>Myobacterium</w:t>
      </w:r>
      <w:proofErr w:type="spellEnd"/>
      <w:r>
        <w:rPr>
          <w:rFonts w:eastAsia="Calibri"/>
          <w:bCs/>
          <w:color w:val="7F7F7F"/>
        </w:rPr>
        <w:t xml:space="preserve"> Leprosy </w:t>
      </w:r>
      <w:proofErr w:type="gramStart"/>
      <w:r>
        <w:rPr>
          <w:rFonts w:eastAsia="Calibri"/>
          <w:bCs/>
          <w:color w:val="7F7F7F"/>
        </w:rPr>
        <w:t>Patients;</w:t>
      </w:r>
      <w:proofErr w:type="gramEnd"/>
    </w:p>
    <w:p w14:paraId="70C8C82B" w14:textId="77777777" w:rsidR="00126BE8" w:rsidRDefault="00126BE8" w:rsidP="00216B8B">
      <w:pPr>
        <w:pStyle w:val="Quote"/>
        <w:spacing w:before="120" w:after="120"/>
        <w:ind w:left="1494" w:hanging="360"/>
        <w:rPr>
          <w:rFonts w:eastAsia="Calibri"/>
          <w:bCs/>
          <w:color w:val="7F7F7F"/>
        </w:rPr>
      </w:pPr>
      <w:r>
        <w:rPr>
          <w:rFonts w:eastAsia="Calibri"/>
          <w:bCs/>
          <w:color w:val="7F7F7F"/>
        </w:rPr>
        <w:t>•</w:t>
      </w:r>
      <w:r>
        <w:rPr>
          <w:rFonts w:eastAsia="Calibri"/>
          <w:bCs/>
          <w:color w:val="7F7F7F"/>
        </w:rPr>
        <w:tab/>
        <w:t xml:space="preserve">minor wording, </w:t>
      </w:r>
      <w:proofErr w:type="gramStart"/>
      <w:r>
        <w:rPr>
          <w:rFonts w:eastAsia="Calibri"/>
          <w:bCs/>
          <w:color w:val="7F7F7F"/>
        </w:rPr>
        <w:t>numbering</w:t>
      </w:r>
      <w:proofErr w:type="gramEnd"/>
      <w:r>
        <w:rPr>
          <w:rFonts w:eastAsia="Calibri"/>
          <w:bCs/>
          <w:color w:val="7F7F7F"/>
        </w:rPr>
        <w:t xml:space="preserve"> and lettering changes; and</w:t>
      </w:r>
    </w:p>
    <w:p w14:paraId="61B4055E" w14:textId="77777777" w:rsidR="00126BE8" w:rsidRDefault="00126BE8" w:rsidP="00216B8B">
      <w:pPr>
        <w:pStyle w:val="Quote"/>
        <w:spacing w:before="120" w:after="120"/>
        <w:ind w:left="1494" w:hanging="360"/>
        <w:rPr>
          <w:rFonts w:eastAsia="Calibri"/>
          <w:bCs/>
          <w:color w:val="7F7F7F"/>
        </w:rPr>
      </w:pPr>
      <w:r>
        <w:rPr>
          <w:rFonts w:eastAsia="Calibri"/>
          <w:bCs/>
          <w:color w:val="7F7F7F"/>
        </w:rPr>
        <w:t>•</w:t>
      </w:r>
      <w:r>
        <w:rPr>
          <w:rFonts w:eastAsia="Calibri"/>
          <w:bCs/>
          <w:color w:val="7F7F7F"/>
        </w:rPr>
        <w:tab/>
        <w:t>the date of effect.</w:t>
      </w:r>
    </w:p>
    <w:p w14:paraId="523EC8C7" w14:textId="77777777" w:rsidR="00126BE8" w:rsidRPr="00D8583D" w:rsidRDefault="00126BE8" w:rsidP="00D8583D">
      <w:pPr>
        <w:pStyle w:val="Quote"/>
        <w:rPr>
          <w:rFonts w:ascii="Calibri" w:eastAsia="Times New Roman" w:hAnsi="Calibri" w:cs="Calibri"/>
          <w:bCs/>
          <w:szCs w:val="20"/>
          <w:u w:val="single"/>
          <w:lang w:eastAsia="en-AU"/>
        </w:rPr>
      </w:pPr>
      <w:r w:rsidRPr="00D8583D">
        <w:rPr>
          <w:rFonts w:ascii="Calibri" w:eastAsia="Times New Roman" w:hAnsi="Calibri" w:cs="Calibri"/>
          <w:bCs/>
          <w:szCs w:val="20"/>
          <w:u w:val="single"/>
          <w:lang w:eastAsia="en-AU"/>
        </w:rPr>
        <w:t xml:space="preserve">Victims of Crime (Fees) Determination </w:t>
      </w:r>
      <w:proofErr w:type="gramStart"/>
      <w:r w:rsidRPr="00D8583D">
        <w:rPr>
          <w:rFonts w:ascii="Calibri" w:eastAsia="Times New Roman" w:hAnsi="Calibri" w:cs="Calibri"/>
          <w:bCs/>
          <w:szCs w:val="20"/>
          <w:u w:val="single"/>
          <w:lang w:eastAsia="en-AU"/>
        </w:rPr>
        <w:t>2024  (</w:t>
      </w:r>
      <w:proofErr w:type="gramEnd"/>
      <w:r w:rsidRPr="00D8583D">
        <w:rPr>
          <w:rFonts w:ascii="Calibri" w:eastAsia="Times New Roman" w:hAnsi="Calibri" w:cs="Calibri"/>
          <w:bCs/>
          <w:szCs w:val="20"/>
          <w:u w:val="single"/>
          <w:lang w:eastAsia="en-AU"/>
        </w:rPr>
        <w:t>DI2024-198)</w:t>
      </w:r>
    </w:p>
    <w:p w14:paraId="4DA96E22" w14:textId="77777777" w:rsidR="00126BE8" w:rsidRDefault="00126BE8" w:rsidP="00D8583D">
      <w:pPr>
        <w:pStyle w:val="Quote"/>
        <w:rPr>
          <w:rFonts w:ascii="Calibri" w:eastAsia="Calibri" w:hAnsi="Calibri" w:cs="Calibri"/>
          <w:bCs/>
          <w:color w:val="7F7F7F"/>
          <w:szCs w:val="20"/>
          <w:lang w:eastAsia="en-AU"/>
        </w:rPr>
      </w:pPr>
      <w:r>
        <w:rPr>
          <w:rFonts w:eastAsia="Calibri"/>
          <w:bCs/>
          <w:color w:val="7F7F7F"/>
        </w:rPr>
        <w:t xml:space="preserve">Under section 50 of the </w:t>
      </w:r>
      <w:r>
        <w:rPr>
          <w:rFonts w:eastAsia="Calibri"/>
          <w:bCs/>
          <w:i/>
          <w:iCs/>
          <w:color w:val="7F7F7F"/>
        </w:rPr>
        <w:t>Victims of Crime Regulation 2000</w:t>
      </w:r>
      <w:r>
        <w:rPr>
          <w:rFonts w:eastAsia="Calibri"/>
          <w:bCs/>
          <w:color w:val="7F7F7F"/>
        </w:rPr>
        <w:t>, the Minister may, in writing, determine fees that are payable for services provided to an eligible victim under the regulation by a service provider.</w:t>
      </w:r>
    </w:p>
    <w:p w14:paraId="77F2E125" w14:textId="77777777" w:rsidR="00126BE8" w:rsidRDefault="00126BE8" w:rsidP="00D8583D">
      <w:pPr>
        <w:pStyle w:val="Quote"/>
        <w:rPr>
          <w:rFonts w:eastAsia="Calibri"/>
          <w:bCs/>
          <w:color w:val="7F7F7F"/>
        </w:rPr>
      </w:pPr>
      <w:r>
        <w:rPr>
          <w:rFonts w:eastAsia="Calibri"/>
          <w:bCs/>
          <w:color w:val="7F7F7F"/>
        </w:rPr>
        <w:t>Schedule 1 of the instrument lists the amounts that service providers are to be paid, in accordance with their professional qualifications and the nature of the service provided. The payments which will apply from the date of commencement are listed in column 4. The payments which applied previously are listed in italics in column 3.</w:t>
      </w:r>
    </w:p>
    <w:p w14:paraId="3BB43DA1" w14:textId="77777777" w:rsidR="00126BE8" w:rsidRDefault="00126BE8" w:rsidP="00D8583D">
      <w:pPr>
        <w:pStyle w:val="Quote"/>
        <w:rPr>
          <w:rFonts w:eastAsia="Calibri"/>
          <w:bCs/>
          <w:color w:val="7F7F7F"/>
        </w:rPr>
      </w:pPr>
      <w:r>
        <w:rPr>
          <w:rFonts w:eastAsia="Calibri"/>
          <w:bCs/>
          <w:color w:val="7F7F7F"/>
        </w:rPr>
        <w:t xml:space="preserve">The fee increases for counselling, massage therapy, educational assessments and tutoring reflect the ACT Treasury forecast of a CPI increase of 3% for 2024-25. Fees payable for these services have been increased based on this forecast CPI rate and rounded to the nearest dollar. Fees payable to social workers and psychologists have been increased to $200.00.  </w:t>
      </w:r>
    </w:p>
    <w:p w14:paraId="0CAD26A1" w14:textId="77777777" w:rsidR="00126BE8" w:rsidRPr="006F5FA3" w:rsidRDefault="00126BE8" w:rsidP="00D8583D">
      <w:pPr>
        <w:pStyle w:val="Quote"/>
        <w:rPr>
          <w:rFonts w:ascii="Calibri" w:eastAsia="Times New Roman" w:hAnsi="Calibri" w:cs="Calibri"/>
          <w:bCs/>
          <w:szCs w:val="20"/>
          <w:u w:val="single"/>
          <w:lang w:eastAsia="en-AU"/>
        </w:rPr>
      </w:pPr>
      <w:bookmarkStart w:id="144" w:name="_Hlk175471593"/>
      <w:r w:rsidRPr="006F5FA3">
        <w:rPr>
          <w:rFonts w:ascii="Calibri" w:eastAsia="Times New Roman" w:hAnsi="Calibri" w:cs="Calibri"/>
          <w:bCs/>
          <w:szCs w:val="20"/>
          <w:u w:val="single"/>
          <w:lang w:eastAsia="en-AU"/>
        </w:rPr>
        <w:t>Road Transport (Public Passenger Services) Maximum Fares for Taxi Services Determination 2024 (No 1) (DI2024-199)</w:t>
      </w:r>
    </w:p>
    <w:bookmarkEnd w:id="144"/>
    <w:p w14:paraId="69AF997F" w14:textId="77777777" w:rsidR="00126BE8" w:rsidRDefault="00126BE8" w:rsidP="006F5FA3">
      <w:pPr>
        <w:pStyle w:val="Quote"/>
        <w:rPr>
          <w:rFonts w:ascii="Calibri" w:eastAsia="Calibri" w:hAnsi="Calibri" w:cs="Calibri"/>
          <w:bCs/>
          <w:color w:val="7F7F7F"/>
          <w:szCs w:val="20"/>
          <w:lang w:eastAsia="en-AU"/>
        </w:rPr>
      </w:pPr>
      <w:r>
        <w:rPr>
          <w:rFonts w:eastAsia="Calibri"/>
          <w:bCs/>
          <w:color w:val="7F7F7F"/>
        </w:rPr>
        <w:t xml:space="preserve">Section 60 (1) of the </w:t>
      </w:r>
      <w:r>
        <w:rPr>
          <w:rFonts w:eastAsia="Calibri"/>
          <w:bCs/>
          <w:i/>
          <w:iCs/>
          <w:color w:val="7F7F7F"/>
        </w:rPr>
        <w:t>Road Transport (Public Passenger Services) Act 2001</w:t>
      </w:r>
      <w:r>
        <w:rPr>
          <w:rFonts w:eastAsia="Calibri"/>
          <w:bCs/>
          <w:color w:val="7F7F7F"/>
        </w:rPr>
        <w:t xml:space="preserve"> provides that the Minister may, in writing, determine the taxi fares and ways of calculating fares, relating to hiring or using a taxi. A determination under section 60 (1) is a disallowable instrument.</w:t>
      </w:r>
    </w:p>
    <w:p w14:paraId="10A08105" w14:textId="77777777" w:rsidR="00126BE8" w:rsidRDefault="00126BE8" w:rsidP="006F5FA3">
      <w:pPr>
        <w:pStyle w:val="Quote"/>
        <w:rPr>
          <w:rFonts w:eastAsia="Calibri"/>
          <w:bCs/>
          <w:color w:val="7F7F7F"/>
        </w:rPr>
      </w:pPr>
      <w:r>
        <w:rPr>
          <w:rFonts w:eastAsia="Calibri"/>
          <w:bCs/>
          <w:color w:val="7F7F7F"/>
        </w:rPr>
        <w:t>This instrument increases the ACT’s maximum lift fee that ACT Government will pay to taxi drivers, with no change to the maximum taxi fare payable by passengers. The lift fee will be increased beyond the Consumer Price Index level under this instrument. However, this cost is not levied onto passengers and is fully borne by the ACT Government.</w:t>
      </w:r>
    </w:p>
    <w:p w14:paraId="78825529" w14:textId="0E993FCD" w:rsidR="00126BE8" w:rsidRPr="006F5FA3" w:rsidRDefault="00126BE8" w:rsidP="006F5FA3">
      <w:pPr>
        <w:pStyle w:val="Quote"/>
        <w:rPr>
          <w:rFonts w:ascii="Calibri" w:eastAsia="Times New Roman" w:hAnsi="Calibri" w:cs="Calibri"/>
          <w:bCs/>
          <w:szCs w:val="20"/>
          <w:u w:val="single"/>
          <w:lang w:eastAsia="en-AU"/>
        </w:rPr>
      </w:pPr>
      <w:r w:rsidRPr="006F5FA3">
        <w:rPr>
          <w:rFonts w:ascii="Calibri" w:eastAsia="Times New Roman" w:hAnsi="Calibri" w:cs="Calibri"/>
          <w:bCs/>
          <w:szCs w:val="20"/>
          <w:u w:val="single"/>
          <w:lang w:eastAsia="en-AU"/>
        </w:rPr>
        <w:t>Liquor (Reduction in Annual Licence Fee for Eligible Events) Guidelines 2024 (No</w:t>
      </w:r>
      <w:r w:rsidR="00E24228">
        <w:rPr>
          <w:rFonts w:ascii="Calibri" w:eastAsia="Times New Roman" w:hAnsi="Calibri" w:cs="Calibri"/>
          <w:bCs/>
          <w:szCs w:val="20"/>
          <w:u w:val="single"/>
          <w:lang w:eastAsia="en-AU"/>
        </w:rPr>
        <w:t> </w:t>
      </w:r>
      <w:r w:rsidRPr="006F5FA3">
        <w:rPr>
          <w:rFonts w:ascii="Calibri" w:eastAsia="Times New Roman" w:hAnsi="Calibri" w:cs="Calibri"/>
          <w:bCs/>
          <w:szCs w:val="20"/>
          <w:u w:val="single"/>
          <w:lang w:eastAsia="en-AU"/>
        </w:rPr>
        <w:t>1) (DI2024-208)</w:t>
      </w:r>
    </w:p>
    <w:p w14:paraId="3B09F683" w14:textId="77777777" w:rsidR="00126BE8" w:rsidRDefault="00126BE8" w:rsidP="006F5FA3">
      <w:pPr>
        <w:pStyle w:val="Quote"/>
        <w:rPr>
          <w:rFonts w:ascii="Calibri" w:eastAsia="Calibri" w:hAnsi="Calibri" w:cs="Calibri"/>
          <w:b/>
          <w:color w:val="7F7F7F"/>
          <w:szCs w:val="20"/>
          <w:lang w:eastAsia="en-AU"/>
        </w:rPr>
      </w:pPr>
      <w:r>
        <w:rPr>
          <w:rFonts w:eastAsia="Calibri"/>
          <w:b/>
          <w:color w:val="7F7F7F"/>
        </w:rPr>
        <w:t>Licence – reduction in annual fee.</w:t>
      </w:r>
    </w:p>
    <w:p w14:paraId="0842D9BB" w14:textId="77777777" w:rsidR="00126BE8" w:rsidRDefault="00126BE8" w:rsidP="006F5FA3">
      <w:pPr>
        <w:pStyle w:val="Quote"/>
        <w:rPr>
          <w:rFonts w:eastAsia="Calibri"/>
          <w:bCs/>
          <w:color w:val="7F7F7F"/>
        </w:rPr>
      </w:pPr>
      <w:r>
        <w:rPr>
          <w:rFonts w:eastAsia="Calibri"/>
          <w:bCs/>
          <w:color w:val="7F7F7F"/>
        </w:rPr>
        <w:t xml:space="preserve">The policy intent of this new provision is to incentivise the support of local and interstate artists by providing eligible licensees holding eligible events an 80 per cent discount on annual liquor licence fees. In doing so, this incentivisation will create a circular model that will aid businesses as well as support established and emerging artists. </w:t>
      </w:r>
    </w:p>
    <w:p w14:paraId="07A7A21F" w14:textId="77777777" w:rsidR="00126BE8" w:rsidRDefault="00126BE8" w:rsidP="00E24228">
      <w:pPr>
        <w:pStyle w:val="Quote"/>
        <w:spacing w:before="80" w:after="0"/>
        <w:rPr>
          <w:rFonts w:eastAsia="Calibri"/>
          <w:bCs/>
          <w:color w:val="7F7F7F"/>
        </w:rPr>
      </w:pPr>
      <w:r>
        <w:rPr>
          <w:rFonts w:eastAsia="Calibri"/>
          <w:bCs/>
          <w:color w:val="7F7F7F"/>
        </w:rPr>
        <w:lastRenderedPageBreak/>
        <w:t xml:space="preserve">Additionally, the benefit of a liquor annual fee reduction will nurture a more diverse and lively night-time economy in Canberra by providing more opportunity for Canberrans and visitors to see what Canberra has to offer in the entertainment sector. </w:t>
      </w:r>
    </w:p>
    <w:p w14:paraId="450321CE" w14:textId="04CB7547" w:rsidR="00126BE8" w:rsidRDefault="00126BE8" w:rsidP="00E24228">
      <w:pPr>
        <w:pStyle w:val="Quote"/>
        <w:spacing w:before="80" w:after="0"/>
        <w:rPr>
          <w:rFonts w:eastAsia="Calibri"/>
          <w:bCs/>
          <w:color w:val="7F7F7F"/>
        </w:rPr>
      </w:pPr>
      <w:r>
        <w:rPr>
          <w:rFonts w:eastAsia="Calibri"/>
          <w:bCs/>
          <w:color w:val="7F7F7F"/>
        </w:rPr>
        <w:t>Under section 32B (4) of the Act, the Minister with portfolio responsibility for the Act may make guidelines in relation to reducing the annual fee payable for a</w:t>
      </w:r>
      <w:r w:rsidR="00E24228">
        <w:rPr>
          <w:rFonts w:eastAsia="Calibri"/>
          <w:bCs/>
          <w:color w:val="7F7F7F"/>
        </w:rPr>
        <w:t> </w:t>
      </w:r>
      <w:r>
        <w:rPr>
          <w:rFonts w:eastAsia="Calibri"/>
          <w:bCs/>
          <w:color w:val="7F7F7F"/>
        </w:rPr>
        <w:t>liquor licence, consistent with the objects of the Act and the harm minimisation and community safety principles.</w:t>
      </w:r>
    </w:p>
    <w:p w14:paraId="2434AB90" w14:textId="77777777" w:rsidR="00126BE8" w:rsidRDefault="00126BE8" w:rsidP="00E24228">
      <w:pPr>
        <w:pStyle w:val="Quote"/>
        <w:spacing w:before="80" w:after="0"/>
        <w:rPr>
          <w:rFonts w:eastAsia="Calibri"/>
          <w:bCs/>
          <w:color w:val="7F7F7F"/>
        </w:rPr>
      </w:pPr>
      <w:r>
        <w:rPr>
          <w:rFonts w:eastAsia="Calibri"/>
          <w:bCs/>
          <w:color w:val="7F7F7F"/>
        </w:rPr>
        <w:t xml:space="preserve">The guidelines, and this accompanying explanatory statement, are published to assist those liquor </w:t>
      </w:r>
      <w:proofErr w:type="spellStart"/>
      <w:r>
        <w:rPr>
          <w:rFonts w:eastAsia="Calibri"/>
          <w:bCs/>
          <w:color w:val="7F7F7F"/>
        </w:rPr>
        <w:t>licensees</w:t>
      </w:r>
      <w:proofErr w:type="spellEnd"/>
      <w:r>
        <w:rPr>
          <w:rFonts w:eastAsia="Calibri"/>
          <w:bCs/>
          <w:color w:val="7F7F7F"/>
        </w:rPr>
        <w:t xml:space="preserve"> seeking to reduce their annual liquor licence fee by supporting and showcasing artists, musicians, and other cultural activities.</w:t>
      </w:r>
    </w:p>
    <w:p w14:paraId="13A670FB" w14:textId="77777777" w:rsidR="00126BE8" w:rsidRDefault="00126BE8" w:rsidP="00E24228">
      <w:pPr>
        <w:pStyle w:val="Quote"/>
        <w:spacing w:before="80" w:after="0"/>
        <w:rPr>
          <w:rFonts w:eastAsia="Calibri"/>
          <w:b/>
          <w:color w:val="7F7F7F"/>
        </w:rPr>
      </w:pPr>
      <w:r>
        <w:rPr>
          <w:rFonts w:eastAsia="Calibri"/>
          <w:b/>
          <w:color w:val="7F7F7F"/>
        </w:rPr>
        <w:t>Fees</w:t>
      </w:r>
    </w:p>
    <w:p w14:paraId="73491377" w14:textId="77777777" w:rsidR="00126BE8" w:rsidRDefault="00126BE8" w:rsidP="00E24228">
      <w:pPr>
        <w:pStyle w:val="Quote"/>
        <w:spacing w:before="80" w:after="0"/>
        <w:rPr>
          <w:rFonts w:eastAsia="Calibri"/>
          <w:bCs/>
          <w:color w:val="7F7F7F"/>
        </w:rPr>
      </w:pPr>
      <w:r>
        <w:rPr>
          <w:rFonts w:eastAsia="Calibri"/>
          <w:bCs/>
          <w:color w:val="7F7F7F"/>
        </w:rPr>
        <w:t>Section 227 of the Act provides that the Minister may determine fees for the Act. Section 32A of the Act provides that a licensee must pay to the Commissioner the annual fee determined for the licence. Annual fees are calculated based on the type of licence, the occupancy loading for the premises, and the licensed time a licensee is permitted to serve alcohol up to.</w:t>
      </w:r>
    </w:p>
    <w:p w14:paraId="557CA49B" w14:textId="77777777" w:rsidR="00126BE8" w:rsidRPr="006F5FA3" w:rsidRDefault="00126BE8" w:rsidP="00E24228">
      <w:pPr>
        <w:pStyle w:val="Quote"/>
        <w:spacing w:before="80" w:after="0"/>
        <w:rPr>
          <w:rFonts w:ascii="Calibri" w:eastAsia="Times New Roman" w:hAnsi="Calibri" w:cs="Calibri"/>
          <w:bCs/>
          <w:szCs w:val="20"/>
          <w:u w:val="single"/>
          <w:lang w:eastAsia="en-AU"/>
        </w:rPr>
      </w:pPr>
      <w:r w:rsidRPr="006F5FA3">
        <w:rPr>
          <w:rFonts w:ascii="Calibri" w:eastAsia="Times New Roman" w:hAnsi="Calibri" w:cs="Calibri"/>
          <w:bCs/>
          <w:szCs w:val="20"/>
          <w:u w:val="single"/>
          <w:lang w:eastAsia="en-AU"/>
        </w:rPr>
        <w:t>Unit Titles (Management) (Fees) Determination 2024 (DI2024-217)</w:t>
      </w:r>
    </w:p>
    <w:p w14:paraId="29C3A933" w14:textId="77777777" w:rsidR="00126BE8" w:rsidRDefault="00126BE8" w:rsidP="00E24228">
      <w:pPr>
        <w:pStyle w:val="Quote"/>
        <w:spacing w:before="80" w:after="0"/>
        <w:rPr>
          <w:rFonts w:ascii="Calibri" w:eastAsia="Calibri" w:hAnsi="Calibri" w:cs="Calibri"/>
          <w:bCs/>
          <w:color w:val="7F7F7F"/>
          <w:szCs w:val="20"/>
          <w:lang w:eastAsia="en-AU"/>
        </w:rPr>
      </w:pPr>
      <w:r>
        <w:rPr>
          <w:rFonts w:eastAsia="Calibri"/>
          <w:bCs/>
          <w:color w:val="7F7F7F"/>
        </w:rPr>
        <w:t xml:space="preserve">The </w:t>
      </w:r>
      <w:r>
        <w:rPr>
          <w:rFonts w:eastAsia="Calibri"/>
          <w:bCs/>
          <w:i/>
          <w:iCs/>
          <w:color w:val="7F7F7F"/>
        </w:rPr>
        <w:t>Housing and Consumer Affairs Legislation Amendment Act 2024</w:t>
      </w:r>
      <w:r>
        <w:rPr>
          <w:rFonts w:eastAsia="Calibri"/>
          <w:bCs/>
          <w:color w:val="7F7F7F"/>
        </w:rPr>
        <w:t xml:space="preserve"> (the HCA Act) amended provisions relating to unit title certificates under the </w:t>
      </w:r>
      <w:r>
        <w:rPr>
          <w:rFonts w:eastAsia="Calibri"/>
          <w:bCs/>
          <w:i/>
          <w:iCs/>
          <w:color w:val="7F7F7F"/>
        </w:rPr>
        <w:t>Unit Titles (Management) Act 2011</w:t>
      </w:r>
      <w:r>
        <w:rPr>
          <w:rFonts w:eastAsia="Calibri"/>
          <w:bCs/>
          <w:color w:val="7F7F7F"/>
        </w:rPr>
        <w:t xml:space="preserve"> (the Act). </w:t>
      </w:r>
      <w:bookmarkStart w:id="145" w:name="_Hlk166667931"/>
      <w:r>
        <w:rPr>
          <w:rFonts w:eastAsia="Calibri"/>
          <w:bCs/>
          <w:color w:val="7F7F7F"/>
        </w:rPr>
        <w:t xml:space="preserve">The amendments introduce a new type of certificate, a ‘unit title rental certificate’ which will contain information that a unit owner who wishes to rent out their unit must disclose to their tenant when entering a residential tenancy agreement. </w:t>
      </w:r>
      <w:bookmarkStart w:id="146" w:name="_Hlk168404404"/>
      <w:r>
        <w:rPr>
          <w:rFonts w:eastAsia="Calibri"/>
          <w:bCs/>
          <w:color w:val="7F7F7F"/>
        </w:rPr>
        <w:t xml:space="preserve">Matters relating to unit title rental certificates will be dealt with under a separate determination that will commence in line with enabling provisions under the </w:t>
      </w:r>
      <w:r>
        <w:rPr>
          <w:rFonts w:eastAsia="Calibri"/>
          <w:bCs/>
          <w:i/>
          <w:iCs/>
          <w:color w:val="7F7F7F"/>
        </w:rPr>
        <w:t>Residential Tenancies Act 1997</w:t>
      </w:r>
      <w:r>
        <w:rPr>
          <w:rFonts w:eastAsia="Calibri"/>
          <w:bCs/>
          <w:color w:val="7F7F7F"/>
        </w:rPr>
        <w:t xml:space="preserve"> (RTA) (which was also amended by the HCA </w:t>
      </w:r>
      <w:proofErr w:type="gramStart"/>
      <w:r>
        <w:rPr>
          <w:rFonts w:eastAsia="Calibri"/>
          <w:bCs/>
          <w:color w:val="7F7F7F"/>
        </w:rPr>
        <w:t>Act,</w:t>
      </w:r>
      <w:proofErr w:type="gramEnd"/>
      <w:r>
        <w:rPr>
          <w:rFonts w:eastAsia="Calibri"/>
          <w:bCs/>
          <w:color w:val="7F7F7F"/>
        </w:rPr>
        <w:t xml:space="preserve"> however those amendments will commence at a later stage). </w:t>
      </w:r>
    </w:p>
    <w:bookmarkEnd w:id="146"/>
    <w:p w14:paraId="523EC9AA" w14:textId="1E3A0998" w:rsidR="00126BE8" w:rsidRDefault="00126BE8" w:rsidP="00E24228">
      <w:pPr>
        <w:pStyle w:val="Quote"/>
        <w:spacing w:before="80" w:after="0"/>
        <w:rPr>
          <w:rFonts w:eastAsia="Calibri"/>
          <w:bCs/>
          <w:color w:val="7F7F7F"/>
        </w:rPr>
      </w:pPr>
      <w:r>
        <w:rPr>
          <w:rFonts w:eastAsia="Calibri"/>
          <w:bCs/>
          <w:color w:val="7F7F7F"/>
        </w:rPr>
        <w:t xml:space="preserve">Given the introduction of a new type of unit title certificate, the existing ‘unit title certificates’ have been renamed to ‘unit title sale certificate’ and ‘unit title sale update certificate.’ The new names, unit title rental certificate, unit title sale certificate and unit title sale update certificate, now reflect the purpose of the certificates, which will be required under section 12 (3) (k) of the RTA and section 9 of the </w:t>
      </w:r>
      <w:r>
        <w:rPr>
          <w:rFonts w:eastAsia="Calibri"/>
          <w:bCs/>
          <w:i/>
          <w:iCs/>
          <w:color w:val="7F7F7F"/>
        </w:rPr>
        <w:t>Civil Law (Sale of Residential Property) Act 2003</w:t>
      </w:r>
      <w:r>
        <w:rPr>
          <w:rFonts w:eastAsia="Calibri"/>
          <w:bCs/>
          <w:color w:val="7F7F7F"/>
        </w:rPr>
        <w:t xml:space="preserve"> (the CLSRP Act) when a</w:t>
      </w:r>
      <w:r w:rsidR="00E24228">
        <w:rPr>
          <w:rFonts w:eastAsia="Calibri"/>
          <w:bCs/>
          <w:color w:val="7F7F7F"/>
        </w:rPr>
        <w:t> </w:t>
      </w:r>
      <w:r>
        <w:rPr>
          <w:rFonts w:eastAsia="Calibri"/>
          <w:bCs/>
          <w:color w:val="7F7F7F"/>
        </w:rPr>
        <w:t xml:space="preserve">unit is being rented or sold respectively. Given these changes, the HCA Act also repeals the </w:t>
      </w:r>
      <w:r>
        <w:rPr>
          <w:rFonts w:eastAsia="Calibri"/>
          <w:bCs/>
          <w:i/>
          <w:iCs/>
          <w:color w:val="7F7F7F"/>
        </w:rPr>
        <w:t xml:space="preserve">Unit Titles (Management) Certificate Determination 2023 </w:t>
      </w:r>
      <w:r>
        <w:rPr>
          <w:rFonts w:eastAsia="Calibri"/>
          <w:bCs/>
          <w:color w:val="7F7F7F"/>
        </w:rPr>
        <w:t>(DI2023-3) and the</w:t>
      </w:r>
      <w:r>
        <w:rPr>
          <w:rFonts w:eastAsia="Calibri"/>
          <w:bCs/>
          <w:i/>
          <w:iCs/>
          <w:color w:val="7F7F7F"/>
        </w:rPr>
        <w:t xml:space="preserve"> Unit Titles (Management) (Fees) Determination 2023</w:t>
      </w:r>
      <w:r>
        <w:rPr>
          <w:rFonts w:eastAsia="Calibri"/>
          <w:bCs/>
          <w:color w:val="7F7F7F"/>
        </w:rPr>
        <w:t xml:space="preserve"> (DI2023-179).</w:t>
      </w:r>
    </w:p>
    <w:bookmarkEnd w:id="145"/>
    <w:p w14:paraId="4DCB6B2E" w14:textId="77777777" w:rsidR="00126BE8" w:rsidRDefault="00126BE8" w:rsidP="00E24228">
      <w:pPr>
        <w:pStyle w:val="Quote"/>
        <w:spacing w:before="80" w:after="0"/>
        <w:rPr>
          <w:rFonts w:eastAsia="Calibri"/>
          <w:bCs/>
          <w:color w:val="7F7F7F"/>
        </w:rPr>
      </w:pPr>
      <w:r>
        <w:rPr>
          <w:rFonts w:eastAsia="Calibri"/>
          <w:bCs/>
          <w:color w:val="7F7F7F"/>
        </w:rPr>
        <w:t xml:space="preserve">Provisions in the Act relating to accessing </w:t>
      </w:r>
      <w:proofErr w:type="gramStart"/>
      <w:r>
        <w:rPr>
          <w:rFonts w:eastAsia="Calibri"/>
          <w:bCs/>
          <w:color w:val="7F7F7F"/>
        </w:rPr>
        <w:t>owners</w:t>
      </w:r>
      <w:proofErr w:type="gramEnd"/>
      <w:r>
        <w:rPr>
          <w:rFonts w:eastAsia="Calibri"/>
          <w:bCs/>
          <w:color w:val="7F7F7F"/>
        </w:rPr>
        <w:t xml:space="preserve"> corporation records (outside of the unit title certificate request process) which were previously provided for in section 119 of the Act have also been amended and are now provided for separately in new section 120A of the Act.</w:t>
      </w:r>
    </w:p>
    <w:p w14:paraId="0FDB972F" w14:textId="77777777" w:rsidR="00126BE8" w:rsidRDefault="00126BE8" w:rsidP="00E24228">
      <w:pPr>
        <w:pStyle w:val="Quote"/>
        <w:spacing w:before="80" w:after="0"/>
        <w:rPr>
          <w:rFonts w:eastAsia="Calibri"/>
          <w:bCs/>
          <w:color w:val="7F7F7F"/>
        </w:rPr>
      </w:pPr>
      <w:r>
        <w:rPr>
          <w:rFonts w:eastAsia="Calibri"/>
          <w:bCs/>
          <w:color w:val="7F7F7F"/>
        </w:rPr>
        <w:t xml:space="preserve">This Determination sets the fees that will apply to the unit title sale certificate and unit title sale update certificate and other requests for information made outside of the unit title certificate process. The Determination will be updated again in future to set the fee that will apply to the unit title rental certificate when the enabling provisions under the RTA </w:t>
      </w:r>
      <w:proofErr w:type="gramStart"/>
      <w:r>
        <w:rPr>
          <w:rFonts w:eastAsia="Calibri"/>
          <w:bCs/>
          <w:color w:val="7F7F7F"/>
        </w:rPr>
        <w:t>commence</w:t>
      </w:r>
      <w:proofErr w:type="gramEnd"/>
      <w:r>
        <w:rPr>
          <w:rFonts w:eastAsia="Calibri"/>
          <w:bCs/>
          <w:color w:val="7F7F7F"/>
        </w:rPr>
        <w:t xml:space="preserve"> and a new unit title rental certificate determination is made. </w:t>
      </w:r>
    </w:p>
    <w:p w14:paraId="7643A6E2" w14:textId="77777777" w:rsidR="00126BE8" w:rsidRDefault="00126BE8" w:rsidP="00216B8B">
      <w:pPr>
        <w:pStyle w:val="Quote"/>
        <w:spacing w:before="120" w:after="120"/>
        <w:rPr>
          <w:rFonts w:eastAsia="Calibri"/>
          <w:bCs/>
          <w:color w:val="7F7F7F"/>
        </w:rPr>
      </w:pPr>
      <w:r>
        <w:rPr>
          <w:rFonts w:eastAsia="Calibri"/>
          <w:bCs/>
          <w:color w:val="7F7F7F"/>
        </w:rPr>
        <w:lastRenderedPageBreak/>
        <w:t xml:space="preserve">Section 119 (6) of the Act provides that a request by an eligible person for a unit or common property, for a unit title sales certificate or a unit title sales update certificate or a unit title rental certificate under section 119, must be in writing and accompanied by a fee determined by the </w:t>
      </w:r>
      <w:proofErr w:type="gramStart"/>
      <w:r>
        <w:rPr>
          <w:rFonts w:eastAsia="Calibri"/>
          <w:bCs/>
          <w:color w:val="7F7F7F"/>
        </w:rPr>
        <w:t>owners</w:t>
      </w:r>
      <w:proofErr w:type="gramEnd"/>
      <w:r>
        <w:rPr>
          <w:rFonts w:eastAsia="Calibri"/>
          <w:bCs/>
          <w:color w:val="7F7F7F"/>
        </w:rPr>
        <w:t xml:space="preserve"> corporation of not more than an amount determined by the Minister.</w:t>
      </w:r>
    </w:p>
    <w:p w14:paraId="1C6630E1" w14:textId="77777777" w:rsidR="00126BE8" w:rsidRDefault="00126BE8" w:rsidP="00216B8B">
      <w:pPr>
        <w:pStyle w:val="Quote"/>
        <w:spacing w:before="120" w:after="120"/>
        <w:rPr>
          <w:rFonts w:eastAsia="Calibri"/>
          <w:bCs/>
          <w:color w:val="7F7F7F"/>
        </w:rPr>
      </w:pPr>
      <w:r>
        <w:rPr>
          <w:rFonts w:eastAsia="Calibri"/>
          <w:bCs/>
          <w:color w:val="7F7F7F"/>
        </w:rPr>
        <w:t xml:space="preserve">New section 120A (4) of the Act now provides that a request by an eligible person for a unit or common property, to inspect the records of the common property under section 120A, must be in writing and accompanied by a fee determined by the </w:t>
      </w:r>
      <w:proofErr w:type="gramStart"/>
      <w:r>
        <w:rPr>
          <w:rFonts w:eastAsia="Calibri"/>
          <w:bCs/>
          <w:color w:val="7F7F7F"/>
        </w:rPr>
        <w:t>owners</w:t>
      </w:r>
      <w:proofErr w:type="gramEnd"/>
      <w:r>
        <w:rPr>
          <w:rFonts w:eastAsia="Calibri"/>
          <w:bCs/>
          <w:color w:val="7F7F7F"/>
        </w:rPr>
        <w:t xml:space="preserve"> corporation of not more than an amount determined by the Minister. </w:t>
      </w:r>
    </w:p>
    <w:p w14:paraId="176DD61F" w14:textId="77777777" w:rsidR="00126BE8" w:rsidRDefault="00126BE8" w:rsidP="00216B8B">
      <w:pPr>
        <w:pStyle w:val="Quote"/>
        <w:spacing w:before="120" w:after="120"/>
        <w:rPr>
          <w:rFonts w:eastAsia="Calibri"/>
          <w:bCs/>
          <w:color w:val="7F7F7F"/>
        </w:rPr>
      </w:pPr>
      <w:r>
        <w:rPr>
          <w:rFonts w:eastAsia="Calibri"/>
          <w:bCs/>
          <w:color w:val="7F7F7F"/>
        </w:rPr>
        <w:t xml:space="preserve">This Determination sets the maximum fees that may be charged by the </w:t>
      </w:r>
      <w:proofErr w:type="gramStart"/>
      <w:r>
        <w:rPr>
          <w:rFonts w:eastAsia="Calibri"/>
          <w:bCs/>
          <w:color w:val="7F7F7F"/>
        </w:rPr>
        <w:t>owners</w:t>
      </w:r>
      <w:proofErr w:type="gramEnd"/>
      <w:r>
        <w:rPr>
          <w:rFonts w:eastAsia="Calibri"/>
          <w:bCs/>
          <w:color w:val="7F7F7F"/>
        </w:rPr>
        <w:t xml:space="preserve"> corporation for providing information in response to a request under section 119 or section 120A of the Act. It provides for fee increases in line with annual adjustments to the Wages Price Index (WPI) of 3.50%, rounded down to the nearest dollar for most fees, </w:t>
      </w:r>
      <w:proofErr w:type="gramStart"/>
      <w:r>
        <w:rPr>
          <w:rFonts w:eastAsia="Calibri"/>
          <w:bCs/>
          <w:color w:val="7F7F7F"/>
        </w:rPr>
        <w:t>with the exception of</w:t>
      </w:r>
      <w:proofErr w:type="gramEnd"/>
      <w:r>
        <w:rPr>
          <w:rFonts w:eastAsia="Calibri"/>
          <w:bCs/>
          <w:color w:val="7F7F7F"/>
        </w:rPr>
        <w:t xml:space="preserve"> fees that have been consecutively rounded down in previous years by more than $1.00 which have been rounded up to the nearest dollar.</w:t>
      </w:r>
    </w:p>
    <w:p w14:paraId="6BBC2772" w14:textId="77777777" w:rsidR="00126BE8" w:rsidRDefault="00126BE8" w:rsidP="006F5FA3">
      <w:pPr>
        <w:pStyle w:val="Quote"/>
        <w:rPr>
          <w:rFonts w:eastAsia="Calibri"/>
          <w:bCs/>
          <w:color w:val="7F7F7F"/>
        </w:rPr>
      </w:pPr>
      <w:r>
        <w:rPr>
          <w:rFonts w:eastAsia="Calibri"/>
          <w:bCs/>
          <w:color w:val="7F7F7F"/>
        </w:rPr>
        <w:t>This approach aligns with the 2023 Treasury Guidelines for Fees and Charges.</w:t>
      </w:r>
    </w:p>
    <w:p w14:paraId="2C42257E" w14:textId="77777777" w:rsidR="00126BE8" w:rsidRPr="006F5FA3" w:rsidRDefault="00126BE8" w:rsidP="006F5FA3">
      <w:pPr>
        <w:pStyle w:val="Quote"/>
        <w:rPr>
          <w:rFonts w:ascii="Calibri" w:eastAsia="Times New Roman" w:hAnsi="Calibri" w:cs="Calibri"/>
          <w:bCs/>
          <w:szCs w:val="20"/>
          <w:u w:val="single"/>
          <w:lang w:eastAsia="en-AU"/>
        </w:rPr>
      </w:pPr>
      <w:r w:rsidRPr="006F5FA3">
        <w:rPr>
          <w:rFonts w:ascii="Calibri" w:eastAsia="Times New Roman" w:hAnsi="Calibri" w:cs="Calibri"/>
          <w:bCs/>
          <w:szCs w:val="20"/>
          <w:u w:val="single"/>
          <w:lang w:eastAsia="en-AU"/>
        </w:rPr>
        <w:t>Liquor (Fees) Determination 2024 (No 2) (DI2024-243)</w:t>
      </w:r>
    </w:p>
    <w:p w14:paraId="00A52DF7" w14:textId="77777777" w:rsidR="00126BE8" w:rsidRDefault="00126BE8" w:rsidP="006F5FA3">
      <w:pPr>
        <w:pStyle w:val="Quote"/>
        <w:rPr>
          <w:rFonts w:ascii="Calibri" w:eastAsia="Calibri" w:hAnsi="Calibri" w:cs="Calibri"/>
          <w:bCs/>
          <w:color w:val="7F7F7F"/>
          <w:szCs w:val="20"/>
          <w:u w:val="single"/>
          <w:lang w:eastAsia="en-AU"/>
        </w:rPr>
      </w:pPr>
      <w:r>
        <w:rPr>
          <w:rFonts w:eastAsia="Calibri"/>
          <w:bCs/>
          <w:color w:val="7F7F7F"/>
          <w:u w:val="single"/>
        </w:rPr>
        <w:t>Annual licence fees</w:t>
      </w:r>
    </w:p>
    <w:p w14:paraId="5BE11261" w14:textId="77777777" w:rsidR="00126BE8" w:rsidRDefault="00126BE8" w:rsidP="006F5FA3">
      <w:pPr>
        <w:pStyle w:val="Quote"/>
        <w:rPr>
          <w:rFonts w:eastAsia="Calibri"/>
          <w:bCs/>
          <w:color w:val="7F7F7F"/>
        </w:rPr>
      </w:pPr>
      <w:r>
        <w:rPr>
          <w:rFonts w:eastAsia="Calibri"/>
          <w:bCs/>
          <w:color w:val="7F7F7F"/>
        </w:rPr>
        <w:t xml:space="preserve">Item 501 refers to annual fees for licences under section 32A of the Act. Consistent with section 32A of the Act, the fee determination provides that the fees for a matter at item 501 (annual fees) of the schedule to the </w:t>
      </w:r>
      <w:proofErr w:type="gramStart"/>
      <w:r>
        <w:rPr>
          <w:rFonts w:eastAsia="Calibri"/>
          <w:bCs/>
          <w:color w:val="7F7F7F"/>
        </w:rPr>
        <w:t>fees</w:t>
      </w:r>
      <w:proofErr w:type="gramEnd"/>
      <w:r>
        <w:rPr>
          <w:rFonts w:eastAsia="Calibri"/>
          <w:bCs/>
          <w:color w:val="7F7F7F"/>
        </w:rPr>
        <w:t xml:space="preserve"> determination are payable to the commissioner for fair trading. The fees for all other matters are payable to the Territory.</w:t>
      </w:r>
    </w:p>
    <w:p w14:paraId="648AEF2D" w14:textId="77777777" w:rsidR="00126BE8" w:rsidRDefault="00126BE8" w:rsidP="006F5FA3">
      <w:pPr>
        <w:pStyle w:val="Quote"/>
        <w:rPr>
          <w:rFonts w:eastAsia="Calibri"/>
          <w:bCs/>
          <w:color w:val="7F7F7F"/>
        </w:rPr>
      </w:pPr>
      <w:r>
        <w:rPr>
          <w:rFonts w:eastAsia="Calibri"/>
          <w:bCs/>
          <w:color w:val="7F7F7F"/>
        </w:rPr>
        <w:t xml:space="preserve">While this instrument repeals the </w:t>
      </w:r>
      <w:r>
        <w:rPr>
          <w:rFonts w:eastAsia="Calibri"/>
          <w:bCs/>
          <w:i/>
          <w:iCs/>
          <w:color w:val="7F7F7F"/>
        </w:rPr>
        <w:t>Liquor (Fees) Determination 2024</w:t>
      </w:r>
      <w:r>
        <w:rPr>
          <w:rFonts w:eastAsia="Calibri"/>
          <w:bCs/>
          <w:color w:val="7F7F7F"/>
        </w:rPr>
        <w:t xml:space="preserve"> (DI2024-145), it determines the same fees that applied from 1 July 2024 under the </w:t>
      </w:r>
      <w:r>
        <w:rPr>
          <w:rFonts w:eastAsia="Calibri"/>
          <w:bCs/>
          <w:i/>
          <w:iCs/>
          <w:color w:val="7F7F7F"/>
        </w:rPr>
        <w:t>Liquor (Fees) Determination 2024</w:t>
      </w:r>
      <w:r>
        <w:rPr>
          <w:rFonts w:eastAsia="Calibri"/>
          <w:bCs/>
          <w:color w:val="7F7F7F"/>
        </w:rPr>
        <w:t xml:space="preserve"> (DI2024-145) but adds provisions to give effect to a reduction of certain annual licence fees for eligible licensees for which the commissioner has approved an application under section 32B of the Act. </w:t>
      </w:r>
    </w:p>
    <w:p w14:paraId="410671C8" w14:textId="77777777" w:rsidR="00126BE8" w:rsidRDefault="00126BE8" w:rsidP="006F5FA3">
      <w:pPr>
        <w:pStyle w:val="Quote"/>
        <w:rPr>
          <w:rFonts w:eastAsia="Calibri"/>
          <w:bCs/>
          <w:color w:val="7F7F7F"/>
        </w:rPr>
      </w:pPr>
      <w:r>
        <w:rPr>
          <w:rFonts w:eastAsia="Calibri"/>
          <w:bCs/>
          <w:color w:val="7F7F7F"/>
        </w:rPr>
        <w:t xml:space="preserve">Fees in the 2024-2025 financial year have been generally increased from fees in the previous financial year by the Wages Price Index (WPI) of 3.50%, plus an additional 0.35%, rounded down to the nearest dollar. Some smaller value fees maybe rounded up to the nearest dollar. This approach also aligns with the 2023 Treasury Guidelines for Fees and Charges. </w:t>
      </w:r>
    </w:p>
    <w:p w14:paraId="2F47D6BB" w14:textId="77777777" w:rsidR="00126BE8" w:rsidRDefault="00126BE8" w:rsidP="006F5FA3">
      <w:pPr>
        <w:pStyle w:val="Quote"/>
        <w:rPr>
          <w:rFonts w:eastAsia="Calibri"/>
          <w:bCs/>
          <w:color w:val="7F7F7F"/>
          <w:u w:val="single"/>
        </w:rPr>
      </w:pPr>
      <w:r>
        <w:rPr>
          <w:rFonts w:eastAsia="Calibri"/>
          <w:bCs/>
          <w:color w:val="7F7F7F"/>
          <w:u w:val="single"/>
        </w:rPr>
        <w:t>Reduction in annual licence fees under section 32B of the Act</w:t>
      </w:r>
    </w:p>
    <w:p w14:paraId="72058BF0" w14:textId="77777777" w:rsidR="00126BE8" w:rsidRDefault="00126BE8" w:rsidP="006F5FA3">
      <w:pPr>
        <w:pStyle w:val="Quote"/>
        <w:rPr>
          <w:rFonts w:eastAsia="Calibri"/>
          <w:bCs/>
          <w:color w:val="7F7F7F"/>
        </w:rPr>
      </w:pPr>
      <w:r>
        <w:rPr>
          <w:rFonts w:eastAsia="Calibri"/>
          <w:bCs/>
          <w:color w:val="7F7F7F"/>
        </w:rPr>
        <w:t xml:space="preserve">On 10 April 2024, the Liquor (Night-Time Economy) Amendment Bill 2024 (the Bill) was passed in the Legislative Assembly. The purpose of the Bill was to amend the Act to facilitate reforms to remove regulatory barriers and assist licensed businesses to increase their participation in Canberra’s night-time economy, as well as increase support for local artists. </w:t>
      </w:r>
    </w:p>
    <w:p w14:paraId="59D66561" w14:textId="77777777" w:rsidR="00126BE8" w:rsidRDefault="00126BE8" w:rsidP="00E24228">
      <w:pPr>
        <w:pStyle w:val="Quote"/>
        <w:keepLines/>
        <w:spacing w:before="80" w:after="0"/>
        <w:rPr>
          <w:rFonts w:eastAsia="Calibri"/>
          <w:bCs/>
          <w:color w:val="7F7F7F"/>
        </w:rPr>
      </w:pPr>
      <w:r>
        <w:rPr>
          <w:rFonts w:eastAsia="Calibri"/>
          <w:bCs/>
          <w:color w:val="7F7F7F"/>
        </w:rPr>
        <w:lastRenderedPageBreak/>
        <w:t xml:space="preserve">The Bill inserted section 32B into the Act. Section 32B (1) of the Act provides that a licensee who regularly holds eligible events may apply to the commissioner for fair trading for a reduction in the annual fee payable for the licence. This provision was introduced to incentivise the support of local and interstate artists by providing eligible licensees holding eligible events an </w:t>
      </w:r>
      <w:bookmarkStart w:id="147" w:name="_Hlk172108386"/>
      <w:r>
        <w:rPr>
          <w:rFonts w:eastAsia="Calibri"/>
          <w:bCs/>
          <w:color w:val="7F7F7F"/>
        </w:rPr>
        <w:t>80 per cent discount on annual liquor licence fees for venues with an occupancy limit of less than or equal to 150 people.</w:t>
      </w:r>
      <w:bookmarkEnd w:id="147"/>
      <w:r>
        <w:rPr>
          <w:rFonts w:eastAsia="Calibri"/>
          <w:bCs/>
          <w:color w:val="7F7F7F"/>
        </w:rPr>
        <w:t xml:space="preserve"> ‘Eligible licensee’ and ‘eligible event’ are defined in section 32B (1) and section 32B (7) of the Act, respectively.</w:t>
      </w:r>
    </w:p>
    <w:p w14:paraId="10FC295C" w14:textId="77777777" w:rsidR="00126BE8" w:rsidRDefault="00126BE8" w:rsidP="00E24228">
      <w:pPr>
        <w:pStyle w:val="Quote"/>
        <w:spacing w:before="80" w:after="0"/>
        <w:rPr>
          <w:rFonts w:eastAsia="Calibri"/>
          <w:bCs/>
          <w:color w:val="7F7F7F"/>
        </w:rPr>
      </w:pPr>
      <w:r>
        <w:rPr>
          <w:rFonts w:eastAsia="Calibri"/>
          <w:bCs/>
          <w:color w:val="7F7F7F"/>
        </w:rPr>
        <w:t xml:space="preserve">Section 32B (4) provides that the Minister may make guidelines in relation to reducing the annual fee payable for a licence. The </w:t>
      </w:r>
      <w:r>
        <w:rPr>
          <w:rFonts w:eastAsia="Calibri"/>
          <w:bCs/>
          <w:i/>
          <w:iCs/>
          <w:color w:val="7F7F7F"/>
        </w:rPr>
        <w:t>Liquor (Reduction in Annual Licence Fee for Eligible Events) Guidelines 2024 (No 1)</w:t>
      </w:r>
      <w:r>
        <w:rPr>
          <w:rFonts w:eastAsia="Calibri"/>
          <w:bCs/>
          <w:color w:val="7F7F7F"/>
        </w:rPr>
        <w:t xml:space="preserve"> commenced on 9 July 2024. </w:t>
      </w:r>
    </w:p>
    <w:p w14:paraId="34CB7036" w14:textId="77777777" w:rsidR="00126BE8" w:rsidRDefault="00126BE8" w:rsidP="00E24228">
      <w:pPr>
        <w:pStyle w:val="Quote"/>
        <w:spacing w:before="80" w:after="0"/>
        <w:rPr>
          <w:rFonts w:eastAsia="Calibri"/>
          <w:bCs/>
          <w:color w:val="7F7F7F"/>
        </w:rPr>
      </w:pPr>
      <w:r>
        <w:rPr>
          <w:rFonts w:eastAsia="Calibri"/>
          <w:bCs/>
          <w:color w:val="7F7F7F"/>
        </w:rPr>
        <w:t xml:space="preserve">Accordingly, this instrument, the </w:t>
      </w:r>
      <w:r>
        <w:rPr>
          <w:rFonts w:eastAsia="Calibri"/>
          <w:bCs/>
          <w:i/>
          <w:iCs/>
          <w:color w:val="7F7F7F"/>
        </w:rPr>
        <w:t>Liquor (Fees) Determination 2024 (No 2)</w:t>
      </w:r>
      <w:r>
        <w:rPr>
          <w:rFonts w:eastAsia="Calibri"/>
          <w:bCs/>
          <w:color w:val="7F7F7F"/>
        </w:rPr>
        <w:t>, has been made to provide for the abovementioned reduction on annual liquor licence fees. The reduction applies to the annual licence fees for venues with an occupancy limit of less than or equal to 150 people, as reflected in items 501(1)(</w:t>
      </w:r>
      <w:proofErr w:type="gramStart"/>
      <w:r>
        <w:rPr>
          <w:rFonts w:eastAsia="Calibri"/>
          <w:bCs/>
          <w:color w:val="7F7F7F"/>
        </w:rPr>
        <w:t>a)-(</w:t>
      </w:r>
      <w:proofErr w:type="gramEnd"/>
      <w:r>
        <w:rPr>
          <w:rFonts w:eastAsia="Calibri"/>
          <w:bCs/>
          <w:color w:val="7F7F7F"/>
        </w:rPr>
        <w:t>b); 501(2)(a)-(b); 501(3)(a)-(d); and 501(4)(a)-(b) of the Schedule to the determination. The fee reduction is not applicable to annual catering licences.</w:t>
      </w:r>
    </w:p>
    <w:p w14:paraId="7B9C8D86" w14:textId="77777777" w:rsidR="00126BE8" w:rsidRPr="006F5FA3" w:rsidRDefault="00126BE8" w:rsidP="00E24228">
      <w:pPr>
        <w:pStyle w:val="Quote"/>
        <w:keepNext/>
        <w:spacing w:before="80" w:after="0"/>
        <w:rPr>
          <w:rFonts w:eastAsia="Calibri"/>
          <w:bCs/>
          <w:u w:val="single"/>
        </w:rPr>
      </w:pPr>
      <w:r w:rsidRPr="006F5FA3">
        <w:rPr>
          <w:rFonts w:eastAsia="Calibri"/>
          <w:bCs/>
          <w:u w:val="single"/>
        </w:rPr>
        <w:t xml:space="preserve">Litter (Fees) Determination 2024 (No 2) (DI2024-246)  </w:t>
      </w:r>
    </w:p>
    <w:p w14:paraId="3FEE3994" w14:textId="77777777" w:rsidR="00126BE8" w:rsidRDefault="00126BE8" w:rsidP="00E24228">
      <w:pPr>
        <w:pStyle w:val="Quote"/>
        <w:spacing w:before="80" w:after="0"/>
        <w:rPr>
          <w:rFonts w:ascii="Calibri" w:eastAsia="Calibri" w:hAnsi="Calibri" w:cs="Calibri"/>
          <w:bCs/>
          <w:color w:val="7F7F7F"/>
          <w:sz w:val="22"/>
          <w:szCs w:val="20"/>
        </w:rPr>
      </w:pPr>
      <w:r>
        <w:rPr>
          <w:rFonts w:eastAsia="Calibri"/>
          <w:bCs/>
          <w:color w:val="7F7F7F"/>
        </w:rPr>
        <w:t>This instrument sets the fees payable from the day after notification and revokes previous fees in instrument DI2024-53, the Litter (Fees) Determination 2024.</w:t>
      </w:r>
    </w:p>
    <w:p w14:paraId="3123ABD2" w14:textId="77777777" w:rsidR="00126BE8" w:rsidRDefault="00126BE8" w:rsidP="00E24228">
      <w:pPr>
        <w:pStyle w:val="Quote"/>
        <w:spacing w:before="80" w:after="0"/>
        <w:rPr>
          <w:rFonts w:eastAsia="Calibri"/>
          <w:bCs/>
          <w:color w:val="7F7F7F"/>
        </w:rPr>
      </w:pPr>
      <w:r>
        <w:rPr>
          <w:rFonts w:eastAsia="Calibri"/>
          <w:bCs/>
          <w:color w:val="7F7F7F"/>
        </w:rPr>
        <w:t xml:space="preserve">Under certain circumstances specified within the Act, an authorised person can collect and impound shopping trolleys located outside a shopping centre precinct. Once impounded, a shopping trolley becomes an uncollected good. </w:t>
      </w:r>
    </w:p>
    <w:p w14:paraId="408374F3" w14:textId="77777777" w:rsidR="00126BE8" w:rsidRDefault="00126BE8" w:rsidP="00E24228">
      <w:pPr>
        <w:pStyle w:val="Quote"/>
        <w:spacing w:before="80" w:after="0"/>
        <w:rPr>
          <w:rFonts w:eastAsia="Calibri"/>
          <w:bCs/>
          <w:color w:val="7F7F7F"/>
        </w:rPr>
      </w:pPr>
      <w:r>
        <w:rPr>
          <w:rFonts w:eastAsia="Calibri"/>
          <w:bCs/>
          <w:color w:val="7F7F7F"/>
        </w:rPr>
        <w:t xml:space="preserve">Where a retailer wishes to claim their shopping trolley, a removal </w:t>
      </w:r>
      <w:proofErr w:type="gramStart"/>
      <w:r>
        <w:rPr>
          <w:rFonts w:eastAsia="Calibri"/>
          <w:bCs/>
          <w:color w:val="7F7F7F"/>
        </w:rPr>
        <w:t>fee</w:t>
      </w:r>
      <w:proofErr w:type="gramEnd"/>
      <w:r>
        <w:rPr>
          <w:rFonts w:eastAsia="Calibri"/>
          <w:bCs/>
          <w:color w:val="7F7F7F"/>
        </w:rPr>
        <w:t xml:space="preserve"> and the applicable daily storage fee (calculated on the number of days the trolley has been stored), will be charged. </w:t>
      </w:r>
    </w:p>
    <w:p w14:paraId="0E2A6A11" w14:textId="77777777" w:rsidR="00126BE8" w:rsidRDefault="00126BE8" w:rsidP="00E24228">
      <w:pPr>
        <w:pStyle w:val="Quote"/>
        <w:spacing w:before="80" w:after="0"/>
        <w:rPr>
          <w:rFonts w:eastAsia="Calibri"/>
          <w:bCs/>
          <w:color w:val="7F7F7F"/>
        </w:rPr>
      </w:pPr>
      <w:r>
        <w:rPr>
          <w:rFonts w:eastAsia="Calibri"/>
          <w:bCs/>
          <w:color w:val="7F7F7F"/>
        </w:rPr>
        <w:t xml:space="preserve">Fees have been generated on a cost recovery model, associated with the resourcing required to attend/collect, store and/or dispose of a shopping trolley located outside of shopping centre precinct and as such GST applies to these fees. </w:t>
      </w:r>
    </w:p>
    <w:p w14:paraId="0C33D536" w14:textId="77777777" w:rsidR="00126BE8" w:rsidRPr="006F5FA3" w:rsidRDefault="00126BE8" w:rsidP="007825E1">
      <w:pPr>
        <w:pStyle w:val="Heading5"/>
        <w:rPr>
          <w:rFonts w:eastAsia="Times New Roman"/>
          <w:smallCaps/>
        </w:rPr>
      </w:pPr>
      <w:r w:rsidRPr="006F5FA3">
        <w:rPr>
          <w:rFonts w:eastAsia="Times New Roman"/>
        </w:rPr>
        <w:t>Human rights issues</w:t>
      </w:r>
    </w:p>
    <w:p w14:paraId="3B873396" w14:textId="77777777"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The Committee notes that the explanatory statement for Emergencies (Fees) Determination 2024 (DI2024-148) states:</w:t>
      </w:r>
    </w:p>
    <w:p w14:paraId="4CD2D975" w14:textId="77777777" w:rsidR="00126BE8" w:rsidRDefault="00126BE8" w:rsidP="00216B8B">
      <w:pPr>
        <w:pStyle w:val="Quote"/>
        <w:spacing w:before="120" w:after="120"/>
        <w:rPr>
          <w:rFonts w:ascii="Calibri" w:eastAsia="Calibri" w:hAnsi="Calibri" w:cs="Calibri"/>
          <w:bCs/>
          <w:color w:val="7F7F7F"/>
          <w:szCs w:val="20"/>
          <w:u w:val="single"/>
        </w:rPr>
      </w:pPr>
      <w:r>
        <w:rPr>
          <w:rFonts w:eastAsia="Calibri"/>
          <w:bCs/>
          <w:color w:val="7F7F7F"/>
          <w:u w:val="single"/>
        </w:rPr>
        <w:t>Human Rights</w:t>
      </w:r>
    </w:p>
    <w:p w14:paraId="4FED40C9" w14:textId="77777777" w:rsidR="00126BE8" w:rsidRDefault="00126BE8" w:rsidP="00216B8B">
      <w:pPr>
        <w:pStyle w:val="Quote"/>
        <w:spacing w:before="120" w:after="120"/>
        <w:rPr>
          <w:rFonts w:eastAsia="Calibri"/>
          <w:bCs/>
          <w:color w:val="000000"/>
        </w:rPr>
      </w:pPr>
      <w:r>
        <w:rPr>
          <w:rFonts w:eastAsia="Calibri"/>
          <w:bCs/>
          <w:color w:val="7F7F7F"/>
        </w:rPr>
        <w:t>The Standing Committee on Justice and Community Safety (Legislative Scrutiny Role) terms of reference require consideration of human rights impacts, among other matters. In this case, no human rights are impacted.</w:t>
      </w:r>
    </w:p>
    <w:p w14:paraId="5BDB2C58" w14:textId="77777777" w:rsidR="00126BE8" w:rsidRDefault="00126BE8" w:rsidP="00EE5867">
      <w:pPr>
        <w:pStyle w:val="ListNumber2"/>
        <w:numPr>
          <w:ilvl w:val="1"/>
          <w:numId w:val="6"/>
        </w:numPr>
        <w:ind w:hanging="720"/>
        <w:rPr>
          <w:rFonts w:ascii="Calibri" w:eastAsia="Calibri" w:hAnsi="Calibri" w:cs="Calibri"/>
          <w:bCs w:val="0"/>
          <w:color w:val="000000"/>
        </w:rPr>
      </w:pPr>
      <w:bookmarkStart w:id="148" w:name="_Hlk173678998"/>
      <w:r>
        <w:rPr>
          <w:rFonts w:ascii="Calibri" w:eastAsia="Calibri" w:hAnsi="Calibri" w:cs="Calibri"/>
          <w:bCs w:val="0"/>
          <w:color w:val="000000"/>
        </w:rPr>
        <w:t>The explanatory statement for</w:t>
      </w:r>
      <w:r>
        <w:t xml:space="preserve"> </w:t>
      </w:r>
      <w:r>
        <w:rPr>
          <w:rFonts w:ascii="Calibri" w:eastAsia="Calibri" w:hAnsi="Calibri" w:cs="Calibri"/>
          <w:bCs w:val="0"/>
          <w:color w:val="000000"/>
        </w:rPr>
        <w:t>the Liquor (Reduction in Annual Licence Fee for Eligible Events) Guidelines 2024 (No 1) (DI2024-208) contains a similar statement.</w:t>
      </w:r>
    </w:p>
    <w:p w14:paraId="02411732"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the discussion of human rights issues in the explanatory statements for the 2 instruments mentioned immediately above.</w:t>
      </w:r>
    </w:p>
    <w:p w14:paraId="162389DF"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(and the comments above) does not require a response from the relevant Ministers.</w:t>
      </w:r>
    </w:p>
    <w:p w14:paraId="6C6CE609" w14:textId="77777777" w:rsidR="00126BE8" w:rsidRDefault="00126BE8" w:rsidP="00126BE8">
      <w:pPr>
        <w:keepNext/>
        <w:keepLines/>
        <w:spacing w:before="120" w:after="200"/>
        <w:outlineLvl w:val="2"/>
        <w:rPr>
          <w:rFonts w:ascii="Montserrat" w:eastAsia="Times New Roman" w:hAnsi="Montserrat" w:cs="Times New Roman"/>
          <w:b/>
          <w:i/>
          <w:iCs/>
          <w:color w:val="7492CD"/>
          <w:w w:val="90"/>
          <w:kern w:val="2"/>
          <w:sz w:val="28"/>
          <w:szCs w:val="24"/>
        </w:rPr>
      </w:pPr>
      <w:bookmarkStart w:id="149" w:name="_Toc175930210"/>
      <w:bookmarkStart w:id="150" w:name="_Toc176162867"/>
      <w:bookmarkStart w:id="151" w:name="_Toc176175553"/>
      <w:bookmarkEnd w:id="148"/>
      <w:r>
        <w:rPr>
          <w:rFonts w:ascii="Montserrat" w:eastAsia="Times New Roman" w:hAnsi="Montserrat" w:cs="Times New Roman"/>
          <w:b/>
          <w:color w:val="7492CD"/>
          <w:w w:val="90"/>
          <w:kern w:val="2"/>
          <w:sz w:val="28"/>
          <w:szCs w:val="24"/>
        </w:rPr>
        <w:lastRenderedPageBreak/>
        <w:t xml:space="preserve">Displacement of subsection 47(6) of the </w:t>
      </w:r>
      <w:r>
        <w:rPr>
          <w:rFonts w:ascii="Montserrat" w:eastAsia="Times New Roman" w:hAnsi="Montserrat" w:cs="Times New Roman"/>
          <w:b/>
          <w:i/>
          <w:iCs/>
          <w:color w:val="7492CD"/>
          <w:w w:val="90"/>
          <w:kern w:val="2"/>
          <w:sz w:val="28"/>
          <w:szCs w:val="24"/>
        </w:rPr>
        <w:t>Legislation Act 2001</w:t>
      </w:r>
      <w:bookmarkEnd w:id="149"/>
      <w:bookmarkEnd w:id="150"/>
      <w:bookmarkEnd w:id="151"/>
    </w:p>
    <w:p w14:paraId="28C1D6B1"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Disallowable Instrument DI2024-136 being the Taxation Administration (Amounts Payable—Motor Vehicle Duty) Determination 2024 made under section 139 of the </w:t>
      </w:r>
      <w:r>
        <w:rPr>
          <w:i/>
        </w:rPr>
        <w:t>Taxation Administration Act 1999</w:t>
      </w:r>
      <w:r>
        <w:rPr>
          <w:b/>
        </w:rPr>
        <w:t xml:space="preserve"> to determine the different amounts of duty payable on the application to register a motor vehicle. </w:t>
      </w:r>
    </w:p>
    <w:p w14:paraId="2F55FBAD" w14:textId="12AE2D01" w:rsidR="00126BE8" w:rsidRDefault="00126BE8" w:rsidP="00EE5867">
      <w:pPr>
        <w:pStyle w:val="ListNumber2"/>
        <w:numPr>
          <w:ilvl w:val="1"/>
          <w:numId w:val="6"/>
        </w:numPr>
        <w:ind w:hanging="720"/>
      </w:pPr>
      <w:r>
        <w:rPr>
          <w:bCs w:val="0"/>
        </w:rPr>
        <w:t xml:space="preserve">This instrument, made under section 139 of the </w:t>
      </w:r>
      <w:r>
        <w:rPr>
          <w:bCs w:val="0"/>
          <w:i/>
          <w:iCs/>
        </w:rPr>
        <w:t>Taxation Administration Act 1999</w:t>
      </w:r>
      <w:r>
        <w:rPr>
          <w:bCs w:val="0"/>
        </w:rPr>
        <w:t xml:space="preserve">, determines amounts of duty payable in relation to applications to register a motor vehicle.  Different amounts are payable in relation to different types of </w:t>
      </w:r>
      <w:proofErr w:type="gramStart"/>
      <w:r>
        <w:rPr>
          <w:bCs w:val="0"/>
        </w:rPr>
        <w:t>vehicle</w:t>
      </w:r>
      <w:proofErr w:type="gramEnd"/>
      <w:r>
        <w:rPr>
          <w:bCs w:val="0"/>
        </w:rPr>
        <w:t>, based on CO</w:t>
      </w:r>
      <w:r>
        <w:rPr>
          <w:bCs w:val="0"/>
          <w:vertAlign w:val="superscript"/>
        </w:rPr>
        <w:t>2</w:t>
      </w:r>
      <w:r>
        <w:rPr>
          <w:bCs w:val="0"/>
        </w:rPr>
        <w:t xml:space="preserve"> emissions.  </w:t>
      </w:r>
    </w:p>
    <w:p w14:paraId="10A4D83E" w14:textId="4D161343" w:rsidR="00126BE8" w:rsidRPr="00216B8B" w:rsidRDefault="00E2109B" w:rsidP="00EE5867">
      <w:pPr>
        <w:pStyle w:val="ListNumber2"/>
        <w:numPr>
          <w:ilvl w:val="1"/>
          <w:numId w:val="6"/>
        </w:numPr>
        <w:ind w:hanging="720"/>
        <w:rPr>
          <w:bCs w:val="0"/>
          <w:spacing w:val="-2"/>
        </w:rPr>
      </w:pPr>
      <w:r>
        <w:rPr>
          <w:bCs w:val="0"/>
        </w:rPr>
        <w:t xml:space="preserve">These emissions </w:t>
      </w:r>
      <w:r w:rsidR="00126BE8" w:rsidRPr="00216B8B">
        <w:rPr>
          <w:bCs w:val="0"/>
          <w:spacing w:val="-2"/>
        </w:rPr>
        <w:t>are ascertained by reference to the Green Vehicle Guide (</w:t>
      </w:r>
      <w:r w:rsidR="00126BE8" w:rsidRPr="00216B8B">
        <w:rPr>
          <w:b/>
          <w:spacing w:val="-2"/>
        </w:rPr>
        <w:t>GVG</w:t>
      </w:r>
      <w:r w:rsidR="00126BE8" w:rsidRPr="00216B8B">
        <w:rPr>
          <w:bCs w:val="0"/>
          <w:spacing w:val="-2"/>
        </w:rPr>
        <w:t>), a</w:t>
      </w:r>
      <w:r w:rsidR="00E24228">
        <w:rPr>
          <w:bCs w:val="0"/>
          <w:spacing w:val="-2"/>
        </w:rPr>
        <w:t> </w:t>
      </w:r>
      <w:r w:rsidR="00126BE8" w:rsidRPr="00216B8B">
        <w:rPr>
          <w:bCs w:val="0"/>
          <w:spacing w:val="-2"/>
        </w:rPr>
        <w:t xml:space="preserve">Commonwealth Government publication, “as in force from time to time”.  The Australian Design Rules 79 and 81 determined as part of the “national vehicle standards” under section 12 of the Commonwealth </w:t>
      </w:r>
      <w:r w:rsidR="00126BE8" w:rsidRPr="00216B8B">
        <w:rPr>
          <w:bCs w:val="0"/>
          <w:i/>
          <w:iCs/>
          <w:spacing w:val="-2"/>
        </w:rPr>
        <w:t>Road Vehicle Standards Act 2018</w:t>
      </w:r>
      <w:r w:rsidR="00126BE8" w:rsidRPr="00216B8B">
        <w:rPr>
          <w:bCs w:val="0"/>
          <w:spacing w:val="-2"/>
        </w:rPr>
        <w:t xml:space="preserve"> are also incorporated.  It is also relevant that subsection 12(2) incorporates various instruments “as they are in force from time to time”. </w:t>
      </w:r>
    </w:p>
    <w:p w14:paraId="1F088570" w14:textId="7A65AAA0" w:rsidR="00126BE8" w:rsidRDefault="00126BE8" w:rsidP="00EE5867">
      <w:pPr>
        <w:pStyle w:val="ListNumber2"/>
        <w:numPr>
          <w:ilvl w:val="1"/>
          <w:numId w:val="6"/>
        </w:numPr>
        <w:ind w:hanging="720"/>
        <w:rPr>
          <w:bCs w:val="0"/>
        </w:rPr>
      </w:pPr>
      <w:r>
        <w:rPr>
          <w:bCs w:val="0"/>
        </w:rPr>
        <w:t xml:space="preserve">This presents an issue, in the ACT, under subsection 47(6) of the </w:t>
      </w:r>
      <w:r>
        <w:rPr>
          <w:bCs w:val="0"/>
          <w:i/>
          <w:iCs/>
        </w:rPr>
        <w:t>Legislation Act 2001</w:t>
      </w:r>
      <w:r>
        <w:rPr>
          <w:bCs w:val="0"/>
        </w:rPr>
        <w:t xml:space="preserve">, which is expressly displaced by section 5 of this instrument.  Subsection 47(6) provides that any instrument that is incorporated by reference, and any amendment or replacement of such an instrument, is taken to be notifiable instrument, for section 10 of the </w:t>
      </w:r>
      <w:proofErr w:type="gramStart"/>
      <w:r>
        <w:rPr>
          <w:bCs w:val="0"/>
        </w:rPr>
        <w:t>Legislation  Act</w:t>
      </w:r>
      <w:proofErr w:type="gramEnd"/>
      <w:r>
        <w:rPr>
          <w:bCs w:val="0"/>
        </w:rPr>
        <w:t>.  A</w:t>
      </w:r>
      <w:r w:rsidR="00216B8B">
        <w:rPr>
          <w:bCs w:val="0"/>
        </w:rPr>
        <w:t> </w:t>
      </w:r>
      <w:r>
        <w:rPr>
          <w:bCs w:val="0"/>
        </w:rPr>
        <w:t>notifiable instrument must be notified on the ACT Legislation Register.</w:t>
      </w:r>
    </w:p>
    <w:p w14:paraId="24F3D508" w14:textId="77777777" w:rsidR="00126BE8" w:rsidRDefault="00126BE8" w:rsidP="00EE5867">
      <w:pPr>
        <w:pStyle w:val="ListNumber2"/>
        <w:numPr>
          <w:ilvl w:val="1"/>
          <w:numId w:val="6"/>
        </w:numPr>
        <w:ind w:hanging="720"/>
        <w:rPr>
          <w:bCs w:val="0"/>
        </w:rPr>
      </w:pPr>
      <w:r>
        <w:rPr>
          <w:bCs w:val="0"/>
        </w:rPr>
        <w:t xml:space="preserve">Subsection 47(3) of the Legislation Act generally prohibits the incorporation of external instruments “as in force from time to time” but this is subject to an expression of contrary intention.  In this case, a contrary intention is contained in subsection 208(3) of the </w:t>
      </w:r>
      <w:r>
        <w:rPr>
          <w:bCs w:val="0"/>
          <w:i/>
          <w:iCs/>
        </w:rPr>
        <w:t>Duties Act 1999</w:t>
      </w:r>
      <w:r>
        <w:rPr>
          <w:bCs w:val="0"/>
        </w:rPr>
        <w:t>, which specifically refers to the GVG.</w:t>
      </w:r>
    </w:p>
    <w:p w14:paraId="3940685A" w14:textId="77777777" w:rsidR="00126BE8" w:rsidRDefault="00126BE8" w:rsidP="00EE5867">
      <w:pPr>
        <w:pStyle w:val="ListNumber2"/>
        <w:numPr>
          <w:ilvl w:val="1"/>
          <w:numId w:val="6"/>
        </w:numPr>
        <w:ind w:hanging="720"/>
        <w:rPr>
          <w:bCs w:val="0"/>
        </w:rPr>
      </w:pPr>
      <w:r>
        <w:rPr>
          <w:bCs w:val="0"/>
        </w:rPr>
        <w:t>In relation to the disapplication of subsection 47(6), the explanatory statement for the instrument states:</w:t>
      </w:r>
    </w:p>
    <w:p w14:paraId="76F0135E" w14:textId="77777777" w:rsidR="00126BE8" w:rsidRPr="00E24228" w:rsidRDefault="00126BE8" w:rsidP="00E24228">
      <w:pPr>
        <w:pStyle w:val="Quote"/>
        <w:spacing w:before="120" w:after="120"/>
        <w:rPr>
          <w:rFonts w:eastAsia="Calibri"/>
          <w:bCs/>
          <w:color w:val="7F7F7F"/>
          <w:spacing w:val="-2"/>
        </w:rPr>
      </w:pPr>
      <w:r w:rsidRPr="00E24228">
        <w:rPr>
          <w:rFonts w:eastAsia="Calibri"/>
          <w:bCs/>
          <w:color w:val="7F7F7F"/>
          <w:spacing w:val="-2"/>
        </w:rPr>
        <w:t xml:space="preserve">As the GVG is amended frequently (whenever a new vehicle model becomes available for sale, which can be as frequent as two to three times per week), section 5 of this instrument displaces section 47 (6) of the Legislation Act. </w:t>
      </w:r>
    </w:p>
    <w:p w14:paraId="7323F2B5" w14:textId="77777777" w:rsidR="00126BE8" w:rsidRPr="00E24228" w:rsidRDefault="00126BE8" w:rsidP="00E24228">
      <w:pPr>
        <w:pStyle w:val="Quote"/>
        <w:spacing w:before="120" w:after="120"/>
        <w:rPr>
          <w:rFonts w:eastAsia="Calibri"/>
          <w:bCs/>
          <w:color w:val="7F7F7F"/>
          <w:spacing w:val="-2"/>
        </w:rPr>
      </w:pPr>
      <w:r w:rsidRPr="00E24228">
        <w:rPr>
          <w:rFonts w:eastAsia="Calibri"/>
          <w:bCs/>
          <w:color w:val="7F7F7F"/>
          <w:spacing w:val="-2"/>
        </w:rPr>
        <w:t>If section 47 (6) of the Legislation Act were not displaced, the text of the GVG would have to be remade as a new notifiable instrument every time the GVG is amended. The displacement ensures that the current version of the GVG always applies for the purposes of the instrument, removing the need to remake it as a notifiable instrument whenever it is amended by the Commonwealth.</w:t>
      </w:r>
    </w:p>
    <w:p w14:paraId="452309CE" w14:textId="77777777" w:rsidR="00126BE8" w:rsidRDefault="00126BE8" w:rsidP="00E24228">
      <w:pPr>
        <w:pStyle w:val="Quote"/>
        <w:spacing w:before="120" w:after="120"/>
        <w:rPr>
          <w:rFonts w:eastAsia="Calibri"/>
          <w:bCs/>
          <w:color w:val="7F7F7F"/>
        </w:rPr>
      </w:pPr>
      <w:r w:rsidRPr="00E24228">
        <w:rPr>
          <w:rFonts w:eastAsia="Calibri"/>
          <w:bCs/>
          <w:color w:val="7F7F7F"/>
          <w:spacing w:val="-2"/>
        </w:rPr>
        <w:t xml:space="preserve">Similarly, section 47 (6) of the Legislation Act is displaced in respect of the Australian Design Rules 79 and 81, given that they may be amended by the Australian Government under the </w:t>
      </w:r>
      <w:r w:rsidRPr="00E24228">
        <w:rPr>
          <w:rFonts w:eastAsia="Calibri"/>
          <w:bCs/>
          <w:i/>
          <w:iCs/>
          <w:color w:val="7F7F7F"/>
          <w:spacing w:val="-2"/>
        </w:rPr>
        <w:t>Road Vehicle Standards Act 2018</w:t>
      </w:r>
      <w:r w:rsidRPr="00E24228">
        <w:rPr>
          <w:rFonts w:eastAsia="Calibri"/>
          <w:bCs/>
          <w:color w:val="7F7F7F"/>
          <w:spacing w:val="-2"/>
        </w:rPr>
        <w:t xml:space="preserve"> (Cwlth) at any time</w:t>
      </w:r>
      <w:r>
        <w:rPr>
          <w:rFonts w:eastAsia="Calibri"/>
          <w:bCs/>
          <w:color w:val="7F7F7F"/>
        </w:rPr>
        <w:t>.</w:t>
      </w:r>
    </w:p>
    <w:p w14:paraId="6C3C0E02" w14:textId="77777777" w:rsidR="00126BE8" w:rsidRDefault="00126BE8" w:rsidP="00EE5867">
      <w:pPr>
        <w:pStyle w:val="ListNumber2"/>
        <w:numPr>
          <w:ilvl w:val="1"/>
          <w:numId w:val="6"/>
        </w:numPr>
        <w:ind w:hanging="720"/>
        <w:rPr>
          <w:rFonts w:eastAsia="Calibri"/>
          <w:bCs w:val="0"/>
          <w:color w:val="000000"/>
        </w:rPr>
      </w:pPr>
      <w:r>
        <w:rPr>
          <w:rFonts w:eastAsia="Calibri"/>
          <w:bCs w:val="0"/>
        </w:rPr>
        <w:t>The Committee has always looked carefully at the disapplication of subsection 47(6) of the Legislation Act.   Its fundamental concern is to ensure that any material relied on by legislation is easily accessible by users, at no cost.  Where there is a disapplication, the Committee expects to see a justification, usually in the explanatory statement for the relevant instrument, preferably with an indication of where the relevant material is readily available to users of the legislation, at no cost.</w:t>
      </w:r>
    </w:p>
    <w:p w14:paraId="56F24B53" w14:textId="77777777" w:rsidR="00126BE8" w:rsidRDefault="00126BE8" w:rsidP="00EE5867">
      <w:pPr>
        <w:pStyle w:val="ListNumber2"/>
        <w:numPr>
          <w:ilvl w:val="1"/>
          <w:numId w:val="6"/>
        </w:numPr>
        <w:ind w:hanging="720"/>
        <w:rPr>
          <w:rFonts w:eastAsia="Calibri"/>
          <w:bCs w:val="0"/>
        </w:rPr>
      </w:pPr>
      <w:r>
        <w:rPr>
          <w:rFonts w:eastAsia="Calibri"/>
          <w:bCs w:val="0"/>
        </w:rPr>
        <w:lastRenderedPageBreak/>
        <w:t>For this instrument, the explanatory statement has provided a justification but nothing about accessibility.  However, the Committee notes that both the GVG and the Australian Design Rules appear to be available, free of charge, on Commonwealth Government websites.  It would have been preferable if this issue had been more expressly dealt with, in the explanatory statement.</w:t>
      </w:r>
    </w:p>
    <w:p w14:paraId="28409EDF" w14:textId="77777777" w:rsidR="00126BE8" w:rsidRDefault="00126BE8" w:rsidP="00EE5867">
      <w:pPr>
        <w:pStyle w:val="ListNumber2"/>
        <w:numPr>
          <w:ilvl w:val="1"/>
          <w:numId w:val="6"/>
        </w:numPr>
        <w:ind w:hanging="720"/>
        <w:rPr>
          <w:rFonts w:eastAsia="Calibri"/>
          <w:bCs w:val="0"/>
        </w:rPr>
      </w:pPr>
      <w:r>
        <w:rPr>
          <w:rFonts w:eastAsia="Calibri"/>
          <w:b/>
        </w:rPr>
        <w:t>This comment does not require a response from the Minister.</w:t>
      </w:r>
    </w:p>
    <w:p w14:paraId="521BA42E" w14:textId="77777777" w:rsidR="00126BE8" w:rsidRDefault="00126BE8" w:rsidP="00126BE8">
      <w:pPr>
        <w:keepNext/>
        <w:keepLines/>
        <w:spacing w:before="120" w:after="200"/>
        <w:outlineLvl w:val="2"/>
        <w:rPr>
          <w:rFonts w:ascii="Montserrat" w:eastAsia="Times New Roman" w:hAnsi="Montserrat" w:cs="Times New Roman"/>
          <w:b/>
          <w:color w:val="7492CD"/>
          <w:w w:val="90"/>
          <w:kern w:val="2"/>
          <w:sz w:val="28"/>
          <w:szCs w:val="24"/>
        </w:rPr>
      </w:pPr>
      <w:bookmarkStart w:id="152" w:name="_Toc175930211"/>
      <w:bookmarkStart w:id="153" w:name="_Toc176162868"/>
      <w:bookmarkStart w:id="154" w:name="_Toc176175554"/>
      <w:r>
        <w:rPr>
          <w:rFonts w:ascii="Montserrat" w:eastAsia="Times New Roman" w:hAnsi="Montserrat" w:cs="Times New Roman"/>
          <w:b/>
          <w:color w:val="7492CD"/>
          <w:w w:val="90"/>
          <w:kern w:val="2"/>
          <w:sz w:val="28"/>
          <w:szCs w:val="24"/>
        </w:rPr>
        <w:t>Human Rights Issues</w:t>
      </w:r>
      <w:bookmarkEnd w:id="152"/>
      <w:bookmarkEnd w:id="153"/>
      <w:bookmarkEnd w:id="154"/>
    </w:p>
    <w:p w14:paraId="09766A61"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Disallowable Instrument DI2024-138 being the Road Transport (General) Application of Road Transport Legislation </w:t>
      </w:r>
      <w:bookmarkStart w:id="155" w:name="_Hlk174280206"/>
      <w:r>
        <w:rPr>
          <w:b/>
        </w:rPr>
        <w:t xml:space="preserve">(LCCC Saturday Night Blues </w:t>
      </w:r>
      <w:proofErr w:type="spellStart"/>
      <w:r>
        <w:rPr>
          <w:b/>
        </w:rPr>
        <w:t>Rallysprint</w:t>
      </w:r>
      <w:bookmarkEnd w:id="155"/>
      <w:proofErr w:type="spellEnd"/>
      <w:r>
        <w:rPr>
          <w:b/>
        </w:rPr>
        <w:t xml:space="preserve">) Declaration 2024 (No 1) made under section 13 of the </w:t>
      </w:r>
      <w:r>
        <w:rPr>
          <w:i/>
        </w:rPr>
        <w:t>Road Transport (General) Act 1999</w:t>
      </w:r>
      <w:r>
        <w:rPr>
          <w:b/>
        </w:rPr>
        <w:t xml:space="preserve"> provides that certain parts of the road transport legislation do not apply to a designated vehicle or the driver of a designated vehicle while participating in a special stage of the event. </w:t>
      </w:r>
    </w:p>
    <w:p w14:paraId="1EDBD3C5" w14:textId="77777777" w:rsidR="00126BE8" w:rsidRDefault="00126BE8" w:rsidP="00EE5867">
      <w:pPr>
        <w:pStyle w:val="Bodycopy"/>
        <w:keepLines/>
        <w:numPr>
          <w:ilvl w:val="0"/>
          <w:numId w:val="11"/>
        </w:numPr>
        <w:spacing w:before="120" w:after="0" w:line="283" w:lineRule="auto"/>
        <w:ind w:left="1208" w:hanging="357"/>
        <w:rPr>
          <w:b/>
        </w:rPr>
      </w:pPr>
      <w:r>
        <w:rPr>
          <w:b/>
        </w:rPr>
        <w:t xml:space="preserve">Disallowable Instrument DI2024-235 being the Road Transport (General) Application of Road Transport Legislation (Shamrock Motorsport Test Day) Declaration 2024 (No 1) made under section 13 of the </w:t>
      </w:r>
      <w:r>
        <w:rPr>
          <w:i/>
        </w:rPr>
        <w:t>Road Transport (General) Act 1999</w:t>
      </w:r>
      <w:r>
        <w:rPr>
          <w:b/>
        </w:rPr>
        <w:t xml:space="preserve"> provides that certain parts of the road transport legislation do not apply to a designated vehicle or the driver of a designated vehicle, while participating in a special stage of the event scheduled to take place on 23 July 2024. </w:t>
      </w:r>
    </w:p>
    <w:p w14:paraId="7257FFCF" w14:textId="42911D20"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 xml:space="preserve">The </w:t>
      </w:r>
      <w:r>
        <w:rPr>
          <w:rFonts w:ascii="Calibri" w:eastAsia="Calibri" w:hAnsi="Calibri" w:cs="Calibri"/>
          <w:bCs w:val="0"/>
          <w:color w:val="000000"/>
          <w:spacing w:val="-2"/>
        </w:rPr>
        <w:t xml:space="preserve">instruments mentioned above are made under section 13 of the </w:t>
      </w:r>
      <w:r>
        <w:rPr>
          <w:rFonts w:ascii="Calibri" w:eastAsia="Calibri" w:hAnsi="Calibri" w:cs="Calibri"/>
          <w:bCs w:val="0"/>
          <w:i/>
          <w:iCs/>
          <w:color w:val="000000"/>
          <w:spacing w:val="-2"/>
        </w:rPr>
        <w:t>Road Transport (General) Act 1999</w:t>
      </w:r>
      <w:r>
        <w:rPr>
          <w:rFonts w:ascii="Calibri" w:eastAsia="Calibri" w:hAnsi="Calibri" w:cs="Calibri"/>
          <w:bCs w:val="0"/>
          <w:color w:val="000000"/>
          <w:spacing w:val="-2"/>
        </w:rPr>
        <w:t xml:space="preserve">, which allows the Minister to </w:t>
      </w:r>
      <w:r>
        <w:rPr>
          <w:rFonts w:ascii="Calibri" w:eastAsia="Calibri" w:hAnsi="Calibri" w:cs="Calibri"/>
          <w:bCs w:val="0"/>
          <w:color w:val="000000"/>
          <w:spacing w:val="-2"/>
          <w:lang w:eastAsia="en-AU"/>
        </w:rPr>
        <w:t>declare</w:t>
      </w:r>
      <w:r>
        <w:rPr>
          <w:rFonts w:ascii="Calibri" w:eastAsia="Calibri" w:hAnsi="Calibri" w:cs="Calibri"/>
          <w:bCs w:val="0"/>
          <w:color w:val="000000"/>
          <w:spacing w:val="-2"/>
        </w:rPr>
        <w:t xml:space="preserve"> that the road transport legislation, or a</w:t>
      </w:r>
      <w:r w:rsidR="00E24228">
        <w:rPr>
          <w:rFonts w:ascii="Calibri" w:eastAsia="Calibri" w:hAnsi="Calibri" w:cs="Calibri"/>
          <w:bCs w:val="0"/>
          <w:color w:val="000000"/>
          <w:spacing w:val="-2"/>
        </w:rPr>
        <w:t> </w:t>
      </w:r>
      <w:r>
        <w:rPr>
          <w:rFonts w:ascii="Calibri" w:eastAsia="Calibri" w:hAnsi="Calibri" w:cs="Calibri"/>
          <w:bCs w:val="0"/>
          <w:color w:val="000000"/>
          <w:spacing w:val="-2"/>
        </w:rPr>
        <w:t>provision of the road transport legislation, does not apply to a vehicle, person or animal in a</w:t>
      </w:r>
      <w:r w:rsidR="00E24228">
        <w:rPr>
          <w:rFonts w:ascii="Calibri" w:eastAsia="Calibri" w:hAnsi="Calibri" w:cs="Calibri"/>
          <w:bCs w:val="0"/>
          <w:color w:val="000000"/>
          <w:spacing w:val="-2"/>
        </w:rPr>
        <w:t> </w:t>
      </w:r>
      <w:r>
        <w:rPr>
          <w:rFonts w:ascii="Calibri" w:eastAsia="Calibri" w:hAnsi="Calibri" w:cs="Calibri"/>
          <w:bCs w:val="0"/>
          <w:color w:val="000000"/>
          <w:spacing w:val="-2"/>
        </w:rPr>
        <w:t xml:space="preserve">place or circumstance stated in the declaration. For the first instrument, the declaration provides that the </w:t>
      </w:r>
      <w:r>
        <w:rPr>
          <w:rFonts w:ascii="Calibri" w:eastAsia="Calibri" w:hAnsi="Calibri" w:cs="Calibri"/>
          <w:bCs w:val="0"/>
          <w:i/>
          <w:iCs/>
          <w:color w:val="000000"/>
          <w:spacing w:val="-2"/>
        </w:rPr>
        <w:t>Motor Accident Injuries Act 2019</w:t>
      </w:r>
      <w:r>
        <w:rPr>
          <w:rFonts w:ascii="Calibri" w:eastAsia="Calibri" w:hAnsi="Calibri" w:cs="Calibri"/>
          <w:bCs w:val="0"/>
          <w:color w:val="000000"/>
          <w:spacing w:val="-2"/>
        </w:rPr>
        <w:t xml:space="preserve">, </w:t>
      </w:r>
      <w:bookmarkStart w:id="156" w:name="_Hlk159155000"/>
      <w:r>
        <w:rPr>
          <w:rFonts w:ascii="Calibri" w:eastAsia="Calibri" w:hAnsi="Calibri" w:cs="Calibri"/>
          <w:bCs w:val="0"/>
          <w:color w:val="000000"/>
          <w:spacing w:val="-2"/>
        </w:rPr>
        <w:t xml:space="preserve">and various other specified provisions of the motor traffic legislation, does not apply in relation to the LCCC Saturday Night Blues </w:t>
      </w:r>
      <w:proofErr w:type="spellStart"/>
      <w:r>
        <w:rPr>
          <w:rFonts w:ascii="Calibri" w:eastAsia="Calibri" w:hAnsi="Calibri" w:cs="Calibri"/>
          <w:bCs w:val="0"/>
          <w:color w:val="000000"/>
          <w:spacing w:val="-2"/>
        </w:rPr>
        <w:t>Rallysprint</w:t>
      </w:r>
      <w:proofErr w:type="spellEnd"/>
      <w:r>
        <w:rPr>
          <w:rFonts w:ascii="Calibri" w:eastAsia="Calibri" w:hAnsi="Calibri" w:cs="Calibri"/>
          <w:bCs w:val="0"/>
          <w:color w:val="000000"/>
          <w:spacing w:val="-2"/>
        </w:rPr>
        <w:t>, scheduled to take place on 22 June 2024</w:t>
      </w:r>
      <w:bookmarkEnd w:id="156"/>
      <w:r>
        <w:rPr>
          <w:rFonts w:ascii="Calibri" w:eastAsia="Calibri" w:hAnsi="Calibri" w:cs="Calibri"/>
          <w:bCs w:val="0"/>
          <w:color w:val="000000"/>
        </w:rPr>
        <w:t>.</w:t>
      </w:r>
    </w:p>
    <w:p w14:paraId="34FDA0D6"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bCs w:val="0"/>
          <w:color w:val="000000"/>
        </w:rPr>
        <w:t>The second instrument is in similar terms, applying to the Shamrock Motorsport Test Day, scheduled to take place on 23 July 2023.</w:t>
      </w:r>
    </w:p>
    <w:p w14:paraId="010FF64E"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bCs w:val="0"/>
          <w:color w:val="000000"/>
        </w:rPr>
        <w:t xml:space="preserve">The Committee notes that the </w:t>
      </w:r>
      <w:r>
        <w:rPr>
          <w:rFonts w:ascii="Calibri" w:eastAsia="Calibri" w:hAnsi="Calibri" w:cs="Calibri"/>
          <w:bCs w:val="0"/>
          <w:color w:val="000000"/>
          <w:lang w:eastAsia="en-AU"/>
        </w:rPr>
        <w:t>explanatory</w:t>
      </w:r>
      <w:r>
        <w:rPr>
          <w:rFonts w:ascii="Calibri" w:eastAsia="Calibri" w:hAnsi="Calibri" w:cs="Calibri"/>
          <w:bCs w:val="0"/>
          <w:color w:val="000000"/>
        </w:rPr>
        <w:t xml:space="preserve"> statement for the first instrument discusses human rights issues:</w:t>
      </w:r>
    </w:p>
    <w:p w14:paraId="5C68C987" w14:textId="77777777" w:rsidR="00126BE8" w:rsidRDefault="00126BE8" w:rsidP="00754DA5">
      <w:pPr>
        <w:spacing w:before="120" w:after="120"/>
        <w:ind w:left="1134" w:right="862"/>
        <w:rPr>
          <w:rFonts w:ascii="Calibri" w:eastAsia="Calibri" w:hAnsi="Calibri" w:cs="Times New Roman"/>
          <w:b/>
          <w:bCs/>
          <w:color w:val="595959"/>
          <w:sz w:val="21"/>
          <w:szCs w:val="21"/>
        </w:rPr>
      </w:pPr>
      <w:r>
        <w:rPr>
          <w:rFonts w:ascii="Calibri" w:eastAsia="Calibri" w:hAnsi="Calibri" w:cs="Times New Roman"/>
          <w:b/>
          <w:bCs/>
          <w:color w:val="595959"/>
          <w:sz w:val="21"/>
          <w:szCs w:val="21"/>
        </w:rPr>
        <w:t xml:space="preserve">Human rights implications </w:t>
      </w:r>
    </w:p>
    <w:p w14:paraId="3B082CEA" w14:textId="77777777" w:rsidR="00126BE8" w:rsidRDefault="00126BE8" w:rsidP="00754DA5">
      <w:pPr>
        <w:pStyle w:val="Quote"/>
        <w:spacing w:before="120" w:after="120"/>
        <w:rPr>
          <w:rFonts w:ascii="Calibri" w:eastAsia="Calibri" w:hAnsi="Calibri" w:cs="Times New Roman"/>
          <w:bCs/>
          <w:color w:val="595959"/>
        </w:rPr>
      </w:pPr>
      <w:r>
        <w:rPr>
          <w:rFonts w:ascii="Calibri" w:eastAsia="Calibri" w:hAnsi="Calibri" w:cs="Times New Roman"/>
          <w:bCs/>
          <w:color w:val="595959"/>
        </w:rPr>
        <w:t xml:space="preserve">During the development of this instrument, due regard was given to its effect and the operation of the rally in relation to </w:t>
      </w:r>
      <w:r>
        <w:rPr>
          <w:rFonts w:ascii="Calibri" w:eastAsia="Calibri" w:hAnsi="Calibri" w:cs="Times New Roman"/>
          <w:color w:val="595959"/>
        </w:rPr>
        <w:t>the</w:t>
      </w:r>
      <w:r>
        <w:rPr>
          <w:rFonts w:ascii="Calibri" w:eastAsia="Calibri" w:hAnsi="Calibri" w:cs="Times New Roman"/>
          <w:bCs/>
          <w:color w:val="595959"/>
        </w:rPr>
        <w:t xml:space="preserve"> compatibility with human rights as set out in the </w:t>
      </w:r>
      <w:r>
        <w:rPr>
          <w:rFonts w:ascii="Calibri" w:eastAsia="Calibri" w:hAnsi="Calibri" w:cs="Times New Roman"/>
          <w:bCs/>
          <w:i/>
          <w:iCs/>
          <w:color w:val="595959"/>
        </w:rPr>
        <w:t>Human Rights Act 2004</w:t>
      </w:r>
      <w:r>
        <w:rPr>
          <w:rFonts w:ascii="Calibri" w:eastAsia="Calibri" w:hAnsi="Calibri" w:cs="Times New Roman"/>
          <w:bCs/>
          <w:color w:val="595959"/>
        </w:rPr>
        <w:t xml:space="preserve"> (HRA). </w:t>
      </w:r>
    </w:p>
    <w:p w14:paraId="43AFEF64" w14:textId="77777777" w:rsidR="00126BE8" w:rsidRDefault="00126BE8" w:rsidP="00754DA5">
      <w:pPr>
        <w:pStyle w:val="Quote"/>
        <w:spacing w:before="120" w:after="120"/>
        <w:rPr>
          <w:rFonts w:ascii="Calibri" w:eastAsia="Calibri" w:hAnsi="Calibri" w:cs="Times New Roman"/>
          <w:bCs/>
          <w:color w:val="595959"/>
        </w:rPr>
      </w:pPr>
      <w:r>
        <w:rPr>
          <w:rFonts w:ascii="Calibri" w:eastAsia="Calibri" w:hAnsi="Calibri" w:cs="Times New Roman"/>
          <w:bCs/>
          <w:color w:val="595959"/>
        </w:rPr>
        <w:t xml:space="preserve">Section 28 of the HRA provides that human rights may be subject only to reasonable limits set by laws that can be demonstrably justified in a free and democratic society. </w:t>
      </w:r>
    </w:p>
    <w:p w14:paraId="4F7F95C3" w14:textId="77777777" w:rsidR="00126BE8" w:rsidRDefault="00126BE8" w:rsidP="00754DA5">
      <w:pPr>
        <w:spacing w:before="120" w:after="120"/>
        <w:ind w:left="1134" w:right="862"/>
        <w:rPr>
          <w:rFonts w:ascii="Calibri" w:eastAsia="Calibri" w:hAnsi="Calibri" w:cs="Times New Roman"/>
          <w:bCs/>
          <w:color w:val="595959"/>
          <w:sz w:val="21"/>
          <w:szCs w:val="21"/>
        </w:rPr>
      </w:pPr>
      <w:r>
        <w:rPr>
          <w:rFonts w:ascii="Calibri" w:eastAsia="Calibri" w:hAnsi="Calibri" w:cs="Times New Roman"/>
          <w:bCs/>
          <w:color w:val="595959"/>
          <w:sz w:val="21"/>
          <w:szCs w:val="21"/>
        </w:rPr>
        <w:t xml:space="preserve">Section 28 (2) of the HRA provides that in deciding whether a limit on a human right is reasonable, all relevant factors must be considered, including: </w:t>
      </w:r>
    </w:p>
    <w:p w14:paraId="6CA129C9" w14:textId="77777777" w:rsidR="00126BE8" w:rsidRDefault="00126BE8" w:rsidP="00754DA5">
      <w:pPr>
        <w:spacing w:before="120" w:after="120"/>
        <w:ind w:left="1702" w:right="862" w:hanging="284"/>
        <w:rPr>
          <w:rFonts w:ascii="Calibri" w:eastAsia="Calibri" w:hAnsi="Calibri" w:cs="Times New Roman"/>
          <w:bCs/>
          <w:color w:val="595959"/>
          <w:sz w:val="21"/>
          <w:szCs w:val="21"/>
        </w:rPr>
      </w:pPr>
      <w:r>
        <w:rPr>
          <w:rFonts w:ascii="Calibri" w:eastAsia="Calibri" w:hAnsi="Calibri" w:cs="Times New Roman"/>
          <w:bCs/>
          <w:color w:val="595959"/>
          <w:sz w:val="21"/>
          <w:szCs w:val="21"/>
        </w:rPr>
        <w:t>a)</w:t>
      </w:r>
      <w:r>
        <w:rPr>
          <w:rFonts w:ascii="Calibri" w:eastAsia="Calibri" w:hAnsi="Calibri" w:cs="Times New Roman"/>
          <w:bCs/>
          <w:color w:val="595959"/>
          <w:sz w:val="21"/>
          <w:szCs w:val="21"/>
        </w:rPr>
        <w:tab/>
        <w:t xml:space="preserve">the nature of the right affected </w:t>
      </w:r>
    </w:p>
    <w:p w14:paraId="7DCCFCF3" w14:textId="77777777" w:rsidR="00126BE8" w:rsidRDefault="00126BE8" w:rsidP="00754DA5">
      <w:pPr>
        <w:spacing w:before="120" w:after="120"/>
        <w:ind w:left="1702" w:right="862" w:hanging="284"/>
        <w:rPr>
          <w:rFonts w:ascii="Calibri" w:eastAsia="Calibri" w:hAnsi="Calibri" w:cs="Times New Roman"/>
          <w:bCs/>
          <w:color w:val="595959"/>
          <w:sz w:val="21"/>
          <w:szCs w:val="21"/>
        </w:rPr>
      </w:pPr>
      <w:r>
        <w:rPr>
          <w:rFonts w:ascii="Calibri" w:eastAsia="Calibri" w:hAnsi="Calibri" w:cs="Times New Roman"/>
          <w:bCs/>
          <w:color w:val="595959"/>
          <w:sz w:val="21"/>
          <w:szCs w:val="21"/>
        </w:rPr>
        <w:t>b)</w:t>
      </w:r>
      <w:r>
        <w:rPr>
          <w:rFonts w:ascii="Calibri" w:eastAsia="Calibri" w:hAnsi="Calibri" w:cs="Times New Roman"/>
          <w:bCs/>
          <w:color w:val="595959"/>
          <w:sz w:val="21"/>
          <w:szCs w:val="21"/>
        </w:rPr>
        <w:tab/>
        <w:t xml:space="preserve">the importance of the limitation </w:t>
      </w:r>
    </w:p>
    <w:p w14:paraId="3C10FD13" w14:textId="77777777" w:rsidR="00126BE8" w:rsidRDefault="00126BE8" w:rsidP="00754DA5">
      <w:pPr>
        <w:spacing w:before="120" w:after="120"/>
        <w:ind w:left="1702" w:right="862" w:hanging="284"/>
        <w:rPr>
          <w:rFonts w:ascii="Calibri" w:eastAsia="Calibri" w:hAnsi="Calibri" w:cs="Times New Roman"/>
          <w:bCs/>
          <w:color w:val="595959"/>
          <w:sz w:val="21"/>
          <w:szCs w:val="21"/>
        </w:rPr>
      </w:pPr>
      <w:r>
        <w:rPr>
          <w:rFonts w:ascii="Calibri" w:eastAsia="Calibri" w:hAnsi="Calibri" w:cs="Times New Roman"/>
          <w:bCs/>
          <w:color w:val="595959"/>
          <w:sz w:val="21"/>
          <w:szCs w:val="21"/>
        </w:rPr>
        <w:lastRenderedPageBreak/>
        <w:t>c)</w:t>
      </w:r>
      <w:r>
        <w:rPr>
          <w:rFonts w:ascii="Calibri" w:eastAsia="Calibri" w:hAnsi="Calibri" w:cs="Times New Roman"/>
          <w:bCs/>
          <w:color w:val="595959"/>
          <w:sz w:val="21"/>
          <w:szCs w:val="21"/>
        </w:rPr>
        <w:tab/>
        <w:t xml:space="preserve">the nature and extent of the limitation </w:t>
      </w:r>
    </w:p>
    <w:p w14:paraId="72C9930C" w14:textId="77777777" w:rsidR="00126BE8" w:rsidRDefault="00126BE8" w:rsidP="00754DA5">
      <w:pPr>
        <w:spacing w:before="120" w:after="120"/>
        <w:ind w:left="1702" w:right="862" w:hanging="284"/>
        <w:rPr>
          <w:rFonts w:ascii="Calibri" w:eastAsia="Calibri" w:hAnsi="Calibri" w:cs="Times New Roman"/>
          <w:bCs/>
          <w:color w:val="595959"/>
          <w:sz w:val="21"/>
          <w:szCs w:val="21"/>
        </w:rPr>
      </w:pPr>
      <w:r>
        <w:rPr>
          <w:rFonts w:ascii="Calibri" w:eastAsia="Calibri" w:hAnsi="Calibri" w:cs="Times New Roman"/>
          <w:bCs/>
          <w:color w:val="595959"/>
          <w:sz w:val="21"/>
          <w:szCs w:val="21"/>
        </w:rPr>
        <w:t>d)</w:t>
      </w:r>
      <w:r>
        <w:rPr>
          <w:rFonts w:ascii="Calibri" w:eastAsia="Calibri" w:hAnsi="Calibri" w:cs="Times New Roman"/>
          <w:bCs/>
          <w:color w:val="595959"/>
          <w:sz w:val="21"/>
          <w:szCs w:val="21"/>
        </w:rPr>
        <w:tab/>
        <w:t xml:space="preserve">the relationship between the limitation and its purpose </w:t>
      </w:r>
    </w:p>
    <w:p w14:paraId="3A1B28B3" w14:textId="77777777" w:rsidR="00126BE8" w:rsidRDefault="00126BE8" w:rsidP="00754DA5">
      <w:pPr>
        <w:spacing w:before="120" w:after="120"/>
        <w:ind w:left="1702" w:right="862" w:hanging="284"/>
        <w:rPr>
          <w:rFonts w:ascii="Calibri" w:eastAsia="Calibri" w:hAnsi="Calibri" w:cs="Times New Roman"/>
          <w:bCs/>
          <w:color w:val="595959"/>
          <w:sz w:val="21"/>
          <w:szCs w:val="21"/>
        </w:rPr>
      </w:pPr>
      <w:r>
        <w:rPr>
          <w:rFonts w:ascii="Calibri" w:eastAsia="Calibri" w:hAnsi="Calibri" w:cs="Times New Roman"/>
          <w:bCs/>
          <w:color w:val="595959"/>
          <w:sz w:val="21"/>
          <w:szCs w:val="21"/>
        </w:rPr>
        <w:t>e)</w:t>
      </w:r>
      <w:r>
        <w:rPr>
          <w:rFonts w:ascii="Calibri" w:eastAsia="Calibri" w:hAnsi="Calibri" w:cs="Times New Roman"/>
          <w:bCs/>
          <w:color w:val="595959"/>
          <w:sz w:val="21"/>
          <w:szCs w:val="21"/>
        </w:rPr>
        <w:tab/>
        <w:t xml:space="preserve">any less restrictive means reasonably available to achieve the purpose the limitation seeks to achieve. </w:t>
      </w:r>
    </w:p>
    <w:p w14:paraId="3EF51FE3" w14:textId="77777777" w:rsidR="00126BE8" w:rsidRDefault="00126BE8" w:rsidP="00754DA5">
      <w:pPr>
        <w:pStyle w:val="Quote"/>
        <w:spacing w:before="120" w:after="120"/>
        <w:rPr>
          <w:rFonts w:ascii="Calibri" w:eastAsia="Calibri" w:hAnsi="Calibri" w:cs="Times New Roman"/>
          <w:color w:val="595959"/>
        </w:rPr>
      </w:pPr>
      <w:r>
        <w:rPr>
          <w:rFonts w:ascii="Calibri" w:eastAsia="Calibri" w:hAnsi="Calibri" w:cs="Times New Roman"/>
          <w:color w:val="595959"/>
        </w:rPr>
        <w:t xml:space="preserve">Section 13 of the HRA provides a right for people to move freely within the ACT. </w:t>
      </w:r>
    </w:p>
    <w:p w14:paraId="5CD51E88" w14:textId="77777777" w:rsidR="00126BE8" w:rsidRDefault="00126BE8" w:rsidP="00754DA5">
      <w:pPr>
        <w:spacing w:before="120" w:after="120"/>
        <w:ind w:left="1134" w:right="862"/>
        <w:rPr>
          <w:rFonts w:ascii="Calibri" w:eastAsia="Calibri" w:hAnsi="Calibri" w:cs="Times New Roman"/>
          <w:color w:val="595959"/>
          <w:sz w:val="21"/>
          <w:szCs w:val="21"/>
        </w:rPr>
      </w:pPr>
      <w:r>
        <w:rPr>
          <w:rFonts w:ascii="Calibri" w:eastAsia="Calibri" w:hAnsi="Calibri" w:cs="Times New Roman"/>
          <w:color w:val="595959"/>
          <w:spacing w:val="-4"/>
          <w:sz w:val="21"/>
          <w:szCs w:val="21"/>
        </w:rPr>
        <w:t xml:space="preserve">The declarations in this </w:t>
      </w:r>
      <w:r>
        <w:rPr>
          <w:rFonts w:ascii="Calibri" w:eastAsia="Calibri" w:hAnsi="Calibri" w:cs="Times New Roman"/>
          <w:bCs/>
          <w:color w:val="595959"/>
          <w:sz w:val="21"/>
          <w:szCs w:val="21"/>
        </w:rPr>
        <w:t>instrument</w:t>
      </w:r>
      <w:r>
        <w:rPr>
          <w:rFonts w:ascii="Calibri" w:eastAsia="Calibri" w:hAnsi="Calibri" w:cs="Times New Roman"/>
          <w:color w:val="595959"/>
          <w:spacing w:val="-4"/>
          <w:sz w:val="21"/>
          <w:szCs w:val="21"/>
        </w:rPr>
        <w:t xml:space="preserve"> do not, in and of themselves, restrict a person’s freedom of movement within the Territory; however, closing parts of the forest in which the event will take place to members of the public will restrict the free movement of people in that area during the event. As multiple provisions of the road transport legislation are being disapplied for the event to operate, vehicles will be travelling in parts of the forest </w:t>
      </w:r>
      <w:proofErr w:type="gramStart"/>
      <w:r>
        <w:rPr>
          <w:rFonts w:ascii="Calibri" w:eastAsia="Calibri" w:hAnsi="Calibri" w:cs="Times New Roman"/>
          <w:color w:val="595959"/>
          <w:spacing w:val="-4"/>
          <w:sz w:val="21"/>
          <w:szCs w:val="21"/>
        </w:rPr>
        <w:t>in excess of</w:t>
      </w:r>
      <w:proofErr w:type="gramEnd"/>
      <w:r>
        <w:rPr>
          <w:rFonts w:ascii="Calibri" w:eastAsia="Calibri" w:hAnsi="Calibri" w:cs="Times New Roman"/>
          <w:color w:val="595959"/>
          <w:spacing w:val="-4"/>
          <w:sz w:val="21"/>
          <w:szCs w:val="21"/>
        </w:rPr>
        <w:t xml:space="preserve"> the usual speed limits and in a manner not consistent with the road rules. As such, the restriction on the free movement of people in those parts of the forest at those times is considered reasonable and proportionate to ensure safety of non-participants and represents the least restrictive approach that enables the event to proceed.</w:t>
      </w:r>
    </w:p>
    <w:p w14:paraId="770123CA" w14:textId="77777777" w:rsidR="00126BE8" w:rsidRDefault="00126BE8" w:rsidP="00EE5867">
      <w:pPr>
        <w:pStyle w:val="ListNumber2"/>
        <w:numPr>
          <w:ilvl w:val="1"/>
          <w:numId w:val="6"/>
        </w:numPr>
        <w:ind w:hanging="720"/>
        <w:rPr>
          <w:rFonts w:ascii="Calibri" w:eastAsia="Calibri" w:hAnsi="Calibri" w:cs="Calibri"/>
          <w:color w:val="000000"/>
          <w:szCs w:val="22"/>
          <w:lang w:eastAsia="en-AU"/>
        </w:rPr>
      </w:pPr>
      <w:r>
        <w:rPr>
          <w:rFonts w:ascii="Calibri" w:eastAsia="Calibri" w:hAnsi="Calibri" w:cs="Calibri"/>
          <w:color w:val="000000"/>
          <w:lang w:eastAsia="en-AU"/>
        </w:rPr>
        <w:t xml:space="preserve">A similar statement appears in the explanatory statement for the second instrument mentioned above. </w:t>
      </w:r>
    </w:p>
    <w:p w14:paraId="01C6FB2A" w14:textId="77777777" w:rsidR="00126BE8" w:rsidRDefault="00126BE8" w:rsidP="00EE5867">
      <w:pPr>
        <w:pStyle w:val="ListNumber2"/>
        <w:numPr>
          <w:ilvl w:val="1"/>
          <w:numId w:val="6"/>
        </w:numPr>
        <w:ind w:hanging="720"/>
        <w:rPr>
          <w:rFonts w:ascii="Calibri" w:eastAsia="Calibri" w:hAnsi="Calibri" w:cs="Calibri"/>
          <w:b/>
          <w:color w:val="000000"/>
          <w:lang w:eastAsia="en-AU"/>
        </w:rPr>
      </w:pPr>
      <w:r>
        <w:rPr>
          <w:rFonts w:ascii="Calibri" w:eastAsia="Calibri" w:hAnsi="Calibri" w:cs="Calibri"/>
          <w:b/>
          <w:bCs w:val="0"/>
          <w:color w:val="000000"/>
          <w:lang w:eastAsia="en-AU"/>
        </w:rPr>
        <w:t>The Committee draws the attention of the Legislative Assembly to the discussion of human rights issues in the explanatory statements for the instruments mentioned above.</w:t>
      </w:r>
    </w:p>
    <w:p w14:paraId="499E3A9F" w14:textId="77777777" w:rsidR="00126BE8" w:rsidRDefault="00126BE8" w:rsidP="00EE5867">
      <w:pPr>
        <w:pStyle w:val="ListNumber2"/>
        <w:numPr>
          <w:ilvl w:val="1"/>
          <w:numId w:val="6"/>
        </w:numPr>
        <w:ind w:hanging="720"/>
        <w:rPr>
          <w:rFonts w:ascii="Calibri" w:eastAsia="Calibri" w:hAnsi="Calibri" w:cs="Calibri"/>
          <w:b/>
          <w:color w:val="000000"/>
          <w:lang w:eastAsia="en-AU"/>
        </w:rPr>
      </w:pPr>
      <w:r>
        <w:rPr>
          <w:rFonts w:ascii="Calibri" w:eastAsia="Calibri" w:hAnsi="Calibri" w:cs="Calibri"/>
          <w:b/>
          <w:bCs w:val="0"/>
          <w:color w:val="000000"/>
          <w:lang w:eastAsia="en-AU"/>
        </w:rPr>
        <w:t xml:space="preserve">This comment does not require a response </w:t>
      </w:r>
      <w:r>
        <w:rPr>
          <w:rFonts w:ascii="Calibri" w:eastAsia="Calibri" w:hAnsi="Calibri" w:cs="Calibri"/>
          <w:b/>
          <w:color w:val="000000"/>
          <w:lang w:eastAsia="en-AU"/>
        </w:rPr>
        <w:t>from</w:t>
      </w:r>
      <w:r>
        <w:rPr>
          <w:rFonts w:ascii="Calibri" w:eastAsia="Calibri" w:hAnsi="Calibri" w:cs="Calibri"/>
          <w:b/>
          <w:bCs w:val="0"/>
          <w:color w:val="000000"/>
          <w:lang w:eastAsia="en-AU"/>
        </w:rPr>
        <w:t xml:space="preserve"> the Minister.</w:t>
      </w:r>
    </w:p>
    <w:p w14:paraId="563BC0BA" w14:textId="77777777" w:rsidR="00126BE8" w:rsidRDefault="00126BE8" w:rsidP="00126BE8">
      <w:pPr>
        <w:keepNext/>
        <w:keepLines/>
        <w:spacing w:before="120" w:after="200"/>
        <w:outlineLvl w:val="2"/>
        <w:rPr>
          <w:rFonts w:ascii="Montserrat" w:eastAsia="Times New Roman" w:hAnsi="Montserrat" w:cs="Times New Roman"/>
          <w:b/>
          <w:color w:val="7492CD"/>
          <w:w w:val="90"/>
          <w:kern w:val="2"/>
          <w:sz w:val="28"/>
          <w:szCs w:val="24"/>
        </w:rPr>
      </w:pPr>
      <w:bookmarkStart w:id="157" w:name="_Toc175930212"/>
      <w:bookmarkStart w:id="158" w:name="_Toc176162869"/>
      <w:bookmarkStart w:id="159" w:name="_Toc176175555"/>
      <w:bookmarkStart w:id="160" w:name="_Hlk174282210"/>
      <w:r>
        <w:rPr>
          <w:rFonts w:ascii="Montserrat" w:eastAsia="Times New Roman" w:hAnsi="Montserrat" w:cs="Times New Roman"/>
          <w:b/>
          <w:color w:val="7492CD"/>
          <w:w w:val="90"/>
          <w:kern w:val="2"/>
          <w:sz w:val="28"/>
          <w:szCs w:val="24"/>
        </w:rPr>
        <w:t>No Human Rights Issues</w:t>
      </w:r>
      <w:bookmarkEnd w:id="157"/>
      <w:bookmarkEnd w:id="158"/>
      <w:bookmarkEnd w:id="159"/>
    </w:p>
    <w:bookmarkEnd w:id="160"/>
    <w:p w14:paraId="4D5D7DAE" w14:textId="77777777" w:rsidR="00126BE8" w:rsidRDefault="00126BE8" w:rsidP="00EE5867">
      <w:pPr>
        <w:pStyle w:val="Bodycopy"/>
        <w:keepLines/>
        <w:numPr>
          <w:ilvl w:val="0"/>
          <w:numId w:val="11"/>
        </w:numPr>
        <w:spacing w:before="120" w:after="0" w:line="283" w:lineRule="auto"/>
        <w:ind w:left="1208" w:hanging="357"/>
        <w:rPr>
          <w:rFonts w:asciiTheme="minorHAnsi" w:eastAsiaTheme="minorHAnsi" w:hAnsiTheme="minorHAnsi" w:cstheme="minorBidi"/>
          <w:b/>
          <w:color w:val="auto"/>
          <w:szCs w:val="22"/>
        </w:rPr>
      </w:pPr>
      <w:r>
        <w:rPr>
          <w:b/>
        </w:rPr>
        <w:t xml:space="preserve">Disallowable Instrument DI2024-139 being the Road Transport (General) Pay Parking Area Fees Determination 2024 (No 1) </w:t>
      </w:r>
      <w:bookmarkStart w:id="161" w:name="_Hlk174280819"/>
      <w:r>
        <w:rPr>
          <w:b/>
        </w:rPr>
        <w:t xml:space="preserve">made under section 96 of the </w:t>
      </w:r>
      <w:r>
        <w:rPr>
          <w:i/>
        </w:rPr>
        <w:t>Road Transport (General) Act 1999</w:t>
      </w:r>
      <w:r>
        <w:rPr>
          <w:b/>
        </w:rPr>
        <w:t xml:space="preserve"> revokes DI2023-83 and sets the relevant parking fees for Territory-operated pay parking areas</w:t>
      </w:r>
      <w:bookmarkEnd w:id="161"/>
      <w:r>
        <w:rPr>
          <w:b/>
        </w:rPr>
        <w:t xml:space="preserve">. </w:t>
      </w:r>
    </w:p>
    <w:p w14:paraId="16AB5B73" w14:textId="77777777" w:rsidR="00126BE8" w:rsidRDefault="00126BE8" w:rsidP="00EE5867">
      <w:pPr>
        <w:pStyle w:val="Bodycopy"/>
        <w:keepLines/>
        <w:numPr>
          <w:ilvl w:val="0"/>
          <w:numId w:val="11"/>
        </w:numPr>
        <w:spacing w:before="120" w:after="0" w:line="283" w:lineRule="auto"/>
        <w:ind w:left="1208" w:hanging="357"/>
        <w:rPr>
          <w:b/>
        </w:rPr>
      </w:pPr>
      <w:r>
        <w:rPr>
          <w:b/>
        </w:rPr>
        <w:t xml:space="preserve">Disallowable Instrument DI2024-140 being the Road Transport (General) Parking Permit Fees Determination 2024 (No 1) made under section 96 of the </w:t>
      </w:r>
      <w:r>
        <w:rPr>
          <w:i/>
        </w:rPr>
        <w:t>Road Transport (General) Act 1999</w:t>
      </w:r>
      <w:r>
        <w:rPr>
          <w:b/>
        </w:rPr>
        <w:t xml:space="preserve"> revokes DI2023-84 and sets the fees for various kinds of parking permits.</w:t>
      </w:r>
    </w:p>
    <w:p w14:paraId="46DFF915" w14:textId="2B776020" w:rsidR="00126BE8" w:rsidRPr="00E24228" w:rsidRDefault="00126BE8" w:rsidP="00EE5867">
      <w:pPr>
        <w:pStyle w:val="Bodycopy"/>
        <w:keepLines/>
        <w:numPr>
          <w:ilvl w:val="0"/>
          <w:numId w:val="11"/>
        </w:numPr>
        <w:spacing w:before="120" w:after="0" w:line="283" w:lineRule="auto"/>
        <w:ind w:left="1208" w:hanging="357"/>
        <w:rPr>
          <w:b/>
          <w:spacing w:val="-2"/>
        </w:rPr>
      </w:pPr>
      <w:r w:rsidRPr="00E24228">
        <w:rPr>
          <w:b/>
          <w:spacing w:val="-2"/>
        </w:rPr>
        <w:t xml:space="preserve">Disallowable Instrument DI2024-179 being the Taxation Administration (RZ1 Unit Duty Exemption Scheme) Determination 2024 made under section 137E of the </w:t>
      </w:r>
      <w:r w:rsidRPr="00E24228">
        <w:rPr>
          <w:i/>
          <w:spacing w:val="-2"/>
        </w:rPr>
        <w:t>Taxation Administration Act 1999</w:t>
      </w:r>
      <w:r w:rsidRPr="00E24228">
        <w:rPr>
          <w:b/>
          <w:spacing w:val="-2"/>
        </w:rPr>
        <w:t xml:space="preserve"> revokes DI2023-279, exempts a transferee in relation to a</w:t>
      </w:r>
      <w:r w:rsidR="00E24228">
        <w:rPr>
          <w:b/>
          <w:spacing w:val="-2"/>
        </w:rPr>
        <w:t> </w:t>
      </w:r>
      <w:r w:rsidRPr="00E24228">
        <w:rPr>
          <w:b/>
          <w:spacing w:val="-2"/>
        </w:rPr>
        <w:t xml:space="preserve">specified eligible transaction from duty payable under the </w:t>
      </w:r>
      <w:r w:rsidRPr="00E24228">
        <w:rPr>
          <w:b/>
          <w:i/>
          <w:iCs/>
          <w:spacing w:val="-2"/>
        </w:rPr>
        <w:t>Duties Act 1999</w:t>
      </w:r>
      <w:r w:rsidRPr="00E24228">
        <w:rPr>
          <w:b/>
          <w:spacing w:val="-2"/>
        </w:rPr>
        <w:t xml:space="preserve">. </w:t>
      </w:r>
    </w:p>
    <w:p w14:paraId="19637E36" w14:textId="77777777" w:rsidR="00126BE8" w:rsidRDefault="00126BE8" w:rsidP="00EE5867">
      <w:pPr>
        <w:pStyle w:val="Bodycopy"/>
        <w:keepLines/>
        <w:numPr>
          <w:ilvl w:val="0"/>
          <w:numId w:val="11"/>
        </w:numPr>
        <w:spacing w:before="120" w:after="0" w:line="283" w:lineRule="auto"/>
        <w:ind w:left="1208" w:hanging="357"/>
        <w:rPr>
          <w:b/>
        </w:rPr>
      </w:pPr>
      <w:r>
        <w:rPr>
          <w:b/>
        </w:rPr>
        <w:t xml:space="preserve">Disallowable Instrument DI2024-219 being the Unit Titles (Management) Sale Certificate Determination 2024 made under section 119 of the </w:t>
      </w:r>
      <w:r>
        <w:rPr>
          <w:i/>
        </w:rPr>
        <w:t>Unit Titles (Management) Act 2011</w:t>
      </w:r>
      <w:r>
        <w:rPr>
          <w:b/>
        </w:rPr>
        <w:t xml:space="preserve"> determines information to be included in a unit title sale certificate and a unit title sale update certificate. </w:t>
      </w:r>
    </w:p>
    <w:p w14:paraId="18EDA075" w14:textId="77777777" w:rsidR="00126BE8" w:rsidRDefault="00126BE8" w:rsidP="00EE5867">
      <w:pPr>
        <w:pStyle w:val="ListNumber2"/>
        <w:numPr>
          <w:ilvl w:val="1"/>
          <w:numId w:val="6"/>
        </w:numPr>
        <w:ind w:hanging="720"/>
      </w:pPr>
      <w:r>
        <w:rPr>
          <w:bCs w:val="0"/>
        </w:rPr>
        <w:t xml:space="preserve">The first and second instruments mentioned above are made under section 96 of the </w:t>
      </w:r>
      <w:r>
        <w:rPr>
          <w:bCs w:val="0"/>
          <w:i/>
          <w:iCs/>
        </w:rPr>
        <w:t>Road Transport (General) Act 1999</w:t>
      </w:r>
      <w:r>
        <w:rPr>
          <w:bCs w:val="0"/>
        </w:rPr>
        <w:t>.  The first instrument sets parking fees for Territory-operated pay parking areas.  The second instrument sets</w:t>
      </w:r>
      <w:r>
        <w:t xml:space="preserve"> </w:t>
      </w:r>
      <w:r>
        <w:rPr>
          <w:bCs w:val="0"/>
        </w:rPr>
        <w:t xml:space="preserve">fees for various kinds of parking permits.  </w:t>
      </w:r>
    </w:p>
    <w:p w14:paraId="6F315CE0" w14:textId="77777777" w:rsidR="00126BE8" w:rsidRDefault="00126BE8" w:rsidP="00EE5867">
      <w:pPr>
        <w:pStyle w:val="ListNumber2"/>
        <w:numPr>
          <w:ilvl w:val="1"/>
          <w:numId w:val="6"/>
        </w:numPr>
        <w:ind w:hanging="720"/>
        <w:rPr>
          <w:bCs w:val="0"/>
        </w:rPr>
      </w:pPr>
      <w:r>
        <w:rPr>
          <w:bCs w:val="0"/>
        </w:rPr>
        <w:lastRenderedPageBreak/>
        <w:t>The third instrument mentioned above,</w:t>
      </w:r>
      <w:r>
        <w:t xml:space="preserve"> </w:t>
      </w:r>
      <w:r>
        <w:rPr>
          <w:bCs w:val="0"/>
        </w:rPr>
        <w:t xml:space="preserve">made under section 137E of the </w:t>
      </w:r>
      <w:r>
        <w:rPr>
          <w:bCs w:val="0"/>
          <w:i/>
          <w:iCs/>
        </w:rPr>
        <w:t>Taxation Administration Act 1999</w:t>
      </w:r>
      <w:r>
        <w:rPr>
          <w:bCs w:val="0"/>
        </w:rPr>
        <w:t xml:space="preserve">, exempts certain transactions from duty under the </w:t>
      </w:r>
      <w:r>
        <w:rPr>
          <w:bCs w:val="0"/>
          <w:i/>
          <w:iCs/>
        </w:rPr>
        <w:t>Duties Act 1999</w:t>
      </w:r>
      <w:r>
        <w:rPr>
          <w:bCs w:val="0"/>
        </w:rPr>
        <w:t xml:space="preserve">. </w:t>
      </w:r>
    </w:p>
    <w:p w14:paraId="53C4FC4D" w14:textId="77777777" w:rsidR="00126BE8" w:rsidRDefault="00126BE8" w:rsidP="00EE5867">
      <w:pPr>
        <w:pStyle w:val="ListNumber2"/>
        <w:numPr>
          <w:ilvl w:val="1"/>
          <w:numId w:val="6"/>
        </w:numPr>
        <w:ind w:hanging="720"/>
        <w:rPr>
          <w:bCs w:val="0"/>
        </w:rPr>
      </w:pPr>
      <w:r>
        <w:rPr>
          <w:bCs w:val="0"/>
        </w:rPr>
        <w:t xml:space="preserve">The fourth instrument mentioned above, made under section 119 of the </w:t>
      </w:r>
      <w:r>
        <w:rPr>
          <w:bCs w:val="0"/>
          <w:i/>
          <w:iCs/>
        </w:rPr>
        <w:t>Unit Titles (Management) Act 2011</w:t>
      </w:r>
      <w:r>
        <w:rPr>
          <w:bCs w:val="0"/>
        </w:rPr>
        <w:t>, determines the information to be included in a unit title sale certificate and a unit title sale update certificate.</w:t>
      </w:r>
    </w:p>
    <w:p w14:paraId="47100AC9" w14:textId="3D57385F"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bCs w:val="0"/>
          <w:color w:val="000000"/>
        </w:rPr>
        <w:t>The Committee notes that the explanatory statement for each instrument contains a</w:t>
      </w:r>
      <w:r w:rsidR="00E24228">
        <w:rPr>
          <w:rFonts w:ascii="Calibri" w:eastAsia="Calibri" w:hAnsi="Calibri" w:cs="Calibri"/>
          <w:bCs w:val="0"/>
          <w:color w:val="000000"/>
        </w:rPr>
        <w:t> </w:t>
      </w:r>
      <w:r>
        <w:rPr>
          <w:rFonts w:ascii="Calibri" w:eastAsia="Calibri" w:hAnsi="Calibri" w:cs="Calibri"/>
          <w:bCs w:val="0"/>
          <w:color w:val="000000"/>
        </w:rPr>
        <w:t>statement to the effect that no human rights are engaged by the instrument.</w:t>
      </w:r>
    </w:p>
    <w:p w14:paraId="4D7AA1AD"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the discussion of human rights issues in the explanatory statements for these instruments.</w:t>
      </w:r>
    </w:p>
    <w:p w14:paraId="74994FD2"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389833A9" w14:textId="77777777" w:rsidR="00126BE8" w:rsidRDefault="00126BE8" w:rsidP="006F5FA3">
      <w:pPr>
        <w:keepNext/>
        <w:keepLines/>
        <w:spacing w:before="240" w:after="200"/>
        <w:outlineLvl w:val="2"/>
        <w:rPr>
          <w:rFonts w:ascii="Montserrat" w:eastAsia="Times New Roman" w:hAnsi="Montserrat" w:cs="Times New Roman"/>
          <w:b/>
          <w:color w:val="7492CD"/>
          <w:w w:val="90"/>
          <w:kern w:val="2"/>
          <w:sz w:val="28"/>
          <w:szCs w:val="24"/>
        </w:rPr>
      </w:pPr>
      <w:bookmarkStart w:id="162" w:name="_Toc175930213"/>
      <w:bookmarkStart w:id="163" w:name="_Toc176162870"/>
      <w:bookmarkStart w:id="164" w:name="_Toc176175556"/>
      <w:bookmarkStart w:id="165" w:name="_Hlk174283731"/>
      <w:r>
        <w:rPr>
          <w:rFonts w:ascii="Montserrat" w:eastAsia="Times New Roman" w:hAnsi="Montserrat" w:cs="Times New Roman"/>
          <w:b/>
          <w:color w:val="7492CD"/>
          <w:w w:val="90"/>
          <w:kern w:val="2"/>
          <w:sz w:val="28"/>
          <w:szCs w:val="24"/>
        </w:rPr>
        <w:t>Human Rights Issues</w:t>
      </w:r>
      <w:bookmarkEnd w:id="162"/>
      <w:bookmarkEnd w:id="163"/>
      <w:bookmarkEnd w:id="164"/>
    </w:p>
    <w:bookmarkEnd w:id="165"/>
    <w:p w14:paraId="4202A459"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Disallowable Instrument DI2024-186 being the Public Place Names (</w:t>
      </w:r>
      <w:proofErr w:type="spellStart"/>
      <w:r>
        <w:rPr>
          <w:b/>
        </w:rPr>
        <w:t>Strathnairn</w:t>
      </w:r>
      <w:proofErr w:type="spellEnd"/>
      <w:r>
        <w:rPr>
          <w:b/>
        </w:rPr>
        <w:t xml:space="preserve">) Determination 2024 made under section 3 of the </w:t>
      </w:r>
      <w:r>
        <w:rPr>
          <w:i/>
        </w:rPr>
        <w:t>Public Place Names Act 1989</w:t>
      </w:r>
      <w:r>
        <w:rPr>
          <w:b/>
        </w:rPr>
        <w:t xml:space="preserve"> determines the name of a public place in the Division of </w:t>
      </w:r>
      <w:proofErr w:type="spellStart"/>
      <w:r>
        <w:rPr>
          <w:b/>
        </w:rPr>
        <w:t>Strathnairn</w:t>
      </w:r>
      <w:proofErr w:type="spellEnd"/>
      <w:r>
        <w:rPr>
          <w:b/>
        </w:rPr>
        <w:t xml:space="preserve">. </w:t>
      </w:r>
    </w:p>
    <w:p w14:paraId="7A67CEE2" w14:textId="77777777"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 xml:space="preserve">This instrument, made under section 3 of the </w:t>
      </w:r>
      <w:r>
        <w:rPr>
          <w:rFonts w:ascii="Calibri" w:eastAsia="Calibri" w:hAnsi="Calibri" w:cs="Calibri"/>
          <w:bCs w:val="0"/>
          <w:i/>
          <w:iCs/>
          <w:color w:val="000000"/>
        </w:rPr>
        <w:t>Place Names Act 1989</w:t>
      </w:r>
      <w:r>
        <w:rPr>
          <w:rFonts w:ascii="Calibri" w:eastAsia="Calibri" w:hAnsi="Calibri" w:cs="Calibri"/>
          <w:bCs w:val="0"/>
          <w:color w:val="000000"/>
        </w:rPr>
        <w:t xml:space="preserve">, names a road in </w:t>
      </w:r>
      <w:proofErr w:type="spellStart"/>
      <w:r>
        <w:rPr>
          <w:rFonts w:ascii="Calibri" w:eastAsia="Calibri" w:hAnsi="Calibri" w:cs="Calibri"/>
          <w:bCs w:val="0"/>
          <w:color w:val="000000"/>
        </w:rPr>
        <w:t>Strathnairn</w:t>
      </w:r>
      <w:proofErr w:type="spellEnd"/>
      <w:r>
        <w:rPr>
          <w:rFonts w:ascii="Calibri" w:eastAsia="Calibri" w:hAnsi="Calibri" w:cs="Calibri"/>
          <w:bCs w:val="0"/>
          <w:color w:val="000000"/>
        </w:rPr>
        <w:t xml:space="preserve">.  The Committee notes that, </w:t>
      </w:r>
      <w:proofErr w:type="gramStart"/>
      <w:r>
        <w:rPr>
          <w:rFonts w:ascii="Calibri" w:eastAsia="Calibri" w:hAnsi="Calibri" w:cs="Calibri"/>
          <w:bCs w:val="0"/>
          <w:color w:val="000000"/>
        </w:rPr>
        <w:t>similar to</w:t>
      </w:r>
      <w:proofErr w:type="gramEnd"/>
      <w:r>
        <w:rPr>
          <w:rFonts w:ascii="Calibri" w:eastAsia="Calibri" w:hAnsi="Calibri" w:cs="Calibri"/>
          <w:bCs w:val="0"/>
          <w:color w:val="000000"/>
        </w:rPr>
        <w:t xml:space="preserve"> explanatory statements for similar instruments, the explanatory statement for the instrument discusses potential human rights implications for the instrument.  The </w:t>
      </w:r>
      <w:proofErr w:type="gramStart"/>
      <w:r>
        <w:rPr>
          <w:rFonts w:ascii="Calibri" w:eastAsia="Calibri" w:hAnsi="Calibri" w:cs="Calibri"/>
          <w:bCs w:val="0"/>
          <w:color w:val="000000"/>
        </w:rPr>
        <w:t>particular human</w:t>
      </w:r>
      <w:proofErr w:type="gramEnd"/>
      <w:r>
        <w:rPr>
          <w:rFonts w:ascii="Calibri" w:eastAsia="Calibri" w:hAnsi="Calibri" w:cs="Calibri"/>
          <w:bCs w:val="0"/>
          <w:color w:val="000000"/>
        </w:rPr>
        <w:t xml:space="preserve"> right identified is the right to privacy and reputation, set out in section 12 of the </w:t>
      </w:r>
      <w:r>
        <w:rPr>
          <w:rFonts w:ascii="Calibri" w:eastAsia="Calibri" w:hAnsi="Calibri" w:cs="Calibri"/>
          <w:bCs w:val="0"/>
          <w:i/>
          <w:iCs/>
          <w:color w:val="000000"/>
        </w:rPr>
        <w:t>Human Rights Act 2004</w:t>
      </w:r>
      <w:r>
        <w:rPr>
          <w:rFonts w:ascii="Calibri" w:eastAsia="Calibri" w:hAnsi="Calibri" w:cs="Calibri"/>
          <w:bCs w:val="0"/>
          <w:color w:val="000000"/>
        </w:rPr>
        <w:t>.  The explanatory statement states:</w:t>
      </w:r>
    </w:p>
    <w:p w14:paraId="7B78AB29" w14:textId="77777777" w:rsidR="00126BE8" w:rsidRDefault="00126BE8" w:rsidP="00E24228">
      <w:pPr>
        <w:pStyle w:val="Quote"/>
        <w:spacing w:before="120" w:after="120"/>
        <w:rPr>
          <w:rFonts w:ascii="Calibri" w:eastAsia="Calibri" w:hAnsi="Calibri" w:cs="Calibri"/>
          <w:bCs/>
          <w:color w:val="7F7F7F"/>
          <w:szCs w:val="20"/>
          <w:u w:val="single"/>
        </w:rPr>
      </w:pPr>
      <w:r>
        <w:rPr>
          <w:rFonts w:ascii="Calibri" w:eastAsia="Calibri" w:hAnsi="Calibri" w:cs="Calibri"/>
          <w:bCs/>
          <w:color w:val="7F7F7F"/>
          <w:szCs w:val="20"/>
          <w:u w:val="single"/>
        </w:rPr>
        <w:t>Human Rights</w:t>
      </w:r>
    </w:p>
    <w:p w14:paraId="5F4B35DC" w14:textId="77777777" w:rsidR="00126BE8" w:rsidRDefault="00126BE8" w:rsidP="00E24228">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Section 12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creates a right to privacy and reputation. </w:t>
      </w:r>
    </w:p>
    <w:p w14:paraId="635E1D66" w14:textId="77777777" w:rsidR="00126BE8" w:rsidRDefault="00126BE8" w:rsidP="00E24228">
      <w:pPr>
        <w:pStyle w:val="Quote"/>
        <w:spacing w:before="120" w:after="120"/>
        <w:rPr>
          <w:rFonts w:ascii="Calibri" w:eastAsia="Calibri" w:hAnsi="Calibri" w:cs="Calibri"/>
          <w:bCs/>
          <w:color w:val="7F7F7F"/>
          <w:szCs w:val="20"/>
          <w:u w:val="single"/>
        </w:rPr>
      </w:pPr>
      <w:r>
        <w:rPr>
          <w:rFonts w:ascii="Calibri" w:eastAsia="Calibri" w:hAnsi="Calibri" w:cs="Calibri"/>
          <w:bCs/>
          <w:color w:val="7F7F7F"/>
          <w:szCs w:val="20"/>
        </w:rP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r>
        <w:rPr>
          <w:rFonts w:ascii="Calibri" w:eastAsia="Calibri" w:hAnsi="Calibri" w:cs="Calibri"/>
          <w:bCs/>
          <w:color w:val="7F7F7F"/>
          <w:szCs w:val="20"/>
          <w:u w:val="single"/>
        </w:rPr>
        <w:t>.</w:t>
      </w:r>
    </w:p>
    <w:p w14:paraId="2C9AC226"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the discussion of human rights issues in the explanatory statement for this instrument.</w:t>
      </w:r>
    </w:p>
    <w:p w14:paraId="4816FB74"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34B96E34" w14:textId="77777777" w:rsidR="00126BE8" w:rsidRDefault="00126BE8" w:rsidP="006F5FA3">
      <w:pPr>
        <w:keepNext/>
        <w:keepLines/>
        <w:spacing w:before="240" w:after="200"/>
        <w:outlineLvl w:val="2"/>
        <w:rPr>
          <w:rFonts w:ascii="Montserrat" w:eastAsia="Times New Roman" w:hAnsi="Montserrat" w:cs="Times New Roman"/>
          <w:b/>
          <w:color w:val="7492CD"/>
          <w:w w:val="90"/>
          <w:kern w:val="2"/>
          <w:sz w:val="28"/>
          <w:szCs w:val="24"/>
        </w:rPr>
      </w:pPr>
      <w:bookmarkStart w:id="166" w:name="_Toc175930214"/>
      <w:bookmarkStart w:id="167" w:name="_Toc176162871"/>
      <w:bookmarkStart w:id="168" w:name="_Toc176175557"/>
      <w:r>
        <w:rPr>
          <w:rFonts w:ascii="Montserrat" w:eastAsia="Times New Roman" w:hAnsi="Montserrat" w:cs="Times New Roman"/>
          <w:b/>
          <w:color w:val="7492CD"/>
          <w:w w:val="90"/>
          <w:kern w:val="2"/>
          <w:sz w:val="28"/>
          <w:szCs w:val="24"/>
        </w:rPr>
        <w:t>Drafting issue</w:t>
      </w:r>
      <w:bookmarkEnd w:id="166"/>
      <w:bookmarkEnd w:id="167"/>
      <w:bookmarkEnd w:id="168"/>
    </w:p>
    <w:p w14:paraId="48C58B4B"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Disallowable Instrument DI2024-197 being the Government Procurement Board (Non-Public Employee Chairperson) Appointment 2024 (No 1) made under </w:t>
      </w:r>
      <w:bookmarkStart w:id="169" w:name="_Hlk174284048"/>
      <w:r>
        <w:rPr>
          <w:b/>
        </w:rPr>
        <w:t xml:space="preserve">section 12 of the </w:t>
      </w:r>
      <w:r>
        <w:rPr>
          <w:i/>
        </w:rPr>
        <w:t>Government Procurement Act 2001</w:t>
      </w:r>
      <w:r>
        <w:rPr>
          <w:b/>
        </w:rPr>
        <w:t xml:space="preserve"> </w:t>
      </w:r>
      <w:bookmarkEnd w:id="169"/>
      <w:r>
        <w:rPr>
          <w:b/>
        </w:rPr>
        <w:t xml:space="preserve">appoints a specified person as a part-time Non-Public employee chairperson of the board. </w:t>
      </w:r>
    </w:p>
    <w:p w14:paraId="5D7DA43F" w14:textId="77777777" w:rsidR="00126BE8" w:rsidRDefault="00126BE8" w:rsidP="00EE5867">
      <w:pPr>
        <w:pStyle w:val="ListNumber2"/>
        <w:numPr>
          <w:ilvl w:val="1"/>
          <w:numId w:val="6"/>
        </w:numPr>
        <w:ind w:hanging="720"/>
      </w:pPr>
      <w:r>
        <w:rPr>
          <w:bCs w:val="0"/>
        </w:rPr>
        <w:t xml:space="preserve">This instrument appoints a specified person as “a part-time Non-Public employee chairperson” of the Government Procurement Board.  The formal parts of the instrument, and the explanatory statement, indicate that the instrument is made under section 12 of the </w:t>
      </w:r>
      <w:r>
        <w:rPr>
          <w:bCs w:val="0"/>
          <w:i/>
          <w:iCs/>
        </w:rPr>
        <w:t>Government Procurement Act 2001</w:t>
      </w:r>
      <w:r>
        <w:rPr>
          <w:bCs w:val="0"/>
        </w:rPr>
        <w:t>.</w:t>
      </w:r>
    </w:p>
    <w:p w14:paraId="3812E339" w14:textId="77777777" w:rsidR="00126BE8" w:rsidRDefault="00126BE8" w:rsidP="00EE5867">
      <w:pPr>
        <w:pStyle w:val="ListNumber2"/>
        <w:numPr>
          <w:ilvl w:val="1"/>
          <w:numId w:val="6"/>
        </w:numPr>
        <w:ind w:hanging="720"/>
        <w:rPr>
          <w:bCs w:val="0"/>
        </w:rPr>
      </w:pPr>
      <w:bookmarkStart w:id="170" w:name="_Hlk174284787"/>
      <w:r>
        <w:rPr>
          <w:bCs w:val="0"/>
        </w:rPr>
        <w:lastRenderedPageBreak/>
        <w:t>At the time that the appointment was made (21 June 2024), section 12 of the Government Procurement Act (which was subsequently significantly amended and re-numbered) provided:</w:t>
      </w:r>
    </w:p>
    <w:p w14:paraId="47A3CF7C" w14:textId="77777777" w:rsidR="00126BE8" w:rsidRPr="00B11C51" w:rsidRDefault="00126BE8" w:rsidP="00E24228">
      <w:pPr>
        <w:pStyle w:val="Quote"/>
        <w:spacing w:before="120" w:after="0"/>
        <w:rPr>
          <w:b/>
          <w:bCs/>
        </w:rPr>
      </w:pPr>
      <w:bookmarkStart w:id="171" w:name="_Toc169699495"/>
      <w:bookmarkEnd w:id="170"/>
      <w:r w:rsidRPr="00B11C51">
        <w:rPr>
          <w:rStyle w:val="CharSectNo"/>
          <w:rFonts w:eastAsiaTheme="majorEastAsia"/>
          <w:b/>
          <w:bCs/>
        </w:rPr>
        <w:t>12</w:t>
      </w:r>
      <w:r w:rsidRPr="00B11C51">
        <w:rPr>
          <w:b/>
          <w:bCs/>
        </w:rPr>
        <w:tab/>
        <w:t>Appointment of members</w:t>
      </w:r>
      <w:bookmarkEnd w:id="171"/>
    </w:p>
    <w:p w14:paraId="725B905A" w14:textId="77777777" w:rsidR="00126BE8" w:rsidRDefault="00126BE8" w:rsidP="00E24228">
      <w:pPr>
        <w:pStyle w:val="Quote"/>
        <w:spacing w:before="120" w:after="0"/>
      </w:pPr>
      <w:r>
        <w:tab/>
        <w:t>(1)</w:t>
      </w:r>
      <w:r>
        <w:tab/>
        <w:t>The members are to be appointed by the Minister.</w:t>
      </w:r>
    </w:p>
    <w:p w14:paraId="3DBDB166" w14:textId="77777777" w:rsidR="00126BE8" w:rsidRDefault="00126BE8" w:rsidP="00E24228">
      <w:pPr>
        <w:pStyle w:val="Quote"/>
        <w:spacing w:before="120" w:after="0"/>
        <w:ind w:left="2127"/>
      </w:pPr>
      <w:r>
        <w:rPr>
          <w:rStyle w:val="charItals"/>
        </w:rPr>
        <w:t>Note</w:t>
      </w:r>
      <w:r>
        <w:tab/>
        <w:t xml:space="preserve">For laws about appointments, see the </w:t>
      </w:r>
      <w:hyperlink r:id="rId17" w:tooltip="A2001-14" w:history="1">
        <w:r>
          <w:rPr>
            <w:rStyle w:val="charCitHyperlinkAbbrev"/>
          </w:rPr>
          <w:t>Legislation Act</w:t>
        </w:r>
      </w:hyperlink>
      <w:r>
        <w:t>, pt 19.3.</w:t>
      </w:r>
    </w:p>
    <w:p w14:paraId="314B74B1" w14:textId="4E980519" w:rsidR="00126BE8" w:rsidRDefault="00126BE8" w:rsidP="00E24228">
      <w:pPr>
        <w:pStyle w:val="Quote"/>
        <w:spacing w:before="120" w:after="0"/>
        <w:ind w:left="2127" w:hanging="709"/>
      </w:pPr>
      <w:r>
        <w:t>(2)</w:t>
      </w:r>
      <w:r>
        <w:tab/>
      </w:r>
      <w:bookmarkStart w:id="172" w:name="_Hlk174284954"/>
      <w:r>
        <w:t>A person appointed as chairperson, deputy chairperson, or as a public employee member, must be a public employee</w:t>
      </w:r>
      <w:bookmarkEnd w:id="172"/>
      <w:r>
        <w:t>.</w:t>
      </w:r>
    </w:p>
    <w:p w14:paraId="36C86D96" w14:textId="77777777" w:rsidR="00126BE8" w:rsidRDefault="00126BE8" w:rsidP="00E24228">
      <w:pPr>
        <w:pStyle w:val="Quote"/>
        <w:spacing w:before="120" w:after="0"/>
        <w:ind w:left="2127"/>
      </w:pPr>
      <w:r>
        <w:rPr>
          <w:rStyle w:val="charItals"/>
        </w:rPr>
        <w:t>Note</w:t>
      </w:r>
      <w:r>
        <w:rPr>
          <w:rStyle w:val="charItals"/>
        </w:rPr>
        <w:tab/>
      </w:r>
      <w:r>
        <w:rPr>
          <w:rStyle w:val="charBoldItals"/>
        </w:rPr>
        <w:t>Public employee</w:t>
      </w:r>
      <w:r>
        <w:t xml:space="preserve"> is defined in the </w:t>
      </w:r>
      <w:hyperlink r:id="rId18" w:tooltip="A2001-14" w:history="1">
        <w:r>
          <w:rPr>
            <w:rStyle w:val="charCitHyperlinkAbbrev"/>
          </w:rPr>
          <w:t>Legislation Act</w:t>
        </w:r>
      </w:hyperlink>
      <w:r>
        <w:t xml:space="preserve">, </w:t>
      </w:r>
      <w:proofErr w:type="spellStart"/>
      <w:r>
        <w:t>dict</w:t>
      </w:r>
      <w:proofErr w:type="spellEnd"/>
      <w:r>
        <w:t>, pt 1.</w:t>
      </w:r>
    </w:p>
    <w:p w14:paraId="4220F1AD" w14:textId="3BF5C6F3" w:rsidR="00126BE8" w:rsidRDefault="00126BE8" w:rsidP="00E24228">
      <w:pPr>
        <w:pStyle w:val="Quote"/>
        <w:spacing w:before="120" w:after="0"/>
        <w:ind w:left="2127" w:hanging="709"/>
      </w:pPr>
      <w:r>
        <w:t>(3)</w:t>
      </w:r>
      <w:r>
        <w:tab/>
        <w:t>A person appointed as a non-public employee member must not be a public employee.</w:t>
      </w:r>
    </w:p>
    <w:p w14:paraId="04E4600E" w14:textId="2A9B731C" w:rsidR="00126BE8" w:rsidRDefault="00126BE8" w:rsidP="00E24228">
      <w:pPr>
        <w:pStyle w:val="Quote"/>
        <w:spacing w:before="120" w:after="0"/>
        <w:ind w:left="2127" w:hanging="709"/>
      </w:pPr>
      <w:r>
        <w:t>(4)</w:t>
      </w:r>
      <w:r>
        <w:tab/>
        <w:t>The instrument appointing, or evidencing the appointment of, a</w:t>
      </w:r>
      <w:r w:rsidR="00995E50">
        <w:t> </w:t>
      </w:r>
      <w:r>
        <w:t>member must state whether the member is appointed as chairperson, deputy chairperson, a public employee member or a non-public employee member.</w:t>
      </w:r>
    </w:p>
    <w:p w14:paraId="4845A345" w14:textId="77777777" w:rsidR="00126BE8" w:rsidRDefault="00126BE8" w:rsidP="00EE5867">
      <w:pPr>
        <w:pStyle w:val="ListNumber2"/>
        <w:numPr>
          <w:ilvl w:val="1"/>
          <w:numId w:val="6"/>
        </w:numPr>
        <w:ind w:hanging="720"/>
      </w:pPr>
      <w:r>
        <w:rPr>
          <w:bCs w:val="0"/>
        </w:rPr>
        <w:t xml:space="preserve">The Committee notes that the explanatory statement for the instrument states that “the appointee is not a public servant”.  But subsection 12(2) provides that a person appointed as chairperson </w:t>
      </w:r>
      <w:r>
        <w:rPr>
          <w:bCs w:val="0"/>
          <w:u w:val="single"/>
        </w:rPr>
        <w:t>must</w:t>
      </w:r>
      <w:r>
        <w:rPr>
          <w:bCs w:val="0"/>
        </w:rPr>
        <w:t xml:space="preserve"> be a public employee.  This is in direct contrast to the relevant provision from 1 July 2024, which provides:</w:t>
      </w:r>
    </w:p>
    <w:p w14:paraId="32957206" w14:textId="77777777" w:rsidR="00126BE8" w:rsidRPr="00B11C51" w:rsidRDefault="00126BE8" w:rsidP="00E24228">
      <w:pPr>
        <w:pStyle w:val="Quote"/>
        <w:spacing w:before="120" w:after="120"/>
        <w:rPr>
          <w:b/>
          <w:bCs/>
          <w:sz w:val="22"/>
          <w:szCs w:val="22"/>
        </w:rPr>
      </w:pPr>
      <w:bookmarkStart w:id="173" w:name="_Toc169699205"/>
      <w:r w:rsidRPr="00B11C51">
        <w:rPr>
          <w:rStyle w:val="CharSectNo"/>
          <w:b/>
          <w:bCs/>
          <w:sz w:val="22"/>
          <w:szCs w:val="22"/>
        </w:rPr>
        <w:t>33</w:t>
      </w:r>
      <w:r w:rsidRPr="00B11C51">
        <w:rPr>
          <w:b/>
          <w:bCs/>
          <w:sz w:val="22"/>
          <w:szCs w:val="22"/>
        </w:rPr>
        <w:tab/>
        <w:t>Board members—appointment</w:t>
      </w:r>
      <w:bookmarkEnd w:id="173"/>
    </w:p>
    <w:p w14:paraId="2A440F7F" w14:textId="77777777" w:rsidR="00126BE8" w:rsidRDefault="00126BE8" w:rsidP="00E24228">
      <w:pPr>
        <w:pStyle w:val="Quote"/>
        <w:spacing w:before="120" w:after="120"/>
      </w:pPr>
      <w:r>
        <w:tab/>
        <w:t>(1)</w:t>
      </w:r>
      <w:r>
        <w:tab/>
        <w:t>The members are to be appointed by the Minister.</w:t>
      </w:r>
    </w:p>
    <w:p w14:paraId="10134146" w14:textId="77777777" w:rsidR="00126BE8" w:rsidRDefault="00126BE8" w:rsidP="00E24228">
      <w:pPr>
        <w:pStyle w:val="Quote"/>
        <w:spacing w:before="120" w:after="120"/>
        <w:ind w:left="1854" w:firstLine="306"/>
      </w:pPr>
      <w:r>
        <w:rPr>
          <w:rStyle w:val="charItals"/>
        </w:rPr>
        <w:t>Note</w:t>
      </w:r>
      <w:r>
        <w:rPr>
          <w:rStyle w:val="charItals"/>
        </w:rPr>
        <w:tab/>
      </w:r>
      <w:r>
        <w:t xml:space="preserve">For laws about appointments, see the </w:t>
      </w:r>
      <w:hyperlink r:id="rId19" w:tooltip="A2001-14" w:history="1">
        <w:r>
          <w:rPr>
            <w:rStyle w:val="charCitHyperlinkAbbrev"/>
          </w:rPr>
          <w:t>Legislation Act</w:t>
        </w:r>
      </w:hyperlink>
      <w:r>
        <w:t>, pt 19.3.</w:t>
      </w:r>
    </w:p>
    <w:p w14:paraId="4DBBCE81" w14:textId="06B119F7" w:rsidR="00126BE8" w:rsidRDefault="00126BE8" w:rsidP="00E24228">
      <w:pPr>
        <w:pStyle w:val="Quote"/>
        <w:spacing w:before="120" w:after="120"/>
        <w:ind w:left="2127" w:hanging="709"/>
      </w:pPr>
      <w:r>
        <w:t>(2)</w:t>
      </w:r>
      <w:r>
        <w:tab/>
        <w:t>A person appointed as chairperson or as a non-public employee member must not be a public employee.</w:t>
      </w:r>
    </w:p>
    <w:p w14:paraId="38EE0DEB" w14:textId="3B436827" w:rsidR="00126BE8" w:rsidRDefault="00126BE8" w:rsidP="00E24228">
      <w:pPr>
        <w:pStyle w:val="Quote"/>
        <w:spacing w:before="120" w:after="120"/>
        <w:ind w:left="2127" w:hanging="709"/>
      </w:pPr>
      <w:r>
        <w:t>(3)</w:t>
      </w:r>
      <w:r>
        <w:tab/>
        <w:t>A person appointed as deputy chairperson or as a public employee member must be a public employee.</w:t>
      </w:r>
    </w:p>
    <w:p w14:paraId="1F98CF28" w14:textId="6BAE013D" w:rsidR="00126BE8" w:rsidRDefault="00126BE8" w:rsidP="00E24228">
      <w:pPr>
        <w:pStyle w:val="Quote"/>
        <w:spacing w:before="120" w:after="120"/>
        <w:ind w:left="2127" w:hanging="709"/>
      </w:pPr>
      <w:r>
        <w:t>(4)</w:t>
      </w:r>
      <w:r>
        <w:tab/>
        <w:t>The instrument appointing, or evidencing the appointment of, a member must state whether the member is appointed as chairperson, deputy chairperson, a public employee member or a non-public employee member.</w:t>
      </w:r>
    </w:p>
    <w:p w14:paraId="445002C1" w14:textId="42C0C50F" w:rsidR="00126BE8" w:rsidRDefault="00126BE8" w:rsidP="00EE5867">
      <w:pPr>
        <w:pStyle w:val="ListNumber2"/>
        <w:numPr>
          <w:ilvl w:val="1"/>
          <w:numId w:val="6"/>
        </w:numPr>
        <w:ind w:hanging="720"/>
      </w:pPr>
      <w:r>
        <w:rPr>
          <w:bCs w:val="0"/>
        </w:rPr>
        <w:t>The Committee notes that the appointment is expressed to operate from 1 July 2024, when the new provision is in force.  The Committee notes that the ACT Legislation Register indicates that the instrument is effective from 1 July 2024.  However, the instrument is clearly contrary to the appointment provision that existed at the time that the Minister made the appointment.</w:t>
      </w:r>
    </w:p>
    <w:p w14:paraId="4C867C0E" w14:textId="77777777" w:rsidR="00126BE8" w:rsidRPr="00754DA5" w:rsidRDefault="00126BE8" w:rsidP="00EE5867">
      <w:pPr>
        <w:pStyle w:val="ListNumber2"/>
        <w:numPr>
          <w:ilvl w:val="1"/>
          <w:numId w:val="6"/>
        </w:numPr>
        <w:ind w:hanging="720"/>
        <w:rPr>
          <w:bCs w:val="0"/>
          <w:spacing w:val="-2"/>
        </w:rPr>
      </w:pPr>
      <w:r w:rsidRPr="00754DA5">
        <w:rPr>
          <w:bCs w:val="0"/>
          <w:spacing w:val="-2"/>
        </w:rPr>
        <w:t xml:space="preserve">The Committee notes that this situation is covered by section 81 of the </w:t>
      </w:r>
      <w:r w:rsidRPr="00754DA5">
        <w:rPr>
          <w:bCs w:val="0"/>
          <w:i/>
          <w:iCs/>
          <w:spacing w:val="-2"/>
        </w:rPr>
        <w:t>Legislation Act 2001</w:t>
      </w:r>
      <w:r w:rsidRPr="00754DA5">
        <w:rPr>
          <w:bCs w:val="0"/>
          <w:spacing w:val="-2"/>
        </w:rPr>
        <w:t xml:space="preserve">, which expressly deals with the exercise of powers (including the making of appointments) in anticipation of commencement.  However, this provision is not referred to in the explanatory statement for the instrument.  The Committee considers that it would have been preferable that it </w:t>
      </w:r>
      <w:proofErr w:type="gramStart"/>
      <w:r w:rsidRPr="00754DA5">
        <w:rPr>
          <w:bCs w:val="0"/>
          <w:spacing w:val="-2"/>
        </w:rPr>
        <w:t>were</w:t>
      </w:r>
      <w:proofErr w:type="gramEnd"/>
      <w:r w:rsidRPr="00754DA5">
        <w:rPr>
          <w:bCs w:val="0"/>
          <w:spacing w:val="-2"/>
        </w:rPr>
        <w:t xml:space="preserve"> (and the commencement issue, generally, more directly dealt with).</w:t>
      </w:r>
    </w:p>
    <w:p w14:paraId="5E520C09" w14:textId="77777777" w:rsidR="00126BE8" w:rsidRDefault="00126BE8" w:rsidP="00EE5867">
      <w:pPr>
        <w:pStyle w:val="ListNumber2"/>
        <w:numPr>
          <w:ilvl w:val="1"/>
          <w:numId w:val="6"/>
        </w:numPr>
        <w:ind w:hanging="720"/>
        <w:rPr>
          <w:b/>
          <w:bCs w:val="0"/>
        </w:rPr>
      </w:pPr>
      <w:r>
        <w:rPr>
          <w:b/>
        </w:rPr>
        <w:t>This comment does not require a response from the Minister.</w:t>
      </w:r>
    </w:p>
    <w:p w14:paraId="0CA4A524" w14:textId="25969E92" w:rsidR="00126BE8" w:rsidRDefault="00126BE8" w:rsidP="00126BE8">
      <w:pPr>
        <w:pStyle w:val="Bodycopy"/>
        <w:spacing w:after="0" w:line="280" w:lineRule="exact"/>
        <w:rPr>
          <w:rFonts w:ascii="Montserrat" w:hAnsi="Montserrat" w:cs="Times New Roman"/>
          <w:b/>
          <w:color w:val="7492CD"/>
          <w:w w:val="90"/>
          <w:kern w:val="2"/>
          <w:sz w:val="28"/>
          <w:szCs w:val="24"/>
        </w:rPr>
      </w:pPr>
      <w:r w:rsidRPr="006F5FA3">
        <w:rPr>
          <w:rFonts w:ascii="Montserrat" w:eastAsia="Times New Roman" w:hAnsi="Montserrat" w:cs="Times New Roman"/>
          <w:b/>
          <w:color w:val="7492CD"/>
          <w:w w:val="90"/>
          <w:kern w:val="2"/>
          <w:sz w:val="28"/>
          <w:szCs w:val="24"/>
          <w:lang w:eastAsia="en-US"/>
        </w:rPr>
        <w:lastRenderedPageBreak/>
        <w:t>Human</w:t>
      </w:r>
      <w:r>
        <w:rPr>
          <w:rFonts w:ascii="Montserrat" w:hAnsi="Montserrat" w:cs="Times New Roman"/>
          <w:b/>
          <w:color w:val="7492CD"/>
          <w:w w:val="90"/>
          <w:kern w:val="2"/>
          <w:sz w:val="28"/>
          <w:szCs w:val="24"/>
        </w:rPr>
        <w:t xml:space="preserve"> Rights Issues</w:t>
      </w:r>
    </w:p>
    <w:p w14:paraId="236010D3" w14:textId="77777777" w:rsidR="00126BE8" w:rsidRDefault="00126BE8" w:rsidP="00E24228">
      <w:pPr>
        <w:pStyle w:val="Bodycopy"/>
        <w:keepLines/>
        <w:numPr>
          <w:ilvl w:val="0"/>
          <w:numId w:val="11"/>
        </w:numPr>
        <w:spacing w:before="80" w:after="0" w:line="283" w:lineRule="auto"/>
        <w:ind w:left="1208" w:hanging="357"/>
        <w:rPr>
          <w:b/>
        </w:rPr>
      </w:pPr>
      <w:r>
        <w:rPr>
          <w:b/>
        </w:rPr>
        <w:t xml:space="preserve">Disallowable Instrument DI2024-203 being the Animal Diseases (Exotic Disease Quarantine Area) Declaration 2024 (No 3) made under section 19 of the </w:t>
      </w:r>
      <w:r>
        <w:rPr>
          <w:i/>
        </w:rPr>
        <w:t>Animal Diseases Act 2005</w:t>
      </w:r>
      <w:r>
        <w:rPr>
          <w:b/>
        </w:rPr>
        <w:t xml:space="preserve"> revokes DI2024-207 and is necessary to prevent the spread of the avian influenza disease. </w:t>
      </w:r>
    </w:p>
    <w:p w14:paraId="377231B7" w14:textId="77777777" w:rsidR="00126BE8" w:rsidRDefault="00126BE8" w:rsidP="00E24228">
      <w:pPr>
        <w:pStyle w:val="Bodycopy"/>
        <w:keepLines/>
        <w:numPr>
          <w:ilvl w:val="0"/>
          <w:numId w:val="11"/>
        </w:numPr>
        <w:spacing w:before="80" w:after="0" w:line="283" w:lineRule="auto"/>
        <w:ind w:left="1208" w:hanging="357"/>
        <w:rPr>
          <w:b/>
        </w:rPr>
      </w:pPr>
      <w:r>
        <w:rPr>
          <w:b/>
        </w:rPr>
        <w:t xml:space="preserve">Disallowable Instrument DI2024-206 being the Animal Diseases (Exotic Disease Quarantine Area) Declaration 2024 (No 1) made under section 19 of the </w:t>
      </w:r>
      <w:r>
        <w:rPr>
          <w:i/>
        </w:rPr>
        <w:t>Animal Diseases Act 2005</w:t>
      </w:r>
      <w:r>
        <w:rPr>
          <w:b/>
        </w:rPr>
        <w:t xml:space="preserve"> the declaration is necessary to prevent the spread of the avian influenza disease. </w:t>
      </w:r>
    </w:p>
    <w:p w14:paraId="32EA02C3" w14:textId="77777777" w:rsidR="00126BE8" w:rsidRDefault="00126BE8" w:rsidP="00E24228">
      <w:pPr>
        <w:pStyle w:val="Bodycopy"/>
        <w:keepLines/>
        <w:numPr>
          <w:ilvl w:val="0"/>
          <w:numId w:val="11"/>
        </w:numPr>
        <w:spacing w:before="80" w:after="0" w:line="283" w:lineRule="auto"/>
        <w:ind w:left="1208" w:hanging="357"/>
        <w:rPr>
          <w:b/>
        </w:rPr>
      </w:pPr>
      <w:r>
        <w:rPr>
          <w:b/>
        </w:rPr>
        <w:t xml:space="preserve">Disallowable Instrument DI2024-207 being the Animal Diseases (Exotic Disease Quarantine Area) Declaration 2024 (No 2) made under section 19 of the </w:t>
      </w:r>
      <w:r>
        <w:rPr>
          <w:i/>
        </w:rPr>
        <w:t>Animal Diseases Act 2005</w:t>
      </w:r>
      <w:r>
        <w:rPr>
          <w:b/>
        </w:rPr>
        <w:t xml:space="preserve"> the declaration is necessary to prevent the spread of the avian influenza disease. </w:t>
      </w:r>
    </w:p>
    <w:p w14:paraId="5678BF0A" w14:textId="2D806449" w:rsidR="00126BE8" w:rsidRDefault="00126BE8" w:rsidP="00EE5867">
      <w:pPr>
        <w:pStyle w:val="ListNumber2"/>
        <w:numPr>
          <w:ilvl w:val="1"/>
          <w:numId w:val="6"/>
        </w:numPr>
        <w:ind w:hanging="720"/>
      </w:pPr>
      <w:r>
        <w:rPr>
          <w:bCs w:val="0"/>
        </w:rPr>
        <w:t xml:space="preserve">The instruments mentioned above are made </w:t>
      </w:r>
      <w:r w:rsidR="00E2109B">
        <w:rPr>
          <w:bCs w:val="0"/>
        </w:rPr>
        <w:t xml:space="preserve">under </w:t>
      </w:r>
      <w:r>
        <w:rPr>
          <w:bCs w:val="0"/>
        </w:rPr>
        <w:t xml:space="preserve">section 19 of the </w:t>
      </w:r>
      <w:r>
        <w:rPr>
          <w:bCs w:val="0"/>
          <w:i/>
          <w:iCs/>
        </w:rPr>
        <w:t>Animal Diseases Act 2005</w:t>
      </w:r>
      <w:r>
        <w:t xml:space="preserve"> and are designed </w:t>
      </w:r>
      <w:r>
        <w:rPr>
          <w:bCs w:val="0"/>
        </w:rPr>
        <w:t>to prevent the spread of the avian influenza disease in the ACT. The first instrument mentioned above declares an “exotic disease quarantine area”. The explanatory statement for the instrument states:</w:t>
      </w:r>
    </w:p>
    <w:p w14:paraId="7145D86B" w14:textId="77777777" w:rsidR="00126BE8" w:rsidRDefault="00126BE8" w:rsidP="00E24228">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declaration identifies areas in the ACT’s northwest, including the divisions of Hall, Fraser, Dunlop, Charnwood, Spence, Flynn, Melba, Evatt, McKellar, Lawson, Macgregor, </w:t>
      </w:r>
      <w:proofErr w:type="spellStart"/>
      <w:r>
        <w:rPr>
          <w:rFonts w:ascii="Calibri" w:eastAsia="Calibri" w:hAnsi="Calibri" w:cs="Calibri"/>
          <w:bCs/>
          <w:color w:val="7F7F7F"/>
          <w:szCs w:val="20"/>
        </w:rPr>
        <w:t>Strathnairn</w:t>
      </w:r>
      <w:proofErr w:type="spellEnd"/>
      <w:r>
        <w:rPr>
          <w:rFonts w:ascii="Calibri" w:eastAsia="Calibri" w:hAnsi="Calibri" w:cs="Calibri"/>
          <w:bCs/>
          <w:color w:val="7F7F7F"/>
          <w:szCs w:val="20"/>
        </w:rPr>
        <w:t xml:space="preserve">, </w:t>
      </w:r>
      <w:proofErr w:type="spellStart"/>
      <w:r>
        <w:rPr>
          <w:rFonts w:ascii="Calibri" w:eastAsia="Calibri" w:hAnsi="Calibri" w:cs="Calibri"/>
          <w:bCs/>
          <w:color w:val="7F7F7F"/>
          <w:szCs w:val="20"/>
        </w:rPr>
        <w:t>Macnamara</w:t>
      </w:r>
      <w:proofErr w:type="spellEnd"/>
      <w:r>
        <w:rPr>
          <w:rFonts w:ascii="Calibri" w:eastAsia="Calibri" w:hAnsi="Calibri" w:cs="Calibri"/>
          <w:bCs/>
          <w:color w:val="7F7F7F"/>
          <w:szCs w:val="20"/>
        </w:rPr>
        <w:t xml:space="preserve">, Latham, Holt, Higgins, Florey, Scullin, Page, Belconnen, Hawker, Weetangera, Macquarie, Cook and Whitlam as an exotic disease quarantine area. This area will be referred to as the </w:t>
      </w:r>
      <w:r>
        <w:rPr>
          <w:rFonts w:ascii="Calibri" w:eastAsia="Calibri" w:hAnsi="Calibri" w:cs="Calibri"/>
          <w:b/>
          <w:i/>
          <w:iCs/>
          <w:color w:val="7F7F7F"/>
          <w:szCs w:val="20"/>
        </w:rPr>
        <w:t>control quarantine area</w:t>
      </w:r>
      <w:r>
        <w:rPr>
          <w:rFonts w:ascii="Calibri" w:eastAsia="Calibri" w:hAnsi="Calibri" w:cs="Calibri"/>
          <w:bCs/>
          <w:color w:val="7F7F7F"/>
          <w:szCs w:val="20"/>
        </w:rPr>
        <w:t xml:space="preserve"> to differentiate it from the </w:t>
      </w:r>
      <w:r>
        <w:rPr>
          <w:rFonts w:ascii="Calibri" w:eastAsia="Calibri" w:hAnsi="Calibri" w:cs="Calibri"/>
          <w:b/>
          <w:i/>
          <w:iCs/>
          <w:color w:val="7F7F7F"/>
          <w:szCs w:val="20"/>
        </w:rPr>
        <w:t>restricted quarantine area</w:t>
      </w:r>
      <w:r>
        <w:rPr>
          <w:rFonts w:ascii="Calibri" w:eastAsia="Calibri" w:hAnsi="Calibri" w:cs="Calibri"/>
          <w:bCs/>
          <w:color w:val="7F7F7F"/>
          <w:szCs w:val="20"/>
        </w:rPr>
        <w:t xml:space="preserve"> declared by </w:t>
      </w:r>
      <w:r>
        <w:rPr>
          <w:rFonts w:ascii="Calibri" w:eastAsia="Calibri" w:hAnsi="Calibri" w:cs="Calibri"/>
          <w:bCs/>
          <w:i/>
          <w:iCs/>
          <w:color w:val="7F7F7F"/>
          <w:szCs w:val="20"/>
        </w:rPr>
        <w:t>Animal Diseases (Exotic Disease Quarantine Area) Declaration 2024 (No 1)</w:t>
      </w:r>
      <w:r>
        <w:rPr>
          <w:rFonts w:ascii="Calibri" w:eastAsia="Calibri" w:hAnsi="Calibri" w:cs="Calibri"/>
          <w:bCs/>
          <w:color w:val="7F7F7F"/>
          <w:szCs w:val="20"/>
        </w:rPr>
        <w:t>. The declaration covers all avian species. This includes but is not limited to commercial layer and broiler poultry, backyard chickens, and pet, captive, and zoo birds.</w:t>
      </w:r>
    </w:p>
    <w:p w14:paraId="1F8C6F65" w14:textId="526DD981" w:rsidR="00126BE8" w:rsidRDefault="00126BE8" w:rsidP="00EE5867">
      <w:pPr>
        <w:pStyle w:val="ListNumber2"/>
        <w:numPr>
          <w:ilvl w:val="1"/>
          <w:numId w:val="6"/>
        </w:numPr>
        <w:ind w:hanging="720"/>
        <w:rPr>
          <w:rFonts w:ascii="Calibri" w:eastAsia="Times New Roman" w:hAnsi="Calibri" w:cs="Calibri"/>
          <w:bCs w:val="0"/>
          <w:color w:val="000000"/>
        </w:rPr>
      </w:pPr>
      <w:r>
        <w:rPr>
          <w:bCs w:val="0"/>
        </w:rPr>
        <w:t>The explanatory statement for the second instrument mentioned above states:</w:t>
      </w:r>
    </w:p>
    <w:p w14:paraId="699A262B" w14:textId="77777777" w:rsidR="00126BE8" w:rsidRDefault="00126BE8" w:rsidP="00E24228">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Declaration identifies areas in the Territory’s northwest, including parts of the Divisions of Macgregor, </w:t>
      </w:r>
      <w:proofErr w:type="spellStart"/>
      <w:r>
        <w:rPr>
          <w:rFonts w:ascii="Calibri" w:eastAsia="Calibri" w:hAnsi="Calibri" w:cs="Calibri"/>
          <w:bCs/>
          <w:color w:val="7F7F7F"/>
          <w:szCs w:val="20"/>
        </w:rPr>
        <w:t>Strathnairn</w:t>
      </w:r>
      <w:proofErr w:type="spellEnd"/>
      <w:r>
        <w:rPr>
          <w:rFonts w:ascii="Calibri" w:eastAsia="Calibri" w:hAnsi="Calibri" w:cs="Calibri"/>
          <w:bCs/>
          <w:color w:val="7F7F7F"/>
          <w:szCs w:val="20"/>
        </w:rPr>
        <w:t xml:space="preserve"> and </w:t>
      </w:r>
      <w:proofErr w:type="spellStart"/>
      <w:r>
        <w:rPr>
          <w:rFonts w:ascii="Calibri" w:eastAsia="Calibri" w:hAnsi="Calibri" w:cs="Calibri"/>
          <w:bCs/>
          <w:color w:val="7F7F7F"/>
          <w:szCs w:val="20"/>
        </w:rPr>
        <w:t>Macnamara</w:t>
      </w:r>
      <w:proofErr w:type="spellEnd"/>
      <w:r>
        <w:rPr>
          <w:rFonts w:ascii="Calibri" w:eastAsia="Calibri" w:hAnsi="Calibri" w:cs="Calibri"/>
          <w:bCs/>
          <w:color w:val="7F7F7F"/>
          <w:szCs w:val="20"/>
        </w:rPr>
        <w:t xml:space="preserve"> as an exotic disease quarantine area. This area will be referred to as the </w:t>
      </w:r>
      <w:r>
        <w:rPr>
          <w:rFonts w:ascii="Calibri" w:eastAsia="Calibri" w:hAnsi="Calibri" w:cs="Calibri"/>
          <w:b/>
          <w:i/>
          <w:iCs/>
          <w:color w:val="7F7F7F"/>
          <w:szCs w:val="20"/>
        </w:rPr>
        <w:t>restricted quarantine area</w:t>
      </w:r>
      <w:r>
        <w:rPr>
          <w:rFonts w:ascii="Calibri" w:eastAsia="Calibri" w:hAnsi="Calibri" w:cs="Calibri"/>
          <w:bCs/>
          <w:color w:val="7F7F7F"/>
          <w:szCs w:val="20"/>
        </w:rPr>
        <w:t xml:space="preserve"> to differentiate it from the </w:t>
      </w:r>
      <w:r>
        <w:rPr>
          <w:rFonts w:ascii="Calibri" w:eastAsia="Calibri" w:hAnsi="Calibri" w:cs="Calibri"/>
          <w:b/>
          <w:i/>
          <w:iCs/>
          <w:color w:val="7F7F7F"/>
          <w:szCs w:val="20"/>
        </w:rPr>
        <w:t>controlled quarantine area</w:t>
      </w:r>
      <w:r>
        <w:rPr>
          <w:rFonts w:ascii="Calibri" w:eastAsia="Calibri" w:hAnsi="Calibri" w:cs="Calibri"/>
          <w:bCs/>
          <w:color w:val="7F7F7F"/>
          <w:szCs w:val="20"/>
        </w:rPr>
        <w:t xml:space="preserve"> declared by </w:t>
      </w:r>
      <w:r>
        <w:rPr>
          <w:rFonts w:ascii="Calibri" w:eastAsia="Calibri" w:hAnsi="Calibri" w:cs="Calibri"/>
          <w:bCs/>
          <w:i/>
          <w:iCs/>
          <w:color w:val="7F7F7F"/>
          <w:szCs w:val="20"/>
        </w:rPr>
        <w:t>Animal Diseases (Exotic Disease Quarantine Area) Declaration 2024 (No 2).</w:t>
      </w:r>
      <w:r>
        <w:rPr>
          <w:rFonts w:ascii="Calibri" w:eastAsia="Calibri" w:hAnsi="Calibri" w:cs="Calibri"/>
          <w:bCs/>
          <w:color w:val="7F7F7F"/>
          <w:szCs w:val="20"/>
        </w:rPr>
        <w:t xml:space="preserve">  The declaration covers all avian species. This includes but is not limited to commercial layer and broiler poultry, backyard chickens, pet, captive, and zoo birds.</w:t>
      </w:r>
    </w:p>
    <w:p w14:paraId="59B72D77" w14:textId="77777777" w:rsidR="00126BE8" w:rsidRPr="006F5FA3" w:rsidRDefault="00126BE8" w:rsidP="00EE5867">
      <w:pPr>
        <w:pStyle w:val="ListNumber2"/>
        <w:numPr>
          <w:ilvl w:val="1"/>
          <w:numId w:val="6"/>
        </w:numPr>
        <w:ind w:hanging="720"/>
        <w:rPr>
          <w:bCs w:val="0"/>
        </w:rPr>
      </w:pPr>
      <w:r>
        <w:rPr>
          <w:bCs w:val="0"/>
        </w:rPr>
        <w:t>The explanatory statement for the third instrument mentioned above states:</w:t>
      </w:r>
    </w:p>
    <w:p w14:paraId="63581302" w14:textId="77777777" w:rsidR="00126BE8" w:rsidRPr="00754DA5" w:rsidRDefault="00126BE8" w:rsidP="00E24228">
      <w:pPr>
        <w:pStyle w:val="Quote"/>
        <w:spacing w:before="120" w:after="120"/>
        <w:rPr>
          <w:rFonts w:ascii="Calibri" w:eastAsia="Calibri" w:hAnsi="Calibri" w:cs="Calibri"/>
          <w:bCs/>
          <w:color w:val="7F7F7F"/>
          <w:spacing w:val="-2"/>
          <w:szCs w:val="20"/>
        </w:rPr>
      </w:pPr>
      <w:r w:rsidRPr="00754DA5">
        <w:rPr>
          <w:rFonts w:ascii="Calibri" w:eastAsia="Calibri" w:hAnsi="Calibri" w:cs="Calibri"/>
          <w:bCs/>
          <w:color w:val="7F7F7F"/>
          <w:spacing w:val="-2"/>
          <w:szCs w:val="20"/>
        </w:rPr>
        <w:t xml:space="preserve">The Declaration identifies areas in the Territory’s northwest, including the Divisions of Hall, Fraser, Dunlop, Charnwood, Spence, Flynn, Melba, Evatt, </w:t>
      </w:r>
      <w:proofErr w:type="spellStart"/>
      <w:r w:rsidRPr="00754DA5">
        <w:rPr>
          <w:rFonts w:ascii="Calibri" w:eastAsia="Calibri" w:hAnsi="Calibri" w:cs="Calibri"/>
          <w:bCs/>
          <w:color w:val="7F7F7F"/>
          <w:spacing w:val="-2"/>
          <w:szCs w:val="20"/>
        </w:rPr>
        <w:t>Mckellar</w:t>
      </w:r>
      <w:proofErr w:type="spellEnd"/>
      <w:r w:rsidRPr="00754DA5">
        <w:rPr>
          <w:rFonts w:ascii="Calibri" w:eastAsia="Calibri" w:hAnsi="Calibri" w:cs="Calibri"/>
          <w:bCs/>
          <w:color w:val="7F7F7F"/>
          <w:spacing w:val="-2"/>
          <w:szCs w:val="20"/>
        </w:rPr>
        <w:t xml:space="preserve">, Lawson, Macgregor, </w:t>
      </w:r>
      <w:proofErr w:type="spellStart"/>
      <w:r w:rsidRPr="00754DA5">
        <w:rPr>
          <w:rFonts w:ascii="Calibri" w:eastAsia="Calibri" w:hAnsi="Calibri" w:cs="Calibri"/>
          <w:bCs/>
          <w:color w:val="7F7F7F"/>
          <w:spacing w:val="-2"/>
          <w:szCs w:val="20"/>
        </w:rPr>
        <w:t>Strathnairn</w:t>
      </w:r>
      <w:proofErr w:type="spellEnd"/>
      <w:r w:rsidRPr="00754DA5">
        <w:rPr>
          <w:rFonts w:ascii="Calibri" w:eastAsia="Calibri" w:hAnsi="Calibri" w:cs="Calibri"/>
          <w:bCs/>
          <w:color w:val="7F7F7F"/>
          <w:spacing w:val="-2"/>
          <w:szCs w:val="20"/>
        </w:rPr>
        <w:t xml:space="preserve">, </w:t>
      </w:r>
      <w:proofErr w:type="spellStart"/>
      <w:r w:rsidRPr="00754DA5">
        <w:rPr>
          <w:rFonts w:ascii="Calibri" w:eastAsia="Calibri" w:hAnsi="Calibri" w:cs="Calibri"/>
          <w:bCs/>
          <w:color w:val="7F7F7F"/>
          <w:spacing w:val="-2"/>
          <w:szCs w:val="20"/>
        </w:rPr>
        <w:t>Macnamara</w:t>
      </w:r>
      <w:proofErr w:type="spellEnd"/>
      <w:r w:rsidRPr="00754DA5">
        <w:rPr>
          <w:rFonts w:ascii="Calibri" w:eastAsia="Calibri" w:hAnsi="Calibri" w:cs="Calibri"/>
          <w:bCs/>
          <w:color w:val="7F7F7F"/>
          <w:spacing w:val="-2"/>
          <w:szCs w:val="20"/>
        </w:rPr>
        <w:t xml:space="preserve">, Latham, Holt, Higgins, Florey, Scullin, Page, Belconnen, Hawker, Weetangera, Macquarie, Cook and Whitlam as an exotic disease quarantine area. This area will be referred to as the </w:t>
      </w:r>
      <w:r w:rsidRPr="00754DA5">
        <w:rPr>
          <w:rFonts w:ascii="Calibri" w:eastAsia="Calibri" w:hAnsi="Calibri" w:cs="Calibri"/>
          <w:b/>
          <w:i/>
          <w:iCs/>
          <w:color w:val="7F7F7F"/>
          <w:spacing w:val="-2"/>
          <w:szCs w:val="20"/>
        </w:rPr>
        <w:t xml:space="preserve">control quarantine area </w:t>
      </w:r>
      <w:r w:rsidRPr="00754DA5">
        <w:rPr>
          <w:rFonts w:ascii="Calibri" w:eastAsia="Calibri" w:hAnsi="Calibri" w:cs="Calibri"/>
          <w:bCs/>
          <w:color w:val="7F7F7F"/>
          <w:spacing w:val="-2"/>
          <w:szCs w:val="20"/>
        </w:rPr>
        <w:t xml:space="preserve">to differentiate it from the </w:t>
      </w:r>
      <w:r w:rsidRPr="00754DA5">
        <w:rPr>
          <w:rFonts w:ascii="Calibri" w:eastAsia="Calibri" w:hAnsi="Calibri" w:cs="Calibri"/>
          <w:b/>
          <w:i/>
          <w:iCs/>
          <w:color w:val="7F7F7F"/>
          <w:spacing w:val="-2"/>
          <w:szCs w:val="20"/>
        </w:rPr>
        <w:t>restricted quarantine area</w:t>
      </w:r>
      <w:r w:rsidRPr="00754DA5">
        <w:rPr>
          <w:rFonts w:ascii="Calibri" w:eastAsia="Calibri" w:hAnsi="Calibri" w:cs="Calibri"/>
          <w:bCs/>
          <w:color w:val="7F7F7F"/>
          <w:spacing w:val="-2"/>
          <w:szCs w:val="20"/>
        </w:rPr>
        <w:t xml:space="preserve"> declared by </w:t>
      </w:r>
      <w:r w:rsidRPr="00754DA5">
        <w:rPr>
          <w:rFonts w:ascii="Calibri" w:eastAsia="Calibri" w:hAnsi="Calibri" w:cs="Calibri"/>
          <w:bCs/>
          <w:i/>
          <w:iCs/>
          <w:color w:val="7F7F7F"/>
          <w:spacing w:val="-2"/>
          <w:szCs w:val="20"/>
        </w:rPr>
        <w:t>Animal Diseases (Exotic Disease Quarantine Area) Declaration 2024 (No 1)</w:t>
      </w:r>
      <w:r w:rsidRPr="00754DA5">
        <w:rPr>
          <w:rFonts w:ascii="Calibri" w:eastAsia="Calibri" w:hAnsi="Calibri" w:cs="Calibri"/>
          <w:bCs/>
          <w:color w:val="7F7F7F"/>
          <w:spacing w:val="-2"/>
          <w:szCs w:val="20"/>
        </w:rPr>
        <w:t>.  The declaration covers all avian species. This includes but is not limited to commercial layer and broiler poultry, backyard chickens, pet, captive, and zoo birds.</w:t>
      </w:r>
    </w:p>
    <w:p w14:paraId="44DE1954" w14:textId="77777777" w:rsidR="00126BE8" w:rsidRDefault="00126BE8" w:rsidP="00EE5867">
      <w:pPr>
        <w:pStyle w:val="ListNumber2"/>
        <w:numPr>
          <w:ilvl w:val="1"/>
          <w:numId w:val="6"/>
        </w:numPr>
        <w:ind w:hanging="720"/>
        <w:rPr>
          <w:rFonts w:ascii="Calibri" w:eastAsia="Times New Roman" w:hAnsi="Calibri" w:cs="Calibri"/>
          <w:bCs w:val="0"/>
          <w:color w:val="000000"/>
        </w:rPr>
      </w:pPr>
      <w:r>
        <w:rPr>
          <w:bCs w:val="0"/>
        </w:rPr>
        <w:lastRenderedPageBreak/>
        <w:t>The explanatory statement for the first instrument mentioned above goes on to discuss human rights issues, focussing on the right to the freedom of movement and the</w:t>
      </w:r>
      <w:r>
        <w:t xml:space="preserve"> </w:t>
      </w:r>
      <w:r>
        <w:rPr>
          <w:bCs w:val="0"/>
        </w:rPr>
        <w:t xml:space="preserve">right to work and other work-related rights, protected by sections 13 and 27B of the </w:t>
      </w:r>
      <w:r>
        <w:rPr>
          <w:bCs w:val="0"/>
          <w:i/>
          <w:iCs/>
        </w:rPr>
        <w:t xml:space="preserve">Human Rights Act </w:t>
      </w:r>
      <w:r w:rsidRPr="00AA34C6">
        <w:rPr>
          <w:bCs w:val="0"/>
          <w:i/>
          <w:iCs/>
        </w:rPr>
        <w:t>2004</w:t>
      </w:r>
      <w:r>
        <w:rPr>
          <w:bCs w:val="0"/>
        </w:rPr>
        <w:t>, respectively:</w:t>
      </w:r>
    </w:p>
    <w:p w14:paraId="177E910C" w14:textId="77777777" w:rsidR="00126BE8" w:rsidRDefault="00126BE8" w:rsidP="00754DA5">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Human Rights</w:t>
      </w:r>
    </w:p>
    <w:p w14:paraId="6D8F318E" w14:textId="77777777" w:rsidR="00126BE8" w:rsidRDefault="00126BE8" w:rsidP="00754DA5">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declaration engages and may limit the right to freedom of movement and the right to work and other work-related rights in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w:t>
      </w:r>
      <w:r>
        <w:rPr>
          <w:rFonts w:ascii="Calibri" w:eastAsia="Calibri" w:hAnsi="Calibri" w:cs="Calibri"/>
          <w:b/>
          <w:color w:val="7F7F7F"/>
          <w:szCs w:val="20"/>
        </w:rPr>
        <w:t>HRA</w:t>
      </w:r>
      <w:r>
        <w:rPr>
          <w:rFonts w:ascii="Calibri" w:eastAsia="Calibri" w:hAnsi="Calibri" w:cs="Calibri"/>
          <w:bCs/>
          <w:color w:val="7F7F7F"/>
          <w:szCs w:val="20"/>
        </w:rPr>
        <w:t xml:space="preserve">). The limitations are reasonable and proportionate in accordance with the test in section 28 of the HRA. The measures in the declaration have a critical purpose, which is to minimise the spread of the disease in the ACT. </w:t>
      </w:r>
    </w:p>
    <w:p w14:paraId="296CF745" w14:textId="77777777" w:rsidR="00126BE8" w:rsidRDefault="00126BE8" w:rsidP="00754DA5">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limitation </w:t>
      </w:r>
      <w:bookmarkStart w:id="174" w:name="_Hlk174287858"/>
      <w:r>
        <w:rPr>
          <w:rFonts w:ascii="Calibri" w:eastAsia="Calibri" w:hAnsi="Calibri" w:cs="Calibri"/>
          <w:bCs/>
          <w:color w:val="7F7F7F"/>
          <w:szCs w:val="20"/>
        </w:rPr>
        <w:t>on the right to the freedom of movement (HRA, section 13</w:t>
      </w:r>
      <w:bookmarkEnd w:id="174"/>
      <w:r>
        <w:rPr>
          <w:rFonts w:ascii="Calibri" w:eastAsia="Calibri" w:hAnsi="Calibri" w:cs="Calibri"/>
          <w:bCs/>
          <w:color w:val="7F7F7F"/>
          <w:szCs w:val="20"/>
        </w:rPr>
        <w:t xml:space="preserve">) only applies to someone who is intending to move a declared animal, declared animal products or equipment used in the care of birds, as defined by the declaration. This limitation is necessary as the movement of birds and any object capable of transmitting the disease are heavily implicated in the spread of the disease. There are no other reasonably available and less restrictive alternatives to avoid the risk of the spread of the disease from one site to another. </w:t>
      </w:r>
    </w:p>
    <w:p w14:paraId="5456CE15" w14:textId="77777777" w:rsidR="00126BE8" w:rsidRDefault="00126BE8" w:rsidP="00754DA5">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limitation on the right to work and other work-related rights (HRA, section 27B) apply to the owners of poultry businesses whose premises fall within the control quarantine area. This limitation is necessary as the movement of birds and any object capable of transmitting the disease are heavily implicated in the spread of the disease. The ACT Government is working very closely with affected businesses. There are provisions under the Act that provide compensation for animals, premises or other things that are destroyed to control and prevent the spread of the disease. There are no other reasonably available and less restrictive alternatives to avoid the risk of the spread of the disease.</w:t>
      </w:r>
    </w:p>
    <w:p w14:paraId="212CE86D"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bCs w:val="0"/>
          <w:color w:val="000000"/>
        </w:rPr>
        <w:t>The explanatory statements for the second and third instruments mentioned above contain similar statements.</w:t>
      </w:r>
    </w:p>
    <w:p w14:paraId="52DD6D8C"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the discussion of human rights issues in the explanatory statements for the instruments mentioned above.</w:t>
      </w:r>
    </w:p>
    <w:p w14:paraId="13C0666F"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57266A3E" w14:textId="77777777" w:rsidR="00126BE8" w:rsidRPr="006F5FA3" w:rsidRDefault="00126BE8" w:rsidP="007825E1">
      <w:pPr>
        <w:pStyle w:val="Heading3"/>
        <w:rPr>
          <w:rFonts w:eastAsia="Times New Roman"/>
        </w:rPr>
      </w:pPr>
      <w:bookmarkStart w:id="175" w:name="_Toc175930215"/>
      <w:bookmarkStart w:id="176" w:name="_Toc176162872"/>
      <w:bookmarkStart w:id="177" w:name="_Toc176175558"/>
      <w:r w:rsidRPr="006F5FA3">
        <w:rPr>
          <w:rFonts w:eastAsia="Times New Roman"/>
        </w:rPr>
        <w:t>Human Rights Issues</w:t>
      </w:r>
      <w:bookmarkEnd w:id="175"/>
      <w:bookmarkEnd w:id="176"/>
      <w:bookmarkEnd w:id="177"/>
    </w:p>
    <w:p w14:paraId="77C6B605"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Disallowable Instrument DI2024-204 being the Civil Law (Wrongs) The Bar Association of Queensland Professional Standards Scheme 2024 made under Schedule 4, section 4.10 of the </w:t>
      </w:r>
      <w:r>
        <w:rPr>
          <w:i/>
        </w:rPr>
        <w:t>Civil Law (Wrongs) Act 2002</w:t>
      </w:r>
      <w:r>
        <w:rPr>
          <w:b/>
        </w:rPr>
        <w:t xml:space="preserve"> gives notice of the Professional Standards Council of Queensland's approval of the Bar Association of Queensland Professional Standards Scheme. </w:t>
      </w:r>
    </w:p>
    <w:p w14:paraId="1D41D46E" w14:textId="77777777" w:rsidR="00126BE8" w:rsidRDefault="00126BE8" w:rsidP="00EE5867">
      <w:pPr>
        <w:pStyle w:val="Bodycopy"/>
        <w:keepLines/>
        <w:numPr>
          <w:ilvl w:val="0"/>
          <w:numId w:val="11"/>
        </w:numPr>
        <w:spacing w:before="120" w:after="0" w:line="283" w:lineRule="auto"/>
        <w:ind w:left="1208" w:hanging="357"/>
        <w:rPr>
          <w:b/>
        </w:rPr>
      </w:pPr>
      <w:r>
        <w:rPr>
          <w:b/>
        </w:rPr>
        <w:t xml:space="preserve">Disallowable Instrument DI2024-205 being the Civil Law (Wrongs) The Law Society of Western Australia Professional Standards Scheme 2024 made under Schedule 4, section 4.10 of the </w:t>
      </w:r>
      <w:r>
        <w:rPr>
          <w:i/>
        </w:rPr>
        <w:t>Civil Law (Wrongs) Act 2002</w:t>
      </w:r>
      <w:r>
        <w:rPr>
          <w:b/>
        </w:rPr>
        <w:t xml:space="preserve"> gives notice of the Professional Standards Council of Western Australia's approval of The Law Society of Western Australia Scheme. </w:t>
      </w:r>
    </w:p>
    <w:p w14:paraId="017F481F" w14:textId="77777777" w:rsidR="00126BE8" w:rsidRDefault="00126BE8" w:rsidP="00EE5867">
      <w:pPr>
        <w:pStyle w:val="ListNumber2"/>
        <w:numPr>
          <w:ilvl w:val="1"/>
          <w:numId w:val="6"/>
        </w:numPr>
        <w:ind w:hanging="720"/>
      </w:pPr>
      <w:r>
        <w:rPr>
          <w:bCs w:val="0"/>
        </w:rPr>
        <w:lastRenderedPageBreak/>
        <w:t>The instruments mentioned above give notice of the approval, by the relevant Professional Council, of Professional Standards Schemes for Queensland and Western Australia, respectively.  The explanatory statement for the first instrument mentioned above states:</w:t>
      </w:r>
    </w:p>
    <w:p w14:paraId="0AFE7DAB" w14:textId="77777777" w:rsidR="00126BE8" w:rsidRDefault="00126BE8" w:rsidP="006F5FA3">
      <w:pPr>
        <w:pStyle w:val="Quote"/>
        <w:rPr>
          <w:rFonts w:ascii="Calibri" w:eastAsia="Calibri" w:hAnsi="Calibri" w:cs="Calibri"/>
          <w:bCs/>
          <w:color w:val="7F7F7F"/>
          <w:szCs w:val="20"/>
        </w:rPr>
      </w:pPr>
      <w:r>
        <w:rPr>
          <w:rFonts w:ascii="Calibri" w:eastAsia="Calibri" w:hAnsi="Calibri" w:cs="Calibri"/>
          <w:bCs/>
          <w:color w:val="7F7F7F"/>
          <w:szCs w:val="20"/>
        </w:rPr>
        <w:t>Professional Standards Legislation (PSL) was developed on a national basis following the insurance crisis of 2002.</w:t>
      </w:r>
    </w:p>
    <w:p w14:paraId="6027C9A2" w14:textId="77777777" w:rsidR="00126BE8" w:rsidRDefault="00126BE8" w:rsidP="006F5FA3">
      <w:pPr>
        <w:pStyle w:val="Quote"/>
        <w:rPr>
          <w:rFonts w:ascii="Calibri" w:eastAsia="Calibri" w:hAnsi="Calibri" w:cs="Calibri"/>
          <w:bCs/>
          <w:color w:val="7F7F7F"/>
          <w:szCs w:val="20"/>
        </w:rPr>
      </w:pPr>
      <w:r>
        <w:rPr>
          <w:rFonts w:ascii="Calibri" w:eastAsia="Calibri" w:hAnsi="Calibri" w:cs="Calibri"/>
          <w:bCs/>
          <w:color w:val="7F7F7F"/>
          <w:szCs w:val="20"/>
        </w:rPr>
        <w:t xml:space="preserve"> PSL, which has been passed by all states and territories, involves a trade-off whereby professionals’ occupational liability for negligence is limited in return for commitments to higher standards of service delivery and insurance. These standards are monitored by the ACT Professional Standards Council, which operates on a national basis as a part of the Professional Standards Councils.</w:t>
      </w:r>
    </w:p>
    <w:p w14:paraId="716F4040" w14:textId="77777777" w:rsidR="00126BE8" w:rsidRDefault="00126BE8" w:rsidP="00EE5867">
      <w:pPr>
        <w:pStyle w:val="ListNumber2"/>
        <w:numPr>
          <w:ilvl w:val="1"/>
          <w:numId w:val="6"/>
        </w:numPr>
        <w:ind w:hanging="720"/>
        <w:rPr>
          <w:rFonts w:ascii="Calibri" w:eastAsia="Times New Roman" w:hAnsi="Calibri" w:cs="Calibri"/>
          <w:bCs w:val="0"/>
          <w:color w:val="000000"/>
        </w:rPr>
      </w:pPr>
      <w:r>
        <w:rPr>
          <w:bCs w:val="0"/>
        </w:rPr>
        <w:t xml:space="preserve">The Schemes are subject to tabling in, and disallowance by, the Legislative Assembly, under section 4.10 of Schedule 4 to the </w:t>
      </w:r>
      <w:r>
        <w:rPr>
          <w:bCs w:val="0"/>
          <w:i/>
          <w:iCs/>
        </w:rPr>
        <w:t>Civil Law (Wrongs) Act 2002</w:t>
      </w:r>
      <w:r>
        <w:rPr>
          <w:bCs w:val="0"/>
        </w:rPr>
        <w:t>, which provides:</w:t>
      </w:r>
    </w:p>
    <w:p w14:paraId="5400CB17" w14:textId="4B08CA4A" w:rsidR="00126BE8" w:rsidRPr="004B6B01" w:rsidRDefault="00126BE8" w:rsidP="00FD081E">
      <w:pPr>
        <w:pStyle w:val="Quote"/>
        <w:spacing w:before="120" w:after="0"/>
        <w:rPr>
          <w:b/>
          <w:bCs/>
        </w:rPr>
      </w:pPr>
      <w:r w:rsidRPr="004B6B01">
        <w:rPr>
          <w:b/>
          <w:bCs/>
        </w:rPr>
        <w:t>4.10</w:t>
      </w:r>
      <w:r w:rsidR="00754DA5">
        <w:rPr>
          <w:b/>
          <w:bCs/>
        </w:rPr>
        <w:tab/>
      </w:r>
      <w:r w:rsidRPr="004B6B01">
        <w:rPr>
          <w:b/>
          <w:bCs/>
        </w:rPr>
        <w:t xml:space="preserve">Schemes are subject to </w:t>
      </w:r>
      <w:proofErr w:type="gramStart"/>
      <w:r w:rsidRPr="004B6B01">
        <w:rPr>
          <w:b/>
          <w:bCs/>
        </w:rPr>
        <w:t>disallowance</w:t>
      </w:r>
      <w:proofErr w:type="gramEnd"/>
    </w:p>
    <w:p w14:paraId="3D7C044D" w14:textId="0019157A" w:rsidR="00126BE8" w:rsidRDefault="00126BE8" w:rsidP="00FD081E">
      <w:pPr>
        <w:pStyle w:val="Quote"/>
        <w:spacing w:before="120" w:after="0"/>
        <w:ind w:left="2127" w:hanging="709"/>
      </w:pPr>
      <w:r>
        <w:t>(1)</w:t>
      </w:r>
      <w:r w:rsidR="00754DA5">
        <w:tab/>
      </w:r>
      <w:r>
        <w:t>The Minister must—</w:t>
      </w:r>
    </w:p>
    <w:p w14:paraId="59BDDABC" w14:textId="384A406C" w:rsidR="00126BE8" w:rsidRDefault="00126BE8" w:rsidP="00FD081E">
      <w:pPr>
        <w:pStyle w:val="Quote"/>
        <w:spacing w:before="120" w:after="0"/>
        <w:ind w:left="2127"/>
      </w:pPr>
      <w:r>
        <w:t>(a)</w:t>
      </w:r>
      <w:r w:rsidR="00754DA5">
        <w:tab/>
      </w:r>
      <w:r>
        <w:t>give notice of—</w:t>
      </w:r>
    </w:p>
    <w:p w14:paraId="637D3330" w14:textId="2EE7F542" w:rsidR="00126BE8" w:rsidRDefault="00126BE8" w:rsidP="00FD081E">
      <w:pPr>
        <w:pStyle w:val="Quote"/>
        <w:spacing w:before="120" w:after="0"/>
        <w:ind w:left="3544" w:hanging="709"/>
      </w:pPr>
      <w:r>
        <w:t>(</w:t>
      </w:r>
      <w:proofErr w:type="spellStart"/>
      <w:r>
        <w:t>i</w:t>
      </w:r>
      <w:proofErr w:type="spellEnd"/>
      <w:r>
        <w:t>)</w:t>
      </w:r>
      <w:r w:rsidR="00754DA5">
        <w:tab/>
      </w:r>
      <w:r>
        <w:t>the council's approval of the scheme; or</w:t>
      </w:r>
    </w:p>
    <w:p w14:paraId="5521B0EC" w14:textId="3FE1A6B1" w:rsidR="00126BE8" w:rsidRDefault="00126BE8" w:rsidP="00FD081E">
      <w:pPr>
        <w:pStyle w:val="Quote"/>
        <w:spacing w:before="120" w:after="0"/>
        <w:ind w:left="3544" w:hanging="709"/>
      </w:pPr>
      <w:r>
        <w:t>(ii)</w:t>
      </w:r>
      <w:r w:rsidR="00754DA5">
        <w:tab/>
      </w:r>
      <w:r>
        <w:t>for an interstate scheme—the approval of the scheme by the appropriate council for the jurisdiction in which the scheme was prepared; and</w:t>
      </w:r>
    </w:p>
    <w:p w14:paraId="088D2A93" w14:textId="749EEA76" w:rsidR="00126BE8" w:rsidRDefault="00126BE8" w:rsidP="00FD081E">
      <w:pPr>
        <w:pStyle w:val="Quote"/>
        <w:spacing w:before="120" w:after="0"/>
        <w:ind w:left="1821" w:firstLine="306"/>
      </w:pPr>
      <w:r>
        <w:t>(b)</w:t>
      </w:r>
      <w:r w:rsidR="00754DA5">
        <w:tab/>
      </w:r>
      <w:r>
        <w:t>include the approved scheme in the notice.</w:t>
      </w:r>
    </w:p>
    <w:p w14:paraId="2AA6FEE7" w14:textId="29600C3A" w:rsidR="00126BE8" w:rsidRDefault="00126BE8" w:rsidP="00FD081E">
      <w:pPr>
        <w:pStyle w:val="Quote"/>
        <w:spacing w:before="120" w:after="0"/>
        <w:ind w:left="2127" w:hanging="709"/>
      </w:pPr>
      <w:r>
        <w:t>(2)</w:t>
      </w:r>
      <w:r w:rsidR="00754DA5">
        <w:tab/>
      </w:r>
      <w:r>
        <w:t>A notice is a disallowable instrument.</w:t>
      </w:r>
    </w:p>
    <w:p w14:paraId="638DB1EB" w14:textId="0F063C9F" w:rsidR="00126BE8" w:rsidRDefault="00126BE8" w:rsidP="00FD081E">
      <w:pPr>
        <w:pStyle w:val="Quote"/>
        <w:spacing w:before="120" w:after="0"/>
        <w:ind w:left="2835" w:hanging="708"/>
      </w:pPr>
      <w:r>
        <w:rPr>
          <w:i/>
          <w:iCs/>
        </w:rPr>
        <w:t>Note</w:t>
      </w:r>
      <w:r w:rsidR="00754DA5">
        <w:rPr>
          <w:i/>
          <w:iCs/>
        </w:rPr>
        <w:tab/>
      </w:r>
      <w:r>
        <w:t>A disallowable instrument must be notified, and presented to the Legislative Assembly, under the Legislation Act</w:t>
      </w:r>
    </w:p>
    <w:p w14:paraId="4DEF6195" w14:textId="3BD6B86B" w:rsidR="00126BE8" w:rsidRDefault="00126BE8" w:rsidP="00FD081E">
      <w:pPr>
        <w:pStyle w:val="Quote"/>
        <w:spacing w:before="120" w:after="0"/>
        <w:ind w:left="2127" w:hanging="709"/>
      </w:pPr>
      <w:r>
        <w:t>(3)</w:t>
      </w:r>
      <w:r w:rsidR="00754DA5">
        <w:tab/>
      </w:r>
      <w:r>
        <w:t>In this section, a reference to an interstate scheme includes a</w:t>
      </w:r>
      <w:r w:rsidR="00E24228">
        <w:t> </w:t>
      </w:r>
      <w:r>
        <w:t>reference to an instrument amending an interstate scheme.</w:t>
      </w:r>
    </w:p>
    <w:p w14:paraId="737F6977" w14:textId="47071415" w:rsidR="00126BE8" w:rsidRDefault="00126BE8" w:rsidP="00FD081E">
      <w:pPr>
        <w:pStyle w:val="Quote"/>
        <w:spacing w:before="120" w:after="0"/>
        <w:ind w:left="2835" w:hanging="708"/>
      </w:pPr>
      <w:r>
        <w:rPr>
          <w:i/>
          <w:iCs/>
        </w:rPr>
        <w:t>Not</w:t>
      </w:r>
      <w:r w:rsidR="00754DA5">
        <w:rPr>
          <w:i/>
          <w:iCs/>
        </w:rPr>
        <w:t>e</w:t>
      </w:r>
      <w:r w:rsidR="00754DA5">
        <w:rPr>
          <w:i/>
          <w:iCs/>
        </w:rPr>
        <w:tab/>
      </w:r>
      <w:r>
        <w:rPr>
          <w:i/>
          <w:iCs/>
        </w:rPr>
        <w:t> </w:t>
      </w:r>
      <w:r>
        <w:t>Subsection (3) applies s (1) and s (2) to instruments that amend an interstate scheme. Those subsections already apply, by virtue of s 4.14 (5), to instruments that amend a scheme that is not an interstate scheme.</w:t>
      </w:r>
    </w:p>
    <w:p w14:paraId="79FE0059" w14:textId="77777777" w:rsidR="00126BE8" w:rsidRDefault="00126BE8" w:rsidP="00EE5867">
      <w:pPr>
        <w:pStyle w:val="ListNumber2"/>
        <w:numPr>
          <w:ilvl w:val="1"/>
          <w:numId w:val="6"/>
        </w:numPr>
        <w:ind w:hanging="720"/>
        <w:rPr>
          <w:color w:val="000000"/>
        </w:rPr>
      </w:pPr>
      <w:r>
        <w:rPr>
          <w:bCs w:val="0"/>
        </w:rPr>
        <w:t>The explanatory statements for both instruments discuss human rights issues.  The explanatory statement for the first instrument mentioned above states:</w:t>
      </w:r>
    </w:p>
    <w:p w14:paraId="20605BEE" w14:textId="77777777" w:rsidR="00126BE8" w:rsidRDefault="00126BE8" w:rsidP="00754DA5">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Human rights implications</w:t>
      </w:r>
    </w:p>
    <w:p w14:paraId="2BB38E35" w14:textId="77777777" w:rsidR="00126BE8" w:rsidRDefault="00126BE8" w:rsidP="00754DA5">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As noted above, when an interstate professional standards scheme has been approved by the appropriate council for the jurisdiction in which the scheme was prepared, the Attorney-General is required under schedule 4, section 4.10 of the </w:t>
      </w:r>
      <w:r>
        <w:rPr>
          <w:rFonts w:ascii="Calibri" w:eastAsia="Calibri" w:hAnsi="Calibri" w:cs="Calibri"/>
          <w:bCs/>
          <w:i/>
          <w:iCs/>
          <w:color w:val="7F7F7F"/>
          <w:szCs w:val="20"/>
        </w:rPr>
        <w:t>Civil Law (Wrongs) Act 2002</w:t>
      </w:r>
      <w:r>
        <w:rPr>
          <w:rFonts w:ascii="Calibri" w:eastAsia="Calibri" w:hAnsi="Calibri" w:cs="Calibri"/>
          <w:bCs/>
          <w:color w:val="7F7F7F"/>
          <w:szCs w:val="20"/>
        </w:rPr>
        <w:t xml:space="preserve"> to give notice that the scheme.</w:t>
      </w:r>
    </w:p>
    <w:p w14:paraId="22634B71" w14:textId="77777777" w:rsidR="00126BE8" w:rsidRDefault="00126BE8" w:rsidP="00754DA5">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instrument engages the right to work (section 27B,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w:t>
      </w:r>
    </w:p>
    <w:p w14:paraId="5651ECC4" w14:textId="77777777" w:rsidR="00126BE8" w:rsidRDefault="00126BE8" w:rsidP="00754DA5">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scheme is intended to promote high standards of service delivery and insurance for professionals and limit the occupational liability of a person to whom it applies.</w:t>
      </w:r>
    </w:p>
    <w:p w14:paraId="1FF4F651" w14:textId="77777777" w:rsidR="00126BE8" w:rsidRDefault="00126BE8" w:rsidP="00E24228">
      <w:pPr>
        <w:pStyle w:val="ListNumber2"/>
        <w:numPr>
          <w:ilvl w:val="1"/>
          <w:numId w:val="6"/>
        </w:numPr>
        <w:spacing w:after="0"/>
        <w:ind w:hanging="720"/>
        <w:rPr>
          <w:rFonts w:ascii="Calibri" w:eastAsia="Times New Roman" w:hAnsi="Calibri" w:cs="Calibri"/>
          <w:bCs w:val="0"/>
          <w:color w:val="000000"/>
        </w:rPr>
      </w:pPr>
      <w:r>
        <w:rPr>
          <w:bCs w:val="0"/>
        </w:rPr>
        <w:lastRenderedPageBreak/>
        <w:t>The explanatory statement for the second instrument mentioned above contains a similar statement.</w:t>
      </w:r>
    </w:p>
    <w:p w14:paraId="139A5679" w14:textId="77777777" w:rsidR="00126BE8" w:rsidRDefault="00126BE8" w:rsidP="00E24228">
      <w:pPr>
        <w:pStyle w:val="ListNumber2"/>
        <w:numPr>
          <w:ilvl w:val="1"/>
          <w:numId w:val="6"/>
        </w:numPr>
        <w:spacing w:after="0"/>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the discussion of human rights issues in the explanatory statements for the instruments mentioned above.</w:t>
      </w:r>
    </w:p>
    <w:p w14:paraId="22F419A7" w14:textId="77777777" w:rsidR="00126BE8" w:rsidRDefault="00126BE8" w:rsidP="00E24228">
      <w:pPr>
        <w:pStyle w:val="ListNumber2"/>
        <w:numPr>
          <w:ilvl w:val="1"/>
          <w:numId w:val="6"/>
        </w:numPr>
        <w:spacing w:after="0"/>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0988F044" w14:textId="77777777" w:rsidR="00126BE8" w:rsidRPr="006F5FA3" w:rsidRDefault="00126BE8" w:rsidP="007825E1">
      <w:pPr>
        <w:pStyle w:val="Heading3"/>
        <w:rPr>
          <w:rFonts w:eastAsia="Times New Roman"/>
        </w:rPr>
      </w:pPr>
      <w:bookmarkStart w:id="178" w:name="_Toc175930216"/>
      <w:bookmarkStart w:id="179" w:name="_Toc176162873"/>
      <w:bookmarkStart w:id="180" w:name="_Toc176175559"/>
      <w:r w:rsidRPr="006F5FA3">
        <w:rPr>
          <w:rFonts w:eastAsia="Times New Roman"/>
        </w:rPr>
        <w:t>Minor drafting issue</w:t>
      </w:r>
      <w:bookmarkEnd w:id="178"/>
      <w:bookmarkEnd w:id="179"/>
      <w:bookmarkEnd w:id="180"/>
    </w:p>
    <w:p w14:paraId="657616F3" w14:textId="77777777" w:rsidR="00126BE8" w:rsidRPr="00E24228" w:rsidRDefault="00126BE8" w:rsidP="00EE5867">
      <w:pPr>
        <w:pStyle w:val="Bodycopy"/>
        <w:keepLines/>
        <w:numPr>
          <w:ilvl w:val="0"/>
          <w:numId w:val="11"/>
        </w:numPr>
        <w:spacing w:before="120" w:after="0" w:line="283" w:lineRule="auto"/>
        <w:ind w:left="1208" w:hanging="357"/>
        <w:rPr>
          <w:rFonts w:eastAsia="Times New Roman"/>
          <w:b/>
          <w:spacing w:val="-4"/>
        </w:rPr>
      </w:pPr>
      <w:r w:rsidRPr="00E24228">
        <w:rPr>
          <w:b/>
          <w:spacing w:val="-4"/>
        </w:rPr>
        <w:t xml:space="preserve">Disallowable Instrument DI2024-209 being the ACT Teacher Quality Institute Board Appointment 2024 (No 2) made under sections 14 and 15 of the </w:t>
      </w:r>
      <w:r w:rsidRPr="00E24228">
        <w:rPr>
          <w:i/>
          <w:spacing w:val="-4"/>
        </w:rPr>
        <w:t xml:space="preserve">ACT Teacher Quality Institute Act 2010 </w:t>
      </w:r>
      <w:r w:rsidRPr="00E24228">
        <w:rPr>
          <w:b/>
          <w:spacing w:val="-4"/>
        </w:rPr>
        <w:t>and sections 78 and 79 of the</w:t>
      </w:r>
      <w:r w:rsidRPr="00E24228">
        <w:rPr>
          <w:i/>
          <w:spacing w:val="-4"/>
        </w:rPr>
        <w:t xml:space="preserve"> Financial Management Act 1996</w:t>
      </w:r>
      <w:r w:rsidRPr="00E24228">
        <w:rPr>
          <w:b/>
          <w:spacing w:val="-4"/>
        </w:rPr>
        <w:t xml:space="preserve"> appoints a specified person as a member of the Board of the ACT Teacher Quality Institute. </w:t>
      </w:r>
    </w:p>
    <w:p w14:paraId="7E5B5598" w14:textId="77777777" w:rsidR="00126BE8" w:rsidRDefault="00126BE8" w:rsidP="00EE5867">
      <w:pPr>
        <w:pStyle w:val="Bodycopy"/>
        <w:keepLines/>
        <w:numPr>
          <w:ilvl w:val="0"/>
          <w:numId w:val="11"/>
        </w:numPr>
        <w:spacing w:before="120" w:after="0" w:line="283" w:lineRule="auto"/>
        <w:ind w:left="1208" w:hanging="357"/>
        <w:rPr>
          <w:b/>
        </w:rPr>
      </w:pPr>
      <w:r w:rsidRPr="00E24228">
        <w:rPr>
          <w:b/>
          <w:spacing w:val="-4"/>
        </w:rPr>
        <w:t xml:space="preserve">Disallowable Instrument DI2024-210 being the ACT Teacher Quality Institute Board Appointment 2024 (No 3) made under sections 14 and 15 of the </w:t>
      </w:r>
      <w:r w:rsidRPr="00E24228">
        <w:rPr>
          <w:i/>
          <w:spacing w:val="-4"/>
        </w:rPr>
        <w:t xml:space="preserve">ACT Teacher Quality Institute Act 2010 </w:t>
      </w:r>
      <w:r w:rsidRPr="00E24228">
        <w:rPr>
          <w:b/>
          <w:spacing w:val="-4"/>
        </w:rPr>
        <w:t>and sections 78 and 79 of the</w:t>
      </w:r>
      <w:r w:rsidRPr="00E24228">
        <w:rPr>
          <w:i/>
          <w:spacing w:val="-4"/>
        </w:rPr>
        <w:t xml:space="preserve"> Financial Management Act 1996</w:t>
      </w:r>
      <w:r w:rsidRPr="00E24228">
        <w:rPr>
          <w:b/>
          <w:spacing w:val="-4"/>
        </w:rPr>
        <w:t xml:space="preserve"> appoints a specified person as a member of the Board of the ACT Teacher Quality Institute</w:t>
      </w:r>
      <w:r>
        <w:rPr>
          <w:b/>
        </w:rPr>
        <w:t xml:space="preserve">. </w:t>
      </w:r>
    </w:p>
    <w:p w14:paraId="10EFA8F3" w14:textId="668C9645"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The instruments mentioned above appoint specified persons to the ACT Teacher Quality Institute Board</w:t>
      </w:r>
      <w:r w:rsidR="00E2109B">
        <w:rPr>
          <w:rFonts w:ascii="Calibri" w:eastAsia="Calibri" w:hAnsi="Calibri" w:cs="Calibri"/>
          <w:bCs w:val="0"/>
          <w:color w:val="000000"/>
        </w:rPr>
        <w:t>.</w:t>
      </w:r>
      <w:r>
        <w:rPr>
          <w:rFonts w:ascii="Calibri" w:eastAsia="Calibri" w:hAnsi="Calibri" w:cs="Calibri"/>
          <w:bCs w:val="0"/>
          <w:color w:val="000000"/>
        </w:rPr>
        <w:t xml:space="preserve"> The formal parts of the instruments and their explanatory statements indicate that the appointments are made under sections 14 and 15 of the </w:t>
      </w:r>
      <w:r>
        <w:rPr>
          <w:rFonts w:ascii="Calibri" w:eastAsia="Calibri" w:hAnsi="Calibri" w:cs="Calibri"/>
          <w:bCs w:val="0"/>
          <w:i/>
          <w:iCs/>
          <w:color w:val="000000"/>
        </w:rPr>
        <w:t>ACT Teacher Quality Institute Act 2010</w:t>
      </w:r>
      <w:r>
        <w:rPr>
          <w:rFonts w:ascii="Calibri" w:eastAsia="Calibri" w:hAnsi="Calibri" w:cs="Calibri"/>
          <w:bCs w:val="0"/>
          <w:color w:val="000000"/>
        </w:rPr>
        <w:t xml:space="preserve"> and sections 78 and 79 of the </w:t>
      </w:r>
      <w:r>
        <w:rPr>
          <w:rFonts w:ascii="Calibri" w:eastAsia="Calibri" w:hAnsi="Calibri" w:cs="Calibri"/>
          <w:bCs w:val="0"/>
          <w:i/>
          <w:iCs/>
          <w:color w:val="000000"/>
        </w:rPr>
        <w:t>Financial Management Act 1996</w:t>
      </w:r>
      <w:r>
        <w:rPr>
          <w:rFonts w:ascii="Calibri" w:eastAsia="Calibri" w:hAnsi="Calibri" w:cs="Calibri"/>
          <w:bCs w:val="0"/>
          <w:color w:val="000000"/>
        </w:rPr>
        <w:t xml:space="preserve">.  </w:t>
      </w:r>
    </w:p>
    <w:p w14:paraId="55312826" w14:textId="4ABD6D6E"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bCs w:val="0"/>
          <w:color w:val="000000"/>
        </w:rPr>
        <w:t xml:space="preserve">The Committee </w:t>
      </w:r>
      <w:proofErr w:type="gramStart"/>
      <w:r>
        <w:rPr>
          <w:rFonts w:ascii="Calibri" w:eastAsia="Calibri" w:hAnsi="Calibri" w:cs="Calibri"/>
          <w:bCs w:val="0"/>
          <w:color w:val="000000"/>
        </w:rPr>
        <w:t>notes  that</w:t>
      </w:r>
      <w:proofErr w:type="gramEnd"/>
      <w:r>
        <w:rPr>
          <w:rFonts w:ascii="Calibri" w:eastAsia="Calibri" w:hAnsi="Calibri" w:cs="Calibri"/>
          <w:bCs w:val="0"/>
          <w:color w:val="000000"/>
        </w:rPr>
        <w:t xml:space="preserve"> section 79 of the Financial Management Act applies to the appointment of chairs and deputy chairs of a board. The persons appointed by these instruments are appointed only as members </w:t>
      </w:r>
      <w:r w:rsidR="00E2109B">
        <w:rPr>
          <w:rFonts w:ascii="Calibri" w:eastAsia="Calibri" w:hAnsi="Calibri" w:cs="Calibri"/>
          <w:bCs w:val="0"/>
          <w:color w:val="000000"/>
        </w:rPr>
        <w:t>o</w:t>
      </w:r>
      <w:r>
        <w:rPr>
          <w:rFonts w:ascii="Calibri" w:eastAsia="Calibri" w:hAnsi="Calibri" w:cs="Calibri"/>
          <w:bCs w:val="0"/>
          <w:color w:val="000000"/>
        </w:rPr>
        <w:t>f the Board, which means that the reference to section 79 of the Financial Management Act is not relevant.</w:t>
      </w:r>
    </w:p>
    <w:p w14:paraId="59DE2AA5"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This comment does not require a response from the Minister.</w:t>
      </w:r>
    </w:p>
    <w:p w14:paraId="3B16EAE9" w14:textId="77777777" w:rsidR="00126BE8" w:rsidRDefault="00126BE8" w:rsidP="00126BE8">
      <w:pPr>
        <w:keepNext/>
        <w:keepLines/>
        <w:spacing w:before="120" w:after="200"/>
        <w:outlineLvl w:val="2"/>
        <w:rPr>
          <w:rFonts w:ascii="Montserrat" w:eastAsia="Times New Roman" w:hAnsi="Montserrat" w:cs="Times New Roman"/>
          <w:b/>
          <w:color w:val="7492CD"/>
          <w:w w:val="90"/>
          <w:kern w:val="2"/>
          <w:sz w:val="28"/>
          <w:szCs w:val="24"/>
        </w:rPr>
      </w:pPr>
      <w:bookmarkStart w:id="181" w:name="_Toc175930217"/>
      <w:bookmarkStart w:id="182" w:name="_Toc176162874"/>
      <w:bookmarkStart w:id="183" w:name="_Toc176175560"/>
      <w:bookmarkStart w:id="184" w:name="_Hlk175474176"/>
      <w:r>
        <w:rPr>
          <w:rFonts w:ascii="Montserrat" w:eastAsia="Times New Roman" w:hAnsi="Montserrat" w:cs="Times New Roman"/>
          <w:b/>
          <w:color w:val="7492CD"/>
          <w:w w:val="90"/>
          <w:kern w:val="2"/>
          <w:sz w:val="28"/>
          <w:szCs w:val="24"/>
        </w:rPr>
        <w:t>Human Rights Issues</w:t>
      </w:r>
      <w:bookmarkEnd w:id="181"/>
      <w:bookmarkEnd w:id="182"/>
      <w:bookmarkEnd w:id="183"/>
    </w:p>
    <w:bookmarkEnd w:id="184"/>
    <w:p w14:paraId="793EC6DB" w14:textId="77777777" w:rsidR="00126BE8" w:rsidRDefault="00126BE8" w:rsidP="00EE5867">
      <w:pPr>
        <w:pStyle w:val="Bodycopy"/>
        <w:keepLines/>
        <w:numPr>
          <w:ilvl w:val="0"/>
          <w:numId w:val="11"/>
        </w:numPr>
        <w:spacing w:before="120" w:after="0" w:line="283" w:lineRule="auto"/>
        <w:ind w:left="1208" w:hanging="357"/>
        <w:rPr>
          <w:rFonts w:asciiTheme="minorHAnsi" w:eastAsiaTheme="minorHAnsi" w:hAnsiTheme="minorHAnsi" w:cstheme="minorBidi"/>
          <w:b/>
          <w:color w:val="auto"/>
          <w:szCs w:val="22"/>
        </w:rPr>
      </w:pPr>
      <w:r>
        <w:rPr>
          <w:b/>
        </w:rPr>
        <w:t xml:space="preserve">Disallowable Instrument DI2024-214 being the Working with Vulnerable People (Background Checking) Declaration 2024 (No 1) made under section 12 of the </w:t>
      </w:r>
      <w:r>
        <w:rPr>
          <w:i/>
        </w:rPr>
        <w:t>Working with Vulnerable People (Background Checking) Act 2011</w:t>
      </w:r>
      <w:r>
        <w:rPr>
          <w:b/>
        </w:rPr>
        <w:t xml:space="preserve"> exempts international visitors from registration under the Working with Vulnerable People scheme. </w:t>
      </w:r>
    </w:p>
    <w:p w14:paraId="785FB412" w14:textId="77777777" w:rsidR="00126BE8" w:rsidRDefault="00126BE8" w:rsidP="00EE5867">
      <w:pPr>
        <w:pStyle w:val="ListNumber2"/>
        <w:numPr>
          <w:ilvl w:val="1"/>
          <w:numId w:val="6"/>
        </w:numPr>
        <w:ind w:hanging="720"/>
        <w:rPr>
          <w:iCs/>
          <w:szCs w:val="24"/>
        </w:rPr>
      </w:pPr>
      <w:r>
        <w:rPr>
          <w:iCs/>
          <w:szCs w:val="24"/>
        </w:rPr>
        <w:t>The Working with Vulnerable People (</w:t>
      </w:r>
      <w:r>
        <w:rPr>
          <w:b/>
          <w:bCs w:val="0"/>
          <w:iCs/>
          <w:szCs w:val="24"/>
        </w:rPr>
        <w:t>WWVP</w:t>
      </w:r>
      <w:r>
        <w:rPr>
          <w:iCs/>
          <w:szCs w:val="24"/>
        </w:rPr>
        <w:t xml:space="preserve">) scheme requires persons who work with children and vulnerable people to be registered.  However, section 12 gives the Commissioner the power to declare that a person is </w:t>
      </w:r>
      <w:r>
        <w:rPr>
          <w:i/>
          <w:szCs w:val="24"/>
        </w:rPr>
        <w:t xml:space="preserve">not </w:t>
      </w:r>
      <w:r>
        <w:rPr>
          <w:iCs/>
          <w:szCs w:val="24"/>
        </w:rPr>
        <w:t xml:space="preserve">required to be registered.  This instrument exempts international visitors visiting Canberra for 2024 Junior Pan Pacific Swimming Championships, to be held at the Australian Institute of Sport, in Canberra, from 21 to 24 August 2024. </w:t>
      </w:r>
    </w:p>
    <w:p w14:paraId="0A8C01C4" w14:textId="77777777" w:rsidR="00126BE8" w:rsidRDefault="00126BE8" w:rsidP="00EE5867">
      <w:pPr>
        <w:pStyle w:val="ListNumber2"/>
        <w:numPr>
          <w:ilvl w:val="1"/>
          <w:numId w:val="6"/>
        </w:numPr>
        <w:ind w:hanging="720"/>
        <w:rPr>
          <w:iCs/>
          <w:szCs w:val="24"/>
        </w:rPr>
      </w:pPr>
      <w:r>
        <w:rPr>
          <w:iCs/>
          <w:szCs w:val="24"/>
        </w:rPr>
        <w:t>The explanatory statement for the instrument discusses human rights issues:</w:t>
      </w:r>
    </w:p>
    <w:p w14:paraId="382C6CFB" w14:textId="77777777" w:rsidR="00126BE8" w:rsidRPr="00EE261C" w:rsidRDefault="00126BE8" w:rsidP="006F5FA3">
      <w:pPr>
        <w:pStyle w:val="Quote"/>
        <w:spacing w:before="120" w:after="0"/>
        <w:rPr>
          <w:rFonts w:ascii="Calibri" w:eastAsia="Calibri" w:hAnsi="Calibri" w:cs="Calibri"/>
          <w:bCs/>
          <w:color w:val="7F7F7F"/>
          <w:szCs w:val="20"/>
          <w:u w:val="single"/>
        </w:rPr>
      </w:pPr>
      <w:r w:rsidRPr="00EE261C">
        <w:rPr>
          <w:rFonts w:ascii="Calibri" w:eastAsia="Calibri" w:hAnsi="Calibri" w:cs="Calibri"/>
          <w:bCs/>
          <w:color w:val="7F7F7F"/>
          <w:szCs w:val="20"/>
          <w:u w:val="single"/>
        </w:rPr>
        <w:t xml:space="preserve">Human rights implications </w:t>
      </w:r>
    </w:p>
    <w:p w14:paraId="1B5DBC8B"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During the development of this Instrument, due regard was given to its effect in relation to the compatibility with human rights as set out in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(HRA).</w:t>
      </w:r>
    </w:p>
    <w:p w14:paraId="7616CE6D"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lastRenderedPageBreak/>
        <w:t>The Declaration engages the right to liberty and security of person (section 18 of the HRA) in relation to vulnerable people accessing regulated activities regarding their vulnerability.</w:t>
      </w:r>
    </w:p>
    <w:p w14:paraId="63FA12B2"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The Declaration engages this right because the Commissioner for Fair Trading (the Commissioner) will engage in a higher level of risk by exempting international visitors. </w:t>
      </w:r>
    </w:p>
    <w:p w14:paraId="0BAC3479"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The Declaration does not limit this right because international teams and support personnel are subject to other regulatory obligations, including conditions of entry to Australia and the framework for safeguarding children and young people which applies to all activities organised or authorised by the national governing body for swimming. Exempt individuals are also limited to engaging in a regulated activity for a purpose related to the Championships.</w:t>
      </w:r>
    </w:p>
    <w:p w14:paraId="6865B875"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The Commissioner maintains the power to revoke the exemption in relation to any person, where the individual is subsequently assessed as an unacceptable risk of harm to children and vulnerable people. This reduces the risk of potential harm to children and vulnerable people and protects the rights and dignity of vulnerable people by limiting their exposure to people who pose a risk to their safety, </w:t>
      </w:r>
      <w:proofErr w:type="gramStart"/>
      <w:r>
        <w:rPr>
          <w:rFonts w:ascii="Calibri" w:eastAsia="Calibri" w:hAnsi="Calibri" w:cs="Calibri"/>
          <w:bCs/>
          <w:color w:val="7F7F7F"/>
          <w:szCs w:val="20"/>
        </w:rPr>
        <w:t>welfare</w:t>
      </w:r>
      <w:proofErr w:type="gramEnd"/>
      <w:r>
        <w:rPr>
          <w:rFonts w:ascii="Calibri" w:eastAsia="Calibri" w:hAnsi="Calibri" w:cs="Calibri"/>
          <w:bCs/>
          <w:color w:val="7F7F7F"/>
          <w:szCs w:val="20"/>
        </w:rPr>
        <w:t xml:space="preserve"> and wellbeing.</w:t>
      </w:r>
    </w:p>
    <w:p w14:paraId="21624AAE" w14:textId="77777777" w:rsidR="00126BE8" w:rsidRDefault="00126BE8" w:rsidP="00EE5867">
      <w:pPr>
        <w:pStyle w:val="ListNumber2"/>
        <w:numPr>
          <w:ilvl w:val="1"/>
          <w:numId w:val="6"/>
        </w:numPr>
        <w:ind w:hanging="720"/>
        <w:rPr>
          <w:rFonts w:ascii="Calibri" w:eastAsia="Calibri" w:hAnsi="Calibri" w:cs="Calibri"/>
          <w:b/>
          <w:bCs w:val="0"/>
          <w:color w:val="000000"/>
        </w:rPr>
      </w:pPr>
      <w:bookmarkStart w:id="185" w:name="_Hlk175478254"/>
      <w:r>
        <w:rPr>
          <w:rFonts w:ascii="Calibri" w:eastAsia="Calibri" w:hAnsi="Calibri" w:cs="Calibri"/>
          <w:b/>
          <w:color w:val="000000"/>
        </w:rPr>
        <w:t>The Committee draws the attention of the Legislative Assembly to the discussion of human rights issues in the explanatory statement for this instrument.</w:t>
      </w:r>
    </w:p>
    <w:p w14:paraId="52D7B772"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38A58022" w14:textId="77777777" w:rsidR="00126BE8" w:rsidRDefault="00126BE8" w:rsidP="00126BE8">
      <w:pPr>
        <w:keepNext/>
        <w:keepLines/>
        <w:spacing w:before="120" w:after="200"/>
        <w:outlineLvl w:val="2"/>
        <w:rPr>
          <w:rFonts w:ascii="Montserrat" w:eastAsia="Times New Roman" w:hAnsi="Montserrat" w:cs="Times New Roman"/>
          <w:b/>
          <w:color w:val="7492CD"/>
          <w:w w:val="90"/>
          <w:kern w:val="2"/>
          <w:sz w:val="28"/>
          <w:szCs w:val="24"/>
        </w:rPr>
      </w:pPr>
      <w:bookmarkStart w:id="186" w:name="_Toc175930218"/>
      <w:bookmarkStart w:id="187" w:name="_Toc176162875"/>
      <w:bookmarkStart w:id="188" w:name="_Toc176175561"/>
      <w:bookmarkStart w:id="189" w:name="_Hlk175475773"/>
      <w:bookmarkEnd w:id="185"/>
      <w:r>
        <w:rPr>
          <w:rFonts w:ascii="Montserrat" w:eastAsia="Times New Roman" w:hAnsi="Montserrat" w:cs="Times New Roman"/>
          <w:b/>
          <w:color w:val="7492CD"/>
          <w:w w:val="90"/>
          <w:kern w:val="2"/>
          <w:sz w:val="28"/>
          <w:szCs w:val="24"/>
        </w:rPr>
        <w:t>Human Rights Issues</w:t>
      </w:r>
      <w:bookmarkEnd w:id="186"/>
      <w:bookmarkEnd w:id="187"/>
      <w:bookmarkEnd w:id="188"/>
    </w:p>
    <w:bookmarkEnd w:id="189"/>
    <w:p w14:paraId="40316B86" w14:textId="77777777" w:rsidR="00126BE8" w:rsidRDefault="00126BE8" w:rsidP="00EE5867">
      <w:pPr>
        <w:pStyle w:val="Bodycopy"/>
        <w:keepLines/>
        <w:numPr>
          <w:ilvl w:val="0"/>
          <w:numId w:val="11"/>
        </w:numPr>
        <w:spacing w:before="120" w:after="0" w:line="283" w:lineRule="auto"/>
        <w:ind w:left="1208" w:hanging="357"/>
        <w:rPr>
          <w:b/>
        </w:rPr>
      </w:pPr>
      <w:r>
        <w:rPr>
          <w:b/>
        </w:rPr>
        <w:t xml:space="preserve">Disallowable Instrument DI2024-220 being the Charitable Collections (National Fundraising Principles) Determination 2024 </w:t>
      </w:r>
      <w:bookmarkStart w:id="190" w:name="_Hlk175475812"/>
      <w:r>
        <w:rPr>
          <w:b/>
        </w:rPr>
        <w:t xml:space="preserve">made under section 62A of the </w:t>
      </w:r>
      <w:r>
        <w:rPr>
          <w:bCs/>
          <w:i/>
          <w:iCs/>
        </w:rPr>
        <w:t>Charitable Collections Act 2003</w:t>
      </w:r>
      <w:r>
        <w:rPr>
          <w:b/>
        </w:rPr>
        <w:t xml:space="preserve"> specifies the rules about the conduct of fundraising activities. </w:t>
      </w:r>
    </w:p>
    <w:p w14:paraId="42F6BEFC" w14:textId="77777777" w:rsidR="00126BE8" w:rsidRDefault="00126BE8" w:rsidP="00EE5867">
      <w:pPr>
        <w:pStyle w:val="ListNumber2"/>
        <w:numPr>
          <w:ilvl w:val="1"/>
          <w:numId w:val="6"/>
        </w:numPr>
        <w:ind w:hanging="720"/>
        <w:rPr>
          <w:rFonts w:ascii="Calibri" w:eastAsia="Calibri" w:hAnsi="Calibri" w:cs="Calibri"/>
          <w:color w:val="000000"/>
        </w:rPr>
      </w:pPr>
      <w:r>
        <w:rPr>
          <w:rFonts w:ascii="Calibri" w:eastAsia="Calibri" w:hAnsi="Calibri" w:cs="Calibri"/>
          <w:bCs w:val="0"/>
          <w:color w:val="000000"/>
        </w:rPr>
        <w:t xml:space="preserve">This instrument, made under section 62A of the </w:t>
      </w:r>
      <w:r>
        <w:rPr>
          <w:rFonts w:ascii="Calibri" w:eastAsia="Calibri" w:hAnsi="Calibri" w:cs="Calibri"/>
          <w:bCs w:val="0"/>
          <w:i/>
          <w:iCs/>
          <w:color w:val="000000"/>
        </w:rPr>
        <w:t>Charitable Collections Act 2003</w:t>
      </w:r>
      <w:r>
        <w:rPr>
          <w:rFonts w:ascii="Calibri" w:eastAsia="Calibri" w:hAnsi="Calibri" w:cs="Calibri"/>
          <w:bCs w:val="0"/>
          <w:color w:val="000000"/>
        </w:rPr>
        <w:t xml:space="preserve">, determines rules (Principles) in relation to the conduct of fundraising activities.  The explanatory statement for the instrument discusses human rights issues, focusing on the right to a fair trial, protected by section 21 of the </w:t>
      </w:r>
      <w:r>
        <w:rPr>
          <w:rFonts w:ascii="Calibri" w:eastAsia="Calibri" w:hAnsi="Calibri" w:cs="Calibri"/>
          <w:bCs w:val="0"/>
          <w:i/>
          <w:iCs/>
          <w:color w:val="000000"/>
        </w:rPr>
        <w:t>Human Rights Act 2004</w:t>
      </w:r>
      <w:r>
        <w:rPr>
          <w:rFonts w:ascii="Calibri" w:eastAsia="Calibri" w:hAnsi="Calibri" w:cs="Calibri"/>
          <w:bCs w:val="0"/>
          <w:color w:val="000000"/>
        </w:rPr>
        <w:t>.  The basis of the limitation</w:t>
      </w:r>
      <w:r>
        <w:t xml:space="preserve"> is that the instrument </w:t>
      </w:r>
      <w:r>
        <w:rPr>
          <w:rFonts w:ascii="Calibri" w:eastAsia="Calibri" w:hAnsi="Calibri" w:cs="Calibri"/>
          <w:bCs w:val="0"/>
          <w:color w:val="000000"/>
        </w:rPr>
        <w:t xml:space="preserve">expands the existing ability for the director-general to make administrative decisions, by creating a new ground upon which a licence may be amended, suspended or cancelled, being where the director-general is satisfied, on reasonable grounds, that there has been a breach of the </w:t>
      </w:r>
      <w:proofErr w:type="gramStart"/>
      <w:r>
        <w:rPr>
          <w:rFonts w:ascii="Calibri" w:eastAsia="Calibri" w:hAnsi="Calibri" w:cs="Calibri"/>
          <w:bCs w:val="0"/>
          <w:color w:val="000000"/>
        </w:rPr>
        <w:t>Principles</w:t>
      </w:r>
      <w:proofErr w:type="gramEnd"/>
      <w:r>
        <w:rPr>
          <w:rFonts w:ascii="Calibri" w:eastAsia="Calibri" w:hAnsi="Calibri" w:cs="Calibri"/>
          <w:bCs w:val="0"/>
          <w:color w:val="000000"/>
        </w:rPr>
        <w:t>:</w:t>
      </w:r>
    </w:p>
    <w:p w14:paraId="0F099215" w14:textId="77777777" w:rsidR="00126BE8" w:rsidRDefault="00126BE8" w:rsidP="006F5FA3">
      <w:pPr>
        <w:pStyle w:val="Quote"/>
        <w:spacing w:before="120" w:after="0"/>
        <w:rPr>
          <w:rFonts w:ascii="Calibri" w:eastAsia="Calibri" w:hAnsi="Calibri" w:cs="Calibri"/>
          <w:b/>
          <w:color w:val="7F7F7F"/>
          <w:szCs w:val="20"/>
        </w:rPr>
      </w:pPr>
      <w:r>
        <w:rPr>
          <w:rFonts w:ascii="Calibri" w:eastAsia="Calibri" w:hAnsi="Calibri" w:cs="Calibri"/>
          <w:b/>
          <w:color w:val="7F7F7F"/>
          <w:szCs w:val="20"/>
        </w:rPr>
        <w:t>Human Rights Implications</w:t>
      </w:r>
    </w:p>
    <w:p w14:paraId="7D35DC82"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The disallowable instrument (</w:t>
      </w:r>
      <w:r>
        <w:rPr>
          <w:rFonts w:ascii="Calibri" w:eastAsia="Calibri" w:hAnsi="Calibri" w:cs="Calibri"/>
          <w:b/>
          <w:color w:val="7F7F7F"/>
          <w:szCs w:val="20"/>
        </w:rPr>
        <w:t>DI</w:t>
      </w:r>
      <w:r>
        <w:rPr>
          <w:rFonts w:ascii="Calibri" w:eastAsia="Calibri" w:hAnsi="Calibri" w:cs="Calibri"/>
          <w:bCs/>
          <w:color w:val="7F7F7F"/>
          <w:szCs w:val="20"/>
        </w:rPr>
        <w:t>) engages and may limit the right to fair trial.</w:t>
      </w:r>
    </w:p>
    <w:p w14:paraId="16595FDD"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The preamble to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w:t>
      </w:r>
      <w:r>
        <w:rPr>
          <w:rFonts w:ascii="Calibri" w:eastAsia="Calibri" w:hAnsi="Calibri" w:cs="Calibri"/>
          <w:b/>
          <w:color w:val="7F7F7F"/>
          <w:szCs w:val="20"/>
        </w:rPr>
        <w:t>HRA</w:t>
      </w:r>
      <w:r>
        <w:rPr>
          <w:rFonts w:ascii="Calibri" w:eastAsia="Calibri" w:hAnsi="Calibri" w:cs="Calibri"/>
          <w:bCs/>
          <w:color w:val="7F7F7F"/>
          <w:szCs w:val="20"/>
        </w:rPr>
        <w:t>) notes that few rights are absolute and that they may be subject to reasonable limits in law that can be demonstrably justified in a free and democratic society. Section 28 (2) of the HRA contains the framework that is used to determine the acceptable limitations that may be placed on human rights.</w:t>
      </w:r>
    </w:p>
    <w:p w14:paraId="7DBF65D7" w14:textId="77777777" w:rsidR="00126BE8" w:rsidRDefault="00126BE8" w:rsidP="00E24228">
      <w:pPr>
        <w:pStyle w:val="Quote"/>
        <w:keepNext/>
        <w:spacing w:before="120" w:after="0" w:line="274" w:lineRule="auto"/>
        <w:rPr>
          <w:rFonts w:ascii="Calibri" w:eastAsia="Calibri" w:hAnsi="Calibri" w:cs="Calibri"/>
          <w:bCs/>
          <w:i/>
          <w:iCs/>
          <w:color w:val="7F7F7F"/>
          <w:szCs w:val="20"/>
        </w:rPr>
      </w:pPr>
      <w:r>
        <w:rPr>
          <w:rFonts w:ascii="Calibri" w:eastAsia="Calibri" w:hAnsi="Calibri" w:cs="Calibri"/>
          <w:bCs/>
          <w:i/>
          <w:iCs/>
          <w:color w:val="7F7F7F"/>
          <w:szCs w:val="20"/>
        </w:rPr>
        <w:lastRenderedPageBreak/>
        <w:t>Nature of the right and the limitation (section 28 (a) and (c))</w:t>
      </w:r>
    </w:p>
    <w:p w14:paraId="32B2F107" w14:textId="77777777" w:rsidR="00126BE8" w:rsidRDefault="00126BE8" w:rsidP="00E24228">
      <w:pPr>
        <w:pStyle w:val="Quote"/>
        <w:spacing w:before="120" w:after="0" w:line="274" w:lineRule="auto"/>
        <w:rPr>
          <w:rFonts w:ascii="Calibri" w:eastAsia="Calibri" w:hAnsi="Calibri" w:cs="Calibri"/>
          <w:bCs/>
          <w:color w:val="7F7F7F"/>
          <w:szCs w:val="20"/>
        </w:rPr>
      </w:pPr>
      <w:r>
        <w:rPr>
          <w:rFonts w:ascii="Calibri" w:eastAsia="Calibri" w:hAnsi="Calibri" w:cs="Calibri"/>
          <w:bCs/>
          <w:color w:val="7F7F7F"/>
          <w:szCs w:val="20"/>
        </w:rPr>
        <w:t xml:space="preserve">Section 21 (1) of the HRA provides that everyone has the right to have criminal charges, and rights and obligations recognised by law, decided by a competent, </w:t>
      </w:r>
      <w:proofErr w:type="gramStart"/>
      <w:r>
        <w:rPr>
          <w:rFonts w:ascii="Calibri" w:eastAsia="Calibri" w:hAnsi="Calibri" w:cs="Calibri"/>
          <w:bCs/>
          <w:color w:val="7F7F7F"/>
          <w:szCs w:val="20"/>
        </w:rPr>
        <w:t>independent</w:t>
      </w:r>
      <w:proofErr w:type="gramEnd"/>
      <w:r>
        <w:rPr>
          <w:rFonts w:ascii="Calibri" w:eastAsia="Calibri" w:hAnsi="Calibri" w:cs="Calibri"/>
          <w:bCs/>
          <w:color w:val="7F7F7F"/>
          <w:szCs w:val="20"/>
        </w:rPr>
        <w:t xml:space="preserve"> and impartial court or tribunal after a fair and public hearing.</w:t>
      </w:r>
    </w:p>
    <w:p w14:paraId="15D56034" w14:textId="77777777" w:rsidR="00126BE8" w:rsidRDefault="00126BE8" w:rsidP="00E24228">
      <w:pPr>
        <w:pStyle w:val="Quote"/>
        <w:keepNext/>
        <w:keepLines/>
        <w:spacing w:before="120" w:after="0" w:line="274" w:lineRule="auto"/>
        <w:rPr>
          <w:rFonts w:ascii="Calibri" w:eastAsia="Calibri" w:hAnsi="Calibri" w:cs="Calibri"/>
          <w:bCs/>
          <w:color w:val="7F7F7F"/>
          <w:szCs w:val="20"/>
        </w:rPr>
      </w:pPr>
      <w:r>
        <w:rPr>
          <w:rFonts w:ascii="Calibri" w:eastAsia="Calibri" w:hAnsi="Calibri" w:cs="Calibri"/>
          <w:bCs/>
          <w:color w:val="7F7F7F"/>
          <w:szCs w:val="20"/>
        </w:rPr>
        <w:t>The right to a fair trial includes the right to a fair hearing and procedural fairness. The DI may limit this right for individuals as it expands the existing ability for the director</w:t>
      </w:r>
      <w:r>
        <w:rPr>
          <w:rFonts w:ascii="Calibri" w:eastAsia="Calibri" w:hAnsi="Calibri" w:cs="Calibri"/>
          <w:bCs/>
          <w:color w:val="7F7F7F"/>
          <w:szCs w:val="20"/>
        </w:rPr>
        <w:noBreakHyphen/>
        <w:t xml:space="preserve">general to make administrative decisions by creating a new ground upon which a licence may be amended, </w:t>
      </w:r>
      <w:proofErr w:type="gramStart"/>
      <w:r>
        <w:rPr>
          <w:rFonts w:ascii="Calibri" w:eastAsia="Calibri" w:hAnsi="Calibri" w:cs="Calibri"/>
          <w:bCs/>
          <w:color w:val="7F7F7F"/>
          <w:szCs w:val="20"/>
        </w:rPr>
        <w:t>suspended</w:t>
      </w:r>
      <w:proofErr w:type="gramEnd"/>
      <w:r>
        <w:rPr>
          <w:rFonts w:ascii="Calibri" w:eastAsia="Calibri" w:hAnsi="Calibri" w:cs="Calibri"/>
          <w:bCs/>
          <w:color w:val="7F7F7F"/>
          <w:szCs w:val="20"/>
        </w:rPr>
        <w:t xml:space="preserve"> or cancelled. This new ground is where the director-general is satisfied, on reasonable grounds, that a breach of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xml:space="preserve"> has occurred. </w:t>
      </w:r>
    </w:p>
    <w:p w14:paraId="35D86962" w14:textId="77777777" w:rsidR="00126BE8" w:rsidRPr="00EE261C" w:rsidRDefault="00126BE8" w:rsidP="00E24228">
      <w:pPr>
        <w:pStyle w:val="Quote"/>
        <w:spacing w:before="120" w:after="0" w:line="274" w:lineRule="auto"/>
        <w:rPr>
          <w:rFonts w:ascii="Calibri" w:eastAsia="Calibri" w:hAnsi="Calibri" w:cs="Calibri"/>
          <w:bCs/>
          <w:i/>
          <w:iCs/>
          <w:color w:val="7F7F7F"/>
          <w:szCs w:val="20"/>
        </w:rPr>
      </w:pPr>
      <w:r w:rsidRPr="00EE261C">
        <w:rPr>
          <w:rFonts w:ascii="Calibri" w:eastAsia="Calibri" w:hAnsi="Calibri" w:cs="Calibri"/>
          <w:bCs/>
          <w:i/>
          <w:iCs/>
          <w:color w:val="7F7F7F"/>
          <w:szCs w:val="20"/>
        </w:rPr>
        <w:t>Legitimate purpose (section 28 (b))</w:t>
      </w:r>
    </w:p>
    <w:p w14:paraId="4A4F9ACF" w14:textId="77777777" w:rsidR="00126BE8" w:rsidRDefault="00126BE8" w:rsidP="00E24228">
      <w:pPr>
        <w:pStyle w:val="Quote"/>
        <w:spacing w:before="120" w:after="0" w:line="274" w:lineRule="auto"/>
        <w:rPr>
          <w:rFonts w:ascii="Calibri" w:eastAsia="Calibri" w:hAnsi="Calibri" w:cs="Calibri"/>
          <w:bCs/>
          <w:color w:val="7F7F7F"/>
          <w:szCs w:val="20"/>
        </w:rPr>
      </w:pPr>
      <w:r>
        <w:rPr>
          <w:rFonts w:ascii="Calibri" w:eastAsia="Calibri" w:hAnsi="Calibri" w:cs="Calibri"/>
          <w:bCs/>
          <w:color w:val="7F7F7F"/>
          <w:szCs w:val="20"/>
        </w:rPr>
        <w:t xml:space="preserve">The legitimate objective of the amendments is to make the charitable sector more efficient, ultimately benefiting the communities and causes for which members of the public make donations. It proposes to do this by implementing the National Fundraising Principles.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xml:space="preserve"> also contain rules that are designed to ensure that charitable fundraising is conducted without exploitation, fraud or undue pressure or interference with potential donors. </w:t>
      </w:r>
    </w:p>
    <w:p w14:paraId="7F89727A" w14:textId="73DEBC7E" w:rsidR="006F5FA3" w:rsidRPr="00EE261C" w:rsidRDefault="00126BE8" w:rsidP="00E24228">
      <w:pPr>
        <w:pStyle w:val="Quote"/>
        <w:spacing w:before="120" w:after="0" w:line="274" w:lineRule="auto"/>
        <w:rPr>
          <w:rFonts w:ascii="Calibri" w:eastAsia="Calibri" w:hAnsi="Calibri" w:cs="Calibri"/>
          <w:bCs/>
          <w:i/>
          <w:iCs/>
          <w:color w:val="7F7F7F"/>
          <w:szCs w:val="20"/>
        </w:rPr>
      </w:pPr>
      <w:r>
        <w:rPr>
          <w:rFonts w:ascii="Calibri" w:eastAsia="Calibri" w:hAnsi="Calibri" w:cs="Calibri"/>
          <w:bCs/>
          <w:i/>
          <w:iCs/>
          <w:color w:val="7F7F7F"/>
          <w:szCs w:val="20"/>
        </w:rPr>
        <w:t>Rational connection between the limitation and the purpose (section 28 (d))</w:t>
      </w:r>
    </w:p>
    <w:p w14:paraId="016C913F" w14:textId="77777777" w:rsidR="00126BE8" w:rsidRDefault="00126BE8" w:rsidP="00E24228">
      <w:pPr>
        <w:pStyle w:val="Quote"/>
        <w:spacing w:before="120" w:after="0" w:line="274" w:lineRule="auto"/>
        <w:rPr>
          <w:rFonts w:ascii="Calibri" w:eastAsia="Calibri" w:hAnsi="Calibri" w:cs="Calibri"/>
          <w:bCs/>
          <w:color w:val="7F7F7F"/>
          <w:szCs w:val="20"/>
        </w:rPr>
      </w:pPr>
      <w:r>
        <w:rPr>
          <w:rFonts w:ascii="Calibri" w:eastAsia="Calibri" w:hAnsi="Calibri" w:cs="Calibri"/>
          <w:bCs/>
          <w:color w:val="7F7F7F"/>
          <w:szCs w:val="20"/>
        </w:rPr>
        <w:t xml:space="preserve">There is a rational connection between limiting the right to a fair trial (by creating a new ground to amend, suspend or cancel a licence) and the purpose of implementing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The connection is that there will be a regulatory lever for the director</w:t>
      </w:r>
      <w:r>
        <w:rPr>
          <w:rFonts w:ascii="Calibri" w:eastAsia="Calibri" w:hAnsi="Calibri" w:cs="Calibri"/>
          <w:bCs/>
          <w:color w:val="7F7F7F"/>
          <w:szCs w:val="20"/>
        </w:rPr>
        <w:noBreakHyphen/>
        <w:t xml:space="preserve">general to take enforcement action if a breach of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xml:space="preserve"> occurs, which is necessary to ensure their effectiveness. Expanding the grounds on which the director</w:t>
      </w:r>
      <w:r>
        <w:rPr>
          <w:rFonts w:ascii="Calibri" w:eastAsia="Calibri" w:hAnsi="Calibri" w:cs="Calibri"/>
          <w:bCs/>
          <w:color w:val="7F7F7F"/>
          <w:szCs w:val="20"/>
        </w:rPr>
        <w:noBreakHyphen/>
        <w:t xml:space="preserve">general can take enforcement action will act as an incentive to licence holders to understand and comply with their obligations under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xml:space="preserve">. It will also provide assurance to the community that a breach of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xml:space="preserve"> will be taken seriously.   </w:t>
      </w:r>
    </w:p>
    <w:p w14:paraId="734075CC" w14:textId="77777777" w:rsidR="00754DA5" w:rsidRDefault="00126BE8" w:rsidP="00E24228">
      <w:pPr>
        <w:pStyle w:val="Quote"/>
        <w:spacing w:before="120" w:after="0" w:line="274" w:lineRule="auto"/>
        <w:rPr>
          <w:rFonts w:ascii="Calibri" w:eastAsia="Calibri" w:hAnsi="Calibri" w:cs="Calibri"/>
          <w:bCs/>
          <w:i/>
          <w:iCs/>
          <w:color w:val="7F7F7F"/>
          <w:szCs w:val="20"/>
        </w:rPr>
      </w:pPr>
      <w:r>
        <w:rPr>
          <w:rFonts w:ascii="Calibri" w:eastAsia="Calibri" w:hAnsi="Calibri" w:cs="Calibri"/>
          <w:bCs/>
          <w:i/>
          <w:iCs/>
          <w:color w:val="7F7F7F"/>
          <w:szCs w:val="20"/>
        </w:rPr>
        <w:t>Proportionality (section 28 (e))</w:t>
      </w:r>
    </w:p>
    <w:p w14:paraId="3097A526" w14:textId="0D2EFB9A" w:rsidR="00126BE8" w:rsidRPr="00754DA5" w:rsidRDefault="00126BE8" w:rsidP="00E24228">
      <w:pPr>
        <w:pStyle w:val="Quote"/>
        <w:spacing w:before="120" w:after="0" w:line="274" w:lineRule="auto"/>
        <w:rPr>
          <w:rFonts w:ascii="Calibri" w:eastAsia="Calibri" w:hAnsi="Calibri" w:cs="Calibri"/>
          <w:bCs/>
          <w:color w:val="7F7F7F"/>
          <w:spacing w:val="-2"/>
          <w:szCs w:val="20"/>
        </w:rPr>
      </w:pPr>
      <w:r w:rsidRPr="00754DA5">
        <w:rPr>
          <w:rFonts w:ascii="Calibri" w:eastAsia="Calibri" w:hAnsi="Calibri" w:cs="Calibri"/>
          <w:bCs/>
          <w:color w:val="7F7F7F"/>
          <w:spacing w:val="-2"/>
          <w:szCs w:val="20"/>
        </w:rPr>
        <w:t xml:space="preserve">The DI will only have human rights implications for those individuals who hold a licence to conduct collections. This is expected to be a small number of ACT-licence holders, as most charities are legal entities (non-natural persons) to which human rights do not apply. Charities registered with the ACNC cannot be individuals. </w:t>
      </w:r>
    </w:p>
    <w:p w14:paraId="44A76B7C" w14:textId="77777777" w:rsidR="00126BE8" w:rsidRDefault="00126BE8" w:rsidP="00E24228">
      <w:pPr>
        <w:pStyle w:val="Quote"/>
        <w:spacing w:before="120" w:after="0" w:line="274" w:lineRule="auto"/>
        <w:rPr>
          <w:rFonts w:ascii="Calibri" w:eastAsia="Calibri" w:hAnsi="Calibri" w:cs="Calibri"/>
          <w:bCs/>
          <w:color w:val="7F7F7F"/>
          <w:szCs w:val="20"/>
        </w:rPr>
      </w:pPr>
      <w:r>
        <w:rPr>
          <w:rFonts w:ascii="Calibri" w:eastAsia="Calibri" w:hAnsi="Calibri" w:cs="Calibri"/>
          <w:bCs/>
          <w:color w:val="7F7F7F"/>
          <w:szCs w:val="20"/>
        </w:rPr>
        <w:t xml:space="preserve">To the extent to which creating a new ground to amend, suspend or cancel a licence limits the right to a fair trial, it is proportionate because of the safeguards which already exist in the CC Act. These safeguards include a requirement to notify the individual that enforcement action is proposed, providing the individual with an opportunity to respond to the allegation, and review rights of decisions in ACAT. This approach strikes the right balance between needing an enforcement mechanism to ensure compliance with the </w:t>
      </w:r>
      <w:proofErr w:type="gramStart"/>
      <w:r>
        <w:rPr>
          <w:rFonts w:ascii="Calibri" w:eastAsia="Calibri" w:hAnsi="Calibri" w:cs="Calibri"/>
          <w:bCs/>
          <w:color w:val="7F7F7F"/>
          <w:szCs w:val="20"/>
        </w:rPr>
        <w:t>Principles</w:t>
      </w:r>
      <w:proofErr w:type="gramEnd"/>
      <w:r>
        <w:rPr>
          <w:rFonts w:ascii="Calibri" w:eastAsia="Calibri" w:hAnsi="Calibri" w:cs="Calibri"/>
          <w:bCs/>
          <w:color w:val="7F7F7F"/>
          <w:szCs w:val="20"/>
        </w:rPr>
        <w:t xml:space="preserve"> and ensuring they are not being enforced arbitrarily without proper oversight. </w:t>
      </w:r>
    </w:p>
    <w:p w14:paraId="65D3553A" w14:textId="77777777" w:rsidR="00126BE8" w:rsidRDefault="00126BE8" w:rsidP="00E24228">
      <w:pPr>
        <w:pStyle w:val="Quote"/>
        <w:spacing w:before="120" w:after="0" w:line="274" w:lineRule="auto"/>
        <w:rPr>
          <w:rFonts w:ascii="Calibri" w:eastAsia="Calibri" w:hAnsi="Calibri" w:cs="Calibri"/>
          <w:bCs/>
          <w:color w:val="7F7F7F"/>
          <w:szCs w:val="20"/>
        </w:rPr>
      </w:pPr>
      <w:r>
        <w:rPr>
          <w:rFonts w:ascii="Calibri" w:eastAsia="Calibri" w:hAnsi="Calibri" w:cs="Calibri"/>
          <w:bCs/>
          <w:color w:val="7F7F7F"/>
          <w:szCs w:val="20"/>
        </w:rPr>
        <w:t>Individuals subject to the requirements of the Principles (i.e. natural persons holding ACT licences) will be made aware of their obligations through public communications materials including information on the Access Canberra website in relation to charitable collections (</w:t>
      </w:r>
      <w:hyperlink r:id="rId20" w:history="1">
        <w:r>
          <w:rPr>
            <w:rStyle w:val="Hyperlink"/>
            <w:rFonts w:ascii="Calibri" w:eastAsia="Calibri" w:hAnsi="Calibri" w:cs="Calibri"/>
            <w:bCs/>
            <w:color w:val="7F7F7F"/>
            <w:szCs w:val="20"/>
          </w:rPr>
          <w:t>https://www.accesscanberra.act.gov.au/business-and-work/associations-co-ops-and-charities/charitable-collection-licences</w:t>
        </w:r>
      </w:hyperlink>
      <w:r>
        <w:rPr>
          <w:rFonts w:ascii="Calibri" w:eastAsia="Calibri" w:hAnsi="Calibri" w:cs="Calibri"/>
          <w:bCs/>
          <w:color w:val="7F7F7F"/>
          <w:szCs w:val="20"/>
        </w:rPr>
        <w:t xml:space="preserve">). </w:t>
      </w:r>
    </w:p>
    <w:p w14:paraId="77798276"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lastRenderedPageBreak/>
        <w:t>The Committee draws the attention of the Legislative Assembly to the discussion of human rights issues in the explanatory statement for this instrument.</w:t>
      </w:r>
    </w:p>
    <w:p w14:paraId="569CCC8D" w14:textId="7E991F76" w:rsidR="00126BE8" w:rsidRPr="006F5FA3"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bookmarkEnd w:id="190"/>
    </w:p>
    <w:p w14:paraId="58601A5B" w14:textId="77777777" w:rsidR="00126BE8" w:rsidRDefault="00126BE8" w:rsidP="00126BE8">
      <w:pPr>
        <w:keepNext/>
        <w:keepLines/>
        <w:spacing w:before="120" w:after="200"/>
        <w:outlineLvl w:val="2"/>
        <w:rPr>
          <w:rFonts w:ascii="Montserrat" w:eastAsia="Times New Roman" w:hAnsi="Montserrat" w:cs="Times New Roman"/>
          <w:b/>
          <w:color w:val="7492CD"/>
          <w:w w:val="90"/>
          <w:kern w:val="2"/>
          <w:sz w:val="28"/>
          <w:szCs w:val="24"/>
        </w:rPr>
      </w:pPr>
      <w:bookmarkStart w:id="191" w:name="_Toc175930219"/>
      <w:bookmarkStart w:id="192" w:name="_Toc176162876"/>
      <w:bookmarkStart w:id="193" w:name="_Toc176175562"/>
      <w:r>
        <w:rPr>
          <w:rFonts w:ascii="Montserrat" w:eastAsia="Times New Roman" w:hAnsi="Montserrat" w:cs="Times New Roman"/>
          <w:b/>
          <w:color w:val="7492CD"/>
          <w:w w:val="90"/>
          <w:kern w:val="2"/>
          <w:sz w:val="28"/>
          <w:szCs w:val="24"/>
        </w:rPr>
        <w:t>Human Rights Issues / Drafting issue</w:t>
      </w:r>
      <w:bookmarkEnd w:id="191"/>
      <w:bookmarkEnd w:id="192"/>
      <w:bookmarkEnd w:id="193"/>
    </w:p>
    <w:p w14:paraId="311A053A" w14:textId="4FEE4A86" w:rsidR="00754DA5" w:rsidRPr="00E24228" w:rsidRDefault="006F5FA3" w:rsidP="00EE5867">
      <w:pPr>
        <w:pStyle w:val="Bodycopy"/>
        <w:keepLines/>
        <w:numPr>
          <w:ilvl w:val="0"/>
          <w:numId w:val="11"/>
        </w:numPr>
        <w:spacing w:before="120" w:after="0" w:line="283" w:lineRule="auto"/>
        <w:ind w:left="1208" w:hanging="357"/>
        <w:rPr>
          <w:rFonts w:cstheme="minorHAnsi"/>
          <w:spacing w:val="-4"/>
        </w:rPr>
      </w:pPr>
      <w:r w:rsidRPr="00E24228">
        <w:rPr>
          <w:b/>
          <w:bCs/>
          <w:spacing w:val="-4"/>
        </w:rPr>
        <w:t xml:space="preserve">Disallowable Instrument DI2024-240 being the Road Transport (Road Rules) Advertising Declaration 2024 (No 1) made under section 213SA of the </w:t>
      </w:r>
      <w:r w:rsidRPr="00E24228">
        <w:rPr>
          <w:i/>
          <w:iCs/>
          <w:spacing w:val="-4"/>
        </w:rPr>
        <w:t>Road Transport (Road Rules) Regulation 2017</w:t>
      </w:r>
      <w:r w:rsidRPr="00E24228">
        <w:rPr>
          <w:b/>
          <w:bCs/>
          <w:spacing w:val="-4"/>
        </w:rPr>
        <w:t xml:space="preserve"> provides that it is an offence for a driver to park in a designated place if a</w:t>
      </w:r>
      <w:r w:rsidR="00E24228">
        <w:rPr>
          <w:b/>
          <w:bCs/>
          <w:spacing w:val="-4"/>
        </w:rPr>
        <w:t> </w:t>
      </w:r>
      <w:r w:rsidRPr="00E24228">
        <w:rPr>
          <w:b/>
          <w:bCs/>
          <w:spacing w:val="-4"/>
        </w:rPr>
        <w:t xml:space="preserve">sign displaying advertising or electoral matter is attached to the vehicle. </w:t>
      </w:r>
    </w:p>
    <w:p w14:paraId="2357ABA1" w14:textId="00AC8017" w:rsidR="00126BE8" w:rsidRDefault="00126BE8" w:rsidP="00EE5867">
      <w:pPr>
        <w:pStyle w:val="ListNumber2"/>
        <w:numPr>
          <w:ilvl w:val="1"/>
          <w:numId w:val="6"/>
        </w:numPr>
        <w:ind w:hanging="720"/>
      </w:pPr>
      <w:r>
        <w:t>This instrument is made for paragraph</w:t>
      </w:r>
      <w:r w:rsidR="00AA34C6">
        <w:t xml:space="preserve"> </w:t>
      </w:r>
      <w:r>
        <w:t xml:space="preserve">213SA(3)(b) of the </w:t>
      </w:r>
      <w:r>
        <w:rPr>
          <w:i/>
          <w:iCs/>
        </w:rPr>
        <w:t>Road Transport (Road Rules) Regulation 2017</w:t>
      </w:r>
      <w:r>
        <w:t>.  Section 213SA provides:</w:t>
      </w:r>
    </w:p>
    <w:p w14:paraId="755FF7E8" w14:textId="77777777" w:rsidR="00126BE8" w:rsidRPr="00793041" w:rsidRDefault="00126BE8" w:rsidP="00754DA5">
      <w:pPr>
        <w:pStyle w:val="Quote"/>
        <w:spacing w:before="120" w:after="120"/>
        <w:rPr>
          <w:b/>
          <w:bCs/>
        </w:rPr>
      </w:pPr>
      <w:bookmarkStart w:id="194" w:name="_Toc170385209"/>
      <w:r w:rsidRPr="00793041">
        <w:rPr>
          <w:b/>
          <w:bCs/>
        </w:rPr>
        <w:t>213SA</w:t>
      </w:r>
      <w:r w:rsidRPr="00793041">
        <w:rPr>
          <w:b/>
          <w:bCs/>
        </w:rPr>
        <w:tab/>
        <w:t xml:space="preserve">Vehicle parked in designated place must not have sign </w:t>
      </w:r>
      <w:proofErr w:type="gramStart"/>
      <w:r w:rsidRPr="00793041">
        <w:rPr>
          <w:b/>
          <w:bCs/>
        </w:rPr>
        <w:t>attached</w:t>
      </w:r>
      <w:bookmarkEnd w:id="194"/>
      <w:proofErr w:type="gramEnd"/>
    </w:p>
    <w:p w14:paraId="7DB676DD" w14:textId="5CDCA83E" w:rsidR="00126BE8" w:rsidRDefault="00126BE8" w:rsidP="00FD081E">
      <w:pPr>
        <w:pStyle w:val="Quote"/>
        <w:spacing w:before="120" w:after="0"/>
        <w:ind w:left="2127" w:hanging="709"/>
        <w:rPr>
          <w:bCs/>
        </w:rPr>
      </w:pPr>
      <w:r>
        <w:rPr>
          <w:bCs/>
        </w:rPr>
        <w:t>(1)</w:t>
      </w:r>
      <w:r>
        <w:rPr>
          <w:bCs/>
        </w:rPr>
        <w:tab/>
        <w:t>A driver must not park a vehicle in a designated place if a sign displaying advertising or electoral matter is attached to the vehicle.</w:t>
      </w:r>
    </w:p>
    <w:p w14:paraId="5BFAF897" w14:textId="77777777" w:rsidR="00126BE8" w:rsidRDefault="00126BE8" w:rsidP="00FD081E">
      <w:pPr>
        <w:pStyle w:val="Quote"/>
        <w:spacing w:before="120" w:after="0"/>
        <w:ind w:left="1821" w:firstLine="306"/>
        <w:rPr>
          <w:bCs/>
        </w:rPr>
      </w:pPr>
      <w:r>
        <w:rPr>
          <w:bCs/>
        </w:rPr>
        <w:t>Maximum penalty:  20 penalty units.</w:t>
      </w:r>
    </w:p>
    <w:p w14:paraId="461F9FE2" w14:textId="581DBF20" w:rsidR="00126BE8" w:rsidRDefault="00126BE8" w:rsidP="00FD081E">
      <w:pPr>
        <w:pStyle w:val="Quote"/>
        <w:spacing w:before="120" w:after="0"/>
        <w:ind w:left="2127" w:hanging="709"/>
        <w:rPr>
          <w:bCs/>
        </w:rPr>
      </w:pPr>
      <w:r>
        <w:rPr>
          <w:bCs/>
        </w:rPr>
        <w:t>(2)</w:t>
      </w:r>
      <w:r>
        <w:rPr>
          <w:bCs/>
        </w:rPr>
        <w:tab/>
        <w:t>Subsection (1) does not apply to a vehicle being used by or for the Territory.</w:t>
      </w:r>
    </w:p>
    <w:p w14:paraId="46457193" w14:textId="77777777" w:rsidR="00126BE8" w:rsidRDefault="00126BE8" w:rsidP="00FD081E">
      <w:pPr>
        <w:pStyle w:val="Quote"/>
        <w:spacing w:before="120" w:after="0"/>
        <w:rPr>
          <w:bCs/>
        </w:rPr>
      </w:pPr>
      <w:r>
        <w:rPr>
          <w:bCs/>
        </w:rPr>
        <w:tab/>
        <w:t>(3)</w:t>
      </w:r>
      <w:r>
        <w:rPr>
          <w:bCs/>
        </w:rPr>
        <w:tab/>
        <w:t>The Minister may, for subsection (1), declare—</w:t>
      </w:r>
    </w:p>
    <w:p w14:paraId="7122F163" w14:textId="42889BE8" w:rsidR="00126BE8" w:rsidRDefault="00126BE8" w:rsidP="00FD081E">
      <w:pPr>
        <w:pStyle w:val="Quote"/>
        <w:spacing w:before="120" w:after="0"/>
        <w:ind w:left="2835" w:hanging="708"/>
        <w:rPr>
          <w:bCs/>
        </w:rPr>
      </w:pPr>
      <w:r>
        <w:rPr>
          <w:bCs/>
        </w:rPr>
        <w:t>(a)</w:t>
      </w:r>
      <w:r>
        <w:rPr>
          <w:bCs/>
        </w:rPr>
        <w:tab/>
        <w:t>a road or public unleased land to be a designated place if satisfied that making the declaration is in the interests of road safety; and</w:t>
      </w:r>
    </w:p>
    <w:p w14:paraId="64934CC3" w14:textId="3A682840" w:rsidR="00126BE8" w:rsidRDefault="00126BE8" w:rsidP="00FD081E">
      <w:pPr>
        <w:pStyle w:val="Quote"/>
        <w:spacing w:before="120" w:after="0"/>
        <w:ind w:left="2835" w:hanging="708"/>
        <w:rPr>
          <w:bCs/>
        </w:rPr>
      </w:pPr>
      <w:r>
        <w:rPr>
          <w:bCs/>
        </w:rPr>
        <w:t>(b)</w:t>
      </w:r>
      <w:r>
        <w:rPr>
          <w:bCs/>
        </w:rPr>
        <w:tab/>
        <w:t>matter that is or is not advertising.</w:t>
      </w:r>
    </w:p>
    <w:p w14:paraId="01F4C0F7" w14:textId="77777777" w:rsidR="00126BE8" w:rsidRDefault="00126BE8" w:rsidP="00FD081E">
      <w:pPr>
        <w:pStyle w:val="Quote"/>
        <w:spacing w:before="120" w:after="0"/>
        <w:rPr>
          <w:bCs/>
        </w:rPr>
      </w:pPr>
      <w:r>
        <w:rPr>
          <w:bCs/>
        </w:rPr>
        <w:tab/>
        <w:t>(4)</w:t>
      </w:r>
      <w:r>
        <w:rPr>
          <w:bCs/>
        </w:rPr>
        <w:tab/>
        <w:t>A declaration is—</w:t>
      </w:r>
    </w:p>
    <w:p w14:paraId="259B7B54" w14:textId="3347F03B" w:rsidR="00126BE8" w:rsidRDefault="00126BE8" w:rsidP="00FD081E">
      <w:pPr>
        <w:pStyle w:val="Quote"/>
        <w:spacing w:before="120" w:after="0"/>
        <w:ind w:left="2835" w:hanging="708"/>
        <w:rPr>
          <w:bCs/>
        </w:rPr>
      </w:pPr>
      <w:r>
        <w:rPr>
          <w:bCs/>
        </w:rPr>
        <w:t>(a)</w:t>
      </w:r>
      <w:r>
        <w:rPr>
          <w:bCs/>
        </w:rPr>
        <w:tab/>
        <w:t>for subsection (3) (a)—a notifiable instrument; and</w:t>
      </w:r>
    </w:p>
    <w:p w14:paraId="58D716D0" w14:textId="166DDCCA" w:rsidR="00126BE8" w:rsidRDefault="00754DA5" w:rsidP="00FD081E">
      <w:pPr>
        <w:pStyle w:val="Quote"/>
        <w:spacing w:before="120" w:after="0"/>
        <w:ind w:left="2835" w:hanging="708"/>
        <w:rPr>
          <w:bCs/>
        </w:rPr>
      </w:pPr>
      <w:r>
        <w:rPr>
          <w:bCs/>
        </w:rPr>
        <w:t>(</w:t>
      </w:r>
      <w:r w:rsidR="00126BE8">
        <w:rPr>
          <w:bCs/>
        </w:rPr>
        <w:t>b)</w:t>
      </w:r>
      <w:r w:rsidR="00126BE8">
        <w:rPr>
          <w:bCs/>
        </w:rPr>
        <w:tab/>
        <w:t>for subsection (3) (b)—a disallowable instrument.</w:t>
      </w:r>
    </w:p>
    <w:p w14:paraId="4E931D7A" w14:textId="77777777" w:rsidR="00126BE8" w:rsidRDefault="00126BE8" w:rsidP="00FD081E">
      <w:pPr>
        <w:pStyle w:val="Quote"/>
        <w:spacing w:before="120" w:after="0"/>
        <w:rPr>
          <w:bCs/>
        </w:rPr>
      </w:pPr>
      <w:r>
        <w:rPr>
          <w:bCs/>
        </w:rPr>
        <w:tab/>
        <w:t>(5)</w:t>
      </w:r>
      <w:r>
        <w:rPr>
          <w:bCs/>
        </w:rPr>
        <w:tab/>
        <w:t>In this section:</w:t>
      </w:r>
    </w:p>
    <w:p w14:paraId="7CDEAB15" w14:textId="77777777" w:rsidR="00126BE8" w:rsidRPr="00EE261C" w:rsidRDefault="00126BE8" w:rsidP="00FD081E">
      <w:pPr>
        <w:pStyle w:val="Quote"/>
        <w:spacing w:before="120" w:after="0"/>
        <w:ind w:left="1821" w:firstLine="306"/>
        <w:rPr>
          <w:b/>
        </w:rPr>
      </w:pPr>
      <w:r w:rsidRPr="00EE261C">
        <w:rPr>
          <w:b/>
          <w:i/>
        </w:rPr>
        <w:t>advertising</w:t>
      </w:r>
      <w:r w:rsidRPr="00EE261C">
        <w:rPr>
          <w:b/>
        </w:rPr>
        <w:t>—</w:t>
      </w:r>
    </w:p>
    <w:p w14:paraId="055635B3" w14:textId="557E6C9A" w:rsidR="00126BE8" w:rsidRDefault="00126BE8" w:rsidP="00FD081E">
      <w:pPr>
        <w:pStyle w:val="Quote"/>
        <w:spacing w:before="120" w:after="0"/>
        <w:ind w:left="2835" w:hanging="708"/>
        <w:rPr>
          <w:bCs/>
        </w:rPr>
      </w:pPr>
      <w:r>
        <w:rPr>
          <w:bCs/>
        </w:rPr>
        <w:t>(a)</w:t>
      </w:r>
      <w:r>
        <w:rPr>
          <w:bCs/>
        </w:rPr>
        <w:tab/>
        <w:t>means any matter declared to be advertising under subsection (3) (b); but</w:t>
      </w:r>
    </w:p>
    <w:p w14:paraId="5756CB40" w14:textId="47E63BF1" w:rsidR="00126BE8" w:rsidRDefault="00126BE8" w:rsidP="00FD081E">
      <w:pPr>
        <w:pStyle w:val="Quote"/>
        <w:spacing w:before="120" w:after="0"/>
        <w:ind w:left="2835" w:hanging="708"/>
        <w:rPr>
          <w:bCs/>
        </w:rPr>
      </w:pPr>
      <w:r>
        <w:rPr>
          <w:bCs/>
        </w:rPr>
        <w:t>(b)</w:t>
      </w:r>
      <w:r>
        <w:rPr>
          <w:bCs/>
        </w:rPr>
        <w:tab/>
        <w:t>does not include—</w:t>
      </w:r>
    </w:p>
    <w:p w14:paraId="37C02B12" w14:textId="0184A194" w:rsidR="00126BE8" w:rsidRDefault="00126BE8" w:rsidP="00FD081E">
      <w:pPr>
        <w:pStyle w:val="Quote"/>
        <w:spacing w:before="120" w:after="0"/>
        <w:ind w:left="3544" w:hanging="567"/>
        <w:rPr>
          <w:bCs/>
        </w:rPr>
      </w:pPr>
      <w:r>
        <w:rPr>
          <w:bCs/>
        </w:rPr>
        <w:t>(</w:t>
      </w:r>
      <w:proofErr w:type="spellStart"/>
      <w:r>
        <w:rPr>
          <w:bCs/>
        </w:rPr>
        <w:t>i</w:t>
      </w:r>
      <w:proofErr w:type="spellEnd"/>
      <w:r>
        <w:rPr>
          <w:bCs/>
        </w:rPr>
        <w:t>)</w:t>
      </w:r>
      <w:r>
        <w:rPr>
          <w:bCs/>
        </w:rPr>
        <w:tab/>
        <w:t>any matter declared not to be advertising under subsection (3) (b); or</w:t>
      </w:r>
    </w:p>
    <w:p w14:paraId="62411CB1" w14:textId="6EE469FA" w:rsidR="00126BE8" w:rsidRDefault="00126BE8" w:rsidP="00FD081E">
      <w:pPr>
        <w:pStyle w:val="Quote"/>
        <w:spacing w:before="120" w:after="0"/>
        <w:ind w:left="3544" w:hanging="567"/>
        <w:rPr>
          <w:bCs/>
        </w:rPr>
      </w:pPr>
      <w:r>
        <w:rPr>
          <w:bCs/>
        </w:rPr>
        <w:t>(ii)</w:t>
      </w:r>
      <w:r>
        <w:rPr>
          <w:bCs/>
        </w:rPr>
        <w:tab/>
        <w:t>a bumper sticker displayed in or on the vehicle; or</w:t>
      </w:r>
    </w:p>
    <w:p w14:paraId="76F69341" w14:textId="53DE3AB1" w:rsidR="00126BE8" w:rsidRDefault="00126BE8" w:rsidP="00FD081E">
      <w:pPr>
        <w:pStyle w:val="Quote"/>
        <w:spacing w:before="120" w:after="0"/>
        <w:ind w:left="3544" w:hanging="567"/>
        <w:rPr>
          <w:bCs/>
        </w:rPr>
      </w:pPr>
      <w:r>
        <w:rPr>
          <w:bCs/>
        </w:rPr>
        <w:t>(iii)</w:t>
      </w:r>
      <w:r>
        <w:rPr>
          <w:bCs/>
        </w:rPr>
        <w:tab/>
        <w:t>advertising indicating that the vehicle is for sale.</w:t>
      </w:r>
    </w:p>
    <w:p w14:paraId="6C7C2676" w14:textId="77777777" w:rsidR="00126BE8" w:rsidRDefault="00126BE8" w:rsidP="00FD081E">
      <w:pPr>
        <w:pStyle w:val="Quote"/>
        <w:spacing w:before="120" w:after="0"/>
        <w:ind w:left="1854" w:firstLine="306"/>
        <w:rPr>
          <w:bCs/>
        </w:rPr>
      </w:pPr>
      <w:r w:rsidRPr="00EE261C">
        <w:rPr>
          <w:b/>
          <w:i/>
        </w:rPr>
        <w:t>designated place</w:t>
      </w:r>
      <w:r>
        <w:rPr>
          <w:bCs/>
        </w:rPr>
        <w:t xml:space="preserve"> means a place declared under subsection (3) (a).</w:t>
      </w:r>
    </w:p>
    <w:p w14:paraId="71DC74D3" w14:textId="77777777" w:rsidR="00126BE8" w:rsidRPr="00EE261C" w:rsidRDefault="00126BE8" w:rsidP="00FD081E">
      <w:pPr>
        <w:pStyle w:val="Quote"/>
        <w:spacing w:before="120" w:after="0"/>
        <w:ind w:left="1548" w:firstLine="612"/>
        <w:rPr>
          <w:b/>
        </w:rPr>
      </w:pPr>
      <w:r w:rsidRPr="00EE261C">
        <w:rPr>
          <w:b/>
          <w:i/>
        </w:rPr>
        <w:t>electoral matter</w:t>
      </w:r>
      <w:r w:rsidRPr="00EE261C">
        <w:rPr>
          <w:b/>
        </w:rPr>
        <w:t>—</w:t>
      </w:r>
    </w:p>
    <w:p w14:paraId="317ABB83" w14:textId="5D143D85" w:rsidR="00126BE8" w:rsidRDefault="00126BE8" w:rsidP="00FD081E">
      <w:pPr>
        <w:pStyle w:val="Quote"/>
        <w:spacing w:before="120" w:after="0"/>
        <w:ind w:left="2835" w:hanging="708"/>
        <w:rPr>
          <w:bCs/>
        </w:rPr>
      </w:pPr>
      <w:r>
        <w:rPr>
          <w:bCs/>
        </w:rPr>
        <w:t>(a)</w:t>
      </w:r>
      <w:r>
        <w:rPr>
          <w:bCs/>
        </w:rPr>
        <w:tab/>
        <w:t>means any matter that is intended, or is likely, to affect voting in an ACT, Commonwealth or State election or referendum; and</w:t>
      </w:r>
    </w:p>
    <w:p w14:paraId="4C7869FB" w14:textId="6A154A37" w:rsidR="00126BE8" w:rsidRDefault="00126BE8" w:rsidP="00FD081E">
      <w:pPr>
        <w:pStyle w:val="Quote"/>
        <w:spacing w:before="120" w:after="0"/>
        <w:ind w:left="2835" w:hanging="708"/>
        <w:rPr>
          <w:bCs/>
        </w:rPr>
      </w:pPr>
      <w:r>
        <w:rPr>
          <w:bCs/>
        </w:rPr>
        <w:lastRenderedPageBreak/>
        <w:t>(b)</w:t>
      </w:r>
      <w:r>
        <w:rPr>
          <w:bCs/>
        </w:rPr>
        <w:tab/>
        <w:t>includes any matter that contains an express or implied reference to—</w:t>
      </w:r>
    </w:p>
    <w:p w14:paraId="42869069" w14:textId="49AF816C" w:rsidR="00126BE8" w:rsidRDefault="00126BE8" w:rsidP="00FD081E">
      <w:pPr>
        <w:pStyle w:val="Quote"/>
        <w:spacing w:before="120" w:after="0"/>
        <w:ind w:left="3544" w:hanging="567"/>
        <w:rPr>
          <w:bCs/>
        </w:rPr>
      </w:pPr>
      <w:r>
        <w:rPr>
          <w:bCs/>
        </w:rPr>
        <w:t>(</w:t>
      </w:r>
      <w:proofErr w:type="spellStart"/>
      <w:r>
        <w:rPr>
          <w:bCs/>
        </w:rPr>
        <w:t>i</w:t>
      </w:r>
      <w:proofErr w:type="spellEnd"/>
      <w:r>
        <w:rPr>
          <w:bCs/>
        </w:rPr>
        <w:t>)</w:t>
      </w:r>
      <w:r>
        <w:rPr>
          <w:bCs/>
        </w:rPr>
        <w:tab/>
        <w:t>an ACT, Commonwealth or State election or referendum; or</w:t>
      </w:r>
    </w:p>
    <w:p w14:paraId="3F5ED7E6" w14:textId="6F3B06E3" w:rsidR="00126BE8" w:rsidRDefault="00126BE8" w:rsidP="00FD081E">
      <w:pPr>
        <w:pStyle w:val="Quote"/>
        <w:spacing w:before="120" w:after="0"/>
        <w:ind w:left="3544" w:hanging="567"/>
        <w:rPr>
          <w:bCs/>
        </w:rPr>
      </w:pPr>
      <w:r>
        <w:rPr>
          <w:bCs/>
        </w:rPr>
        <w:t>(ii)</w:t>
      </w:r>
      <w:r>
        <w:rPr>
          <w:bCs/>
        </w:rPr>
        <w:tab/>
        <w:t>any matter on which electors are required to vote in an ACT, Commonwealth or State election or referendum; but</w:t>
      </w:r>
    </w:p>
    <w:p w14:paraId="348D5E88" w14:textId="77777777" w:rsidR="00126BE8" w:rsidRDefault="00126BE8" w:rsidP="00FD081E">
      <w:pPr>
        <w:pStyle w:val="Quote"/>
        <w:spacing w:before="120" w:after="0"/>
        <w:ind w:left="4111" w:hanging="567"/>
        <w:rPr>
          <w:bCs/>
        </w:rPr>
      </w:pPr>
      <w:r>
        <w:rPr>
          <w:bCs/>
          <w:i/>
        </w:rPr>
        <w:t>Note</w:t>
      </w:r>
      <w:r>
        <w:rPr>
          <w:bCs/>
          <w:i/>
        </w:rPr>
        <w:tab/>
      </w:r>
      <w:r w:rsidRPr="00EE261C">
        <w:rPr>
          <w:b/>
          <w:i/>
        </w:rPr>
        <w:t>State</w:t>
      </w:r>
      <w:r>
        <w:rPr>
          <w:bCs/>
        </w:rPr>
        <w:t xml:space="preserve"> includes the Northern Territory (see </w:t>
      </w:r>
      <w:hyperlink r:id="rId21" w:tooltip="A2001-14" w:history="1">
        <w:r>
          <w:rPr>
            <w:rStyle w:val="Hyperlink"/>
            <w:rFonts w:ascii="Calibri" w:eastAsia="Calibri" w:hAnsi="Calibri" w:cs="Calibri"/>
            <w:bCs/>
            <w:color w:val="7F7F7F"/>
            <w:szCs w:val="20"/>
          </w:rPr>
          <w:t>Legislation Act</w:t>
        </w:r>
      </w:hyperlink>
      <w:r>
        <w:rPr>
          <w:bCs/>
        </w:rPr>
        <w:t xml:space="preserve">, </w:t>
      </w:r>
      <w:proofErr w:type="spellStart"/>
      <w:r>
        <w:rPr>
          <w:bCs/>
        </w:rPr>
        <w:t>dict</w:t>
      </w:r>
      <w:proofErr w:type="spellEnd"/>
      <w:r>
        <w:rPr>
          <w:bCs/>
        </w:rPr>
        <w:t>, pt 1).</w:t>
      </w:r>
    </w:p>
    <w:p w14:paraId="2E70684A" w14:textId="278D9A75" w:rsidR="00126BE8" w:rsidRDefault="00126BE8" w:rsidP="00FD081E">
      <w:pPr>
        <w:pStyle w:val="Quote"/>
        <w:spacing w:before="120" w:after="0"/>
        <w:ind w:left="2835" w:hanging="708"/>
        <w:rPr>
          <w:bCs/>
        </w:rPr>
      </w:pPr>
      <w:r>
        <w:rPr>
          <w:bCs/>
        </w:rPr>
        <w:t>(c)</w:t>
      </w:r>
      <w:r>
        <w:rPr>
          <w:bCs/>
        </w:rPr>
        <w:tab/>
        <w:t>does not include electoral matter on a bumper sticker displayed in or on a vehicle.</w:t>
      </w:r>
    </w:p>
    <w:p w14:paraId="295DB367" w14:textId="77777777" w:rsidR="00126BE8" w:rsidRPr="00FD081E" w:rsidRDefault="00126BE8" w:rsidP="00FD081E">
      <w:pPr>
        <w:pStyle w:val="Quote"/>
        <w:spacing w:before="120" w:after="0"/>
        <w:ind w:left="1854" w:firstLine="306"/>
        <w:rPr>
          <w:bCs/>
          <w:spacing w:val="-4"/>
        </w:rPr>
      </w:pPr>
      <w:r w:rsidRPr="00FD081E">
        <w:rPr>
          <w:b/>
          <w:i/>
          <w:spacing w:val="-4"/>
        </w:rPr>
        <w:t>public unleased land</w:t>
      </w:r>
      <w:r w:rsidRPr="00FD081E">
        <w:rPr>
          <w:bCs/>
          <w:spacing w:val="-4"/>
        </w:rPr>
        <w:t xml:space="preserve">—see the </w:t>
      </w:r>
      <w:hyperlink r:id="rId22" w:tooltip="A2013-3" w:history="1">
        <w:r w:rsidRPr="00FD081E">
          <w:rPr>
            <w:rStyle w:val="Hyperlink"/>
            <w:rFonts w:eastAsia="Calibri" w:cs="Calibri"/>
            <w:bCs/>
            <w:i/>
            <w:color w:val="7F7F7F"/>
            <w:spacing w:val="-4"/>
            <w:szCs w:val="20"/>
          </w:rPr>
          <w:t>Public Unleased Land Act 2013</w:t>
        </w:r>
      </w:hyperlink>
      <w:r w:rsidRPr="00FD081E">
        <w:rPr>
          <w:bCs/>
          <w:spacing w:val="-4"/>
        </w:rPr>
        <w:t>, section 8.</w:t>
      </w:r>
    </w:p>
    <w:p w14:paraId="0AB84C11" w14:textId="77777777" w:rsidR="00126BE8" w:rsidRDefault="00126BE8" w:rsidP="00FD081E">
      <w:pPr>
        <w:pStyle w:val="Quote"/>
        <w:spacing w:before="120" w:after="0"/>
        <w:ind w:left="1854" w:firstLine="306"/>
        <w:rPr>
          <w:bCs/>
        </w:rPr>
      </w:pPr>
      <w:r w:rsidRPr="00EE261C">
        <w:rPr>
          <w:b/>
          <w:i/>
        </w:rPr>
        <w:t>sign</w:t>
      </w:r>
      <w:r>
        <w:rPr>
          <w:bCs/>
        </w:rPr>
        <w:t xml:space="preserve"> means a board, device, </w:t>
      </w:r>
      <w:proofErr w:type="gramStart"/>
      <w:r>
        <w:rPr>
          <w:bCs/>
        </w:rPr>
        <w:t>plate</w:t>
      </w:r>
      <w:proofErr w:type="gramEnd"/>
      <w:r>
        <w:rPr>
          <w:bCs/>
        </w:rPr>
        <w:t xml:space="preserve"> or screen.</w:t>
      </w:r>
    </w:p>
    <w:p w14:paraId="5FA320D1" w14:textId="77777777" w:rsidR="00126BE8" w:rsidRDefault="00126BE8" w:rsidP="00EE5867">
      <w:pPr>
        <w:pStyle w:val="ListNumber2"/>
        <w:numPr>
          <w:ilvl w:val="1"/>
          <w:numId w:val="6"/>
        </w:numPr>
        <w:ind w:hanging="720"/>
      </w:pPr>
      <w:r>
        <w:t>This instrument determines that “matter that is or is not advertising”, for paragraph 213SA(3)(b).  Section 4 of the instrument provides:</w:t>
      </w:r>
    </w:p>
    <w:p w14:paraId="102ED18A" w14:textId="233B9FD0" w:rsidR="00126BE8" w:rsidRDefault="00126BE8" w:rsidP="006F5FA3">
      <w:pPr>
        <w:pStyle w:val="Quote"/>
        <w:spacing w:before="120" w:after="0"/>
        <w:rPr>
          <w:rFonts w:ascii="Calibri" w:eastAsia="Calibri" w:hAnsi="Calibri" w:cs="Calibri"/>
          <w:b/>
          <w:color w:val="7F7F7F"/>
          <w:szCs w:val="20"/>
        </w:rPr>
      </w:pPr>
      <w:r>
        <w:rPr>
          <w:rFonts w:ascii="Calibri" w:eastAsia="Calibri" w:hAnsi="Calibri" w:cs="Calibri"/>
          <w:b/>
          <w:color w:val="7F7F7F"/>
          <w:szCs w:val="20"/>
        </w:rPr>
        <w:t>4</w:t>
      </w:r>
      <w:r>
        <w:rPr>
          <w:rFonts w:ascii="Calibri" w:eastAsia="Calibri" w:hAnsi="Calibri" w:cs="Calibri"/>
          <w:b/>
          <w:color w:val="7F7F7F"/>
          <w:szCs w:val="20"/>
        </w:rPr>
        <w:tab/>
        <w:t>Declaration  </w:t>
      </w:r>
    </w:p>
    <w:p w14:paraId="6F2945EA" w14:textId="77777777" w:rsidR="00126BE8" w:rsidRDefault="00126BE8" w:rsidP="00793041">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I declare that any matter displayed from a sign attached to a vehicle that is greater in area than 1.5m</w:t>
      </w:r>
      <w:r>
        <w:rPr>
          <w:rFonts w:ascii="Calibri" w:eastAsia="Calibri" w:hAnsi="Calibri" w:cs="Calibri"/>
          <w:bCs/>
          <w:color w:val="7F7F7F"/>
          <w:szCs w:val="20"/>
          <w:vertAlign w:val="superscript"/>
        </w:rPr>
        <w:t xml:space="preserve">2 </w:t>
      </w:r>
      <w:r>
        <w:rPr>
          <w:rFonts w:ascii="Calibri" w:eastAsia="Calibri" w:hAnsi="Calibri" w:cs="Calibri"/>
          <w:bCs/>
          <w:color w:val="7F7F7F"/>
          <w:szCs w:val="20"/>
        </w:rPr>
        <w:t xml:space="preserve">to be advertising for the </w:t>
      </w:r>
      <w:bookmarkStart w:id="195" w:name="_Hlk175480468"/>
      <w:r>
        <w:rPr>
          <w:rFonts w:ascii="Calibri" w:eastAsia="Calibri" w:hAnsi="Calibri" w:cs="Calibri"/>
          <w:bCs/>
          <w:i/>
          <w:iCs/>
          <w:color w:val="7F7F7F"/>
          <w:szCs w:val="20"/>
        </w:rPr>
        <w:t>Road Transport (Road Rules) Regulation 2005</w:t>
      </w:r>
      <w:bookmarkEnd w:id="195"/>
      <w:r>
        <w:rPr>
          <w:rFonts w:ascii="Calibri" w:eastAsia="Calibri" w:hAnsi="Calibri" w:cs="Calibri"/>
          <w:bCs/>
          <w:color w:val="7F7F7F"/>
          <w:szCs w:val="20"/>
        </w:rPr>
        <w:t xml:space="preserve">, section 213SA(3)(b). </w:t>
      </w:r>
    </w:p>
    <w:p w14:paraId="1D6C1759" w14:textId="77777777" w:rsidR="00126BE8" w:rsidRDefault="00126BE8" w:rsidP="00EE5867">
      <w:pPr>
        <w:pStyle w:val="ListNumber2"/>
        <w:numPr>
          <w:ilvl w:val="1"/>
          <w:numId w:val="6"/>
        </w:numPr>
        <w:ind w:hanging="720"/>
        <w:rPr>
          <w:bCs w:val="0"/>
          <w:color w:val="auto"/>
          <w:szCs w:val="22"/>
        </w:rPr>
      </w:pPr>
      <w:r>
        <w:t xml:space="preserve">The Committee notes that section 4 refers to the </w:t>
      </w:r>
      <w:r>
        <w:rPr>
          <w:i/>
          <w:iCs/>
        </w:rPr>
        <w:t>Road Transport (Road Rules) Regulation 2005</w:t>
      </w:r>
      <w:r>
        <w:t xml:space="preserve"> rather than the</w:t>
      </w:r>
      <w:r>
        <w:rPr>
          <w:i/>
          <w:iCs/>
        </w:rPr>
        <w:t xml:space="preserve"> Road Transport (Road Rules) Regulation </w:t>
      </w:r>
      <w:r>
        <w:rPr>
          <w:b/>
          <w:bCs w:val="0"/>
          <w:i/>
          <w:iCs/>
        </w:rPr>
        <w:t>2017</w:t>
      </w:r>
      <w:r>
        <w:rPr>
          <w:i/>
          <w:iCs/>
        </w:rPr>
        <w:t xml:space="preserve">, </w:t>
      </w:r>
      <w:r>
        <w:t>which is cited in the formal parts of the instrument and the explanatory statement.</w:t>
      </w:r>
    </w:p>
    <w:p w14:paraId="56C87631" w14:textId="77777777" w:rsidR="00126BE8" w:rsidRDefault="00126BE8" w:rsidP="00EE5867">
      <w:pPr>
        <w:pStyle w:val="ListNumber2"/>
        <w:numPr>
          <w:ilvl w:val="1"/>
          <w:numId w:val="6"/>
        </w:numPr>
        <w:ind w:hanging="720"/>
      </w:pPr>
      <w:r>
        <w:t xml:space="preserve">The explanatory statement contains a detailed discussion of human rights issues, focusing on the right to freedom of speech and the right to a fair trial, protected by sections 16 and 21 of the </w:t>
      </w:r>
      <w:r>
        <w:rPr>
          <w:i/>
          <w:iCs/>
        </w:rPr>
        <w:t>Human Rights Act 2004</w:t>
      </w:r>
      <w:r>
        <w:t>, respectively.  The latter arises because the instrument involves a strict liability offence:</w:t>
      </w:r>
    </w:p>
    <w:p w14:paraId="636B0CDE" w14:textId="77777777" w:rsidR="00126BE8" w:rsidRDefault="00126BE8" w:rsidP="006F5FA3">
      <w:pPr>
        <w:pStyle w:val="Quote"/>
        <w:spacing w:before="120" w:after="0"/>
        <w:rPr>
          <w:rFonts w:ascii="Calibri" w:eastAsia="Calibri" w:hAnsi="Calibri" w:cs="Calibri"/>
          <w:b/>
          <w:color w:val="7F7F7F"/>
          <w:szCs w:val="20"/>
        </w:rPr>
      </w:pPr>
      <w:r>
        <w:rPr>
          <w:rFonts w:ascii="Calibri" w:eastAsia="Calibri" w:hAnsi="Calibri" w:cs="Calibri"/>
          <w:b/>
          <w:color w:val="7F7F7F"/>
          <w:szCs w:val="20"/>
        </w:rPr>
        <w:t>Human Rights considerations</w:t>
      </w:r>
    </w:p>
    <w:p w14:paraId="1CD97D0A"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During the development of this instrument, due regard was given to its compatibility with human rights as set out in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(HRA).</w:t>
      </w:r>
    </w:p>
    <w:p w14:paraId="5E9E9AAF" w14:textId="77777777" w:rsidR="00126BE8" w:rsidRDefault="00126BE8" w:rsidP="006F5FA3">
      <w:pPr>
        <w:pStyle w:val="Quote"/>
        <w:spacing w:before="120" w:after="0"/>
        <w:rPr>
          <w:rFonts w:ascii="Calibri" w:eastAsia="Calibri" w:hAnsi="Calibri" w:cs="Calibri"/>
          <w:bCs/>
          <w:i/>
          <w:iCs/>
          <w:color w:val="7F7F7F"/>
          <w:szCs w:val="20"/>
        </w:rPr>
      </w:pPr>
      <w:r>
        <w:rPr>
          <w:rFonts w:ascii="Calibri" w:eastAsia="Calibri" w:hAnsi="Calibri" w:cs="Calibri"/>
          <w:bCs/>
          <w:i/>
          <w:iCs/>
          <w:color w:val="7F7F7F"/>
          <w:szCs w:val="20"/>
        </w:rPr>
        <w:t>Nature of the right and the limitation (s28(a) and(c))</w:t>
      </w:r>
    </w:p>
    <w:p w14:paraId="05A1124E"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This instrument engages and limits the right to freedom of expression (section 16 of the HRA). </w:t>
      </w:r>
    </w:p>
    <w:p w14:paraId="0F47EEF0"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 xml:space="preserve">As outlined in the Explanatory Statement to the Amendment Act, prohibiting vehicles from parking on designated roads, road-related areas, and public unleased land where the vehicle has a sign attached that displays advertising, could be considered to limit a person’s right to freedom of expression by restricting the opportunity to receive and impart information and ideas displayed on parked vehicles. </w:t>
      </w:r>
    </w:p>
    <w:p w14:paraId="55A6344B" w14:textId="77777777" w:rsidR="00126BE8" w:rsidRDefault="00126BE8" w:rsidP="006F5FA3">
      <w:pPr>
        <w:pStyle w:val="Quote"/>
        <w:spacing w:before="120" w:after="0"/>
        <w:rPr>
          <w:rFonts w:ascii="Calibri" w:eastAsia="Calibri" w:hAnsi="Calibri" w:cs="Calibri"/>
          <w:bCs/>
          <w:color w:val="7F7F7F"/>
          <w:szCs w:val="20"/>
        </w:rPr>
      </w:pPr>
      <w:r>
        <w:rPr>
          <w:rFonts w:ascii="Calibri" w:eastAsia="Calibri" w:hAnsi="Calibri" w:cs="Calibri"/>
          <w:bCs/>
          <w:color w:val="7F7F7F"/>
          <w:szCs w:val="20"/>
        </w:rPr>
        <w:t>The declaration on what is or is not advertising matter details the extent that the rights to freedom of expression are limited.  A sign attached to a vehicle cannot display advertising that is greater in area than 1.5m</w:t>
      </w:r>
      <w:r>
        <w:rPr>
          <w:rFonts w:ascii="Calibri" w:eastAsia="Calibri" w:hAnsi="Calibri" w:cs="Calibri"/>
          <w:bCs/>
          <w:color w:val="7F7F7F"/>
          <w:szCs w:val="20"/>
          <w:vertAlign w:val="superscript"/>
        </w:rPr>
        <w:t>2</w:t>
      </w:r>
      <w:r>
        <w:rPr>
          <w:rFonts w:ascii="Calibri" w:eastAsia="Calibri" w:hAnsi="Calibri" w:cs="Calibri"/>
          <w:bCs/>
          <w:color w:val="7F7F7F"/>
          <w:szCs w:val="20"/>
        </w:rPr>
        <w:t xml:space="preserve">. Designated areas are defined by notifiable instrument under section 213SA(3)(a). </w:t>
      </w:r>
    </w:p>
    <w:p w14:paraId="6431098B"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lastRenderedPageBreak/>
        <w:t xml:space="preserve">The ability to impart information in this manner is therefore prohibited where the elements of the offence are met. </w:t>
      </w:r>
    </w:p>
    <w:p w14:paraId="484813B4"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This instrument also engages and limits the rights in criminal proceedings (section 22 of the HRA). The offence under section 213SA is a strict liability offence and this instrument forms an element of that offence. Strict liability is applied to determine if the advertisement is greater than 1.5m</w:t>
      </w:r>
      <w:r>
        <w:rPr>
          <w:rFonts w:ascii="Calibri" w:eastAsia="Calibri" w:hAnsi="Calibri" w:cs="Calibri"/>
          <w:bCs/>
          <w:color w:val="7F7F7F"/>
          <w:szCs w:val="20"/>
          <w:vertAlign w:val="superscript"/>
        </w:rPr>
        <w:t>2</w:t>
      </w:r>
      <w:r>
        <w:rPr>
          <w:rFonts w:ascii="Calibri" w:eastAsia="Calibri" w:hAnsi="Calibri" w:cs="Calibri"/>
          <w:bCs/>
          <w:color w:val="7F7F7F"/>
          <w:szCs w:val="20"/>
        </w:rPr>
        <w:t xml:space="preserve">. There are no fault elements and therefore the conduct alone is sufficient to determine that this component of the offence has been met. </w:t>
      </w:r>
    </w:p>
    <w:p w14:paraId="1028C40C" w14:textId="77777777" w:rsidR="00126BE8" w:rsidRDefault="00126BE8" w:rsidP="00E24228">
      <w:pPr>
        <w:pStyle w:val="Quote"/>
        <w:spacing w:before="80" w:after="0"/>
        <w:rPr>
          <w:rFonts w:ascii="Calibri" w:eastAsia="Calibri" w:hAnsi="Calibri" w:cs="Calibri"/>
          <w:bCs/>
          <w:i/>
          <w:iCs/>
          <w:color w:val="7F7F7F"/>
          <w:szCs w:val="20"/>
        </w:rPr>
      </w:pPr>
      <w:r>
        <w:rPr>
          <w:rFonts w:ascii="Calibri" w:eastAsia="Calibri" w:hAnsi="Calibri" w:cs="Calibri"/>
          <w:bCs/>
          <w:i/>
          <w:iCs/>
          <w:color w:val="7F7F7F"/>
          <w:szCs w:val="20"/>
        </w:rPr>
        <w:t>Legitimate purpose (s 28(2)(b))</w:t>
      </w:r>
    </w:p>
    <w:p w14:paraId="06F5CA2B"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 xml:space="preserve">The primary purpose is to support road safety. It aims to reduce driver distraction, a key focus area of the ACT Road Safety Action Plan 2024-25.  </w:t>
      </w:r>
    </w:p>
    <w:p w14:paraId="1E5983E1"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A driver can not only be distracted from activity inside the vehicle, such as from passengers and mobile phones, but also from the road environment. As outlined by NSW</w:t>
      </w:r>
      <w:r>
        <w:rPr>
          <w:vertAlign w:val="superscript"/>
        </w:rPr>
        <w:footnoteReference w:id="12"/>
      </w:r>
      <w:r>
        <w:rPr>
          <w:rFonts w:ascii="Calibri" w:eastAsia="Calibri" w:hAnsi="Calibri" w:cs="Calibri"/>
          <w:bCs/>
          <w:color w:val="7F7F7F"/>
          <w:szCs w:val="20"/>
        </w:rPr>
        <w:t xml:space="preserve">, distraction is anything that takes your eyes off the road, your hands off the wheel, or your mind off driving. Distraction takes the driver’s attention away from driving. </w:t>
      </w:r>
    </w:p>
    <w:p w14:paraId="6B250150"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A driver that takes their eyes off the road for just two seconds when driving at 60km/hr will travel 33 metres while being distracted. At 100km/hr this increases to 55m.</w:t>
      </w:r>
      <w:r>
        <w:rPr>
          <w:vertAlign w:val="superscript"/>
        </w:rPr>
        <w:footnoteReference w:id="13"/>
      </w:r>
      <w:r>
        <w:rPr>
          <w:rFonts w:ascii="Calibri" w:eastAsia="Calibri" w:hAnsi="Calibri" w:cs="Calibri"/>
          <w:bCs/>
          <w:color w:val="7F7F7F"/>
          <w:szCs w:val="20"/>
          <w:vertAlign w:val="superscript"/>
        </w:rPr>
        <w:t xml:space="preserve"> </w:t>
      </w:r>
      <w:r>
        <w:rPr>
          <w:rFonts w:ascii="Calibri" w:eastAsia="Calibri" w:hAnsi="Calibri" w:cs="Calibri"/>
          <w:bCs/>
          <w:color w:val="7F7F7F"/>
          <w:szCs w:val="20"/>
        </w:rPr>
        <w:t xml:space="preserve"> These are distances that the vehicle travels while the driver is not focused on the task at hand.   </w:t>
      </w:r>
    </w:p>
    <w:p w14:paraId="05B04B35"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 xml:space="preserve">A driver that takes their eyes off the road for longer than two seconds doubles the risk of a crash.  </w:t>
      </w:r>
    </w:p>
    <w:p w14:paraId="5741EE85" w14:textId="77777777" w:rsidR="00126BE8" w:rsidRDefault="00126BE8" w:rsidP="00E24228">
      <w:pPr>
        <w:pStyle w:val="Quote"/>
        <w:spacing w:before="80" w:after="0"/>
        <w:rPr>
          <w:rFonts w:ascii="Calibri" w:eastAsia="Calibri" w:hAnsi="Calibri" w:cs="Calibri"/>
          <w:bCs/>
          <w:i/>
          <w:iCs/>
          <w:color w:val="7F7F7F"/>
          <w:szCs w:val="20"/>
        </w:rPr>
      </w:pPr>
      <w:r>
        <w:rPr>
          <w:rFonts w:ascii="Calibri" w:eastAsia="Calibri" w:hAnsi="Calibri" w:cs="Calibri"/>
          <w:bCs/>
          <w:i/>
          <w:iCs/>
          <w:color w:val="7F7F7F"/>
          <w:szCs w:val="20"/>
        </w:rPr>
        <w:t>Rational connection between the limitation and the purpose (s 28(2)(d))</w:t>
      </w:r>
    </w:p>
    <w:p w14:paraId="17683BFC"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Roadside advertising is a distraction outside the vehicle that can take the drivers’ attention away from the driving task. It is recognised as an example of inattention on the SA website</w:t>
      </w:r>
      <w:r>
        <w:rPr>
          <w:vertAlign w:val="superscript"/>
        </w:rPr>
        <w:footnoteReference w:id="14"/>
      </w:r>
      <w:r>
        <w:rPr>
          <w:rFonts w:ascii="Calibri" w:eastAsia="Calibri" w:hAnsi="Calibri" w:cs="Calibri"/>
          <w:bCs/>
          <w:color w:val="7F7F7F"/>
          <w:szCs w:val="20"/>
        </w:rPr>
        <w:t xml:space="preserve">. Roadside advertising can be a visual distraction as well as cognitive distraction, by affecting the driver’s thoughts.  </w:t>
      </w:r>
    </w:p>
    <w:p w14:paraId="14D1F9F5"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One of the factors that may affect whether a sign is distracting is its size.  The sign must be large enough to be a visual distraction to passing drivers. The instrument determines that the parked vehicle cannot have a sign attached that has advertising of 1.5m</w:t>
      </w:r>
      <w:r>
        <w:rPr>
          <w:rFonts w:ascii="Calibri" w:eastAsia="Calibri" w:hAnsi="Calibri" w:cs="Calibri"/>
          <w:bCs/>
          <w:color w:val="7F7F7F"/>
          <w:szCs w:val="20"/>
          <w:vertAlign w:val="superscript"/>
        </w:rPr>
        <w:t xml:space="preserve">2 </w:t>
      </w:r>
      <w:r>
        <w:rPr>
          <w:rFonts w:ascii="Calibri" w:eastAsia="Calibri" w:hAnsi="Calibri" w:cs="Calibri"/>
          <w:bCs/>
          <w:color w:val="7F7F7F"/>
          <w:szCs w:val="20"/>
        </w:rPr>
        <w:t xml:space="preserve">or greater.  </w:t>
      </w:r>
    </w:p>
    <w:p w14:paraId="566EE373" w14:textId="77777777" w:rsidR="00126BE8" w:rsidRDefault="00126BE8" w:rsidP="00E24228">
      <w:pPr>
        <w:pStyle w:val="Quote"/>
        <w:spacing w:before="80" w:after="0"/>
        <w:rPr>
          <w:rFonts w:ascii="Calibri" w:eastAsia="Calibri" w:hAnsi="Calibri" w:cs="Calibri"/>
          <w:bCs/>
          <w:i/>
          <w:iCs/>
          <w:color w:val="7F7F7F"/>
          <w:szCs w:val="20"/>
        </w:rPr>
      </w:pPr>
      <w:r>
        <w:rPr>
          <w:rFonts w:ascii="Calibri" w:eastAsia="Calibri" w:hAnsi="Calibri" w:cs="Calibri"/>
          <w:bCs/>
          <w:i/>
          <w:iCs/>
          <w:color w:val="7F7F7F"/>
          <w:szCs w:val="20"/>
        </w:rPr>
        <w:t>Proportionality (s 28(2)(e))</w:t>
      </w:r>
    </w:p>
    <w:p w14:paraId="77189C80" w14:textId="77777777" w:rsidR="00126BE8" w:rsidRDefault="00126BE8" w:rsidP="00E24228">
      <w:pPr>
        <w:pStyle w:val="Quote"/>
        <w:spacing w:before="80" w:after="0"/>
        <w:rPr>
          <w:rFonts w:ascii="Calibri" w:eastAsia="Calibri" w:hAnsi="Calibri" w:cs="Calibri"/>
          <w:bCs/>
          <w:color w:val="7F7F7F"/>
          <w:szCs w:val="20"/>
        </w:rPr>
      </w:pPr>
      <w:r w:rsidRPr="006F5FA3">
        <w:rPr>
          <w:rFonts w:ascii="Calibri" w:eastAsia="Calibri" w:hAnsi="Calibri" w:cs="Calibri"/>
          <w:bCs/>
          <w:color w:val="7F7F7F"/>
          <w:szCs w:val="20"/>
        </w:rPr>
        <w:t>The</w:t>
      </w:r>
      <w:r>
        <w:rPr>
          <w:rFonts w:ascii="Calibri" w:eastAsia="Calibri" w:hAnsi="Calibri" w:cs="Calibri"/>
          <w:bCs/>
          <w:color w:val="7F7F7F"/>
          <w:szCs w:val="20"/>
        </w:rPr>
        <w:t xml:space="preserve"> instrument defines advertising matter to an extent that is necessary to support the offence under section 213SA of the road rules to reduce driver distraction and improve road safety.  </w:t>
      </w:r>
    </w:p>
    <w:p w14:paraId="0638BFA8" w14:textId="77777777" w:rsidR="00126BE8" w:rsidRDefault="00126BE8" w:rsidP="00E24228">
      <w:pPr>
        <w:pStyle w:val="Quote"/>
        <w:spacing w:before="80" w:after="0"/>
        <w:rPr>
          <w:rFonts w:ascii="Calibri" w:eastAsia="Calibri" w:hAnsi="Calibri" w:cs="Calibri"/>
          <w:bCs/>
          <w:color w:val="7F7F7F"/>
          <w:szCs w:val="20"/>
        </w:rPr>
      </w:pPr>
      <w:r>
        <w:rPr>
          <w:rFonts w:ascii="Calibri" w:eastAsia="Calibri" w:hAnsi="Calibri" w:cs="Calibri"/>
          <w:bCs/>
          <w:color w:val="7F7F7F"/>
          <w:szCs w:val="20"/>
        </w:rPr>
        <w:t xml:space="preserve">Alternative measures that are less restrictive are not considered equally effective in achieving these objectives.  Increasing the permitted size of the advertising matter will increase the ability for the roadside advertisement to be distracting to passing drivers. </w:t>
      </w:r>
    </w:p>
    <w:p w14:paraId="4A1D4BE6" w14:textId="77777777" w:rsidR="00126BE8" w:rsidRDefault="00126BE8" w:rsidP="00C807E0">
      <w:pPr>
        <w:pStyle w:val="Quote"/>
        <w:rPr>
          <w:rFonts w:ascii="Calibri" w:eastAsia="Calibri" w:hAnsi="Calibri" w:cs="Calibri"/>
          <w:bCs/>
          <w:color w:val="7F7F7F"/>
          <w:szCs w:val="20"/>
        </w:rPr>
      </w:pPr>
      <w:r>
        <w:rPr>
          <w:rFonts w:ascii="Calibri" w:eastAsia="Calibri" w:hAnsi="Calibri" w:cs="Calibri"/>
          <w:bCs/>
          <w:color w:val="7F7F7F"/>
          <w:szCs w:val="20"/>
        </w:rPr>
        <w:lastRenderedPageBreak/>
        <w:t>A defined area of 1.5m</w:t>
      </w:r>
      <w:r>
        <w:rPr>
          <w:rFonts w:ascii="Calibri" w:eastAsia="Calibri" w:hAnsi="Calibri" w:cs="Calibri"/>
          <w:bCs/>
          <w:color w:val="7F7F7F"/>
          <w:szCs w:val="20"/>
          <w:vertAlign w:val="superscript"/>
        </w:rPr>
        <w:t>2</w:t>
      </w:r>
      <w:r>
        <w:rPr>
          <w:rFonts w:ascii="Calibri" w:eastAsia="Calibri" w:hAnsi="Calibri" w:cs="Calibri"/>
          <w:bCs/>
          <w:color w:val="7F7F7F"/>
          <w:szCs w:val="20"/>
        </w:rPr>
        <w:t xml:space="preserve"> is proportionate as it recognises that there is an extensive range of advertising and information on vehicles in the ACT. The defined area will exclude smaller and advertising that may not have the sole purpose of distracting drivers.  </w:t>
      </w:r>
    </w:p>
    <w:p w14:paraId="60F5956A" w14:textId="4332237F" w:rsidR="00126BE8" w:rsidRPr="00C807E0" w:rsidRDefault="00126BE8" w:rsidP="00C807E0">
      <w:pPr>
        <w:pStyle w:val="Quote"/>
        <w:rPr>
          <w:rFonts w:ascii="Calibri" w:eastAsia="Calibri" w:hAnsi="Calibri" w:cs="Calibri"/>
          <w:bCs/>
          <w:color w:val="7F7F7F"/>
          <w:spacing w:val="-4"/>
          <w:szCs w:val="20"/>
        </w:rPr>
      </w:pPr>
      <w:r w:rsidRPr="00C807E0">
        <w:rPr>
          <w:rFonts w:ascii="Calibri" w:eastAsia="Calibri" w:hAnsi="Calibri" w:cs="Calibri"/>
          <w:bCs/>
          <w:color w:val="7F7F7F"/>
          <w:spacing w:val="-4"/>
          <w:szCs w:val="20"/>
        </w:rPr>
        <w:t>The offence is limited in the road rules to require the vehicle to be parked in a</w:t>
      </w:r>
      <w:r w:rsidR="00E24228">
        <w:rPr>
          <w:rFonts w:ascii="Calibri" w:eastAsia="Calibri" w:hAnsi="Calibri" w:cs="Calibri"/>
          <w:bCs/>
          <w:color w:val="7F7F7F"/>
          <w:spacing w:val="-4"/>
          <w:szCs w:val="20"/>
        </w:rPr>
        <w:t> </w:t>
      </w:r>
      <w:r w:rsidRPr="00C807E0">
        <w:rPr>
          <w:rFonts w:ascii="Calibri" w:eastAsia="Calibri" w:hAnsi="Calibri" w:cs="Calibri"/>
          <w:bCs/>
          <w:color w:val="7F7F7F"/>
          <w:spacing w:val="-4"/>
          <w:szCs w:val="20"/>
        </w:rPr>
        <w:t xml:space="preserve">designated area and have a sign attached. A sign is defined as board, device, </w:t>
      </w:r>
      <w:proofErr w:type="gramStart"/>
      <w:r w:rsidRPr="00C807E0">
        <w:rPr>
          <w:rFonts w:ascii="Calibri" w:eastAsia="Calibri" w:hAnsi="Calibri" w:cs="Calibri"/>
          <w:bCs/>
          <w:color w:val="7F7F7F"/>
          <w:spacing w:val="-4"/>
          <w:szCs w:val="20"/>
        </w:rPr>
        <w:t>plate</w:t>
      </w:r>
      <w:proofErr w:type="gramEnd"/>
      <w:r w:rsidRPr="00C807E0">
        <w:rPr>
          <w:rFonts w:ascii="Calibri" w:eastAsia="Calibri" w:hAnsi="Calibri" w:cs="Calibri"/>
          <w:bCs/>
          <w:color w:val="7F7F7F"/>
          <w:spacing w:val="-4"/>
          <w:szCs w:val="20"/>
        </w:rPr>
        <w:t xml:space="preserve"> or screen. The offence therefore allows for advertising to be conducted by other means.  For example, by vehicles that advertise without a sign attached to the vehicle, such as wrapped vehicles, or vehicles that do not park in designated areas. </w:t>
      </w:r>
    </w:p>
    <w:p w14:paraId="4871DBB3" w14:textId="77777777" w:rsidR="00126BE8" w:rsidRDefault="00126BE8" w:rsidP="00C807E0">
      <w:pPr>
        <w:pStyle w:val="Quote"/>
        <w:rPr>
          <w:rFonts w:ascii="Calibri" w:eastAsia="Calibri" w:hAnsi="Calibri" w:cs="Calibri"/>
          <w:bCs/>
          <w:color w:val="7F7F7F"/>
          <w:szCs w:val="20"/>
        </w:rPr>
      </w:pPr>
      <w:r>
        <w:rPr>
          <w:rFonts w:ascii="Calibri" w:eastAsia="Calibri" w:hAnsi="Calibri" w:cs="Calibri"/>
          <w:bCs/>
          <w:color w:val="7F7F7F"/>
          <w:szCs w:val="20"/>
        </w:rPr>
        <w:t xml:space="preserve">The instrument also recognises the need for some vehicles to display safety related information. Imparting this type of information in a predominant position on the vehicle can be important for the safety of all road users. Examples include cautionary signs to warn of a driver unloading or a vehicle frequently stopping. </w:t>
      </w:r>
    </w:p>
    <w:p w14:paraId="530633D9" w14:textId="77777777" w:rsidR="00126BE8" w:rsidRPr="00C807E0" w:rsidRDefault="00126BE8" w:rsidP="00C807E0">
      <w:pPr>
        <w:pStyle w:val="Quote"/>
        <w:rPr>
          <w:rFonts w:ascii="Calibri" w:eastAsia="Calibri" w:hAnsi="Calibri" w:cs="Calibri"/>
          <w:bCs/>
          <w:color w:val="7F7F7F"/>
          <w:spacing w:val="-4"/>
          <w:szCs w:val="20"/>
        </w:rPr>
      </w:pPr>
      <w:r w:rsidRPr="00C807E0">
        <w:rPr>
          <w:rFonts w:ascii="Calibri" w:eastAsia="Calibri" w:hAnsi="Calibri" w:cs="Calibri"/>
          <w:bCs/>
          <w:color w:val="7F7F7F"/>
          <w:spacing w:val="-4"/>
          <w:szCs w:val="20"/>
        </w:rPr>
        <w:t xml:space="preserve">ACT drivers will be informed of the offence and its application prior to its commencement. Sufficient time will be given to ensure that those business that are affected can adopt appropriate changes to any current roadside advertising practices. </w:t>
      </w:r>
    </w:p>
    <w:p w14:paraId="2FFFF329" w14:textId="77777777" w:rsidR="00126BE8"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the discussion of human rights issues in the explanatory statement for this instrument.</w:t>
      </w:r>
    </w:p>
    <w:p w14:paraId="092031E2"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3326513E" w14:textId="4DC7B350" w:rsidR="00126BE8" w:rsidRDefault="00126BE8" w:rsidP="00C807E0">
      <w:pPr>
        <w:keepNext/>
        <w:keepLines/>
        <w:spacing w:before="240" w:after="200"/>
        <w:outlineLvl w:val="2"/>
        <w:rPr>
          <w:rFonts w:ascii="Montserrat" w:eastAsia="Times New Roman" w:hAnsi="Montserrat" w:cs="Times New Roman"/>
          <w:b/>
          <w:color w:val="7492CD"/>
          <w:w w:val="90"/>
          <w:kern w:val="2"/>
          <w:sz w:val="28"/>
          <w:szCs w:val="24"/>
        </w:rPr>
      </w:pPr>
      <w:bookmarkStart w:id="196" w:name="_Toc175930220"/>
      <w:bookmarkStart w:id="197" w:name="_Toc176162877"/>
      <w:bookmarkStart w:id="198" w:name="_Toc176175563"/>
      <w:r>
        <w:rPr>
          <w:rFonts w:ascii="Montserrat" w:eastAsia="Times New Roman" w:hAnsi="Montserrat" w:cs="Times New Roman"/>
          <w:b/>
          <w:color w:val="7492CD"/>
          <w:w w:val="90"/>
          <w:kern w:val="2"/>
          <w:sz w:val="28"/>
          <w:szCs w:val="24"/>
        </w:rPr>
        <w:t>Minor drafting issue</w:t>
      </w:r>
      <w:r w:rsidR="00FD081E">
        <w:rPr>
          <w:rFonts w:ascii="Montserrat" w:eastAsia="Times New Roman" w:hAnsi="Montserrat" w:cs="Times New Roman"/>
          <w:b/>
          <w:color w:val="7492CD"/>
          <w:w w:val="90"/>
          <w:kern w:val="2"/>
          <w:sz w:val="28"/>
          <w:szCs w:val="24"/>
        </w:rPr>
        <w:t>—</w:t>
      </w:r>
      <w:r>
        <w:rPr>
          <w:rFonts w:ascii="Montserrat" w:eastAsia="Times New Roman" w:hAnsi="Montserrat" w:cs="Times New Roman"/>
          <w:b/>
          <w:color w:val="7492CD"/>
          <w:w w:val="90"/>
          <w:kern w:val="2"/>
          <w:sz w:val="28"/>
          <w:szCs w:val="24"/>
        </w:rPr>
        <w:t>Is this a disallowable instrument?</w:t>
      </w:r>
      <w:bookmarkEnd w:id="196"/>
      <w:bookmarkEnd w:id="197"/>
      <w:bookmarkEnd w:id="198"/>
    </w:p>
    <w:p w14:paraId="60077C75"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Disallowable Instrument DI2024-244 being the Gambling and Racing Control (Governing Board) Appointment 2024 (No 3) made under section 11 of the </w:t>
      </w:r>
      <w:r>
        <w:rPr>
          <w:i/>
        </w:rPr>
        <w:t xml:space="preserve">Gambling and Racing Control Act 1999 </w:t>
      </w:r>
      <w:r>
        <w:rPr>
          <w:b/>
        </w:rPr>
        <w:t>and section 78 of the</w:t>
      </w:r>
      <w:r>
        <w:rPr>
          <w:i/>
        </w:rPr>
        <w:t xml:space="preserve"> Financial Management Act 1996</w:t>
      </w:r>
      <w:r>
        <w:rPr>
          <w:b/>
        </w:rPr>
        <w:t xml:space="preserve"> revokes DI2021-242 and appoints a specified person as Deputy Chair of the Board for a period of three years. </w:t>
      </w:r>
    </w:p>
    <w:p w14:paraId="1A3E728B" w14:textId="77777777" w:rsidR="00126BE8" w:rsidRDefault="00126BE8" w:rsidP="00EE5867">
      <w:pPr>
        <w:pStyle w:val="ListNumber2"/>
        <w:numPr>
          <w:ilvl w:val="1"/>
          <w:numId w:val="6"/>
        </w:numPr>
        <w:ind w:hanging="720"/>
      </w:pPr>
      <w:r>
        <w:rPr>
          <w:bCs w:val="0"/>
        </w:rPr>
        <w:t xml:space="preserve">This instrument, made under section 11 of the </w:t>
      </w:r>
      <w:r>
        <w:rPr>
          <w:bCs w:val="0"/>
          <w:i/>
        </w:rPr>
        <w:t xml:space="preserve">Gambling and Racing Control Act 1999 </w:t>
      </w:r>
      <w:r>
        <w:rPr>
          <w:bCs w:val="0"/>
        </w:rPr>
        <w:t>and section 78 of the</w:t>
      </w:r>
      <w:r>
        <w:rPr>
          <w:bCs w:val="0"/>
          <w:i/>
        </w:rPr>
        <w:t xml:space="preserve"> Financial Management Act 1996</w:t>
      </w:r>
      <w:r>
        <w:rPr>
          <w:bCs w:val="0"/>
        </w:rPr>
        <w:t>, appoints a specified person as Deputy Chair of the Gambling and Racing Control Governing Board.  Section 78 of the Financial Management Act is relevant because the Gambling and Racing Control Act does not include an express power to appoint a Deputy Chair.</w:t>
      </w:r>
    </w:p>
    <w:p w14:paraId="68BCF065" w14:textId="77777777" w:rsidR="00126BE8" w:rsidRDefault="00126BE8" w:rsidP="00EE5867">
      <w:pPr>
        <w:pStyle w:val="ListNumber2"/>
        <w:numPr>
          <w:ilvl w:val="1"/>
          <w:numId w:val="6"/>
        </w:numPr>
        <w:ind w:hanging="720"/>
        <w:rPr>
          <w:rFonts w:ascii="Calibri" w:hAnsi="Calibri" w:cs="Calibri"/>
          <w:bCs w:val="0"/>
          <w:color w:val="000000"/>
        </w:rPr>
      </w:pPr>
      <w:r>
        <w:rPr>
          <w:rFonts w:ascii="Calibri" w:hAnsi="Calibri" w:cs="Calibri"/>
          <w:color w:val="000000"/>
        </w:rPr>
        <w:t>The appointment is made by disallowable instrument, bringing it within the Committee’s scrutiny role.</w:t>
      </w:r>
    </w:p>
    <w:p w14:paraId="335F51D9" w14:textId="77777777" w:rsidR="00126BE8" w:rsidRDefault="00126BE8" w:rsidP="00EE5867">
      <w:pPr>
        <w:pStyle w:val="ListNumber2"/>
        <w:numPr>
          <w:ilvl w:val="1"/>
          <w:numId w:val="6"/>
        </w:numPr>
        <w:ind w:hanging="720"/>
        <w:rPr>
          <w:rFonts w:ascii="Calibri" w:eastAsia="Calibri" w:hAnsi="Calibri" w:cs="Calibri"/>
          <w:color w:val="auto"/>
        </w:rPr>
      </w:pPr>
      <w:bookmarkStart w:id="199" w:name="_Hlk74142203"/>
      <w:r w:rsidRPr="008D2A94">
        <w:rPr>
          <w:rFonts w:ascii="Calibri" w:hAnsi="Calibri" w:cs="Calibri"/>
          <w:bCs w:val="0"/>
          <w:color w:val="000000"/>
        </w:rPr>
        <w:t xml:space="preserve">The Committee notes that section 227 of the </w:t>
      </w:r>
      <w:r w:rsidRPr="006A718E">
        <w:rPr>
          <w:rFonts w:ascii="Calibri" w:hAnsi="Calibri" w:cs="Calibri"/>
          <w:bCs w:val="0"/>
          <w:i/>
          <w:iCs/>
          <w:color w:val="000000"/>
        </w:rPr>
        <w:t>Legislation Act 2001</w:t>
      </w:r>
      <w:r w:rsidRPr="008D2A94">
        <w:rPr>
          <w:rFonts w:ascii="Calibri" w:hAnsi="Calibri" w:cs="Calibri"/>
          <w:bCs w:val="0"/>
          <w:color w:val="000000"/>
        </w:rPr>
        <w:t xml:space="preserve"> deals generally with the making of</w:t>
      </w:r>
      <w:r>
        <w:rPr>
          <w:rFonts w:ascii="Calibri" w:eastAsia="Calibri" w:hAnsi="Calibri" w:cs="Calibri"/>
        </w:rPr>
        <w:t xml:space="preserve"> appointments to statutory positions by Ministers.  It provides:</w:t>
      </w:r>
    </w:p>
    <w:p w14:paraId="6AD3AEAC" w14:textId="3E9B6316" w:rsidR="00126BE8" w:rsidRPr="00C807E0" w:rsidRDefault="00126BE8" w:rsidP="00C807E0">
      <w:pPr>
        <w:pStyle w:val="Quote"/>
        <w:spacing w:before="120" w:after="0"/>
        <w:ind w:left="1843" w:hanging="709"/>
        <w:rPr>
          <w:b/>
          <w:bCs/>
        </w:rPr>
      </w:pPr>
      <w:r w:rsidRPr="00C807E0">
        <w:rPr>
          <w:b/>
          <w:bCs/>
        </w:rPr>
        <w:t>227</w:t>
      </w:r>
      <w:r w:rsidR="00C807E0" w:rsidRPr="00C807E0">
        <w:rPr>
          <w:b/>
          <w:bCs/>
        </w:rPr>
        <w:tab/>
      </w:r>
      <w:r w:rsidRPr="00C807E0">
        <w:rPr>
          <w:b/>
          <w:bCs/>
        </w:rPr>
        <w:t>Application—div 19.3.3</w:t>
      </w:r>
    </w:p>
    <w:p w14:paraId="55E0E934" w14:textId="119031E3" w:rsidR="00126BE8" w:rsidRPr="00CF1E39" w:rsidRDefault="00126BE8" w:rsidP="00EE5867">
      <w:pPr>
        <w:pStyle w:val="Quote"/>
        <w:numPr>
          <w:ilvl w:val="0"/>
          <w:numId w:val="13"/>
        </w:numPr>
        <w:spacing w:before="120" w:after="0"/>
      </w:pPr>
      <w:r w:rsidRPr="00CF1E39">
        <w:t>This division applies if a Minister has the power under an Act to appoint a</w:t>
      </w:r>
      <w:r w:rsidR="00C807E0" w:rsidRPr="00CF1E39">
        <w:t> </w:t>
      </w:r>
      <w:r w:rsidRPr="00CF1E39">
        <w:t>person to a statutory position.</w:t>
      </w:r>
    </w:p>
    <w:p w14:paraId="305F5F4F" w14:textId="77777777" w:rsidR="00126BE8" w:rsidRPr="00CF1E39" w:rsidRDefault="00126BE8" w:rsidP="00CF1E39">
      <w:pPr>
        <w:pStyle w:val="Quote"/>
        <w:keepNext/>
        <w:numPr>
          <w:ilvl w:val="0"/>
          <w:numId w:val="13"/>
        </w:numPr>
        <w:spacing w:before="120" w:after="0"/>
        <w:ind w:left="1848" w:hanging="357"/>
      </w:pPr>
      <w:r w:rsidRPr="00CF1E39">
        <w:lastRenderedPageBreak/>
        <w:t>However, this division does not apply to an appointment of—</w:t>
      </w:r>
    </w:p>
    <w:p w14:paraId="55D8375C" w14:textId="77777777" w:rsidR="00126BE8" w:rsidRPr="00CF1E39" w:rsidRDefault="00126BE8" w:rsidP="00CF1E39">
      <w:pPr>
        <w:pStyle w:val="Quote"/>
        <w:keepNext/>
        <w:numPr>
          <w:ilvl w:val="0"/>
          <w:numId w:val="14"/>
        </w:numPr>
        <w:spacing w:before="120" w:after="0"/>
        <w:ind w:left="2268"/>
        <w:rPr>
          <w:lang w:eastAsia="en-AU"/>
        </w:rPr>
      </w:pPr>
      <w:r w:rsidRPr="00CF1E39">
        <w:rPr>
          <w:lang w:eastAsia="en-AU"/>
        </w:rPr>
        <w:t>a public servant to a statutory position (</w:t>
      </w:r>
      <w:proofErr w:type="gramStart"/>
      <w:r w:rsidRPr="00CF1E39">
        <w:rPr>
          <w:lang w:eastAsia="en-AU"/>
        </w:rPr>
        <w:t>whether or not</w:t>
      </w:r>
      <w:proofErr w:type="gramEnd"/>
      <w:r w:rsidRPr="00CF1E39">
        <w:rPr>
          <w:lang w:eastAsia="en-AU"/>
        </w:rPr>
        <w:t xml:space="preserve"> the Act under which the appointment is made requires that the appointee be a public servant); or</w:t>
      </w:r>
    </w:p>
    <w:p w14:paraId="62D0A035" w14:textId="77777777" w:rsidR="00126BE8" w:rsidRPr="00CF1E39" w:rsidRDefault="00126BE8" w:rsidP="00EE5867">
      <w:pPr>
        <w:pStyle w:val="Quote"/>
        <w:numPr>
          <w:ilvl w:val="0"/>
          <w:numId w:val="14"/>
        </w:numPr>
        <w:spacing w:before="120" w:after="0"/>
        <w:ind w:left="2268"/>
        <w:rPr>
          <w:lang w:eastAsia="en-AU"/>
        </w:rPr>
      </w:pPr>
      <w:r w:rsidRPr="00CF1E39">
        <w:rPr>
          <w:lang w:eastAsia="en-AU"/>
        </w:rPr>
        <w:t>a person to, or to act in, a statutory position for not longer than 6 months, unless the appointment is of the person to, or to act in, the position for a 2nd or subsequent consecutive period; or</w:t>
      </w:r>
    </w:p>
    <w:p w14:paraId="789EFEA5" w14:textId="77777777" w:rsidR="00126BE8" w:rsidRDefault="00126BE8" w:rsidP="002133BF">
      <w:pPr>
        <w:pStyle w:val="Quote"/>
        <w:numPr>
          <w:ilvl w:val="0"/>
          <w:numId w:val="14"/>
        </w:numPr>
        <w:spacing w:before="120"/>
        <w:ind w:left="2268" w:hanging="357"/>
        <w:rPr>
          <w:sz w:val="22"/>
          <w:szCs w:val="22"/>
          <w:lang w:eastAsia="en-AU"/>
        </w:rPr>
      </w:pPr>
      <w:r w:rsidRPr="00CF1E39">
        <w:rPr>
          <w:lang w:eastAsia="en-AU"/>
        </w:rPr>
        <w:t>a person to a statutory position if the only function of the position is to advise the Minister.</w:t>
      </w:r>
    </w:p>
    <w:p w14:paraId="069C07A4" w14:textId="33A0CF1D" w:rsidR="00126BE8" w:rsidRPr="00793041" w:rsidRDefault="00126BE8" w:rsidP="00EE5867">
      <w:pPr>
        <w:pStyle w:val="ListNumber2"/>
        <w:numPr>
          <w:ilvl w:val="1"/>
          <w:numId w:val="6"/>
        </w:numPr>
        <w:ind w:hanging="720"/>
        <w:rPr>
          <w:rFonts w:ascii="Calibri" w:eastAsia="Calibri" w:hAnsi="Calibri" w:cs="Calibri"/>
          <w:spacing w:val="-4"/>
          <w:szCs w:val="22"/>
        </w:rPr>
      </w:pPr>
      <w:r w:rsidRPr="00793041">
        <w:rPr>
          <w:rFonts w:ascii="Calibri" w:eastAsia="Calibri" w:hAnsi="Calibri" w:cs="Calibri"/>
          <w:spacing w:val="-4"/>
        </w:rPr>
        <w:t xml:space="preserve">In the light of paragraph 227(2)(a) of the </w:t>
      </w:r>
      <w:r w:rsidRPr="006A718E">
        <w:rPr>
          <w:rFonts w:ascii="Calibri" w:eastAsia="Calibri" w:hAnsi="Calibri" w:cs="Calibri"/>
          <w:iCs/>
          <w:spacing w:val="-4"/>
        </w:rPr>
        <w:t>Legislation Act</w:t>
      </w:r>
      <w:r w:rsidRPr="00793041">
        <w:rPr>
          <w:rFonts w:ascii="Calibri" w:eastAsia="Calibri" w:hAnsi="Calibri" w:cs="Calibri"/>
          <w:spacing w:val="-4"/>
        </w:rPr>
        <w:t xml:space="preserve">, the Committee has consistently maintained that instruments of appointment should clearly state that the appointee is </w:t>
      </w:r>
      <w:r w:rsidRPr="00793041">
        <w:rPr>
          <w:rFonts w:ascii="Calibri" w:eastAsia="Calibri" w:hAnsi="Calibri" w:cs="Calibri"/>
          <w:spacing w:val="-4"/>
          <w:u w:val="single"/>
        </w:rPr>
        <w:t>not</w:t>
      </w:r>
      <w:r w:rsidRPr="00793041">
        <w:rPr>
          <w:rFonts w:ascii="Calibri" w:eastAsia="Calibri" w:hAnsi="Calibri" w:cs="Calibri"/>
          <w:spacing w:val="-4"/>
        </w:rPr>
        <w:t xml:space="preserve"> a</w:t>
      </w:r>
      <w:r w:rsidR="00E24228">
        <w:rPr>
          <w:rFonts w:ascii="Calibri" w:eastAsia="Calibri" w:hAnsi="Calibri" w:cs="Calibri"/>
          <w:spacing w:val="-4"/>
        </w:rPr>
        <w:t> </w:t>
      </w:r>
      <w:r w:rsidRPr="00793041">
        <w:rPr>
          <w:rFonts w:ascii="Calibri" w:eastAsia="Calibri" w:hAnsi="Calibri" w:cs="Calibri"/>
          <w:spacing w:val="-4"/>
        </w:rPr>
        <w:t xml:space="preserve">public servant, </w:t>
      </w:r>
      <w:proofErr w:type="gramStart"/>
      <w:r w:rsidRPr="00793041">
        <w:rPr>
          <w:rFonts w:ascii="Calibri" w:eastAsia="Calibri" w:hAnsi="Calibri" w:cs="Calibri"/>
          <w:spacing w:val="-4"/>
        </w:rPr>
        <w:t>in order to</w:t>
      </w:r>
      <w:proofErr w:type="gramEnd"/>
      <w:r w:rsidRPr="00793041">
        <w:rPr>
          <w:rFonts w:ascii="Calibri" w:eastAsia="Calibri" w:hAnsi="Calibri" w:cs="Calibri"/>
          <w:spacing w:val="-4"/>
        </w:rPr>
        <w:t xml:space="preserve"> make clear that, in fact, the appointment should be made by way of disallowable instrument</w:t>
      </w:r>
      <w:bookmarkStart w:id="200" w:name="_Hlk93851779"/>
      <w:r w:rsidRPr="00793041">
        <w:rPr>
          <w:rFonts w:ascii="Calibri" w:eastAsia="Calibri" w:hAnsi="Calibri" w:cs="Calibri"/>
          <w:spacing w:val="-4"/>
        </w:rPr>
        <w:t xml:space="preserve">. In its document titled </w:t>
      </w:r>
      <w:hyperlink r:id="rId23" w:history="1">
        <w:r w:rsidRPr="00793041">
          <w:rPr>
            <w:rStyle w:val="Hyperlink"/>
            <w:rFonts w:ascii="Calibri" w:eastAsia="Calibri" w:hAnsi="Calibri" w:cs="Calibri"/>
            <w:i/>
            <w:spacing w:val="-4"/>
          </w:rPr>
          <w:t>Subordinate legislation—Technical and stylistic standards—Tips/Traps</w:t>
        </w:r>
      </w:hyperlink>
      <w:r w:rsidRPr="00793041">
        <w:rPr>
          <w:rFonts w:ascii="Calibri" w:eastAsia="Calibri" w:hAnsi="Calibri" w:cs="Calibri"/>
          <w:color w:val="000000"/>
          <w:spacing w:val="-4"/>
        </w:rPr>
        <w:t>,</w:t>
      </w:r>
      <w:r w:rsidRPr="00793041">
        <w:rPr>
          <w:rFonts w:ascii="Calibri" w:eastAsia="Calibri" w:hAnsi="Calibri" w:cs="Calibri"/>
          <w:spacing w:val="-4"/>
          <w:vertAlign w:val="superscript"/>
        </w:rPr>
        <w:footnoteReference w:id="15"/>
      </w:r>
      <w:r w:rsidRPr="00793041">
        <w:rPr>
          <w:rFonts w:ascii="Calibri" w:eastAsia="Calibri" w:hAnsi="Calibri" w:cs="Calibri"/>
          <w:spacing w:val="-4"/>
        </w:rPr>
        <w:t xml:space="preserve"> the Committee stated:</w:t>
      </w:r>
    </w:p>
    <w:bookmarkEnd w:id="200"/>
    <w:p w14:paraId="2ADDD042" w14:textId="77777777" w:rsidR="00126BE8" w:rsidRDefault="00126BE8" w:rsidP="00C807E0">
      <w:pPr>
        <w:pStyle w:val="Quote"/>
        <w:rPr>
          <w:rFonts w:ascii="Calibri" w:eastAsia="Calibri" w:hAnsi="Calibri" w:cs="Calibri"/>
          <w:bCs/>
          <w:color w:val="7F7F7F"/>
          <w:szCs w:val="20"/>
        </w:rPr>
      </w:pPr>
      <w:r>
        <w:rPr>
          <w:rFonts w:ascii="Calibri" w:eastAsia="Calibri" w:hAnsi="Calibri" w:cs="Calibri"/>
          <w:bCs/>
          <w:color w:val="7F7F7F"/>
          <w:szCs w:val="20"/>
        </w:rPr>
        <w:t xml:space="preserve">Under paragraph 227(2)(a) of the </w:t>
      </w:r>
      <w:r>
        <w:rPr>
          <w:rFonts w:ascii="Calibri" w:eastAsia="Calibri" w:hAnsi="Calibri" w:cs="Calibri"/>
          <w:bCs/>
          <w:i/>
          <w:iCs/>
          <w:color w:val="7F7F7F"/>
          <w:szCs w:val="20"/>
        </w:rPr>
        <w:t>Legislation Act 2001</w:t>
      </w:r>
      <w:r>
        <w:rPr>
          <w:rFonts w:ascii="Calibri" w:eastAsia="Calibri" w:hAnsi="Calibri" w:cs="Calibri"/>
          <w:bCs/>
          <w:color w:val="7F7F7F"/>
          <w:szCs w:val="20"/>
        </w:rPr>
        <w:t>, an instrument of appointment is not disallowable if it appoints a public servant. As a result, it assists the Committee (and the Legislative Assembly), if the explanatory statement for an instrument of appointment contains a statement to the effect that “the person appointed is not a public servant”.</w:t>
      </w:r>
    </w:p>
    <w:p w14:paraId="1A8B37DD" w14:textId="77777777" w:rsidR="00126BE8" w:rsidRDefault="00126BE8" w:rsidP="00EE5867">
      <w:pPr>
        <w:pStyle w:val="ListNumber2"/>
        <w:numPr>
          <w:ilvl w:val="1"/>
          <w:numId w:val="6"/>
        </w:numPr>
        <w:ind w:hanging="720"/>
        <w:rPr>
          <w:rFonts w:ascii="Calibri" w:eastAsia="Calibri" w:hAnsi="Calibri" w:cs="Calibri"/>
          <w:bCs w:val="0"/>
          <w:color w:val="auto"/>
          <w:szCs w:val="22"/>
        </w:rPr>
      </w:pPr>
      <w:r>
        <w:rPr>
          <w:rFonts w:ascii="Calibri" w:eastAsia="Calibri" w:hAnsi="Calibri" w:cs="Calibri"/>
        </w:rPr>
        <w:t>The Committee notes that the explanatory statement for the instrument mentioned above contains no such statement.</w:t>
      </w:r>
    </w:p>
    <w:p w14:paraId="69EAE27D" w14:textId="77777777" w:rsidR="00126BE8" w:rsidRDefault="00126BE8" w:rsidP="00EE5867">
      <w:pPr>
        <w:pStyle w:val="ListNumber2"/>
        <w:numPr>
          <w:ilvl w:val="1"/>
          <w:numId w:val="6"/>
        </w:numPr>
        <w:ind w:hanging="720"/>
        <w:rPr>
          <w:rFonts w:ascii="Calibri" w:eastAsia="Calibri" w:hAnsi="Calibri" w:cs="Calibri"/>
        </w:rPr>
      </w:pPr>
      <w:r>
        <w:rPr>
          <w:rFonts w:ascii="Calibri" w:eastAsia="Calibri" w:hAnsi="Calibri" w:cs="Calibri"/>
        </w:rPr>
        <w:t>The Committee notes that</w:t>
      </w:r>
      <w:r>
        <w:t xml:space="preserve"> the </w:t>
      </w:r>
      <w:r>
        <w:rPr>
          <w:rFonts w:ascii="Calibri" w:eastAsia="Calibri" w:hAnsi="Calibri" w:cs="Calibri"/>
        </w:rPr>
        <w:t xml:space="preserve">explanatory statement for the instrument makes it clear that, in fact, the instrument </w:t>
      </w:r>
      <w:r>
        <w:rPr>
          <w:rFonts w:ascii="Calibri" w:eastAsia="Calibri" w:hAnsi="Calibri" w:cs="Calibri"/>
          <w:u w:val="single"/>
        </w:rPr>
        <w:t>re-appoints</w:t>
      </w:r>
      <w:r>
        <w:rPr>
          <w:rFonts w:ascii="Calibri" w:eastAsia="Calibri" w:hAnsi="Calibri" w:cs="Calibri"/>
        </w:rPr>
        <w:t xml:space="preserve"> the specified person. That being so, it might be reasonably be assumed that the specified person is, still, </w:t>
      </w:r>
      <w:r>
        <w:rPr>
          <w:rFonts w:ascii="Calibri" w:eastAsia="Calibri" w:hAnsi="Calibri" w:cs="Calibri"/>
          <w:u w:val="single"/>
        </w:rPr>
        <w:t>not</w:t>
      </w:r>
      <w:r>
        <w:rPr>
          <w:rFonts w:ascii="Calibri" w:eastAsia="Calibri" w:hAnsi="Calibri" w:cs="Calibri"/>
        </w:rPr>
        <w:t xml:space="preserve"> a public servant. However, the Committee considers that it is always preferable that this issue be addressed, explicitly, in the explanatory statement for an instrument of appointment.</w:t>
      </w:r>
    </w:p>
    <w:p w14:paraId="72FFC101" w14:textId="77777777" w:rsidR="00126BE8" w:rsidRDefault="00126BE8" w:rsidP="00EE5867">
      <w:pPr>
        <w:pStyle w:val="ListNumber2"/>
        <w:numPr>
          <w:ilvl w:val="1"/>
          <w:numId w:val="6"/>
        </w:numPr>
        <w:ind w:hanging="720"/>
        <w:rPr>
          <w:rFonts w:ascii="Calibri" w:hAnsi="Calibri" w:cs="Calibri"/>
          <w:b/>
          <w:color w:val="000000"/>
        </w:rPr>
      </w:pPr>
      <w:bookmarkStart w:id="201" w:name="_Hlk15381749"/>
      <w:r>
        <w:rPr>
          <w:rFonts w:ascii="Calibri" w:hAnsi="Calibri" w:cs="Calibri"/>
          <w:b/>
          <w:bCs w:val="0"/>
          <w:color w:val="000000"/>
        </w:rPr>
        <w:t xml:space="preserve">The Committee seeks the Minister’s confirmation that the person appointed by the instrument mentioned above is </w:t>
      </w:r>
      <w:r>
        <w:rPr>
          <w:rFonts w:ascii="Calibri" w:hAnsi="Calibri" w:cs="Calibri"/>
          <w:b/>
          <w:bCs w:val="0"/>
          <w:color w:val="000000"/>
          <w:u w:val="single"/>
        </w:rPr>
        <w:t>not</w:t>
      </w:r>
      <w:r>
        <w:rPr>
          <w:rFonts w:ascii="Calibri" w:hAnsi="Calibri" w:cs="Calibri"/>
          <w:b/>
          <w:bCs w:val="0"/>
          <w:color w:val="000000"/>
        </w:rPr>
        <w:t xml:space="preserve"> a public servant.</w:t>
      </w:r>
    </w:p>
    <w:p w14:paraId="589C3D45" w14:textId="77777777" w:rsidR="00126BE8" w:rsidRDefault="00126BE8" w:rsidP="00EE5867">
      <w:pPr>
        <w:pStyle w:val="ListNumber2"/>
        <w:numPr>
          <w:ilvl w:val="1"/>
          <w:numId w:val="6"/>
        </w:numPr>
        <w:ind w:hanging="720"/>
        <w:rPr>
          <w:rFonts w:ascii="Calibri" w:eastAsia="Calibri" w:hAnsi="Calibri" w:cs="Calibri"/>
          <w:b/>
          <w:bCs w:val="0"/>
          <w:color w:val="000000"/>
        </w:rPr>
      </w:pPr>
      <w:r w:rsidRPr="005A0D9F">
        <w:rPr>
          <w:rFonts w:ascii="Calibri" w:hAnsi="Calibri" w:cs="Calibri"/>
          <w:b/>
          <w:color w:val="000000"/>
        </w:rPr>
        <w:t>The Committee draws the attention of the Legislative Assembly to this subordinate law, under</w:t>
      </w:r>
      <w:r>
        <w:rPr>
          <w:rFonts w:ascii="Calibri" w:eastAsia="Calibri" w:hAnsi="Calibri" w:cs="Calibri"/>
          <w:b/>
          <w:bCs w:val="0"/>
          <w:color w:val="000000"/>
        </w:rPr>
        <w:t xml:space="preserve"> principle (10)(d) of the Committee’s resolution of appointment, on the basis that the explanatory statement for the instrument does not meet the technical or stylistic standards expected by the Committee.</w:t>
      </w:r>
    </w:p>
    <w:tbl>
      <w:tblPr>
        <w:tblW w:w="0" w:type="auto"/>
        <w:tblInd w:w="851" w:type="dxa"/>
        <w:shd w:val="clear" w:color="auto" w:fill="D9E2F3" w:themeFill="accent1" w:themeFillTint="33"/>
        <w:tblLook w:val="0600" w:firstRow="0" w:lastRow="0" w:firstColumn="0" w:lastColumn="0" w:noHBand="1" w:noVBand="1"/>
      </w:tblPr>
      <w:tblGrid>
        <w:gridCol w:w="7891"/>
      </w:tblGrid>
      <w:tr w:rsidR="00126BE8" w14:paraId="7BC2EE70" w14:textId="77777777" w:rsidTr="00793041">
        <w:tc>
          <w:tcPr>
            <w:tcW w:w="7891" w:type="dxa"/>
            <w:shd w:val="clear" w:color="auto" w:fill="D9E2F3" w:themeFill="accent1" w:themeFillTint="33"/>
            <w:hideMark/>
          </w:tcPr>
          <w:p w14:paraId="557EC7C7" w14:textId="2A29C381" w:rsidR="00126BE8" w:rsidRPr="002D1679" w:rsidRDefault="00126BE8" w:rsidP="002D1679">
            <w:pPr>
              <w:pStyle w:val="ListNumber2"/>
            </w:pPr>
            <w:r w:rsidRPr="002D1679">
              <w:t>This comment requires a response from the Minister. The Committee would be grateful if the Minister could respond before the Legislative Assembly’s capacity to move to disallow the subordinate law expires.</w:t>
            </w:r>
          </w:p>
        </w:tc>
      </w:tr>
    </w:tbl>
    <w:p w14:paraId="00423408" w14:textId="77777777" w:rsidR="00126BE8" w:rsidRDefault="00126BE8" w:rsidP="00A83B31">
      <w:pPr>
        <w:keepNext/>
        <w:keepLines/>
        <w:spacing w:before="240" w:after="200"/>
        <w:outlineLvl w:val="2"/>
        <w:rPr>
          <w:rFonts w:ascii="Montserrat" w:eastAsia="Times New Roman" w:hAnsi="Montserrat" w:cs="Times New Roman"/>
          <w:b/>
          <w:color w:val="7492CD"/>
          <w:w w:val="90"/>
          <w:kern w:val="2"/>
          <w:sz w:val="28"/>
          <w:szCs w:val="24"/>
        </w:rPr>
      </w:pPr>
      <w:bookmarkStart w:id="202" w:name="_Hlk175485077"/>
      <w:bookmarkStart w:id="203" w:name="_Toc175930221"/>
      <w:bookmarkStart w:id="204" w:name="_Toc176162878"/>
      <w:bookmarkStart w:id="205" w:name="_Toc176175564"/>
      <w:bookmarkEnd w:id="199"/>
      <w:bookmarkEnd w:id="201"/>
      <w:r>
        <w:rPr>
          <w:rFonts w:ascii="Montserrat" w:eastAsia="Times New Roman" w:hAnsi="Montserrat" w:cs="Times New Roman"/>
          <w:b/>
          <w:color w:val="7492CD"/>
          <w:w w:val="90"/>
          <w:kern w:val="2"/>
          <w:sz w:val="28"/>
          <w:szCs w:val="24"/>
        </w:rPr>
        <w:lastRenderedPageBreak/>
        <w:t>Human Rights Issues</w:t>
      </w:r>
      <w:bookmarkEnd w:id="202"/>
      <w:bookmarkEnd w:id="203"/>
      <w:bookmarkEnd w:id="204"/>
      <w:bookmarkEnd w:id="205"/>
    </w:p>
    <w:p w14:paraId="06D2B568"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Disallowable Instrument DI2024-245 being the Public Place Names (Whitlam) Determination 2024 (No 2) made under section 3 of the </w:t>
      </w:r>
      <w:r>
        <w:rPr>
          <w:i/>
        </w:rPr>
        <w:t>Public Place Names Act 1989</w:t>
      </w:r>
      <w:r>
        <w:rPr>
          <w:b/>
        </w:rPr>
        <w:t xml:space="preserve"> determines the name of public places in the Division of Whitlam. </w:t>
      </w:r>
    </w:p>
    <w:p w14:paraId="5C86077C" w14:textId="77777777" w:rsidR="00126BE8" w:rsidRDefault="00126BE8" w:rsidP="00EE5867">
      <w:pPr>
        <w:pStyle w:val="ListNumber2"/>
        <w:keepLines/>
        <w:numPr>
          <w:ilvl w:val="1"/>
          <w:numId w:val="6"/>
        </w:numPr>
        <w:ind w:hanging="720"/>
        <w:rPr>
          <w:rFonts w:ascii="Calibri" w:eastAsia="Calibri" w:hAnsi="Calibri" w:cs="Calibri"/>
          <w:color w:val="000000"/>
        </w:rPr>
      </w:pPr>
      <w:r>
        <w:rPr>
          <w:rFonts w:ascii="Calibri" w:eastAsia="Calibri" w:hAnsi="Calibri" w:cs="Calibri"/>
          <w:bCs w:val="0"/>
          <w:color w:val="000000"/>
        </w:rPr>
        <w:t xml:space="preserve">This instrument is made under section 3 of the </w:t>
      </w:r>
      <w:r>
        <w:rPr>
          <w:rFonts w:ascii="Calibri" w:eastAsia="Calibri" w:hAnsi="Calibri" w:cs="Calibri"/>
          <w:bCs w:val="0"/>
          <w:i/>
          <w:iCs/>
          <w:color w:val="000000"/>
        </w:rPr>
        <w:t>Place Names Act 1989</w:t>
      </w:r>
      <w:r>
        <w:rPr>
          <w:rFonts w:ascii="Calibri" w:eastAsia="Calibri" w:hAnsi="Calibri" w:cs="Calibri"/>
          <w:bCs w:val="0"/>
          <w:color w:val="000000"/>
        </w:rPr>
        <w:t xml:space="preserve">, naming public places in the Division of Whitlam.  The Committee notes that, </w:t>
      </w:r>
      <w:proofErr w:type="gramStart"/>
      <w:r>
        <w:rPr>
          <w:rFonts w:ascii="Calibri" w:eastAsia="Calibri" w:hAnsi="Calibri" w:cs="Calibri"/>
          <w:bCs w:val="0"/>
          <w:color w:val="000000"/>
        </w:rPr>
        <w:t>similar to</w:t>
      </w:r>
      <w:proofErr w:type="gramEnd"/>
      <w:r>
        <w:rPr>
          <w:rFonts w:ascii="Calibri" w:eastAsia="Calibri" w:hAnsi="Calibri" w:cs="Calibri"/>
          <w:bCs w:val="0"/>
          <w:color w:val="000000"/>
        </w:rPr>
        <w:t xml:space="preserve"> explanatory statements for similar instruments, the explanatory statement for the instrument discusses potential human rights implications for the instrument.  The </w:t>
      </w:r>
      <w:proofErr w:type="gramStart"/>
      <w:r>
        <w:rPr>
          <w:rFonts w:ascii="Calibri" w:eastAsia="Calibri" w:hAnsi="Calibri" w:cs="Calibri"/>
          <w:bCs w:val="0"/>
          <w:color w:val="000000"/>
        </w:rPr>
        <w:t>particular human</w:t>
      </w:r>
      <w:proofErr w:type="gramEnd"/>
      <w:r>
        <w:rPr>
          <w:rFonts w:ascii="Calibri" w:eastAsia="Calibri" w:hAnsi="Calibri" w:cs="Calibri"/>
          <w:bCs w:val="0"/>
          <w:color w:val="000000"/>
        </w:rPr>
        <w:t xml:space="preserve"> right identified is the right to privacy and reputation, set out in section 12 of the </w:t>
      </w:r>
      <w:r>
        <w:rPr>
          <w:rFonts w:ascii="Calibri" w:eastAsia="Calibri" w:hAnsi="Calibri" w:cs="Calibri"/>
          <w:bCs w:val="0"/>
          <w:i/>
          <w:iCs/>
          <w:color w:val="000000"/>
        </w:rPr>
        <w:t>Human Rights Act 2004</w:t>
      </w:r>
      <w:r>
        <w:rPr>
          <w:rFonts w:ascii="Calibri" w:eastAsia="Calibri" w:hAnsi="Calibri" w:cs="Calibri"/>
          <w:bCs w:val="0"/>
          <w:color w:val="000000"/>
        </w:rPr>
        <w:t xml:space="preserve">: </w:t>
      </w:r>
    </w:p>
    <w:p w14:paraId="1CDA0AD0" w14:textId="61DEC28B" w:rsidR="00126BE8" w:rsidRPr="00E24228" w:rsidRDefault="00126BE8" w:rsidP="00E24228">
      <w:pPr>
        <w:pStyle w:val="Quote"/>
        <w:spacing w:before="120" w:after="120" w:line="276" w:lineRule="auto"/>
        <w:rPr>
          <w:u w:val="single"/>
        </w:rPr>
      </w:pPr>
      <w:r w:rsidRPr="00E24228">
        <w:rPr>
          <w:rFonts w:ascii="Calibri" w:eastAsia="Calibri" w:hAnsi="Calibri" w:cs="Calibri"/>
          <w:bCs/>
          <w:color w:val="7F7F7F"/>
          <w:szCs w:val="20"/>
          <w:u w:val="single"/>
        </w:rPr>
        <w:t>Human</w:t>
      </w:r>
      <w:r w:rsidR="00E24228" w:rsidRPr="00E24228">
        <w:rPr>
          <w:rFonts w:ascii="Calibri" w:eastAsia="Calibri" w:hAnsi="Calibri" w:cs="Calibri"/>
          <w:bCs/>
          <w:color w:val="7F7F7F"/>
          <w:szCs w:val="20"/>
          <w:u w:val="single"/>
        </w:rPr>
        <w:t xml:space="preserve"> </w:t>
      </w:r>
      <w:r w:rsidRPr="00E24228">
        <w:rPr>
          <w:rFonts w:ascii="Calibri" w:eastAsia="Calibri" w:hAnsi="Calibri" w:cs="Calibri"/>
          <w:bCs/>
          <w:color w:val="7F7F7F"/>
          <w:szCs w:val="20"/>
          <w:u w:val="single"/>
        </w:rPr>
        <w:t>Rights</w:t>
      </w:r>
    </w:p>
    <w:p w14:paraId="73DD91E5" w14:textId="77777777" w:rsidR="00126BE8" w:rsidRDefault="00126BE8" w:rsidP="002D1679">
      <w:pPr>
        <w:pStyle w:val="Quote"/>
        <w:spacing w:before="120" w:after="120" w:line="276" w:lineRule="auto"/>
        <w:rPr>
          <w:rFonts w:ascii="Calibri" w:eastAsia="Calibri" w:hAnsi="Calibri" w:cs="Calibri"/>
          <w:bCs/>
          <w:color w:val="7F7F7F"/>
          <w:szCs w:val="20"/>
        </w:rPr>
      </w:pPr>
      <w:r>
        <w:rPr>
          <w:rFonts w:ascii="Calibri" w:eastAsia="Calibri" w:hAnsi="Calibri" w:cs="Calibri"/>
          <w:bCs/>
          <w:color w:val="7F7F7F"/>
          <w:szCs w:val="20"/>
        </w:rPr>
        <w:t xml:space="preserve">Section 12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creates a right to privacy and reputation. </w:t>
      </w:r>
    </w:p>
    <w:p w14:paraId="1632F136" w14:textId="77777777" w:rsidR="00126BE8" w:rsidRDefault="00126BE8" w:rsidP="00E24228">
      <w:pPr>
        <w:pStyle w:val="Quote"/>
        <w:spacing w:before="120" w:line="276" w:lineRule="auto"/>
        <w:rPr>
          <w:rFonts w:ascii="Calibri" w:eastAsia="Calibri" w:hAnsi="Calibri" w:cs="Calibri"/>
          <w:bCs/>
          <w:color w:val="7F7F7F"/>
          <w:szCs w:val="20"/>
        </w:rPr>
      </w:pPr>
      <w:r>
        <w:rPr>
          <w:rFonts w:ascii="Calibri" w:eastAsia="Calibri" w:hAnsi="Calibri" w:cs="Calibri"/>
          <w:bCs/>
          <w:color w:val="7F7F7F"/>
          <w:szCs w:val="20"/>
        </w:rP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3B5C5133"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The Committee draws the attention of the Legislative Assembly to the discussion of human rights issues in the explanatory statement for this instrument.</w:t>
      </w:r>
    </w:p>
    <w:p w14:paraId="5FA3EE49" w14:textId="77777777" w:rsidR="00126BE8" w:rsidRDefault="00126BE8" w:rsidP="00E24228">
      <w:pPr>
        <w:pStyle w:val="ListNumber2"/>
        <w:numPr>
          <w:ilvl w:val="1"/>
          <w:numId w:val="6"/>
        </w:numPr>
        <w:spacing w:after="240"/>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286E1462" w14:textId="4FA12218" w:rsidR="00126BE8" w:rsidRDefault="00126BE8" w:rsidP="007825E1">
      <w:pPr>
        <w:pStyle w:val="Heading20"/>
      </w:pPr>
      <w:bookmarkStart w:id="206" w:name="_Toc176175565"/>
      <w:bookmarkStart w:id="207" w:name="_Hlk135239681"/>
      <w:bookmarkStart w:id="208" w:name="_Hlk175494039"/>
      <w:r>
        <w:t>Subordinate Laws</w:t>
      </w:r>
      <w:r w:rsidR="009A0B11">
        <w:t>—</w:t>
      </w:r>
      <w:r>
        <w:t>Comment</w:t>
      </w:r>
      <w:bookmarkEnd w:id="206"/>
    </w:p>
    <w:p w14:paraId="2210AA74" w14:textId="77777777" w:rsidR="00126BE8" w:rsidRDefault="00126BE8" w:rsidP="00EE5867">
      <w:pPr>
        <w:pStyle w:val="ListNumber2"/>
        <w:numPr>
          <w:ilvl w:val="1"/>
          <w:numId w:val="6"/>
        </w:numPr>
        <w:ind w:hanging="720"/>
      </w:pPr>
      <w:r>
        <w:t>The Committee has examined the following subordinate laws and offers these comments on them:</w:t>
      </w:r>
    </w:p>
    <w:p w14:paraId="7467D61D" w14:textId="7141A06F" w:rsidR="00126BE8" w:rsidRDefault="00126BE8" w:rsidP="00126BE8">
      <w:pPr>
        <w:widowControl w:val="0"/>
        <w:tabs>
          <w:tab w:val="left" w:pos="1276"/>
        </w:tabs>
        <w:spacing w:before="240" w:after="0" w:line="280" w:lineRule="exact"/>
        <w:rPr>
          <w:rFonts w:ascii="Montserrat" w:eastAsia="Times New Roman" w:hAnsi="Montserrat" w:cs="Times New Roman"/>
          <w:b/>
          <w:color w:val="7492CD"/>
          <w:w w:val="90"/>
          <w:kern w:val="2"/>
          <w:sz w:val="28"/>
          <w:szCs w:val="24"/>
        </w:rPr>
      </w:pPr>
      <w:bookmarkStart w:id="209" w:name="_Hlk175485264"/>
      <w:bookmarkStart w:id="210" w:name="_Hlk148269157"/>
      <w:bookmarkStart w:id="211" w:name="_Hlk150700005"/>
      <w:bookmarkStart w:id="212" w:name="_Hlk145849522"/>
      <w:bookmarkStart w:id="213" w:name="_Hlk142829910"/>
      <w:bookmarkEnd w:id="207"/>
      <w:bookmarkEnd w:id="208"/>
      <w:r>
        <w:rPr>
          <w:rFonts w:ascii="Montserrat" w:eastAsia="Times New Roman" w:hAnsi="Montserrat" w:cs="Times New Roman"/>
          <w:b/>
          <w:color w:val="7492CD"/>
          <w:w w:val="90"/>
          <w:kern w:val="2"/>
          <w:sz w:val="28"/>
          <w:szCs w:val="24"/>
        </w:rPr>
        <w:t>Human Rights Issues</w:t>
      </w:r>
    </w:p>
    <w:bookmarkEnd w:id="209"/>
    <w:p w14:paraId="4E8E1CA8"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SL2024-7 being the Victims of Crime (Financial Assistance) Amendment Regulation 2024 (No 1) made under the </w:t>
      </w:r>
      <w:r>
        <w:rPr>
          <w:i/>
        </w:rPr>
        <w:t>Victims of Crime (Financial Assistance) Act 2016</w:t>
      </w:r>
      <w:r>
        <w:rPr>
          <w:b/>
        </w:rPr>
        <w:t xml:space="preserve"> amends the Victims of Crime (Financial Assistance) Regulation 2016 to bring the payment amounts for victims of crime in line with the </w:t>
      </w:r>
      <w:proofErr w:type="gramStart"/>
      <w:r>
        <w:rPr>
          <w:b/>
        </w:rPr>
        <w:t>All Groups</w:t>
      </w:r>
      <w:proofErr w:type="gramEnd"/>
      <w:r>
        <w:rPr>
          <w:b/>
        </w:rPr>
        <w:t xml:space="preserve"> CPI (Canberra) for March 2023-March 2024. </w:t>
      </w:r>
    </w:p>
    <w:p w14:paraId="3CEE3844" w14:textId="77777777" w:rsidR="00126BE8" w:rsidRDefault="00126BE8" w:rsidP="00126BE8">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214" w:name="_Toc160699158"/>
      <w:bookmarkStart w:id="215" w:name="_Toc161141753"/>
      <w:bookmarkStart w:id="216" w:name="_Toc175930223"/>
      <w:bookmarkStart w:id="217" w:name="_Toc176162880"/>
      <w:bookmarkStart w:id="218" w:name="_Toc176175566"/>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bookmarkEnd w:id="214"/>
      <w:bookmarkEnd w:id="215"/>
      <w:bookmarkEnd w:id="216"/>
      <w:bookmarkEnd w:id="217"/>
      <w:bookmarkEnd w:id="218"/>
    </w:p>
    <w:p w14:paraId="19F15D60" w14:textId="77777777" w:rsidR="00126BE8" w:rsidRDefault="00126BE8" w:rsidP="00EE5867">
      <w:pPr>
        <w:pStyle w:val="ListNumber2"/>
        <w:numPr>
          <w:ilvl w:val="1"/>
          <w:numId w:val="6"/>
        </w:numPr>
        <w:ind w:hanging="720"/>
        <w:rPr>
          <w:bCs w:val="0"/>
        </w:rPr>
      </w:pPr>
      <w:r>
        <w:t xml:space="preserve">This subordinate law, made under the </w:t>
      </w:r>
      <w:r>
        <w:rPr>
          <w:i/>
        </w:rPr>
        <w:t>Victims of Crime (Financial Assistance) Act 2016</w:t>
      </w:r>
      <w:r>
        <w:rPr>
          <w:iCs/>
        </w:rPr>
        <w:t>,</w:t>
      </w:r>
      <w:r>
        <w:t xml:space="preserve"> amends the </w:t>
      </w:r>
      <w:r>
        <w:rPr>
          <w:i/>
          <w:iCs/>
        </w:rPr>
        <w:t>Victims of Crime (Financial Assistance) Regulation 2016</w:t>
      </w:r>
      <w:r>
        <w:t xml:space="preserve">, to increase bring the payment amounts for victims of crime, in line with the </w:t>
      </w:r>
      <w:proofErr w:type="gramStart"/>
      <w:r>
        <w:t>All Groups</w:t>
      </w:r>
      <w:proofErr w:type="gramEnd"/>
      <w:r>
        <w:t xml:space="preserve"> CPI (Canberra) for March 2023-March 2024.</w:t>
      </w:r>
    </w:p>
    <w:p w14:paraId="5B97E917" w14:textId="77777777" w:rsidR="00126BE8" w:rsidRDefault="00126BE8" w:rsidP="00EE5867">
      <w:pPr>
        <w:pStyle w:val="ListNumber2"/>
        <w:numPr>
          <w:ilvl w:val="1"/>
          <w:numId w:val="6"/>
        </w:numPr>
        <w:ind w:hanging="720"/>
        <w:rPr>
          <w:rFonts w:ascii="Calibri" w:eastAsia="Calibri" w:hAnsi="Calibri" w:cs="Calibri"/>
          <w:bCs w:val="0"/>
          <w:color w:val="000000"/>
        </w:rPr>
      </w:pPr>
      <w:r>
        <w:t xml:space="preserve">The Committee notes that the explanatory statement for the subordinate law contains </w:t>
      </w:r>
      <w:r>
        <w:rPr>
          <w:rFonts w:ascii="Calibri" w:eastAsia="Calibri" w:hAnsi="Calibri" w:cs="Calibri"/>
          <w:color w:val="000000"/>
          <w:u w:val="single"/>
        </w:rPr>
        <w:t>no</w:t>
      </w:r>
      <w:r>
        <w:rPr>
          <w:rFonts w:ascii="Calibri" w:eastAsia="Calibri" w:hAnsi="Calibri" w:cs="Calibri"/>
          <w:color w:val="000000"/>
        </w:rPr>
        <w:t xml:space="preserve"> discussion of possible human rights issues raised by the subordinate law, to assist the Committee in its (expanded) role under section 38 of the </w:t>
      </w:r>
      <w:r>
        <w:rPr>
          <w:rFonts w:ascii="Calibri" w:eastAsia="Calibri" w:hAnsi="Calibri" w:cs="Calibri"/>
          <w:i/>
          <w:iCs/>
          <w:color w:val="000000"/>
        </w:rPr>
        <w:t>Human Rights Act 2004</w:t>
      </w:r>
      <w:r>
        <w:rPr>
          <w:rFonts w:ascii="Calibri" w:eastAsia="Calibri" w:hAnsi="Calibri" w:cs="Calibri"/>
          <w:color w:val="000000"/>
        </w:rPr>
        <w:t>.</w:t>
      </w:r>
    </w:p>
    <w:p w14:paraId="45E02253" w14:textId="3496E45F" w:rsidR="00126BE8" w:rsidRPr="00793041" w:rsidRDefault="00126BE8" w:rsidP="00EE5867">
      <w:pPr>
        <w:pStyle w:val="ListNumber2"/>
        <w:keepLines/>
        <w:numPr>
          <w:ilvl w:val="1"/>
          <w:numId w:val="6"/>
        </w:numPr>
        <w:ind w:hanging="720"/>
        <w:rPr>
          <w:rFonts w:ascii="Calibri" w:eastAsia="Calibri" w:hAnsi="Calibri" w:cs="Calibri"/>
          <w:b/>
          <w:bCs w:val="0"/>
          <w:color w:val="000000"/>
        </w:rPr>
      </w:pPr>
      <w:r>
        <w:rPr>
          <w:rFonts w:ascii="Calibri" w:eastAsia="Calibri" w:hAnsi="Calibri" w:cs="Calibri"/>
          <w:b/>
          <w:color w:val="000000"/>
        </w:rPr>
        <w:lastRenderedPageBreak/>
        <w:t>The Committee draws the attention of the Legislative Assembly to this subordinate law, under principle (10)(d) of the Committee’s resolution of appointment, on the basis that the explanatory statement for the instrument does not meet the technical or stylistic standards expected by the Committee.</w:t>
      </w:r>
    </w:p>
    <w:tbl>
      <w:tblPr>
        <w:tblW w:w="0" w:type="auto"/>
        <w:tblInd w:w="851" w:type="dxa"/>
        <w:tblLook w:val="0600" w:firstRow="0" w:lastRow="0" w:firstColumn="0" w:lastColumn="0" w:noHBand="1" w:noVBand="1"/>
      </w:tblPr>
      <w:tblGrid>
        <w:gridCol w:w="7891"/>
      </w:tblGrid>
      <w:tr w:rsidR="00126BE8" w14:paraId="681F1B03" w14:textId="77777777" w:rsidTr="00793041">
        <w:tc>
          <w:tcPr>
            <w:tcW w:w="7891" w:type="dxa"/>
            <w:shd w:val="clear" w:color="auto" w:fill="D9E2F3" w:themeFill="accent1" w:themeFillTint="33"/>
            <w:hideMark/>
          </w:tcPr>
          <w:p w14:paraId="4291A2CB" w14:textId="77777777" w:rsidR="00126BE8" w:rsidRPr="00793041" w:rsidRDefault="00126BE8">
            <w:pPr>
              <w:spacing w:before="80" w:after="120"/>
              <w:rPr>
                <w:rFonts w:ascii="Calibri" w:eastAsia="Calibri" w:hAnsi="Calibri" w:cs="Calibri"/>
                <w:bCs/>
                <w:color w:val="000000"/>
              </w:rPr>
            </w:pPr>
            <w:r w:rsidRPr="00793041">
              <w:rPr>
                <w:rFonts w:ascii="Calibri" w:eastAsia="Calibri" w:hAnsi="Calibri" w:cs="Calibri"/>
                <w:bCs/>
                <w:color w:val="000000"/>
              </w:rPr>
              <w:t>This comment requires a response from the Minister. The Committee would be grateful if the Minister could respond before the Legislative Assembly’s capacity to move to disallow the subordinate law expires.</w:t>
            </w:r>
          </w:p>
        </w:tc>
      </w:tr>
    </w:tbl>
    <w:p w14:paraId="0C5C370E" w14:textId="33227C9E" w:rsidR="00126BE8" w:rsidRDefault="00126BE8" w:rsidP="001E61EC">
      <w:pPr>
        <w:keepNext/>
        <w:widowControl w:val="0"/>
        <w:tabs>
          <w:tab w:val="left" w:pos="1276"/>
        </w:tabs>
        <w:spacing w:before="240" w:after="0" w:line="280" w:lineRule="exact"/>
        <w:rPr>
          <w:rFonts w:ascii="Montserrat" w:eastAsia="Times New Roman" w:hAnsi="Montserrat" w:cs="Times New Roman"/>
          <w:b/>
          <w:color w:val="7492CD"/>
          <w:w w:val="90"/>
          <w:kern w:val="2"/>
          <w:sz w:val="28"/>
          <w:szCs w:val="24"/>
        </w:rPr>
      </w:pPr>
      <w:bookmarkStart w:id="219" w:name="_Hlk175485820"/>
      <w:r>
        <w:rPr>
          <w:rFonts w:ascii="Montserrat" w:eastAsia="Times New Roman" w:hAnsi="Montserrat" w:cs="Times New Roman"/>
          <w:b/>
          <w:color w:val="7492CD"/>
          <w:w w:val="90"/>
          <w:kern w:val="2"/>
          <w:sz w:val="28"/>
          <w:szCs w:val="24"/>
        </w:rPr>
        <w:t>Human Rights Issues / Strict liability offences</w:t>
      </w:r>
    </w:p>
    <w:p w14:paraId="48B8DC51"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SL2024-8 being the Work Health and Safety Amendment Regulation 2024 (No 1) </w:t>
      </w:r>
      <w:bookmarkStart w:id="220" w:name="_Hlk175486054"/>
      <w:r>
        <w:rPr>
          <w:b/>
        </w:rPr>
        <w:t xml:space="preserve">made under section 276 of the </w:t>
      </w:r>
      <w:r>
        <w:rPr>
          <w:i/>
        </w:rPr>
        <w:t>Work Health and Safety Act 2011</w:t>
      </w:r>
      <w:r>
        <w:rPr>
          <w:b/>
        </w:rPr>
        <w:t xml:space="preserve"> makes amendments to the </w:t>
      </w:r>
      <w:r>
        <w:rPr>
          <w:b/>
          <w:i/>
          <w:iCs/>
        </w:rPr>
        <w:t>Work Health and Safety Regulation 2011</w:t>
      </w:r>
      <w:r>
        <w:rPr>
          <w:b/>
        </w:rPr>
        <w:t xml:space="preserve"> to give effect to the national prohibition on the manufacturing, processing, installing or supply of engineered stone benchtops, </w:t>
      </w:r>
      <w:proofErr w:type="gramStart"/>
      <w:r>
        <w:rPr>
          <w:b/>
        </w:rPr>
        <w:t>panels</w:t>
      </w:r>
      <w:proofErr w:type="gramEnd"/>
      <w:r>
        <w:rPr>
          <w:b/>
        </w:rPr>
        <w:t xml:space="preserve"> or slabs. </w:t>
      </w:r>
    </w:p>
    <w:p w14:paraId="76E8ED28" w14:textId="77777777" w:rsidR="00126BE8" w:rsidRDefault="00126BE8" w:rsidP="00126BE8">
      <w:pPr>
        <w:keepNext/>
        <w:keepLines/>
        <w:spacing w:before="120" w:after="0"/>
        <w:outlineLvl w:val="3"/>
        <w:rPr>
          <w:rFonts w:ascii="Montserrat SemiBold" w:eastAsia="Calibri" w:hAnsi="Montserrat SemiBold" w:cs="Times New Roman"/>
          <w:i/>
          <w:iCs/>
          <w:color w:val="2F5496"/>
          <w:w w:val="90"/>
          <w:kern w:val="2"/>
          <w:sz w:val="24"/>
          <w:szCs w:val="24"/>
          <w:lang w:eastAsia="en-AU"/>
        </w:rPr>
      </w:pPr>
      <w:bookmarkStart w:id="221" w:name="_Toc175930224"/>
      <w:bookmarkStart w:id="222" w:name="_Toc176162881"/>
      <w:bookmarkStart w:id="223" w:name="_Toc176175567"/>
      <w:bookmarkStart w:id="224" w:name="_Hlk175487482"/>
      <w:bookmarkEnd w:id="219"/>
      <w:bookmarkEnd w:id="220"/>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bookmarkEnd w:id="221"/>
      <w:bookmarkEnd w:id="222"/>
      <w:bookmarkEnd w:id="223"/>
    </w:p>
    <w:bookmarkEnd w:id="224"/>
    <w:p w14:paraId="60DF20A6"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life (section 9 HRA)</w:t>
      </w:r>
    </w:p>
    <w:p w14:paraId="6AF469BA"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Rights in criminal proceedings (section 22 HRA)</w:t>
      </w:r>
    </w:p>
    <w:p w14:paraId="3D88F437"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work (section 27B HRA)</w:t>
      </w:r>
    </w:p>
    <w:p w14:paraId="4A0DAE55" w14:textId="77777777" w:rsidR="00126BE8" w:rsidRDefault="00126BE8" w:rsidP="00EE5867">
      <w:pPr>
        <w:pStyle w:val="ListNumber2"/>
        <w:numPr>
          <w:ilvl w:val="1"/>
          <w:numId w:val="6"/>
        </w:numPr>
        <w:ind w:hanging="720"/>
        <w:rPr>
          <w:rFonts w:eastAsia="Times New Roman"/>
          <w:bCs w:val="0"/>
        </w:rPr>
      </w:pPr>
      <w:r>
        <w:t xml:space="preserve">This subordinate law is made under section 276 of the </w:t>
      </w:r>
      <w:r>
        <w:rPr>
          <w:i/>
        </w:rPr>
        <w:t>Work Health and Safety Act 2011</w:t>
      </w:r>
      <w:r>
        <w:rPr>
          <w:iCs/>
        </w:rPr>
        <w:t>.  It</w:t>
      </w:r>
      <w:r>
        <w:t xml:space="preserve"> makes amendments to the </w:t>
      </w:r>
      <w:r>
        <w:rPr>
          <w:i/>
          <w:iCs/>
        </w:rPr>
        <w:t>Work Health and Safety Regulation 2011</w:t>
      </w:r>
      <w:r>
        <w:t xml:space="preserve">, to give effect to the national prohibition on the manufacturing, processing, installing or supply of engineered stone benchtops, </w:t>
      </w:r>
      <w:proofErr w:type="gramStart"/>
      <w:r>
        <w:t>panels</w:t>
      </w:r>
      <w:proofErr w:type="gramEnd"/>
      <w:r>
        <w:t xml:space="preserve"> or slabs.  </w:t>
      </w:r>
    </w:p>
    <w:p w14:paraId="09E5D03E" w14:textId="77777777" w:rsidR="00126BE8" w:rsidRPr="00C807E0" w:rsidRDefault="00126BE8" w:rsidP="00EE5867">
      <w:pPr>
        <w:pStyle w:val="ListNumber2"/>
        <w:numPr>
          <w:ilvl w:val="1"/>
          <w:numId w:val="6"/>
        </w:numPr>
        <w:ind w:hanging="720"/>
        <w:rPr>
          <w:bCs w:val="0"/>
          <w:spacing w:val="-2"/>
        </w:rPr>
      </w:pPr>
      <w:r w:rsidRPr="00C807E0">
        <w:rPr>
          <w:spacing w:val="-2"/>
        </w:rPr>
        <w:t xml:space="preserve">The explanatory statement for the subordinate law contains a detailed discussion of human rights issues, by reference to the right to life, the rights in criminal proceedings and the right to work, protected by sections 9, 22 and 27B of the </w:t>
      </w:r>
      <w:r w:rsidRPr="00C807E0">
        <w:rPr>
          <w:i/>
          <w:iCs/>
          <w:spacing w:val="-2"/>
        </w:rPr>
        <w:t>Human Rights Act 2004</w:t>
      </w:r>
      <w:r w:rsidRPr="00C807E0">
        <w:rPr>
          <w:spacing w:val="-2"/>
        </w:rPr>
        <w:t>, respectively.  The explanatory statement indicates that the right to life and the right to work are promoted.  The rights in criminal proceedings are limited because of the use of strict liability offences.</w:t>
      </w:r>
    </w:p>
    <w:p w14:paraId="50729A70" w14:textId="77777777" w:rsidR="00126BE8" w:rsidRDefault="00126BE8" w:rsidP="00EE5867">
      <w:pPr>
        <w:pStyle w:val="ListNumber2"/>
        <w:numPr>
          <w:ilvl w:val="1"/>
          <w:numId w:val="6"/>
        </w:numPr>
        <w:ind w:hanging="720"/>
        <w:rPr>
          <w:bCs w:val="0"/>
        </w:rPr>
      </w:pPr>
      <w:r>
        <w:t>The explanatory statement states:</w:t>
      </w:r>
    </w:p>
    <w:p w14:paraId="579B9234" w14:textId="77777777" w:rsidR="00126BE8" w:rsidRDefault="00126BE8" w:rsidP="00C807E0">
      <w:pPr>
        <w:pStyle w:val="Quote"/>
        <w:spacing w:before="120" w:after="120"/>
        <w:rPr>
          <w:rFonts w:ascii="Calibri" w:eastAsia="Calibri" w:hAnsi="Calibri" w:cs="Calibri"/>
          <w:bCs/>
          <w:i/>
          <w:iCs/>
          <w:color w:val="7F7F7F"/>
          <w:szCs w:val="20"/>
        </w:rPr>
      </w:pPr>
      <w:r>
        <w:rPr>
          <w:rFonts w:ascii="Calibri" w:eastAsia="Calibri" w:hAnsi="Calibri" w:cs="Calibri"/>
          <w:bCs/>
          <w:i/>
          <w:iCs/>
          <w:color w:val="7F7F7F"/>
          <w:szCs w:val="20"/>
        </w:rPr>
        <w:t xml:space="preserve">Rights Promoted – right to life – right to </w:t>
      </w:r>
      <w:proofErr w:type="gramStart"/>
      <w:r>
        <w:rPr>
          <w:rFonts w:ascii="Calibri" w:eastAsia="Calibri" w:hAnsi="Calibri" w:cs="Calibri"/>
          <w:bCs/>
          <w:i/>
          <w:iCs/>
          <w:color w:val="7F7F7F"/>
          <w:szCs w:val="20"/>
        </w:rPr>
        <w:t>work</w:t>
      </w:r>
      <w:proofErr w:type="gramEnd"/>
    </w:p>
    <w:p w14:paraId="0644B4BA"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amendment regulation engages and promotes the right to life (section 9) and the right to work (section 27B). The rights to life, liberty and security impose duties on the ACT Government to protect life and take reasonable measures to prevent injury in workplaces, while the right to work guarantees just and favourable conditions of work, including safe and healthy working conditions.</w:t>
      </w:r>
    </w:p>
    <w:p w14:paraId="14D60343"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Through the Amendment Regulation, the ACT Government is taking positive steps to ensure our legislative and regulatory frameworks prevent injury and ensure healthy working conditions by prohibiting the use, </w:t>
      </w:r>
      <w:proofErr w:type="gramStart"/>
      <w:r>
        <w:rPr>
          <w:rFonts w:ascii="Calibri" w:eastAsia="Calibri" w:hAnsi="Calibri" w:cs="Calibri"/>
          <w:bCs/>
          <w:color w:val="7F7F7F"/>
          <w:szCs w:val="20"/>
        </w:rPr>
        <w:t>supply</w:t>
      </w:r>
      <w:proofErr w:type="gramEnd"/>
      <w:r>
        <w:rPr>
          <w:rFonts w:ascii="Calibri" w:eastAsia="Calibri" w:hAnsi="Calibri" w:cs="Calibri"/>
          <w:bCs/>
          <w:color w:val="7F7F7F"/>
          <w:szCs w:val="20"/>
        </w:rPr>
        <w:t xml:space="preserve"> and manufacture of engineered stone as continuing work with these products is considered an unacceptable safety risk for workers.</w:t>
      </w:r>
    </w:p>
    <w:p w14:paraId="7147E3F3"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new offences provide a deterrent to poor work safety practices and encourage PCBUs [Persons conducting a business or undertaking] to dedicate resources and attention to workplace safety.</w:t>
      </w:r>
    </w:p>
    <w:p w14:paraId="6E00CD79"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lastRenderedPageBreak/>
        <w:t>Rights Limited – rights in criminal proceedings – strict liability and the presumption of innocence</w:t>
      </w:r>
    </w:p>
    <w:p w14:paraId="2FD77FE3" w14:textId="77777777" w:rsidR="00126BE8" w:rsidRDefault="00126BE8" w:rsidP="00C807E0">
      <w:pPr>
        <w:pStyle w:val="Quote"/>
        <w:keepNext/>
        <w:keepLines/>
        <w:spacing w:before="120" w:after="120"/>
        <w:rPr>
          <w:rFonts w:ascii="Calibri" w:eastAsia="Calibri" w:hAnsi="Calibri" w:cs="Calibri"/>
          <w:bCs/>
          <w:i/>
          <w:iCs/>
          <w:color w:val="7F7F7F"/>
          <w:szCs w:val="20"/>
        </w:rPr>
      </w:pPr>
      <w:r>
        <w:rPr>
          <w:rFonts w:ascii="Calibri" w:eastAsia="Calibri" w:hAnsi="Calibri" w:cs="Calibri"/>
          <w:bCs/>
          <w:i/>
          <w:iCs/>
          <w:color w:val="7F7F7F"/>
          <w:szCs w:val="20"/>
        </w:rPr>
        <w:t>Nature of the right and the limitation (s28(a) and (c))</w:t>
      </w:r>
    </w:p>
    <w:p w14:paraId="7951F4B6" w14:textId="77777777" w:rsidR="00126BE8" w:rsidRDefault="00126BE8" w:rsidP="00C807E0">
      <w:pPr>
        <w:pStyle w:val="Quote"/>
        <w:keepNext/>
        <w:keepLines/>
        <w:spacing w:before="120" w:after="120"/>
        <w:rPr>
          <w:rFonts w:ascii="Calibri" w:eastAsia="Calibri" w:hAnsi="Calibri" w:cs="Calibri"/>
          <w:bCs/>
          <w:color w:val="7F7F7F"/>
          <w:szCs w:val="20"/>
        </w:rPr>
      </w:pPr>
      <w:r>
        <w:rPr>
          <w:rFonts w:ascii="Calibri" w:eastAsia="Calibri" w:hAnsi="Calibri" w:cs="Calibri"/>
          <w:bCs/>
          <w:color w:val="7F7F7F"/>
          <w:szCs w:val="20"/>
        </w:rPr>
        <w:t xml:space="preserve">Everyone charged with a criminal offence has the right to be presumed innocent until proven guilty according to law. Although through the amendment regulation the ACT Government is taking positive steps to protect the health and safety or workers and prevent workplace injuries, the Amendment Regulation potentially engages and limits the right to the presumption of innocence through the application of strict liability provisions as per section 12A of the </w:t>
      </w:r>
      <w:r>
        <w:rPr>
          <w:rFonts w:ascii="Calibri" w:eastAsia="Calibri" w:hAnsi="Calibri" w:cs="Calibri"/>
          <w:bCs/>
          <w:i/>
          <w:iCs/>
          <w:color w:val="7F7F7F"/>
          <w:szCs w:val="20"/>
        </w:rPr>
        <w:t>Work Health and Safety Act 2011</w:t>
      </w:r>
      <w:r>
        <w:rPr>
          <w:rFonts w:ascii="Calibri" w:eastAsia="Calibri" w:hAnsi="Calibri" w:cs="Calibri"/>
          <w:bCs/>
          <w:color w:val="7F7F7F"/>
          <w:szCs w:val="20"/>
        </w:rPr>
        <w:t xml:space="preserve"> (WHS Act) which apply to elements of the offence provisions in Chapter 7A Crystalline silica of the WHS Regulation at clauses 31, 32 of the regulation, specifically sections 418F, 418I and 418J.</w:t>
      </w:r>
    </w:p>
    <w:p w14:paraId="5825F4BC"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Strict liability provisions generally engage and limit the right to be presumed innocent as they remove the need for prosecution to prove an accused person’s fault (i.e. the mental element of intent or recklessness) in relation to an offence generally or for </w:t>
      </w:r>
      <w:proofErr w:type="gramStart"/>
      <w:r>
        <w:rPr>
          <w:rFonts w:ascii="Calibri" w:eastAsia="Calibri" w:hAnsi="Calibri" w:cs="Calibri"/>
          <w:bCs/>
          <w:color w:val="7F7F7F"/>
          <w:szCs w:val="20"/>
        </w:rPr>
        <w:t>particular elements</w:t>
      </w:r>
      <w:proofErr w:type="gramEnd"/>
      <w:r>
        <w:rPr>
          <w:rFonts w:ascii="Calibri" w:eastAsia="Calibri" w:hAnsi="Calibri" w:cs="Calibri"/>
          <w:bCs/>
          <w:color w:val="7F7F7F"/>
          <w:szCs w:val="20"/>
        </w:rPr>
        <w:t xml:space="preserve"> of an offence. As a result, this reverses the onus in criminal proceedings and requires an accused to prove a defence for those elements to which strict liability applies, such as a mistake of fact under the </w:t>
      </w:r>
      <w:r>
        <w:rPr>
          <w:rFonts w:ascii="Calibri" w:eastAsia="Calibri" w:hAnsi="Calibri" w:cs="Calibri"/>
          <w:bCs/>
          <w:i/>
          <w:iCs/>
          <w:color w:val="7F7F7F"/>
          <w:szCs w:val="20"/>
        </w:rPr>
        <w:t>Criminal Code 2002</w:t>
      </w:r>
      <w:r>
        <w:rPr>
          <w:rFonts w:ascii="Calibri" w:eastAsia="Calibri" w:hAnsi="Calibri" w:cs="Calibri"/>
          <w:bCs/>
          <w:color w:val="7F7F7F"/>
          <w:szCs w:val="20"/>
        </w:rPr>
        <w:t>.</w:t>
      </w:r>
    </w:p>
    <w:p w14:paraId="432AABA2" w14:textId="77777777" w:rsidR="00126BE8" w:rsidRDefault="00126BE8" w:rsidP="00C807E0">
      <w:pPr>
        <w:pStyle w:val="Quote"/>
        <w:spacing w:before="120" w:after="120"/>
        <w:rPr>
          <w:rFonts w:ascii="Calibri" w:eastAsia="Calibri" w:hAnsi="Calibri" w:cs="Calibri"/>
          <w:bCs/>
          <w:i/>
          <w:iCs/>
          <w:color w:val="7F7F7F"/>
          <w:szCs w:val="20"/>
        </w:rPr>
      </w:pPr>
      <w:r>
        <w:rPr>
          <w:rFonts w:ascii="Calibri" w:eastAsia="Calibri" w:hAnsi="Calibri" w:cs="Calibri"/>
          <w:bCs/>
          <w:i/>
          <w:iCs/>
          <w:color w:val="7F7F7F"/>
          <w:szCs w:val="20"/>
        </w:rPr>
        <w:t>Legitimate purpose (s28(b))</w:t>
      </w:r>
    </w:p>
    <w:p w14:paraId="57074FCD"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legitimate purpose of the strict liability provision(s) is to support enforcement of the measures in the Amendment Regulation prohibiting engineered stone benchtops, panels and slabs which aim to protect the health and safety of workers. The penalty that may be imposed on commission of the offence will act as a deterrent against PCBUs providing unsafe workplaces and work cultures. The WHS Act imposes health and safety duties on all PCBUs in the Territory, as well as duties to their officers and workers. All PCBUs are required to be aware of their health and safety duties under the WHS Act and it is reasonable for the law to assume this is the case in the context of a workplace exposure to respirable crystalline silica.</w:t>
      </w:r>
    </w:p>
    <w:p w14:paraId="4E8D3F2B" w14:textId="77777777" w:rsidR="00126BE8" w:rsidRDefault="00126BE8" w:rsidP="00C807E0">
      <w:pPr>
        <w:pStyle w:val="Quote"/>
        <w:spacing w:before="120" w:after="120"/>
        <w:rPr>
          <w:rFonts w:ascii="Calibri" w:eastAsia="Calibri" w:hAnsi="Calibri" w:cs="Calibri"/>
          <w:bCs/>
          <w:i/>
          <w:iCs/>
          <w:color w:val="7F7F7F"/>
          <w:szCs w:val="20"/>
        </w:rPr>
      </w:pPr>
      <w:r>
        <w:rPr>
          <w:rFonts w:ascii="Calibri" w:eastAsia="Calibri" w:hAnsi="Calibri" w:cs="Calibri"/>
          <w:bCs/>
          <w:i/>
          <w:iCs/>
          <w:color w:val="7F7F7F"/>
          <w:szCs w:val="20"/>
        </w:rPr>
        <w:t>Rational connection between the limitation and the purpose (s28(d))</w:t>
      </w:r>
    </w:p>
    <w:p w14:paraId="1BBD2A57" w14:textId="77777777" w:rsidR="00126BE8" w:rsidRDefault="00126BE8" w:rsidP="00C807E0">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offence elements applying strict liability have been considered during the development of the Amendment Regulation. The strict liability offences arise in a regulatory context where, for reasons such as public safety, the public interest in ensuring that regulatory schemes are observed, requires the sanction of criminal penalties. The rationale for its use in the Amendment Regulation is that people who owe work safety duties such as PCBUs, persons in control of aspects of work and designers and manufacturers of work structures and products, as opposed to members of the </w:t>
      </w:r>
      <w:proofErr w:type="gramStart"/>
      <w:r>
        <w:rPr>
          <w:rFonts w:ascii="Calibri" w:eastAsia="Calibri" w:hAnsi="Calibri" w:cs="Calibri"/>
          <w:bCs/>
          <w:color w:val="7F7F7F"/>
          <w:szCs w:val="20"/>
        </w:rPr>
        <w:t>general public</w:t>
      </w:r>
      <w:proofErr w:type="gramEnd"/>
      <w:r>
        <w:rPr>
          <w:rFonts w:ascii="Calibri" w:eastAsia="Calibri" w:hAnsi="Calibri" w:cs="Calibri"/>
          <w:bCs/>
          <w:color w:val="7F7F7F"/>
          <w:szCs w:val="20"/>
        </w:rPr>
        <w:t xml:space="preserve">, can be expected to be aware of their duties and obligations to workers and the wider public. </w:t>
      </w:r>
      <w:proofErr w:type="gramStart"/>
      <w:r>
        <w:rPr>
          <w:rFonts w:ascii="Calibri" w:eastAsia="Calibri" w:hAnsi="Calibri" w:cs="Calibri"/>
          <w:bCs/>
          <w:color w:val="7F7F7F"/>
          <w:szCs w:val="20"/>
        </w:rPr>
        <w:t>In particular, where</w:t>
      </w:r>
      <w:proofErr w:type="gramEnd"/>
      <w:r>
        <w:rPr>
          <w:rFonts w:ascii="Calibri" w:eastAsia="Calibri" w:hAnsi="Calibri" w:cs="Calibri"/>
          <w:bCs/>
          <w:color w:val="7F7F7F"/>
          <w:szCs w:val="20"/>
        </w:rPr>
        <w:t xml:space="preserve"> an accused can reasonably be expected, because of their professional involvement, to know the requirements of the law, the mental (or fault) element can justifiably be excluded. Accordingly, strict liability offences are applied so that every relevant person </w:t>
      </w:r>
      <w:proofErr w:type="gramStart"/>
      <w:r>
        <w:rPr>
          <w:rFonts w:ascii="Calibri" w:eastAsia="Calibri" w:hAnsi="Calibri" w:cs="Calibri"/>
          <w:bCs/>
          <w:color w:val="7F7F7F"/>
          <w:szCs w:val="20"/>
        </w:rPr>
        <w:t>complies with their obligations at all times</w:t>
      </w:r>
      <w:proofErr w:type="gramEnd"/>
      <w:r>
        <w:rPr>
          <w:rFonts w:ascii="Calibri" w:eastAsia="Calibri" w:hAnsi="Calibri" w:cs="Calibri"/>
          <w:bCs/>
          <w:color w:val="7F7F7F"/>
          <w:szCs w:val="20"/>
        </w:rPr>
        <w:t xml:space="preserve"> and acts appropriately to secure the health and safety of workers and others at the workplace.</w:t>
      </w:r>
    </w:p>
    <w:p w14:paraId="430E1DA7" w14:textId="77777777" w:rsidR="00126BE8" w:rsidRDefault="00126BE8" w:rsidP="001E61EC">
      <w:pPr>
        <w:pStyle w:val="Quote"/>
        <w:keepNext/>
        <w:spacing w:before="120" w:after="120"/>
        <w:rPr>
          <w:rFonts w:ascii="Calibri" w:eastAsia="Calibri" w:hAnsi="Calibri" w:cs="Calibri"/>
          <w:bCs/>
          <w:i/>
          <w:iCs/>
          <w:color w:val="7F7F7F"/>
          <w:szCs w:val="20"/>
        </w:rPr>
      </w:pPr>
      <w:r>
        <w:rPr>
          <w:rFonts w:ascii="Calibri" w:eastAsia="Calibri" w:hAnsi="Calibri" w:cs="Calibri"/>
          <w:bCs/>
          <w:i/>
          <w:iCs/>
          <w:color w:val="7F7F7F"/>
          <w:szCs w:val="20"/>
        </w:rPr>
        <w:lastRenderedPageBreak/>
        <w:t>Proportionality (s28 (e))</w:t>
      </w:r>
    </w:p>
    <w:p w14:paraId="0F94658A"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Given the serious health implications exposure to silica dust generated from crystalline silica materials may have on workers, and in particular engineered stone materials, the application of strict liability is necessary and proportionate to ensure a culture of safe work practices. It is not considered that there are any less restrictive means reasonably available to achieve the purpose of addressing the risks that arise from cutting engineered stone, and encouraging proactive work health and safety compliance is far more difficult to achieve without the use of strict liability offences. Strict liability clearly identifies the essential elements forming part of the regulatory framework that encourage PCBUs to maintain a workplace that is free from harm or injury.</w:t>
      </w:r>
    </w:p>
    <w:p w14:paraId="4B0818C1"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application of strict liability is reasonable to protect the health and safety of workers. Strict liability is only applied to </w:t>
      </w:r>
      <w:proofErr w:type="gramStart"/>
      <w:r>
        <w:rPr>
          <w:rFonts w:ascii="Calibri" w:eastAsia="Calibri" w:hAnsi="Calibri" w:cs="Calibri"/>
          <w:bCs/>
          <w:color w:val="7F7F7F"/>
          <w:szCs w:val="20"/>
        </w:rPr>
        <w:t>particular elements</w:t>
      </w:r>
      <w:proofErr w:type="gramEnd"/>
      <w:r>
        <w:rPr>
          <w:rFonts w:ascii="Calibri" w:eastAsia="Calibri" w:hAnsi="Calibri" w:cs="Calibri"/>
          <w:bCs/>
          <w:color w:val="7F7F7F"/>
          <w:szCs w:val="20"/>
        </w:rPr>
        <w:t xml:space="preserve"> of the engineered stone prohibition offence under clause 31 of the Amendment Regulation. It ensures those who hold responsibility for a health or safety duty uphold that responsibility and cannot escape liability by claiming ignorance of the duty or ignorance of the effect of their conduct. The defence of mistake of fact as provided by the </w:t>
      </w:r>
      <w:r>
        <w:rPr>
          <w:rFonts w:ascii="Calibri" w:eastAsia="Calibri" w:hAnsi="Calibri" w:cs="Calibri"/>
          <w:bCs/>
          <w:i/>
          <w:iCs/>
          <w:color w:val="7F7F7F"/>
          <w:szCs w:val="20"/>
        </w:rPr>
        <w:t xml:space="preserve">Criminal Code 2002 </w:t>
      </w:r>
      <w:r>
        <w:rPr>
          <w:rFonts w:ascii="Calibri" w:eastAsia="Calibri" w:hAnsi="Calibri" w:cs="Calibri"/>
          <w:bCs/>
          <w:color w:val="7F7F7F"/>
          <w:szCs w:val="20"/>
        </w:rPr>
        <w:t>remains available to any accused for any strict liability provisions. The requirement to which the offences apply are not burdensome or out of alignment with the WHS framework; they relate to ensuring the safety of workers as well as the broader ACT community.</w:t>
      </w:r>
    </w:p>
    <w:p w14:paraId="10AA71BE"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application of strict liability and the penalties imposed are in line with those applied to asbestos duties under the WHS Regulation. The penalty amount applied is also consistent with penalties applied for breach of duty relating to asbestos under Chapter 8 of the WHS regulation. The strict liability offence applied in the silica chapter of the regulation acts as an incentive for duty holders and officers to observe their duties under the regulation.</w:t>
      </w:r>
    </w:p>
    <w:p w14:paraId="75DA4064"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amendment regulation places the least restrictive limitation on the right to presumption of innocence, as it does not apply strict liability to information that is known by an accused, and that may be revealed to prove or disprove the defence.</w:t>
      </w:r>
    </w:p>
    <w:p w14:paraId="50E52946"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The Committee draws the attention of the Legislative Assembly to the discussion of human rights issues in the explanatory statement for this instrument.</w:t>
      </w:r>
    </w:p>
    <w:p w14:paraId="026D4078"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344EED7F" w14:textId="77777777" w:rsidR="00126BE8" w:rsidRDefault="00126BE8" w:rsidP="00297A82">
      <w:pPr>
        <w:keepNext/>
        <w:keepLines/>
        <w:spacing w:before="240" w:after="200"/>
        <w:outlineLvl w:val="2"/>
        <w:rPr>
          <w:rFonts w:ascii="Montserrat" w:eastAsia="Times New Roman" w:hAnsi="Montserrat" w:cs="Times New Roman"/>
          <w:b/>
          <w:color w:val="7492CD"/>
          <w:w w:val="90"/>
          <w:kern w:val="2"/>
          <w:sz w:val="28"/>
          <w:szCs w:val="24"/>
        </w:rPr>
      </w:pPr>
      <w:bookmarkStart w:id="225" w:name="_Hlk175487693"/>
      <w:bookmarkStart w:id="226" w:name="_Toc175930225"/>
      <w:bookmarkStart w:id="227" w:name="_Toc176162882"/>
      <w:bookmarkStart w:id="228" w:name="_Toc176175568"/>
      <w:r>
        <w:rPr>
          <w:rFonts w:ascii="Montserrat" w:eastAsia="Times New Roman" w:hAnsi="Montserrat" w:cs="Times New Roman"/>
          <w:b/>
          <w:color w:val="7492CD"/>
          <w:w w:val="90"/>
          <w:kern w:val="2"/>
          <w:sz w:val="28"/>
          <w:szCs w:val="24"/>
        </w:rPr>
        <w:t>No Human Rights Issues</w:t>
      </w:r>
      <w:bookmarkEnd w:id="225"/>
      <w:bookmarkEnd w:id="226"/>
      <w:bookmarkEnd w:id="227"/>
      <w:bookmarkEnd w:id="228"/>
    </w:p>
    <w:p w14:paraId="52F9F9EE"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SL2024-9 being the Court Procedures Amendment Rules 2024 (No 1) made under section 7 of the </w:t>
      </w:r>
      <w:r>
        <w:rPr>
          <w:i/>
        </w:rPr>
        <w:t>Court Procedures Act 2004</w:t>
      </w:r>
      <w:r>
        <w:rPr>
          <w:b/>
        </w:rPr>
        <w:t xml:space="preserve"> makes amendments to the as made by the rule making committee under section 7 of the Act and set out in the Court Procedures Amendment Rules 2024 (No 1).</w:t>
      </w:r>
    </w:p>
    <w:p w14:paraId="5AF5F34E" w14:textId="77777777" w:rsidR="00126BE8" w:rsidRDefault="00126BE8" w:rsidP="00126BE8">
      <w:pPr>
        <w:spacing w:before="80" w:after="120"/>
        <w:rPr>
          <w:rFonts w:ascii="Calibri" w:eastAsia="Calibri" w:hAnsi="Calibri" w:cs="Calibri"/>
          <w:b/>
          <w:color w:val="000000"/>
          <w:szCs w:val="20"/>
        </w:rPr>
      </w:pPr>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p>
    <w:p w14:paraId="2883DAFE"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 xml:space="preserve">This subordinate law amends the </w:t>
      </w:r>
      <w:r>
        <w:rPr>
          <w:rFonts w:ascii="Calibri" w:eastAsia="Calibri" w:hAnsi="Calibri" w:cs="Calibri"/>
          <w:i/>
          <w:iCs/>
          <w:color w:val="000000"/>
        </w:rPr>
        <w:t>Court Procedures Rules 2006</w:t>
      </w:r>
      <w:r>
        <w:rPr>
          <w:rFonts w:ascii="Calibri" w:eastAsia="Calibri" w:hAnsi="Calibri" w:cs="Calibri"/>
          <w:color w:val="000000"/>
        </w:rPr>
        <w:t>.  According to the explanatory statement, the amendments include:</w:t>
      </w:r>
    </w:p>
    <w:p w14:paraId="65750C13" w14:textId="77777777" w:rsidR="00126BE8" w:rsidRDefault="00126BE8" w:rsidP="00EE5867">
      <w:pPr>
        <w:pStyle w:val="Quote"/>
        <w:numPr>
          <w:ilvl w:val="1"/>
          <w:numId w:val="12"/>
        </w:numPr>
        <w:spacing w:before="120" w:after="120"/>
        <w:ind w:left="1434" w:hanging="357"/>
        <w:rPr>
          <w:rFonts w:ascii="Calibri" w:eastAsia="Calibri" w:hAnsi="Calibri" w:cs="Calibri"/>
          <w:bCs/>
          <w:color w:val="7F7F7F"/>
          <w:szCs w:val="20"/>
        </w:rPr>
      </w:pPr>
      <w:r>
        <w:rPr>
          <w:rFonts w:ascii="Calibri" w:eastAsia="Calibri" w:hAnsi="Calibri" w:cs="Calibri"/>
          <w:bCs/>
          <w:color w:val="7F7F7F"/>
          <w:szCs w:val="20"/>
        </w:rPr>
        <w:t xml:space="preserve">Solicitors notifying the Court when they act, or cease to act, for accused persons in criminal proceedings. </w:t>
      </w:r>
    </w:p>
    <w:p w14:paraId="565D31E2" w14:textId="047D173F" w:rsidR="00126BE8" w:rsidRPr="00793041" w:rsidRDefault="00126BE8" w:rsidP="00EE5867">
      <w:pPr>
        <w:pStyle w:val="Quote"/>
        <w:numPr>
          <w:ilvl w:val="1"/>
          <w:numId w:val="12"/>
        </w:numPr>
        <w:spacing w:before="120" w:after="120"/>
        <w:ind w:left="1434" w:hanging="357"/>
        <w:rPr>
          <w:rFonts w:ascii="Calibri" w:eastAsia="Calibri" w:hAnsi="Calibri" w:cs="Calibri"/>
          <w:bCs/>
          <w:color w:val="7F7F7F"/>
          <w:spacing w:val="-6"/>
          <w:szCs w:val="20"/>
        </w:rPr>
      </w:pPr>
      <w:r w:rsidRPr="00793041">
        <w:rPr>
          <w:rFonts w:ascii="Calibri" w:eastAsia="Calibri" w:hAnsi="Calibri" w:cs="Calibri"/>
          <w:bCs/>
          <w:color w:val="7F7F7F"/>
          <w:spacing w:val="-6"/>
          <w:szCs w:val="20"/>
        </w:rPr>
        <w:lastRenderedPageBreak/>
        <w:t>The Amendment Rules apply the current process in the Supreme Court, whereby a</w:t>
      </w:r>
      <w:r w:rsidR="001E61EC">
        <w:rPr>
          <w:rFonts w:ascii="Calibri" w:eastAsia="Calibri" w:hAnsi="Calibri" w:cs="Calibri"/>
          <w:bCs/>
          <w:color w:val="7F7F7F"/>
          <w:spacing w:val="-6"/>
          <w:szCs w:val="20"/>
        </w:rPr>
        <w:t> </w:t>
      </w:r>
      <w:r w:rsidRPr="00793041">
        <w:rPr>
          <w:rFonts w:ascii="Calibri" w:eastAsia="Calibri" w:hAnsi="Calibri" w:cs="Calibri"/>
          <w:bCs/>
          <w:color w:val="7F7F7F"/>
          <w:spacing w:val="-6"/>
          <w:szCs w:val="20"/>
        </w:rPr>
        <w:t xml:space="preserve">solicitor acting for an accused person must provide notification to the Court that they are </w:t>
      </w:r>
      <w:r w:rsidRPr="001E61EC">
        <w:rPr>
          <w:rFonts w:ascii="Calibri" w:eastAsia="Calibri" w:hAnsi="Calibri" w:cs="Calibri"/>
          <w:bCs/>
          <w:color w:val="7F7F7F"/>
          <w:szCs w:val="20"/>
        </w:rPr>
        <w:t>instructed</w:t>
      </w:r>
      <w:r w:rsidRPr="00793041">
        <w:rPr>
          <w:rFonts w:ascii="Calibri" w:eastAsia="Calibri" w:hAnsi="Calibri" w:cs="Calibri"/>
          <w:bCs/>
          <w:color w:val="7F7F7F"/>
          <w:spacing w:val="-6"/>
          <w:szCs w:val="20"/>
        </w:rPr>
        <w:t xml:space="preserve"> to act, to the Magistrates Court. This change is implemented by the introduction of a new Division 4.1.1A, the omission of Division 4.3.2 and amendment to rule 4802. The new practice and procedure </w:t>
      </w:r>
      <w:proofErr w:type="gramStart"/>
      <w:r w:rsidRPr="00793041">
        <w:rPr>
          <w:rFonts w:ascii="Calibri" w:eastAsia="Calibri" w:hAnsi="Calibri" w:cs="Calibri"/>
          <w:bCs/>
          <w:color w:val="7F7F7F"/>
          <w:spacing w:val="-6"/>
          <w:szCs w:val="20"/>
        </w:rPr>
        <w:t>commences</w:t>
      </w:r>
      <w:proofErr w:type="gramEnd"/>
      <w:r w:rsidRPr="00793041">
        <w:rPr>
          <w:rFonts w:ascii="Calibri" w:eastAsia="Calibri" w:hAnsi="Calibri" w:cs="Calibri"/>
          <w:bCs/>
          <w:color w:val="7F7F7F"/>
          <w:spacing w:val="-6"/>
          <w:szCs w:val="20"/>
        </w:rPr>
        <w:t xml:space="preserve"> on 1 July 2024.</w:t>
      </w:r>
    </w:p>
    <w:p w14:paraId="504F840A" w14:textId="77777777" w:rsidR="00126BE8" w:rsidRDefault="00126BE8" w:rsidP="00EE5867">
      <w:pPr>
        <w:pStyle w:val="Quote"/>
        <w:numPr>
          <w:ilvl w:val="1"/>
          <w:numId w:val="12"/>
        </w:numPr>
        <w:spacing w:before="120" w:after="120"/>
        <w:ind w:left="1434" w:hanging="357"/>
        <w:rPr>
          <w:rFonts w:ascii="Calibri" w:eastAsia="Calibri" w:hAnsi="Calibri" w:cs="Calibri"/>
          <w:bCs/>
          <w:color w:val="7F7F7F"/>
          <w:szCs w:val="20"/>
        </w:rPr>
      </w:pPr>
      <w:r>
        <w:rPr>
          <w:rFonts w:ascii="Calibri" w:eastAsia="Calibri" w:hAnsi="Calibri" w:cs="Calibri"/>
          <w:bCs/>
          <w:color w:val="7F7F7F"/>
          <w:szCs w:val="20"/>
        </w:rPr>
        <w:t xml:space="preserve">The filing and entry of orders in civil proceedings. </w:t>
      </w:r>
    </w:p>
    <w:p w14:paraId="158964C7" w14:textId="77777777" w:rsidR="00126BE8" w:rsidRDefault="00126BE8" w:rsidP="00EE5867">
      <w:pPr>
        <w:pStyle w:val="Quote"/>
        <w:numPr>
          <w:ilvl w:val="1"/>
          <w:numId w:val="12"/>
        </w:numPr>
        <w:spacing w:before="120" w:after="120"/>
        <w:ind w:left="1434" w:hanging="357"/>
        <w:rPr>
          <w:rFonts w:ascii="Calibri" w:eastAsia="Calibri" w:hAnsi="Calibri" w:cs="Calibri"/>
          <w:bCs/>
          <w:color w:val="7F7F7F"/>
          <w:szCs w:val="20"/>
        </w:rPr>
      </w:pPr>
      <w:r>
        <w:rPr>
          <w:rFonts w:ascii="Calibri" w:eastAsia="Calibri" w:hAnsi="Calibri" w:cs="Calibri"/>
          <w:bCs/>
          <w:color w:val="7F7F7F"/>
          <w:szCs w:val="20"/>
        </w:rPr>
        <w:t xml:space="preserve">The Amendment Rules abolish the practice of parties needing to file orders in the Court after they are made, and provide that orders become final orders 14 days after entry into the Court’s case management system subject to the Court or the parties taking steps to set them aside within that timeframe. This change is implemented by amendments to rules 1605A, 1606, 1611 and 1613. The new practice and procedure </w:t>
      </w:r>
      <w:proofErr w:type="gramStart"/>
      <w:r>
        <w:rPr>
          <w:rFonts w:ascii="Calibri" w:eastAsia="Calibri" w:hAnsi="Calibri" w:cs="Calibri"/>
          <w:bCs/>
          <w:color w:val="7F7F7F"/>
          <w:szCs w:val="20"/>
        </w:rPr>
        <w:t>commences</w:t>
      </w:r>
      <w:proofErr w:type="gramEnd"/>
      <w:r>
        <w:rPr>
          <w:rFonts w:ascii="Calibri" w:eastAsia="Calibri" w:hAnsi="Calibri" w:cs="Calibri"/>
          <w:bCs/>
          <w:color w:val="7F7F7F"/>
          <w:szCs w:val="20"/>
        </w:rPr>
        <w:t xml:space="preserve"> on 1 October 2024.</w:t>
      </w:r>
    </w:p>
    <w:p w14:paraId="52EBE468"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The Committee note that the explanatory statement states:</w:t>
      </w:r>
    </w:p>
    <w:p w14:paraId="3EA659E0"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Amendment Rules are procedural and administrative in nature.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establishes a right to a fair trial (s 21) and rights in criminal proceedings (s 22). Neither of these rights, nor any other human right established by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is </w:t>
      </w:r>
      <w:proofErr w:type="gramStart"/>
      <w:r>
        <w:rPr>
          <w:rFonts w:ascii="Calibri" w:eastAsia="Calibri" w:hAnsi="Calibri" w:cs="Calibri"/>
          <w:bCs/>
          <w:color w:val="7F7F7F"/>
          <w:szCs w:val="20"/>
        </w:rPr>
        <w:t>engaged</w:t>
      </w:r>
      <w:proofErr w:type="gramEnd"/>
      <w:r>
        <w:rPr>
          <w:rFonts w:ascii="Calibri" w:eastAsia="Calibri" w:hAnsi="Calibri" w:cs="Calibri"/>
          <w:bCs/>
          <w:color w:val="7F7F7F"/>
          <w:szCs w:val="20"/>
        </w:rPr>
        <w:t xml:space="preserve"> or impacted by the Amendment Rules. </w:t>
      </w:r>
    </w:p>
    <w:p w14:paraId="0ED2B607" w14:textId="65472CB4"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The Committee draws the attention of the Legislative Assembly to the discussion of human rights issues in the explanatory statement for this subordinate law</w:t>
      </w:r>
      <w:r w:rsidR="00E2109B">
        <w:rPr>
          <w:rFonts w:ascii="Calibri" w:eastAsia="Calibri" w:hAnsi="Calibri" w:cs="Calibri"/>
          <w:b/>
          <w:color w:val="000000"/>
        </w:rPr>
        <w:t>.</w:t>
      </w:r>
    </w:p>
    <w:p w14:paraId="449DE13E"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77D6D1ED" w14:textId="77777777" w:rsidR="00126BE8" w:rsidRDefault="00126BE8" w:rsidP="00126BE8">
      <w:pPr>
        <w:keepNext/>
        <w:keepLines/>
        <w:spacing w:before="120" w:after="0"/>
        <w:outlineLvl w:val="3"/>
        <w:rPr>
          <w:rFonts w:ascii="Montserrat" w:eastAsia="Times New Roman" w:hAnsi="Montserrat" w:cs="Times New Roman"/>
          <w:b/>
          <w:color w:val="7492CD"/>
          <w:w w:val="90"/>
          <w:kern w:val="2"/>
          <w:sz w:val="28"/>
          <w:szCs w:val="24"/>
        </w:rPr>
      </w:pPr>
      <w:bookmarkStart w:id="229" w:name="_Toc175930226"/>
      <w:bookmarkStart w:id="230" w:name="_Toc176162883"/>
      <w:bookmarkStart w:id="231" w:name="_Toc176175569"/>
      <w:bookmarkStart w:id="232" w:name="_Hlk175487652"/>
      <w:r>
        <w:rPr>
          <w:rFonts w:ascii="Montserrat" w:eastAsia="Times New Roman" w:hAnsi="Montserrat" w:cs="Times New Roman"/>
          <w:b/>
          <w:color w:val="7492CD"/>
          <w:w w:val="90"/>
          <w:kern w:val="2"/>
          <w:sz w:val="28"/>
          <w:szCs w:val="24"/>
        </w:rPr>
        <w:t>Human Rights Issues</w:t>
      </w:r>
      <w:bookmarkEnd w:id="229"/>
      <w:bookmarkEnd w:id="230"/>
      <w:bookmarkEnd w:id="231"/>
    </w:p>
    <w:p w14:paraId="0740591A"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SL2024-10 being the Road Transport (Offences) Amendment Regulation 2024 (No 1) made under sections 23 and 233 of the </w:t>
      </w:r>
      <w:r>
        <w:rPr>
          <w:i/>
        </w:rPr>
        <w:t>Road Transport (General) Act 1999</w:t>
      </w:r>
      <w:r>
        <w:rPr>
          <w:b/>
        </w:rPr>
        <w:t xml:space="preserve"> amends the </w:t>
      </w:r>
      <w:r>
        <w:rPr>
          <w:b/>
          <w:i/>
          <w:iCs/>
        </w:rPr>
        <w:t>Road Transport (Offences Regulation 2005</w:t>
      </w:r>
      <w:r>
        <w:rPr>
          <w:b/>
        </w:rPr>
        <w:t xml:space="preserve"> to increase infringement notice penalty amounts for most offences, and to correct errors in the existing regulation. </w:t>
      </w:r>
    </w:p>
    <w:p w14:paraId="4AA6F26B" w14:textId="77777777" w:rsidR="00126BE8" w:rsidRDefault="00126BE8" w:rsidP="00126BE8">
      <w:pPr>
        <w:keepNext/>
        <w:keepLines/>
        <w:spacing w:before="120" w:after="0"/>
        <w:outlineLvl w:val="3"/>
        <w:rPr>
          <w:rFonts w:ascii="Montserrat SemiBold" w:eastAsia="Calibri" w:hAnsi="Montserrat SemiBold" w:cs="Times New Roman"/>
          <w:i/>
          <w:iCs/>
          <w:color w:val="2F5496"/>
          <w:w w:val="90"/>
          <w:kern w:val="2"/>
          <w:sz w:val="24"/>
          <w:szCs w:val="24"/>
          <w:lang w:eastAsia="en-AU"/>
        </w:rPr>
      </w:pPr>
      <w:bookmarkStart w:id="233" w:name="_Toc175930227"/>
      <w:bookmarkStart w:id="234" w:name="_Toc176162884"/>
      <w:bookmarkStart w:id="235" w:name="_Toc176175570"/>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bookmarkEnd w:id="233"/>
      <w:bookmarkEnd w:id="234"/>
      <w:bookmarkEnd w:id="235"/>
    </w:p>
    <w:p w14:paraId="01AEC0A7" w14:textId="77777777" w:rsidR="00126BE8" w:rsidRDefault="00126BE8" w:rsidP="00EE5867">
      <w:pPr>
        <w:pStyle w:val="ListNumber2"/>
        <w:numPr>
          <w:ilvl w:val="1"/>
          <w:numId w:val="6"/>
        </w:numPr>
        <w:ind w:hanging="720"/>
        <w:rPr>
          <w:rFonts w:eastAsia="Times New Roman"/>
          <w:bCs w:val="0"/>
        </w:rPr>
      </w:pPr>
      <w:r>
        <w:t xml:space="preserve">This subordinate law amends the </w:t>
      </w:r>
      <w:r>
        <w:rPr>
          <w:i/>
          <w:iCs/>
        </w:rPr>
        <w:t>Road Transport (Offences) Regulation 2005</w:t>
      </w:r>
      <w:r>
        <w:t>, to increase infringement notice penalty amounts for most offences under the road transport legislation and to correct errors in the existing regulation.</w:t>
      </w:r>
    </w:p>
    <w:p w14:paraId="2821689D" w14:textId="77777777" w:rsidR="00126BE8" w:rsidRDefault="00126BE8" w:rsidP="00EE5867">
      <w:pPr>
        <w:pStyle w:val="ListNumber2"/>
        <w:numPr>
          <w:ilvl w:val="1"/>
          <w:numId w:val="6"/>
        </w:numPr>
        <w:ind w:hanging="720"/>
        <w:rPr>
          <w:bCs w:val="0"/>
        </w:rPr>
      </w:pPr>
      <w:r>
        <w:t>In relation to the increased penalty amounts, the explanatory statement states:</w:t>
      </w:r>
    </w:p>
    <w:p w14:paraId="24B70D61" w14:textId="77777777" w:rsidR="00126BE8" w:rsidRPr="001E61EC" w:rsidRDefault="00126BE8" w:rsidP="001E61EC">
      <w:pPr>
        <w:pStyle w:val="Quote"/>
        <w:spacing w:before="120" w:after="120"/>
        <w:rPr>
          <w:rFonts w:ascii="Calibri" w:eastAsia="Calibri" w:hAnsi="Calibri" w:cs="Calibri"/>
          <w:bCs/>
          <w:color w:val="7F7F7F"/>
          <w:spacing w:val="-2"/>
          <w:szCs w:val="20"/>
        </w:rPr>
      </w:pPr>
      <w:r w:rsidRPr="00297A82">
        <w:rPr>
          <w:rFonts w:ascii="Calibri" w:eastAsia="Calibri" w:hAnsi="Calibri" w:cs="Calibri"/>
          <w:bCs/>
          <w:color w:val="7F7F7F"/>
          <w:szCs w:val="20"/>
        </w:rPr>
        <w:t>Schedu</w:t>
      </w:r>
      <w:r w:rsidRPr="001E61EC">
        <w:rPr>
          <w:rFonts w:ascii="Calibri" w:eastAsia="Calibri" w:hAnsi="Calibri" w:cs="Calibri"/>
          <w:bCs/>
          <w:color w:val="7F7F7F"/>
          <w:spacing w:val="-2"/>
          <w:szCs w:val="20"/>
        </w:rPr>
        <w:t xml:space="preserve">le 1 of the Road Transport (Offences) Regulation 2005 (the offences regulation) lists the offences contained in each Act and Regulation that form part of the road transport legislation.  If an offence may be dealt with by infringement notice, the schedule prescribes the infringement notice penalty amount that is payable.  Most road transport infringement notice penalties other than those relating to parking offences and offences against the </w:t>
      </w:r>
      <w:r w:rsidRPr="001E61EC">
        <w:rPr>
          <w:rFonts w:ascii="Calibri" w:eastAsia="Calibri" w:hAnsi="Calibri" w:cs="Calibri"/>
          <w:bCs/>
          <w:i/>
          <w:iCs/>
          <w:color w:val="7F7F7F"/>
          <w:spacing w:val="-2"/>
          <w:szCs w:val="20"/>
        </w:rPr>
        <w:t>Heavy Vehicle National Law (ACT)</w:t>
      </w:r>
      <w:r w:rsidRPr="001E61EC">
        <w:rPr>
          <w:rFonts w:ascii="Calibri" w:eastAsia="Calibri" w:hAnsi="Calibri" w:cs="Calibri"/>
          <w:bCs/>
          <w:color w:val="7F7F7F"/>
          <w:spacing w:val="-2"/>
          <w:szCs w:val="20"/>
        </w:rPr>
        <w:t xml:space="preserve"> (HVNL) include a component, not identified separately, accounting for the Victim Services Levy (VSL) applicable to the offence.  The VSL is currently set at $60.</w:t>
      </w:r>
    </w:p>
    <w:p w14:paraId="1D891184"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lastRenderedPageBreak/>
        <w:t>Most infringement notice penalties, excluding the amount of the VSL, are being increased by the estimated 2023-24 Wage Price Index (WPI) of 4.0% as stated in Budget Memo 2024-14.</w:t>
      </w:r>
    </w:p>
    <w:p w14:paraId="2E71AF2C"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reason for indexation of infringement penalty amounts is to maintain the value of those penalties in real terms </w:t>
      </w:r>
      <w:proofErr w:type="gramStart"/>
      <w:r>
        <w:rPr>
          <w:rFonts w:ascii="Calibri" w:eastAsia="Calibri" w:hAnsi="Calibri" w:cs="Calibri"/>
          <w:bCs/>
          <w:color w:val="7F7F7F"/>
          <w:szCs w:val="20"/>
        </w:rPr>
        <w:t>in order to</w:t>
      </w:r>
      <w:proofErr w:type="gramEnd"/>
      <w:r>
        <w:rPr>
          <w:rFonts w:ascii="Calibri" w:eastAsia="Calibri" w:hAnsi="Calibri" w:cs="Calibri"/>
          <w:bCs/>
          <w:color w:val="7F7F7F"/>
          <w:szCs w:val="20"/>
        </w:rPr>
        <w:t xml:space="preserve"> preserve their deterrent effect.  Any variation to that indexation is outlined below.</w:t>
      </w:r>
    </w:p>
    <w:p w14:paraId="5A5A09FE"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Government policy is that, in general, the infringement notice penalty for an offence should not exceed 20% of the maximum fine that may be imposed by a court for that offence (the 20% limit).  The 20% limit is based on the existing penalty unit amount of $160 for an offence committed by an individual.</w:t>
      </w:r>
    </w:p>
    <w:p w14:paraId="4B3E3B66"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Where an existing infringement notice penalty is not approaching the 20% limit the indexation has been undertaken by deducting $60 from the existing infringement penalty amount, indexing that amount by 4.0% and then adding $60.</w:t>
      </w:r>
    </w:p>
    <w:p w14:paraId="2D79A800"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Where an existing infringement notice penalty amount is near the 20% limit the indexation has been undertaken by deducting $60 from the existing infringement penalty amount, indexing that amount by 4.0%, applying the 20% limit and then adding the VSL amount of $60.</w:t>
      </w:r>
    </w:p>
    <w:p w14:paraId="2F2EC9B7"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Where the existing infringement notice penalty, minus the VSL amount, for an offence is already at or above the 20% limit, the infringement notice penalty has not been increased.</w:t>
      </w:r>
    </w:p>
    <w:p w14:paraId="30FD306C"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For offences to which the VSL does not apply the infringement penalty amounts are indexed as above except for the VSL amounts.</w:t>
      </w:r>
    </w:p>
    <w:p w14:paraId="7C3768E3"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All infringement notice penalty amounts are rounded down to the nearest dollar.</w:t>
      </w:r>
    </w:p>
    <w:p w14:paraId="74BFBB81"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For offences against the </w:t>
      </w:r>
      <w:r>
        <w:rPr>
          <w:rFonts w:ascii="Calibri" w:eastAsia="Calibri" w:hAnsi="Calibri" w:cs="Calibri"/>
          <w:bCs/>
          <w:i/>
          <w:iCs/>
          <w:color w:val="7F7F7F"/>
          <w:szCs w:val="20"/>
        </w:rPr>
        <w:t>Heavy Vehicle National Law</w:t>
      </w:r>
      <w:r>
        <w:rPr>
          <w:rFonts w:ascii="Calibri" w:eastAsia="Calibri" w:hAnsi="Calibri" w:cs="Calibri"/>
          <w:bCs/>
          <w:color w:val="7F7F7F"/>
          <w:szCs w:val="20"/>
        </w:rPr>
        <w:t xml:space="preserve"> (HVNL), maximum court-imposed penalties and infringement penalty amounts are indexed by provisions of the HVNL and the </w:t>
      </w:r>
      <w:r>
        <w:rPr>
          <w:rFonts w:ascii="Calibri" w:eastAsia="Calibri" w:hAnsi="Calibri" w:cs="Calibri"/>
          <w:bCs/>
          <w:i/>
          <w:iCs/>
          <w:color w:val="7F7F7F"/>
          <w:szCs w:val="20"/>
        </w:rPr>
        <w:t>Heavy Vehicle (General) National Regulation</w:t>
      </w:r>
      <w:r>
        <w:rPr>
          <w:rFonts w:ascii="Calibri" w:eastAsia="Calibri" w:hAnsi="Calibri" w:cs="Calibri"/>
          <w:bCs/>
          <w:color w:val="7F7F7F"/>
          <w:szCs w:val="20"/>
        </w:rPr>
        <w:t xml:space="preserve"> (NSW) and published on the National Heavy Vehicles Regulator’s (NHVR’s) website.  This amendment regulation does not adjust those amounts and the offences regulation directs readers to the NHVR’s website.</w:t>
      </w:r>
    </w:p>
    <w:p w14:paraId="7A894B8E"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child rate infringement notice penalty amounts of $75 for public passenger ticketing and conduct offences under the </w:t>
      </w:r>
      <w:r>
        <w:rPr>
          <w:rFonts w:ascii="Calibri" w:eastAsia="Calibri" w:hAnsi="Calibri" w:cs="Calibri"/>
          <w:bCs/>
          <w:i/>
          <w:iCs/>
          <w:color w:val="7F7F7F"/>
          <w:szCs w:val="20"/>
        </w:rPr>
        <w:t>Road Transport (Public Passenger Services) Regulation 2002</w:t>
      </w:r>
      <w:r>
        <w:rPr>
          <w:rFonts w:ascii="Calibri" w:eastAsia="Calibri" w:hAnsi="Calibri" w:cs="Calibri"/>
          <w:bCs/>
          <w:color w:val="7F7F7F"/>
          <w:szCs w:val="20"/>
        </w:rPr>
        <w:t xml:space="preserve"> have not been increased. </w:t>
      </w:r>
      <w:bookmarkStart w:id="236" w:name="_Hlk49865347"/>
      <w:r>
        <w:rPr>
          <w:rFonts w:ascii="Calibri" w:eastAsia="Calibri" w:hAnsi="Calibri" w:cs="Calibri"/>
          <w:bCs/>
          <w:color w:val="7F7F7F"/>
          <w:szCs w:val="20"/>
        </w:rPr>
        <w:t>This amount continues to represent an appropriate deterrence for these offences.</w:t>
      </w:r>
      <w:bookmarkEnd w:id="236"/>
    </w:p>
    <w:p w14:paraId="002484FF"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infringement penalty amount relating to section 236 (4A) of the </w:t>
      </w:r>
      <w:r>
        <w:rPr>
          <w:rFonts w:ascii="Calibri" w:eastAsia="Calibri" w:hAnsi="Calibri" w:cs="Calibri"/>
          <w:bCs/>
          <w:i/>
          <w:iCs/>
          <w:color w:val="7F7F7F"/>
          <w:szCs w:val="20"/>
        </w:rPr>
        <w:t>Road Transport (Road Rules) Regulation 2017</w:t>
      </w:r>
      <w:r>
        <w:rPr>
          <w:rFonts w:ascii="Calibri" w:eastAsia="Calibri" w:hAnsi="Calibri" w:cs="Calibri"/>
          <w:bCs/>
          <w:color w:val="7F7F7F"/>
          <w:szCs w:val="20"/>
        </w:rPr>
        <w:t xml:space="preserve"> about pedestrians engaging in commercial activities, such as window washing, at designated intersections has not been increased. This amount continues to represent an appropriate deterrence for these offences.</w:t>
      </w:r>
    </w:p>
    <w:p w14:paraId="140EC83D"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number of penalty units has been amended from 100 to 200 for items 7 and 8 in Part 1.2D to correctly align with the penalty for offences against sections 379 (1) and 381 in the </w:t>
      </w:r>
      <w:r>
        <w:rPr>
          <w:rFonts w:ascii="Calibri" w:eastAsia="Calibri" w:hAnsi="Calibri" w:cs="Calibri"/>
          <w:bCs/>
          <w:i/>
          <w:iCs/>
          <w:color w:val="7F7F7F"/>
          <w:szCs w:val="20"/>
        </w:rPr>
        <w:t>Motor Accident Injuries Act 2019</w:t>
      </w:r>
      <w:r>
        <w:rPr>
          <w:rFonts w:ascii="Calibri" w:eastAsia="Calibri" w:hAnsi="Calibri" w:cs="Calibri"/>
          <w:bCs/>
          <w:color w:val="7F7F7F"/>
          <w:szCs w:val="20"/>
        </w:rPr>
        <w:t xml:space="preserve">. </w:t>
      </w:r>
    </w:p>
    <w:p w14:paraId="162475F9" w14:textId="77777777" w:rsidR="00126BE8" w:rsidRDefault="00126BE8" w:rsidP="00EE5867">
      <w:pPr>
        <w:pStyle w:val="ListNumber2"/>
        <w:numPr>
          <w:ilvl w:val="1"/>
          <w:numId w:val="6"/>
        </w:numPr>
        <w:ind w:hanging="720"/>
        <w:rPr>
          <w:rFonts w:eastAsia="Times New Roman"/>
          <w:bCs w:val="0"/>
        </w:rPr>
      </w:pPr>
      <w:r>
        <w:lastRenderedPageBreak/>
        <w:t>The explanatory statement goes on to discuss human rights issues:</w:t>
      </w:r>
    </w:p>
    <w:p w14:paraId="0FCEA0F1" w14:textId="472F1095" w:rsidR="00126BE8" w:rsidRDefault="00126BE8" w:rsidP="00297A82">
      <w:pPr>
        <w:pStyle w:val="Quote"/>
        <w:rPr>
          <w:rFonts w:ascii="Calibri" w:eastAsia="Calibri" w:hAnsi="Calibri" w:cs="Calibri"/>
          <w:b/>
          <w:color w:val="7F7F7F"/>
          <w:szCs w:val="20"/>
        </w:rPr>
      </w:pPr>
      <w:r>
        <w:rPr>
          <w:rFonts w:ascii="Calibri" w:eastAsia="Calibri" w:hAnsi="Calibri" w:cs="Calibri"/>
          <w:b/>
          <w:color w:val="7F7F7F"/>
          <w:szCs w:val="20"/>
        </w:rPr>
        <w:t>Human rights implications</w:t>
      </w:r>
    </w:p>
    <w:p w14:paraId="0500EE2A"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During the development of this Regulation, due regard was given to its compatibility with human rights as set out in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(HRA).</w:t>
      </w:r>
    </w:p>
    <w:p w14:paraId="0FBD782A" w14:textId="14A583B8"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The offences regulation does not, of itself, impose restrictions or limitations on a</w:t>
      </w:r>
      <w:r w:rsidR="00E24228">
        <w:rPr>
          <w:rFonts w:ascii="Calibri" w:eastAsia="Calibri" w:hAnsi="Calibri" w:cs="Calibri"/>
          <w:bCs/>
          <w:color w:val="7F7F7F"/>
          <w:szCs w:val="20"/>
        </w:rPr>
        <w:t> </w:t>
      </w:r>
      <w:r>
        <w:rPr>
          <w:rFonts w:ascii="Calibri" w:eastAsia="Calibri" w:hAnsi="Calibri" w:cs="Calibri"/>
          <w:bCs/>
          <w:color w:val="7F7F7F"/>
          <w:szCs w:val="20"/>
        </w:rPr>
        <w:t xml:space="preserve">person’s human rights.  The proposed amendments to the </w:t>
      </w:r>
      <w:proofErr w:type="gramStart"/>
      <w:r>
        <w:rPr>
          <w:rFonts w:ascii="Calibri" w:eastAsia="Calibri" w:hAnsi="Calibri" w:cs="Calibri"/>
          <w:bCs/>
          <w:color w:val="7F7F7F"/>
          <w:szCs w:val="20"/>
        </w:rPr>
        <w:t>offences</w:t>
      </w:r>
      <w:proofErr w:type="gramEnd"/>
      <w:r>
        <w:rPr>
          <w:rFonts w:ascii="Calibri" w:eastAsia="Calibri" w:hAnsi="Calibri" w:cs="Calibri"/>
          <w:bCs/>
          <w:color w:val="7F7F7F"/>
          <w:szCs w:val="20"/>
        </w:rPr>
        <w:t xml:space="preserve"> regulation increase most infringement notice penalty amounts under the road transport legislation to maintain the value of those penalties in real terms and preserve their deterrence effect.  The amendments do not change the infringement notice arrangements under the road transport legislation that offers people a choice of accepting a lesser penalty without admitting the offence or remaining liable for prosecution and diverts people away from the criminal justice system.</w:t>
      </w:r>
    </w:p>
    <w:p w14:paraId="72B7A40D" w14:textId="68399F16"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As such the amendments are not considered to be limiting any human rights</w:t>
      </w:r>
      <w:r w:rsidR="00E2109B">
        <w:rPr>
          <w:rFonts w:ascii="Calibri" w:eastAsia="Calibri" w:hAnsi="Calibri" w:cs="Calibri"/>
          <w:bCs/>
          <w:color w:val="7F7F7F"/>
          <w:szCs w:val="20"/>
        </w:rPr>
        <w:t>.</w:t>
      </w:r>
    </w:p>
    <w:p w14:paraId="0A1D6CFC" w14:textId="4EBE8D3B"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The Committee draws the attention of the Legislative Assembly to the discussion of human rights issues in the explanatory statement for this subordinate law</w:t>
      </w:r>
      <w:r w:rsidR="00E24228">
        <w:rPr>
          <w:rFonts w:ascii="Calibri" w:eastAsia="Calibri" w:hAnsi="Calibri" w:cs="Calibri"/>
          <w:b/>
          <w:color w:val="000000"/>
        </w:rPr>
        <w:t>.</w:t>
      </w:r>
    </w:p>
    <w:p w14:paraId="25EAB892" w14:textId="77777777" w:rsidR="00126BE8" w:rsidRDefault="00126BE8" w:rsidP="00E24228">
      <w:pPr>
        <w:pStyle w:val="ListNumber2"/>
        <w:numPr>
          <w:ilvl w:val="1"/>
          <w:numId w:val="6"/>
        </w:numPr>
        <w:spacing w:after="240"/>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38B77548" w14:textId="77777777" w:rsidR="00126BE8" w:rsidRDefault="00126BE8" w:rsidP="00126BE8">
      <w:pPr>
        <w:keepNext/>
        <w:keepLines/>
        <w:spacing w:before="120" w:after="0"/>
        <w:outlineLvl w:val="3"/>
        <w:rPr>
          <w:rFonts w:ascii="Montserrat" w:eastAsia="Times New Roman" w:hAnsi="Montserrat" w:cs="Times New Roman"/>
          <w:b/>
          <w:color w:val="7492CD"/>
          <w:w w:val="90"/>
          <w:kern w:val="2"/>
          <w:sz w:val="28"/>
          <w:szCs w:val="24"/>
        </w:rPr>
      </w:pPr>
      <w:bookmarkStart w:id="237" w:name="_Toc175930228"/>
      <w:bookmarkStart w:id="238" w:name="_Toc176162885"/>
      <w:bookmarkStart w:id="239" w:name="_Toc176175571"/>
      <w:r>
        <w:rPr>
          <w:rFonts w:ascii="Montserrat" w:eastAsia="Times New Roman" w:hAnsi="Montserrat" w:cs="Times New Roman"/>
          <w:b/>
          <w:color w:val="7492CD"/>
          <w:w w:val="90"/>
          <w:kern w:val="2"/>
          <w:sz w:val="28"/>
          <w:szCs w:val="24"/>
        </w:rPr>
        <w:t>Human Rights Issues</w:t>
      </w:r>
      <w:bookmarkEnd w:id="237"/>
      <w:bookmarkEnd w:id="238"/>
      <w:bookmarkEnd w:id="239"/>
    </w:p>
    <w:p w14:paraId="711B267E"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SL2024-11 being the Road Safety Legislation Amendment Regulation 2024 (No 1) made under the </w:t>
      </w:r>
      <w:r>
        <w:rPr>
          <w:i/>
        </w:rPr>
        <w:t xml:space="preserve">Road Transport (Driver Licensing Act 1999, Road Transport (General Act 1999, Road Transport (Safety and Traffic Management) Act 1999 </w:t>
      </w:r>
      <w:r>
        <w:rPr>
          <w:b/>
          <w:bCs/>
          <w:iCs/>
        </w:rPr>
        <w:t>and the</w:t>
      </w:r>
      <w:r>
        <w:rPr>
          <w:i/>
        </w:rPr>
        <w:t xml:space="preserve"> Road Transport (Vehicle Registration) Act 1999</w:t>
      </w:r>
      <w:r>
        <w:rPr>
          <w:b/>
        </w:rPr>
        <w:t xml:space="preserve"> to improve </w:t>
      </w:r>
      <w:bookmarkStart w:id="240" w:name="_Hlk175489314"/>
      <w:r>
        <w:rPr>
          <w:b/>
        </w:rPr>
        <w:t>road safety and provide for traffic management in the ACT</w:t>
      </w:r>
      <w:bookmarkEnd w:id="240"/>
      <w:r>
        <w:rPr>
          <w:b/>
        </w:rPr>
        <w:t xml:space="preserve">. </w:t>
      </w:r>
    </w:p>
    <w:p w14:paraId="39A099B9" w14:textId="77777777" w:rsidR="00126BE8" w:rsidRDefault="00126BE8" w:rsidP="00A83B31">
      <w:pPr>
        <w:keepNext/>
        <w:keepLines/>
        <w:spacing w:before="120" w:after="120"/>
        <w:outlineLvl w:val="3"/>
        <w:rPr>
          <w:rFonts w:ascii="Montserrat SemiBold" w:eastAsia="Calibri" w:hAnsi="Montserrat SemiBold" w:cs="Times New Roman"/>
          <w:i/>
          <w:iCs/>
          <w:color w:val="2F5496"/>
          <w:w w:val="90"/>
          <w:kern w:val="2"/>
          <w:sz w:val="24"/>
          <w:szCs w:val="24"/>
          <w:lang w:eastAsia="en-AU"/>
        </w:rPr>
      </w:pPr>
      <w:bookmarkStart w:id="241" w:name="_Toc175930229"/>
      <w:bookmarkStart w:id="242" w:name="_Toc176162886"/>
      <w:bookmarkStart w:id="243" w:name="_Toc176175572"/>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bookmarkEnd w:id="241"/>
      <w:bookmarkEnd w:id="242"/>
      <w:bookmarkEnd w:id="243"/>
    </w:p>
    <w:p w14:paraId="6136220D"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life (section 9 HRA)</w:t>
      </w:r>
    </w:p>
    <w:p w14:paraId="74C53060"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a fair trial (section 21 HRA)</w:t>
      </w:r>
    </w:p>
    <w:p w14:paraId="4BDDC30B"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Rights in criminal proceedings (section 22 HRA)</w:t>
      </w:r>
    </w:p>
    <w:p w14:paraId="159053B1"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This subordinate law amends various pieces of road transport legislation, with the general aim of improving road safety and providing for traffic management in the ACT, with a focus on addressing the role of dangerous driving and excessive speed in road traffic accidents.</w:t>
      </w:r>
    </w:p>
    <w:p w14:paraId="5CE766D8"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T</w:t>
      </w:r>
      <w:r>
        <w:t>h</w:t>
      </w:r>
      <w:r>
        <w:rPr>
          <w:rFonts w:ascii="Calibri" w:eastAsia="Calibri" w:hAnsi="Calibri" w:cs="Calibri"/>
          <w:color w:val="000000"/>
        </w:rPr>
        <w:t>e explanatory statement for the subordinate law discusses human rights issues. Focusing on the right to life (which is promoted), the right to a fair trial and rights in criminal proceedings, protected by sections 9, 21 and 22</w:t>
      </w:r>
      <w:r>
        <w:rPr>
          <w:rFonts w:ascii="Calibri" w:eastAsia="Calibri" w:hAnsi="Calibri" w:cs="Calibri"/>
          <w:color w:val="000000"/>
        </w:rPr>
        <w:tab/>
        <w:t xml:space="preserve"> of the </w:t>
      </w:r>
      <w:r>
        <w:rPr>
          <w:rFonts w:ascii="Calibri" w:eastAsia="Calibri" w:hAnsi="Calibri" w:cs="Calibri"/>
          <w:i/>
          <w:iCs/>
          <w:color w:val="000000"/>
        </w:rPr>
        <w:t>Human Rights Act 2004</w:t>
      </w:r>
      <w:r>
        <w:rPr>
          <w:rFonts w:ascii="Calibri" w:eastAsia="Calibri" w:hAnsi="Calibri" w:cs="Calibri"/>
          <w:color w:val="000000"/>
        </w:rPr>
        <w:t>, respectively:</w:t>
      </w:r>
    </w:p>
    <w:p w14:paraId="3461597E" w14:textId="77777777" w:rsidR="00126BE8" w:rsidRDefault="00126BE8" w:rsidP="00297A82">
      <w:pPr>
        <w:pStyle w:val="Quote"/>
        <w:rPr>
          <w:rFonts w:ascii="Calibri" w:eastAsia="Calibri" w:hAnsi="Calibri" w:cs="Calibri"/>
          <w:b/>
          <w:color w:val="7F7F7F"/>
          <w:szCs w:val="20"/>
        </w:rPr>
      </w:pPr>
      <w:r>
        <w:rPr>
          <w:rFonts w:ascii="Calibri" w:eastAsia="Calibri" w:hAnsi="Calibri" w:cs="Calibri"/>
          <w:b/>
          <w:color w:val="7F7F7F"/>
          <w:szCs w:val="20"/>
        </w:rPr>
        <w:t>CONSISTENCY WITH HUMAN RIGHTS</w:t>
      </w:r>
    </w:p>
    <w:p w14:paraId="15B2F544"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During the development of this Regulation due regard was given to its compatibility with human rights as set out in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(HRA).</w:t>
      </w:r>
    </w:p>
    <w:p w14:paraId="0D77F7EA"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The limitations on human rights in the Bill are proportionate and justified in the circumstances because they are the least restrictive means available to achieve road safety as it relates to dangerous driving.</w:t>
      </w:r>
    </w:p>
    <w:p w14:paraId="4E6E870D" w14:textId="6502FC03" w:rsidR="00126BE8" w:rsidRDefault="00126BE8" w:rsidP="001E61EC">
      <w:pPr>
        <w:pStyle w:val="Quote"/>
        <w:spacing w:before="120" w:after="120"/>
        <w:rPr>
          <w:rFonts w:ascii="Calibri" w:eastAsia="Calibri" w:hAnsi="Calibri" w:cs="Calibri"/>
          <w:b/>
          <w:color w:val="7F7F7F"/>
          <w:szCs w:val="20"/>
        </w:rPr>
      </w:pPr>
      <w:r>
        <w:rPr>
          <w:rFonts w:ascii="Calibri" w:eastAsia="Calibri" w:hAnsi="Calibri" w:cs="Calibri"/>
          <w:b/>
          <w:color w:val="7F7F7F"/>
          <w:szCs w:val="20"/>
        </w:rPr>
        <w:lastRenderedPageBreak/>
        <w:t xml:space="preserve">Rights </w:t>
      </w:r>
      <w:proofErr w:type="gramStart"/>
      <w:r>
        <w:rPr>
          <w:rFonts w:ascii="Calibri" w:eastAsia="Calibri" w:hAnsi="Calibri" w:cs="Calibri"/>
          <w:b/>
          <w:color w:val="7F7F7F"/>
          <w:szCs w:val="20"/>
        </w:rPr>
        <w:t>engaged</w:t>
      </w:r>
      <w:proofErr w:type="gramEnd"/>
    </w:p>
    <w:p w14:paraId="013FDCA9"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There are no human rights engaged with the amendment to electric vehicle signage.</w:t>
      </w:r>
    </w:p>
    <w:p w14:paraId="0A00F832" w14:textId="77777777" w:rsidR="00126BE8" w:rsidRDefault="00126BE8" w:rsidP="001E61EC">
      <w:pPr>
        <w:pStyle w:val="Quote"/>
        <w:spacing w:before="120" w:after="120"/>
        <w:rPr>
          <w:rFonts w:ascii="Calibri" w:eastAsia="Calibri" w:hAnsi="Calibri" w:cs="Calibri"/>
          <w:bCs/>
          <w:color w:val="7F7F7F"/>
          <w:szCs w:val="20"/>
        </w:rPr>
      </w:pPr>
      <w:bookmarkStart w:id="244" w:name="_Hlk162337700"/>
      <w:r>
        <w:rPr>
          <w:rFonts w:ascii="Calibri" w:eastAsia="Calibri" w:hAnsi="Calibri" w:cs="Calibri"/>
          <w:bCs/>
          <w:color w:val="7F7F7F"/>
          <w:szCs w:val="20"/>
        </w:rPr>
        <w:t xml:space="preserve">There are no human rights engaged with the administrative amendment to the process for </w:t>
      </w:r>
      <w:bookmarkEnd w:id="244"/>
      <w:r>
        <w:rPr>
          <w:rFonts w:ascii="Calibri" w:eastAsia="Calibri" w:hAnsi="Calibri" w:cs="Calibri"/>
          <w:bCs/>
          <w:color w:val="7F7F7F"/>
          <w:szCs w:val="20"/>
        </w:rPr>
        <w:t>cancelling UVPs.</w:t>
      </w:r>
    </w:p>
    <w:p w14:paraId="623E3D80"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There are no human rights engaged with the administrative amendment to delegations for National Heavy Vehicle Regulator officers.</w:t>
      </w:r>
    </w:p>
    <w:p w14:paraId="08CA4AB5"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Regulation as it relates to speeds 45km/hr </w:t>
      </w:r>
      <w:proofErr w:type="gramStart"/>
      <w:r>
        <w:rPr>
          <w:rFonts w:ascii="Calibri" w:eastAsia="Calibri" w:hAnsi="Calibri" w:cs="Calibri"/>
          <w:bCs/>
          <w:color w:val="7F7F7F"/>
          <w:szCs w:val="20"/>
        </w:rPr>
        <w:t>in excess of</w:t>
      </w:r>
      <w:proofErr w:type="gramEnd"/>
      <w:r>
        <w:rPr>
          <w:rFonts w:ascii="Calibri" w:eastAsia="Calibri" w:hAnsi="Calibri" w:cs="Calibri"/>
          <w:bCs/>
          <w:color w:val="7F7F7F"/>
          <w:szCs w:val="20"/>
        </w:rPr>
        <w:t xml:space="preserve"> the posted speed limit, could be seen to engage with, and promote, the right to life.</w:t>
      </w:r>
    </w:p>
    <w:p w14:paraId="53A0AC76"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Regulation as it relates to speeds 45km/hr </w:t>
      </w:r>
      <w:proofErr w:type="gramStart"/>
      <w:r>
        <w:rPr>
          <w:rFonts w:ascii="Calibri" w:eastAsia="Calibri" w:hAnsi="Calibri" w:cs="Calibri"/>
          <w:bCs/>
          <w:color w:val="7F7F7F"/>
          <w:szCs w:val="20"/>
        </w:rPr>
        <w:t>in excess of</w:t>
      </w:r>
      <w:proofErr w:type="gramEnd"/>
      <w:r>
        <w:rPr>
          <w:rFonts w:ascii="Calibri" w:eastAsia="Calibri" w:hAnsi="Calibri" w:cs="Calibri"/>
          <w:bCs/>
          <w:color w:val="7F7F7F"/>
          <w:szCs w:val="20"/>
        </w:rPr>
        <w:t xml:space="preserve"> the posted speed limit, could be seen to engage with, and place limitations on, the right to a fair trial under section 21 and rights in criminal proceedings under section 22 (1) of the HRA.</w:t>
      </w:r>
    </w:p>
    <w:p w14:paraId="5605193C" w14:textId="77777777" w:rsidR="00126BE8" w:rsidRDefault="00126BE8" w:rsidP="001E61EC">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Rights Promoted</w:t>
      </w:r>
    </w:p>
    <w:p w14:paraId="1CA601FE"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rights promoted by the Bill include:</w:t>
      </w:r>
    </w:p>
    <w:p w14:paraId="27A73608" w14:textId="77777777" w:rsidR="00126BE8" w:rsidRDefault="00126BE8" w:rsidP="001E61EC">
      <w:pPr>
        <w:pStyle w:val="ListParagraph"/>
        <w:spacing w:before="120" w:after="120"/>
        <w:ind w:left="1570" w:hanging="357"/>
        <w:contextualSpacing w:val="0"/>
        <w:rPr>
          <w:rFonts w:ascii="Calibri" w:eastAsia="Calibri" w:hAnsi="Calibri" w:cs="Calibri"/>
          <w:bCs/>
          <w:color w:val="7F7F7F"/>
          <w:szCs w:val="20"/>
        </w:rPr>
      </w:pPr>
      <w:r>
        <w:rPr>
          <w:rFonts w:ascii="Calibri" w:eastAsia="Calibri" w:hAnsi="Calibri" w:cs="Calibri"/>
          <w:bCs/>
          <w:color w:val="7F7F7F"/>
          <w:szCs w:val="20"/>
        </w:rPr>
        <w:sym w:font="Symbol" w:char="F0B7"/>
      </w:r>
      <w:r>
        <w:rPr>
          <w:rFonts w:ascii="Calibri" w:eastAsia="Calibri" w:hAnsi="Calibri" w:cs="Calibri"/>
          <w:bCs/>
          <w:color w:val="7F7F7F"/>
          <w:szCs w:val="20"/>
        </w:rPr>
        <w:t>         Section 9 – Right to life</w:t>
      </w:r>
    </w:p>
    <w:p w14:paraId="54D092B1" w14:textId="77777777" w:rsidR="00126BE8" w:rsidRDefault="00126BE8" w:rsidP="001E61EC">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Right to life</w:t>
      </w:r>
    </w:p>
    <w:p w14:paraId="60987C92"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Section 9 of the HRA provides that everyone has the right to life and to not have their life taken. The right to life includes a duty on government to take appropriate steps to protect the right to life.</w:t>
      </w:r>
    </w:p>
    <w:p w14:paraId="54EFD8EF"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Government has a responsibility to maintain a robust regulatory framework which supports safe people and safe behaviours on ACT roads to protect the lives of road users. This includes pedestrians, motorcycle riders, </w:t>
      </w:r>
      <w:proofErr w:type="gramStart"/>
      <w:r>
        <w:rPr>
          <w:rFonts w:ascii="Calibri" w:eastAsia="Calibri" w:hAnsi="Calibri" w:cs="Calibri"/>
          <w:bCs/>
          <w:color w:val="7F7F7F"/>
          <w:szCs w:val="20"/>
        </w:rPr>
        <w:t>cyclists</w:t>
      </w:r>
      <w:proofErr w:type="gramEnd"/>
      <w:r>
        <w:rPr>
          <w:rFonts w:ascii="Calibri" w:eastAsia="Calibri" w:hAnsi="Calibri" w:cs="Calibri"/>
          <w:bCs/>
          <w:color w:val="7F7F7F"/>
          <w:szCs w:val="20"/>
        </w:rPr>
        <w:t> and other vulnerable road users. The Bill promotes this right to life by improving the legal framework for dangerous driving offences, namely excessive speeding. The Bill ensures that penalties for excessive speeding in the ACT are commensurate with the road safety risk associated with this unsafe behaviour, act as a strong deterrent to dangerous driving, encourage safer decisions by drivers, and support behavioural change for offenders.</w:t>
      </w:r>
    </w:p>
    <w:p w14:paraId="1062383F" w14:textId="77777777" w:rsidR="00126BE8" w:rsidRDefault="00126BE8" w:rsidP="001E61EC">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Rights Limited</w:t>
      </w:r>
    </w:p>
    <w:p w14:paraId="23148030"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rights limited by the Bill include:</w:t>
      </w:r>
    </w:p>
    <w:p w14:paraId="648666DC" w14:textId="406E2D52" w:rsidR="00126BE8" w:rsidRDefault="00126BE8" w:rsidP="00EE5867">
      <w:pPr>
        <w:pStyle w:val="ListParagraph"/>
        <w:numPr>
          <w:ilvl w:val="0"/>
          <w:numId w:val="11"/>
        </w:numPr>
        <w:spacing w:before="120" w:after="120"/>
        <w:ind w:firstLine="414"/>
        <w:contextualSpacing w:val="0"/>
        <w:rPr>
          <w:rFonts w:ascii="Calibri" w:eastAsia="Calibri" w:hAnsi="Calibri" w:cs="Calibri"/>
          <w:bCs/>
          <w:color w:val="7F7F7F"/>
          <w:szCs w:val="20"/>
        </w:rPr>
      </w:pPr>
      <w:r>
        <w:rPr>
          <w:rFonts w:ascii="Calibri" w:eastAsia="Calibri" w:hAnsi="Calibri" w:cs="Calibri"/>
          <w:bCs/>
          <w:color w:val="7F7F7F"/>
          <w:szCs w:val="20"/>
        </w:rPr>
        <w:t>Section 21</w:t>
      </w:r>
      <w:r w:rsidR="00E24228">
        <w:rPr>
          <w:rFonts w:ascii="Calibri" w:eastAsia="Calibri" w:hAnsi="Calibri" w:cs="Calibri"/>
          <w:bCs/>
          <w:color w:val="7F7F7F"/>
          <w:szCs w:val="20"/>
        </w:rPr>
        <w:t xml:space="preserve"> – </w:t>
      </w:r>
      <w:r>
        <w:rPr>
          <w:rFonts w:ascii="Calibri" w:eastAsia="Calibri" w:hAnsi="Calibri" w:cs="Calibri"/>
          <w:bCs/>
          <w:color w:val="7F7F7F"/>
          <w:szCs w:val="20"/>
        </w:rPr>
        <w:t>Right to a fair trial</w:t>
      </w:r>
    </w:p>
    <w:p w14:paraId="1324F352" w14:textId="77777777" w:rsidR="00126BE8" w:rsidRDefault="00126BE8" w:rsidP="00EE5867">
      <w:pPr>
        <w:pStyle w:val="ListParagraph"/>
        <w:numPr>
          <w:ilvl w:val="0"/>
          <w:numId w:val="11"/>
        </w:numPr>
        <w:spacing w:before="120" w:after="120"/>
        <w:ind w:firstLine="414"/>
        <w:contextualSpacing w:val="0"/>
        <w:rPr>
          <w:rFonts w:ascii="Calibri" w:eastAsia="Calibri" w:hAnsi="Calibri" w:cs="Calibri"/>
          <w:bCs/>
          <w:color w:val="7F7F7F"/>
          <w:szCs w:val="20"/>
        </w:rPr>
      </w:pPr>
      <w:r>
        <w:rPr>
          <w:rFonts w:ascii="Calibri" w:eastAsia="Calibri" w:hAnsi="Calibri" w:cs="Calibri"/>
          <w:bCs/>
          <w:color w:val="7F7F7F"/>
          <w:szCs w:val="20"/>
        </w:rPr>
        <w:t>Section 22 – Rights in criminal proceedings</w:t>
      </w:r>
    </w:p>
    <w:p w14:paraId="0B974BC3" w14:textId="77777777" w:rsidR="00126BE8" w:rsidRDefault="00126BE8" w:rsidP="001E61EC">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Nature of the right and the limitation (s28(a) and (c))</w:t>
      </w:r>
    </w:p>
    <w:p w14:paraId="46422971" w14:textId="77777777" w:rsidR="00126BE8" w:rsidRDefault="00126BE8" w:rsidP="001E61EC">
      <w:pPr>
        <w:pStyle w:val="Quote"/>
        <w:spacing w:before="120" w:after="120"/>
        <w:rPr>
          <w:rFonts w:ascii="Calibri" w:eastAsia="Calibri" w:hAnsi="Calibri" w:cs="Calibri"/>
          <w:bCs/>
          <w:i/>
          <w:iCs/>
          <w:color w:val="7F7F7F"/>
          <w:szCs w:val="20"/>
        </w:rPr>
      </w:pPr>
      <w:r>
        <w:rPr>
          <w:rFonts w:ascii="Calibri" w:eastAsia="Calibri" w:hAnsi="Calibri" w:cs="Calibri"/>
          <w:bCs/>
          <w:i/>
          <w:iCs/>
          <w:color w:val="7F7F7F"/>
          <w:szCs w:val="20"/>
        </w:rPr>
        <w:t xml:space="preserve">Right to a fair trial and </w:t>
      </w:r>
      <w:proofErr w:type="gramStart"/>
      <w:r>
        <w:rPr>
          <w:rFonts w:ascii="Calibri" w:eastAsia="Calibri" w:hAnsi="Calibri" w:cs="Calibri"/>
          <w:bCs/>
          <w:i/>
          <w:iCs/>
          <w:color w:val="7F7F7F"/>
          <w:szCs w:val="20"/>
        </w:rPr>
        <w:t>Right</w:t>
      </w:r>
      <w:proofErr w:type="gramEnd"/>
      <w:r>
        <w:rPr>
          <w:rFonts w:ascii="Calibri" w:eastAsia="Calibri" w:hAnsi="Calibri" w:cs="Calibri"/>
          <w:bCs/>
          <w:i/>
          <w:iCs/>
          <w:color w:val="7F7F7F"/>
          <w:szCs w:val="20"/>
        </w:rPr>
        <w:t xml:space="preserve"> to criminal proceedings</w:t>
      </w:r>
    </w:p>
    <w:p w14:paraId="733CB754"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amendments in the Bill further incorporate excessive speeding offences into the immediate suspension notice (</w:t>
      </w:r>
      <w:r>
        <w:rPr>
          <w:rFonts w:ascii="Calibri" w:eastAsia="Calibri" w:hAnsi="Calibri" w:cs="Calibri"/>
          <w:b/>
          <w:color w:val="7F7F7F"/>
          <w:szCs w:val="20"/>
        </w:rPr>
        <w:t>ISN</w:t>
      </w:r>
      <w:r>
        <w:rPr>
          <w:rFonts w:ascii="Calibri" w:eastAsia="Calibri" w:hAnsi="Calibri" w:cs="Calibri"/>
          <w:bCs/>
          <w:color w:val="7F7F7F"/>
          <w:szCs w:val="20"/>
        </w:rPr>
        <w:t>) framework. ISNs are issued where the RTA identifies, through images captured by a road safety camera, that a person has committed an immediate suspension offence and can lead to a person having their licence suspended for a set period without a court order.</w:t>
      </w:r>
    </w:p>
    <w:p w14:paraId="7B520534"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lastRenderedPageBreak/>
        <w:t xml:space="preserve">ISNs limit the right to fair trial and rights in criminal proceedings as they are issued based on speed </w:t>
      </w:r>
      <w:proofErr w:type="gramStart"/>
      <w:r>
        <w:rPr>
          <w:rFonts w:ascii="Calibri" w:eastAsia="Calibri" w:hAnsi="Calibri" w:cs="Calibri"/>
          <w:bCs/>
          <w:color w:val="7F7F7F"/>
          <w:szCs w:val="20"/>
        </w:rPr>
        <w:t>in excess of</w:t>
      </w:r>
      <w:proofErr w:type="gramEnd"/>
      <w:r>
        <w:rPr>
          <w:rFonts w:ascii="Calibri" w:eastAsia="Calibri" w:hAnsi="Calibri" w:cs="Calibri"/>
          <w:bCs/>
          <w:color w:val="7F7F7F"/>
          <w:szCs w:val="20"/>
        </w:rPr>
        <w:t xml:space="preserve"> 45km/hr above the posted speed limit being captured by road safety cameras, and the driver accepts the penalty without a criminal charge being determined by a court. Therefore, the right to be presumed innocent until proven guilty is limited. As the offence is captured by road safety camera, the identity of the driver may not be ascertained and the ISN is issued to the registered operator of the vehicle. Where the registered operator of the vehicle was not the driver for the purposes of the offence, a declaration can be made to transfer liability to the offender.</w:t>
      </w:r>
    </w:p>
    <w:p w14:paraId="149E871E" w14:textId="77777777" w:rsidR="00126BE8" w:rsidRDefault="00126BE8" w:rsidP="00297A82">
      <w:pPr>
        <w:pStyle w:val="Quote"/>
        <w:rPr>
          <w:rFonts w:ascii="Calibri" w:eastAsia="Calibri" w:hAnsi="Calibri" w:cs="Calibri"/>
          <w:bCs/>
          <w:i/>
          <w:iCs/>
          <w:color w:val="7F7F7F"/>
          <w:szCs w:val="20"/>
        </w:rPr>
      </w:pPr>
      <w:r>
        <w:rPr>
          <w:rFonts w:ascii="Calibri" w:eastAsia="Calibri" w:hAnsi="Calibri" w:cs="Calibri"/>
          <w:bCs/>
          <w:i/>
          <w:iCs/>
          <w:color w:val="7F7F7F"/>
          <w:szCs w:val="20"/>
        </w:rPr>
        <w:t>Legitimate purpose (s28(b))</w:t>
      </w:r>
    </w:p>
    <w:p w14:paraId="20B23AAE"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purpose of the Regulation is to support public safety by addressing dangerous driving in the form of excessive speeding and its impact on road trauma. </w:t>
      </w:r>
    </w:p>
    <w:p w14:paraId="7081E233"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High range speeding continues to be prevalent on ACT roads. From 2017-18 to 2021-22 a total of 455 drivers were charged with speeding </w:t>
      </w:r>
      <w:proofErr w:type="gramStart"/>
      <w:r>
        <w:rPr>
          <w:rFonts w:ascii="Calibri" w:eastAsia="Calibri" w:hAnsi="Calibri" w:cs="Calibri"/>
          <w:bCs/>
          <w:color w:val="7F7F7F"/>
          <w:szCs w:val="20"/>
        </w:rPr>
        <w:t>in excess of</w:t>
      </w:r>
      <w:proofErr w:type="gramEnd"/>
      <w:r>
        <w:rPr>
          <w:rFonts w:ascii="Calibri" w:eastAsia="Calibri" w:hAnsi="Calibri" w:cs="Calibri"/>
          <w:bCs/>
          <w:color w:val="7F7F7F"/>
          <w:szCs w:val="20"/>
        </w:rPr>
        <w:t xml:space="preserve"> 45km/hr by ACT Policing (an average of 91 per year). In 2021-22, 318 drivers were issued a traffic infringement notice for speeding </w:t>
      </w:r>
      <w:proofErr w:type="gramStart"/>
      <w:r>
        <w:rPr>
          <w:rFonts w:ascii="Calibri" w:eastAsia="Calibri" w:hAnsi="Calibri" w:cs="Calibri"/>
          <w:bCs/>
          <w:color w:val="7F7F7F"/>
          <w:szCs w:val="20"/>
        </w:rPr>
        <w:t>in excess of</w:t>
      </w:r>
      <w:proofErr w:type="gramEnd"/>
      <w:r>
        <w:rPr>
          <w:rFonts w:ascii="Calibri" w:eastAsia="Calibri" w:hAnsi="Calibri" w:cs="Calibri"/>
          <w:bCs/>
          <w:color w:val="7F7F7F"/>
          <w:szCs w:val="20"/>
        </w:rPr>
        <w:t xml:space="preserve"> 45km/hr by Access Canberra.</w:t>
      </w:r>
    </w:p>
    <w:p w14:paraId="41CFB92F"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Speeding is also overrepresented in repeat road transport law offenders. People who have committed two or more high-range speeding offences (more than 30km/hr above the speed limit) are more likely to have committed other driving offences and to have a criminal history.</w:t>
      </w:r>
      <w:bookmarkStart w:id="245" w:name="_ftnref5"/>
      <w:bookmarkEnd w:id="245"/>
      <w:r>
        <w:rPr>
          <w:vertAlign w:val="superscript"/>
        </w:rPr>
        <w:footnoteReference w:id="16"/>
      </w:r>
      <w:r>
        <w:rPr>
          <w:rFonts w:ascii="Calibri" w:eastAsia="Calibri" w:hAnsi="Calibri" w:cs="Calibri"/>
          <w:bCs/>
          <w:color w:val="7F7F7F"/>
          <w:szCs w:val="20"/>
          <w:vertAlign w:val="superscript"/>
        </w:rPr>
        <w:t xml:space="preserve"> </w:t>
      </w:r>
    </w:p>
    <w:p w14:paraId="59002740"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There are significant public interest benefits that arise from ensuring that roads are safe for all road users. Appropriate enforcement actions against a person’s driver licence are essential to ensuring that drivers who pose a risk are removed from ACT roads to minimise community harm.</w:t>
      </w:r>
    </w:p>
    <w:p w14:paraId="75EEA0A8" w14:textId="77777777" w:rsidR="00126BE8" w:rsidRDefault="00126BE8" w:rsidP="00297A82">
      <w:pPr>
        <w:pStyle w:val="Quote"/>
        <w:rPr>
          <w:rFonts w:ascii="Calibri" w:eastAsia="Calibri" w:hAnsi="Calibri" w:cs="Calibri"/>
          <w:bCs/>
          <w:i/>
          <w:iCs/>
          <w:color w:val="7F7F7F"/>
          <w:szCs w:val="20"/>
        </w:rPr>
      </w:pPr>
      <w:r>
        <w:rPr>
          <w:rFonts w:ascii="Calibri" w:eastAsia="Calibri" w:hAnsi="Calibri" w:cs="Calibri"/>
          <w:bCs/>
          <w:i/>
          <w:iCs/>
          <w:color w:val="7F7F7F"/>
          <w:szCs w:val="20"/>
        </w:rPr>
        <w:t>Rational connection between the limitation and the purpose (s28(d))</w:t>
      </w:r>
    </w:p>
    <w:p w14:paraId="5E964823"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Introducing ISNs for excessive speeding captured by road safety cameras acts as a tool to limit the capacity for a person to engage in further risky behaviour and endanger other road users by removing their right to drive on ACT roads. This supports the legitimate purpose of minimising risk to the community by ensuring that drivers who pose a risk are removed from ACT roads as soon as practicable.</w:t>
      </w:r>
    </w:p>
    <w:p w14:paraId="465A5156"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Licence suspensions are designed to encourage safe and responsible driving. The stronger penalties that apply support the seriousness of the consequences of these behaviours.</w:t>
      </w:r>
    </w:p>
    <w:p w14:paraId="11EF3C4B" w14:textId="77777777" w:rsidR="00126BE8" w:rsidRPr="00793041" w:rsidRDefault="00126BE8" w:rsidP="00793041">
      <w:pPr>
        <w:pStyle w:val="Quote"/>
        <w:spacing w:before="120"/>
        <w:rPr>
          <w:rFonts w:ascii="Calibri" w:eastAsia="Calibri" w:hAnsi="Calibri" w:cs="Calibri"/>
          <w:bCs/>
          <w:color w:val="7F7F7F"/>
          <w:spacing w:val="-4"/>
          <w:szCs w:val="20"/>
        </w:rPr>
      </w:pPr>
      <w:r w:rsidRPr="00793041">
        <w:rPr>
          <w:rFonts w:ascii="Calibri" w:eastAsia="Calibri" w:hAnsi="Calibri" w:cs="Calibri"/>
          <w:bCs/>
          <w:color w:val="7F7F7F"/>
          <w:spacing w:val="-4"/>
          <w:szCs w:val="20"/>
        </w:rPr>
        <w:t>Strengthening sanctions for high range speeding will protect all road users from the dangers posed by this behaviour, support a robust regulatory framework with penalties that are commensurate with the associated road safety risks, support behavioural change, and assist in educating offenders of the serious nature of the conduct.</w:t>
      </w:r>
    </w:p>
    <w:p w14:paraId="21E8B9E0" w14:textId="77777777" w:rsidR="00126BE8" w:rsidRDefault="00126BE8" w:rsidP="00E24228">
      <w:pPr>
        <w:pStyle w:val="Quote"/>
        <w:spacing w:before="80" w:after="80"/>
        <w:rPr>
          <w:rFonts w:ascii="Calibri" w:eastAsia="Calibri" w:hAnsi="Calibri" w:cs="Calibri"/>
          <w:bCs/>
          <w:i/>
          <w:iCs/>
          <w:color w:val="7F7F7F"/>
          <w:szCs w:val="20"/>
        </w:rPr>
      </w:pPr>
      <w:r>
        <w:rPr>
          <w:rFonts w:ascii="Calibri" w:eastAsia="Calibri" w:hAnsi="Calibri" w:cs="Calibri"/>
          <w:bCs/>
          <w:i/>
          <w:iCs/>
          <w:color w:val="7F7F7F"/>
          <w:szCs w:val="20"/>
        </w:rPr>
        <w:lastRenderedPageBreak/>
        <w:t>Proportionality (s28 (e))</w:t>
      </w:r>
    </w:p>
    <w:p w14:paraId="782F9BCA" w14:textId="77777777" w:rsidR="00126BE8" w:rsidRDefault="00126BE8" w:rsidP="00E24228">
      <w:pPr>
        <w:pStyle w:val="Quote"/>
        <w:spacing w:before="80" w:after="80"/>
        <w:rPr>
          <w:rFonts w:ascii="Calibri" w:eastAsia="Calibri" w:hAnsi="Calibri" w:cs="Calibri"/>
          <w:bCs/>
          <w:color w:val="7F7F7F"/>
          <w:szCs w:val="20"/>
        </w:rPr>
      </w:pPr>
      <w:r>
        <w:rPr>
          <w:rFonts w:ascii="Calibri" w:eastAsia="Calibri" w:hAnsi="Calibri" w:cs="Calibri"/>
          <w:bCs/>
          <w:color w:val="7F7F7F"/>
          <w:szCs w:val="20"/>
        </w:rPr>
        <w:t xml:space="preserve">It is not considered that there are any less restrictive means reasonably available to achieve the purpose of this Regulation. A </w:t>
      </w:r>
      <w:proofErr w:type="gramStart"/>
      <w:r>
        <w:rPr>
          <w:rFonts w:ascii="Calibri" w:eastAsia="Calibri" w:hAnsi="Calibri" w:cs="Calibri"/>
          <w:bCs/>
          <w:color w:val="7F7F7F"/>
          <w:szCs w:val="20"/>
        </w:rPr>
        <w:t>90 day</w:t>
      </w:r>
      <w:proofErr w:type="gramEnd"/>
      <w:r>
        <w:rPr>
          <w:rFonts w:ascii="Calibri" w:eastAsia="Calibri" w:hAnsi="Calibri" w:cs="Calibri"/>
          <w:bCs/>
          <w:color w:val="7F7F7F"/>
          <w:szCs w:val="20"/>
        </w:rPr>
        <w:t xml:space="preserve"> suspension notice is applied when offenders are caught by police at speeds in excess of 45km/hr over the speed limit. It is reasonable then that the same sanction (a </w:t>
      </w:r>
      <w:proofErr w:type="gramStart"/>
      <w:r>
        <w:rPr>
          <w:rFonts w:ascii="Calibri" w:eastAsia="Calibri" w:hAnsi="Calibri" w:cs="Calibri"/>
          <w:bCs/>
          <w:color w:val="7F7F7F"/>
          <w:szCs w:val="20"/>
        </w:rPr>
        <w:t>90 day</w:t>
      </w:r>
      <w:proofErr w:type="gramEnd"/>
      <w:r>
        <w:rPr>
          <w:rFonts w:ascii="Calibri" w:eastAsia="Calibri" w:hAnsi="Calibri" w:cs="Calibri"/>
          <w:bCs/>
          <w:color w:val="7F7F7F"/>
          <w:szCs w:val="20"/>
        </w:rPr>
        <w:t xml:space="preserve"> ISN) also be applied to offenders caught committing such an offence by a fixed or mobile speed camera.</w:t>
      </w:r>
    </w:p>
    <w:p w14:paraId="55789748" w14:textId="77777777" w:rsidR="00126BE8" w:rsidRDefault="00126BE8" w:rsidP="00E24228">
      <w:pPr>
        <w:pStyle w:val="Quote"/>
        <w:spacing w:before="80" w:after="80"/>
        <w:rPr>
          <w:rFonts w:ascii="Calibri" w:eastAsia="Calibri" w:hAnsi="Calibri" w:cs="Calibri"/>
          <w:bCs/>
          <w:color w:val="7F7F7F"/>
          <w:szCs w:val="20"/>
        </w:rPr>
      </w:pPr>
      <w:r>
        <w:rPr>
          <w:rFonts w:ascii="Calibri" w:eastAsia="Calibri" w:hAnsi="Calibri" w:cs="Calibri"/>
          <w:bCs/>
          <w:color w:val="7F7F7F"/>
          <w:szCs w:val="20"/>
        </w:rPr>
        <w:t xml:space="preserve">The suspension </w:t>
      </w:r>
      <w:proofErr w:type="gramStart"/>
      <w:r>
        <w:rPr>
          <w:rFonts w:ascii="Calibri" w:eastAsia="Calibri" w:hAnsi="Calibri" w:cs="Calibri"/>
          <w:bCs/>
          <w:color w:val="7F7F7F"/>
          <w:szCs w:val="20"/>
        </w:rPr>
        <w:t>notice</w:t>
      </w:r>
      <w:proofErr w:type="gramEnd"/>
      <w:r>
        <w:rPr>
          <w:rFonts w:ascii="Calibri" w:eastAsia="Calibri" w:hAnsi="Calibri" w:cs="Calibri"/>
          <w:bCs/>
          <w:color w:val="7F7F7F"/>
          <w:szCs w:val="20"/>
        </w:rPr>
        <w:t xml:space="preserve"> for offences captured through speed cameras will not be immediate, coming into effect only 28 days after the RTA issue the notice. This is to align with the payment, declaration of other driver, dispute, and withdrawal processes currently available to traffic infringements issued by the RTA. Offenders who successfully have the speeding infringement transferred to another driver, disputed, or withdrawn will not receive the corresponding suspension notice.</w:t>
      </w:r>
    </w:p>
    <w:p w14:paraId="0E508B96" w14:textId="77777777" w:rsidR="00126BE8" w:rsidRDefault="00126BE8" w:rsidP="00E24228">
      <w:pPr>
        <w:pStyle w:val="Quote"/>
        <w:spacing w:before="80" w:after="80"/>
        <w:rPr>
          <w:rFonts w:ascii="Calibri" w:eastAsia="Calibri" w:hAnsi="Calibri" w:cs="Calibri"/>
          <w:bCs/>
          <w:color w:val="7F7F7F"/>
          <w:szCs w:val="20"/>
        </w:rPr>
      </w:pPr>
      <w:r>
        <w:rPr>
          <w:rFonts w:ascii="Calibri" w:eastAsia="Calibri" w:hAnsi="Calibri" w:cs="Calibri"/>
          <w:bCs/>
          <w:color w:val="7F7F7F"/>
          <w:szCs w:val="20"/>
        </w:rPr>
        <w:t>Where an ISN is applied, a person may then apply to the Courts for a stay of the suspension notice (refer section 61F of the RT (General) Act, noting that the court must not make an order staying the notice unless satisfied that exceptional circumstances justify doing so (refer to section 61F of the RT (General) Act).</w:t>
      </w:r>
    </w:p>
    <w:p w14:paraId="4307B895" w14:textId="5B8CDE22" w:rsidR="00126BE8" w:rsidRDefault="00126BE8" w:rsidP="00E24228">
      <w:pPr>
        <w:pStyle w:val="Quote"/>
        <w:spacing w:before="80" w:after="80"/>
        <w:rPr>
          <w:rFonts w:ascii="Calibri" w:eastAsia="Calibri" w:hAnsi="Calibri" w:cs="Calibri"/>
          <w:bCs/>
          <w:color w:val="7F7F7F"/>
          <w:szCs w:val="20"/>
        </w:rPr>
      </w:pPr>
      <w:r>
        <w:rPr>
          <w:rFonts w:ascii="Calibri" w:eastAsia="Calibri" w:hAnsi="Calibri" w:cs="Calibri"/>
          <w:bCs/>
          <w:color w:val="7F7F7F"/>
          <w:szCs w:val="20"/>
        </w:rPr>
        <w:t>Additional safeguards are provided under section 61B of the RT (General) Act, including that a notice ceases to have effect if stayed, or where the relevant proceedings are withdrawn, discontinued or otherwise finalised and, in any case, once 90 days have elapsed. However, where a police officer issues an immediate licence suspension, the existing regulatory framework allows for a person to seek a stay of the notice through the Courts. This framework promotes the right to a</w:t>
      </w:r>
      <w:r w:rsidR="00E24228">
        <w:rPr>
          <w:rFonts w:ascii="Calibri" w:eastAsia="Calibri" w:hAnsi="Calibri" w:cs="Calibri"/>
          <w:bCs/>
          <w:color w:val="7F7F7F"/>
          <w:szCs w:val="20"/>
        </w:rPr>
        <w:t> </w:t>
      </w:r>
      <w:r>
        <w:rPr>
          <w:rFonts w:ascii="Calibri" w:eastAsia="Calibri" w:hAnsi="Calibri" w:cs="Calibri"/>
          <w:bCs/>
          <w:color w:val="7F7F7F"/>
          <w:szCs w:val="20"/>
        </w:rPr>
        <w:t>fair trial by allowing a person to seek a stay of the ISN.</w:t>
      </w:r>
    </w:p>
    <w:p w14:paraId="1A4103B9" w14:textId="77777777" w:rsidR="00126BE8" w:rsidRDefault="00126BE8" w:rsidP="00E24228">
      <w:pPr>
        <w:pStyle w:val="Quote"/>
        <w:spacing w:before="80" w:after="80"/>
        <w:rPr>
          <w:rFonts w:ascii="Calibri" w:eastAsia="Calibri" w:hAnsi="Calibri" w:cs="Calibri"/>
          <w:bCs/>
          <w:color w:val="7F7F7F"/>
          <w:szCs w:val="20"/>
        </w:rPr>
      </w:pPr>
      <w:r>
        <w:rPr>
          <w:rFonts w:ascii="Calibri" w:eastAsia="Calibri" w:hAnsi="Calibri" w:cs="Calibri"/>
          <w:bCs/>
          <w:color w:val="7F7F7F"/>
          <w:szCs w:val="20"/>
        </w:rPr>
        <w:t>Furthermore, an immediate suspension of a person’s licence is considered reasonable and justified to achieve its legitimate purpose, given the significant risk to public safety associated with the relevant offences. Any lesser penalty would not sufficiently address the need for preventing further unsafe driving, providing a greater deterrence to prevent harms arising from offender behaviour and supporting behavioural change.</w:t>
      </w:r>
    </w:p>
    <w:p w14:paraId="4B3890A5" w14:textId="6B1BEE45" w:rsidR="00126BE8" w:rsidRDefault="00126BE8" w:rsidP="00EE5867">
      <w:pPr>
        <w:pStyle w:val="ListNumber2"/>
        <w:numPr>
          <w:ilvl w:val="1"/>
          <w:numId w:val="6"/>
        </w:numPr>
        <w:ind w:hanging="720"/>
        <w:rPr>
          <w:rFonts w:ascii="Calibri" w:eastAsia="Calibri" w:hAnsi="Calibri" w:cs="Calibri"/>
          <w:b/>
          <w:color w:val="000000"/>
        </w:rPr>
      </w:pPr>
      <w:bookmarkStart w:id="246" w:name="_Hlk175490655"/>
      <w:r>
        <w:rPr>
          <w:rFonts w:ascii="Calibri" w:eastAsia="Calibri" w:hAnsi="Calibri" w:cs="Calibri"/>
          <w:b/>
          <w:color w:val="000000"/>
        </w:rPr>
        <w:t>The Committee draws the attention of the Legislative Assembly to the discussion of human rights issues in the explanatory statement for this subordinate law</w:t>
      </w:r>
      <w:r w:rsidR="00C807E0">
        <w:rPr>
          <w:rFonts w:ascii="Calibri" w:eastAsia="Calibri" w:hAnsi="Calibri" w:cs="Calibri"/>
          <w:b/>
          <w:color w:val="000000"/>
        </w:rPr>
        <w:t>.</w:t>
      </w:r>
    </w:p>
    <w:p w14:paraId="5411EBDF" w14:textId="77777777" w:rsidR="00126BE8" w:rsidRDefault="00126BE8" w:rsidP="00E24228">
      <w:pPr>
        <w:pStyle w:val="ListNumber2"/>
        <w:numPr>
          <w:ilvl w:val="1"/>
          <w:numId w:val="6"/>
        </w:numPr>
        <w:spacing w:after="240"/>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4E92B35C" w14:textId="77777777" w:rsidR="00126BE8" w:rsidRDefault="00126BE8" w:rsidP="00126BE8">
      <w:pPr>
        <w:keepNext/>
        <w:keepLines/>
        <w:spacing w:before="120" w:after="0"/>
        <w:outlineLvl w:val="3"/>
        <w:rPr>
          <w:rFonts w:ascii="Montserrat" w:eastAsia="Times New Roman" w:hAnsi="Montserrat" w:cs="Times New Roman"/>
          <w:b/>
          <w:color w:val="7492CD"/>
          <w:w w:val="90"/>
          <w:kern w:val="2"/>
          <w:sz w:val="28"/>
          <w:szCs w:val="24"/>
        </w:rPr>
      </w:pPr>
      <w:bookmarkStart w:id="247" w:name="_Toc175930230"/>
      <w:bookmarkStart w:id="248" w:name="_Toc176162887"/>
      <w:bookmarkStart w:id="249" w:name="_Toc176175573"/>
      <w:bookmarkEnd w:id="246"/>
      <w:r>
        <w:rPr>
          <w:rFonts w:ascii="Montserrat" w:eastAsia="Times New Roman" w:hAnsi="Montserrat" w:cs="Times New Roman"/>
          <w:b/>
          <w:color w:val="7492CD"/>
          <w:w w:val="90"/>
          <w:kern w:val="2"/>
          <w:sz w:val="28"/>
          <w:szCs w:val="24"/>
        </w:rPr>
        <w:t>Human Rights Issues</w:t>
      </w:r>
      <w:bookmarkEnd w:id="247"/>
      <w:bookmarkEnd w:id="248"/>
      <w:bookmarkEnd w:id="249"/>
    </w:p>
    <w:p w14:paraId="6CF7B918" w14:textId="77777777" w:rsidR="00126BE8" w:rsidRPr="001E61EC" w:rsidRDefault="00126BE8" w:rsidP="00EE5867">
      <w:pPr>
        <w:pStyle w:val="Bodycopy"/>
        <w:keepLines/>
        <w:numPr>
          <w:ilvl w:val="0"/>
          <w:numId w:val="11"/>
        </w:numPr>
        <w:spacing w:before="120" w:after="0" w:line="283" w:lineRule="auto"/>
        <w:ind w:left="1208" w:hanging="357"/>
        <w:rPr>
          <w:rFonts w:eastAsia="Times New Roman"/>
          <w:b/>
          <w:spacing w:val="-4"/>
        </w:rPr>
      </w:pPr>
      <w:r w:rsidRPr="001E61EC">
        <w:rPr>
          <w:b/>
          <w:spacing w:val="-4"/>
        </w:rPr>
        <w:t xml:space="preserve">Subordinate Law SL2024-15 being the Crimes (Sentencing) Amendment Regulation 2024 (No 1) made under the </w:t>
      </w:r>
      <w:r w:rsidRPr="001E61EC">
        <w:rPr>
          <w:i/>
          <w:spacing w:val="-4"/>
        </w:rPr>
        <w:t>Crimes (Sentencing) Act 2005</w:t>
      </w:r>
      <w:r w:rsidRPr="001E61EC">
        <w:rPr>
          <w:b/>
          <w:spacing w:val="-4"/>
        </w:rPr>
        <w:t xml:space="preserve"> to promote respect for the law and the maintenance of a just and safe society and provide a range of sentencing options. </w:t>
      </w:r>
    </w:p>
    <w:p w14:paraId="7684C467" w14:textId="77777777" w:rsidR="00126BE8" w:rsidRDefault="00126BE8" w:rsidP="00E24228">
      <w:pPr>
        <w:pStyle w:val="Bodycopy"/>
        <w:spacing w:before="120" w:after="0" w:line="280" w:lineRule="exact"/>
        <w:rPr>
          <w:b/>
        </w:rPr>
      </w:pPr>
      <w:r>
        <w:rPr>
          <w:rFonts w:ascii="Montserrat SemiBold" w:hAnsi="Montserrat SemiBold" w:cs="Times New Roman"/>
          <w:iCs/>
          <w:color w:val="2F5496"/>
          <w:w w:val="90"/>
          <w:kern w:val="2"/>
          <w:sz w:val="24"/>
          <w:szCs w:val="24"/>
        </w:rPr>
        <w:t xml:space="preserve">Report under section 38 of the </w:t>
      </w:r>
      <w:r>
        <w:rPr>
          <w:rFonts w:ascii="Montserrat SemiBold" w:hAnsi="Montserrat SemiBold" w:cs="Times New Roman"/>
          <w:i/>
          <w:iCs/>
          <w:color w:val="2F5496"/>
          <w:w w:val="90"/>
          <w:kern w:val="2"/>
          <w:sz w:val="24"/>
          <w:szCs w:val="24"/>
        </w:rPr>
        <w:t xml:space="preserve">Human Rights Act 2004 </w:t>
      </w:r>
      <w:r>
        <w:rPr>
          <w:rFonts w:ascii="Montserrat SemiBold" w:hAnsi="Montserrat SemiBold" w:cs="Times New Roman"/>
          <w:iCs/>
          <w:color w:val="2F5496"/>
          <w:w w:val="90"/>
          <w:kern w:val="2"/>
          <w:sz w:val="24"/>
          <w:szCs w:val="24"/>
        </w:rPr>
        <w:t>(HRA)</w:t>
      </w:r>
    </w:p>
    <w:p w14:paraId="5E6F98D4"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privacy and reputation (section 12 HRA)</w:t>
      </w:r>
    </w:p>
    <w:p w14:paraId="7A46EF21"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 xml:space="preserve">This subordinate law extends the operation of the “Oversight Committee” as a “criminal justice entity”, to allow it to continue its work on the review titled “Sexual Assault (Police) Review”.  </w:t>
      </w:r>
      <w:proofErr w:type="gramStart"/>
      <w:r>
        <w:rPr>
          <w:rFonts w:ascii="Calibri" w:eastAsia="Calibri" w:hAnsi="Calibri" w:cs="Calibri"/>
          <w:color w:val="000000"/>
        </w:rPr>
        <w:t>The  designation</w:t>
      </w:r>
      <w:proofErr w:type="gramEnd"/>
      <w:r>
        <w:rPr>
          <w:rFonts w:ascii="Calibri" w:eastAsia="Calibri" w:hAnsi="Calibri" w:cs="Calibri"/>
          <w:color w:val="000000"/>
        </w:rPr>
        <w:t xml:space="preserve"> as a criminal justice entity was scheduled to conclude on 30 June 2024.  This subordinate law extends the designation to 31 August 2024.</w:t>
      </w:r>
    </w:p>
    <w:p w14:paraId="0E50B755"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lastRenderedPageBreak/>
        <w:t xml:space="preserve">As the role of the Committee (and its role as a criminal justice entity) involves the sharing of information about offences, and/or alleged offences, from a police file, the subordinate law engages the right to privacy and reputation, protected by section 12 of the </w:t>
      </w:r>
      <w:r>
        <w:rPr>
          <w:rFonts w:ascii="Calibri" w:eastAsia="Calibri" w:hAnsi="Calibri" w:cs="Calibri"/>
          <w:i/>
          <w:iCs/>
          <w:color w:val="000000"/>
        </w:rPr>
        <w:t>Human Rights Act 2004</w:t>
      </w:r>
      <w:r>
        <w:rPr>
          <w:rFonts w:ascii="Calibri" w:eastAsia="Calibri" w:hAnsi="Calibri" w:cs="Calibri"/>
          <w:color w:val="000000"/>
        </w:rPr>
        <w:t>.  This is discussed in the explanatory statement for the subordinate law:</w:t>
      </w:r>
    </w:p>
    <w:p w14:paraId="4995F28C" w14:textId="2218981A" w:rsidR="00126BE8" w:rsidRDefault="00126BE8" w:rsidP="001E61EC">
      <w:pPr>
        <w:pStyle w:val="Quote"/>
        <w:spacing w:before="120" w:after="120"/>
        <w:rPr>
          <w:rFonts w:ascii="Calibri" w:eastAsia="Calibri" w:hAnsi="Calibri" w:cs="Calibri"/>
          <w:b/>
          <w:color w:val="7F7F7F"/>
          <w:szCs w:val="20"/>
        </w:rPr>
      </w:pPr>
      <w:r>
        <w:rPr>
          <w:rFonts w:ascii="Calibri" w:eastAsia="Calibri" w:hAnsi="Calibri" w:cs="Calibri"/>
          <w:b/>
          <w:color w:val="7F7F7F"/>
          <w:szCs w:val="20"/>
        </w:rPr>
        <w:t>Impact on Human Rights</w:t>
      </w:r>
    </w:p>
    <w:p w14:paraId="1886C751"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Section 12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provides that “everyone has a right not to have his or her privacy… interfered with unlawfully or arbitrarily”. The disclosure of personal information engages and limits the right to privacy contained in section 12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which states that “everyone has the right not to have his or her privacy… interfered with unlawfully or arbitrarily”.</w:t>
      </w:r>
    </w:p>
    <w:p w14:paraId="05993BD5"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However, the right to privacy is a qualified right and section 28 of the </w:t>
      </w:r>
      <w:r>
        <w:rPr>
          <w:rFonts w:ascii="Calibri" w:eastAsia="Calibri" w:hAnsi="Calibri" w:cs="Calibri"/>
          <w:bCs/>
          <w:i/>
          <w:iCs/>
          <w:color w:val="7F7F7F"/>
          <w:szCs w:val="20"/>
        </w:rPr>
        <w:t xml:space="preserve">Human Rights Act 2004 </w:t>
      </w:r>
      <w:r>
        <w:rPr>
          <w:rFonts w:ascii="Calibri" w:eastAsia="Calibri" w:hAnsi="Calibri" w:cs="Calibri"/>
          <w:bCs/>
          <w:color w:val="7F7F7F"/>
          <w:szCs w:val="20"/>
        </w:rPr>
        <w:t>provides legislative recognition that human rights may be limited in certain circumstances. Limitations on the right to privacy can be applied where it can be shown that it is necessary in a free and democratic society to do so and if there is a legal basis for such interference.</w:t>
      </w:r>
    </w:p>
    <w:p w14:paraId="6298FFD7"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On balance and considering the factors outlined in section 28, the limitation on the right to privacy is justified in this instance. Allowing the Oversight Committee, the Coordinator-General for Family Safety, the Coordinator-General for the Prevention of Sexual Violence and ACAT to share information with other criminal justice entities in certain circumstances is appropriate and will support the purposes of the </w:t>
      </w:r>
      <w:r>
        <w:rPr>
          <w:rFonts w:ascii="Calibri" w:eastAsia="Calibri" w:hAnsi="Calibri" w:cs="Calibri"/>
          <w:bCs/>
          <w:i/>
          <w:iCs/>
          <w:color w:val="7F7F7F"/>
          <w:szCs w:val="20"/>
        </w:rPr>
        <w:t>Crimes (Sentencing) Act 2005</w:t>
      </w:r>
      <w:r>
        <w:rPr>
          <w:rFonts w:ascii="Calibri" w:eastAsia="Calibri" w:hAnsi="Calibri" w:cs="Calibri"/>
          <w:bCs/>
          <w:color w:val="7F7F7F"/>
          <w:szCs w:val="20"/>
        </w:rPr>
        <w:t>.</w:t>
      </w:r>
    </w:p>
    <w:p w14:paraId="229BD46B"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purpose is to provide authority for criminal justice entities to exchange information to the extent of their responsibilities and allow for improved information sharing with other agencies in the criminal justice system, which is important and necessary. The limitation on the right to privacy related to the disclosure of personal information between criminal justice entities is justified and reasonable for this purpose.</w:t>
      </w:r>
    </w:p>
    <w:p w14:paraId="4F30C345" w14:textId="429DB85D"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Limitations on rights need to be lawful and not arbitrary. Arbitrary refers to a</w:t>
      </w:r>
      <w:r w:rsidR="00E24228">
        <w:rPr>
          <w:rFonts w:ascii="Calibri" w:eastAsia="Calibri" w:hAnsi="Calibri" w:cs="Calibri"/>
          <w:bCs/>
          <w:color w:val="7F7F7F"/>
          <w:szCs w:val="20"/>
        </w:rPr>
        <w:t> </w:t>
      </w:r>
      <w:r>
        <w:rPr>
          <w:rFonts w:ascii="Calibri" w:eastAsia="Calibri" w:hAnsi="Calibri" w:cs="Calibri"/>
          <w:bCs/>
          <w:color w:val="7F7F7F"/>
          <w:szCs w:val="20"/>
        </w:rPr>
        <w:t xml:space="preserve">decision or action which is not based on reasonable and relevant identifiable criterion. A law that permits an interference with privacy must be sufficiently precise and confined so as not to give too much discretion to authorities. The </w:t>
      </w:r>
      <w:r>
        <w:rPr>
          <w:rFonts w:ascii="Calibri" w:eastAsia="Calibri" w:hAnsi="Calibri" w:cs="Calibri"/>
          <w:bCs/>
          <w:i/>
          <w:iCs/>
          <w:color w:val="7F7F7F"/>
          <w:szCs w:val="20"/>
        </w:rPr>
        <w:t>Crimes (Sentencing) Regulation 2006</w:t>
      </w:r>
      <w:r>
        <w:rPr>
          <w:rFonts w:ascii="Calibri" w:eastAsia="Calibri" w:hAnsi="Calibri" w:cs="Calibri"/>
          <w:bCs/>
          <w:color w:val="7F7F7F"/>
          <w:szCs w:val="20"/>
        </w:rPr>
        <w:t xml:space="preserve"> designated specific, identified organisations which have a role attached to the function of the criminal justice system as criminal justice entities under section 36 of the </w:t>
      </w:r>
      <w:r>
        <w:rPr>
          <w:rFonts w:ascii="Calibri" w:eastAsia="Calibri" w:hAnsi="Calibri" w:cs="Calibri"/>
          <w:bCs/>
          <w:i/>
          <w:iCs/>
          <w:color w:val="7F7F7F"/>
          <w:szCs w:val="20"/>
        </w:rPr>
        <w:t>Crimes (Sentencing) Act 2005</w:t>
      </w:r>
      <w:r>
        <w:rPr>
          <w:rFonts w:ascii="Calibri" w:eastAsia="Calibri" w:hAnsi="Calibri" w:cs="Calibri"/>
          <w:bCs/>
          <w:color w:val="7F7F7F"/>
          <w:szCs w:val="20"/>
        </w:rPr>
        <w:t xml:space="preserve">. </w:t>
      </w:r>
    </w:p>
    <w:p w14:paraId="1CC002F6" w14:textId="77777777" w:rsidR="00126BE8" w:rsidRDefault="00126BE8" w:rsidP="001E61EC">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engagement of the right is limited as the information sharing provisions are restricted and controlled. Prescribing the entities that can receive information ensures that the disclosure does not happen unlawfully or arbitrarily. This is the least restrictive means of supporting the purposes of the Act and the efficient and effective operation of information sharing between criminal justice entities. Under the amendment, the prescription of the Sexual Assault (Police) Review Oversight Committee is intended to conclude on 31 August 2024, reflecting the time limited nature of the Committee’s role. Further, the prescription by regulation is a safeguard as regulations are subject to examination by the Legislative Assembly.</w:t>
      </w:r>
    </w:p>
    <w:p w14:paraId="0D3E697E" w14:textId="46AAE6DA"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lastRenderedPageBreak/>
        <w:t>The Committee draws the attention of the Legislative Assembly to the discussion of human rights issues in the explanatory statement for this subordinate law</w:t>
      </w:r>
      <w:r w:rsidR="001E61EC">
        <w:rPr>
          <w:rFonts w:ascii="Calibri" w:eastAsia="Calibri" w:hAnsi="Calibri" w:cs="Calibri"/>
          <w:b/>
          <w:color w:val="000000"/>
        </w:rPr>
        <w:t>.</w:t>
      </w:r>
    </w:p>
    <w:p w14:paraId="2E61BD3F" w14:textId="77777777" w:rsidR="00126BE8" w:rsidRDefault="00126BE8" w:rsidP="00EE5867">
      <w:pPr>
        <w:pStyle w:val="ListNumber2"/>
        <w:numPr>
          <w:ilvl w:val="1"/>
          <w:numId w:val="6"/>
        </w:numPr>
        <w:ind w:hanging="720"/>
        <w:rPr>
          <w:rFonts w:ascii="Calibri" w:eastAsia="Calibri" w:hAnsi="Calibri" w:cs="Calibri"/>
          <w:b/>
          <w:color w:val="000000"/>
        </w:rPr>
      </w:pPr>
      <w:bookmarkStart w:id="250" w:name="_Hlk175490686"/>
      <w:r>
        <w:rPr>
          <w:rFonts w:ascii="Calibri" w:eastAsia="Calibri" w:hAnsi="Calibri" w:cs="Calibri"/>
          <w:b/>
          <w:color w:val="000000"/>
        </w:rPr>
        <w:t>This</w:t>
      </w:r>
      <w:bookmarkEnd w:id="250"/>
      <w:r>
        <w:rPr>
          <w:rFonts w:ascii="Calibri" w:eastAsia="Calibri" w:hAnsi="Calibri" w:cs="Calibri"/>
          <w:b/>
          <w:color w:val="000000"/>
        </w:rPr>
        <w:t xml:space="preserve"> comment does not require a response from the Minister.</w:t>
      </w:r>
    </w:p>
    <w:p w14:paraId="76A5F5BF" w14:textId="77777777" w:rsidR="00126BE8" w:rsidRDefault="00126BE8" w:rsidP="00126BE8">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251" w:name="_Toc175930231"/>
      <w:bookmarkStart w:id="252" w:name="_Toc176162888"/>
      <w:bookmarkStart w:id="253" w:name="_Toc176175574"/>
      <w:r>
        <w:rPr>
          <w:rFonts w:ascii="Montserrat" w:eastAsia="Times New Roman" w:hAnsi="Montserrat" w:cs="Times New Roman"/>
          <w:b/>
          <w:color w:val="7492CD"/>
          <w:w w:val="90"/>
          <w:kern w:val="2"/>
          <w:sz w:val="28"/>
          <w:szCs w:val="24"/>
        </w:rPr>
        <w:t>No discussion of Human Rights Issues</w:t>
      </w:r>
      <w:bookmarkEnd w:id="251"/>
      <w:bookmarkEnd w:id="252"/>
      <w:bookmarkEnd w:id="253"/>
    </w:p>
    <w:bookmarkEnd w:id="232"/>
    <w:p w14:paraId="57D194C0"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SL2024-16 being the Building and Construction Industry Training Levy Amendment Regulation 2024 (No 1) made under section 37 of the </w:t>
      </w:r>
      <w:r>
        <w:rPr>
          <w:i/>
        </w:rPr>
        <w:t>Building and Construction Industry Training Levy Act 1999</w:t>
      </w:r>
      <w:r>
        <w:rPr>
          <w:b/>
        </w:rPr>
        <w:t xml:space="preserve"> amends the </w:t>
      </w:r>
      <w:bookmarkStart w:id="254" w:name="_Hlk175492195"/>
      <w:r>
        <w:rPr>
          <w:b/>
          <w:i/>
          <w:iCs/>
        </w:rPr>
        <w:t>Building and Construction Industry Training Levy Regulation 2001</w:t>
      </w:r>
      <w:bookmarkEnd w:id="254"/>
      <w:r>
        <w:rPr>
          <w:b/>
        </w:rPr>
        <w:t xml:space="preserve">. </w:t>
      </w:r>
    </w:p>
    <w:p w14:paraId="1E44670A" w14:textId="77777777" w:rsidR="00126BE8" w:rsidRDefault="00126BE8" w:rsidP="00126BE8">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255" w:name="_Toc175930232"/>
      <w:bookmarkStart w:id="256" w:name="_Toc176162889"/>
      <w:bookmarkStart w:id="257" w:name="_Toc176175575"/>
      <w:bookmarkStart w:id="258" w:name="_Hlk175492769"/>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bookmarkEnd w:id="255"/>
      <w:bookmarkEnd w:id="256"/>
      <w:bookmarkEnd w:id="257"/>
    </w:p>
    <w:bookmarkEnd w:id="258"/>
    <w:p w14:paraId="4131A394" w14:textId="77777777" w:rsidR="00126BE8" w:rsidRDefault="00126BE8" w:rsidP="00EE5867">
      <w:pPr>
        <w:pStyle w:val="ListNumber2"/>
        <w:numPr>
          <w:ilvl w:val="1"/>
          <w:numId w:val="6"/>
        </w:numPr>
        <w:ind w:hanging="720"/>
        <w:rPr>
          <w:bCs w:val="0"/>
        </w:rPr>
      </w:pPr>
      <w:r w:rsidRPr="00297A82">
        <w:rPr>
          <w:rFonts w:ascii="Calibri" w:eastAsia="Calibri" w:hAnsi="Calibri" w:cs="Calibri"/>
          <w:bCs w:val="0"/>
          <w:color w:val="000000"/>
        </w:rPr>
        <w:t>This</w:t>
      </w:r>
      <w:r>
        <w:t xml:space="preserve"> subordinate law makes minor amendments to the </w:t>
      </w:r>
      <w:r>
        <w:rPr>
          <w:i/>
          <w:iCs/>
        </w:rPr>
        <w:t>Building and Construction Industry Training Levy Regulation 2001</w:t>
      </w:r>
      <w:r>
        <w:t xml:space="preserve">. </w:t>
      </w:r>
    </w:p>
    <w:p w14:paraId="285D4068" w14:textId="77777777" w:rsidR="00126BE8" w:rsidRDefault="00126BE8" w:rsidP="00EE5867">
      <w:pPr>
        <w:pStyle w:val="ListNumber2"/>
        <w:numPr>
          <w:ilvl w:val="1"/>
          <w:numId w:val="6"/>
        </w:numPr>
        <w:ind w:hanging="720"/>
        <w:rPr>
          <w:rFonts w:ascii="Calibri" w:eastAsia="Calibri" w:hAnsi="Calibri" w:cs="Calibri"/>
          <w:bCs w:val="0"/>
          <w:color w:val="000000"/>
        </w:rPr>
      </w:pPr>
      <w:r>
        <w:t xml:space="preserve">The Committee notes that the explanatory statement for the subordinate law contains </w:t>
      </w:r>
      <w:r>
        <w:rPr>
          <w:rFonts w:ascii="Calibri" w:eastAsia="Calibri" w:hAnsi="Calibri" w:cs="Calibri"/>
          <w:color w:val="000000"/>
          <w:u w:val="single"/>
        </w:rPr>
        <w:t>no</w:t>
      </w:r>
      <w:r>
        <w:rPr>
          <w:rFonts w:ascii="Calibri" w:eastAsia="Calibri" w:hAnsi="Calibri" w:cs="Calibri"/>
          <w:color w:val="000000"/>
        </w:rPr>
        <w:t xml:space="preserve"> discussion of possible human rights issues raised by the subordinate law, to assist the Committee in its (expanded) role under section 38 of the </w:t>
      </w:r>
      <w:r>
        <w:rPr>
          <w:rFonts w:ascii="Calibri" w:eastAsia="Calibri" w:hAnsi="Calibri" w:cs="Calibri"/>
          <w:i/>
          <w:iCs/>
          <w:color w:val="000000"/>
        </w:rPr>
        <w:t>Human Rights Act 2004</w:t>
      </w:r>
      <w:r>
        <w:rPr>
          <w:rFonts w:ascii="Calibri" w:eastAsia="Calibri" w:hAnsi="Calibri" w:cs="Calibri"/>
          <w:color w:val="000000"/>
        </w:rPr>
        <w:t>.</w:t>
      </w:r>
    </w:p>
    <w:p w14:paraId="718210F2" w14:textId="75ACC6E3" w:rsidR="00126BE8" w:rsidRPr="00793041" w:rsidRDefault="00126BE8" w:rsidP="00EE5867">
      <w:pPr>
        <w:pStyle w:val="ListNumber2"/>
        <w:numPr>
          <w:ilvl w:val="1"/>
          <w:numId w:val="6"/>
        </w:numPr>
        <w:ind w:hanging="720"/>
        <w:rPr>
          <w:rFonts w:ascii="Calibri" w:eastAsia="Calibri" w:hAnsi="Calibri" w:cs="Calibri"/>
          <w:b/>
          <w:bCs w:val="0"/>
          <w:color w:val="000000"/>
        </w:rPr>
      </w:pPr>
      <w:r>
        <w:rPr>
          <w:rFonts w:ascii="Calibri" w:eastAsia="Calibri" w:hAnsi="Calibri" w:cs="Calibri"/>
          <w:b/>
          <w:color w:val="000000"/>
        </w:rPr>
        <w:t>The Committee draws the attention of the Legislative Assembly to this subordinate law, under principle (10)(d) of the Committee’s resolution of appointment, on the basis that the explanatory statement for the instrument does not meet the technical or stylistic standards expected by the Committee.</w:t>
      </w:r>
    </w:p>
    <w:tbl>
      <w:tblPr>
        <w:tblW w:w="0" w:type="auto"/>
        <w:tblInd w:w="851" w:type="dxa"/>
        <w:shd w:val="clear" w:color="auto" w:fill="D9E2F3" w:themeFill="accent1" w:themeFillTint="33"/>
        <w:tblLook w:val="0600" w:firstRow="0" w:lastRow="0" w:firstColumn="0" w:lastColumn="0" w:noHBand="1" w:noVBand="1"/>
      </w:tblPr>
      <w:tblGrid>
        <w:gridCol w:w="7891"/>
      </w:tblGrid>
      <w:tr w:rsidR="00126BE8" w14:paraId="6098F918" w14:textId="77777777" w:rsidTr="00793041">
        <w:tc>
          <w:tcPr>
            <w:tcW w:w="7891" w:type="dxa"/>
            <w:shd w:val="clear" w:color="auto" w:fill="D9E2F3" w:themeFill="accent1" w:themeFillTint="33"/>
            <w:hideMark/>
          </w:tcPr>
          <w:p w14:paraId="25D1117F" w14:textId="77777777" w:rsidR="00126BE8" w:rsidRPr="00793041" w:rsidRDefault="00126BE8">
            <w:pPr>
              <w:spacing w:before="80" w:after="120"/>
              <w:rPr>
                <w:rFonts w:ascii="Calibri" w:eastAsia="Calibri" w:hAnsi="Calibri" w:cs="Calibri"/>
                <w:bCs/>
                <w:color w:val="000000"/>
              </w:rPr>
            </w:pPr>
            <w:r w:rsidRPr="00793041">
              <w:rPr>
                <w:rFonts w:ascii="Calibri" w:eastAsia="Calibri" w:hAnsi="Calibri" w:cs="Calibri"/>
                <w:bCs/>
                <w:color w:val="000000"/>
              </w:rPr>
              <w:t>This comment requires a response from the Minister. The Committee would be grateful if the Minister could respond before the Legislative Assembly’s capacity to move to disallow the subordinate law expires.</w:t>
            </w:r>
          </w:p>
        </w:tc>
      </w:tr>
    </w:tbl>
    <w:p w14:paraId="67990441" w14:textId="77777777" w:rsidR="00126BE8" w:rsidRDefault="00126BE8" w:rsidP="00126BE8">
      <w:pPr>
        <w:spacing w:before="80" w:after="0"/>
        <w:rPr>
          <w:rFonts w:ascii="Calibri" w:eastAsia="Calibri" w:hAnsi="Calibri" w:cs="Calibri"/>
          <w:b/>
          <w:bCs/>
          <w:color w:val="000000"/>
          <w:szCs w:val="20"/>
        </w:rPr>
      </w:pPr>
    </w:p>
    <w:p w14:paraId="4F1A770D" w14:textId="77777777" w:rsidR="00126BE8" w:rsidRDefault="00126BE8" w:rsidP="00EE5867">
      <w:pPr>
        <w:pStyle w:val="Bodycopy"/>
        <w:keepLines/>
        <w:numPr>
          <w:ilvl w:val="0"/>
          <w:numId w:val="11"/>
        </w:numPr>
        <w:spacing w:before="120" w:after="0" w:line="283" w:lineRule="auto"/>
        <w:ind w:left="1208" w:hanging="357"/>
        <w:rPr>
          <w:rFonts w:eastAsia="Times New Roman"/>
          <w:b/>
        </w:rPr>
      </w:pPr>
      <w:r>
        <w:rPr>
          <w:b/>
        </w:rPr>
        <w:t xml:space="preserve">Subordinate Law SL2024-17 being the </w:t>
      </w:r>
      <w:bookmarkStart w:id="259" w:name="_Hlk175492852"/>
      <w:r>
        <w:rPr>
          <w:b/>
          <w:i/>
          <w:iCs/>
        </w:rPr>
        <w:t xml:space="preserve">Environment Protection Amendment Regulation 2024 </w:t>
      </w:r>
      <w:bookmarkEnd w:id="259"/>
      <w:r>
        <w:rPr>
          <w:b/>
          <w:i/>
          <w:iCs/>
        </w:rPr>
        <w:t>(No 1)</w:t>
      </w:r>
      <w:r>
        <w:rPr>
          <w:b/>
        </w:rPr>
        <w:t xml:space="preserve">, including a regulatory impact statement made under the </w:t>
      </w:r>
      <w:r>
        <w:rPr>
          <w:i/>
        </w:rPr>
        <w:t>Environment Protection Act 1997</w:t>
      </w:r>
      <w:r>
        <w:rPr>
          <w:b/>
        </w:rPr>
        <w:t xml:space="preserve"> amends the </w:t>
      </w:r>
      <w:r>
        <w:rPr>
          <w:b/>
          <w:i/>
          <w:iCs/>
        </w:rPr>
        <w:t xml:space="preserve">Environment Protection Regulation 2005 </w:t>
      </w:r>
      <w:r>
        <w:rPr>
          <w:b/>
        </w:rPr>
        <w:t xml:space="preserve">to introduce appropriate noise standards for entertainment noise emitted in the Canberra City Entertainment Precinct. </w:t>
      </w:r>
    </w:p>
    <w:p w14:paraId="455619C5" w14:textId="77777777" w:rsidR="00126BE8" w:rsidRDefault="00126BE8" w:rsidP="00126BE8">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260" w:name="_Toc175930233"/>
      <w:bookmarkStart w:id="261" w:name="_Toc176162890"/>
      <w:bookmarkStart w:id="262" w:name="_Toc176175576"/>
      <w:r>
        <w:rPr>
          <w:rFonts w:ascii="Montserrat SemiBold" w:eastAsia="Calibri" w:hAnsi="Montserrat SemiBold" w:cs="Times New Roman"/>
          <w:iCs/>
          <w:color w:val="2F5496"/>
          <w:w w:val="90"/>
          <w:kern w:val="2"/>
          <w:sz w:val="24"/>
          <w:szCs w:val="24"/>
          <w:lang w:eastAsia="en-AU"/>
        </w:rPr>
        <w:t xml:space="preserve">Report under section 38 of the </w:t>
      </w:r>
      <w:r>
        <w:rPr>
          <w:rFonts w:ascii="Montserrat SemiBold" w:eastAsia="Calibri" w:hAnsi="Montserrat SemiBold" w:cs="Times New Roman"/>
          <w:i/>
          <w:iCs/>
          <w:color w:val="2F5496"/>
          <w:w w:val="90"/>
          <w:kern w:val="2"/>
          <w:sz w:val="24"/>
          <w:szCs w:val="24"/>
          <w:lang w:eastAsia="en-AU"/>
        </w:rPr>
        <w:t xml:space="preserve">Human Rights Act 2004 </w:t>
      </w:r>
      <w:r>
        <w:rPr>
          <w:rFonts w:ascii="Montserrat SemiBold" w:eastAsia="Calibri" w:hAnsi="Montserrat SemiBold" w:cs="Times New Roman"/>
          <w:iCs/>
          <w:color w:val="2F5496"/>
          <w:w w:val="90"/>
          <w:kern w:val="2"/>
          <w:sz w:val="24"/>
          <w:szCs w:val="24"/>
          <w:lang w:eastAsia="en-AU"/>
        </w:rPr>
        <w:t>(HRA)</w:t>
      </w:r>
      <w:bookmarkEnd w:id="260"/>
      <w:bookmarkEnd w:id="261"/>
      <w:bookmarkEnd w:id="262"/>
    </w:p>
    <w:p w14:paraId="13277190" w14:textId="77777777" w:rsidR="00126BE8" w:rsidRDefault="00126BE8" w:rsidP="00126BE8">
      <w:pPr>
        <w:keepNext/>
        <w:keepLines/>
        <w:spacing w:before="80" w:after="0"/>
        <w:outlineLvl w:val="4"/>
        <w:rPr>
          <w:rFonts w:ascii="Montserrat" w:eastAsia="Times New Roman" w:hAnsi="Montserrat" w:cs="Times New Roman"/>
          <w:iCs/>
          <w:color w:val="2F5496"/>
          <w:w w:val="90"/>
          <w:kern w:val="2"/>
          <w:sz w:val="23"/>
          <w:szCs w:val="20"/>
        </w:rPr>
      </w:pPr>
      <w:bookmarkStart w:id="263" w:name="_Hlk175488968"/>
      <w:r>
        <w:rPr>
          <w:rFonts w:ascii="Montserrat" w:eastAsia="Times New Roman" w:hAnsi="Montserrat" w:cs="Times New Roman"/>
          <w:iCs/>
          <w:color w:val="2F5496"/>
          <w:w w:val="90"/>
          <w:kern w:val="2"/>
          <w:sz w:val="23"/>
          <w:szCs w:val="20"/>
        </w:rPr>
        <w:t>Right to privacy and reputation (section 12 HRA)</w:t>
      </w:r>
    </w:p>
    <w:bookmarkEnd w:id="210"/>
    <w:bookmarkEnd w:id="211"/>
    <w:bookmarkEnd w:id="212"/>
    <w:bookmarkEnd w:id="213"/>
    <w:bookmarkEnd w:id="263"/>
    <w:p w14:paraId="6B3C505D" w14:textId="77777777" w:rsidR="00126BE8" w:rsidRDefault="00126BE8" w:rsidP="00EE5867">
      <w:pPr>
        <w:pStyle w:val="ListNumber2"/>
        <w:numPr>
          <w:ilvl w:val="1"/>
          <w:numId w:val="6"/>
        </w:numPr>
        <w:ind w:hanging="720"/>
        <w:rPr>
          <w:rFonts w:eastAsia="Times New Roman"/>
          <w:bCs w:val="0"/>
        </w:rPr>
      </w:pPr>
      <w:r>
        <w:t xml:space="preserve">This subordinate law amends the Environment Protection Regulation 2005, to introduce “appropriate noise standards for entertainment noise emitted in the [Canberra Entertainment Precinct] CCEP”.  The explanatory statement for the subordinate law states: </w:t>
      </w:r>
    </w:p>
    <w:p w14:paraId="03E402B0"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Amendment Regulation introduces noise zones and associated noise standards for both the CCEP core (zone B3) and CCEP frame (zone B4). </w:t>
      </w:r>
    </w:p>
    <w:p w14:paraId="5D47DA00"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new noise standards for the CCEP core and frame establish specific noise settings for entertainment noise emitted from a place other than a dwelling.  Amendment Regulation clause 9 refers the definition of dwellings to the </w:t>
      </w:r>
      <w:r>
        <w:rPr>
          <w:rFonts w:ascii="Calibri" w:eastAsia="Calibri" w:hAnsi="Calibri" w:cs="Calibri"/>
          <w:bCs/>
          <w:i/>
          <w:iCs/>
          <w:color w:val="7F7F7F"/>
          <w:szCs w:val="20"/>
        </w:rPr>
        <w:t>Planning (General) Regulation 2023</w:t>
      </w:r>
      <w:r>
        <w:rPr>
          <w:rFonts w:ascii="Calibri" w:eastAsia="Calibri" w:hAnsi="Calibri" w:cs="Calibri"/>
          <w:bCs/>
          <w:color w:val="7F7F7F"/>
          <w:szCs w:val="20"/>
        </w:rPr>
        <w:t>, section 6.</w:t>
      </w:r>
    </w:p>
    <w:p w14:paraId="28831774" w14:textId="223408B2"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lastRenderedPageBreak/>
        <w:t xml:space="preserve">The explanatory statement goes on to discuss human rights issues, focusing on the right to privacy and reputation, protected by section 12 of the </w:t>
      </w:r>
      <w:r>
        <w:rPr>
          <w:rFonts w:ascii="Calibri" w:eastAsia="Calibri" w:hAnsi="Calibri" w:cs="Calibri"/>
          <w:i/>
          <w:iCs/>
          <w:color w:val="000000"/>
        </w:rPr>
        <w:t>Human Rights Act 2004</w:t>
      </w:r>
      <w:r>
        <w:rPr>
          <w:rFonts w:ascii="Calibri" w:eastAsia="Calibri" w:hAnsi="Calibri" w:cs="Calibri"/>
          <w:color w:val="000000"/>
        </w:rPr>
        <w:t>:</w:t>
      </w:r>
    </w:p>
    <w:p w14:paraId="482794BB" w14:textId="77777777" w:rsidR="00126BE8" w:rsidRDefault="00126BE8" w:rsidP="00297A82">
      <w:pPr>
        <w:pStyle w:val="Quote"/>
        <w:rPr>
          <w:rFonts w:ascii="Calibri" w:eastAsia="Calibri" w:hAnsi="Calibri" w:cs="Calibri"/>
          <w:bCs/>
          <w:color w:val="7F7F7F"/>
          <w:szCs w:val="20"/>
          <w:u w:val="single"/>
        </w:rPr>
      </w:pPr>
      <w:r>
        <w:rPr>
          <w:rFonts w:ascii="Calibri" w:eastAsia="Calibri" w:hAnsi="Calibri" w:cs="Calibri"/>
          <w:bCs/>
          <w:color w:val="7F7F7F"/>
          <w:szCs w:val="20"/>
          <w:u w:val="single"/>
        </w:rPr>
        <w:t xml:space="preserve">Rights </w:t>
      </w:r>
      <w:proofErr w:type="gramStart"/>
      <w:r>
        <w:rPr>
          <w:rFonts w:ascii="Calibri" w:eastAsia="Calibri" w:hAnsi="Calibri" w:cs="Calibri"/>
          <w:bCs/>
          <w:color w:val="7F7F7F"/>
          <w:szCs w:val="20"/>
          <w:u w:val="single"/>
        </w:rPr>
        <w:t>limited</w:t>
      </w:r>
      <w:proofErr w:type="gramEnd"/>
    </w:p>
    <w:p w14:paraId="3181B0BD" w14:textId="77777777" w:rsidR="00126BE8" w:rsidRDefault="00126BE8" w:rsidP="00297A82">
      <w:pPr>
        <w:pStyle w:val="Quote"/>
        <w:rPr>
          <w:rFonts w:ascii="Calibri" w:eastAsia="Calibri" w:hAnsi="Calibri" w:cs="Calibri"/>
          <w:bCs/>
          <w:color w:val="7F7F7F"/>
          <w:szCs w:val="20"/>
          <w:u w:val="single"/>
        </w:rPr>
      </w:pPr>
      <w:r>
        <w:rPr>
          <w:rFonts w:ascii="Calibri" w:eastAsia="Calibri" w:hAnsi="Calibri" w:cs="Calibri"/>
          <w:bCs/>
          <w:color w:val="7F7F7F"/>
          <w:szCs w:val="20"/>
          <w:u w:val="single"/>
        </w:rPr>
        <w:t>Section 12 - Privacy and reputation</w:t>
      </w:r>
    </w:p>
    <w:p w14:paraId="5765FE3A" w14:textId="77777777" w:rsidR="00126BE8" w:rsidRDefault="00126BE8" w:rsidP="00297A82">
      <w:pPr>
        <w:pStyle w:val="Quote"/>
        <w:rPr>
          <w:rFonts w:ascii="Calibri" w:eastAsia="Calibri" w:hAnsi="Calibri" w:cs="Calibri"/>
          <w:bCs/>
          <w:i/>
          <w:iCs/>
          <w:color w:val="7F7F7F"/>
          <w:szCs w:val="20"/>
        </w:rPr>
      </w:pPr>
      <w:r>
        <w:rPr>
          <w:rFonts w:ascii="Calibri" w:eastAsia="Calibri" w:hAnsi="Calibri" w:cs="Calibri"/>
          <w:bCs/>
          <w:i/>
          <w:iCs/>
          <w:color w:val="7F7F7F"/>
          <w:szCs w:val="20"/>
        </w:rPr>
        <w:t>1. Nature of the right and the limitation (s28(a) and (c))</w:t>
      </w:r>
    </w:p>
    <w:p w14:paraId="7ED6E06A"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right to privacy and reputation under section 12 of the </w:t>
      </w:r>
      <w:r>
        <w:rPr>
          <w:rFonts w:ascii="Calibri" w:eastAsia="Calibri" w:hAnsi="Calibri" w:cs="Calibri"/>
          <w:bCs/>
          <w:i/>
          <w:iCs/>
          <w:color w:val="7F7F7F"/>
          <w:szCs w:val="20"/>
        </w:rPr>
        <w:t>Human Rights Act 2004</w:t>
      </w:r>
      <w:r>
        <w:rPr>
          <w:rFonts w:ascii="Calibri" w:eastAsia="Calibri" w:hAnsi="Calibri" w:cs="Calibri"/>
          <w:bCs/>
          <w:color w:val="7F7F7F"/>
          <w:szCs w:val="20"/>
        </w:rPr>
        <w:t xml:space="preserve"> (HR Act) states that everyone has the right not to have his or her privacy, family, </w:t>
      </w:r>
      <w:proofErr w:type="gramStart"/>
      <w:r>
        <w:rPr>
          <w:rFonts w:ascii="Calibri" w:eastAsia="Calibri" w:hAnsi="Calibri" w:cs="Calibri"/>
          <w:bCs/>
          <w:color w:val="7F7F7F"/>
          <w:szCs w:val="20"/>
        </w:rPr>
        <w:t>home</w:t>
      </w:r>
      <w:proofErr w:type="gramEnd"/>
      <w:r>
        <w:rPr>
          <w:rFonts w:ascii="Calibri" w:eastAsia="Calibri" w:hAnsi="Calibri" w:cs="Calibri"/>
          <w:bCs/>
          <w:color w:val="7F7F7F"/>
          <w:szCs w:val="20"/>
        </w:rPr>
        <w:t xml:space="preserve"> or correspondence interfered with unlawfully or arbitrarily, and not to have his or her reputation unlawfully attacked. </w:t>
      </w:r>
    </w:p>
    <w:p w14:paraId="146C518D"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right encompasses the idea that individuals should have a separate area of autonomous development, </w:t>
      </w:r>
      <w:proofErr w:type="gramStart"/>
      <w:r>
        <w:rPr>
          <w:rFonts w:ascii="Calibri" w:eastAsia="Calibri" w:hAnsi="Calibri" w:cs="Calibri"/>
          <w:bCs/>
          <w:color w:val="7F7F7F"/>
          <w:szCs w:val="20"/>
        </w:rPr>
        <w:t>interaction</w:t>
      </w:r>
      <w:proofErr w:type="gramEnd"/>
      <w:r>
        <w:rPr>
          <w:rFonts w:ascii="Calibri" w:eastAsia="Calibri" w:hAnsi="Calibri" w:cs="Calibri"/>
          <w:bCs/>
          <w:color w:val="7F7F7F"/>
          <w:szCs w:val="20"/>
        </w:rPr>
        <w:t xml:space="preserve"> and liberty, free from excessive government intervention and unsolicited intrusion by other individuals. Included in the protections under section 12 is the protection of the family home and/or place of residence from trespass, harassment, nuisance, </w:t>
      </w:r>
      <w:proofErr w:type="gramStart"/>
      <w:r>
        <w:rPr>
          <w:rFonts w:ascii="Calibri" w:eastAsia="Calibri" w:hAnsi="Calibri" w:cs="Calibri"/>
          <w:bCs/>
          <w:color w:val="7F7F7F"/>
          <w:szCs w:val="20"/>
        </w:rPr>
        <w:t>searches</w:t>
      </w:r>
      <w:proofErr w:type="gramEnd"/>
      <w:r>
        <w:rPr>
          <w:rFonts w:ascii="Calibri" w:eastAsia="Calibri" w:hAnsi="Calibri" w:cs="Calibri"/>
          <w:bCs/>
          <w:color w:val="7F7F7F"/>
          <w:szCs w:val="20"/>
        </w:rPr>
        <w:t xml:space="preserve"> or surveillance.</w:t>
      </w:r>
    </w:p>
    <w:p w14:paraId="1A813843"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The Amendment Regulation provides noise standards for two new noise zones in the city centre. The new zones are:</w:t>
      </w:r>
    </w:p>
    <w:p w14:paraId="6A5811FE" w14:textId="77777777" w:rsidR="00126BE8" w:rsidRDefault="00126BE8" w:rsidP="00EE5867">
      <w:pPr>
        <w:pStyle w:val="ListParagraph"/>
        <w:numPr>
          <w:ilvl w:val="0"/>
          <w:numId w:val="11"/>
        </w:numPr>
        <w:spacing w:before="120" w:after="0"/>
        <w:ind w:firstLine="414"/>
        <w:contextualSpacing w:val="0"/>
        <w:rPr>
          <w:rFonts w:ascii="Calibri" w:eastAsia="Calibri" w:hAnsi="Calibri" w:cs="Calibri"/>
          <w:bCs/>
          <w:color w:val="7F7F7F"/>
          <w:szCs w:val="20"/>
        </w:rPr>
      </w:pPr>
      <w:r>
        <w:rPr>
          <w:rFonts w:ascii="Calibri" w:eastAsia="Calibri" w:hAnsi="Calibri" w:cs="Calibri"/>
          <w:bCs/>
          <w:color w:val="7F7F7F"/>
          <w:szCs w:val="20"/>
        </w:rPr>
        <w:t>the CCEP core (zone B3); and</w:t>
      </w:r>
    </w:p>
    <w:p w14:paraId="4FB72B31" w14:textId="77777777" w:rsidR="00126BE8" w:rsidRDefault="00126BE8" w:rsidP="00EE5867">
      <w:pPr>
        <w:pStyle w:val="ListParagraph"/>
        <w:numPr>
          <w:ilvl w:val="0"/>
          <w:numId w:val="11"/>
        </w:numPr>
        <w:spacing w:before="120" w:after="0"/>
        <w:ind w:firstLine="414"/>
        <w:contextualSpacing w:val="0"/>
        <w:rPr>
          <w:rFonts w:ascii="Calibri" w:eastAsia="Calibri" w:hAnsi="Calibri" w:cs="Calibri"/>
          <w:bCs/>
          <w:color w:val="7F7F7F"/>
          <w:szCs w:val="20"/>
        </w:rPr>
      </w:pPr>
      <w:r>
        <w:rPr>
          <w:rFonts w:ascii="Calibri" w:eastAsia="Calibri" w:hAnsi="Calibri" w:cs="Calibri"/>
          <w:bCs/>
          <w:color w:val="7F7F7F"/>
          <w:szCs w:val="20"/>
        </w:rPr>
        <w:t>the CCEP frame (zone B4).</w:t>
      </w:r>
    </w:p>
    <w:p w14:paraId="4100E28C"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new noise zones for the CCEP introduce more permissive noise standards for entertainment noise. The RIS considers the impacts of more permissive standards on residents living in existing buildings within, or on the boundary, of the CCEP frame. The RIS notes that more permissive noise standards may have privacy and amenity impacts for these residents. The amendments could impact on a person’s ability to enjoy their home by increasing the threshold of permissible noise in the city centre. The amendments could also impact the internal comfort level and amenity of their premises as residents choose to keep windows or balcony doors closed in response to the external noise environment. </w:t>
      </w:r>
    </w:p>
    <w:p w14:paraId="59FFF657" w14:textId="77777777" w:rsidR="00126BE8" w:rsidRDefault="00126BE8" w:rsidP="00297A82">
      <w:pPr>
        <w:pStyle w:val="Quote"/>
        <w:rPr>
          <w:rFonts w:ascii="Calibri" w:eastAsia="Calibri" w:hAnsi="Calibri" w:cs="Calibri"/>
          <w:bCs/>
          <w:i/>
          <w:iCs/>
          <w:color w:val="7F7F7F"/>
          <w:szCs w:val="20"/>
        </w:rPr>
      </w:pPr>
      <w:r>
        <w:rPr>
          <w:rFonts w:ascii="Calibri" w:eastAsia="Calibri" w:hAnsi="Calibri" w:cs="Calibri"/>
          <w:bCs/>
          <w:i/>
          <w:iCs/>
          <w:color w:val="7F7F7F"/>
          <w:szCs w:val="20"/>
        </w:rPr>
        <w:t>2. Legitimate purpose (s28(b))</w:t>
      </w:r>
    </w:p>
    <w:p w14:paraId="4B9A4D82" w14:textId="77777777" w:rsidR="00126BE8" w:rsidRDefault="00126BE8" w:rsidP="00297A82">
      <w:pPr>
        <w:pStyle w:val="Quote"/>
        <w:rPr>
          <w:rFonts w:ascii="Calibri" w:eastAsia="Calibri" w:hAnsi="Calibri" w:cs="Calibri"/>
          <w:bCs/>
          <w:color w:val="7F7F7F"/>
          <w:szCs w:val="20"/>
        </w:rPr>
      </w:pPr>
      <w:r>
        <w:rPr>
          <w:rFonts w:ascii="Calibri" w:eastAsia="Calibri" w:hAnsi="Calibri" w:cs="Calibri"/>
          <w:bCs/>
          <w:color w:val="7F7F7F"/>
          <w:szCs w:val="20"/>
        </w:rPr>
        <w:t xml:space="preserve">The right to privacy and reputation protects against arbitrary and unlawful interference with privacy, family, home or correspondence and this right may be subject to reasonable and justifiable limits. </w:t>
      </w:r>
    </w:p>
    <w:p w14:paraId="799C4F43" w14:textId="77777777" w:rsidR="00126BE8" w:rsidRPr="00AF0F99" w:rsidRDefault="00126BE8" w:rsidP="00297A82">
      <w:pPr>
        <w:pStyle w:val="Quote"/>
        <w:rPr>
          <w:rFonts w:ascii="Calibri" w:eastAsia="Calibri" w:hAnsi="Calibri" w:cs="Calibri"/>
          <w:bCs/>
          <w:color w:val="7F7F7F"/>
          <w:spacing w:val="-2"/>
          <w:szCs w:val="20"/>
        </w:rPr>
      </w:pPr>
      <w:r w:rsidRPr="00AF0F99">
        <w:rPr>
          <w:rFonts w:ascii="Calibri" w:eastAsia="Calibri" w:hAnsi="Calibri" w:cs="Calibri"/>
          <w:bCs/>
          <w:color w:val="7F7F7F"/>
          <w:spacing w:val="-2"/>
          <w:szCs w:val="20"/>
        </w:rPr>
        <w:t xml:space="preserve">The purpose of the amendment is to support the implementation of a vibrant entertainment precinct in the city which prioritises and supports existing and future nightlife character and activities, including live music. Entertainment precincts give greater certainty to a broad range of people and stakeholders in the community, including patrons, businesses owners and employees, residents, and building owners. Updating noise standards will invigorate nightlife now and into the future and will support the ACT Government’s objectives outlined in the City Plan. </w:t>
      </w:r>
    </w:p>
    <w:p w14:paraId="7C99B1C6" w14:textId="77777777" w:rsidR="00126BE8" w:rsidRDefault="00126BE8" w:rsidP="00AF0F99">
      <w:pPr>
        <w:pStyle w:val="Quote"/>
        <w:keepNext/>
        <w:spacing w:before="120" w:after="120"/>
        <w:rPr>
          <w:rFonts w:ascii="Calibri" w:eastAsia="Calibri" w:hAnsi="Calibri" w:cs="Calibri"/>
          <w:bCs/>
          <w:i/>
          <w:iCs/>
          <w:color w:val="7F7F7F"/>
          <w:szCs w:val="20"/>
        </w:rPr>
      </w:pPr>
      <w:r>
        <w:rPr>
          <w:rFonts w:ascii="Calibri" w:eastAsia="Calibri" w:hAnsi="Calibri" w:cs="Calibri"/>
          <w:bCs/>
          <w:i/>
          <w:iCs/>
          <w:color w:val="7F7F7F"/>
          <w:szCs w:val="20"/>
        </w:rPr>
        <w:lastRenderedPageBreak/>
        <w:t>3. Rational connection between the limitation and the purpose (s28(d))</w:t>
      </w:r>
    </w:p>
    <w:p w14:paraId="2F4603A0" w14:textId="77777777" w:rsidR="00126BE8" w:rsidRDefault="00126BE8" w:rsidP="00AF0F99">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creation of an entertainment precinct in the city centre (as implemented through the planning reforms) brings with it a reasonable expectation that entertainment noise will be associated with this area. It is also reasonable to expect that </w:t>
      </w:r>
      <w:proofErr w:type="gramStart"/>
      <w:r>
        <w:rPr>
          <w:rFonts w:ascii="Calibri" w:eastAsia="Calibri" w:hAnsi="Calibri" w:cs="Calibri"/>
          <w:bCs/>
          <w:color w:val="7F7F7F"/>
          <w:szCs w:val="20"/>
        </w:rPr>
        <w:t>in order to</w:t>
      </w:r>
      <w:proofErr w:type="gramEnd"/>
      <w:r>
        <w:rPr>
          <w:rFonts w:ascii="Calibri" w:eastAsia="Calibri" w:hAnsi="Calibri" w:cs="Calibri"/>
          <w:bCs/>
          <w:color w:val="7F7F7F"/>
          <w:szCs w:val="20"/>
        </w:rPr>
        <w:t xml:space="preserve"> develop this area as an entertainment precinct, noise settings need to be established a level that protects existing live music and entertainment businesses and venues and nurtures the establishment of new ones. This is particularly important as densification </w:t>
      </w:r>
      <w:proofErr w:type="gramStart"/>
      <w:r>
        <w:rPr>
          <w:rFonts w:ascii="Calibri" w:eastAsia="Calibri" w:hAnsi="Calibri" w:cs="Calibri"/>
          <w:bCs/>
          <w:color w:val="7F7F7F"/>
          <w:szCs w:val="20"/>
        </w:rPr>
        <w:t>increases</w:t>
      </w:r>
      <w:proofErr w:type="gramEnd"/>
      <w:r>
        <w:rPr>
          <w:rFonts w:ascii="Calibri" w:eastAsia="Calibri" w:hAnsi="Calibri" w:cs="Calibri"/>
          <w:bCs/>
          <w:color w:val="7F7F7F"/>
          <w:szCs w:val="20"/>
        </w:rPr>
        <w:t xml:space="preserve"> and the likelihood of residential uses increases in the CCEP and the surrounding areas. Maintaining the status quo for noise settings would not support these aims and objectives for Canberra’s night-time economy and the CCEP.</w:t>
      </w:r>
    </w:p>
    <w:p w14:paraId="2C05CCFF" w14:textId="77777777" w:rsidR="00126BE8" w:rsidRDefault="00126BE8" w:rsidP="00AF0F99">
      <w:pPr>
        <w:pStyle w:val="Quote"/>
        <w:spacing w:before="120" w:after="120"/>
        <w:rPr>
          <w:rFonts w:ascii="Calibri" w:eastAsia="Calibri" w:hAnsi="Calibri" w:cs="Calibri"/>
          <w:bCs/>
          <w:i/>
          <w:iCs/>
          <w:color w:val="7F7F7F"/>
          <w:szCs w:val="20"/>
        </w:rPr>
      </w:pPr>
      <w:r>
        <w:rPr>
          <w:rFonts w:ascii="Calibri" w:eastAsia="Calibri" w:hAnsi="Calibri" w:cs="Calibri"/>
          <w:bCs/>
          <w:i/>
          <w:iCs/>
          <w:color w:val="7F7F7F"/>
          <w:szCs w:val="20"/>
        </w:rPr>
        <w:t>4. Proportionality (s28(e))</w:t>
      </w:r>
    </w:p>
    <w:p w14:paraId="75960B21" w14:textId="77777777" w:rsidR="00126BE8" w:rsidRDefault="00126BE8" w:rsidP="00AF0F99">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The Amendment Regulation will ensure that permissible noise levels reflect the reasonable expectations of a city with a vibrant nightlife, striking a balance between enjoyment of the night-time economy with enjoyment of a place of residence. The impact on the right to privacy and reputation is expected to be minimal and any limitations are proportionate. </w:t>
      </w:r>
    </w:p>
    <w:p w14:paraId="1835EF8C" w14:textId="77777777" w:rsidR="00126BE8" w:rsidRDefault="00126BE8" w:rsidP="00AF0F99">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As set out above, consultation with the community indicated that </w:t>
      </w:r>
      <w:proofErr w:type="gramStart"/>
      <w:r>
        <w:rPr>
          <w:rFonts w:ascii="Calibri" w:eastAsia="Calibri" w:hAnsi="Calibri" w:cs="Calibri"/>
          <w:bCs/>
          <w:color w:val="7F7F7F"/>
          <w:szCs w:val="20"/>
        </w:rPr>
        <w:t>the majority of</w:t>
      </w:r>
      <w:proofErr w:type="gramEnd"/>
      <w:r>
        <w:rPr>
          <w:rFonts w:ascii="Calibri" w:eastAsia="Calibri" w:hAnsi="Calibri" w:cs="Calibri"/>
          <w:bCs/>
          <w:color w:val="7F7F7F"/>
          <w:szCs w:val="20"/>
        </w:rPr>
        <w:t xml:space="preserve"> stakeholders were supportive of the changes, including 73 per cent of residents. </w:t>
      </w:r>
    </w:p>
    <w:p w14:paraId="68337964" w14:textId="77777777" w:rsidR="00126BE8" w:rsidRPr="00AF0F99" w:rsidRDefault="00126BE8" w:rsidP="00AF0F99">
      <w:pPr>
        <w:pStyle w:val="Quote"/>
        <w:spacing w:before="120" w:after="120"/>
        <w:rPr>
          <w:rFonts w:ascii="Calibri" w:eastAsia="Calibri" w:hAnsi="Calibri" w:cs="Calibri"/>
          <w:bCs/>
          <w:color w:val="7F7F7F"/>
          <w:spacing w:val="-2"/>
          <w:szCs w:val="20"/>
        </w:rPr>
      </w:pPr>
      <w:r w:rsidRPr="00AF0F99">
        <w:rPr>
          <w:rFonts w:ascii="Calibri" w:eastAsia="Calibri" w:hAnsi="Calibri" w:cs="Calibri"/>
          <w:bCs/>
          <w:color w:val="7F7F7F"/>
          <w:spacing w:val="-2"/>
          <w:szCs w:val="20"/>
        </w:rPr>
        <w:t xml:space="preserve">The extent to which existing residents are impacted by the changes in the noise standards for this area is dependent on a number of issues including an individual’s sensitivity and tolerance to noise, the siting of their residence in relation to the source of entertainment noise, their attitude to and expectations regarding noise emissions that are associated with central city living and the degree to which the building which they inhabit is attenuated to external noise levels. </w:t>
      </w:r>
    </w:p>
    <w:p w14:paraId="19C4DFA0" w14:textId="77777777" w:rsidR="00126BE8" w:rsidRDefault="00126BE8" w:rsidP="00AF0F99">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 xml:space="preserve">While only 32 per cent of owner occupiers were supportive of the changes, there would be no appreciable changes to the noise environment impacting residents, including owner occupiers, living in or on the boundary of the CCEP. </w:t>
      </w:r>
    </w:p>
    <w:p w14:paraId="30C3BEFD" w14:textId="21753360" w:rsidR="00126BE8" w:rsidRDefault="00126BE8" w:rsidP="00AF0F99">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The new noise thresholds reflect findings from recordings taken outside popular venues in March and June 2023, which indicated that the current noise levels are well above current standards. Data collected about the number of amplified noise complaints for the CCEP are lower than surrounding areas. For example, between 1</w:t>
      </w:r>
      <w:r w:rsidR="00E24228">
        <w:rPr>
          <w:rFonts w:ascii="Calibri" w:eastAsia="Calibri" w:hAnsi="Calibri" w:cs="Calibri"/>
          <w:bCs/>
          <w:color w:val="7F7F7F"/>
          <w:szCs w:val="20"/>
        </w:rPr>
        <w:t xml:space="preserve"> </w:t>
      </w:r>
      <w:r>
        <w:rPr>
          <w:rFonts w:ascii="Calibri" w:eastAsia="Calibri" w:hAnsi="Calibri" w:cs="Calibri"/>
          <w:bCs/>
          <w:color w:val="7F7F7F"/>
          <w:szCs w:val="20"/>
        </w:rPr>
        <w:t xml:space="preserve">July 2019 and 28 April 2024, there were 145 noise complaints made in relation to noise generated in the CCEP, as compared to 729 noise complaints for Braddon over the same period. </w:t>
      </w:r>
    </w:p>
    <w:p w14:paraId="6082BCC9" w14:textId="50AF8E9F" w:rsidR="00126BE8" w:rsidRDefault="00126BE8" w:rsidP="00AF0F99">
      <w:pPr>
        <w:pStyle w:val="Quote"/>
        <w:spacing w:before="120" w:after="120"/>
        <w:rPr>
          <w:rFonts w:ascii="Calibri" w:eastAsia="Calibri" w:hAnsi="Calibri" w:cs="Calibri"/>
          <w:bCs/>
          <w:color w:val="7F7F7F"/>
          <w:szCs w:val="20"/>
        </w:rPr>
      </w:pPr>
      <w:r>
        <w:rPr>
          <w:rFonts w:ascii="Calibri" w:eastAsia="Calibri" w:hAnsi="Calibri" w:cs="Calibri"/>
          <w:bCs/>
          <w:color w:val="7F7F7F"/>
          <w:szCs w:val="20"/>
        </w:rPr>
        <w:t>Furthermore, there are avenues for noise complaints and a free Conflict Resolution Service available on the Access Canberra Noise Portal. Additionally, a</w:t>
      </w:r>
      <w:r w:rsidR="00E24228">
        <w:rPr>
          <w:rFonts w:ascii="Calibri" w:eastAsia="Calibri" w:hAnsi="Calibri" w:cs="Calibri"/>
          <w:bCs/>
          <w:color w:val="7F7F7F"/>
          <w:szCs w:val="20"/>
        </w:rPr>
        <w:t> </w:t>
      </w:r>
      <w:r>
        <w:rPr>
          <w:rFonts w:ascii="Calibri" w:eastAsia="Calibri" w:hAnsi="Calibri" w:cs="Calibri"/>
          <w:bCs/>
          <w:color w:val="7F7F7F"/>
          <w:szCs w:val="20"/>
        </w:rPr>
        <w:t xml:space="preserve">new specialist position within the Environment Protection Authority (EPA) will work proactively with businesses and key stakeholders to support implementation of the new noise standards, with the aim of resolving issues and complaints before they occur These mechanisms are important safeguards against any limitations on an individual’s right to enjoyment of their home without undue nuisance due to noise pollution. </w:t>
      </w:r>
    </w:p>
    <w:p w14:paraId="129152CC" w14:textId="7C35FD07" w:rsidR="00126BE8" w:rsidRDefault="00126BE8" w:rsidP="00EE5867">
      <w:pPr>
        <w:pStyle w:val="ListNumber2"/>
        <w:keepNext/>
        <w:numPr>
          <w:ilvl w:val="1"/>
          <w:numId w:val="6"/>
        </w:numPr>
        <w:ind w:hanging="720"/>
        <w:rPr>
          <w:rFonts w:ascii="Calibri" w:eastAsia="Calibri" w:hAnsi="Calibri" w:cs="Calibri"/>
          <w:b/>
          <w:color w:val="000000"/>
        </w:rPr>
      </w:pPr>
      <w:r>
        <w:rPr>
          <w:rFonts w:ascii="Calibri" w:eastAsia="Calibri" w:hAnsi="Calibri" w:cs="Calibri"/>
          <w:b/>
          <w:color w:val="000000"/>
        </w:rPr>
        <w:lastRenderedPageBreak/>
        <w:t>The Committee draws the attention of the Legislative Assembly to the discussion of human rights issues in the explanatory statement for this subordinate law</w:t>
      </w:r>
      <w:r w:rsidR="00E24228">
        <w:rPr>
          <w:rFonts w:ascii="Calibri" w:eastAsia="Calibri" w:hAnsi="Calibri" w:cs="Calibri"/>
          <w:b/>
          <w:color w:val="000000"/>
        </w:rPr>
        <w:t>.</w:t>
      </w:r>
    </w:p>
    <w:p w14:paraId="6C222589" w14:textId="77777777" w:rsidR="00126BE8" w:rsidRDefault="00126BE8" w:rsidP="00EE5867">
      <w:pPr>
        <w:pStyle w:val="ListNumber2"/>
        <w:numPr>
          <w:ilvl w:val="1"/>
          <w:numId w:val="6"/>
        </w:numPr>
        <w:ind w:hanging="720"/>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7506F945" w14:textId="01473CB4" w:rsidR="00126BE8" w:rsidRDefault="00126BE8" w:rsidP="007825E1">
      <w:pPr>
        <w:pStyle w:val="Heading20"/>
      </w:pPr>
      <w:bookmarkStart w:id="264" w:name="_Toc176175577"/>
      <w:r>
        <w:t>Regulatory Impact Statements</w:t>
      </w:r>
      <w:r w:rsidR="001E61EC">
        <w:t>—</w:t>
      </w:r>
      <w:r>
        <w:t>Comment</w:t>
      </w:r>
      <w:bookmarkEnd w:id="264"/>
    </w:p>
    <w:p w14:paraId="2795B9B0" w14:textId="77777777" w:rsidR="00126BE8" w:rsidRDefault="00126BE8" w:rsidP="00EE5867">
      <w:pPr>
        <w:pStyle w:val="ListNumber2"/>
        <w:numPr>
          <w:ilvl w:val="1"/>
          <w:numId w:val="6"/>
        </w:numPr>
        <w:ind w:hanging="720"/>
      </w:pPr>
      <w:r>
        <w:t>The Committee has examined a regulatory impact statement for the following subordinate law and offers these comments on it:</w:t>
      </w:r>
    </w:p>
    <w:p w14:paraId="360164E3" w14:textId="77777777" w:rsidR="00126BE8" w:rsidRDefault="00126BE8" w:rsidP="00EE5867">
      <w:pPr>
        <w:pStyle w:val="Bodycopy"/>
        <w:keepLines/>
        <w:numPr>
          <w:ilvl w:val="0"/>
          <w:numId w:val="11"/>
        </w:numPr>
        <w:spacing w:before="120" w:after="0" w:line="283" w:lineRule="auto"/>
        <w:ind w:left="1208" w:hanging="357"/>
        <w:rPr>
          <w:b/>
        </w:rPr>
      </w:pPr>
      <w:r>
        <w:rPr>
          <w:b/>
        </w:rPr>
        <w:t xml:space="preserve">Subordinate Law SL2024-17 being the </w:t>
      </w:r>
      <w:r>
        <w:rPr>
          <w:b/>
          <w:i/>
          <w:iCs/>
        </w:rPr>
        <w:t>Environment Protection Amendment Regulation 2024 (No 1)</w:t>
      </w:r>
      <w:r>
        <w:rPr>
          <w:b/>
        </w:rPr>
        <w:t xml:space="preserve">, including a regulatory impact statement made under the </w:t>
      </w:r>
      <w:r>
        <w:rPr>
          <w:i/>
        </w:rPr>
        <w:t>Environment Protection Act 1997</w:t>
      </w:r>
      <w:r>
        <w:rPr>
          <w:b/>
        </w:rPr>
        <w:t xml:space="preserve"> amends the </w:t>
      </w:r>
      <w:r>
        <w:rPr>
          <w:b/>
          <w:i/>
          <w:iCs/>
        </w:rPr>
        <w:t xml:space="preserve">Environment Protection Regulation 2005 </w:t>
      </w:r>
      <w:r>
        <w:rPr>
          <w:b/>
        </w:rPr>
        <w:t xml:space="preserve">to introduce appropriate noise standards for entertainment noise emitted in the Canberra City Entertainment Precinct. </w:t>
      </w:r>
    </w:p>
    <w:p w14:paraId="6E882B09" w14:textId="52F45250" w:rsidR="00126BE8" w:rsidRDefault="00126BE8" w:rsidP="00EE5867">
      <w:pPr>
        <w:pStyle w:val="ListNumber2"/>
        <w:numPr>
          <w:ilvl w:val="1"/>
          <w:numId w:val="6"/>
        </w:numPr>
        <w:ind w:hanging="720"/>
        <w:rPr>
          <w:rFonts w:ascii="Calibri" w:hAnsi="Calibri" w:cs="Calibri"/>
          <w:lang w:eastAsia="en-AU"/>
        </w:rPr>
      </w:pPr>
      <w:r>
        <w:rPr>
          <w:rFonts w:ascii="Calibri" w:hAnsi="Calibri" w:cs="Calibri"/>
          <w:lang w:eastAsia="en-AU"/>
        </w:rPr>
        <w:t>This subordinate law is accompanied by a regulatory impact statement</w:t>
      </w:r>
      <w:r w:rsidR="00E2109B">
        <w:rPr>
          <w:rFonts w:ascii="Calibri" w:hAnsi="Calibri" w:cs="Calibri"/>
          <w:lang w:eastAsia="en-AU"/>
        </w:rPr>
        <w:t>.</w:t>
      </w:r>
    </w:p>
    <w:p w14:paraId="78E7D88D"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 xml:space="preserve">Section 35 of the </w:t>
      </w:r>
      <w:r>
        <w:rPr>
          <w:rFonts w:ascii="Calibri" w:eastAsia="Calibri" w:hAnsi="Calibri" w:cs="Calibri"/>
          <w:i/>
          <w:iCs/>
          <w:color w:val="000000"/>
        </w:rPr>
        <w:t>Legislation Act 2001</w:t>
      </w:r>
      <w:r>
        <w:rPr>
          <w:rFonts w:ascii="Calibri" w:eastAsia="Calibri" w:hAnsi="Calibri" w:cs="Calibri"/>
          <w:color w:val="000000"/>
        </w:rPr>
        <w:t xml:space="preserve"> sets out the requirements for regulatory impact statements:</w:t>
      </w:r>
    </w:p>
    <w:p w14:paraId="716B82CB" w14:textId="77777777" w:rsidR="00126BE8" w:rsidRDefault="00126BE8" w:rsidP="00AF0F99">
      <w:pPr>
        <w:pStyle w:val="Quote"/>
        <w:spacing w:before="120" w:after="120"/>
        <w:rPr>
          <w:rFonts w:ascii="Calibri" w:eastAsia="Calibri" w:hAnsi="Calibri" w:cs="Calibri"/>
          <w:b/>
          <w:color w:val="7F7F7F" w:themeColor="text1" w:themeTint="80"/>
          <w:szCs w:val="20"/>
        </w:rPr>
      </w:pPr>
      <w:r>
        <w:rPr>
          <w:rFonts w:ascii="Calibri" w:eastAsia="Calibri" w:hAnsi="Calibri" w:cs="Calibri"/>
          <w:b/>
          <w:color w:val="7F7F7F"/>
          <w:szCs w:val="20"/>
        </w:rPr>
        <w:t>35</w:t>
      </w:r>
      <w:r>
        <w:rPr>
          <w:rFonts w:ascii="Calibri" w:eastAsia="Calibri" w:hAnsi="Calibri" w:cs="Calibri"/>
          <w:b/>
          <w:color w:val="7F7F7F"/>
          <w:szCs w:val="20"/>
        </w:rPr>
        <w:tab/>
      </w:r>
      <w:r>
        <w:rPr>
          <w:rFonts w:ascii="Calibri" w:eastAsia="Calibri" w:hAnsi="Calibri" w:cs="Calibri"/>
          <w:b/>
          <w:color w:val="7F7F7F" w:themeColor="text1" w:themeTint="80"/>
          <w:szCs w:val="20"/>
        </w:rPr>
        <w:t>Content of regulatory impact statements</w:t>
      </w:r>
    </w:p>
    <w:p w14:paraId="4485A367" w14:textId="77777777" w:rsidR="00126BE8" w:rsidRDefault="00126BE8" w:rsidP="00AF0F99">
      <w:pPr>
        <w:pStyle w:val="Quote"/>
        <w:spacing w:before="120" w:after="120"/>
        <w:rPr>
          <w:rFonts w:ascii="Calibri" w:eastAsia="Calibri" w:hAnsi="Calibri" w:cs="Calibri"/>
          <w:bCs/>
          <w:color w:val="7F7F7F" w:themeColor="text1" w:themeTint="80"/>
          <w:szCs w:val="20"/>
        </w:rPr>
      </w:pPr>
      <w:r w:rsidRPr="00297A82">
        <w:rPr>
          <w:rFonts w:ascii="Calibri" w:eastAsia="Calibri" w:hAnsi="Calibri" w:cs="Calibri"/>
          <w:bCs/>
          <w:color w:val="7F7F7F" w:themeColor="text1" w:themeTint="80"/>
          <w:sz w:val="22"/>
          <w:szCs w:val="20"/>
        </w:rPr>
        <w:t>A regulatory impact statement for a proposed subordinate law or disallowable</w:t>
      </w:r>
      <w:r>
        <w:rPr>
          <w:rFonts w:ascii="Calibri" w:eastAsia="Calibri" w:hAnsi="Calibri" w:cs="Calibri"/>
          <w:bCs/>
          <w:color w:val="7F7F7F" w:themeColor="text1" w:themeTint="80"/>
          <w:szCs w:val="20"/>
        </w:rPr>
        <w:t xml:space="preserve"> instrument (the proposed law) must include the following information about the proposed law in clear and precise language:</w:t>
      </w:r>
    </w:p>
    <w:p w14:paraId="55DA716C" w14:textId="264A0DE0" w:rsidR="00126BE8" w:rsidRDefault="00126BE8" w:rsidP="00AF0F99">
      <w:pPr>
        <w:pStyle w:val="Quote"/>
        <w:spacing w:before="120" w:after="120"/>
        <w:ind w:left="2127" w:hanging="709"/>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(a)</w:t>
      </w:r>
      <w:r w:rsidR="00AF0F99">
        <w:rPr>
          <w:rFonts w:ascii="Calibri" w:eastAsia="Calibri" w:hAnsi="Calibri" w:cs="Calibri"/>
          <w:bCs/>
          <w:color w:val="7F7F7F" w:themeColor="text1" w:themeTint="80"/>
          <w:szCs w:val="20"/>
        </w:rPr>
        <w:tab/>
      </w:r>
      <w:r>
        <w:rPr>
          <w:rFonts w:ascii="Calibri" w:eastAsia="Calibri" w:hAnsi="Calibri" w:cs="Calibri"/>
          <w:bCs/>
          <w:color w:val="7F7F7F" w:themeColor="text1" w:themeTint="80"/>
          <w:szCs w:val="20"/>
        </w:rPr>
        <w:t xml:space="preserve">the authorising </w:t>
      </w:r>
      <w:proofErr w:type="gramStart"/>
      <w:r>
        <w:rPr>
          <w:rFonts w:ascii="Calibri" w:eastAsia="Calibri" w:hAnsi="Calibri" w:cs="Calibri"/>
          <w:bCs/>
          <w:color w:val="7F7F7F" w:themeColor="text1" w:themeTint="80"/>
          <w:szCs w:val="20"/>
        </w:rPr>
        <w:t>law;</w:t>
      </w:r>
      <w:proofErr w:type="gramEnd"/>
    </w:p>
    <w:p w14:paraId="383E0F41" w14:textId="18C20208" w:rsidR="00126BE8" w:rsidRDefault="00126BE8" w:rsidP="00AF0F99">
      <w:pPr>
        <w:pStyle w:val="Quote"/>
        <w:spacing w:before="120" w:after="120"/>
        <w:ind w:left="2154" w:hanging="72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(b)</w:t>
      </w:r>
      <w:r>
        <w:rPr>
          <w:rFonts w:ascii="Calibri" w:eastAsia="Calibri" w:hAnsi="Calibri" w:cs="Calibri"/>
          <w:bCs/>
          <w:color w:val="7F7F7F" w:themeColor="text1" w:themeTint="80"/>
          <w:szCs w:val="20"/>
        </w:rPr>
        <w:tab/>
        <w:t xml:space="preserve">a brief statement of the policy objectives of the proposed law and the </w:t>
      </w:r>
      <w:proofErr w:type="gramStart"/>
      <w:r>
        <w:rPr>
          <w:rFonts w:ascii="Calibri" w:eastAsia="Calibri" w:hAnsi="Calibri" w:cs="Calibri"/>
          <w:bCs/>
          <w:color w:val="7F7F7F" w:themeColor="text1" w:themeTint="80"/>
          <w:szCs w:val="20"/>
        </w:rPr>
        <w:t xml:space="preserve">reasons </w:t>
      </w:r>
      <w:r w:rsidR="00297A82">
        <w:rPr>
          <w:rFonts w:ascii="Calibri" w:eastAsia="Calibri" w:hAnsi="Calibri" w:cs="Calibri"/>
          <w:bCs/>
          <w:color w:val="7F7F7F" w:themeColor="text1" w:themeTint="80"/>
          <w:szCs w:val="20"/>
        </w:rPr>
        <w:t xml:space="preserve"> </w:t>
      </w:r>
      <w:r>
        <w:rPr>
          <w:rFonts w:ascii="Calibri" w:eastAsia="Calibri" w:hAnsi="Calibri" w:cs="Calibri"/>
          <w:bCs/>
          <w:color w:val="7F7F7F" w:themeColor="text1" w:themeTint="80"/>
          <w:szCs w:val="20"/>
        </w:rPr>
        <w:t>for</w:t>
      </w:r>
      <w:proofErr w:type="gramEnd"/>
      <w:r>
        <w:rPr>
          <w:rFonts w:ascii="Calibri" w:eastAsia="Calibri" w:hAnsi="Calibri" w:cs="Calibri"/>
          <w:bCs/>
          <w:color w:val="7F7F7F" w:themeColor="text1" w:themeTint="80"/>
          <w:szCs w:val="20"/>
        </w:rPr>
        <w:t xml:space="preserve"> them;</w:t>
      </w:r>
    </w:p>
    <w:p w14:paraId="3FDC1458" w14:textId="77777777" w:rsidR="00126BE8" w:rsidRDefault="00126BE8" w:rsidP="00AF0F99">
      <w:pPr>
        <w:pStyle w:val="Quote"/>
        <w:spacing w:before="120" w:after="120"/>
        <w:ind w:left="2154" w:hanging="72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(c)</w:t>
      </w:r>
      <w:r>
        <w:rPr>
          <w:rFonts w:ascii="Calibri" w:eastAsia="Calibri" w:hAnsi="Calibri" w:cs="Calibri"/>
          <w:bCs/>
          <w:color w:val="7F7F7F" w:themeColor="text1" w:themeTint="80"/>
          <w:szCs w:val="20"/>
        </w:rPr>
        <w:tab/>
        <w:t xml:space="preserve">a brief statement of the way the policy objectives will be achieved by the proposed law and why this way of achieving them is reasonable and </w:t>
      </w:r>
      <w:proofErr w:type="gramStart"/>
      <w:r>
        <w:rPr>
          <w:rFonts w:ascii="Calibri" w:eastAsia="Calibri" w:hAnsi="Calibri" w:cs="Calibri"/>
          <w:bCs/>
          <w:color w:val="7F7F7F" w:themeColor="text1" w:themeTint="80"/>
          <w:szCs w:val="20"/>
        </w:rPr>
        <w:t>appropriate;</w:t>
      </w:r>
      <w:proofErr w:type="gramEnd"/>
    </w:p>
    <w:p w14:paraId="790544BD" w14:textId="77777777" w:rsidR="00126BE8" w:rsidRDefault="00126BE8" w:rsidP="00AF0F99">
      <w:pPr>
        <w:pStyle w:val="Quote"/>
        <w:spacing w:before="120" w:after="120"/>
        <w:ind w:left="2154" w:hanging="72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(d)</w:t>
      </w:r>
      <w:r>
        <w:rPr>
          <w:rFonts w:ascii="Calibri" w:eastAsia="Calibri" w:hAnsi="Calibri" w:cs="Calibri"/>
          <w:bCs/>
          <w:color w:val="7F7F7F" w:themeColor="text1" w:themeTint="80"/>
          <w:szCs w:val="20"/>
        </w:rPr>
        <w:tab/>
        <w:t xml:space="preserve">a brief explanation of how the proposed law is consistent with the policy objectives of the authorising </w:t>
      </w:r>
      <w:proofErr w:type="gramStart"/>
      <w:r>
        <w:rPr>
          <w:rFonts w:ascii="Calibri" w:eastAsia="Calibri" w:hAnsi="Calibri" w:cs="Calibri"/>
          <w:bCs/>
          <w:color w:val="7F7F7F" w:themeColor="text1" w:themeTint="80"/>
          <w:szCs w:val="20"/>
        </w:rPr>
        <w:t>law;</w:t>
      </w:r>
      <w:proofErr w:type="gramEnd"/>
    </w:p>
    <w:p w14:paraId="5A2AFF85" w14:textId="77777777" w:rsidR="00126BE8" w:rsidRDefault="00126BE8" w:rsidP="00AF0F99">
      <w:pPr>
        <w:pStyle w:val="Quote"/>
        <w:spacing w:before="120" w:after="120"/>
        <w:ind w:left="2154" w:hanging="72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(e)</w:t>
      </w:r>
      <w:r>
        <w:rPr>
          <w:rFonts w:ascii="Calibri" w:eastAsia="Calibri" w:hAnsi="Calibri" w:cs="Calibri"/>
          <w:bCs/>
          <w:color w:val="7F7F7F" w:themeColor="text1" w:themeTint="80"/>
          <w:szCs w:val="20"/>
        </w:rPr>
        <w:tab/>
        <w:t>if the proposed law is inconsistent with the policy objectives of another territory law—</w:t>
      </w:r>
    </w:p>
    <w:p w14:paraId="3E996AB5" w14:textId="6880CD92" w:rsidR="00126BE8" w:rsidRDefault="00297A82" w:rsidP="00AF0F99">
      <w:pPr>
        <w:pStyle w:val="Quote"/>
        <w:spacing w:before="120" w:after="120"/>
        <w:ind w:left="1434" w:hanging="30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ab/>
      </w:r>
      <w:r>
        <w:rPr>
          <w:rFonts w:ascii="Calibri" w:eastAsia="Calibri" w:hAnsi="Calibri" w:cs="Calibri"/>
          <w:bCs/>
          <w:color w:val="7F7F7F" w:themeColor="text1" w:themeTint="80"/>
          <w:szCs w:val="20"/>
        </w:rPr>
        <w:tab/>
      </w:r>
      <w:r w:rsidR="00126BE8">
        <w:rPr>
          <w:rFonts w:ascii="Calibri" w:eastAsia="Calibri" w:hAnsi="Calibri" w:cs="Calibri"/>
          <w:bCs/>
          <w:color w:val="7F7F7F" w:themeColor="text1" w:themeTint="80"/>
          <w:szCs w:val="20"/>
        </w:rPr>
        <w:tab/>
        <w:t>(</w:t>
      </w:r>
      <w:proofErr w:type="spellStart"/>
      <w:r w:rsidR="00126BE8">
        <w:rPr>
          <w:rFonts w:ascii="Calibri" w:eastAsia="Calibri" w:hAnsi="Calibri" w:cs="Calibri"/>
          <w:bCs/>
          <w:color w:val="7F7F7F" w:themeColor="text1" w:themeTint="80"/>
          <w:szCs w:val="20"/>
        </w:rPr>
        <w:t>i</w:t>
      </w:r>
      <w:proofErr w:type="spellEnd"/>
      <w:r w:rsidR="00126BE8">
        <w:rPr>
          <w:rFonts w:ascii="Calibri" w:eastAsia="Calibri" w:hAnsi="Calibri" w:cs="Calibri"/>
          <w:bCs/>
          <w:color w:val="7F7F7F" w:themeColor="text1" w:themeTint="80"/>
          <w:szCs w:val="20"/>
        </w:rPr>
        <w:t>)</w:t>
      </w:r>
      <w:r w:rsidR="00126BE8">
        <w:rPr>
          <w:rFonts w:ascii="Calibri" w:eastAsia="Calibri" w:hAnsi="Calibri" w:cs="Calibri"/>
          <w:bCs/>
          <w:color w:val="7F7F7F" w:themeColor="text1" w:themeTint="80"/>
          <w:szCs w:val="20"/>
        </w:rPr>
        <w:tab/>
        <w:t>a brief explanation of the relationship with the other law; and</w:t>
      </w:r>
    </w:p>
    <w:p w14:paraId="1E9F6FFB" w14:textId="20FE673D" w:rsidR="00126BE8" w:rsidRDefault="00126BE8" w:rsidP="00AF0F99">
      <w:pPr>
        <w:pStyle w:val="Quote"/>
        <w:spacing w:before="120" w:after="120"/>
        <w:ind w:left="1434" w:hanging="30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ab/>
      </w:r>
      <w:r w:rsidR="00297A82">
        <w:rPr>
          <w:rFonts w:ascii="Calibri" w:eastAsia="Calibri" w:hAnsi="Calibri" w:cs="Calibri"/>
          <w:bCs/>
          <w:color w:val="7F7F7F" w:themeColor="text1" w:themeTint="80"/>
          <w:szCs w:val="20"/>
        </w:rPr>
        <w:tab/>
      </w:r>
      <w:r w:rsidR="00297A82">
        <w:rPr>
          <w:rFonts w:ascii="Calibri" w:eastAsia="Calibri" w:hAnsi="Calibri" w:cs="Calibri"/>
          <w:bCs/>
          <w:color w:val="7F7F7F" w:themeColor="text1" w:themeTint="80"/>
          <w:szCs w:val="20"/>
        </w:rPr>
        <w:tab/>
      </w:r>
      <w:r>
        <w:rPr>
          <w:rFonts w:ascii="Calibri" w:eastAsia="Calibri" w:hAnsi="Calibri" w:cs="Calibri"/>
          <w:bCs/>
          <w:color w:val="7F7F7F" w:themeColor="text1" w:themeTint="80"/>
          <w:szCs w:val="20"/>
        </w:rPr>
        <w:t>(ii)</w:t>
      </w:r>
      <w:r>
        <w:rPr>
          <w:rFonts w:ascii="Calibri" w:eastAsia="Calibri" w:hAnsi="Calibri" w:cs="Calibri"/>
          <w:bCs/>
          <w:color w:val="7F7F7F" w:themeColor="text1" w:themeTint="80"/>
          <w:szCs w:val="20"/>
        </w:rPr>
        <w:tab/>
        <w:t xml:space="preserve">a brief explanation for the </w:t>
      </w:r>
      <w:proofErr w:type="gramStart"/>
      <w:r>
        <w:rPr>
          <w:rFonts w:ascii="Calibri" w:eastAsia="Calibri" w:hAnsi="Calibri" w:cs="Calibri"/>
          <w:bCs/>
          <w:color w:val="7F7F7F" w:themeColor="text1" w:themeTint="80"/>
          <w:szCs w:val="20"/>
        </w:rPr>
        <w:t>inconsistency;</w:t>
      </w:r>
      <w:proofErr w:type="gramEnd"/>
    </w:p>
    <w:p w14:paraId="6597BBEF" w14:textId="77777777" w:rsidR="00126BE8" w:rsidRDefault="00126BE8" w:rsidP="00AF0F99">
      <w:pPr>
        <w:pStyle w:val="Quote"/>
        <w:spacing w:before="120" w:after="120"/>
        <w:ind w:left="2154" w:hanging="72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(f)</w:t>
      </w:r>
      <w:r>
        <w:rPr>
          <w:rFonts w:ascii="Calibri" w:eastAsia="Calibri" w:hAnsi="Calibri" w:cs="Calibri"/>
          <w:bCs/>
          <w:color w:val="7F7F7F" w:themeColor="text1" w:themeTint="80"/>
          <w:szCs w:val="20"/>
        </w:rPr>
        <w:tab/>
        <w:t xml:space="preserve">if appropriate, a brief statement of any reasonable alternative way of achieving the policy objectives (including the option of not making a subordinate law or disallowable instrument) and why the alternative was </w:t>
      </w:r>
      <w:proofErr w:type="gramStart"/>
      <w:r>
        <w:rPr>
          <w:rFonts w:ascii="Calibri" w:eastAsia="Calibri" w:hAnsi="Calibri" w:cs="Calibri"/>
          <w:bCs/>
          <w:color w:val="7F7F7F" w:themeColor="text1" w:themeTint="80"/>
          <w:szCs w:val="20"/>
        </w:rPr>
        <w:t>rejected;</w:t>
      </w:r>
      <w:proofErr w:type="gramEnd"/>
    </w:p>
    <w:p w14:paraId="0911B22B" w14:textId="77777777" w:rsidR="00126BE8" w:rsidRDefault="00126BE8" w:rsidP="00AF0F99">
      <w:pPr>
        <w:pStyle w:val="Quote"/>
        <w:spacing w:before="120" w:after="120"/>
        <w:ind w:left="2154" w:hanging="720"/>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(g)</w:t>
      </w:r>
      <w:r>
        <w:rPr>
          <w:rFonts w:ascii="Calibri" w:eastAsia="Calibri" w:hAnsi="Calibri" w:cs="Calibri"/>
          <w:bCs/>
          <w:color w:val="7F7F7F" w:themeColor="text1" w:themeTint="80"/>
          <w:szCs w:val="20"/>
        </w:rPr>
        <w:tab/>
        <w:t>a brief assessment of the benefits and costs of implementing the proposed law that—</w:t>
      </w:r>
    </w:p>
    <w:p w14:paraId="06ECD625" w14:textId="20B33C7D" w:rsidR="00126BE8" w:rsidRDefault="00126BE8" w:rsidP="00AF0F99">
      <w:pPr>
        <w:pStyle w:val="Quote"/>
        <w:spacing w:before="120" w:after="120"/>
        <w:ind w:left="2880" w:hanging="726"/>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t>(</w:t>
      </w:r>
      <w:proofErr w:type="spellStart"/>
      <w:r>
        <w:rPr>
          <w:rFonts w:ascii="Calibri" w:eastAsia="Calibri" w:hAnsi="Calibri" w:cs="Calibri"/>
          <w:bCs/>
          <w:color w:val="7F7F7F" w:themeColor="text1" w:themeTint="80"/>
          <w:szCs w:val="20"/>
        </w:rPr>
        <w:t>i</w:t>
      </w:r>
      <w:proofErr w:type="spellEnd"/>
      <w:r>
        <w:rPr>
          <w:rFonts w:ascii="Calibri" w:eastAsia="Calibri" w:hAnsi="Calibri" w:cs="Calibri"/>
          <w:bCs/>
          <w:color w:val="7F7F7F" w:themeColor="text1" w:themeTint="80"/>
          <w:szCs w:val="20"/>
        </w:rPr>
        <w:t>)</w:t>
      </w:r>
      <w:r>
        <w:rPr>
          <w:rFonts w:ascii="Calibri" w:eastAsia="Calibri" w:hAnsi="Calibri" w:cs="Calibri"/>
          <w:bCs/>
          <w:color w:val="7F7F7F" w:themeColor="text1" w:themeTint="80"/>
          <w:szCs w:val="20"/>
        </w:rPr>
        <w:tab/>
        <w:t>if practicable and appropriate, quantifies the benefits and costs; and</w:t>
      </w:r>
    </w:p>
    <w:p w14:paraId="46DFF799" w14:textId="3034C368" w:rsidR="00126BE8" w:rsidRDefault="00126BE8" w:rsidP="00AF0F99">
      <w:pPr>
        <w:pStyle w:val="Quote"/>
        <w:spacing w:before="120" w:after="120"/>
        <w:ind w:left="2880" w:hanging="726"/>
        <w:rPr>
          <w:rFonts w:ascii="Calibri" w:eastAsia="Calibri" w:hAnsi="Calibri" w:cs="Calibri"/>
          <w:bCs/>
          <w:color w:val="7F7F7F" w:themeColor="text1" w:themeTint="80"/>
          <w:szCs w:val="20"/>
        </w:rPr>
      </w:pPr>
      <w:r>
        <w:rPr>
          <w:rFonts w:ascii="Calibri" w:eastAsia="Calibri" w:hAnsi="Calibri" w:cs="Calibri"/>
          <w:bCs/>
          <w:color w:val="7F7F7F" w:themeColor="text1" w:themeTint="80"/>
          <w:szCs w:val="20"/>
        </w:rPr>
        <w:lastRenderedPageBreak/>
        <w:t>(ii)</w:t>
      </w:r>
      <w:r>
        <w:rPr>
          <w:rFonts w:ascii="Calibri" w:eastAsia="Calibri" w:hAnsi="Calibri" w:cs="Calibri"/>
          <w:bCs/>
          <w:color w:val="7F7F7F" w:themeColor="text1" w:themeTint="80"/>
          <w:szCs w:val="20"/>
        </w:rPr>
        <w:tab/>
        <w:t>includes a comparison of the benefits and costs with the benefits and costs of any reasonable alternative way of achieving the policy objectives stated under paragraph (f</w:t>
      </w:r>
      <w:proofErr w:type="gramStart"/>
      <w:r>
        <w:rPr>
          <w:rFonts w:ascii="Calibri" w:eastAsia="Calibri" w:hAnsi="Calibri" w:cs="Calibri"/>
          <w:bCs/>
          <w:color w:val="7F7F7F" w:themeColor="text1" w:themeTint="80"/>
          <w:szCs w:val="20"/>
        </w:rPr>
        <w:t>);</w:t>
      </w:r>
      <w:proofErr w:type="gramEnd"/>
    </w:p>
    <w:p w14:paraId="192A7E3A" w14:textId="77777777" w:rsidR="00126BE8" w:rsidRDefault="00126BE8" w:rsidP="00AF0F99">
      <w:pPr>
        <w:pStyle w:val="Quote"/>
        <w:spacing w:before="120" w:after="120"/>
        <w:ind w:left="2154" w:hanging="720"/>
        <w:rPr>
          <w:rFonts w:ascii="Calibri" w:eastAsia="Calibri" w:hAnsi="Calibri" w:cs="Calibri"/>
          <w:b/>
          <w:color w:val="7F7F7F" w:themeColor="text1" w:themeTint="80"/>
          <w:szCs w:val="20"/>
        </w:rPr>
      </w:pPr>
      <w:r>
        <w:rPr>
          <w:rFonts w:ascii="Calibri" w:eastAsia="Calibri" w:hAnsi="Calibri" w:cs="Calibri"/>
          <w:b/>
          <w:color w:val="7F7F7F" w:themeColor="text1" w:themeTint="80"/>
          <w:szCs w:val="20"/>
        </w:rPr>
        <w:t>(h)</w:t>
      </w:r>
      <w:r>
        <w:rPr>
          <w:rFonts w:ascii="Calibri" w:eastAsia="Calibri" w:hAnsi="Calibri" w:cs="Calibri"/>
          <w:b/>
          <w:color w:val="7F7F7F" w:themeColor="text1" w:themeTint="80"/>
          <w:szCs w:val="20"/>
        </w:rPr>
        <w:tab/>
        <w:t xml:space="preserve">a brief assessment of the consistency of the proposed law with the scrutiny committee principles and, if it is inconsistent with the principles, the reasons for the inconsistency.  </w:t>
      </w:r>
      <w:r>
        <w:rPr>
          <w:rFonts w:ascii="Calibri" w:eastAsia="Calibri" w:hAnsi="Calibri" w:cs="Calibri"/>
          <w:bCs/>
          <w:color w:val="7F7F7F" w:themeColor="text1" w:themeTint="80"/>
          <w:szCs w:val="20"/>
        </w:rPr>
        <w:t>[emphasis added]</w:t>
      </w:r>
    </w:p>
    <w:p w14:paraId="0E394227" w14:textId="77777777" w:rsidR="00126BE8" w:rsidRDefault="00126BE8" w:rsidP="00EE5867">
      <w:pPr>
        <w:pStyle w:val="ListNumber2"/>
        <w:numPr>
          <w:ilvl w:val="1"/>
          <w:numId w:val="6"/>
        </w:numPr>
        <w:ind w:hanging="720"/>
        <w:rPr>
          <w:rFonts w:ascii="Calibri" w:eastAsia="Calibri" w:hAnsi="Calibri" w:cs="Calibri"/>
          <w:bCs w:val="0"/>
          <w:color w:val="000000"/>
        </w:rPr>
      </w:pPr>
      <w:r>
        <w:rPr>
          <w:rFonts w:ascii="Calibri" w:eastAsia="Calibri" w:hAnsi="Calibri" w:cs="Calibri"/>
          <w:color w:val="000000"/>
        </w:rPr>
        <w:t xml:space="preserve">The Committee notes that, in the document provided in connection with this subordinate law, there is </w:t>
      </w:r>
      <w:r>
        <w:rPr>
          <w:rFonts w:ascii="Calibri" w:eastAsia="Calibri" w:hAnsi="Calibri" w:cs="Calibri"/>
          <w:color w:val="000000"/>
          <w:u w:val="single"/>
        </w:rPr>
        <w:t>no</w:t>
      </w:r>
      <w:r>
        <w:rPr>
          <w:rFonts w:ascii="Calibri" w:eastAsia="Calibri" w:hAnsi="Calibri" w:cs="Calibri"/>
          <w:color w:val="000000"/>
        </w:rPr>
        <w:t xml:space="preserve"> discussion of the requirements of paragraph 35(h).</w:t>
      </w:r>
    </w:p>
    <w:p w14:paraId="45AB85CB" w14:textId="77777777" w:rsidR="00126BE8" w:rsidRDefault="00126BE8" w:rsidP="00EE5867">
      <w:pPr>
        <w:pStyle w:val="ListNumber2"/>
        <w:numPr>
          <w:ilvl w:val="1"/>
          <w:numId w:val="6"/>
        </w:numPr>
        <w:ind w:hanging="720"/>
        <w:rPr>
          <w:rFonts w:ascii="Calibri" w:eastAsia="Calibri" w:hAnsi="Calibri" w:cs="Calibri"/>
          <w:b/>
          <w:color w:val="000000"/>
        </w:rPr>
      </w:pPr>
      <w:bookmarkStart w:id="265" w:name="_Hlk125295951"/>
      <w:r>
        <w:rPr>
          <w:rFonts w:ascii="Calibri" w:eastAsia="Calibri" w:hAnsi="Calibri" w:cs="Calibri"/>
          <w:b/>
          <w:color w:val="000000"/>
        </w:rPr>
        <w:t>The Committee draws the attention of the Legislative Assembly to this instrument, under paragraph (10)(d) of the Committee’s Resolution of Appointment, on the basis that the regulatory impact statement for the subordinate law does not meet the technical or stylistic standards expected by the Committee.</w:t>
      </w:r>
      <w:bookmarkStart w:id="266" w:name="_Hlk125294511"/>
    </w:p>
    <w:tbl>
      <w:tblPr>
        <w:tblW w:w="0" w:type="auto"/>
        <w:tblInd w:w="851" w:type="dxa"/>
        <w:shd w:val="clear" w:color="auto" w:fill="D9E2F3" w:themeFill="accent1" w:themeFillTint="33"/>
        <w:tblLook w:val="0600" w:firstRow="0" w:lastRow="0" w:firstColumn="0" w:lastColumn="0" w:noHBand="1" w:noVBand="1"/>
      </w:tblPr>
      <w:tblGrid>
        <w:gridCol w:w="7891"/>
      </w:tblGrid>
      <w:tr w:rsidR="00126BE8" w14:paraId="76D32034" w14:textId="77777777" w:rsidTr="004C75D2">
        <w:tc>
          <w:tcPr>
            <w:tcW w:w="7891" w:type="dxa"/>
            <w:shd w:val="clear" w:color="auto" w:fill="D9E2F3" w:themeFill="accent1" w:themeFillTint="33"/>
            <w:hideMark/>
          </w:tcPr>
          <w:p w14:paraId="60389C5A" w14:textId="77777777" w:rsidR="00126BE8" w:rsidRPr="00297A82" w:rsidRDefault="00126BE8">
            <w:pPr>
              <w:spacing w:before="80" w:after="120"/>
              <w:rPr>
                <w:rFonts w:ascii="Calibri" w:eastAsia="Calibri" w:hAnsi="Calibri" w:cs="Calibri"/>
                <w:bCs/>
                <w:color w:val="000000"/>
              </w:rPr>
            </w:pPr>
            <w:r w:rsidRPr="00297A82">
              <w:rPr>
                <w:rFonts w:ascii="Calibri" w:eastAsia="Calibri" w:hAnsi="Calibri" w:cs="Calibri"/>
                <w:bCs/>
                <w:color w:val="000000"/>
              </w:rPr>
              <w:t>This comment requires a response from the Minister. The Committee would be grateful if the Minister could respond before the Legislative Assembly’s capacity to move to disallow the subordinate law expires.</w:t>
            </w:r>
          </w:p>
        </w:tc>
      </w:tr>
    </w:tbl>
    <w:bookmarkEnd w:id="265"/>
    <w:bookmarkEnd w:id="266"/>
    <w:bookmarkEnd w:id="136"/>
    <w:p w14:paraId="4E0B2DFC" w14:textId="65723120" w:rsidR="00354391" w:rsidRDefault="00354391" w:rsidP="0095480B">
      <w:pPr>
        <w:pStyle w:val="Paper"/>
        <w:spacing w:before="2880" w:after="0" w:line="233" w:lineRule="auto"/>
        <w:rPr>
          <w:rFonts w:ascii="Calibri" w:hAnsi="Calibri" w:cs="Calibri"/>
          <w:sz w:val="22"/>
          <w:szCs w:val="22"/>
          <w:lang w:eastAsia="en-AU"/>
        </w:rPr>
      </w:pPr>
      <w:r>
        <w:rPr>
          <w:rFonts w:ascii="Calibri" w:hAnsi="Calibri" w:cs="Calibri"/>
          <w:sz w:val="22"/>
          <w:szCs w:val="22"/>
          <w:lang w:eastAsia="en-AU"/>
        </w:rPr>
        <w:t>Peter Cain MLA</w:t>
      </w:r>
    </w:p>
    <w:p w14:paraId="1DEFFB7C" w14:textId="77777777" w:rsidR="00354391" w:rsidRDefault="00354391" w:rsidP="00354391">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1A8F7CD8" w14:textId="70931495" w:rsidR="00354391" w:rsidRDefault="00354391" w:rsidP="00354391">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E2109B">
        <w:rPr>
          <w:rFonts w:ascii="Calibri" w:hAnsi="Calibri" w:cs="Calibri"/>
          <w:sz w:val="22"/>
          <w:szCs w:val="22"/>
          <w:lang w:eastAsia="en-AU"/>
        </w:rPr>
        <w:t>September</w:t>
      </w:r>
      <w:r>
        <w:rPr>
          <w:rFonts w:ascii="Calibri" w:hAnsi="Calibri" w:cs="Calibri"/>
          <w:sz w:val="22"/>
          <w:szCs w:val="22"/>
          <w:lang w:eastAsia="en-AU"/>
        </w:rPr>
        <w:t xml:space="preserve"> 202</w:t>
      </w:r>
      <w:bookmarkStart w:id="267" w:name="_Toc145944788"/>
      <w:bookmarkStart w:id="268" w:name="_Toc148444512"/>
      <w:bookmarkEnd w:id="129"/>
      <w:r>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0DB5382C" w14:textId="77777777" w:rsidR="00354391" w:rsidRPr="00C618BF" w:rsidRDefault="00354391" w:rsidP="00354391">
      <w:pPr>
        <w:keepNext/>
        <w:keepLines/>
        <w:spacing w:before="240" w:after="240"/>
        <w:ind w:left="851" w:hanging="851"/>
        <w:outlineLvl w:val="0"/>
        <w:rPr>
          <w:rFonts w:ascii="Montserrat" w:eastAsiaTheme="majorEastAsia" w:hAnsi="Montserrat" w:cstheme="majorBidi"/>
          <w:b/>
          <w:color w:val="1A234C"/>
          <w:w w:val="90"/>
          <w:sz w:val="36"/>
          <w:szCs w:val="32"/>
        </w:rPr>
      </w:pPr>
      <w:bookmarkStart w:id="269" w:name="_Toc176175578"/>
      <w:r w:rsidRPr="00C618BF">
        <w:rPr>
          <w:rFonts w:ascii="Montserrat" w:eastAsiaTheme="majorEastAsia" w:hAnsi="Montserrat" w:cstheme="majorBidi"/>
          <w:b/>
          <w:color w:val="1A234C"/>
          <w:w w:val="90"/>
          <w:sz w:val="36"/>
          <w:szCs w:val="32"/>
        </w:rPr>
        <w:lastRenderedPageBreak/>
        <w:t>Outstanding responses</w:t>
      </w:r>
      <w:bookmarkEnd w:id="267"/>
      <w:bookmarkEnd w:id="268"/>
      <w:bookmarkEnd w:id="269"/>
    </w:p>
    <w:p w14:paraId="7C38B152" w14:textId="77777777" w:rsidR="00354391" w:rsidRDefault="00354391" w:rsidP="007825E1">
      <w:pPr>
        <w:pStyle w:val="Heading20"/>
      </w:pPr>
      <w:bookmarkStart w:id="270" w:name="_Toc176175579"/>
      <w:bookmarkStart w:id="271" w:name="_Toc145944790"/>
      <w:bookmarkStart w:id="272" w:name="_Toc148444514"/>
      <w:r>
        <w:t>Bills/Subordinate Legislation</w:t>
      </w:r>
      <w:bookmarkEnd w:id="270"/>
    </w:p>
    <w:p w14:paraId="25F77F9E" w14:textId="77777777" w:rsidR="00354391" w:rsidRPr="00BC5EBB" w:rsidRDefault="00354391" w:rsidP="007825E1">
      <w:pPr>
        <w:pStyle w:val="Heading3"/>
      </w:pPr>
      <w:bookmarkStart w:id="273" w:name="_Toc160699165"/>
      <w:bookmarkStart w:id="274" w:name="_Toc161141760"/>
      <w:bookmarkStart w:id="275" w:name="_Toc176175580"/>
      <w:r>
        <w:t>Report 28, dated 3 May 2023</w:t>
      </w:r>
      <w:bookmarkEnd w:id="273"/>
      <w:bookmarkEnd w:id="274"/>
      <w:bookmarkEnd w:id="275"/>
    </w:p>
    <w:p w14:paraId="22E7885F"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276" w:name="_Toc160699166"/>
      <w:bookmarkStart w:id="277" w:name="_Toc161141761"/>
      <w:bookmarkStart w:id="278" w:name="_Toc162463782"/>
      <w:bookmarkStart w:id="279" w:name="_Toc165377065"/>
      <w:bookmarkStart w:id="280" w:name="_Toc165454971"/>
      <w:bookmarkStart w:id="281" w:name="_Toc165552887"/>
      <w:bookmarkStart w:id="282" w:name="_Toc167305552"/>
      <w:bookmarkStart w:id="283" w:name="_Toc169174839"/>
      <w:bookmarkStart w:id="284" w:name="_Toc174548924"/>
      <w:bookmarkStart w:id="285" w:name="_Toc175930239"/>
      <w:bookmarkStart w:id="286" w:name="_Toc176162896"/>
      <w:bookmarkStart w:id="287" w:name="_Toc176175581"/>
      <w:bookmarkEnd w:id="271"/>
      <w:bookmarkEnd w:id="272"/>
      <w:r w:rsidRPr="00C618BF">
        <w:rPr>
          <w:rFonts w:ascii="Montserrat SemiBold" w:eastAsiaTheme="majorEastAsia" w:hAnsi="Montserrat SemiBold" w:cstheme="majorBidi"/>
          <w:iCs/>
          <w:color w:val="2F5496"/>
          <w:w w:val="90"/>
          <w:sz w:val="24"/>
          <w:szCs w:val="24"/>
        </w:rPr>
        <w:t>Bill</w:t>
      </w:r>
      <w:bookmarkEnd w:id="276"/>
      <w:bookmarkEnd w:id="277"/>
      <w:bookmarkEnd w:id="278"/>
      <w:bookmarkEnd w:id="279"/>
      <w:bookmarkEnd w:id="280"/>
      <w:bookmarkEnd w:id="281"/>
      <w:bookmarkEnd w:id="282"/>
      <w:bookmarkEnd w:id="283"/>
      <w:bookmarkEnd w:id="284"/>
      <w:bookmarkEnd w:id="285"/>
      <w:bookmarkEnd w:id="286"/>
      <w:bookmarkEnd w:id="287"/>
    </w:p>
    <w:p w14:paraId="2767724A" w14:textId="77777777" w:rsidR="00354391" w:rsidRDefault="00354391" w:rsidP="00EE5867">
      <w:pPr>
        <w:numPr>
          <w:ilvl w:val="0"/>
          <w:numId w:val="4"/>
        </w:numPr>
        <w:spacing w:before="120" w:after="120" w:line="280" w:lineRule="auto"/>
      </w:pPr>
      <w:r w:rsidRPr="00C618BF">
        <w:t>Modern Slavery Legislation Amendment Bill 2023</w:t>
      </w:r>
    </w:p>
    <w:p w14:paraId="2B2741E6" w14:textId="1F55F0E4" w:rsidR="00354391" w:rsidRDefault="00354391" w:rsidP="007825E1">
      <w:pPr>
        <w:pStyle w:val="Heading3"/>
      </w:pPr>
      <w:bookmarkStart w:id="288" w:name="_Toc176175582"/>
      <w:r>
        <w:t>Report 39, dated 12 March 2024</w:t>
      </w:r>
      <w:bookmarkEnd w:id="288"/>
    </w:p>
    <w:p w14:paraId="1C17DD3D"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289" w:name="_Toc162463786"/>
      <w:bookmarkStart w:id="290" w:name="_Toc165377069"/>
      <w:bookmarkStart w:id="291" w:name="_Toc165454975"/>
      <w:bookmarkStart w:id="292" w:name="_Toc165552891"/>
      <w:bookmarkStart w:id="293" w:name="_Toc167305556"/>
      <w:bookmarkStart w:id="294" w:name="_Toc169174843"/>
      <w:bookmarkStart w:id="295" w:name="_Toc174548926"/>
      <w:bookmarkStart w:id="296" w:name="_Toc175930241"/>
      <w:bookmarkStart w:id="297" w:name="_Toc176162898"/>
      <w:bookmarkStart w:id="298" w:name="_Toc176175583"/>
      <w:r w:rsidRPr="00C618BF">
        <w:rPr>
          <w:rFonts w:ascii="Montserrat SemiBold" w:eastAsiaTheme="majorEastAsia" w:hAnsi="Montserrat SemiBold" w:cstheme="majorBidi"/>
          <w:iCs/>
          <w:color w:val="2F5496"/>
          <w:w w:val="90"/>
          <w:sz w:val="24"/>
          <w:szCs w:val="24"/>
        </w:rPr>
        <w:t>Bill</w:t>
      </w:r>
      <w:bookmarkEnd w:id="289"/>
      <w:bookmarkEnd w:id="290"/>
      <w:bookmarkEnd w:id="291"/>
      <w:bookmarkEnd w:id="292"/>
      <w:bookmarkEnd w:id="293"/>
      <w:bookmarkEnd w:id="294"/>
      <w:bookmarkEnd w:id="295"/>
      <w:bookmarkEnd w:id="296"/>
      <w:bookmarkEnd w:id="297"/>
      <w:bookmarkEnd w:id="298"/>
    </w:p>
    <w:p w14:paraId="68C6EE69" w14:textId="6A0B27EB" w:rsidR="006F678C" w:rsidRDefault="006F678C" w:rsidP="00EE5867">
      <w:pPr>
        <w:pStyle w:val="ListParagraph"/>
        <w:numPr>
          <w:ilvl w:val="0"/>
          <w:numId w:val="5"/>
        </w:numPr>
        <w:spacing w:before="120" w:after="120" w:line="281" w:lineRule="auto"/>
        <w:ind w:left="714" w:hanging="357"/>
        <w:contextualSpacing w:val="0"/>
      </w:pPr>
      <w:r>
        <w:t>Environment Protection (Fossil Fuel Company Advertising) Amendment Bill 2024</w:t>
      </w:r>
    </w:p>
    <w:sectPr w:rsidR="006F678C" w:rsidSect="00CE02FD">
      <w:footerReference w:type="even" r:id="rId24"/>
      <w:footerReference w:type="default" r:id="rId25"/>
      <w:pgSz w:w="11906" w:h="16838"/>
      <w:pgMar w:top="1134"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B584FD-1588-4190-A642-67EB0A059969}"/>
    <w:embedBold r:id="rId2" w:fontKey="{2BE45F16-0A11-4EAF-BC25-56078A547302}"/>
    <w:embedItalic r:id="rId3" w:fontKey="{68803697-4BBC-49E0-A4F6-384DEDC22569}"/>
    <w:embedBoldItalic r:id="rId4" w:fontKey="{431D063D-45AD-444E-AF5F-6692125DD625}"/>
  </w:font>
  <w:font w:name="Montserrat">
    <w:altName w:val="﷽﷽﷽﷽﷽﷽﷽﷽at"/>
    <w:panose1 w:val="00000500000000000000"/>
    <w:charset w:val="00"/>
    <w:family w:val="auto"/>
    <w:pitch w:val="variable"/>
    <w:sig w:usb0="2000020F" w:usb1="00000003" w:usb2="00000000" w:usb3="00000000" w:csb0="00000197" w:csb1="00000000"/>
    <w:embedRegular r:id="rId5" w:fontKey="{0EAB9F85-0BE0-47EA-A667-00F061A37FC2}"/>
    <w:embedBold r:id="rId6" w:fontKey="{C42BDF23-B023-4C33-80C6-BB02CAFA7CF8}"/>
    <w:embedBoldItalic r:id="rId7" w:fontKey="{DE871864-BB49-46D2-BDF5-5A770D78C472}"/>
  </w:font>
  <w:font w:name="Montserrat SemiBold">
    <w:panose1 w:val="00000700000000000000"/>
    <w:charset w:val="00"/>
    <w:family w:val="auto"/>
    <w:pitch w:val="variable"/>
    <w:sig w:usb0="2000020F" w:usb1="00000003" w:usb2="00000000" w:usb3="00000000" w:csb0="00000197" w:csb1="00000000"/>
    <w:embedRegular r:id="rId8" w:fontKey="{A7BAD4B4-9C69-4F2C-9AED-24C9AD46713D}"/>
    <w:embedItalic r:id="rId9" w:fontKey="{75B2AC91-D6A5-4679-BF0C-6D4E55158C1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494E6C92-D87C-411A-826A-5EA148933148}"/>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1806C98B"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2133BF">
      <w:rPr>
        <w:rFonts w:ascii="Montserrat SemiBold" w:hAnsi="Montserrat SemiBold" w:cstheme="majorHAnsi"/>
        <w:noProof/>
        <w:color w:val="2F5496"/>
        <w:w w:val="90"/>
        <w:sz w:val="18"/>
        <w:szCs w:val="18"/>
      </w:rPr>
      <w:t>Scrutiny Report 45</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A6498A0"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133BF">
      <w:rPr>
        <w:rFonts w:ascii="Montserrat SemiBold" w:hAnsi="Montserrat SemiBold" w:cstheme="majorHAnsi"/>
        <w:noProof/>
        <w:color w:val="2F5496"/>
        <w:w w:val="90"/>
        <w:sz w:val="18"/>
        <w:szCs w:val="18"/>
      </w:rPr>
      <w:t>Scrutiny Report 45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3A54860"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2133BF">
      <w:rPr>
        <w:rFonts w:cstheme="minorHAnsi"/>
        <w:noProof/>
        <w:color w:val="404040" w:themeColor="text1" w:themeTint="BF"/>
      </w:rPr>
      <w:t>Standing Committee on Justice and Community Safety (Legislative Scrutiny Role)</w:t>
    </w:r>
    <w:r w:rsidR="002133BF">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EB60EAF" w:rsidR="00836FFE" w:rsidRPr="00C8358A" w:rsidRDefault="00B826FD"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40E229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2133BF">
      <w:rPr>
        <w:rFonts w:cstheme="minorHAnsi"/>
        <w:noProof/>
        <w:color w:val="404040" w:themeColor="text1" w:themeTint="BF"/>
      </w:rPr>
      <w:t>September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678F683"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133BF">
      <w:rPr>
        <w:rFonts w:ascii="Montserrat SemiBold" w:hAnsi="Montserrat SemiBold" w:cstheme="majorHAnsi"/>
        <w:noProof/>
        <w:color w:val="2F5496"/>
        <w:w w:val="90"/>
        <w:sz w:val="18"/>
        <w:szCs w:val="18"/>
      </w:rPr>
      <w:t>Scrutiny Report 45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16D9F0D"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F1E39">
      <w:rPr>
        <w:rFonts w:ascii="Montserrat SemiBold" w:hAnsi="Montserrat SemiBold" w:cstheme="majorHAnsi"/>
        <w:noProof/>
        <w:color w:val="2F5496"/>
        <w:w w:val="90"/>
        <w:sz w:val="18"/>
        <w:szCs w:val="18"/>
      </w:rPr>
      <w:t>Scrutiny Report 45</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2FEFA9A4"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F1E39">
      <w:rPr>
        <w:rFonts w:ascii="Montserrat SemiBold" w:hAnsi="Montserrat SemiBold" w:cstheme="majorHAnsi"/>
        <w:noProof/>
        <w:color w:val="2F5496"/>
        <w:w w:val="90"/>
        <w:sz w:val="18"/>
        <w:szCs w:val="18"/>
      </w:rPr>
      <w:t>Scrutiny Report 45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5FEA3448" w14:textId="3EC461DF" w:rsidR="00E27B6D" w:rsidRDefault="00E27B6D" w:rsidP="00E27B6D">
      <w:pPr>
        <w:pStyle w:val="FootnoteText"/>
      </w:pPr>
      <w:r>
        <w:rPr>
          <w:rStyle w:val="FootnoteReference"/>
        </w:rPr>
        <w:footnoteRef/>
      </w:r>
      <w:r>
        <w:t xml:space="preserve"> [2014] HCA 35</w:t>
      </w:r>
      <w:r w:rsidR="00E24228">
        <w:t>.</w:t>
      </w:r>
    </w:p>
  </w:footnote>
  <w:footnote w:id="2">
    <w:p w14:paraId="36E4A79E" w14:textId="77777777" w:rsidR="00E27B6D" w:rsidRDefault="00E27B6D" w:rsidP="00E27B6D">
      <w:pPr>
        <w:pStyle w:val="FootnoteText"/>
      </w:pPr>
      <w:r>
        <w:rPr>
          <w:rStyle w:val="FootnoteReference"/>
        </w:rPr>
        <w:footnoteRef/>
      </w:r>
      <w:r>
        <w:t xml:space="preserve"> The Bill provides for specified situations in which the offence does not apply as well as requiring that the consorting in those situations be reasonable in the circumstances before it is not in breach of the offence. </w:t>
      </w:r>
    </w:p>
  </w:footnote>
  <w:footnote w:id="3">
    <w:p w14:paraId="7CFF1CBB" w14:textId="77777777" w:rsidR="00E27B6D" w:rsidRDefault="00E27B6D" w:rsidP="00E27B6D">
      <w:pPr>
        <w:pStyle w:val="FootnoteText"/>
      </w:pPr>
      <w:r>
        <w:rPr>
          <w:rStyle w:val="FootnoteReference"/>
        </w:rPr>
        <w:footnoteRef/>
      </w:r>
      <w:r>
        <w:t xml:space="preserve"> The new offence of consorting applies to persons 14 years old or older. Warnings given to children under 18 last for up to 6 months. Section 252D of the Crimes Act defines young person by means of the </w:t>
      </w:r>
      <w:r>
        <w:rPr>
          <w:i/>
          <w:iCs/>
        </w:rPr>
        <w:t>Children and Young People Act 2008</w:t>
      </w:r>
      <w:r>
        <w:t xml:space="preserve">, section 12. That section defines a young person as a person who is 12 years or older but under 18. </w:t>
      </w:r>
    </w:p>
  </w:footnote>
  <w:footnote w:id="4">
    <w:p w14:paraId="61FE24F2" w14:textId="77777777" w:rsidR="00E27B6D" w:rsidRDefault="00E27B6D" w:rsidP="00E27B6D">
      <w:pPr>
        <w:pStyle w:val="FootnoteText"/>
      </w:pPr>
      <w:r>
        <w:rPr>
          <w:rStyle w:val="FootnoteReference"/>
        </w:rPr>
        <w:footnoteRef/>
      </w:r>
      <w:r>
        <w:t xml:space="preserve"> It is not clear whether this statement is intended to refer to the operation of the provisions in the Bill or the Crimes Act after amendment. The Bill provides for the ACT ombudsman to report on the operation of the Bill after two years of its </w:t>
      </w:r>
      <w:proofErr w:type="gramStart"/>
      <w:r>
        <w:t>operation</w:t>
      </w:r>
      <w:proofErr w:type="gramEnd"/>
      <w:r>
        <w:t xml:space="preserve"> but the Committee does not consider that to be a form of oversight. Complaints about ACT policing can be made to the Commonwealth Ombudsman (see </w:t>
      </w:r>
      <w:r>
        <w:rPr>
          <w:i/>
          <w:iCs/>
        </w:rPr>
        <w:t>Ombudsman Act 1976</w:t>
      </w:r>
      <w:r>
        <w:t xml:space="preserve"> and </w:t>
      </w:r>
      <w:r>
        <w:rPr>
          <w:i/>
          <w:iCs/>
        </w:rPr>
        <w:t>Australian Federal Police Act 1979</w:t>
      </w:r>
      <w:r>
        <w:t xml:space="preserve">) but that does not extend to the operation of the Crimes Act generally. </w:t>
      </w:r>
    </w:p>
  </w:footnote>
  <w:footnote w:id="5">
    <w:p w14:paraId="6DDC5138" w14:textId="77777777" w:rsidR="00E27B6D" w:rsidRDefault="00E27B6D" w:rsidP="00E27B6D">
      <w:pPr>
        <w:pStyle w:val="FootnoteText"/>
      </w:pPr>
      <w:r>
        <w:rPr>
          <w:rStyle w:val="FootnoteReference"/>
        </w:rPr>
        <w:footnoteRef/>
      </w:r>
      <w:r>
        <w:t xml:space="preserve"> See </w:t>
      </w:r>
      <w:proofErr w:type="spellStart"/>
      <w:proofErr w:type="gramStart"/>
      <w:r>
        <w:t>eg.</w:t>
      </w:r>
      <w:r>
        <w:rPr>
          <w:i/>
          <w:iCs/>
        </w:rPr>
        <w:t>Tajjour</w:t>
      </w:r>
      <w:proofErr w:type="spellEnd"/>
      <w:proofErr w:type="gramEnd"/>
      <w:r>
        <w:t xml:space="preserve"> at [124]. </w:t>
      </w:r>
    </w:p>
  </w:footnote>
  <w:footnote w:id="6">
    <w:p w14:paraId="3824D478" w14:textId="77777777" w:rsidR="00E27B6D" w:rsidRDefault="00E27B6D" w:rsidP="00E27B6D">
      <w:pPr>
        <w:pStyle w:val="FootnoteText"/>
      </w:pPr>
      <w:r>
        <w:rPr>
          <w:rStyle w:val="FootnoteReference"/>
        </w:rPr>
        <w:footnoteRef/>
      </w:r>
      <w:r>
        <w:t xml:space="preserve"> </w:t>
      </w:r>
      <w:proofErr w:type="spellStart"/>
      <w:r>
        <w:rPr>
          <w:i/>
          <w:iCs/>
        </w:rPr>
        <w:t>Tajjour</w:t>
      </w:r>
      <w:proofErr w:type="spellEnd"/>
      <w:r>
        <w:t xml:space="preserve"> at [133].</w:t>
      </w:r>
    </w:p>
  </w:footnote>
  <w:footnote w:id="7">
    <w:p w14:paraId="77F7D4A2" w14:textId="77777777" w:rsidR="00E27B6D" w:rsidRDefault="00E27B6D" w:rsidP="00E27B6D">
      <w:pPr>
        <w:pStyle w:val="FootnoteText"/>
      </w:pPr>
      <w:r>
        <w:rPr>
          <w:rStyle w:val="FootnoteReference"/>
        </w:rPr>
        <w:footnoteRef/>
      </w:r>
      <w:r>
        <w:t xml:space="preserve"> Ombudsman NSW, </w:t>
      </w:r>
      <w:r>
        <w:rPr>
          <w:i/>
          <w:iCs/>
        </w:rPr>
        <w:t xml:space="preserve">The Consorting Law: Report on the operation of Part 3A, Division 7 of the </w:t>
      </w:r>
      <w:r>
        <w:t>Crimes Act 1900, April 2016.</w:t>
      </w:r>
    </w:p>
  </w:footnote>
  <w:footnote w:id="8">
    <w:p w14:paraId="79A55145" w14:textId="77777777" w:rsidR="00E27B6D" w:rsidRDefault="00E27B6D" w:rsidP="00E27B6D">
      <w:pPr>
        <w:pStyle w:val="FootnoteText"/>
      </w:pPr>
      <w:r>
        <w:rPr>
          <w:rStyle w:val="FootnoteReference"/>
        </w:rPr>
        <w:footnoteRef/>
      </w:r>
      <w:r>
        <w:t xml:space="preserve"> See at pp. </w:t>
      </w:r>
      <w:r>
        <w:rPr>
          <w:i/>
          <w:iCs/>
        </w:rPr>
        <w:t xml:space="preserve">24-25, 63, 71, </w:t>
      </w:r>
      <w:r>
        <w:t xml:space="preserve"> </w:t>
      </w:r>
    </w:p>
  </w:footnote>
  <w:footnote w:id="9">
    <w:p w14:paraId="46CF4ADC" w14:textId="440FEB62" w:rsidR="00B826FD" w:rsidRPr="00B826FD" w:rsidRDefault="00B826FD">
      <w:pPr>
        <w:pStyle w:val="FootnoteText"/>
        <w:rPr>
          <w:lang w:val="en-US"/>
        </w:rPr>
      </w:pPr>
      <w:r>
        <w:rPr>
          <w:rStyle w:val="FootnoteReference"/>
        </w:rPr>
        <w:footnoteRef/>
      </w:r>
      <w:r>
        <w:t xml:space="preserve"> </w:t>
      </w:r>
      <w:hyperlink r:id="rId1" w:history="1">
        <w:r w:rsidRPr="00AA006E">
          <w:rPr>
            <w:rStyle w:val="Hyperlink"/>
          </w:rPr>
          <w:t>https://www.parliament.act.gov.au/parliamentary-business/in-committees/committees/JCS_Scrutiny/responses-to-comments-on-bills</w:t>
        </w:r>
      </w:hyperlink>
      <w:r>
        <w:t xml:space="preserve"> </w:t>
      </w:r>
    </w:p>
  </w:footnote>
  <w:footnote w:id="10">
    <w:p w14:paraId="1F442051" w14:textId="5F6F44BC" w:rsidR="00126BE8" w:rsidRPr="00E24228" w:rsidRDefault="00126BE8" w:rsidP="00E24228">
      <w:pPr>
        <w:pStyle w:val="FootnoteText"/>
        <w:rPr>
          <w:rFonts w:ascii="Calibri" w:eastAsia="Calibri" w:hAnsi="Calibri" w:cs="Calibri"/>
          <w:iCs/>
          <w:color w:val="3657D2"/>
        </w:rPr>
      </w:pPr>
      <w:r>
        <w:rPr>
          <w:rStyle w:val="FootnoteReference"/>
        </w:rPr>
        <w:footnoteRef/>
      </w:r>
      <w:r w:rsidRPr="00E24228">
        <w:rPr>
          <w:sz w:val="18"/>
          <w:szCs w:val="18"/>
        </w:rPr>
        <w:t xml:space="preserve"> Set out in the Committee’s document titled </w:t>
      </w:r>
      <w:hyperlink r:id="rId2" w:history="1">
        <w:r w:rsidRPr="00E24228">
          <w:rPr>
            <w:rStyle w:val="Hyperlink"/>
            <w:rFonts w:ascii="Calibri" w:eastAsia="Calibri" w:hAnsi="Calibri" w:cs="Calibri"/>
            <w:i/>
            <w:color w:val="3657D2"/>
            <w:sz w:val="18"/>
            <w:szCs w:val="18"/>
          </w:rPr>
          <w:t>Subordinate legislation—Technical and stylistic standards—Tips/Traps</w:t>
        </w:r>
      </w:hyperlink>
      <w:r w:rsidRPr="00E24228">
        <w:rPr>
          <w:rFonts w:ascii="Calibri" w:eastAsia="Calibri" w:hAnsi="Calibri" w:cs="Calibri"/>
          <w:iCs/>
          <w:color w:val="000000"/>
          <w:sz w:val="18"/>
          <w:szCs w:val="18"/>
        </w:rPr>
        <w:t xml:space="preserve">, available at </w:t>
      </w:r>
      <w:hyperlink r:id="rId3" w:history="1">
        <w:r w:rsidRPr="00E24228">
          <w:rPr>
            <w:rStyle w:val="Hyperlink"/>
            <w:rFonts w:ascii="Calibri" w:eastAsia="Calibri" w:hAnsi="Calibri" w:cs="Calibri"/>
            <w:iCs/>
            <w:sz w:val="18"/>
            <w:szCs w:val="18"/>
          </w:rPr>
          <w:t>https://www.parliament.act.gov.au/__data/assets/pdf_file/0007/434347/Subordinate-Legislation-Technical-and-Stylistic-Standards-Revised-March-2022.pdf</w:t>
        </w:r>
      </w:hyperlink>
    </w:p>
  </w:footnote>
  <w:footnote w:id="11">
    <w:p w14:paraId="13987974" w14:textId="77777777" w:rsidR="00126BE8" w:rsidRDefault="00126BE8" w:rsidP="00126BE8">
      <w:pPr>
        <w:pStyle w:val="FootnoteText"/>
      </w:pPr>
      <w:r>
        <w:rPr>
          <w:rStyle w:val="FootnoteReference"/>
        </w:rPr>
        <w:footnoteRef/>
      </w:r>
      <w:r>
        <w:t xml:space="preserve"> Available at </w:t>
      </w:r>
      <w:hyperlink r:id="rId4" w:history="1">
        <w:r>
          <w:rPr>
            <w:rStyle w:val="Hyperlink"/>
          </w:rPr>
          <w:t>https://www.parliament.act.gov.au/__data/assets/pdf_file/0009/2199015/Road-TransportPublic-Passenger-Services-Maximum-Fares-for-taxi_Redacted.pdf</w:t>
        </w:r>
      </w:hyperlink>
      <w:r>
        <w:t>.</w:t>
      </w:r>
    </w:p>
  </w:footnote>
  <w:footnote w:id="12">
    <w:p w14:paraId="5B780931" w14:textId="77777777" w:rsidR="00126BE8" w:rsidRDefault="00126BE8" w:rsidP="00126BE8">
      <w:pPr>
        <w:pStyle w:val="FootnoteText"/>
        <w:rPr>
          <w:rFonts w:cstheme="minorHAnsi"/>
        </w:rPr>
      </w:pPr>
      <w:r>
        <w:rPr>
          <w:rStyle w:val="FootnoteReference"/>
          <w:rFonts w:cstheme="minorHAnsi"/>
        </w:rPr>
        <w:footnoteRef/>
      </w:r>
      <w:r>
        <w:rPr>
          <w:rFonts w:cstheme="minorHAnsi"/>
        </w:rPr>
        <w:t xml:space="preserve"> NSW Government. Driving Distractions. Website. &lt;</w:t>
      </w:r>
      <w:hyperlink r:id="rId5" w:history="1">
        <w:r>
          <w:rPr>
            <w:rStyle w:val="Hyperlink"/>
            <w:rFonts w:cstheme="minorHAnsi"/>
          </w:rPr>
          <w:t>https://www.nsw.gov.au/driving-boating-and-transport/roads-safety-and-rules/warnings-and-hazards/driving-distractions</w:t>
        </w:r>
      </w:hyperlink>
      <w:r>
        <w:rPr>
          <w:rFonts w:cstheme="minorHAnsi"/>
        </w:rPr>
        <w:t xml:space="preserve">&gt; </w:t>
      </w:r>
    </w:p>
  </w:footnote>
  <w:footnote w:id="13">
    <w:p w14:paraId="27058388" w14:textId="77777777" w:rsidR="00126BE8" w:rsidRDefault="00126BE8" w:rsidP="00126BE8">
      <w:pPr>
        <w:pStyle w:val="FootnoteText"/>
        <w:rPr>
          <w:rFonts w:cstheme="minorHAnsi"/>
        </w:rPr>
      </w:pPr>
      <w:r>
        <w:rPr>
          <w:rStyle w:val="FootnoteReference"/>
          <w:rFonts w:cstheme="minorHAnsi"/>
        </w:rPr>
        <w:footnoteRef/>
      </w:r>
      <w:r>
        <w:rPr>
          <w:rFonts w:cstheme="minorHAnsi"/>
        </w:rPr>
        <w:t xml:space="preserve"> Government of Western Australia. Road Safety Commission. Distractions – Facts </w:t>
      </w:r>
      <w:proofErr w:type="gramStart"/>
      <w:r>
        <w:rPr>
          <w:rFonts w:cstheme="minorHAnsi"/>
        </w:rPr>
        <w:t>at a glance</w:t>
      </w:r>
      <w:proofErr w:type="gramEnd"/>
      <w:r>
        <w:rPr>
          <w:rFonts w:cstheme="minorHAnsi"/>
        </w:rPr>
        <w:t>.  Website &lt;</w:t>
      </w:r>
      <w:hyperlink r:id="rId6" w:history="1">
        <w:r>
          <w:rPr>
            <w:rStyle w:val="Hyperlink"/>
            <w:rFonts w:cstheme="minorHAnsi"/>
          </w:rPr>
          <w:t>https://www.wa.gov.au/system/files/2021-07/Distance-of-distraction-facts-at-a-glance_1.pdf</w:t>
        </w:r>
      </w:hyperlink>
      <w:r>
        <w:rPr>
          <w:rFonts w:cstheme="minorHAnsi"/>
        </w:rPr>
        <w:t xml:space="preserve">&gt; </w:t>
      </w:r>
    </w:p>
  </w:footnote>
  <w:footnote w:id="14">
    <w:p w14:paraId="1993AD02" w14:textId="77777777" w:rsidR="00126BE8" w:rsidRDefault="00126BE8" w:rsidP="00126BE8">
      <w:pPr>
        <w:pStyle w:val="FootnoteText"/>
      </w:pPr>
      <w:r>
        <w:rPr>
          <w:rStyle w:val="FootnoteReference"/>
          <w:rFonts w:cstheme="minorHAnsi"/>
        </w:rPr>
        <w:footnoteRef/>
      </w:r>
      <w:r>
        <w:rPr>
          <w:rFonts w:cstheme="minorHAnsi"/>
        </w:rPr>
        <w:t xml:space="preserve"> Government of South Australia. Department of Infrastructure and Transport. Towards Zero Together. Website. &lt;</w:t>
      </w:r>
      <w:hyperlink r:id="rId7" w:history="1">
        <w:r>
          <w:rPr>
            <w:rStyle w:val="Hyperlink"/>
            <w:rFonts w:cstheme="minorHAnsi"/>
          </w:rPr>
          <w:t>https://www.dit.sa.gov.au/towardszerotogether/Safer_behaviours/inattention</w:t>
        </w:r>
      </w:hyperlink>
      <w:r>
        <w:rPr>
          <w:rFonts w:cstheme="minorHAnsi"/>
        </w:rPr>
        <w:t>&gt;</w:t>
      </w:r>
      <w:r>
        <w:t xml:space="preserve"> </w:t>
      </w:r>
    </w:p>
  </w:footnote>
  <w:footnote w:id="15">
    <w:p w14:paraId="5160ECD5" w14:textId="77777777" w:rsidR="00126BE8" w:rsidRDefault="00126BE8" w:rsidP="00126BE8">
      <w:pPr>
        <w:pStyle w:val="FootnoteText"/>
        <w:spacing w:before="120"/>
      </w:pPr>
      <w:r>
        <w:rPr>
          <w:rStyle w:val="FootnoteReference"/>
        </w:rPr>
        <w:footnoteRef/>
      </w:r>
      <w:r>
        <w:t xml:space="preserve"> </w:t>
      </w:r>
      <w:r>
        <w:rPr>
          <w:color w:val="000000"/>
          <w:szCs w:val="18"/>
        </w:rPr>
        <w:t>https://www.parliament.act.gov.au/__data/assets/pdf_file/0007/434347/Subordinate-Legislation-Technical-and-Stylistic-Standards.pdf.</w:t>
      </w:r>
    </w:p>
  </w:footnote>
  <w:footnote w:id="16">
    <w:p w14:paraId="0E6A8FAF" w14:textId="77777777" w:rsidR="00126BE8" w:rsidRDefault="00126BE8" w:rsidP="00126BE8">
      <w:pPr>
        <w:pStyle w:val="EndnoteText"/>
        <w:rPr>
          <w:rFonts w:cstheme="minorHAnsi"/>
        </w:rPr>
      </w:pPr>
      <w:r>
        <w:rPr>
          <w:rStyle w:val="FootnoteReference"/>
          <w:rFonts w:eastAsiaTheme="majorEastAsia" w:cstheme="minorHAnsi"/>
        </w:rPr>
        <w:footnoteRef/>
      </w:r>
      <w:r>
        <w:rPr>
          <w:rFonts w:cstheme="minorHAnsi"/>
        </w:rPr>
        <w:t xml:space="preserve"> </w:t>
      </w:r>
      <w:r>
        <w:rPr>
          <w:rFonts w:cstheme="minorHAnsi"/>
          <w:color w:val="000000"/>
          <w:shd w:val="clear" w:color="auto" w:fill="FFFFFF"/>
        </w:rPr>
        <w:t xml:space="preserve">Watson, B., Watson, A., </w:t>
      </w:r>
      <w:proofErr w:type="spellStart"/>
      <w:r>
        <w:rPr>
          <w:rFonts w:cstheme="minorHAnsi"/>
          <w:color w:val="000000"/>
          <w:shd w:val="clear" w:color="auto" w:fill="FFFFFF"/>
        </w:rPr>
        <w:t>Siskind</w:t>
      </w:r>
      <w:proofErr w:type="spellEnd"/>
      <w:r>
        <w:rPr>
          <w:rFonts w:cstheme="minorHAnsi"/>
          <w:color w:val="000000"/>
          <w:shd w:val="clear" w:color="auto" w:fill="FFFFFF"/>
        </w:rPr>
        <w:t xml:space="preserve">, V., </w:t>
      </w:r>
      <w:proofErr w:type="spellStart"/>
      <w:r>
        <w:rPr>
          <w:rFonts w:cstheme="minorHAnsi"/>
          <w:color w:val="000000"/>
          <w:shd w:val="clear" w:color="auto" w:fill="FFFFFF"/>
        </w:rPr>
        <w:t>Fleiter</w:t>
      </w:r>
      <w:proofErr w:type="spellEnd"/>
      <w:r>
        <w:rPr>
          <w:rFonts w:cstheme="minorHAnsi"/>
          <w:color w:val="000000"/>
          <w:shd w:val="clear" w:color="auto" w:fill="FFFFFF"/>
        </w:rPr>
        <w:t xml:space="preserve">, J., &amp; </w:t>
      </w:r>
      <w:proofErr w:type="spellStart"/>
      <w:r>
        <w:rPr>
          <w:rFonts w:cstheme="minorHAnsi"/>
          <w:color w:val="000000"/>
          <w:shd w:val="clear" w:color="auto" w:fill="FFFFFF"/>
        </w:rPr>
        <w:t>Soole</w:t>
      </w:r>
      <w:proofErr w:type="spellEnd"/>
      <w:r>
        <w:rPr>
          <w:rFonts w:cstheme="minorHAnsi"/>
          <w:color w:val="000000"/>
          <w:shd w:val="clear" w:color="auto" w:fill="FFFFFF"/>
        </w:rPr>
        <w:t>, D. (2015). Profiling high-range speeding offenders: Investigating criminal history, personal characteristics, traffic offences, and crash history. Accident Analysis &amp; Prevention, 74, 87-96.</w:t>
      </w:r>
    </w:p>
    <w:p w14:paraId="2916DA0F" w14:textId="77777777" w:rsidR="00126BE8" w:rsidRDefault="00126BE8" w:rsidP="00126BE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4400387" name="Picture 34400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68EE"/>
    <w:multiLevelType w:val="hybridMultilevel"/>
    <w:tmpl w:val="C2525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7760FA"/>
    <w:multiLevelType w:val="hybridMultilevel"/>
    <w:tmpl w:val="2E524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B728E1"/>
    <w:multiLevelType w:val="hybridMultilevel"/>
    <w:tmpl w:val="15A008B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1104EB"/>
    <w:multiLevelType w:val="hybridMultilevel"/>
    <w:tmpl w:val="B582CE86"/>
    <w:lvl w:ilvl="0" w:tplc="710E98E4">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28742A03"/>
    <w:multiLevelType w:val="hybridMultilevel"/>
    <w:tmpl w:val="F636FE0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88E7A02"/>
    <w:multiLevelType w:val="multilevel"/>
    <w:tmpl w:val="E4123E9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9962549"/>
    <w:multiLevelType w:val="hybridMultilevel"/>
    <w:tmpl w:val="402EA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DE4609"/>
    <w:multiLevelType w:val="multilevel"/>
    <w:tmpl w:val="A030EE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B286384"/>
    <w:multiLevelType w:val="multilevel"/>
    <w:tmpl w:val="703E9800"/>
    <w:lvl w:ilvl="0">
      <w:start w:val="2"/>
      <w:numFmt w:val="decimal"/>
      <w:lvlText w:val="%1."/>
      <w:lvlJc w:val="left"/>
      <w:pPr>
        <w:ind w:left="720" w:hanging="360"/>
      </w:pPr>
      <w:rPr>
        <w:rFonts w:hint="default"/>
      </w:rPr>
    </w:lvl>
    <w:lvl w:ilvl="1">
      <w:start w:val="12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D30343"/>
    <w:multiLevelType w:val="multilevel"/>
    <w:tmpl w:val="EB642010"/>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D37330"/>
    <w:multiLevelType w:val="multilevel"/>
    <w:tmpl w:val="97D692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AD310DE"/>
    <w:multiLevelType w:val="hybridMultilevel"/>
    <w:tmpl w:val="6B228F32"/>
    <w:lvl w:ilvl="0" w:tplc="F790E320">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16cid:durableId="1348370003">
    <w:abstractNumId w:val="13"/>
  </w:num>
  <w:num w:numId="2" w16cid:durableId="734426583">
    <w:abstractNumId w:val="14"/>
  </w:num>
  <w:num w:numId="3" w16cid:durableId="164395069">
    <w:abstractNumId w:val="18"/>
  </w:num>
  <w:num w:numId="4" w16cid:durableId="1813056974">
    <w:abstractNumId w:val="8"/>
  </w:num>
  <w:num w:numId="5" w16cid:durableId="1057509707">
    <w:abstractNumId w:val="11"/>
  </w:num>
  <w:num w:numId="6" w16cid:durableId="996037779">
    <w:abstractNumId w:val="9"/>
  </w:num>
  <w:num w:numId="7" w16cid:durableId="117794857">
    <w:abstractNumId w:val="10"/>
  </w:num>
  <w:num w:numId="8" w16cid:durableId="1603876211">
    <w:abstractNumId w:val="5"/>
  </w:num>
  <w:num w:numId="9" w16cid:durableId="1443332092">
    <w:abstractNumId w:val="7"/>
  </w:num>
  <w:num w:numId="10" w16cid:durableId="428621381">
    <w:abstractNumId w:val="1"/>
  </w:num>
  <w:num w:numId="11" w16cid:durableId="1144086697">
    <w:abstractNumId w:val="0"/>
  </w:num>
  <w:num w:numId="12" w16cid:durableId="1734961499">
    <w:abstractNumId w:val="3"/>
  </w:num>
  <w:num w:numId="13" w16cid:durableId="243996216">
    <w:abstractNumId w:val="4"/>
  </w:num>
  <w:num w:numId="14" w16cid:durableId="769786147">
    <w:abstractNumId w:val="16"/>
  </w:num>
  <w:num w:numId="15" w16cid:durableId="709768260">
    <w:abstractNumId w:val="15"/>
  </w:num>
  <w:num w:numId="16" w16cid:durableId="1150948669">
    <w:abstractNumId w:val="12"/>
  </w:num>
  <w:num w:numId="17" w16cid:durableId="182813332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1082A"/>
    <w:rsid w:val="00013602"/>
    <w:rsid w:val="000150AA"/>
    <w:rsid w:val="00024F1A"/>
    <w:rsid w:val="000257F7"/>
    <w:rsid w:val="00026854"/>
    <w:rsid w:val="00030FBC"/>
    <w:rsid w:val="00032D3D"/>
    <w:rsid w:val="00034056"/>
    <w:rsid w:val="00047DD3"/>
    <w:rsid w:val="00051748"/>
    <w:rsid w:val="00051C47"/>
    <w:rsid w:val="000523B7"/>
    <w:rsid w:val="00056797"/>
    <w:rsid w:val="00064DFF"/>
    <w:rsid w:val="00066CB4"/>
    <w:rsid w:val="00066FEB"/>
    <w:rsid w:val="0006752F"/>
    <w:rsid w:val="00070E76"/>
    <w:rsid w:val="00082D9E"/>
    <w:rsid w:val="000A3713"/>
    <w:rsid w:val="000A556E"/>
    <w:rsid w:val="000C328F"/>
    <w:rsid w:val="000D032A"/>
    <w:rsid w:val="000D5BCA"/>
    <w:rsid w:val="000D70A2"/>
    <w:rsid w:val="000E556C"/>
    <w:rsid w:val="000E5592"/>
    <w:rsid w:val="000F17AD"/>
    <w:rsid w:val="000F42DF"/>
    <w:rsid w:val="001028F2"/>
    <w:rsid w:val="00107165"/>
    <w:rsid w:val="00122290"/>
    <w:rsid w:val="00122931"/>
    <w:rsid w:val="00123781"/>
    <w:rsid w:val="00126BE8"/>
    <w:rsid w:val="0013051B"/>
    <w:rsid w:val="00136FD6"/>
    <w:rsid w:val="00137AEE"/>
    <w:rsid w:val="00146BB2"/>
    <w:rsid w:val="0014714E"/>
    <w:rsid w:val="001532AA"/>
    <w:rsid w:val="00156E52"/>
    <w:rsid w:val="00161D96"/>
    <w:rsid w:val="001738A0"/>
    <w:rsid w:val="0018105F"/>
    <w:rsid w:val="00181A84"/>
    <w:rsid w:val="001825E5"/>
    <w:rsid w:val="00182F50"/>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1EC"/>
    <w:rsid w:val="001E6AA1"/>
    <w:rsid w:val="001F30D0"/>
    <w:rsid w:val="001F3EC3"/>
    <w:rsid w:val="001F7978"/>
    <w:rsid w:val="00205761"/>
    <w:rsid w:val="002101BE"/>
    <w:rsid w:val="002133BF"/>
    <w:rsid w:val="00214315"/>
    <w:rsid w:val="00216B8B"/>
    <w:rsid w:val="00216BB7"/>
    <w:rsid w:val="00232882"/>
    <w:rsid w:val="00246DE0"/>
    <w:rsid w:val="00250DD6"/>
    <w:rsid w:val="002712A3"/>
    <w:rsid w:val="002754BA"/>
    <w:rsid w:val="00297A82"/>
    <w:rsid w:val="002A04C9"/>
    <w:rsid w:val="002A11C6"/>
    <w:rsid w:val="002A33D1"/>
    <w:rsid w:val="002A475C"/>
    <w:rsid w:val="002B04B1"/>
    <w:rsid w:val="002B1016"/>
    <w:rsid w:val="002C0BBA"/>
    <w:rsid w:val="002C12B6"/>
    <w:rsid w:val="002C19AA"/>
    <w:rsid w:val="002C2F3D"/>
    <w:rsid w:val="002C5C1C"/>
    <w:rsid w:val="002C7107"/>
    <w:rsid w:val="002D13CB"/>
    <w:rsid w:val="002D1679"/>
    <w:rsid w:val="002E3FE4"/>
    <w:rsid w:val="002E40C7"/>
    <w:rsid w:val="00311CC5"/>
    <w:rsid w:val="003173D4"/>
    <w:rsid w:val="00320782"/>
    <w:rsid w:val="00321063"/>
    <w:rsid w:val="00324605"/>
    <w:rsid w:val="00331580"/>
    <w:rsid w:val="003360D8"/>
    <w:rsid w:val="003374C0"/>
    <w:rsid w:val="00341B54"/>
    <w:rsid w:val="00343EFF"/>
    <w:rsid w:val="00344DF6"/>
    <w:rsid w:val="00346249"/>
    <w:rsid w:val="00346C40"/>
    <w:rsid w:val="00354391"/>
    <w:rsid w:val="003568AB"/>
    <w:rsid w:val="00362801"/>
    <w:rsid w:val="0036775A"/>
    <w:rsid w:val="00375B9D"/>
    <w:rsid w:val="00382631"/>
    <w:rsid w:val="00384662"/>
    <w:rsid w:val="003871FB"/>
    <w:rsid w:val="00387938"/>
    <w:rsid w:val="0039584B"/>
    <w:rsid w:val="003B5AA8"/>
    <w:rsid w:val="003C3CF9"/>
    <w:rsid w:val="003C3E0B"/>
    <w:rsid w:val="003E2C7C"/>
    <w:rsid w:val="003F0BCC"/>
    <w:rsid w:val="00402758"/>
    <w:rsid w:val="00405BCB"/>
    <w:rsid w:val="00412E82"/>
    <w:rsid w:val="00417021"/>
    <w:rsid w:val="00421A2C"/>
    <w:rsid w:val="00423A7D"/>
    <w:rsid w:val="00440E90"/>
    <w:rsid w:val="004508F1"/>
    <w:rsid w:val="00456DCF"/>
    <w:rsid w:val="0045759B"/>
    <w:rsid w:val="004608D6"/>
    <w:rsid w:val="0046189E"/>
    <w:rsid w:val="0046269C"/>
    <w:rsid w:val="00471E8B"/>
    <w:rsid w:val="0047494A"/>
    <w:rsid w:val="00480A55"/>
    <w:rsid w:val="0048298C"/>
    <w:rsid w:val="00483210"/>
    <w:rsid w:val="004A298E"/>
    <w:rsid w:val="004B2147"/>
    <w:rsid w:val="004B3159"/>
    <w:rsid w:val="004B531D"/>
    <w:rsid w:val="004B6B01"/>
    <w:rsid w:val="004C75D2"/>
    <w:rsid w:val="004D4EBD"/>
    <w:rsid w:val="004D6EB4"/>
    <w:rsid w:val="004E5149"/>
    <w:rsid w:val="004F44AC"/>
    <w:rsid w:val="004F6610"/>
    <w:rsid w:val="005004BB"/>
    <w:rsid w:val="0050715F"/>
    <w:rsid w:val="00510D89"/>
    <w:rsid w:val="00511818"/>
    <w:rsid w:val="005141C3"/>
    <w:rsid w:val="0051686C"/>
    <w:rsid w:val="005204E8"/>
    <w:rsid w:val="0052148B"/>
    <w:rsid w:val="00523235"/>
    <w:rsid w:val="005254DB"/>
    <w:rsid w:val="00525ED8"/>
    <w:rsid w:val="005269B6"/>
    <w:rsid w:val="00526CC9"/>
    <w:rsid w:val="00534B48"/>
    <w:rsid w:val="005430F9"/>
    <w:rsid w:val="0054639F"/>
    <w:rsid w:val="00552B10"/>
    <w:rsid w:val="00555665"/>
    <w:rsid w:val="00560DB1"/>
    <w:rsid w:val="005660BC"/>
    <w:rsid w:val="005676FF"/>
    <w:rsid w:val="00570A7F"/>
    <w:rsid w:val="0057740E"/>
    <w:rsid w:val="00581218"/>
    <w:rsid w:val="00584DCB"/>
    <w:rsid w:val="00585320"/>
    <w:rsid w:val="0059268F"/>
    <w:rsid w:val="00595B29"/>
    <w:rsid w:val="005A0D9F"/>
    <w:rsid w:val="005B2F75"/>
    <w:rsid w:val="005C706E"/>
    <w:rsid w:val="005D0971"/>
    <w:rsid w:val="005D1067"/>
    <w:rsid w:val="005D5548"/>
    <w:rsid w:val="005E778F"/>
    <w:rsid w:val="005F21CC"/>
    <w:rsid w:val="005F2E8D"/>
    <w:rsid w:val="00603039"/>
    <w:rsid w:val="00603367"/>
    <w:rsid w:val="006043AE"/>
    <w:rsid w:val="00611D9C"/>
    <w:rsid w:val="006225F0"/>
    <w:rsid w:val="00623507"/>
    <w:rsid w:val="00624316"/>
    <w:rsid w:val="006243AA"/>
    <w:rsid w:val="006323F8"/>
    <w:rsid w:val="00633B89"/>
    <w:rsid w:val="006472C8"/>
    <w:rsid w:val="00647E8B"/>
    <w:rsid w:val="006526F5"/>
    <w:rsid w:val="006531D6"/>
    <w:rsid w:val="006718E3"/>
    <w:rsid w:val="0068014A"/>
    <w:rsid w:val="00686BE0"/>
    <w:rsid w:val="00696168"/>
    <w:rsid w:val="006A718E"/>
    <w:rsid w:val="006A7A61"/>
    <w:rsid w:val="006A7E35"/>
    <w:rsid w:val="006B2132"/>
    <w:rsid w:val="006B2534"/>
    <w:rsid w:val="006B28A8"/>
    <w:rsid w:val="006B48BE"/>
    <w:rsid w:val="006C15B9"/>
    <w:rsid w:val="006C194B"/>
    <w:rsid w:val="006D1243"/>
    <w:rsid w:val="006D363A"/>
    <w:rsid w:val="006E1CF3"/>
    <w:rsid w:val="006E54B5"/>
    <w:rsid w:val="006E7A95"/>
    <w:rsid w:val="006F04A2"/>
    <w:rsid w:val="006F1A93"/>
    <w:rsid w:val="006F5FA3"/>
    <w:rsid w:val="006F678C"/>
    <w:rsid w:val="006F7562"/>
    <w:rsid w:val="00700A3A"/>
    <w:rsid w:val="00706FF2"/>
    <w:rsid w:val="00707154"/>
    <w:rsid w:val="00713B50"/>
    <w:rsid w:val="00714F6B"/>
    <w:rsid w:val="0071654A"/>
    <w:rsid w:val="00716E75"/>
    <w:rsid w:val="00724E68"/>
    <w:rsid w:val="00724EC9"/>
    <w:rsid w:val="0072770D"/>
    <w:rsid w:val="0072783D"/>
    <w:rsid w:val="00727B8C"/>
    <w:rsid w:val="00731CE4"/>
    <w:rsid w:val="0073294A"/>
    <w:rsid w:val="0074595F"/>
    <w:rsid w:val="007469DE"/>
    <w:rsid w:val="00754C91"/>
    <w:rsid w:val="00754DA5"/>
    <w:rsid w:val="00757C24"/>
    <w:rsid w:val="007661BA"/>
    <w:rsid w:val="00770A26"/>
    <w:rsid w:val="00777CC8"/>
    <w:rsid w:val="0078151A"/>
    <w:rsid w:val="007825E1"/>
    <w:rsid w:val="00783B5C"/>
    <w:rsid w:val="00786912"/>
    <w:rsid w:val="00792238"/>
    <w:rsid w:val="00792CC2"/>
    <w:rsid w:val="00793041"/>
    <w:rsid w:val="007959F7"/>
    <w:rsid w:val="007A00D9"/>
    <w:rsid w:val="007A6EB9"/>
    <w:rsid w:val="007A7A8B"/>
    <w:rsid w:val="007B3124"/>
    <w:rsid w:val="007B4BD7"/>
    <w:rsid w:val="007C1747"/>
    <w:rsid w:val="007C1D03"/>
    <w:rsid w:val="007C371D"/>
    <w:rsid w:val="007C3F24"/>
    <w:rsid w:val="007D613E"/>
    <w:rsid w:val="007E2BE2"/>
    <w:rsid w:val="007F0C11"/>
    <w:rsid w:val="007F4C62"/>
    <w:rsid w:val="00804756"/>
    <w:rsid w:val="00805618"/>
    <w:rsid w:val="008068F5"/>
    <w:rsid w:val="00821ABD"/>
    <w:rsid w:val="00824ED1"/>
    <w:rsid w:val="008300AF"/>
    <w:rsid w:val="008319F6"/>
    <w:rsid w:val="008361AC"/>
    <w:rsid w:val="00836FFE"/>
    <w:rsid w:val="008379EB"/>
    <w:rsid w:val="00840604"/>
    <w:rsid w:val="00847624"/>
    <w:rsid w:val="00853E99"/>
    <w:rsid w:val="00867574"/>
    <w:rsid w:val="00877A94"/>
    <w:rsid w:val="0088239E"/>
    <w:rsid w:val="008842EB"/>
    <w:rsid w:val="008942F3"/>
    <w:rsid w:val="00894EFE"/>
    <w:rsid w:val="008A2C56"/>
    <w:rsid w:val="008A2DE9"/>
    <w:rsid w:val="008A4E88"/>
    <w:rsid w:val="008A4F44"/>
    <w:rsid w:val="008A5C65"/>
    <w:rsid w:val="008A6130"/>
    <w:rsid w:val="008B350E"/>
    <w:rsid w:val="008C491C"/>
    <w:rsid w:val="008C7C7C"/>
    <w:rsid w:val="008D102D"/>
    <w:rsid w:val="008D2249"/>
    <w:rsid w:val="008D2A94"/>
    <w:rsid w:val="008D331F"/>
    <w:rsid w:val="008D63A1"/>
    <w:rsid w:val="008D72C9"/>
    <w:rsid w:val="008E3B22"/>
    <w:rsid w:val="008E750D"/>
    <w:rsid w:val="008F2EA9"/>
    <w:rsid w:val="008F546F"/>
    <w:rsid w:val="00917B49"/>
    <w:rsid w:val="00925CD6"/>
    <w:rsid w:val="009267E9"/>
    <w:rsid w:val="009276CD"/>
    <w:rsid w:val="00936602"/>
    <w:rsid w:val="00946033"/>
    <w:rsid w:val="009503FE"/>
    <w:rsid w:val="0095480B"/>
    <w:rsid w:val="009613DB"/>
    <w:rsid w:val="00965E05"/>
    <w:rsid w:val="009661FD"/>
    <w:rsid w:val="00970C24"/>
    <w:rsid w:val="00976637"/>
    <w:rsid w:val="0098200A"/>
    <w:rsid w:val="00984AD0"/>
    <w:rsid w:val="009950A0"/>
    <w:rsid w:val="00995E50"/>
    <w:rsid w:val="009A0B11"/>
    <w:rsid w:val="009A15B5"/>
    <w:rsid w:val="009A2EDC"/>
    <w:rsid w:val="009B4EFF"/>
    <w:rsid w:val="009C1CB1"/>
    <w:rsid w:val="009C2830"/>
    <w:rsid w:val="009C6B01"/>
    <w:rsid w:val="009D04DC"/>
    <w:rsid w:val="009D251E"/>
    <w:rsid w:val="009D331A"/>
    <w:rsid w:val="009E088A"/>
    <w:rsid w:val="009E08A7"/>
    <w:rsid w:val="009E19D2"/>
    <w:rsid w:val="009E2A99"/>
    <w:rsid w:val="009E4DCF"/>
    <w:rsid w:val="009F1080"/>
    <w:rsid w:val="009F2823"/>
    <w:rsid w:val="009F40CC"/>
    <w:rsid w:val="009F5A83"/>
    <w:rsid w:val="00A070D4"/>
    <w:rsid w:val="00A120B4"/>
    <w:rsid w:val="00A146A0"/>
    <w:rsid w:val="00A1687B"/>
    <w:rsid w:val="00A16C6D"/>
    <w:rsid w:val="00A22811"/>
    <w:rsid w:val="00A23A3E"/>
    <w:rsid w:val="00A24AAE"/>
    <w:rsid w:val="00A24DA1"/>
    <w:rsid w:val="00A26828"/>
    <w:rsid w:val="00A51856"/>
    <w:rsid w:val="00A53703"/>
    <w:rsid w:val="00A61515"/>
    <w:rsid w:val="00A620E2"/>
    <w:rsid w:val="00A6597B"/>
    <w:rsid w:val="00A67677"/>
    <w:rsid w:val="00A71946"/>
    <w:rsid w:val="00A71EFF"/>
    <w:rsid w:val="00A83B31"/>
    <w:rsid w:val="00A850DA"/>
    <w:rsid w:val="00A958C8"/>
    <w:rsid w:val="00AA3491"/>
    <w:rsid w:val="00AA34C6"/>
    <w:rsid w:val="00AA719E"/>
    <w:rsid w:val="00AC5875"/>
    <w:rsid w:val="00AC7253"/>
    <w:rsid w:val="00AD3CDA"/>
    <w:rsid w:val="00AE1E06"/>
    <w:rsid w:val="00AE6E38"/>
    <w:rsid w:val="00AF0F99"/>
    <w:rsid w:val="00AF3CB4"/>
    <w:rsid w:val="00AF7746"/>
    <w:rsid w:val="00B0149E"/>
    <w:rsid w:val="00B02BB7"/>
    <w:rsid w:val="00B053AB"/>
    <w:rsid w:val="00B05B71"/>
    <w:rsid w:val="00B11C51"/>
    <w:rsid w:val="00B129AA"/>
    <w:rsid w:val="00B12EE6"/>
    <w:rsid w:val="00B13310"/>
    <w:rsid w:val="00B15292"/>
    <w:rsid w:val="00B21A37"/>
    <w:rsid w:val="00B36C0F"/>
    <w:rsid w:val="00B4025E"/>
    <w:rsid w:val="00B449C4"/>
    <w:rsid w:val="00B46BE9"/>
    <w:rsid w:val="00B63516"/>
    <w:rsid w:val="00B64D4D"/>
    <w:rsid w:val="00B73DA7"/>
    <w:rsid w:val="00B7515B"/>
    <w:rsid w:val="00B7541C"/>
    <w:rsid w:val="00B77CE4"/>
    <w:rsid w:val="00B806BF"/>
    <w:rsid w:val="00B826FD"/>
    <w:rsid w:val="00B949D1"/>
    <w:rsid w:val="00B97AC7"/>
    <w:rsid w:val="00BA082C"/>
    <w:rsid w:val="00BA15C5"/>
    <w:rsid w:val="00BA2287"/>
    <w:rsid w:val="00BC0651"/>
    <w:rsid w:val="00BC0F7F"/>
    <w:rsid w:val="00BC35B6"/>
    <w:rsid w:val="00BC3626"/>
    <w:rsid w:val="00BC5EBB"/>
    <w:rsid w:val="00BE0AB2"/>
    <w:rsid w:val="00BE5EF8"/>
    <w:rsid w:val="00BF0851"/>
    <w:rsid w:val="00BF3890"/>
    <w:rsid w:val="00BF72B9"/>
    <w:rsid w:val="00C02510"/>
    <w:rsid w:val="00C034BE"/>
    <w:rsid w:val="00C1016B"/>
    <w:rsid w:val="00C16DCB"/>
    <w:rsid w:val="00C21E49"/>
    <w:rsid w:val="00C24037"/>
    <w:rsid w:val="00C31994"/>
    <w:rsid w:val="00C50818"/>
    <w:rsid w:val="00C53DB8"/>
    <w:rsid w:val="00C57B76"/>
    <w:rsid w:val="00C65340"/>
    <w:rsid w:val="00C75344"/>
    <w:rsid w:val="00C75735"/>
    <w:rsid w:val="00C807E0"/>
    <w:rsid w:val="00C8358A"/>
    <w:rsid w:val="00C837A0"/>
    <w:rsid w:val="00C849F6"/>
    <w:rsid w:val="00C924CE"/>
    <w:rsid w:val="00C967A5"/>
    <w:rsid w:val="00CA41EF"/>
    <w:rsid w:val="00CC463F"/>
    <w:rsid w:val="00CC4BE7"/>
    <w:rsid w:val="00CC5715"/>
    <w:rsid w:val="00CD73BC"/>
    <w:rsid w:val="00CD7AFC"/>
    <w:rsid w:val="00CE02FD"/>
    <w:rsid w:val="00CF1E39"/>
    <w:rsid w:val="00D039DD"/>
    <w:rsid w:val="00D1197C"/>
    <w:rsid w:val="00D23E3A"/>
    <w:rsid w:val="00D279F3"/>
    <w:rsid w:val="00D35642"/>
    <w:rsid w:val="00D376C4"/>
    <w:rsid w:val="00D556BF"/>
    <w:rsid w:val="00D66DD2"/>
    <w:rsid w:val="00D7092E"/>
    <w:rsid w:val="00D7159D"/>
    <w:rsid w:val="00D776BD"/>
    <w:rsid w:val="00D8583D"/>
    <w:rsid w:val="00D86F7E"/>
    <w:rsid w:val="00D90E56"/>
    <w:rsid w:val="00D9519E"/>
    <w:rsid w:val="00D97152"/>
    <w:rsid w:val="00DA4C95"/>
    <w:rsid w:val="00DA7289"/>
    <w:rsid w:val="00DC3D7F"/>
    <w:rsid w:val="00DD0188"/>
    <w:rsid w:val="00DD1B5F"/>
    <w:rsid w:val="00DE56A4"/>
    <w:rsid w:val="00DF5370"/>
    <w:rsid w:val="00E0054C"/>
    <w:rsid w:val="00E12092"/>
    <w:rsid w:val="00E12E39"/>
    <w:rsid w:val="00E20929"/>
    <w:rsid w:val="00E2109B"/>
    <w:rsid w:val="00E232A1"/>
    <w:rsid w:val="00E24228"/>
    <w:rsid w:val="00E26635"/>
    <w:rsid w:val="00E27B6D"/>
    <w:rsid w:val="00E30B82"/>
    <w:rsid w:val="00E34587"/>
    <w:rsid w:val="00E34A48"/>
    <w:rsid w:val="00E36BD9"/>
    <w:rsid w:val="00E463C3"/>
    <w:rsid w:val="00E4679F"/>
    <w:rsid w:val="00E479EA"/>
    <w:rsid w:val="00E50BFE"/>
    <w:rsid w:val="00E510A9"/>
    <w:rsid w:val="00E53E60"/>
    <w:rsid w:val="00E64B9D"/>
    <w:rsid w:val="00E71138"/>
    <w:rsid w:val="00E84638"/>
    <w:rsid w:val="00E8595B"/>
    <w:rsid w:val="00E879B9"/>
    <w:rsid w:val="00E917D2"/>
    <w:rsid w:val="00E93618"/>
    <w:rsid w:val="00E94962"/>
    <w:rsid w:val="00EB00DE"/>
    <w:rsid w:val="00EB179D"/>
    <w:rsid w:val="00EB223E"/>
    <w:rsid w:val="00EB2E14"/>
    <w:rsid w:val="00EB3179"/>
    <w:rsid w:val="00EB7140"/>
    <w:rsid w:val="00EC5581"/>
    <w:rsid w:val="00ED2558"/>
    <w:rsid w:val="00ED2984"/>
    <w:rsid w:val="00ED3906"/>
    <w:rsid w:val="00EE261C"/>
    <w:rsid w:val="00EE5867"/>
    <w:rsid w:val="00EE5AEE"/>
    <w:rsid w:val="00EE5B62"/>
    <w:rsid w:val="00EF13C6"/>
    <w:rsid w:val="00EF64D1"/>
    <w:rsid w:val="00F0616E"/>
    <w:rsid w:val="00F101AB"/>
    <w:rsid w:val="00F1796D"/>
    <w:rsid w:val="00F335D1"/>
    <w:rsid w:val="00F335D3"/>
    <w:rsid w:val="00F3495E"/>
    <w:rsid w:val="00F4296C"/>
    <w:rsid w:val="00F4391C"/>
    <w:rsid w:val="00F4685A"/>
    <w:rsid w:val="00F557CD"/>
    <w:rsid w:val="00F55EC1"/>
    <w:rsid w:val="00F64542"/>
    <w:rsid w:val="00F7135D"/>
    <w:rsid w:val="00F746ED"/>
    <w:rsid w:val="00F7656C"/>
    <w:rsid w:val="00F82F18"/>
    <w:rsid w:val="00F873F4"/>
    <w:rsid w:val="00F9280D"/>
    <w:rsid w:val="00FA4FE6"/>
    <w:rsid w:val="00FA78F1"/>
    <w:rsid w:val="00FB72F9"/>
    <w:rsid w:val="00FB732D"/>
    <w:rsid w:val="00FC2277"/>
    <w:rsid w:val="00FD081E"/>
    <w:rsid w:val="00FD6464"/>
    <w:rsid w:val="00FE0009"/>
    <w:rsid w:val="00FE3043"/>
    <w:rsid w:val="00FE3FA6"/>
    <w:rsid w:val="00FE46F2"/>
    <w:rsid w:val="00FF1465"/>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7825E1"/>
    <w:pPr>
      <w:spacing w:before="120"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7825E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hyperlink" Target="http://www.legislation.act.gov.au/a/2001-1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egislation.act.gov.au/a/2001-14" TargetMode="External"/><Relationship Id="rId7" Type="http://schemas.openxmlformats.org/officeDocument/2006/relationships/endnotes" Target="endnotes.xml"/><Relationship Id="rId12" Type="http://schemas.openxmlformats.org/officeDocument/2006/relationships/hyperlink" Target="https://www.parliament.act.gov.au/parliamentary-business/in-committees/committees/resolution-for-committees/resolution-establishing-committees-of-the-tenth-assembly" TargetMode="External"/><Relationship Id="rId17" Type="http://schemas.openxmlformats.org/officeDocument/2006/relationships/hyperlink" Target="http://www.legislation.act.gov.au/a/2001-14"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parliament.act.gov.au/parliamentary-business/in-committees/committees/JCS_Scrutiny/responses-to-comments-on-bills" TargetMode="External"/><Relationship Id="rId20" Type="http://schemas.openxmlformats.org/officeDocument/2006/relationships/hyperlink" Target="https://www.accesscanberra.act.gov.au/business-and-work/associations-co-ops-and-charities/charitable-collection-lic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parliament.act.gov.au/__data/assets/pdf_file/0007/434347/Subordinate-Legislation-Technical-and-Stylistic-Standards.pdf"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legislation.act.gov.au/a/2001-1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hyperlink" Target="http://www.legislation.act.gov.au/a/2013-3"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__data/assets/pdf_file/0007/434347/Subordinate-Legislation-Technical-and-Stylistic-Standards-Revised-March-2022.pdf" TargetMode="External"/><Relationship Id="rId7" Type="http://schemas.openxmlformats.org/officeDocument/2006/relationships/hyperlink" Target="https://www.dit.sa.gov.au/towardszerotogether/Safer_behaviours/inattention" TargetMode="External"/><Relationship Id="rId2" Type="http://schemas.openxmlformats.org/officeDocument/2006/relationships/hyperlink" Target="https://www.parliament.act.gov.au/__data/assets/pdf_file/0007/434347/Subordinate-Legislation-Technical-and-Stylistic-Standards.pdf" TargetMode="External"/><Relationship Id="rId1" Type="http://schemas.openxmlformats.org/officeDocument/2006/relationships/hyperlink" Target="https://www.parliament.act.gov.au/parliamentary-business/in-committees/committees/JCS_Scrutiny/responses-to-comments-on-bills" TargetMode="External"/><Relationship Id="rId6" Type="http://schemas.openxmlformats.org/officeDocument/2006/relationships/hyperlink" Target="https://www.wa.gov.au/system/files/2021-07/Distance-of-distraction-facts-at-a-glance_1.pdf" TargetMode="External"/><Relationship Id="rId5" Type="http://schemas.openxmlformats.org/officeDocument/2006/relationships/hyperlink" Target="https://www.nsw.gov.au/driving-boating-and-transport/roads-safety-and-rules/warnings-and-hazards/driving-distractions" TargetMode="External"/><Relationship Id="rId4" Type="http://schemas.openxmlformats.org/officeDocument/2006/relationships/hyperlink" Target="https://www.parliament.act.gov.au/__data/assets/pdf_file/0009/2199015/Road-TransportPublic-Passenger-Services-Maximum-Fares-for-taxi_Redact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2F6146"/>
    <w:rsid w:val="00332344"/>
    <w:rsid w:val="003C3B8F"/>
    <w:rsid w:val="003D5F1D"/>
    <w:rsid w:val="00407E18"/>
    <w:rsid w:val="00465034"/>
    <w:rsid w:val="0047394C"/>
    <w:rsid w:val="005A1920"/>
    <w:rsid w:val="005F0866"/>
    <w:rsid w:val="00695922"/>
    <w:rsid w:val="006A3B5E"/>
    <w:rsid w:val="006D2E2B"/>
    <w:rsid w:val="007376EF"/>
    <w:rsid w:val="0077148B"/>
    <w:rsid w:val="00782EDE"/>
    <w:rsid w:val="008170C4"/>
    <w:rsid w:val="0083543A"/>
    <w:rsid w:val="00876FDA"/>
    <w:rsid w:val="008927B5"/>
    <w:rsid w:val="008A2010"/>
    <w:rsid w:val="008F75D9"/>
    <w:rsid w:val="0093479E"/>
    <w:rsid w:val="00970294"/>
    <w:rsid w:val="00994AFF"/>
    <w:rsid w:val="009F6D59"/>
    <w:rsid w:val="00A437AA"/>
    <w:rsid w:val="00A72746"/>
    <w:rsid w:val="00B551B6"/>
    <w:rsid w:val="00C83312"/>
    <w:rsid w:val="00C8550A"/>
    <w:rsid w:val="00CE7815"/>
    <w:rsid w:val="00DC17BA"/>
    <w:rsid w:val="00EA643D"/>
    <w:rsid w:val="00ED5EF4"/>
    <w:rsid w:val="00F4175F"/>
    <w:rsid w:val="00F52AD3"/>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65</Pages>
  <Words>25516</Words>
  <Characters>145445</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170620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48</cp:revision>
  <cp:lastPrinted>2024-09-02T00:35:00Z</cp:lastPrinted>
  <dcterms:created xsi:type="dcterms:W3CDTF">2024-08-29T06:00:00Z</dcterms:created>
  <dcterms:modified xsi:type="dcterms:W3CDTF">2024-09-02T04:14:00Z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